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ascii="Times New Roman" w:hAnsi="Times New Roman"/>
          <w:color w:val="auto"/>
          <w:sz w:val="32"/>
          <w:szCs w:val="32"/>
          <w:lang w:val="zh-CN"/>
        </w:rPr>
      </w:pPr>
      <w:bookmarkStart w:id="0" w:name="_Toc523667133"/>
      <w:r>
        <w:rPr>
          <w:rFonts w:hint="eastAsia" w:ascii="Times New Roman" w:hAnsi="Times New Roman"/>
          <w:color w:val="auto"/>
          <w:sz w:val="32"/>
          <w:szCs w:val="32"/>
          <w:lang w:val="zh-CN"/>
        </w:rPr>
        <w:t>南沙全民文化体育综合体项目配套骨干道路（二十涌北路、规划纵三路）</w:t>
      </w:r>
      <w:r>
        <w:rPr>
          <w:rFonts w:ascii="Times New Roman" w:hAnsi="Times New Roman"/>
          <w:color w:val="auto"/>
          <w:sz w:val="32"/>
          <w:szCs w:val="32"/>
          <w:lang w:val="zh-CN"/>
        </w:rPr>
        <w:t>工程可行性研究报告</w:t>
      </w:r>
    </w:p>
    <w:p>
      <w:pPr>
        <w:spacing w:line="360" w:lineRule="auto"/>
        <w:rPr>
          <w:rFonts w:ascii="Times New Roman" w:hAnsi="Times New Roman"/>
          <w:color w:val="auto"/>
          <w:lang w:val="zh-CN"/>
        </w:rPr>
      </w:pPr>
      <w:r>
        <w:rPr>
          <w:rFonts w:ascii="Times New Roman" w:hAnsi="Times New Roman"/>
          <w:color w:val="auto"/>
        </w:rPr>
        <w:drawing>
          <wp:anchor distT="0" distB="0" distL="114300" distR="114300" simplePos="0" relativeHeight="251661312" behindDoc="1" locked="0" layoutInCell="1" allowOverlap="1">
            <wp:simplePos x="0" y="0"/>
            <wp:positionH relativeFrom="column">
              <wp:posOffset>1704340</wp:posOffset>
            </wp:positionH>
            <wp:positionV relativeFrom="paragraph">
              <wp:posOffset>263525</wp:posOffset>
            </wp:positionV>
            <wp:extent cx="701675" cy="495935"/>
            <wp:effectExtent l="0" t="0" r="3810" b="0"/>
            <wp:wrapNone/>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709042" cy="501379"/>
                    </a:xfrm>
                    <a:prstGeom prst="rect">
                      <a:avLst/>
                    </a:prstGeom>
                    <a:noFill/>
                    <a:ln>
                      <a:noFill/>
                    </a:ln>
                  </pic:spPr>
                </pic:pic>
              </a:graphicData>
            </a:graphic>
          </wp:anchor>
        </w:drawing>
      </w:r>
      <w:r>
        <w:rPr>
          <w:rFonts w:ascii="Times New Roman" w:hAnsi="Times New Roman"/>
          <w:color w:val="auto"/>
          <w:lang w:val="zh-CN"/>
        </w:rPr>
        <w:t>工程咨询资格证书号：甲232021011036</w:t>
      </w:r>
    </w:p>
    <w:p>
      <w:pPr>
        <w:spacing w:line="360" w:lineRule="auto"/>
        <w:rPr>
          <w:rFonts w:ascii="Times New Roman" w:hAnsi="Times New Roman"/>
          <w:color w:val="auto"/>
          <w:lang w:val="zh-CN"/>
        </w:rPr>
      </w:pPr>
      <w:r>
        <w:rPr>
          <w:rFonts w:ascii="Times New Roman" w:hAnsi="Times New Roman"/>
          <w:color w:val="auto"/>
        </w:rPr>
        <w:drawing>
          <wp:anchor distT="0" distB="0" distL="114300" distR="114300" simplePos="0" relativeHeight="251662336" behindDoc="1" locked="0" layoutInCell="1" allowOverlap="1">
            <wp:simplePos x="0" y="0"/>
            <wp:positionH relativeFrom="column">
              <wp:posOffset>1655445</wp:posOffset>
            </wp:positionH>
            <wp:positionV relativeFrom="paragraph">
              <wp:posOffset>273685</wp:posOffset>
            </wp:positionV>
            <wp:extent cx="709930" cy="501650"/>
            <wp:effectExtent l="0" t="0" r="0" b="0"/>
            <wp:wrapNone/>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709930" cy="501650"/>
                    </a:xfrm>
                    <a:prstGeom prst="rect">
                      <a:avLst/>
                    </a:prstGeom>
                    <a:noFill/>
                    <a:ln>
                      <a:noFill/>
                    </a:ln>
                  </pic:spPr>
                </pic:pic>
              </a:graphicData>
            </a:graphic>
          </wp:anchor>
        </w:drawing>
      </w:r>
      <w:r>
        <w:rPr>
          <w:rFonts w:ascii="Times New Roman" w:hAnsi="Times New Roman"/>
          <w:color w:val="auto"/>
          <w:lang w:val="zh-CN"/>
        </w:rPr>
        <w:t>法定代表人：曾宪川</w:t>
      </w:r>
      <w:r>
        <w:rPr>
          <w:rFonts w:hint="eastAsia" w:ascii="Times New Roman" w:hAnsi="Times New Roman"/>
          <w:color w:val="auto"/>
        </w:rPr>
        <w:t xml:space="preserve">         </w:t>
      </w:r>
      <w:r>
        <w:rPr>
          <w:rFonts w:ascii="Times New Roman" w:hAnsi="Times New Roman"/>
          <w:color w:val="auto"/>
          <w:lang w:val="zh-CN"/>
        </w:rPr>
        <w:t>高级工程师（教授级）</w:t>
      </w:r>
    </w:p>
    <w:p>
      <w:pPr>
        <w:spacing w:after="193" w:afterLines="50" w:line="360" w:lineRule="auto"/>
        <w:rPr>
          <w:rFonts w:ascii="Times New Roman" w:hAnsi="Times New Roman"/>
          <w:color w:val="auto"/>
          <w:lang w:val="zh-CN"/>
        </w:rPr>
      </w:pPr>
      <w:r>
        <w:rPr>
          <w:rFonts w:ascii="Times New Roman" w:hAnsi="Times New Roman"/>
          <w:color w:val="auto"/>
          <w:lang w:val="zh-CN"/>
        </w:rPr>
        <w:t>总工程师：罗赤宇</w:t>
      </w:r>
      <w:r>
        <w:rPr>
          <w:rFonts w:hint="eastAsia" w:ascii="Times New Roman" w:hAnsi="Times New Roman"/>
          <w:color w:val="auto"/>
        </w:rPr>
        <w:t xml:space="preserve">           </w:t>
      </w:r>
      <w:r>
        <w:rPr>
          <w:rFonts w:ascii="Times New Roman" w:hAnsi="Times New Roman"/>
          <w:color w:val="auto"/>
          <w:lang w:val="zh-CN"/>
        </w:rPr>
        <w:t>高级工程师（教授级）</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88"/>
        <w:gridCol w:w="2188"/>
        <w:gridCol w:w="2267"/>
        <w:gridCol w:w="30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7" w:hRule="atLeast"/>
        </w:trPr>
        <w:tc>
          <w:tcPr>
            <w:tcW w:w="9684" w:type="dxa"/>
            <w:gridSpan w:val="4"/>
            <w:vAlign w:val="center"/>
          </w:tcPr>
          <w:p>
            <w:pPr>
              <w:spacing w:line="360" w:lineRule="auto"/>
              <w:ind w:firstLine="280"/>
              <w:jc w:val="center"/>
              <w:rPr>
                <w:rFonts w:ascii="Times New Roman" w:hAnsi="Times New Roman"/>
                <w:color w:val="auto"/>
                <w:lang w:val="zh-CN"/>
              </w:rPr>
            </w:pPr>
            <w:r>
              <w:rPr>
                <w:rFonts w:ascii="Times New Roman" w:hAnsi="Times New Roman"/>
                <w:color w:val="auto"/>
                <w:lang w:val="zh-CN"/>
              </w:rPr>
              <w:t>编写人员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1" w:hRule="atLeast"/>
        </w:trPr>
        <w:tc>
          <w:tcPr>
            <w:tcW w:w="2188" w:type="dxa"/>
            <w:vAlign w:val="center"/>
          </w:tcPr>
          <w:p>
            <w:pPr>
              <w:spacing w:line="360" w:lineRule="auto"/>
              <w:ind w:firstLine="280"/>
              <w:jc w:val="center"/>
              <w:rPr>
                <w:rFonts w:ascii="Times New Roman" w:hAnsi="Times New Roman"/>
                <w:color w:val="auto"/>
                <w:lang w:val="zh-CN"/>
              </w:rPr>
            </w:pPr>
            <w:r>
              <w:rPr>
                <w:rFonts w:ascii="Times New Roman" w:hAnsi="Times New Roman"/>
                <w:color w:val="auto"/>
                <w:lang w:val="zh-CN"/>
              </w:rPr>
              <w:t>人员</w:t>
            </w:r>
          </w:p>
        </w:tc>
        <w:tc>
          <w:tcPr>
            <w:tcW w:w="2188" w:type="dxa"/>
            <w:vAlign w:val="center"/>
          </w:tcPr>
          <w:p>
            <w:pPr>
              <w:spacing w:line="360" w:lineRule="auto"/>
              <w:ind w:firstLine="280"/>
              <w:jc w:val="center"/>
              <w:rPr>
                <w:rFonts w:ascii="Times New Roman" w:hAnsi="Times New Roman"/>
                <w:color w:val="auto"/>
                <w:lang w:val="zh-CN"/>
              </w:rPr>
            </w:pPr>
            <w:r>
              <w:rPr>
                <w:rFonts w:ascii="Times New Roman" w:hAnsi="Times New Roman"/>
                <w:color w:val="auto"/>
                <w:lang w:val="zh-CN"/>
              </w:rPr>
              <w:t>姓名</w:t>
            </w:r>
          </w:p>
        </w:tc>
        <w:tc>
          <w:tcPr>
            <w:tcW w:w="2267" w:type="dxa"/>
            <w:vAlign w:val="center"/>
          </w:tcPr>
          <w:p>
            <w:pPr>
              <w:spacing w:line="360" w:lineRule="auto"/>
              <w:ind w:firstLine="280"/>
              <w:jc w:val="center"/>
              <w:rPr>
                <w:rFonts w:ascii="Times New Roman" w:hAnsi="Times New Roman"/>
                <w:color w:val="auto"/>
                <w:lang w:val="zh-CN"/>
              </w:rPr>
            </w:pPr>
            <w:r>
              <w:rPr>
                <w:rFonts w:ascii="Times New Roman" w:hAnsi="Times New Roman"/>
                <w:color w:val="auto"/>
                <w:lang w:val="zh-CN"/>
              </w:rPr>
              <w:t>签名</w:t>
            </w:r>
          </w:p>
        </w:tc>
        <w:tc>
          <w:tcPr>
            <w:tcW w:w="3041" w:type="dxa"/>
            <w:vAlign w:val="center"/>
          </w:tcPr>
          <w:p>
            <w:pPr>
              <w:spacing w:line="360" w:lineRule="auto"/>
              <w:ind w:firstLine="280"/>
              <w:jc w:val="center"/>
              <w:rPr>
                <w:rFonts w:ascii="Times New Roman" w:hAnsi="Times New Roman"/>
                <w:color w:val="auto"/>
                <w:lang w:val="zh-CN"/>
              </w:rPr>
            </w:pPr>
            <w:r>
              <w:rPr>
                <w:rFonts w:ascii="Times New Roman" w:hAnsi="Times New Roman"/>
                <w:color w:val="auto"/>
                <w:lang w:val="zh-CN"/>
              </w:rPr>
              <w:t>职称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1" w:hRule="atLeast"/>
        </w:trPr>
        <w:tc>
          <w:tcPr>
            <w:tcW w:w="2188" w:type="dxa"/>
            <w:vAlign w:val="center"/>
          </w:tcPr>
          <w:p>
            <w:pPr>
              <w:spacing w:line="360" w:lineRule="auto"/>
              <w:ind w:firstLine="280"/>
              <w:jc w:val="center"/>
              <w:rPr>
                <w:rFonts w:ascii="Times New Roman" w:hAnsi="Times New Roman"/>
                <w:color w:val="auto"/>
                <w:lang w:val="zh-CN"/>
              </w:rPr>
            </w:pPr>
            <w:r>
              <w:rPr>
                <w:rFonts w:ascii="Times New Roman" w:hAnsi="Times New Roman"/>
                <w:color w:val="auto"/>
                <w:lang w:val="zh-CN"/>
              </w:rPr>
              <w:t>项目负责人</w:t>
            </w:r>
          </w:p>
        </w:tc>
        <w:tc>
          <w:tcPr>
            <w:tcW w:w="2188" w:type="dxa"/>
            <w:vAlign w:val="center"/>
          </w:tcPr>
          <w:p>
            <w:pPr>
              <w:spacing w:line="360" w:lineRule="auto"/>
              <w:ind w:firstLine="280"/>
              <w:jc w:val="center"/>
              <w:rPr>
                <w:rFonts w:ascii="Times New Roman" w:hAnsi="Times New Roman"/>
                <w:color w:val="auto"/>
                <w:lang w:val="zh-CN"/>
              </w:rPr>
            </w:pPr>
            <w:r>
              <w:rPr>
                <w:rFonts w:ascii="Times New Roman" w:hAnsi="Times New Roman"/>
                <w:color w:val="auto"/>
                <w:lang w:val="zh-CN"/>
              </w:rPr>
              <w:t>林能佑</w:t>
            </w:r>
          </w:p>
        </w:tc>
        <w:tc>
          <w:tcPr>
            <w:tcW w:w="2267" w:type="dxa"/>
            <w:vAlign w:val="center"/>
          </w:tcPr>
          <w:p>
            <w:pPr>
              <w:spacing w:line="360" w:lineRule="auto"/>
              <w:ind w:firstLine="280"/>
              <w:jc w:val="center"/>
              <w:rPr>
                <w:rFonts w:ascii="Times New Roman" w:hAnsi="Times New Roman"/>
                <w:color w:val="auto"/>
                <w:lang w:val="zh-CN"/>
              </w:rPr>
            </w:pPr>
            <w:r>
              <w:rPr>
                <w:rFonts w:ascii="Times New Roman" w:hAnsi="Times New Roman"/>
                <w:color w:val="auto"/>
              </w:rPr>
              <w:drawing>
                <wp:inline distT="0" distB="0" distL="0" distR="0">
                  <wp:extent cx="862330" cy="359410"/>
                  <wp:effectExtent l="0" t="0" r="0" b="2540"/>
                  <wp:docPr id="82" name="图片 82" descr="E:\标准图集\参照图框及电子签名\林能佑.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E:\标准图集\参照图框及电子签名\林能佑.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862704" cy="360000"/>
                          </a:xfrm>
                          <a:prstGeom prst="rect">
                            <a:avLst/>
                          </a:prstGeom>
                          <a:noFill/>
                          <a:ln>
                            <a:noFill/>
                          </a:ln>
                        </pic:spPr>
                      </pic:pic>
                    </a:graphicData>
                  </a:graphic>
                </wp:inline>
              </w:drawing>
            </w:r>
          </w:p>
        </w:tc>
        <w:tc>
          <w:tcPr>
            <w:tcW w:w="3041" w:type="dxa"/>
            <w:vAlign w:val="center"/>
          </w:tcPr>
          <w:p>
            <w:pPr>
              <w:spacing w:line="360" w:lineRule="auto"/>
              <w:ind w:firstLine="280"/>
              <w:jc w:val="center"/>
              <w:rPr>
                <w:rFonts w:ascii="Times New Roman" w:hAnsi="Times New Roman"/>
                <w:color w:val="auto"/>
                <w:lang w:val="zh-CN"/>
              </w:rPr>
            </w:pPr>
            <w:r>
              <w:rPr>
                <w:rFonts w:ascii="Times New Roman" w:hAnsi="Times New Roman"/>
                <w:color w:val="auto"/>
                <w:lang w:val="zh-CN"/>
              </w:rPr>
              <w:t>高级工程师（教授级）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1" w:hRule="atLeast"/>
        </w:trPr>
        <w:tc>
          <w:tcPr>
            <w:tcW w:w="2188" w:type="dxa"/>
            <w:vAlign w:val="center"/>
          </w:tcPr>
          <w:p>
            <w:pPr>
              <w:spacing w:line="360" w:lineRule="auto"/>
              <w:ind w:firstLine="280"/>
              <w:jc w:val="center"/>
              <w:rPr>
                <w:rFonts w:ascii="Times New Roman" w:hAnsi="Times New Roman"/>
                <w:color w:val="auto"/>
                <w:lang w:val="zh-CN"/>
              </w:rPr>
            </w:pPr>
            <w:r>
              <w:rPr>
                <w:rFonts w:ascii="Times New Roman" w:hAnsi="Times New Roman"/>
                <w:color w:val="auto"/>
                <w:lang w:val="zh-CN"/>
              </w:rPr>
              <w:t>编写人员</w:t>
            </w:r>
          </w:p>
        </w:tc>
        <w:tc>
          <w:tcPr>
            <w:tcW w:w="2188" w:type="dxa"/>
            <w:vAlign w:val="center"/>
          </w:tcPr>
          <w:p>
            <w:pPr>
              <w:spacing w:line="360" w:lineRule="auto"/>
              <w:ind w:firstLine="280"/>
              <w:jc w:val="center"/>
              <w:rPr>
                <w:rFonts w:ascii="Times New Roman" w:hAnsi="Times New Roman"/>
                <w:color w:val="auto"/>
                <w:lang w:val="zh-CN"/>
              </w:rPr>
            </w:pPr>
            <w:r>
              <w:rPr>
                <w:rFonts w:ascii="Times New Roman" w:hAnsi="Times New Roman"/>
                <w:color w:val="auto"/>
                <w:lang w:val="zh-CN"/>
              </w:rPr>
              <w:t>汤彩荣</w:t>
            </w:r>
          </w:p>
        </w:tc>
        <w:tc>
          <w:tcPr>
            <w:tcW w:w="2267" w:type="dxa"/>
            <w:vAlign w:val="center"/>
          </w:tcPr>
          <w:p>
            <w:pPr>
              <w:spacing w:line="360" w:lineRule="auto"/>
              <w:ind w:firstLine="280"/>
              <w:jc w:val="center"/>
              <w:rPr>
                <w:rFonts w:ascii="Times New Roman" w:hAnsi="Times New Roman"/>
                <w:color w:val="auto"/>
                <w:lang w:val="zh-CN"/>
              </w:rPr>
            </w:pPr>
            <w:r>
              <w:rPr>
                <w:rFonts w:ascii="Times New Roman" w:hAnsi="Times New Roman"/>
                <w:color w:val="auto"/>
              </w:rPr>
              <w:drawing>
                <wp:inline distT="0" distB="0" distL="0" distR="0">
                  <wp:extent cx="759460" cy="467995"/>
                  <wp:effectExtent l="0" t="0" r="0" b="0"/>
                  <wp:docPr id="67" name="图片 67" descr="E:\E\规范及各类文件\签名\t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E:\E\规范及各类文件\签名\tcr.jpg"/>
                          <pic:cNvPicPr>
                            <a:picLocks noChangeAspect="1" noChangeArrowheads="1"/>
                          </pic:cNvPicPr>
                        </pic:nvPicPr>
                        <pic:blipFill>
                          <a:blip r:embed="rId19" cstate="email">
                            <a:extLst>
                              <a:ext uri="{28A0092B-C50C-407E-A947-70E740481C1C}">
                                <a14:useLocalDpi xmlns:a14="http://schemas.microsoft.com/office/drawing/2010/main" val="0"/>
                              </a:ext>
                            </a:extLst>
                          </a:blip>
                          <a:srcRect/>
                          <a:stretch>
                            <a:fillRect/>
                          </a:stretch>
                        </pic:blipFill>
                        <pic:spPr>
                          <a:xfrm>
                            <a:off x="0" y="0"/>
                            <a:ext cx="759744" cy="468000"/>
                          </a:xfrm>
                          <a:prstGeom prst="rect">
                            <a:avLst/>
                          </a:prstGeom>
                          <a:noFill/>
                          <a:ln>
                            <a:noFill/>
                          </a:ln>
                        </pic:spPr>
                      </pic:pic>
                    </a:graphicData>
                  </a:graphic>
                </wp:inline>
              </w:drawing>
            </w:r>
          </w:p>
        </w:tc>
        <w:tc>
          <w:tcPr>
            <w:tcW w:w="3041" w:type="dxa"/>
            <w:vAlign w:val="center"/>
          </w:tcPr>
          <w:p>
            <w:pPr>
              <w:spacing w:line="288" w:lineRule="auto"/>
              <w:ind w:firstLine="562" w:firstLineChars="200"/>
              <w:jc w:val="center"/>
              <w:rPr>
                <w:rFonts w:ascii="Times New Roman" w:hAnsi="Times New Roman"/>
                <w:color w:val="auto"/>
                <w:lang w:val="zh-CN"/>
              </w:rPr>
            </w:pPr>
            <w:r>
              <w:rPr>
                <w:rFonts w:ascii="Times New Roman" w:hAnsi="Times New Roman"/>
                <w:color w:val="auto"/>
                <w:lang w:val="zh-CN"/>
              </w:rPr>
              <w:t>高级工程师（教授级）</w:t>
            </w:r>
          </w:p>
          <w:p>
            <w:pPr>
              <w:spacing w:line="288" w:lineRule="auto"/>
              <w:ind w:firstLine="562" w:firstLineChars="200"/>
              <w:jc w:val="center"/>
              <w:rPr>
                <w:rFonts w:ascii="Times New Roman" w:hAnsi="Times New Roman"/>
                <w:color w:val="auto"/>
                <w:lang w:val="zh-CN"/>
              </w:rPr>
            </w:pPr>
            <w:r>
              <w:rPr>
                <w:rFonts w:ascii="Times New Roman" w:hAnsi="Times New Roman"/>
                <w:color w:val="auto"/>
                <w:lang w:val="zh-CN"/>
              </w:rPr>
              <w:t>咨询工程师</w:t>
            </w:r>
          </w:p>
          <w:p>
            <w:pPr>
              <w:spacing w:line="288" w:lineRule="auto"/>
              <w:ind w:firstLine="562" w:firstLineChars="200"/>
              <w:jc w:val="center"/>
              <w:rPr>
                <w:rFonts w:ascii="Times New Roman" w:hAnsi="Times New Roman"/>
                <w:color w:val="auto"/>
                <w:lang w:val="zh-CN"/>
              </w:rPr>
            </w:pPr>
            <w:r>
              <w:rPr>
                <w:rFonts w:ascii="Times New Roman" w:hAnsi="Times New Roman"/>
                <w:color w:val="auto"/>
                <w:lang w:val="zh-CN"/>
              </w:rPr>
              <w:t>（工程技术经济）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1" w:hRule="atLeast"/>
        </w:trPr>
        <w:tc>
          <w:tcPr>
            <w:tcW w:w="2188" w:type="dxa"/>
            <w:vAlign w:val="center"/>
          </w:tcPr>
          <w:p>
            <w:pPr>
              <w:spacing w:line="360" w:lineRule="auto"/>
              <w:ind w:firstLine="280"/>
              <w:jc w:val="center"/>
              <w:rPr>
                <w:rFonts w:ascii="Times New Roman" w:hAnsi="Times New Roman"/>
                <w:color w:val="auto"/>
                <w:lang w:val="zh-CN"/>
              </w:rPr>
            </w:pPr>
          </w:p>
        </w:tc>
        <w:tc>
          <w:tcPr>
            <w:tcW w:w="2188" w:type="dxa"/>
            <w:vAlign w:val="center"/>
          </w:tcPr>
          <w:p>
            <w:pPr>
              <w:spacing w:line="360" w:lineRule="auto"/>
              <w:ind w:firstLine="280"/>
              <w:jc w:val="center"/>
              <w:rPr>
                <w:rFonts w:ascii="Times New Roman" w:hAnsi="Times New Roman"/>
                <w:color w:val="auto"/>
                <w:lang w:val="zh-CN"/>
              </w:rPr>
            </w:pPr>
            <w:r>
              <w:rPr>
                <w:rFonts w:ascii="Times New Roman" w:hAnsi="Times New Roman"/>
                <w:color w:val="auto"/>
                <w:lang w:val="zh-CN"/>
              </w:rPr>
              <w:t>邹江海</w:t>
            </w:r>
          </w:p>
        </w:tc>
        <w:tc>
          <w:tcPr>
            <w:tcW w:w="2267" w:type="dxa"/>
            <w:vAlign w:val="center"/>
          </w:tcPr>
          <w:p>
            <w:pPr>
              <w:spacing w:line="360" w:lineRule="auto"/>
              <w:ind w:firstLine="280"/>
              <w:jc w:val="center"/>
              <w:rPr>
                <w:rFonts w:ascii="Times New Roman" w:hAnsi="Times New Roman"/>
                <w:color w:val="auto"/>
                <w:lang w:val="zh-CN"/>
              </w:rPr>
            </w:pPr>
            <w:r>
              <w:rPr>
                <w:rFonts w:ascii="Times New Roman" w:hAnsi="Times New Roman"/>
                <w:color w:val="auto"/>
              </w:rPr>
              <w:drawing>
                <wp:inline distT="0" distB="0" distL="0" distR="0">
                  <wp:extent cx="561975" cy="431800"/>
                  <wp:effectExtent l="0" t="0" r="9525" b="6350"/>
                  <wp:docPr id="83" name="图片 83" descr="E:\标准图集\参照图框及电子签名\邹江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E:\标准图集\参照图框及电子签名\邹江海.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62598" cy="432000"/>
                          </a:xfrm>
                          <a:prstGeom prst="rect">
                            <a:avLst/>
                          </a:prstGeom>
                          <a:noFill/>
                          <a:ln>
                            <a:noFill/>
                          </a:ln>
                        </pic:spPr>
                      </pic:pic>
                    </a:graphicData>
                  </a:graphic>
                </wp:inline>
              </w:drawing>
            </w:r>
          </w:p>
        </w:tc>
        <w:tc>
          <w:tcPr>
            <w:tcW w:w="3041" w:type="dxa"/>
            <w:vAlign w:val="center"/>
          </w:tcPr>
          <w:p>
            <w:pPr>
              <w:spacing w:line="360" w:lineRule="auto"/>
              <w:ind w:firstLine="280"/>
              <w:jc w:val="center"/>
              <w:rPr>
                <w:rFonts w:ascii="Times New Roman" w:hAnsi="Times New Roman"/>
                <w:color w:val="auto"/>
                <w:lang w:val="zh-CN"/>
              </w:rPr>
            </w:pPr>
            <w:r>
              <w:rPr>
                <w:rFonts w:ascii="Times New Roman" w:hAnsi="Times New Roman"/>
                <w:color w:val="auto"/>
                <w:lang w:val="zh-CN"/>
              </w:rPr>
              <w:t>工程师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2188" w:type="dxa"/>
            <w:vAlign w:val="center"/>
          </w:tcPr>
          <w:p>
            <w:pPr>
              <w:snapToGrid w:val="0"/>
              <w:ind w:firstLine="278"/>
              <w:jc w:val="center"/>
              <w:rPr>
                <w:rFonts w:ascii="Times New Roman" w:hAnsi="Times New Roman"/>
                <w:color w:val="auto"/>
                <w:lang w:val="zh-CN"/>
              </w:rPr>
            </w:pPr>
          </w:p>
        </w:tc>
        <w:tc>
          <w:tcPr>
            <w:tcW w:w="2188" w:type="dxa"/>
            <w:vAlign w:val="center"/>
          </w:tcPr>
          <w:p>
            <w:pPr>
              <w:snapToGrid w:val="0"/>
              <w:ind w:firstLine="278"/>
              <w:jc w:val="center"/>
              <w:rPr>
                <w:rFonts w:ascii="Times New Roman" w:hAnsi="Times New Roman"/>
                <w:color w:val="auto"/>
                <w:lang w:val="zh-CN"/>
              </w:rPr>
            </w:pPr>
            <w:r>
              <w:rPr>
                <w:rFonts w:ascii="Times New Roman" w:hAnsi="Times New Roman"/>
                <w:color w:val="auto"/>
                <w:lang w:val="zh-CN"/>
              </w:rPr>
              <w:t>陈程</w:t>
            </w:r>
          </w:p>
        </w:tc>
        <w:tc>
          <w:tcPr>
            <w:tcW w:w="2267" w:type="dxa"/>
            <w:vAlign w:val="center"/>
          </w:tcPr>
          <w:p>
            <w:pPr>
              <w:snapToGrid w:val="0"/>
              <w:ind w:firstLine="278"/>
              <w:jc w:val="center"/>
              <w:rPr>
                <w:rFonts w:ascii="Times New Roman" w:hAnsi="Times New Roman"/>
                <w:color w:val="auto"/>
                <w:lang w:val="zh-CN"/>
              </w:rPr>
            </w:pPr>
            <w:r>
              <w:rPr>
                <w:rFonts w:ascii="Times New Roman" w:hAnsi="Times New Roman"/>
                <w:color w:val="auto"/>
              </w:rPr>
              <w:drawing>
                <wp:inline distT="0" distB="0" distL="0" distR="0">
                  <wp:extent cx="819150" cy="431800"/>
                  <wp:effectExtent l="0" t="0" r="0" b="6350"/>
                  <wp:docPr id="90" name="图片 90" descr="E:\标准图集\参照图框及电子签名\陈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E:\标准图集\参照图框及电子签名\陈程.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386" cy="432000"/>
                          </a:xfrm>
                          <a:prstGeom prst="rect">
                            <a:avLst/>
                          </a:prstGeom>
                          <a:noFill/>
                          <a:ln>
                            <a:noFill/>
                          </a:ln>
                        </pic:spPr>
                      </pic:pic>
                    </a:graphicData>
                  </a:graphic>
                </wp:inline>
              </w:drawing>
            </w:r>
          </w:p>
        </w:tc>
        <w:tc>
          <w:tcPr>
            <w:tcW w:w="3041" w:type="dxa"/>
            <w:vAlign w:val="center"/>
          </w:tcPr>
          <w:p>
            <w:pPr>
              <w:snapToGrid w:val="0"/>
              <w:ind w:firstLine="278"/>
              <w:jc w:val="center"/>
              <w:rPr>
                <w:rFonts w:ascii="Times New Roman" w:hAnsi="Times New Roman"/>
                <w:color w:val="auto"/>
                <w:lang w:val="zh-CN"/>
              </w:rPr>
            </w:pPr>
            <w:r>
              <w:rPr>
                <w:rFonts w:ascii="Times New Roman" w:hAnsi="Times New Roman"/>
                <w:color w:val="auto"/>
                <w:lang w:val="zh-CN"/>
              </w:rPr>
              <w:t>工程师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1" w:hRule="atLeast"/>
        </w:trPr>
        <w:tc>
          <w:tcPr>
            <w:tcW w:w="2188" w:type="dxa"/>
            <w:vAlign w:val="center"/>
          </w:tcPr>
          <w:p>
            <w:pPr>
              <w:spacing w:line="360" w:lineRule="auto"/>
              <w:ind w:firstLine="280"/>
              <w:jc w:val="center"/>
              <w:rPr>
                <w:rFonts w:ascii="Times New Roman" w:hAnsi="Times New Roman"/>
                <w:color w:val="auto"/>
                <w:lang w:val="zh-CN"/>
              </w:rPr>
            </w:pPr>
          </w:p>
        </w:tc>
        <w:tc>
          <w:tcPr>
            <w:tcW w:w="2188" w:type="dxa"/>
            <w:vAlign w:val="center"/>
          </w:tcPr>
          <w:p>
            <w:pPr>
              <w:spacing w:line="360" w:lineRule="auto"/>
              <w:ind w:firstLine="280"/>
              <w:jc w:val="center"/>
              <w:rPr>
                <w:rFonts w:ascii="Times New Roman" w:hAnsi="Times New Roman"/>
                <w:color w:val="auto"/>
                <w:lang w:val="zh-CN"/>
              </w:rPr>
            </w:pPr>
            <w:r>
              <w:rPr>
                <w:rFonts w:ascii="Times New Roman" w:hAnsi="Times New Roman"/>
                <w:color w:val="auto"/>
                <w:lang w:val="zh-CN"/>
              </w:rPr>
              <w:t>丁伟亮</w:t>
            </w:r>
          </w:p>
        </w:tc>
        <w:tc>
          <w:tcPr>
            <w:tcW w:w="2267" w:type="dxa"/>
            <w:vAlign w:val="center"/>
          </w:tcPr>
          <w:p>
            <w:pPr>
              <w:spacing w:line="360" w:lineRule="auto"/>
              <w:ind w:firstLine="280"/>
              <w:jc w:val="center"/>
              <w:rPr>
                <w:rFonts w:ascii="Times New Roman" w:hAnsi="Times New Roman"/>
                <w:color w:val="auto"/>
                <w:lang w:val="zh-CN"/>
              </w:rPr>
            </w:pPr>
            <w:r>
              <w:rPr>
                <w:rFonts w:ascii="Times New Roman" w:hAnsi="Times New Roman"/>
                <w:color w:val="auto"/>
              </w:rPr>
              <w:drawing>
                <wp:inline distT="0" distB="0" distL="0" distR="0">
                  <wp:extent cx="822325" cy="431800"/>
                  <wp:effectExtent l="0" t="0" r="0" b="6350"/>
                  <wp:docPr id="85" name="图片 85" descr="E:\标准图集\参照图框及电子签名\丁伟亮.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E:\标准图集\参照图框及电子签名\丁伟亮.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822890" cy="432000"/>
                          </a:xfrm>
                          <a:prstGeom prst="rect">
                            <a:avLst/>
                          </a:prstGeom>
                          <a:noFill/>
                          <a:ln>
                            <a:noFill/>
                          </a:ln>
                        </pic:spPr>
                      </pic:pic>
                    </a:graphicData>
                  </a:graphic>
                </wp:inline>
              </w:drawing>
            </w:r>
          </w:p>
        </w:tc>
        <w:tc>
          <w:tcPr>
            <w:tcW w:w="3041" w:type="dxa"/>
            <w:vAlign w:val="center"/>
          </w:tcPr>
          <w:p>
            <w:pPr>
              <w:spacing w:line="360" w:lineRule="auto"/>
              <w:ind w:firstLine="280"/>
              <w:jc w:val="center"/>
              <w:rPr>
                <w:rFonts w:ascii="Times New Roman" w:hAnsi="Times New Roman"/>
                <w:color w:val="auto"/>
                <w:lang w:val="zh-CN"/>
              </w:rPr>
            </w:pPr>
            <w:r>
              <w:rPr>
                <w:rFonts w:ascii="Times New Roman" w:hAnsi="Times New Roman"/>
                <w:color w:val="auto"/>
                <w:lang w:val="zh-CN"/>
              </w:rPr>
              <w:t>高级工程师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2188" w:type="dxa"/>
            <w:vAlign w:val="center"/>
          </w:tcPr>
          <w:p>
            <w:pPr>
              <w:spacing w:line="360" w:lineRule="auto"/>
              <w:ind w:firstLine="280"/>
              <w:jc w:val="center"/>
              <w:rPr>
                <w:rFonts w:ascii="Times New Roman" w:hAnsi="Times New Roman"/>
                <w:color w:val="auto"/>
                <w:lang w:val="zh-CN"/>
              </w:rPr>
            </w:pPr>
          </w:p>
        </w:tc>
        <w:tc>
          <w:tcPr>
            <w:tcW w:w="2188" w:type="dxa"/>
            <w:vAlign w:val="center"/>
          </w:tcPr>
          <w:p>
            <w:pPr>
              <w:spacing w:line="360" w:lineRule="auto"/>
              <w:ind w:firstLine="280"/>
              <w:jc w:val="center"/>
              <w:rPr>
                <w:rFonts w:ascii="Times New Roman" w:hAnsi="Times New Roman"/>
                <w:color w:val="auto"/>
                <w:lang w:val="zh-CN"/>
              </w:rPr>
            </w:pPr>
            <w:r>
              <w:rPr>
                <w:rFonts w:ascii="Times New Roman" w:hAnsi="Times New Roman"/>
                <w:color w:val="auto"/>
                <w:lang w:val="zh-CN"/>
              </w:rPr>
              <w:t>毛青洋</w:t>
            </w:r>
          </w:p>
        </w:tc>
        <w:tc>
          <w:tcPr>
            <w:tcW w:w="2267" w:type="dxa"/>
            <w:vAlign w:val="center"/>
          </w:tcPr>
          <w:p>
            <w:pPr>
              <w:spacing w:line="360" w:lineRule="auto"/>
              <w:ind w:firstLine="280"/>
              <w:jc w:val="center"/>
              <w:rPr>
                <w:rFonts w:ascii="Times New Roman" w:hAnsi="Times New Roman"/>
                <w:color w:val="auto"/>
                <w:lang w:val="zh-CN"/>
              </w:rPr>
            </w:pPr>
            <w:r>
              <w:rPr>
                <w:rFonts w:ascii="Times New Roman" w:hAnsi="Times New Roman"/>
                <w:color w:val="auto"/>
              </w:rPr>
              <w:drawing>
                <wp:inline distT="0" distB="0" distL="0" distR="0">
                  <wp:extent cx="665480" cy="431800"/>
                  <wp:effectExtent l="0" t="0" r="1270" b="6350"/>
                  <wp:docPr id="84" name="图片 84" descr="E:\标准图集\参照图框及电子签名\毛青洋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E:\标准图集\参照图框及电子签名\毛青洋2.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665729" cy="432000"/>
                          </a:xfrm>
                          <a:prstGeom prst="rect">
                            <a:avLst/>
                          </a:prstGeom>
                          <a:noFill/>
                          <a:ln>
                            <a:noFill/>
                          </a:ln>
                        </pic:spPr>
                      </pic:pic>
                    </a:graphicData>
                  </a:graphic>
                </wp:inline>
              </w:drawing>
            </w:r>
          </w:p>
        </w:tc>
        <w:tc>
          <w:tcPr>
            <w:tcW w:w="3041" w:type="dxa"/>
            <w:vAlign w:val="center"/>
          </w:tcPr>
          <w:p>
            <w:pPr>
              <w:spacing w:line="360" w:lineRule="auto"/>
              <w:ind w:firstLine="280"/>
              <w:jc w:val="center"/>
              <w:rPr>
                <w:rFonts w:ascii="Times New Roman" w:hAnsi="Times New Roman"/>
                <w:color w:val="auto"/>
                <w:lang w:val="zh-CN"/>
              </w:rPr>
            </w:pPr>
            <w:r>
              <w:rPr>
                <w:rFonts w:ascii="Times New Roman" w:hAnsi="Times New Roman"/>
                <w:color w:val="auto"/>
                <w:lang w:val="zh-CN"/>
              </w:rPr>
              <w:t>工程师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2188" w:type="dxa"/>
            <w:vAlign w:val="center"/>
          </w:tcPr>
          <w:p>
            <w:pPr>
              <w:spacing w:line="360" w:lineRule="auto"/>
              <w:ind w:firstLine="280"/>
              <w:jc w:val="center"/>
              <w:rPr>
                <w:rFonts w:ascii="Times New Roman" w:hAnsi="Times New Roman"/>
                <w:color w:val="auto"/>
                <w:lang w:val="zh-CN"/>
              </w:rPr>
            </w:pPr>
          </w:p>
        </w:tc>
        <w:tc>
          <w:tcPr>
            <w:tcW w:w="2188" w:type="dxa"/>
            <w:vAlign w:val="center"/>
          </w:tcPr>
          <w:p>
            <w:pPr>
              <w:spacing w:line="360" w:lineRule="auto"/>
              <w:ind w:firstLine="280"/>
              <w:jc w:val="center"/>
              <w:rPr>
                <w:rFonts w:ascii="Times New Roman" w:hAnsi="Times New Roman"/>
                <w:color w:val="auto"/>
                <w:lang w:val="zh-CN"/>
              </w:rPr>
            </w:pPr>
            <w:r>
              <w:rPr>
                <w:rFonts w:ascii="Times New Roman" w:hAnsi="Times New Roman"/>
                <w:color w:val="auto"/>
                <w:lang w:val="zh-CN"/>
              </w:rPr>
              <w:t>黄思进</w:t>
            </w:r>
          </w:p>
        </w:tc>
        <w:tc>
          <w:tcPr>
            <w:tcW w:w="2267" w:type="dxa"/>
            <w:vAlign w:val="center"/>
          </w:tcPr>
          <w:p>
            <w:pPr>
              <w:spacing w:line="360" w:lineRule="auto"/>
              <w:ind w:firstLine="280"/>
              <w:jc w:val="center"/>
              <w:rPr>
                <w:rFonts w:ascii="Times New Roman" w:hAnsi="Times New Roman"/>
                <w:color w:val="auto"/>
              </w:rPr>
            </w:pPr>
            <w:r>
              <w:rPr>
                <w:rFonts w:ascii="Times New Roman" w:hAnsi="Times New Roman"/>
                <w:color w:val="auto"/>
              </w:rPr>
              <w:drawing>
                <wp:inline distT="0" distB="0" distL="0" distR="0">
                  <wp:extent cx="1016635" cy="45720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noChangeArrowheads="1"/>
                          </pic:cNvPicPr>
                        </pic:nvPicPr>
                        <pic:blipFill>
                          <a:blip r:embed="rId24" cstate="print">
                            <a:extLst>
                              <a:ext uri="{28A0092B-C50C-407E-A947-70E740481C1C}">
                                <a14:useLocalDpi xmlns:a14="http://schemas.microsoft.com/office/drawing/2010/main" val="0"/>
                              </a:ext>
                            </a:extLst>
                          </a:blip>
                          <a:srcRect t="16256" b="20141"/>
                          <a:stretch>
                            <a:fillRect/>
                          </a:stretch>
                        </pic:blipFill>
                        <pic:spPr>
                          <a:xfrm>
                            <a:off x="0" y="0"/>
                            <a:ext cx="1018470" cy="457939"/>
                          </a:xfrm>
                          <a:prstGeom prst="rect">
                            <a:avLst/>
                          </a:prstGeom>
                          <a:noFill/>
                          <a:ln>
                            <a:noFill/>
                          </a:ln>
                        </pic:spPr>
                      </pic:pic>
                    </a:graphicData>
                  </a:graphic>
                </wp:inline>
              </w:drawing>
            </w:r>
          </w:p>
        </w:tc>
        <w:tc>
          <w:tcPr>
            <w:tcW w:w="3041" w:type="dxa"/>
            <w:vAlign w:val="center"/>
          </w:tcPr>
          <w:p>
            <w:pPr>
              <w:spacing w:line="360" w:lineRule="auto"/>
              <w:ind w:firstLine="280"/>
              <w:jc w:val="center"/>
              <w:rPr>
                <w:rFonts w:ascii="Times New Roman" w:hAnsi="Times New Roman"/>
                <w:color w:val="auto"/>
                <w:lang w:val="zh-CN"/>
              </w:rPr>
            </w:pPr>
            <w:r>
              <w:rPr>
                <w:rFonts w:ascii="Times New Roman" w:hAnsi="Times New Roman"/>
                <w:color w:val="auto"/>
                <w:lang w:val="zh-CN"/>
              </w:rPr>
              <w:t>高级工程师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2188" w:type="dxa"/>
            <w:vAlign w:val="center"/>
          </w:tcPr>
          <w:p>
            <w:pPr>
              <w:spacing w:line="360" w:lineRule="auto"/>
              <w:ind w:firstLine="280"/>
              <w:jc w:val="center"/>
              <w:rPr>
                <w:rFonts w:ascii="Times New Roman" w:hAnsi="Times New Roman"/>
                <w:color w:val="auto"/>
                <w:lang w:val="zh-CN"/>
              </w:rPr>
            </w:pPr>
          </w:p>
        </w:tc>
        <w:tc>
          <w:tcPr>
            <w:tcW w:w="2188" w:type="dxa"/>
            <w:vAlign w:val="center"/>
          </w:tcPr>
          <w:p>
            <w:pPr>
              <w:spacing w:line="360" w:lineRule="auto"/>
              <w:ind w:firstLine="280"/>
              <w:jc w:val="center"/>
              <w:rPr>
                <w:rFonts w:ascii="Times New Roman" w:hAnsi="Times New Roman"/>
                <w:color w:val="auto"/>
                <w:lang w:val="zh-CN"/>
              </w:rPr>
            </w:pPr>
            <w:r>
              <w:rPr>
                <w:rFonts w:ascii="Times New Roman" w:hAnsi="Times New Roman"/>
                <w:color w:val="auto"/>
                <w:lang w:val="zh-CN"/>
              </w:rPr>
              <w:t>杜萍萍</w:t>
            </w:r>
          </w:p>
        </w:tc>
        <w:tc>
          <w:tcPr>
            <w:tcW w:w="2267" w:type="dxa"/>
            <w:vAlign w:val="center"/>
          </w:tcPr>
          <w:p>
            <w:pPr>
              <w:ind w:firstLine="26"/>
              <w:jc w:val="center"/>
              <w:rPr>
                <w:rFonts w:ascii="Times New Roman" w:hAnsi="Times New Roman"/>
                <w:color w:val="auto"/>
                <w:lang w:val="zh-CN"/>
              </w:rPr>
            </w:pPr>
            <w:r>
              <w:rPr>
                <w:rFonts w:ascii="Times New Roman" w:hAnsi="Times New Roman"/>
                <w:color w:val="auto"/>
              </w:rPr>
              <w:drawing>
                <wp:inline distT="0" distB="0" distL="0" distR="0">
                  <wp:extent cx="663575" cy="431800"/>
                  <wp:effectExtent l="0" t="0" r="3175" b="6350"/>
                  <wp:docPr id="89" name="图片 89" descr="C:\Users\ADMINI~1\AppData\Local\Temp\WeChat Files\47d676ad0ff32ea2373ac3b82969ed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C:\Users\ADMINI~1\AppData\Local\Temp\WeChat Files\47d676ad0ff32ea2373ac3b82969ed3.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663740" cy="432000"/>
                          </a:xfrm>
                          <a:prstGeom prst="rect">
                            <a:avLst/>
                          </a:prstGeom>
                          <a:noFill/>
                          <a:ln>
                            <a:noFill/>
                          </a:ln>
                        </pic:spPr>
                      </pic:pic>
                    </a:graphicData>
                  </a:graphic>
                </wp:inline>
              </w:drawing>
            </w:r>
          </w:p>
        </w:tc>
        <w:tc>
          <w:tcPr>
            <w:tcW w:w="3041" w:type="dxa"/>
            <w:vAlign w:val="center"/>
          </w:tcPr>
          <w:p>
            <w:pPr>
              <w:spacing w:line="360" w:lineRule="auto"/>
              <w:ind w:firstLine="280"/>
              <w:jc w:val="center"/>
              <w:rPr>
                <w:rFonts w:ascii="Times New Roman" w:hAnsi="Times New Roman"/>
                <w:color w:val="auto"/>
                <w:lang w:val="zh-CN"/>
              </w:rPr>
            </w:pPr>
            <w:r>
              <w:rPr>
                <w:rFonts w:ascii="Times New Roman" w:hAnsi="Times New Roman"/>
                <w:color w:val="auto"/>
                <w:lang w:val="zh-CN"/>
              </w:rPr>
              <w:t>助理工程师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2188" w:type="dxa"/>
            <w:vAlign w:val="center"/>
          </w:tcPr>
          <w:p>
            <w:pPr>
              <w:spacing w:line="360" w:lineRule="auto"/>
              <w:ind w:firstLine="280"/>
              <w:jc w:val="center"/>
              <w:rPr>
                <w:rFonts w:ascii="Times New Roman" w:hAnsi="Times New Roman"/>
                <w:color w:val="auto"/>
                <w:lang w:val="zh-CN"/>
              </w:rPr>
            </w:pPr>
          </w:p>
        </w:tc>
        <w:tc>
          <w:tcPr>
            <w:tcW w:w="2188" w:type="dxa"/>
            <w:vAlign w:val="center"/>
          </w:tcPr>
          <w:p>
            <w:pPr>
              <w:spacing w:line="360" w:lineRule="auto"/>
              <w:ind w:firstLine="280"/>
              <w:jc w:val="center"/>
              <w:rPr>
                <w:rFonts w:ascii="Times New Roman" w:hAnsi="Times New Roman"/>
                <w:color w:val="auto"/>
                <w:lang w:val="zh-CN"/>
              </w:rPr>
            </w:pPr>
          </w:p>
        </w:tc>
        <w:tc>
          <w:tcPr>
            <w:tcW w:w="2267" w:type="dxa"/>
            <w:vAlign w:val="center"/>
          </w:tcPr>
          <w:p>
            <w:pPr>
              <w:ind w:firstLine="26"/>
              <w:jc w:val="center"/>
              <w:rPr>
                <w:rFonts w:ascii="Times New Roman" w:hAnsi="Times New Roman"/>
                <w:color w:val="auto"/>
                <w:lang w:val="zh-CN"/>
              </w:rPr>
            </w:pPr>
          </w:p>
        </w:tc>
        <w:tc>
          <w:tcPr>
            <w:tcW w:w="3041" w:type="dxa"/>
            <w:vAlign w:val="center"/>
          </w:tcPr>
          <w:p>
            <w:pPr>
              <w:spacing w:line="360" w:lineRule="auto"/>
              <w:ind w:firstLine="280"/>
              <w:jc w:val="center"/>
              <w:rPr>
                <w:rFonts w:ascii="Times New Roman" w:hAnsi="Times New Roman"/>
                <w:color w:val="auto"/>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2188" w:type="dxa"/>
            <w:vAlign w:val="center"/>
          </w:tcPr>
          <w:p>
            <w:pPr>
              <w:snapToGrid w:val="0"/>
              <w:ind w:firstLine="280"/>
              <w:jc w:val="center"/>
              <w:rPr>
                <w:rFonts w:ascii="Times New Roman" w:hAnsi="Times New Roman"/>
                <w:color w:val="auto"/>
                <w:lang w:val="zh-CN"/>
              </w:rPr>
            </w:pPr>
            <w:r>
              <w:rPr>
                <w:rFonts w:ascii="Times New Roman" w:hAnsi="Times New Roman"/>
                <w:color w:val="auto"/>
                <w:lang w:val="zh-CN"/>
              </w:rPr>
              <w:t>审核</w:t>
            </w:r>
          </w:p>
        </w:tc>
        <w:tc>
          <w:tcPr>
            <w:tcW w:w="2188" w:type="dxa"/>
            <w:vAlign w:val="center"/>
          </w:tcPr>
          <w:p>
            <w:pPr>
              <w:snapToGrid w:val="0"/>
              <w:ind w:firstLine="280"/>
              <w:jc w:val="center"/>
              <w:rPr>
                <w:rFonts w:ascii="Times New Roman" w:hAnsi="Times New Roman"/>
                <w:color w:val="auto"/>
                <w:lang w:val="zh-CN"/>
              </w:rPr>
            </w:pPr>
            <w:r>
              <w:rPr>
                <w:rFonts w:ascii="Times New Roman" w:hAnsi="Times New Roman"/>
                <w:color w:val="auto"/>
                <w:lang w:val="zh-CN"/>
              </w:rPr>
              <w:t>王健</w:t>
            </w:r>
          </w:p>
        </w:tc>
        <w:tc>
          <w:tcPr>
            <w:tcW w:w="2267" w:type="dxa"/>
            <w:vAlign w:val="center"/>
          </w:tcPr>
          <w:p>
            <w:pPr>
              <w:snapToGrid w:val="0"/>
              <w:ind w:firstLine="281"/>
              <w:jc w:val="center"/>
              <w:rPr>
                <w:rFonts w:ascii="Times New Roman" w:hAnsi="Times New Roman"/>
                <w:color w:val="auto"/>
                <w:lang w:val="zh-CN"/>
              </w:rPr>
            </w:pPr>
            <w:r>
              <w:rPr>
                <w:rFonts w:ascii="Times New Roman" w:hAnsi="Times New Roman"/>
                <w:color w:val="auto"/>
              </w:rPr>
              <w:drawing>
                <wp:inline distT="0" distB="0" distL="0" distR="0">
                  <wp:extent cx="1114425" cy="492125"/>
                  <wp:effectExtent l="0" t="0" r="9525" b="317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26" cstate="print">
                            <a:extLst>
                              <a:ext uri="{28A0092B-C50C-407E-A947-70E740481C1C}">
                                <a14:useLocalDpi xmlns:a14="http://schemas.microsoft.com/office/drawing/2010/main" val="0"/>
                              </a:ext>
                            </a:extLst>
                          </a:blip>
                          <a:srcRect l="10081" t="28447" r="13286" b="23786"/>
                          <a:stretch>
                            <a:fillRect/>
                          </a:stretch>
                        </pic:blipFill>
                        <pic:spPr>
                          <a:xfrm>
                            <a:off x="0" y="0"/>
                            <a:ext cx="1136737" cy="501922"/>
                          </a:xfrm>
                          <a:prstGeom prst="rect">
                            <a:avLst/>
                          </a:prstGeom>
                          <a:noFill/>
                          <a:ln>
                            <a:noFill/>
                          </a:ln>
                        </pic:spPr>
                      </pic:pic>
                    </a:graphicData>
                  </a:graphic>
                </wp:inline>
              </w:drawing>
            </w:r>
          </w:p>
        </w:tc>
        <w:tc>
          <w:tcPr>
            <w:tcW w:w="3041" w:type="dxa"/>
            <w:vAlign w:val="center"/>
          </w:tcPr>
          <w:p>
            <w:pPr>
              <w:snapToGrid w:val="0"/>
              <w:ind w:firstLine="280"/>
              <w:jc w:val="center"/>
              <w:rPr>
                <w:rFonts w:ascii="Times New Roman" w:hAnsi="Times New Roman"/>
                <w:color w:val="auto"/>
                <w:lang w:val="zh-CN"/>
              </w:rPr>
            </w:pPr>
            <w:r>
              <w:rPr>
                <w:rFonts w:ascii="Times New Roman" w:hAnsi="Times New Roman"/>
                <w:color w:val="auto"/>
                <w:lang w:val="zh-CN"/>
              </w:rPr>
              <w:t>高级工程师</w:t>
            </w:r>
          </w:p>
        </w:tc>
      </w:tr>
    </w:tbl>
    <w:p>
      <w:pPr>
        <w:widowControl/>
        <w:ind w:firstLine="720" w:firstLineChars="200"/>
        <w:jc w:val="left"/>
        <w:rPr>
          <w:rFonts w:ascii="Times New Roman" w:hAnsi="Times New Roman"/>
          <w:color w:val="auto"/>
          <w:sz w:val="36"/>
          <w:szCs w:val="36"/>
          <w:lang w:val="zh-CN"/>
        </w:rPr>
      </w:pPr>
      <w:r>
        <w:rPr>
          <w:rFonts w:ascii="Times New Roman" w:hAnsi="Times New Roman" w:eastAsia="黑体"/>
          <w:b w:val="0"/>
          <w:bCs/>
          <w:sz w:val="36"/>
        </w:rPr>
        <w:drawing>
          <wp:inline distT="0" distB="0" distL="0" distR="0">
            <wp:extent cx="5690870" cy="8077200"/>
            <wp:effectExtent l="0" t="0" r="0" b="0"/>
            <wp:docPr id="81" name="图片 81" descr="最新咨询资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最新咨询资质"/>
                    <pic:cNvPicPr>
                      <a:picLocks noChangeAspect="1" noChangeArrowheads="1"/>
                    </pic:cNvPicPr>
                  </pic:nvPicPr>
                  <pic:blipFill>
                    <a:blip r:embed="rId27" cstate="email">
                      <a:extLst>
                        <a:ext uri="{28A0092B-C50C-407E-A947-70E740481C1C}">
                          <a14:useLocalDpi xmlns:a14="http://schemas.microsoft.com/office/drawing/2010/main" val="0"/>
                        </a:ext>
                      </a:extLst>
                    </a:blip>
                    <a:srcRect/>
                    <a:stretch>
                      <a:fillRect/>
                    </a:stretch>
                  </pic:blipFill>
                  <pic:spPr>
                    <a:xfrm>
                      <a:off x="0" y="0"/>
                      <a:ext cx="5762376" cy="8178644"/>
                    </a:xfrm>
                    <a:prstGeom prst="rect">
                      <a:avLst/>
                    </a:prstGeom>
                    <a:noFill/>
                    <a:ln>
                      <a:noFill/>
                    </a:ln>
                  </pic:spPr>
                </pic:pic>
              </a:graphicData>
            </a:graphic>
          </wp:inline>
        </w:drawing>
      </w:r>
    </w:p>
    <w:p>
      <w:pPr>
        <w:widowControl/>
        <w:ind w:firstLine="723" w:firstLineChars="200"/>
        <w:jc w:val="left"/>
        <w:rPr>
          <w:rFonts w:ascii="Times New Roman" w:hAnsi="Times New Roman"/>
          <w:bCs/>
          <w:color w:val="auto"/>
          <w:kern w:val="0"/>
          <w:sz w:val="36"/>
          <w:szCs w:val="36"/>
          <w:lang w:val="zh-CN"/>
        </w:rPr>
      </w:pPr>
      <w:r>
        <w:rPr>
          <w:rFonts w:ascii="Times New Roman" w:hAnsi="Times New Roman"/>
          <w:color w:val="auto"/>
          <w:sz w:val="36"/>
          <w:szCs w:val="36"/>
          <w:lang w:val="zh-CN"/>
        </w:rPr>
        <w:br w:type="page"/>
      </w:r>
    </w:p>
    <w:p>
      <w:pPr>
        <w:pStyle w:val="93"/>
        <w:ind w:firstLine="723" w:firstLineChars="200"/>
        <w:jc w:val="center"/>
        <w:rPr>
          <w:rFonts w:ascii="Times New Roman" w:hAnsi="Times New Roman"/>
          <w:bCs w:val="0"/>
          <w:color w:val="auto"/>
        </w:rPr>
      </w:pPr>
      <w:r>
        <w:rPr>
          <w:rFonts w:ascii="Times New Roman" w:hAnsi="Times New Roman"/>
          <w:bCs w:val="0"/>
          <w:color w:val="auto"/>
          <w:sz w:val="36"/>
          <w:szCs w:val="36"/>
          <w:lang w:val="zh-CN"/>
        </w:rPr>
        <w:t>目录</w:t>
      </w:r>
    </w:p>
    <w:sdt>
      <w:sdtPr>
        <w:rPr>
          <w:rFonts w:hint="eastAsia" w:ascii="宋体" w:hAnsi="宋体" w:eastAsia="宋体" w:cs="宋体"/>
          <w:b w:val="0"/>
          <w:bCs/>
          <w:color w:val="auto"/>
          <w:sz w:val="28"/>
          <w:szCs w:val="28"/>
          <w:lang w:val="zh-CN"/>
        </w:rPr>
        <w:id w:val="1392387190"/>
        <w:docPartObj>
          <w:docPartGallery w:val="Table of Contents"/>
          <w:docPartUnique/>
        </w:docPartObj>
      </w:sdtPr>
      <w:sdtEndPr>
        <w:rPr>
          <w:rFonts w:ascii="Times New Roman" w:hAnsi="Times New Roman"/>
          <w:b w:val="0"/>
          <w:bCs w:val="0"/>
          <w:color w:val="000000" w:themeColor="text1"/>
          <w:sz w:val="24"/>
          <w:lang w:val="zh-CN"/>
          <w14:textFill>
            <w14:solidFill>
              <w14:schemeClr w14:val="tx1"/>
            </w14:solidFill>
          </w14:textFill>
        </w:rPr>
      </w:sdtEndPr>
      <w:sdtContent>
        <w:p>
          <w:pPr>
            <w:pStyle w:val="22"/>
            <w:spacing w:line="291" w:lineRule="auto"/>
            <w:ind w:firstLine="560" w:firstLineChars="200"/>
            <w:rPr>
              <w:rFonts w:hint="eastAsia" w:ascii="宋体" w:hAnsi="宋体" w:eastAsia="宋体" w:cs="宋体"/>
              <w:b w:val="0"/>
              <w:bCs w:val="0"/>
              <w:color w:val="auto"/>
              <w:kern w:val="2"/>
              <w:sz w:val="28"/>
              <w:szCs w:val="28"/>
              <w:highlight w:val="none"/>
              <w:lang w:val="zh-CN" w:eastAsia="zh-CN" w:bidi="ar-SA"/>
            </w:rPr>
          </w:pPr>
          <w:r>
            <w:rPr>
              <w:rFonts w:hint="eastAsia" w:ascii="宋体" w:hAnsi="宋体" w:eastAsia="宋体" w:cs="宋体"/>
              <w:color w:val="000000" w:themeColor="text1"/>
              <w:sz w:val="28"/>
              <w:szCs w:val="28"/>
              <w14:textFill>
                <w14:solidFill>
                  <w14:schemeClr w14:val="tx1"/>
                </w14:solidFill>
              </w14:textFill>
            </w:rPr>
            <w:fldChar w:fldCharType="begin"/>
          </w:r>
          <w:r>
            <w:rPr>
              <w:rFonts w:hint="eastAsia" w:ascii="宋体" w:hAnsi="宋体" w:eastAsia="宋体" w:cs="宋体"/>
              <w:color w:val="000000" w:themeColor="text1"/>
              <w:sz w:val="28"/>
              <w:szCs w:val="28"/>
              <w14:textFill>
                <w14:solidFill>
                  <w14:schemeClr w14:val="tx1"/>
                </w14:solidFill>
              </w14:textFill>
            </w:rPr>
            <w:instrText xml:space="preserve">TOC\o"1-3"\h\z\u</w:instrText>
          </w:r>
          <w:r>
            <w:rPr>
              <w:rFonts w:hint="eastAsia" w:ascii="宋体" w:hAnsi="宋体" w:eastAsia="宋体" w:cs="宋体"/>
              <w:color w:val="000000" w:themeColor="text1"/>
              <w:sz w:val="28"/>
              <w:szCs w:val="28"/>
              <w14:textFill>
                <w14:solidFill>
                  <w14:schemeClr w14:val="tx1"/>
                </w14:solidFill>
              </w14:textFill>
            </w:rPr>
            <w:fldChar w:fldCharType="separate"/>
          </w:r>
        </w:p>
        <w:p>
          <w:pPr>
            <w:pStyle w:val="22"/>
            <w:tabs>
              <w:tab w:val="right" w:leader="dot" w:pos="10259"/>
              <w:tab w:val="clear" w:pos="600"/>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_Toc24856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第1章 概述</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_Toc24856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_Toc2191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 项目概况</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_Toc2191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_Toc10200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1.1.1 项目名称</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_Toc10200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_Toc23328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1.1.2 建设单位及建设管理单位</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_Toc23328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_Toc22350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1.1.3 建设目标和任务</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_Toc22350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_Toc1123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1.1.4 建设地点</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_Toc1123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_Toc11571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1.1.5 建设内容及规模</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_Toc11571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_Toc9159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1.1.6 建设工期</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_Toc9159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_Toc10608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1.1.7 投资规模和资金来源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_Toc10608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_Toc26364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1.2 项目单位概况</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_Toc26364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_Toc25266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1.3 编制依据</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_Toc25266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_Toc12975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1.4 工程采用的坐标及高程系统</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_Toc12975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_Toc6341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1.5 项目提出的理由与过程</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_Toc6341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_Toc17933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1.6 研究过程</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_Toc17933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_Toc14983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1.7 对各行政主管部门意见的执行情况</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_Toc14983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_Toc22355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1.7.1 建设方案专家评审会专家组意见（建设单位组织）</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_Toc22355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_Toc1203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1.8 研究结论与建议</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_Toc1203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_Toc23035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1.8.1 交通量预测结果及分析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_Toc23035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_Toc18394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1.8.2 技术标准</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_Toc18394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_Toc25419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1.8.3 总体方案</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_Toc25419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_Toc5949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1.8.4 经济评价</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_Toc5949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13</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_Toc2121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1.8.5 社会评价</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_Toc2121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13</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_Toc28523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1.8.6 树木保护专章结论</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_Toc28523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13</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_Toc10340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1.8.7 问题与建议</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_Toc10340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13</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2"/>
            <w:tabs>
              <w:tab w:val="right" w:leader="dot" w:pos="10259"/>
              <w:tab w:val="clear" w:pos="600"/>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_Toc6858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第2章 项目建设背景和必要性</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_Toc6858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15</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_Toc29268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2.1 项目背景</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_Toc29268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15</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_Toc2936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2.2 规划政策符合性</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_Toc2936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_Toc7414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2.2.1 影响区域社会经济发展情况</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_Toc7414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_Toc23848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2.2.2 南沙新区城市总体规划</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_Toc23848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_Toc23616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2.2.3 南沙区国土空间总体规划</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_Toc23616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_Toc1761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2.2.4 广州市交通运输“十四五”规划</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_Toc1761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_Toc6770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2.2.5 广州市南沙区综合交通运输体系发展“十四五”规划</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_Toc6770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_Toc17360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2.2.6 大型城市综合体规划</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_Toc17360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24</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_Toc50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2.2.7 《南沙南部地区城市设计》（在编）</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_Toc50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25</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_Toc13194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2.2.8 防洪排涝规划</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_Toc13194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_Toc27195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2.3 项目建设必要性</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_Toc27195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_Toc30060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2.3.1 本项目的建设是实现南沙区综合交通运输体系发展“十四五”规划的需要</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_Toc30060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_Toc8639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2.3.2 项目建设推动新区发展规划的实施，是加快南沙大开发，实现跨越式发展的需要</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_Toc8639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_Toc24577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2.3.3 本项目的建设是完善综合体体育馆片区路网结构的需要</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_Toc24577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_Toc5303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2.3.4 是吸引企业投资，带动产业发展，提高区域竞争力的需要</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_Toc5303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_Toc15510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2.3.5 是完善南沙全民文化体育综合体基础设施配套，促进万顷沙南片综合开发的需要</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_Toc15510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_Toc30117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2.3.6 是推动万顷沙打造广深双城联动先行示范区的需要</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_Toc30117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_Toc28769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2.3.7 是“一带一路”大战略部署助力的需要</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_Toc28769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_Toc9893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2.3.8 项目建设是南沙地区旅游业发展的保障</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_Toc9893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30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_Toc2019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2.4 项目建设紧迫性分析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_Toc2019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30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2"/>
            <w:tabs>
              <w:tab w:val="right" w:leader="dot" w:pos="10259"/>
              <w:tab w:val="clear" w:pos="600"/>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_Toc12729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第3章 项目需求分析与产出方案</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_Toc12729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32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_Toc32374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3.1 需求分析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_Toc32374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32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_Toc24753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3.1.1 广州市社会经济发展规划</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_Toc24753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32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_Toc11040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3.1.2 南沙区交通设施发展规划</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_Toc11040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32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_Toc22817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3.1.3 交通需求分析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_Toc22817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33</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_Toc17697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3.1.4 交通需求预测分析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_Toc17697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36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_Toc1349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3.2 项目功能定位</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_Toc1349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38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_Toc17883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3.3 建设内容及规模</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_Toc17883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39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_Toc6339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3.4 建设标准</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_Toc6339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39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_Toc23294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3.5 项目产出方案</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_Toc23294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40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_Toc14499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3.5.1 断面流量预测结果</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_Toc14499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40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_Toc29478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3.5.2 节点流量预测结果</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_Toc29478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41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2"/>
            <w:tabs>
              <w:tab w:val="right" w:leader="dot" w:pos="10259"/>
              <w:tab w:val="clear" w:pos="600"/>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_Toc18429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第4章 项目场址与建设条件</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_Toc18429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42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_Toc69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4.1 项目建设条件</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_Toc69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42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_Toc10033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4.1.1 自然条件概况</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_Toc10033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42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_Toc9879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4.1.2 场地地质构造</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_Toc9879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43</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_Toc24983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4.1.3 筑路材料与运输条件</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_Toc24983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44</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_Toc1006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4.1.4 项目场地现状调查分析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_Toc1006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44</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_Toc26131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4.2 要素保障分析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_Toc26131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47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_Toc23187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4.2.1 土地要素保障</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_Toc23187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47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_Toc2294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4.2.2 资源要素保障</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_Toc2294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48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2"/>
            <w:tabs>
              <w:tab w:val="right" w:leader="dot" w:pos="10259"/>
              <w:tab w:val="clear" w:pos="600"/>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_Toc1049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第5章 项目建设方案</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_Toc1049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49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_Toc16895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5.1 主要设计规范</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_Toc16895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49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_Toc29644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5.2 总体设计总体设计</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_Toc29644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50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_Toc28562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5.2.1 总体设计理念</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_Toc28562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50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_Toc3500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5.2.2 总体设计原则</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_Toc3500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51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_Toc28749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5.2.3 节约用地措施</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_Toc28749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52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_Toc32265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5.2.4 总体方案与规划控制红线的控制因素</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_Toc32265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52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_Toc11946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5.2.5 工程采用的技术标准和要求</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_Toc11946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53</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_Toc24382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5.2.6 工程设计标准及采用的技术指标</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_Toc24382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53</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_Toc22094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5.2.7 平面线位设计</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_Toc22094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54</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_Toc9766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5.2.8 纵断面设计</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_Toc9766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54</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_Toc26934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5.2.9 横断面设计</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_Toc26934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56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_Toc21300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5.2.10 路线交叉设计</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_Toc21300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57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_Toc23263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5.3 道路工程设计方案</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_Toc23263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58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_Toc5467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5.3.1 路基设计</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_Toc5467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58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_Toc18973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5.3.2 特殊路基处理设计</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_Toc18973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60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_Toc13609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5.3.3 路面工程设计</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_Toc13609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63</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_Toc30270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5.3.4 道路附属设计</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_Toc30270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66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_Toc4545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5.4 桥梁工程设计方案</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_Toc4545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69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_Toc12968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5.4.1 桥梁总体设置情况</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_Toc12968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69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_Toc1684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5.4.2 设计原则</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_Toc1684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69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_Toc29724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5.4.3 跨二十涌大桥</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_Toc29724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69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_Toc2065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5.4.4 连接涌桥</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_Toc2065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72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_Toc11574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5.4.5 规划纵三路ZSK0+958.618箱涵</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_Toc11574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75</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_Toc30372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5.4.6 桥梁施工方案</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_Toc30372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75</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_Toc7155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5.5 交通工程设计方案</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_Toc7155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76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_Toc25263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5.5.1 路网分析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_Toc25263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76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_Toc30770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5.5.2 交通流线组织</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_Toc30770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76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_Toc4463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5.5.3 交叉口设计</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_Toc4463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80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_Toc13209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5.5.4 交通设施设计</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_Toc13209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80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_Toc20968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5.5.5 施工期间交通组织</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_Toc20968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84</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_Toc15683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5.6 管线综合工程</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_Toc15683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87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_Toc27212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5.6.1 设计依据</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_Toc27212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87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_Toc4118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5.6.2 总体目标</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_Toc4118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87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_Toc27000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5.6.3 规划设计原则</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_Toc27000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87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_Toc18626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5.6.4 设计内容</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_Toc18626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88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_Toc17789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5.6.5 管线综合设计</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_Toc17789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90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_Toc10419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5.6.6 现状管线保护分类及措施</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_Toc10419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91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_Toc14160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5.6.7 管线保护注意事项</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_Toc14160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91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_Toc21873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5.7 排水工程设计方案</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_Toc21873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91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_Toc1298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5.7.1 设计依据</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_Toc1298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91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_Toc24659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5.7.2 设计规范及标准</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_Toc24659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91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_Toc14230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5.7.3 排水工程编制思路</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_Toc14230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92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_Toc16490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5.7.4 排水工程设计目标</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_Toc16490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92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_Toc23817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5.7.5 排水现状分析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_Toc23817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92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_Toc30982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5.7.6 相关市政管线规划分析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_Toc30982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93</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_Toc18924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5.7.7 雨水工程设计</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_Toc18924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94</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_Toc14677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5.7.8 污水工程设计</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_Toc14677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97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_Toc4794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5.7.9 其他要求及设施说明</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_Toc4794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101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_Toc26076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5.7.10 排水管材的选择</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_Toc26076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103</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_Toc3061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5.7.11 施工方法</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_Toc3061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105</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_Toc17118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5.8 给水工程方案设计</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_Toc17118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108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_Toc19315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5.8.1 设计依据及规范</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_Toc19315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108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_Toc28407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5.8.2 给水工程目标</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_Toc28407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109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_Toc15637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5.8.3 给水工程规划</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_Toc15637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109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_Toc5991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5.8.4 设计参数</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_Toc5991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110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_Toc11871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5.8.5 给水设计方案</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_Toc11871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110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_Toc23524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5.8.6 给水管道附属设施</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_Toc23524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111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_Toc3961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5.8.7 管材选用及接口</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_Toc3961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111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_Toc17913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5.8.8 管道防腐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_Toc17913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112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_Toc23980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5.8.9 给水管道基础、地基处理及沟槽回填</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_Toc23980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113</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_Toc6188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5.8.10 给水管道敷设要求</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_Toc6188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113</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_Toc2648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5.9 照明工程</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_Toc2648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114</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_Toc7041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5.9.1 设计依据</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_Toc7041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114</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_Toc2796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5.9.2 设计原则</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_Toc2796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114</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_Toc1573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5.9.3 设计范围</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_Toc1573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114</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_Toc24952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5.9.4 设计标准</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_Toc24952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114</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_Toc11321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5.9.5 道路照明设计方案</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_Toc11321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115</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_Toc29710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5.9.6 灯具、灯杆选择及灯杆编号</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_Toc29710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116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_Toc26099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5.9.7 供配电系统及照明控制方式</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_Toc26099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117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_Toc4452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5.9.8 线路敷设</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_Toc4452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118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_Toc2980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5.9.9 电气节能及环保措施</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_Toc2980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118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_Toc26459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5.10 电力管沟工程</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_Toc26459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118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_Toc29755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5.10.1 设计依据</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_Toc29755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118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_Toc12094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5.10.2 电力线路敷设方式选择</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_Toc12094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118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_Toc21567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5.10.3 电力管沟平面布置原则</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_Toc21567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119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_Toc12878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5.10.4 电力管沟平面布置</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_Toc12878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119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_Toc860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lang w:val="zh-CN"/>
            </w:rPr>
            <w:t xml:space="preserve">5.10.5 </w:t>
          </w:r>
          <w:r>
            <w:rPr>
              <w:rFonts w:hint="eastAsia" w:ascii="宋体" w:hAnsi="宋体" w:eastAsia="宋体" w:cs="宋体"/>
              <w:b w:val="0"/>
              <w:bCs w:val="0"/>
              <w:color w:val="auto"/>
              <w:sz w:val="28"/>
              <w:szCs w:val="28"/>
              <w:highlight w:val="none"/>
            </w:rPr>
            <w:t>10kV</w:t>
          </w:r>
          <w:r>
            <w:rPr>
              <w:rFonts w:hint="eastAsia" w:ascii="宋体" w:hAnsi="宋体" w:eastAsia="宋体" w:cs="宋体"/>
              <w:b w:val="0"/>
              <w:bCs w:val="0"/>
              <w:color w:val="auto"/>
              <w:sz w:val="28"/>
              <w:szCs w:val="28"/>
              <w:highlight w:val="none"/>
              <w:lang w:val="zh-CN"/>
            </w:rPr>
            <w:t>电力管沟设计</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_Toc860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119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_Toc5939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5.10.6 电力排管结构设计</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_Toc5939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120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_Toc11420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5.10.7 防火设计及要求</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_Toc11420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121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_Toc1991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5.10.8 110kV电缆沟设计</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_Toc1991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121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_Toc14721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5.11 绿化工程概况</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_Toc14721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122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_Toc23119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5.11.1 道路绿化方案设计</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_Toc23119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122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_Toc5859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5.12 建设管理方案</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_Toc5859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127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_Toc349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5.12.1 施工组织</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_Toc349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127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_Toc10682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5.12.2 项目建设进度及招标</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_Toc10682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127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_Toc24566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5.12.3 项目实施初步方案</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_Toc24566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127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_Toc15164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5.12.4 项目工程管理和技术人员培训</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_Toc15164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127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2"/>
            <w:tabs>
              <w:tab w:val="right" w:leader="dot" w:pos="10259"/>
              <w:tab w:val="clear" w:pos="600"/>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_Toc19373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第6章 项目运营方案</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_Toc19373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129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_Toc7932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6.1 运营模式选择</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_Toc7932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129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_Toc5333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6.2 运营组织方案</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_Toc5333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129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_Toc10988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6.3 安全保障方案</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_Toc10988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129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_Toc27890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6.3.1 安全技术对策措施</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_Toc27890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129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_Toc6250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6.3.2 劳动卫生对策措施</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_Toc6250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129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_Toc1560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6.3.3 安全管理方面的对策措施</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_Toc1560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131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_Toc24257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6.4 绩效管理方案</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_Toc24257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131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_Toc22999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6.4.1 绩效目标</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_Toc22999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131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_Toc23250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6.4.2 绩效评价程序</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_Toc23250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131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_Toc15581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6.4.3 影响项目绩效目标实现的关键因素</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_Toc15581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131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_Toc29873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6.5 数字化方案</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_Toc29873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131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_Toc19593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6.5.1 BIM三维技术应用</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_Toc19593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131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2"/>
            <w:tabs>
              <w:tab w:val="right" w:leader="dot" w:pos="10259"/>
              <w:tab w:val="clear" w:pos="600"/>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_Toc15227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第7章 项目投融资及财务方案</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_Toc15227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136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_Toc28137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7.1 投资估算</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_Toc28137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136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_Toc28862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7.1.1 编制范围及内容组成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_Toc28862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136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_Toc4623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7.1.2 编制依据</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_Toc4623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136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_Toc2078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7.1.3 费用标准及有关问题说明</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_Toc2078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136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_Toc20890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7.1.4 建设项目总投资估算表</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_Toc20890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137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_Toc1309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7.1.5建设项目总投资估算表</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_Toc1309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137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_Toc16862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7.2 方案</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_Toc16862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156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_Toc12338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7.3 投资计划</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_Toc12338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156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_Toc14365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7.4 盈利能力分析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_Toc14365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156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_Toc9622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7.5 债务清偿能力分析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_Toc9622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157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_Toc5032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7.6 财务可持续性分析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_Toc5032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157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_Toc4972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7.6.1 可行性研究阶段的投资控制</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_Toc4972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157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_Toc11745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7.6.2 设计阶段的投资控制</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_Toc11745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157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_Toc27182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7.6.3 招投标阶段的投资控制</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_Toc27182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157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_Toc18294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7.6.4 施工阶段的投资控制</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_Toc18294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157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_Toc6535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7.6.5 竣工阶段的投资控制</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_Toc6535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158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_Toc17484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7.6.6 运营期的养护费用控制</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_Toc17484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158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2"/>
            <w:tabs>
              <w:tab w:val="right" w:leader="dot" w:pos="10259"/>
              <w:tab w:val="clear" w:pos="600"/>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_Toc1284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第8章 项目影响效果分析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_Toc1284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159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_Toc21494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8.1 经济影响分析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_Toc21494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159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_Toc30529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8.1.1 评价依据和方法</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_Toc30529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159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_Toc21164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8.1.2 评价方案设定</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_Toc21164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159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_Toc20345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8.1.3 经济费用效益分析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_Toc20345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159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_Toc20246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8.1.4 评价结论</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_Toc20246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163</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_Toc17574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8.2 社会影响分析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_Toc17574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163</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_Toc17264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8.2.1 与项目关系密切的主要利益群体分析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_Toc17264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163</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_Toc12947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8.2.2 互适性分析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_Toc12947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163</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_Toc18576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8.2.3 社会风险分析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_Toc18576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164</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_Toc16792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8.2.4 社会效益评价</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_Toc16792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164</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_Toc28324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8.3 生态环境影响分析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_Toc28324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164</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_Toc28745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8.3.1 沿线环境特征分析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_Toc28745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164</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_Toc7535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8.3.2 环境保护标准</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_Toc7535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164</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_Toc23146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8.3.3 项目选址与区域环境相符性分析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_Toc23146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164</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_Toc1574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8.3.4 环境影响评价</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_Toc1574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167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_Toc2839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8.3.5 环境污染防治措施及对策</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_Toc2839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168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_Toc4934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8.3.6 对生态环境的保护措施</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_Toc4934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169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_Toc26471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8.3.7 取、弃土</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_Toc26471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_Toc20458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8.3.8 施工废水、弃渣对区域渔业生态的影响</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_Toc20458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_Toc9951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8.3.9 固体废物对生态环境的影响</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_Toc9951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_Toc29430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8.3.10 对鸟类资源等湿地资源影响</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_Toc29430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_Toc21629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8.3.11 对海洋资源的影响</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_Toc21629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_Toc29810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8.3.12 其他影响</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_Toc29810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_Toc17703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8.3.13 环境影响分析综合结论</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_Toc17703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_Toc1727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8.4 资源和能源利用效果分析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_Toc1727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_Toc5758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8.4.1 评价范围和依据</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_Toc5758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_Toc23195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8.4.2 能耗影响因素分析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_Toc23195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173</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_Toc8553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8.4.3 项目建成后的节能效果分析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_Toc8553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174</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_Toc3076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8.4.4 节能措施</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_Toc3076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174</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_Toc26065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8.5 碳达峰碳中和分析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_Toc26065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175</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2"/>
            <w:tabs>
              <w:tab w:val="right" w:leader="dot" w:pos="10259"/>
              <w:tab w:val="clear" w:pos="600"/>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_Toc18302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第9章 项目风险管控方案</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_Toc18302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_Toc24934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9.1 编制依据</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_Toc24934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_Toc29262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9.2 总体评估</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_Toc29262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_Toc4456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9.3 合法性</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_Toc4456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_Toc13721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9.4 合理性</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_Toc13721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_Toc8126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9.5 风险识别</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_Toc8126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_Toc2964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9.5.1 社会效益风险</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_Toc2964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_Toc32241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9.5.2 生态环境风险</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_Toc32241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_Toc10026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9.5.3 社会安全风险</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_Toc10026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_Toc1214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9.5.4 管理制度风险</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_Toc1214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_Toc4538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9.5.5 主要风险因素汇总</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_Toc4538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_Toc9553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9.6 风险估计</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_Toc9553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_Toc30684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9.6.1 风险估计的指标体系</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_Toc30684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_Toc24953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9.6.2 单风险因素估计</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_Toc24953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179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_Toc9559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9.6.3 初始社会稳定风险综合评价</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_Toc9559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180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_Toc10830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9.7 风险防范和化解措施</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_Toc10830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180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_Toc29093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9.7.1 社会效益风险防范措施</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_Toc29093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180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_Toc282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9.7.2 社会安全风险防范措施</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_Toc282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180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_Toc10683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9.7.3 管理制度风险防范措施</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_Toc10683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180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_Toc21643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9.8 风险应急预案</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_Toc21643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180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_Toc10479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9.9 风险分析结论</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_Toc10479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181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2"/>
            <w:tabs>
              <w:tab w:val="right" w:leader="dot" w:pos="10259"/>
              <w:tab w:val="clear" w:pos="600"/>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_Toc9336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第10章 海绵城市专章</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_Toc9336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182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_Toc8753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10.1 设计依据</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_Toc8753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182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_Toc2234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10.2 设计原理</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_Toc2234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182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_Toc25590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10.3 设计原则</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_Toc25590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182</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_Toc23531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10.4 设计要点</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_Toc23531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183</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_Toc29825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10.5 市政道路常用的低影响开发设施</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_Toc29825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183</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_Toc4365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10.6 本道路低影响开发设施设计</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_Toc4365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185</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_Toc4465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10.7 海绵城市设计指标复核</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_Toc4465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186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_Toc13151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10.8 工程估算</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_Toc13151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189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_Toc13497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10.9 海绵设施施工安装注意事项及验收标准</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_Toc13497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189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_Toc18925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10.10 维护管理</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_Toc18925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190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_Toc4724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10.11 结论与建议</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_Toc4724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190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_Toc25766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10.12 附表</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_Toc25766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191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_Toc24109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10.12.1 结论与建议</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_Toc24109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195</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2"/>
            <w:tabs>
              <w:tab w:val="right" w:leader="dot" w:pos="10259"/>
              <w:tab w:val="clear" w:pos="600"/>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_Toc1775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第11章 树木保护专章</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_Toc1775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196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_Toc23445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11.1 项目概述</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_Toc23445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196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_Toc1043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11.1.1 项目名称、建设单位、项目建设位置</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_Toc1043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196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_Toc7613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11.1.2 树木资源调查范围</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_Toc7613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196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_Toc17412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11.1.3 项目背景、编制原则、项目规模及建设必要性</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_Toc17412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196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_Toc12622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11.1.4 主要结论和建议</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_Toc12622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197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_Toc23364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11.2 编制依据</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_Toc23364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197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_Toc4438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11.2.1 法律法规</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_Toc4438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197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_Toc30448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11.2.2 指导性文件</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_Toc30448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197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_Toc930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11.2.3 技术规范及指引</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_Toc930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198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_Toc26175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11.2.4 部分条文</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_Toc26175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198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_Toc8380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11.3 编制原则</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_Toc8380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198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_Toc5373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11.3.1 树木分类基本定义</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_Toc5373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198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_Toc11523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11.3.2 编制原则</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_Toc11523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198</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_Toc9921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11.4 自然地理条件及土壤土质</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_Toc9921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199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_Toc21382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11.4.1 区域自然地理条件</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_Toc21382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199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_Toc8432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11.4.2 场地地质构造</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_Toc8432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199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_Toc6260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11.4.3 现状乔木土壤土质条件</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_Toc6260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200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_Toc16850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11.5 树木资源调查</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_Toc16850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200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_Toc18538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11.5.1 原有树木摸查情况</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_Toc18538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200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_Toc21820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11.5.2 无迁移利用价值树木分析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_Toc21820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201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_Toc4843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11.6 树木保护、利用和迁移方案</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_Toc4843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201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_Toc7069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11.6.1 树木迁移必要性分析</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_Toc7069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201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_Toc12730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11.6.2 树木迁改总体分析及方案</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_Toc12730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201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_Toc15990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11.6.3 树木迁移数量</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_Toc15990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201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_Toc19449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11.7 其他涉及树木保护工作说明</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_Toc19449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201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_Toc25983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11.7.1 对古树名木、古树后续资源进行保护和避让的说明</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_Toc25983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201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_Toc31535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11.7.2 原地保留树木的管理、保护措施</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_Toc31535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201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_Toc23049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11.7.3 迁移树木建议</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_Toc23049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201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2"/>
            <w:tabs>
              <w:tab w:val="right" w:leader="dot" w:pos="10259"/>
              <w:tab w:val="clear" w:pos="600"/>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_Toc18860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第12章 历史文化保护传承专章</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_Toc18860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206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_Toc21086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12.1 历史文物保护的重要性和意义</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_Toc21086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206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_Toc31974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12.2 文物保护相关法律法规及要求</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_Toc31974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206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_Toc3371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12.3 工程建设中文物保护措施</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_Toc3371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206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_Toc21429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12.3.1 建设前期</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_Toc21429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206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_Toc25916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12.3.2 设计阶段</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_Toc25916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206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_Toc24488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12.3.3 施工阶段</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_Toc24488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206</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_Toc2063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12.4 广州市历史文物保护规划</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_Toc2063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207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_Toc6598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12.4.1 广州市文物保护目标</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_Toc6598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207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_Toc3595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12.4.2 广州市历史文化名城保护规划</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_Toc3595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207</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_Toc5742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12.5 本项目历史文物情况</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_Toc5742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209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_Toc26972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12.5.1 本项目与历史城区的关系</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_Toc26972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209</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_Toc6462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12.5.2 历史文化名镇名村及传统村落分布情况</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_Toc6462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210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_Toc2243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12.5.3 历史文化街区及历史风貌区分布情况</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_Toc2243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210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_Toc4388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12.5.4 不可移动文物分布情况</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_Toc4388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210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_Toc13791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12.5.5 历史水系分布情况</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_Toc13791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210</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_Toc1544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12.5.6 地下文物埋藏区分布情况</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_Toc1544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211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15"/>
            <w:tabs>
              <w:tab w:val="right" w:leader="dot" w:pos="10259"/>
              <w:tab w:val="clear" w:pos="1701"/>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_Toc12979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12.5.7 项目的文物保护</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_Toc12979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211</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2"/>
            <w:tabs>
              <w:tab w:val="right" w:leader="dot" w:pos="10259"/>
              <w:tab w:val="clear" w:pos="600"/>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_Toc3246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第13章 问题与建议</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_Toc3246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213</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_Toc30844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13.1 主要研究结论</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_Toc30844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213</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6"/>
            <w:tabs>
              <w:tab w:val="right" w:leader="dot" w:pos="10259"/>
              <w:tab w:val="clear" w:pos="1134"/>
              <w:tab w:val="clear" w:pos="9756"/>
            </w:tabs>
            <w:rPr>
              <w:rFonts w:hint="eastAsia" w:ascii="宋体" w:hAnsi="宋体" w:eastAsia="宋体" w:cs="宋体"/>
              <w:b w:val="0"/>
              <w:bCs w:val="0"/>
              <w:color w:val="auto"/>
              <w:sz w:val="28"/>
              <w:szCs w:val="28"/>
              <w:highlight w:val="none"/>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_Toc15040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13.2 问题与建议</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_Toc15040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214</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pStyle w:val="22"/>
            <w:tabs>
              <w:tab w:val="right" w:leader="dot" w:pos="10259"/>
              <w:tab w:val="clear" w:pos="600"/>
              <w:tab w:val="clear" w:pos="9756"/>
            </w:tabs>
            <w:rPr>
              <w:rFonts w:hint="eastAsia" w:ascii="宋体" w:hAnsi="宋体" w:eastAsia="宋体" w:cs="宋体"/>
              <w:sz w:val="28"/>
              <w:szCs w:val="28"/>
            </w:rPr>
          </w:pPr>
          <w:r>
            <w:rPr>
              <w:rFonts w:hint="eastAsia" w:ascii="宋体" w:hAnsi="宋体" w:eastAsia="宋体" w:cs="宋体"/>
              <w:b w:val="0"/>
              <w:bCs w:val="0"/>
              <w:color w:val="auto"/>
              <w:sz w:val="28"/>
              <w:szCs w:val="28"/>
              <w:highlight w:val="none"/>
              <w:lang w:val="zh-CN"/>
            </w:rPr>
            <w:fldChar w:fldCharType="begin"/>
          </w:r>
          <w:r>
            <w:rPr>
              <w:rFonts w:hint="eastAsia" w:ascii="宋体" w:hAnsi="宋体" w:eastAsia="宋体" w:cs="宋体"/>
              <w:b w:val="0"/>
              <w:bCs w:val="0"/>
              <w:color w:val="auto"/>
              <w:sz w:val="28"/>
              <w:szCs w:val="28"/>
              <w:highlight w:val="none"/>
              <w:lang w:val="zh-CN"/>
            </w:rPr>
            <w:instrText xml:space="preserve"> HYPERLINK \l _Toc18964 </w:instrText>
          </w:r>
          <w:r>
            <w:rPr>
              <w:rFonts w:hint="eastAsia" w:ascii="宋体" w:hAnsi="宋体" w:eastAsia="宋体" w:cs="宋体"/>
              <w:b w:val="0"/>
              <w:bCs w:val="0"/>
              <w:color w:val="auto"/>
              <w:sz w:val="28"/>
              <w:szCs w:val="28"/>
              <w:highlight w:val="none"/>
              <w:lang w:val="zh-CN"/>
            </w:rPr>
            <w:fldChar w:fldCharType="separate"/>
          </w:r>
          <w:r>
            <w:rPr>
              <w:rFonts w:hint="eastAsia" w:ascii="宋体" w:hAnsi="宋体" w:eastAsia="宋体" w:cs="宋体"/>
              <w:b w:val="0"/>
              <w:bCs w:val="0"/>
              <w:color w:val="auto"/>
              <w:sz w:val="28"/>
              <w:szCs w:val="28"/>
              <w:highlight w:val="none"/>
            </w:rPr>
            <w:t>第14章 相关附件</w:t>
          </w:r>
          <w:r>
            <w:rPr>
              <w:rFonts w:hint="eastAsia" w:ascii="宋体" w:hAnsi="宋体" w:eastAsia="宋体" w:cs="宋体"/>
              <w:b w:val="0"/>
              <w:bCs w:val="0"/>
              <w:color w:val="auto"/>
              <w:sz w:val="28"/>
              <w:szCs w:val="28"/>
              <w:highlight w:val="none"/>
            </w:rPr>
            <w:tab/>
          </w:r>
          <w:r>
            <w:rPr>
              <w:rFonts w:hint="eastAsia" w:ascii="宋体" w:hAnsi="宋体" w:eastAsia="宋体" w:cs="宋体"/>
              <w:b w:val="0"/>
              <w:bCs w:val="0"/>
              <w:color w:val="auto"/>
              <w:sz w:val="28"/>
              <w:szCs w:val="28"/>
              <w:highlight w:val="none"/>
            </w:rPr>
            <w:fldChar w:fldCharType="begin"/>
          </w:r>
          <w:r>
            <w:rPr>
              <w:rFonts w:hint="eastAsia" w:ascii="宋体" w:hAnsi="宋体" w:eastAsia="宋体" w:cs="宋体"/>
              <w:b w:val="0"/>
              <w:bCs w:val="0"/>
              <w:color w:val="auto"/>
              <w:sz w:val="28"/>
              <w:szCs w:val="28"/>
              <w:highlight w:val="none"/>
            </w:rPr>
            <w:instrText xml:space="preserve"> PAGEREF _Toc18964 \h </w:instrText>
          </w:r>
          <w:r>
            <w:rPr>
              <w:rFonts w:hint="eastAsia" w:ascii="宋体" w:hAnsi="宋体" w:eastAsia="宋体" w:cs="宋体"/>
              <w:b w:val="0"/>
              <w:bCs w:val="0"/>
              <w:color w:val="auto"/>
              <w:sz w:val="28"/>
              <w:szCs w:val="28"/>
              <w:highlight w:val="none"/>
            </w:rPr>
            <w:fldChar w:fldCharType="separate"/>
          </w:r>
          <w:r>
            <w:rPr>
              <w:rFonts w:hint="eastAsia" w:ascii="宋体" w:hAnsi="宋体" w:eastAsia="宋体" w:cs="宋体"/>
              <w:b w:val="0"/>
              <w:bCs w:val="0"/>
              <w:color w:val="auto"/>
              <w:sz w:val="28"/>
              <w:szCs w:val="28"/>
              <w:highlight w:val="none"/>
            </w:rPr>
            <w:t>215</w:t>
          </w:r>
          <w:r>
            <w:rPr>
              <w:rFonts w:hint="eastAsia" w:ascii="宋体" w:hAnsi="宋体" w:eastAsia="宋体" w:cs="宋体"/>
              <w:b w:val="0"/>
              <w:bCs w:val="0"/>
              <w:color w:val="auto"/>
              <w:sz w:val="28"/>
              <w:szCs w:val="28"/>
              <w:highlight w:val="none"/>
            </w:rPr>
            <w:fldChar w:fldCharType="end"/>
          </w:r>
          <w:r>
            <w:rPr>
              <w:rFonts w:hint="eastAsia" w:ascii="宋体" w:hAnsi="宋体" w:eastAsia="宋体" w:cs="宋体"/>
              <w:b w:val="0"/>
              <w:bCs w:val="0"/>
              <w:color w:val="auto"/>
              <w:sz w:val="28"/>
              <w:szCs w:val="28"/>
              <w:highlight w:val="none"/>
              <w:lang w:val="zh-CN"/>
            </w:rPr>
            <w:fldChar w:fldCharType="end"/>
          </w:r>
        </w:p>
        <w:p>
          <w:pPr>
            <w:tabs>
              <w:tab w:val="left" w:pos="600"/>
              <w:tab w:val="right" w:leader="dot" w:pos="9756"/>
            </w:tabs>
            <w:spacing w:line="291" w:lineRule="auto"/>
            <w:ind w:firstLine="562" w:firstLineChars="200"/>
            <w:rPr>
              <w:rFonts w:ascii="Times New Roman" w:hAnsi="Times New Roman"/>
              <w:color w:val="000000" w:themeColor="text1"/>
              <w14:textFill>
                <w14:solidFill>
                  <w14:schemeClr w14:val="tx1"/>
                </w14:solidFill>
              </w14:textFill>
            </w:rPr>
          </w:pPr>
          <w:r>
            <w:rPr>
              <w:rFonts w:hint="eastAsia" w:ascii="宋体" w:hAnsi="宋体" w:eastAsia="宋体" w:cs="宋体"/>
              <w:color w:val="000000" w:themeColor="text1"/>
              <w:sz w:val="28"/>
              <w:szCs w:val="28"/>
              <w:lang w:val="zh-CN"/>
              <w14:textFill>
                <w14:solidFill>
                  <w14:schemeClr w14:val="tx1"/>
                </w14:solidFill>
              </w14:textFill>
            </w:rPr>
            <w:fldChar w:fldCharType="end"/>
          </w:r>
        </w:p>
      </w:sdtContent>
    </w:sdt>
    <w:bookmarkEnd w:id="0"/>
    <w:p>
      <w:pPr>
        <w:rPr>
          <w:rFonts w:ascii="Times New Roman" w:hAnsi="Times New Roman"/>
          <w:b w:val="0"/>
          <w:color w:val="auto"/>
        </w:rPr>
      </w:pPr>
      <w:bookmarkStart w:id="1" w:name="_Toc139447455"/>
      <w:r>
        <w:rPr>
          <w:rFonts w:ascii="Times New Roman" w:hAnsi="Times New Roman"/>
          <w:b w:val="0"/>
          <w:color w:val="auto"/>
        </w:rPr>
        <w:br w:type="page"/>
      </w:r>
      <w:bookmarkStart w:id="568" w:name="_GoBack"/>
      <w:bookmarkEnd w:id="568"/>
    </w:p>
    <w:p>
      <w:pPr>
        <w:pStyle w:val="2"/>
        <w:keepNext/>
        <w:keepLines/>
        <w:numPr>
          <w:ilvl w:val="0"/>
          <w:numId w:val="2"/>
        </w:numPr>
        <w:spacing w:before="191" w:beforeLines="0" w:after="191" w:afterLines="0" w:line="360" w:lineRule="auto"/>
        <w:ind w:firstLine="643" w:firstLineChars="200"/>
        <w:jc w:val="center"/>
        <w:rPr>
          <w:rFonts w:ascii="Times New Roman" w:hAnsi="Times New Roman"/>
        </w:rPr>
      </w:pPr>
      <w:bookmarkStart w:id="2" w:name="_Toc24856"/>
      <w:r>
        <w:rPr>
          <w:rFonts w:ascii="Times New Roman" w:hAnsi="Times New Roman"/>
        </w:rPr>
        <w:t>概述</w:t>
      </w:r>
      <w:bookmarkEnd w:id="1"/>
      <w:bookmarkEnd w:id="2"/>
    </w:p>
    <w:p>
      <w:pPr>
        <w:pStyle w:val="3"/>
        <w:ind w:firstLine="562" w:firstLineChars="200"/>
      </w:pPr>
      <w:bookmarkStart w:id="3" w:name="_Toc2191"/>
      <w:r>
        <w:fldChar w:fldCharType="begin"/>
      </w:r>
      <w:r>
        <w:instrText xml:space="preserve">HYPERLINK\l"_Toc16487_"</w:instrText>
      </w:r>
      <w:r>
        <w:fldChar w:fldCharType="separate"/>
      </w:r>
      <w:bookmarkStart w:id="4" w:name="_Toc139447457"/>
      <w:r>
        <w:t>项目概况</w:t>
      </w:r>
      <w:bookmarkEnd w:id="4"/>
      <w:r>
        <w:fldChar w:fldCharType="end"/>
      </w:r>
      <w:bookmarkEnd w:id="3"/>
    </w:p>
    <w:p>
      <w:pPr>
        <w:pStyle w:val="4"/>
        <w:ind w:firstLine="482" w:firstLineChars="200"/>
      </w:pPr>
      <w:bookmarkStart w:id="5" w:name="_Toc10200"/>
      <w:r>
        <w:t>项目名称</w:t>
      </w:r>
      <w:bookmarkEnd w:id="5"/>
    </w:p>
    <w:p>
      <w:pPr>
        <w:spacing w:line="288" w:lineRule="auto"/>
        <w:ind w:firstLine="480" w:firstLineChars="200"/>
        <w:jc w:val="left"/>
        <w:rPr>
          <w:rFonts w:ascii="Times New Roman" w:hAnsi="Times New Roman"/>
          <w:b w:val="0"/>
          <w:color w:val="auto"/>
          <w:sz w:val="24"/>
          <w:szCs w:val="24"/>
        </w:rPr>
      </w:pPr>
      <w:r>
        <w:rPr>
          <w:rFonts w:hint="eastAsia" w:ascii="Times New Roman" w:hAnsi="Times New Roman"/>
          <w:b w:val="0"/>
          <w:color w:val="auto"/>
          <w:sz w:val="24"/>
          <w:szCs w:val="24"/>
        </w:rPr>
        <w:t>南沙全民文化体育综合体项目配套骨干道路（二十涌北路、规划纵三路）</w:t>
      </w:r>
    </w:p>
    <w:p>
      <w:pPr>
        <w:pStyle w:val="4"/>
        <w:ind w:firstLine="482" w:firstLineChars="200"/>
        <w:rPr>
          <w:highlight w:val="green"/>
        </w:rPr>
      </w:pPr>
      <w:bookmarkStart w:id="6" w:name="_Toc23328"/>
      <w:r>
        <w:rPr>
          <w:highlight w:val="green"/>
        </w:rPr>
        <w:t>建设单位</w:t>
      </w:r>
      <w:r>
        <w:rPr>
          <w:rFonts w:hint="eastAsia"/>
          <w:highlight w:val="green"/>
        </w:rPr>
        <w:t>及建设管理单位</w:t>
      </w:r>
      <w:bookmarkEnd w:id="6"/>
    </w:p>
    <w:p>
      <w:pPr>
        <w:spacing w:line="288" w:lineRule="auto"/>
        <w:ind w:firstLine="480" w:firstLineChars="200"/>
        <w:jc w:val="left"/>
        <w:rPr>
          <w:rFonts w:ascii="Times New Roman" w:hAnsi="Times New Roman"/>
          <w:b w:val="0"/>
          <w:color w:val="auto"/>
          <w:sz w:val="24"/>
          <w:szCs w:val="24"/>
          <w:highlight w:val="green"/>
        </w:rPr>
      </w:pPr>
      <w:r>
        <w:rPr>
          <w:rFonts w:hint="eastAsia" w:ascii="Times New Roman" w:hAnsi="Times New Roman"/>
          <w:b w:val="0"/>
          <w:color w:val="auto"/>
          <w:sz w:val="24"/>
          <w:szCs w:val="24"/>
          <w:highlight w:val="green"/>
        </w:rPr>
        <w:t>建设单位：广州市南沙区住房和城乡建设局</w:t>
      </w:r>
    </w:p>
    <w:p>
      <w:pPr>
        <w:spacing w:line="288" w:lineRule="auto"/>
        <w:ind w:firstLine="480" w:firstLineChars="200"/>
        <w:jc w:val="left"/>
        <w:rPr>
          <w:rFonts w:ascii="Times New Roman" w:hAnsi="Times New Roman"/>
          <w:b w:val="0"/>
          <w:color w:val="auto"/>
          <w:sz w:val="24"/>
          <w:szCs w:val="24"/>
        </w:rPr>
      </w:pPr>
      <w:r>
        <w:rPr>
          <w:rFonts w:hint="eastAsia" w:ascii="Times New Roman" w:hAnsi="Times New Roman"/>
          <w:b w:val="0"/>
          <w:color w:val="auto"/>
          <w:sz w:val="24"/>
          <w:szCs w:val="24"/>
          <w:highlight w:val="green"/>
        </w:rPr>
        <w:t>建设管理单位：</w:t>
      </w:r>
      <w:r>
        <w:rPr>
          <w:rFonts w:ascii="Times New Roman" w:hAnsi="Times New Roman"/>
          <w:b w:val="0"/>
          <w:color w:val="auto"/>
          <w:sz w:val="24"/>
          <w:szCs w:val="24"/>
          <w:highlight w:val="green"/>
        </w:rPr>
        <w:t>广州南沙交通投资集团有限公司</w:t>
      </w:r>
    </w:p>
    <w:p>
      <w:pPr>
        <w:pStyle w:val="4"/>
        <w:ind w:firstLine="482" w:firstLineChars="200"/>
      </w:pPr>
      <w:bookmarkStart w:id="7" w:name="_Toc22350"/>
      <w:r>
        <w:t>建设目标和任务</w:t>
      </w:r>
      <w:bookmarkEnd w:id="7"/>
    </w:p>
    <w:p>
      <w:pPr>
        <w:spacing w:line="288"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项目位于南沙新区万顷沙镇，北至二十涌，南至二十一涌，现状以海域和鱼塘为主，项目周边有南沙湿地、百万葵园、水鸟世界生态园等景观湿地，生态基底条件出色。本项目包含7条新建市政道路</w:t>
      </w:r>
      <w:r>
        <w:rPr>
          <w:rFonts w:hint="eastAsia" w:ascii="Times New Roman" w:hAnsi="Times New Roman"/>
          <w:b w:val="0"/>
          <w:color w:val="auto"/>
          <w:sz w:val="24"/>
          <w:szCs w:val="24"/>
        </w:rPr>
        <w:t>，</w:t>
      </w:r>
      <w:r>
        <w:rPr>
          <w:rFonts w:ascii="Times New Roman" w:hAnsi="Times New Roman"/>
          <w:b w:val="0"/>
          <w:color w:val="auto"/>
          <w:sz w:val="24"/>
          <w:szCs w:val="24"/>
        </w:rPr>
        <w:t>项目建设内容包括：道路、桥涵、</w:t>
      </w:r>
      <w:r>
        <w:rPr>
          <w:rFonts w:hint="eastAsia" w:ascii="Times New Roman" w:hAnsi="Times New Roman"/>
          <w:b w:val="0"/>
          <w:color w:val="auto"/>
          <w:sz w:val="24"/>
          <w:szCs w:val="24"/>
        </w:rPr>
        <w:t>排水</w:t>
      </w:r>
      <w:r>
        <w:rPr>
          <w:rFonts w:ascii="Times New Roman" w:hAnsi="Times New Roman"/>
          <w:b w:val="0"/>
          <w:color w:val="auto"/>
          <w:sz w:val="24"/>
          <w:szCs w:val="24"/>
        </w:rPr>
        <w:t>、照明、交通、绿化、电力等工程。</w:t>
      </w:r>
      <w:r>
        <w:rPr>
          <w:rFonts w:ascii="Times New Roman" w:hAnsi="Times New Roman"/>
          <w:b w:val="0"/>
          <w:color w:val="auto"/>
          <w:sz w:val="24"/>
          <w:szCs w:val="24"/>
          <w:highlight w:val="cyan"/>
        </w:rPr>
        <w:t>本</w:t>
      </w:r>
      <w:r>
        <w:rPr>
          <w:rFonts w:hint="eastAsia" w:ascii="Times New Roman" w:hAnsi="Times New Roman"/>
          <w:b w:val="0"/>
          <w:color w:val="auto"/>
          <w:sz w:val="24"/>
          <w:szCs w:val="24"/>
          <w:highlight w:val="cyan"/>
        </w:rPr>
        <w:t>项目土地受让人按照“土地出让+项目配建”模式承担南沙全民文化体育综合体项目建设任务，按照配建抵减的土地出让收入金额筹集资金保障项目建设。</w:t>
      </w:r>
    </w:p>
    <w:p>
      <w:pPr>
        <w:pStyle w:val="4"/>
        <w:ind w:firstLine="482" w:firstLineChars="200"/>
      </w:pPr>
      <w:bookmarkStart w:id="8" w:name="_Toc1123"/>
      <w:r>
        <w:t>建设地点</w:t>
      </w:r>
      <w:bookmarkEnd w:id="8"/>
    </w:p>
    <w:p>
      <w:pPr>
        <w:spacing w:line="300" w:lineRule="auto"/>
        <w:ind w:firstLine="562"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rPr>
        <w:drawing>
          <wp:inline distT="0" distB="0" distL="114300" distR="114300">
            <wp:extent cx="3818890" cy="3679825"/>
            <wp:effectExtent l="0" t="0" r="10160" b="15875"/>
            <wp:docPr id="186"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39"/>
                    <pic:cNvPicPr>
                      <a:picLocks noChangeAspect="1"/>
                    </pic:cNvPicPr>
                  </pic:nvPicPr>
                  <pic:blipFill>
                    <a:blip r:embed="rId28"/>
                    <a:stretch>
                      <a:fillRect/>
                    </a:stretch>
                  </pic:blipFill>
                  <pic:spPr>
                    <a:xfrm>
                      <a:off x="0" y="0"/>
                      <a:ext cx="3818890" cy="3679825"/>
                    </a:xfrm>
                    <a:prstGeom prst="rect">
                      <a:avLst/>
                    </a:prstGeom>
                    <a:noFill/>
                    <a:ln>
                      <a:noFill/>
                    </a:ln>
                  </pic:spPr>
                </pic:pic>
              </a:graphicData>
            </a:graphic>
          </wp:inline>
        </w:drawing>
      </w:r>
    </w:p>
    <w:p>
      <w:pPr>
        <w:spacing w:line="300" w:lineRule="auto"/>
        <w:ind w:firstLine="422"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color w:val="000000" w:themeColor="text1"/>
          <w:sz w:val="21"/>
          <w14:textFill>
            <w14:solidFill>
              <w14:schemeClr w14:val="tx1"/>
            </w14:solidFill>
          </w14:textFill>
        </w:rPr>
        <w:t>本项目地理位置图</w:t>
      </w:r>
    </w:p>
    <w:p>
      <w:pPr>
        <w:spacing w:line="288"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项目位于南沙新区万顷沙镇，北至二十涌，南至二十一涌。</w:t>
      </w:r>
    </w:p>
    <w:p>
      <w:pPr>
        <w:pStyle w:val="4"/>
        <w:ind w:firstLine="482" w:firstLineChars="200"/>
      </w:pPr>
      <w:bookmarkStart w:id="9" w:name="_Toc11571"/>
      <w:r>
        <w:t>建设内容及规模</w:t>
      </w:r>
      <w:bookmarkEnd w:id="9"/>
    </w:p>
    <w:p>
      <w:pPr>
        <w:spacing w:line="288" w:lineRule="auto"/>
        <w:ind w:firstLine="480" w:firstLineChars="200"/>
        <w:jc w:val="left"/>
        <w:rPr>
          <w:rFonts w:ascii="Times New Roman" w:hAnsi="Times New Roman"/>
          <w:b w:val="0"/>
          <w:color w:val="auto"/>
          <w:sz w:val="24"/>
          <w:szCs w:val="24"/>
          <w:highlight w:val="green"/>
        </w:rPr>
      </w:pPr>
      <w:r>
        <w:rPr>
          <w:rFonts w:ascii="Times New Roman" w:hAnsi="Times New Roman"/>
          <w:b w:val="0"/>
          <w:color w:val="auto"/>
          <w:sz w:val="24"/>
          <w:szCs w:val="24"/>
          <w:highlight w:val="green"/>
        </w:rPr>
        <w:t>建设规模：本项目包含</w:t>
      </w:r>
      <w:r>
        <w:rPr>
          <w:rFonts w:hint="eastAsia" w:ascii="Times New Roman" w:hAnsi="Times New Roman"/>
          <w:b w:val="0"/>
          <w:color w:val="auto"/>
          <w:sz w:val="24"/>
          <w:szCs w:val="24"/>
          <w:highlight w:val="green"/>
        </w:rPr>
        <w:t>2</w:t>
      </w:r>
      <w:r>
        <w:rPr>
          <w:rFonts w:ascii="Times New Roman" w:hAnsi="Times New Roman"/>
          <w:b w:val="0"/>
          <w:color w:val="auto"/>
          <w:sz w:val="24"/>
          <w:szCs w:val="24"/>
          <w:highlight w:val="green"/>
        </w:rPr>
        <w:t>条新建市政道路，</w:t>
      </w:r>
      <w:r>
        <w:rPr>
          <w:rFonts w:hint="eastAsia" w:ascii="Times New Roman" w:hAnsi="Times New Roman"/>
          <w:b w:val="0"/>
          <w:color w:val="auto"/>
          <w:sz w:val="24"/>
          <w:szCs w:val="24"/>
          <w:highlight w:val="green"/>
        </w:rPr>
        <w:t>2座新建跨涌桥。路线总长度约3337米，其中道路路基段总长度约3142米，桥梁总长度约195米。</w:t>
      </w:r>
      <w:r>
        <w:rPr>
          <w:rFonts w:ascii="Times New Roman" w:hAnsi="Times New Roman"/>
          <w:b w:val="0"/>
          <w:color w:val="auto"/>
          <w:sz w:val="24"/>
          <w:szCs w:val="24"/>
          <w:highlight w:val="green"/>
        </w:rPr>
        <w:t>其中城市主干路</w:t>
      </w:r>
      <w:r>
        <w:rPr>
          <w:rFonts w:hint="eastAsia" w:ascii="Times New Roman" w:hAnsi="Times New Roman"/>
          <w:b w:val="0"/>
          <w:color w:val="auto"/>
          <w:sz w:val="24"/>
          <w:szCs w:val="24"/>
          <w:highlight w:val="green"/>
        </w:rPr>
        <w:t>1</w:t>
      </w:r>
      <w:r>
        <w:rPr>
          <w:rFonts w:ascii="Times New Roman" w:hAnsi="Times New Roman"/>
          <w:b w:val="0"/>
          <w:color w:val="auto"/>
          <w:sz w:val="24"/>
          <w:szCs w:val="24"/>
          <w:highlight w:val="green"/>
        </w:rPr>
        <w:t>条，设计速度60km/h，为二十涌北路，</w:t>
      </w:r>
      <w:r>
        <w:rPr>
          <w:rFonts w:hint="eastAsia" w:ascii="Times New Roman" w:hAnsi="Times New Roman"/>
          <w:b w:val="0"/>
          <w:color w:val="auto"/>
          <w:sz w:val="24"/>
          <w:szCs w:val="24"/>
          <w:highlight w:val="green"/>
        </w:rPr>
        <w:t>规划双向六车道，道路红线宽度50m，</w:t>
      </w:r>
      <w:r>
        <w:rPr>
          <w:rFonts w:ascii="Times New Roman" w:hAnsi="Times New Roman"/>
          <w:b w:val="0"/>
          <w:color w:val="auto"/>
          <w:sz w:val="24"/>
          <w:szCs w:val="24"/>
          <w:highlight w:val="green"/>
        </w:rPr>
        <w:t>全长约</w:t>
      </w:r>
      <w:r>
        <w:rPr>
          <w:rFonts w:hint="eastAsia" w:ascii="Times New Roman" w:hAnsi="Times New Roman"/>
          <w:b w:val="0"/>
          <w:color w:val="auto"/>
          <w:sz w:val="24"/>
          <w:szCs w:val="24"/>
          <w:highlight w:val="green"/>
        </w:rPr>
        <w:t>1852</w:t>
      </w:r>
      <w:r>
        <w:rPr>
          <w:rFonts w:ascii="Times New Roman" w:hAnsi="Times New Roman"/>
          <w:b w:val="0"/>
          <w:color w:val="auto"/>
          <w:sz w:val="24"/>
          <w:szCs w:val="24"/>
          <w:highlight w:val="green"/>
        </w:rPr>
        <w:t>m</w:t>
      </w:r>
      <w:r>
        <w:rPr>
          <w:rFonts w:hint="eastAsia" w:ascii="Times New Roman" w:hAnsi="Times New Roman"/>
          <w:b w:val="0"/>
          <w:color w:val="auto"/>
          <w:sz w:val="24"/>
          <w:szCs w:val="24"/>
          <w:highlight w:val="green"/>
        </w:rPr>
        <w:t>，含一座</w:t>
      </w:r>
      <w:r>
        <w:rPr>
          <w:rFonts w:hint="eastAsia" w:ascii="Times New Roman" w:hAnsi="Times New Roman"/>
          <w:b w:val="0"/>
          <w:color w:val="000000" w:themeColor="text1"/>
          <w:sz w:val="24"/>
          <w:szCs w:val="24"/>
          <w:highlight w:val="green"/>
          <w14:textFill>
            <w14:solidFill>
              <w14:schemeClr w14:val="tx1"/>
            </w14:solidFill>
          </w14:textFill>
        </w:rPr>
        <w:t>跨涌连接桥</w:t>
      </w:r>
      <w:r>
        <w:rPr>
          <w:rFonts w:ascii="Times New Roman" w:hAnsi="Times New Roman"/>
          <w:b w:val="0"/>
          <w:color w:val="auto"/>
          <w:sz w:val="24"/>
          <w:szCs w:val="24"/>
          <w:highlight w:val="green"/>
        </w:rPr>
        <w:t>；城市次干路</w:t>
      </w:r>
      <w:r>
        <w:rPr>
          <w:rFonts w:hint="eastAsia" w:ascii="Times New Roman" w:hAnsi="Times New Roman"/>
          <w:b w:val="0"/>
          <w:color w:val="auto"/>
          <w:sz w:val="24"/>
          <w:szCs w:val="24"/>
          <w:highlight w:val="green"/>
        </w:rPr>
        <w:t>1</w:t>
      </w:r>
      <w:r>
        <w:rPr>
          <w:rFonts w:ascii="Times New Roman" w:hAnsi="Times New Roman"/>
          <w:b w:val="0"/>
          <w:color w:val="auto"/>
          <w:sz w:val="24"/>
          <w:szCs w:val="24"/>
          <w:highlight w:val="green"/>
        </w:rPr>
        <w:t>条，设计速度40km/h，分别为规划纵三路，，</w:t>
      </w:r>
      <w:r>
        <w:rPr>
          <w:rFonts w:hint="eastAsia" w:ascii="Times New Roman" w:hAnsi="Times New Roman"/>
          <w:b w:val="0"/>
          <w:color w:val="auto"/>
          <w:sz w:val="24"/>
          <w:szCs w:val="24"/>
          <w:highlight w:val="green"/>
        </w:rPr>
        <w:t>规划双向六车道，道路红线宽度34m，</w:t>
      </w:r>
      <w:r>
        <w:rPr>
          <w:rFonts w:ascii="Times New Roman" w:hAnsi="Times New Roman"/>
          <w:b w:val="0"/>
          <w:color w:val="auto"/>
          <w:sz w:val="24"/>
          <w:szCs w:val="24"/>
          <w:highlight w:val="green"/>
        </w:rPr>
        <w:t>次干路全长约</w:t>
      </w:r>
      <w:r>
        <w:rPr>
          <w:rFonts w:hint="eastAsia" w:ascii="Times New Roman" w:hAnsi="Times New Roman"/>
          <w:b w:val="0"/>
          <w:color w:val="auto"/>
          <w:sz w:val="24"/>
          <w:szCs w:val="24"/>
          <w:highlight w:val="green"/>
        </w:rPr>
        <w:t>1485</w:t>
      </w:r>
      <w:r>
        <w:rPr>
          <w:rFonts w:ascii="Times New Roman" w:hAnsi="Times New Roman"/>
          <w:b w:val="0"/>
          <w:color w:val="auto"/>
          <w:sz w:val="24"/>
          <w:szCs w:val="24"/>
          <w:highlight w:val="green"/>
        </w:rPr>
        <w:t>m</w:t>
      </w:r>
      <w:r>
        <w:rPr>
          <w:rFonts w:hint="eastAsia" w:ascii="Times New Roman" w:hAnsi="Times New Roman"/>
          <w:b w:val="0"/>
          <w:color w:val="auto"/>
          <w:sz w:val="24"/>
          <w:szCs w:val="24"/>
          <w:highlight w:val="green"/>
        </w:rPr>
        <w:t>，</w:t>
      </w:r>
      <w:r>
        <w:rPr>
          <w:rFonts w:ascii="Times New Roman" w:hAnsi="Times New Roman"/>
          <w:b w:val="0"/>
          <w:color w:val="auto"/>
          <w:sz w:val="24"/>
          <w:szCs w:val="24"/>
          <w:highlight w:val="green"/>
        </w:rPr>
        <w:t>新建桥涵</w:t>
      </w:r>
      <w:r>
        <w:rPr>
          <w:rFonts w:hint="eastAsia" w:ascii="Times New Roman" w:hAnsi="Times New Roman"/>
          <w:b w:val="0"/>
          <w:color w:val="auto"/>
          <w:sz w:val="24"/>
          <w:szCs w:val="24"/>
          <w:highlight w:val="green"/>
        </w:rPr>
        <w:t>1</w:t>
      </w:r>
      <w:r>
        <w:rPr>
          <w:rFonts w:ascii="Times New Roman" w:hAnsi="Times New Roman"/>
          <w:b w:val="0"/>
          <w:color w:val="auto"/>
          <w:sz w:val="24"/>
          <w:szCs w:val="24"/>
          <w:highlight w:val="green"/>
        </w:rPr>
        <w:t>座，涵洞1座。</w:t>
      </w:r>
    </w:p>
    <w:p>
      <w:pPr>
        <w:spacing w:line="288"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主要建设内容包括：道路、桥涵、</w:t>
      </w:r>
      <w:r>
        <w:rPr>
          <w:rFonts w:hint="eastAsia" w:ascii="Times New Roman" w:hAnsi="Times New Roman"/>
          <w:b w:val="0"/>
          <w:color w:val="auto"/>
          <w:sz w:val="24"/>
          <w:szCs w:val="24"/>
        </w:rPr>
        <w:t>排水</w:t>
      </w:r>
      <w:r>
        <w:rPr>
          <w:rFonts w:ascii="Times New Roman" w:hAnsi="Times New Roman"/>
          <w:b w:val="0"/>
          <w:color w:val="auto"/>
          <w:sz w:val="24"/>
          <w:szCs w:val="24"/>
        </w:rPr>
        <w:t>、照明、交通、绿化、电力等工程。</w:t>
      </w:r>
      <w:r>
        <w:rPr>
          <w:rFonts w:hint="eastAsia" w:ascii="Times New Roman" w:hAnsi="Times New Roman"/>
          <w:b w:val="0"/>
          <w:color w:val="auto"/>
          <w:sz w:val="24"/>
          <w:szCs w:val="24"/>
        </w:rPr>
        <w:t>道路主要经济技术指标表如下。</w:t>
      </w:r>
    </w:p>
    <w:p>
      <w:pPr>
        <w:spacing w:line="288" w:lineRule="auto"/>
        <w:jc w:val="center"/>
        <w:rPr>
          <w:sz w:val="32"/>
          <w:szCs w:val="32"/>
        </w:rPr>
      </w:pPr>
      <w:r>
        <w:rPr>
          <w:rFonts w:hint="eastAsia" w:hAnsi="等线" w:cs="宋体"/>
          <w:color w:val="000000"/>
          <w:kern w:val="0"/>
          <w:sz w:val="24"/>
          <w:szCs w:val="32"/>
        </w:rPr>
        <w:t>主要经济技术指标表</w:t>
      </w:r>
    </w:p>
    <w:tbl>
      <w:tblPr>
        <w:tblStyle w:val="32"/>
        <w:tblW w:w="5306" w:type="dxa"/>
        <w:jc w:val="center"/>
        <w:tblLayout w:type="fixed"/>
        <w:tblCellMar>
          <w:top w:w="15" w:type="dxa"/>
          <w:left w:w="15" w:type="dxa"/>
          <w:bottom w:w="15" w:type="dxa"/>
          <w:right w:w="15" w:type="dxa"/>
        </w:tblCellMar>
      </w:tblPr>
      <w:tblGrid>
        <w:gridCol w:w="1176"/>
        <w:gridCol w:w="800"/>
        <w:gridCol w:w="2050"/>
        <w:gridCol w:w="1280"/>
      </w:tblGrid>
      <w:tr>
        <w:tblPrEx>
          <w:tblCellMar>
            <w:top w:w="15" w:type="dxa"/>
            <w:left w:w="15" w:type="dxa"/>
            <w:bottom w:w="15" w:type="dxa"/>
            <w:right w:w="15" w:type="dxa"/>
          </w:tblCellMar>
        </w:tblPrEx>
        <w:trPr>
          <w:trHeight w:val="491" w:hRule="atLeast"/>
          <w:jc w:val="center"/>
        </w:trPr>
        <w:tc>
          <w:tcPr>
            <w:tcW w:w="1176"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b w:val="0"/>
                <w:bCs/>
                <w:color w:val="auto"/>
                <w:sz w:val="24"/>
                <w:szCs w:val="24"/>
              </w:rPr>
              <w:t>内容</w:t>
            </w:r>
          </w:p>
        </w:tc>
        <w:tc>
          <w:tcPr>
            <w:tcW w:w="80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b w:val="0"/>
                <w:bCs/>
                <w:color w:val="auto"/>
                <w:sz w:val="24"/>
                <w:szCs w:val="24"/>
              </w:rPr>
              <w:t>单位</w:t>
            </w:r>
          </w:p>
        </w:tc>
        <w:tc>
          <w:tcPr>
            <w:tcW w:w="205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rFonts w:hint="eastAsia"/>
                <w:b w:val="0"/>
                <w:bCs/>
                <w:color w:val="auto"/>
                <w:sz w:val="24"/>
                <w:szCs w:val="24"/>
              </w:rPr>
              <w:t>二十涌北路</w:t>
            </w:r>
          </w:p>
        </w:tc>
        <w:tc>
          <w:tcPr>
            <w:tcW w:w="128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rFonts w:hint="eastAsia"/>
                <w:b w:val="0"/>
                <w:bCs/>
                <w:color w:val="auto"/>
                <w:sz w:val="24"/>
                <w:szCs w:val="24"/>
              </w:rPr>
              <w:t>规划纵三路</w:t>
            </w:r>
          </w:p>
        </w:tc>
      </w:tr>
      <w:tr>
        <w:tblPrEx>
          <w:tblCellMar>
            <w:top w:w="15" w:type="dxa"/>
            <w:left w:w="15" w:type="dxa"/>
            <w:bottom w:w="15" w:type="dxa"/>
            <w:right w:w="15" w:type="dxa"/>
          </w:tblCellMar>
        </w:tblPrEx>
        <w:trPr>
          <w:trHeight w:val="458" w:hRule="atLeast"/>
          <w:jc w:val="center"/>
        </w:trPr>
        <w:tc>
          <w:tcPr>
            <w:tcW w:w="1176"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b w:val="0"/>
                <w:bCs/>
                <w:color w:val="auto"/>
                <w:sz w:val="24"/>
                <w:szCs w:val="24"/>
              </w:rPr>
              <w:t>道路类别</w:t>
            </w:r>
          </w:p>
        </w:tc>
        <w:tc>
          <w:tcPr>
            <w:tcW w:w="80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rFonts w:hint="eastAsia"/>
                <w:b w:val="0"/>
                <w:bCs/>
                <w:color w:val="auto"/>
                <w:sz w:val="24"/>
                <w:szCs w:val="24"/>
              </w:rPr>
              <w:t>-</w:t>
            </w:r>
          </w:p>
        </w:tc>
        <w:tc>
          <w:tcPr>
            <w:tcW w:w="205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b w:val="0"/>
                <w:bCs/>
                <w:color w:val="auto"/>
                <w:sz w:val="24"/>
                <w:szCs w:val="24"/>
              </w:rPr>
              <w:t>城市主干路</w:t>
            </w:r>
          </w:p>
        </w:tc>
        <w:tc>
          <w:tcPr>
            <w:tcW w:w="128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b w:val="0"/>
                <w:bCs/>
                <w:color w:val="auto"/>
                <w:sz w:val="24"/>
                <w:szCs w:val="24"/>
              </w:rPr>
              <w:t>城市</w:t>
            </w:r>
            <w:r>
              <w:rPr>
                <w:rFonts w:hint="eastAsia"/>
                <w:b w:val="0"/>
                <w:bCs/>
                <w:color w:val="auto"/>
                <w:sz w:val="24"/>
                <w:szCs w:val="24"/>
              </w:rPr>
              <w:t>次</w:t>
            </w:r>
            <w:r>
              <w:rPr>
                <w:b w:val="0"/>
                <w:bCs/>
                <w:color w:val="auto"/>
                <w:sz w:val="24"/>
                <w:szCs w:val="24"/>
              </w:rPr>
              <w:t>干路</w:t>
            </w:r>
          </w:p>
        </w:tc>
      </w:tr>
      <w:tr>
        <w:tblPrEx>
          <w:tblCellMar>
            <w:top w:w="15" w:type="dxa"/>
            <w:left w:w="15" w:type="dxa"/>
            <w:bottom w:w="15" w:type="dxa"/>
            <w:right w:w="15" w:type="dxa"/>
          </w:tblCellMar>
        </w:tblPrEx>
        <w:trPr>
          <w:trHeight w:val="480" w:hRule="atLeast"/>
          <w:jc w:val="center"/>
        </w:trPr>
        <w:tc>
          <w:tcPr>
            <w:tcW w:w="1176"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b w:val="0"/>
                <w:bCs/>
                <w:color w:val="auto"/>
                <w:sz w:val="24"/>
                <w:szCs w:val="24"/>
              </w:rPr>
              <w:t>道路长度</w:t>
            </w:r>
          </w:p>
        </w:tc>
        <w:tc>
          <w:tcPr>
            <w:tcW w:w="80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rFonts w:hint="eastAsia"/>
                <w:b w:val="0"/>
                <w:bCs/>
                <w:color w:val="auto"/>
                <w:sz w:val="24"/>
                <w:szCs w:val="24"/>
              </w:rPr>
              <w:t>m</w:t>
            </w:r>
          </w:p>
        </w:tc>
        <w:tc>
          <w:tcPr>
            <w:tcW w:w="205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b w:val="0"/>
                <w:bCs/>
                <w:color w:val="auto"/>
                <w:sz w:val="24"/>
                <w:szCs w:val="24"/>
              </w:rPr>
              <w:t>1852</w:t>
            </w:r>
          </w:p>
        </w:tc>
        <w:tc>
          <w:tcPr>
            <w:tcW w:w="128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b w:val="0"/>
                <w:bCs/>
                <w:color w:val="auto"/>
                <w:sz w:val="24"/>
                <w:szCs w:val="24"/>
              </w:rPr>
              <w:t>1485</w:t>
            </w:r>
          </w:p>
        </w:tc>
      </w:tr>
      <w:tr>
        <w:tblPrEx>
          <w:tblCellMar>
            <w:top w:w="15" w:type="dxa"/>
            <w:left w:w="15" w:type="dxa"/>
            <w:bottom w:w="15" w:type="dxa"/>
            <w:right w:w="15" w:type="dxa"/>
          </w:tblCellMar>
        </w:tblPrEx>
        <w:trPr>
          <w:trHeight w:val="447" w:hRule="atLeast"/>
          <w:jc w:val="center"/>
        </w:trPr>
        <w:tc>
          <w:tcPr>
            <w:tcW w:w="1176"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rFonts w:hint="eastAsia"/>
                <w:b w:val="0"/>
                <w:bCs/>
                <w:color w:val="auto"/>
                <w:sz w:val="24"/>
                <w:szCs w:val="24"/>
              </w:rPr>
              <w:t>道路</w:t>
            </w:r>
            <w:r>
              <w:rPr>
                <w:b w:val="0"/>
                <w:bCs/>
                <w:color w:val="auto"/>
                <w:sz w:val="24"/>
                <w:szCs w:val="24"/>
              </w:rPr>
              <w:t>红线面积</w:t>
            </w:r>
          </w:p>
        </w:tc>
        <w:tc>
          <w:tcPr>
            <w:tcW w:w="80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rFonts w:hint="eastAsia"/>
                <w:b w:val="0"/>
                <w:bCs/>
                <w:color w:val="auto"/>
                <w:sz w:val="24"/>
                <w:szCs w:val="24"/>
              </w:rPr>
              <w:t>m</w:t>
            </w:r>
            <w:r>
              <w:rPr>
                <w:b w:val="0"/>
                <w:bCs/>
                <w:color w:val="auto"/>
                <w:sz w:val="24"/>
                <w:szCs w:val="24"/>
              </w:rPr>
              <w:t>2</w:t>
            </w:r>
          </w:p>
        </w:tc>
        <w:tc>
          <w:tcPr>
            <w:tcW w:w="205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rFonts w:hint="eastAsia"/>
                <w:b w:val="0"/>
                <w:bCs/>
                <w:color w:val="auto"/>
                <w:sz w:val="24"/>
                <w:szCs w:val="24"/>
              </w:rPr>
              <w:t>92653</w:t>
            </w:r>
          </w:p>
        </w:tc>
        <w:tc>
          <w:tcPr>
            <w:tcW w:w="128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rFonts w:hint="eastAsia"/>
                <w:b w:val="0"/>
                <w:bCs/>
                <w:color w:val="auto"/>
                <w:sz w:val="24"/>
                <w:szCs w:val="24"/>
              </w:rPr>
              <w:t>57079.4</w:t>
            </w:r>
          </w:p>
        </w:tc>
      </w:tr>
      <w:tr>
        <w:tblPrEx>
          <w:tblCellMar>
            <w:top w:w="15" w:type="dxa"/>
            <w:left w:w="15" w:type="dxa"/>
            <w:bottom w:w="15" w:type="dxa"/>
            <w:right w:w="15" w:type="dxa"/>
          </w:tblCellMar>
        </w:tblPrEx>
        <w:trPr>
          <w:trHeight w:val="447" w:hRule="atLeast"/>
          <w:jc w:val="center"/>
        </w:trPr>
        <w:tc>
          <w:tcPr>
            <w:tcW w:w="1176" w:type="dxa"/>
            <w:tcBorders>
              <w:top w:val="single" w:color="000000" w:sz="4" w:space="0"/>
              <w:left w:val="single" w:color="000000" w:sz="4" w:space="0"/>
              <w:bottom w:val="single" w:color="000000" w:sz="4" w:space="0"/>
              <w:right w:val="single" w:color="000000" w:sz="4" w:space="0"/>
            </w:tcBorders>
            <w:noWrap/>
            <w:vAlign w:val="center"/>
          </w:tcPr>
          <w:p>
            <w:pPr>
              <w:jc w:val="center"/>
              <w:rPr>
                <w:rFonts w:ascii="Times New Roman" w:hAnsi="Times New Roman"/>
                <w:b w:val="0"/>
                <w:bCs/>
                <w:color w:val="auto"/>
                <w:sz w:val="24"/>
                <w:szCs w:val="24"/>
              </w:rPr>
            </w:pPr>
            <w:r>
              <w:rPr>
                <w:rFonts w:ascii="Times New Roman" w:hAnsi="Times New Roman"/>
                <w:b w:val="0"/>
                <w:bCs/>
                <w:color w:val="auto"/>
                <w:sz w:val="24"/>
                <w:szCs w:val="24"/>
              </w:rPr>
              <w:t>道路</w:t>
            </w:r>
            <w:r>
              <w:rPr>
                <w:rFonts w:hint="eastAsia" w:ascii="Times New Roman" w:hAnsi="Times New Roman"/>
                <w:b w:val="0"/>
                <w:bCs/>
                <w:color w:val="auto"/>
                <w:sz w:val="24"/>
                <w:szCs w:val="24"/>
              </w:rPr>
              <w:t>路基</w:t>
            </w:r>
            <w:r>
              <w:rPr>
                <w:rFonts w:ascii="Times New Roman" w:hAnsi="Times New Roman"/>
                <w:b w:val="0"/>
                <w:bCs/>
                <w:color w:val="auto"/>
                <w:sz w:val="24"/>
                <w:szCs w:val="24"/>
              </w:rPr>
              <w:t>面积</w:t>
            </w:r>
          </w:p>
        </w:tc>
        <w:tc>
          <w:tcPr>
            <w:tcW w:w="80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rFonts w:hint="eastAsia"/>
                <w:b w:val="0"/>
                <w:bCs/>
                <w:color w:val="auto"/>
                <w:sz w:val="24"/>
                <w:szCs w:val="24"/>
              </w:rPr>
              <w:t>m2</w:t>
            </w:r>
          </w:p>
        </w:tc>
        <w:tc>
          <w:tcPr>
            <w:tcW w:w="205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rFonts w:hint="eastAsia"/>
                <w:b w:val="0"/>
                <w:bCs/>
                <w:color w:val="auto"/>
                <w:sz w:val="24"/>
                <w:szCs w:val="24"/>
              </w:rPr>
              <w:t>90380</w:t>
            </w:r>
          </w:p>
        </w:tc>
        <w:tc>
          <w:tcPr>
            <w:tcW w:w="128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rFonts w:hint="eastAsia"/>
                <w:b w:val="0"/>
                <w:bCs/>
                <w:color w:val="auto"/>
                <w:sz w:val="24"/>
                <w:szCs w:val="24"/>
              </w:rPr>
              <w:t>50929.4</w:t>
            </w:r>
          </w:p>
        </w:tc>
      </w:tr>
      <w:tr>
        <w:tblPrEx>
          <w:tblCellMar>
            <w:top w:w="15" w:type="dxa"/>
            <w:left w:w="15" w:type="dxa"/>
            <w:bottom w:w="15" w:type="dxa"/>
            <w:right w:w="15" w:type="dxa"/>
          </w:tblCellMar>
        </w:tblPrEx>
        <w:trPr>
          <w:trHeight w:val="447" w:hRule="atLeast"/>
          <w:jc w:val="center"/>
        </w:trPr>
        <w:tc>
          <w:tcPr>
            <w:tcW w:w="1176"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rFonts w:hint="eastAsia"/>
                <w:b w:val="0"/>
                <w:bCs/>
                <w:color w:val="auto"/>
                <w:sz w:val="24"/>
                <w:szCs w:val="24"/>
              </w:rPr>
              <w:t>桥梁面积</w:t>
            </w:r>
          </w:p>
        </w:tc>
        <w:tc>
          <w:tcPr>
            <w:tcW w:w="80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rFonts w:hint="eastAsia"/>
                <w:b w:val="0"/>
                <w:bCs/>
                <w:color w:val="auto"/>
                <w:sz w:val="24"/>
                <w:szCs w:val="24"/>
              </w:rPr>
              <w:t>m2</w:t>
            </w:r>
          </w:p>
        </w:tc>
        <w:tc>
          <w:tcPr>
            <w:tcW w:w="205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rFonts w:hint="eastAsia"/>
                <w:b w:val="0"/>
                <w:bCs/>
                <w:color w:val="auto"/>
                <w:sz w:val="24"/>
                <w:szCs w:val="24"/>
              </w:rPr>
              <w:t xml:space="preserve">2273 </w:t>
            </w:r>
          </w:p>
        </w:tc>
        <w:tc>
          <w:tcPr>
            <w:tcW w:w="128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rFonts w:hint="eastAsia"/>
                <w:b w:val="0"/>
                <w:bCs/>
                <w:color w:val="auto"/>
                <w:sz w:val="24"/>
                <w:szCs w:val="24"/>
              </w:rPr>
              <w:t xml:space="preserve">6150 </w:t>
            </w:r>
          </w:p>
        </w:tc>
      </w:tr>
      <w:tr>
        <w:tblPrEx>
          <w:tblCellMar>
            <w:top w:w="15" w:type="dxa"/>
            <w:left w:w="15" w:type="dxa"/>
            <w:bottom w:w="15" w:type="dxa"/>
            <w:right w:w="15" w:type="dxa"/>
          </w:tblCellMar>
        </w:tblPrEx>
        <w:trPr>
          <w:trHeight w:val="447" w:hRule="atLeast"/>
          <w:jc w:val="center"/>
        </w:trPr>
        <w:tc>
          <w:tcPr>
            <w:tcW w:w="1176" w:type="dxa"/>
            <w:tcBorders>
              <w:top w:val="single" w:color="000000" w:sz="4" w:space="0"/>
              <w:left w:val="single" w:color="000000" w:sz="4" w:space="0"/>
              <w:bottom w:val="single" w:color="000000" w:sz="4" w:space="0"/>
              <w:right w:val="single" w:color="000000" w:sz="4" w:space="0"/>
            </w:tcBorders>
            <w:noWrap/>
            <w:vAlign w:val="center"/>
          </w:tcPr>
          <w:p>
            <w:pPr>
              <w:jc w:val="center"/>
              <w:rPr>
                <w:rFonts w:ascii="Times New Roman" w:hAnsi="Times New Roman"/>
                <w:b w:val="0"/>
                <w:bCs/>
                <w:color w:val="auto"/>
                <w:sz w:val="24"/>
                <w:szCs w:val="24"/>
              </w:rPr>
            </w:pPr>
            <w:r>
              <w:rPr>
                <w:rFonts w:hint="eastAsia" w:ascii="Times New Roman" w:hAnsi="Times New Roman"/>
                <w:b w:val="0"/>
                <w:bCs/>
                <w:color w:val="auto"/>
                <w:sz w:val="24"/>
                <w:szCs w:val="24"/>
              </w:rPr>
              <w:t>桥梁长度</w:t>
            </w:r>
          </w:p>
        </w:tc>
        <w:tc>
          <w:tcPr>
            <w:tcW w:w="80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rFonts w:hint="eastAsia"/>
                <w:b w:val="0"/>
                <w:bCs/>
                <w:color w:val="auto"/>
                <w:sz w:val="24"/>
                <w:szCs w:val="24"/>
              </w:rPr>
              <w:t>m</w:t>
            </w:r>
          </w:p>
        </w:tc>
        <w:tc>
          <w:tcPr>
            <w:tcW w:w="205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rFonts w:hint="eastAsia"/>
                <w:b w:val="0"/>
                <w:bCs/>
                <w:color w:val="auto"/>
                <w:sz w:val="24"/>
                <w:szCs w:val="24"/>
              </w:rPr>
              <w:t>45（1座）</w:t>
            </w:r>
          </w:p>
        </w:tc>
        <w:tc>
          <w:tcPr>
            <w:tcW w:w="128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rFonts w:hint="eastAsia"/>
                <w:b w:val="0"/>
                <w:bCs/>
                <w:color w:val="auto"/>
                <w:sz w:val="24"/>
                <w:szCs w:val="24"/>
              </w:rPr>
              <w:t>150（1座）</w:t>
            </w:r>
          </w:p>
        </w:tc>
      </w:tr>
      <w:tr>
        <w:tblPrEx>
          <w:tblCellMar>
            <w:top w:w="15" w:type="dxa"/>
            <w:left w:w="15" w:type="dxa"/>
            <w:bottom w:w="15" w:type="dxa"/>
            <w:right w:w="15" w:type="dxa"/>
          </w:tblCellMar>
        </w:tblPrEx>
        <w:trPr>
          <w:trHeight w:val="480" w:hRule="atLeast"/>
          <w:jc w:val="center"/>
        </w:trPr>
        <w:tc>
          <w:tcPr>
            <w:tcW w:w="1176"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b w:val="0"/>
                <w:bCs/>
                <w:color w:val="auto"/>
                <w:sz w:val="24"/>
                <w:szCs w:val="24"/>
              </w:rPr>
              <w:t>设计速度</w:t>
            </w:r>
          </w:p>
        </w:tc>
        <w:tc>
          <w:tcPr>
            <w:tcW w:w="80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rFonts w:hint="eastAsia"/>
                <w:b w:val="0"/>
                <w:bCs/>
                <w:color w:val="auto"/>
                <w:sz w:val="24"/>
                <w:szCs w:val="24"/>
              </w:rPr>
              <w:t>k</w:t>
            </w:r>
            <w:r>
              <w:rPr>
                <w:b w:val="0"/>
                <w:bCs/>
                <w:color w:val="auto"/>
                <w:sz w:val="24"/>
                <w:szCs w:val="24"/>
              </w:rPr>
              <w:t>m/</w:t>
            </w:r>
            <w:r>
              <w:rPr>
                <w:rFonts w:hint="eastAsia"/>
                <w:b w:val="0"/>
                <w:bCs/>
                <w:color w:val="auto"/>
                <w:sz w:val="24"/>
                <w:szCs w:val="24"/>
              </w:rPr>
              <w:t>h</w:t>
            </w:r>
          </w:p>
        </w:tc>
        <w:tc>
          <w:tcPr>
            <w:tcW w:w="205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b w:val="0"/>
                <w:bCs/>
                <w:color w:val="auto"/>
                <w:sz w:val="24"/>
                <w:szCs w:val="24"/>
              </w:rPr>
              <w:t>60</w:t>
            </w:r>
          </w:p>
        </w:tc>
        <w:tc>
          <w:tcPr>
            <w:tcW w:w="128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rFonts w:hint="eastAsia"/>
                <w:b w:val="0"/>
                <w:bCs/>
                <w:color w:val="auto"/>
                <w:sz w:val="24"/>
                <w:szCs w:val="24"/>
              </w:rPr>
              <w:t>4</w:t>
            </w:r>
            <w:r>
              <w:rPr>
                <w:b w:val="0"/>
                <w:bCs/>
                <w:color w:val="auto"/>
                <w:sz w:val="24"/>
                <w:szCs w:val="24"/>
              </w:rPr>
              <w:t>0</w:t>
            </w:r>
          </w:p>
        </w:tc>
      </w:tr>
      <w:tr>
        <w:tblPrEx>
          <w:tblCellMar>
            <w:top w:w="15" w:type="dxa"/>
            <w:left w:w="15" w:type="dxa"/>
            <w:bottom w:w="15" w:type="dxa"/>
            <w:right w:w="15" w:type="dxa"/>
          </w:tblCellMar>
        </w:tblPrEx>
        <w:trPr>
          <w:trHeight w:val="480" w:hRule="atLeast"/>
          <w:jc w:val="center"/>
        </w:trPr>
        <w:tc>
          <w:tcPr>
            <w:tcW w:w="1176"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rFonts w:hint="eastAsia"/>
                <w:b w:val="0"/>
                <w:bCs/>
                <w:color w:val="auto"/>
                <w:sz w:val="24"/>
                <w:szCs w:val="24"/>
              </w:rPr>
              <w:t>路面结构</w:t>
            </w:r>
          </w:p>
        </w:tc>
        <w:tc>
          <w:tcPr>
            <w:tcW w:w="80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p>
        </w:tc>
        <w:tc>
          <w:tcPr>
            <w:tcW w:w="205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rFonts w:hint="eastAsia"/>
                <w:b w:val="0"/>
                <w:bCs/>
                <w:color w:val="auto"/>
                <w:sz w:val="24"/>
                <w:szCs w:val="24"/>
              </w:rPr>
              <w:t>沥青路面</w:t>
            </w:r>
          </w:p>
        </w:tc>
        <w:tc>
          <w:tcPr>
            <w:tcW w:w="128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rPr>
            </w:pPr>
            <w:r>
              <w:rPr>
                <w:rFonts w:hint="eastAsia"/>
                <w:b w:val="0"/>
                <w:bCs/>
                <w:color w:val="auto"/>
                <w:sz w:val="24"/>
                <w:szCs w:val="24"/>
              </w:rPr>
              <w:t>沥青路面</w:t>
            </w:r>
          </w:p>
        </w:tc>
      </w:tr>
      <w:tr>
        <w:tblPrEx>
          <w:tblCellMar>
            <w:top w:w="15" w:type="dxa"/>
            <w:left w:w="15" w:type="dxa"/>
            <w:bottom w:w="15" w:type="dxa"/>
            <w:right w:w="15" w:type="dxa"/>
          </w:tblCellMar>
        </w:tblPrEx>
        <w:trPr>
          <w:trHeight w:val="480" w:hRule="atLeast"/>
          <w:jc w:val="center"/>
        </w:trPr>
        <w:tc>
          <w:tcPr>
            <w:tcW w:w="1176"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highlight w:val="magenta"/>
              </w:rPr>
            </w:pPr>
            <w:r>
              <w:rPr>
                <w:rFonts w:hint="eastAsia"/>
                <w:b w:val="0"/>
                <w:bCs/>
                <w:color w:val="auto"/>
                <w:sz w:val="24"/>
                <w:szCs w:val="24"/>
                <w:highlight w:val="magenta"/>
              </w:rPr>
              <w:t>工程费用</w:t>
            </w:r>
          </w:p>
        </w:tc>
        <w:tc>
          <w:tcPr>
            <w:tcW w:w="80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highlight w:val="magenta"/>
              </w:rPr>
            </w:pPr>
            <w:r>
              <w:rPr>
                <w:rFonts w:hint="eastAsia"/>
                <w:b w:val="0"/>
                <w:bCs/>
                <w:color w:val="auto"/>
                <w:sz w:val="24"/>
                <w:szCs w:val="24"/>
                <w:highlight w:val="magenta"/>
              </w:rPr>
              <w:t>万元</w:t>
            </w:r>
          </w:p>
        </w:tc>
        <w:tc>
          <w:tcPr>
            <w:tcW w:w="205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highlight w:val="magenta"/>
              </w:rPr>
            </w:pPr>
            <w:r>
              <w:rPr>
                <w:b w:val="0"/>
                <w:bCs/>
                <w:color w:val="auto"/>
                <w:sz w:val="24"/>
                <w:szCs w:val="24"/>
                <w:highlight w:val="magenta"/>
              </w:rPr>
              <w:t>43767.83</w:t>
            </w:r>
          </w:p>
        </w:tc>
        <w:tc>
          <w:tcPr>
            <w:tcW w:w="1280" w:type="dxa"/>
            <w:tcBorders>
              <w:top w:val="single" w:color="000000" w:sz="4" w:space="0"/>
              <w:left w:val="single" w:color="000000" w:sz="4" w:space="0"/>
              <w:bottom w:val="single" w:color="000000" w:sz="4" w:space="0"/>
              <w:right w:val="single" w:color="000000" w:sz="4" w:space="0"/>
            </w:tcBorders>
            <w:noWrap/>
            <w:vAlign w:val="center"/>
          </w:tcPr>
          <w:p>
            <w:pPr>
              <w:jc w:val="center"/>
              <w:rPr>
                <w:b w:val="0"/>
                <w:bCs/>
                <w:color w:val="auto"/>
                <w:sz w:val="24"/>
                <w:szCs w:val="24"/>
                <w:highlight w:val="magenta"/>
              </w:rPr>
            </w:pPr>
            <w:r>
              <w:rPr>
                <w:b w:val="0"/>
                <w:bCs/>
                <w:color w:val="auto"/>
                <w:sz w:val="24"/>
                <w:szCs w:val="24"/>
                <w:highlight w:val="magenta"/>
              </w:rPr>
              <w:t>32155.89</w:t>
            </w:r>
          </w:p>
        </w:tc>
      </w:tr>
    </w:tbl>
    <w:p>
      <w:pPr>
        <w:pStyle w:val="4"/>
        <w:ind w:firstLine="482" w:firstLineChars="200"/>
      </w:pPr>
      <w:bookmarkStart w:id="10" w:name="_Toc9159"/>
      <w:r>
        <w:t>建设工期</w:t>
      </w:r>
      <w:bookmarkEnd w:id="10"/>
    </w:p>
    <w:p>
      <w:pPr>
        <w:spacing w:line="288"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本项目计划2023年12月开工，2025年3月底建成通车，施工工期</w:t>
      </w:r>
      <w:r>
        <w:rPr>
          <w:rFonts w:hint="eastAsia" w:ascii="Times New Roman" w:hAnsi="Times New Roman"/>
          <w:b w:val="0"/>
          <w:color w:val="auto"/>
          <w:sz w:val="24"/>
          <w:szCs w:val="24"/>
          <w:lang w:val="en-US" w:eastAsia="zh-CN"/>
        </w:rPr>
        <w:t>约</w:t>
      </w:r>
      <w:r>
        <w:rPr>
          <w:rFonts w:ascii="Times New Roman" w:hAnsi="Times New Roman"/>
          <w:b w:val="0"/>
          <w:color w:val="auto"/>
          <w:sz w:val="24"/>
          <w:szCs w:val="24"/>
        </w:rPr>
        <w:t>为15个月</w:t>
      </w:r>
      <w:r>
        <w:rPr>
          <w:rFonts w:hint="eastAsia" w:ascii="Times New Roman" w:hAnsi="Times New Roman"/>
          <w:b w:val="0"/>
          <w:color w:val="auto"/>
          <w:sz w:val="24"/>
          <w:szCs w:val="24"/>
        </w:rPr>
        <w:t>。</w:t>
      </w:r>
    </w:p>
    <w:p>
      <w:pPr>
        <w:pStyle w:val="4"/>
        <w:ind w:firstLine="482" w:firstLineChars="200"/>
      </w:pPr>
      <w:bookmarkStart w:id="11" w:name="_Toc10608"/>
      <w:r>
        <w:t>投资规模和资金来源</w:t>
      </w:r>
      <w:bookmarkEnd w:id="11"/>
    </w:p>
    <w:p>
      <w:pPr>
        <w:spacing w:line="288"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highlight w:val="cyan"/>
        </w:rPr>
        <w:t>本项目总投资约99629.78万元，其中工程费用约75923.72万元，工程建设其他费用19496.78（含建设用地费）万元，基本预备费4209.28万元。</w:t>
      </w:r>
    </w:p>
    <w:p>
      <w:pPr>
        <w:spacing w:line="288"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highlight w:val="cyan"/>
        </w:rPr>
        <w:t>本</w:t>
      </w:r>
      <w:r>
        <w:rPr>
          <w:rFonts w:hint="eastAsia" w:ascii="Times New Roman" w:hAnsi="Times New Roman"/>
          <w:b w:val="0"/>
          <w:color w:val="auto"/>
          <w:sz w:val="24"/>
          <w:szCs w:val="24"/>
          <w:highlight w:val="cyan"/>
        </w:rPr>
        <w:t>项目土地受让人按照“土地出让+项目配建”模式承担南沙全民文化体育综合体项目建设任务，按照配建抵减的土地出让收入金额筹集资金保障项目建设。</w:t>
      </w:r>
    </w:p>
    <w:p>
      <w:pPr>
        <w:pStyle w:val="3"/>
        <w:ind w:firstLine="562" w:firstLineChars="200"/>
      </w:pPr>
      <w:bookmarkStart w:id="12" w:name="_Toc26364"/>
      <w:r>
        <w:t>项目单位概况</w:t>
      </w:r>
      <w:bookmarkEnd w:id="12"/>
    </w:p>
    <w:p>
      <w:pPr>
        <w:spacing w:line="288" w:lineRule="auto"/>
        <w:ind w:firstLine="480" w:firstLineChars="200"/>
        <w:jc w:val="left"/>
        <w:rPr>
          <w:rFonts w:ascii="Times New Roman" w:hAnsi="Times New Roman"/>
          <w:b w:val="0"/>
          <w:color w:val="auto"/>
          <w:sz w:val="24"/>
          <w:szCs w:val="24"/>
        </w:rPr>
      </w:pPr>
      <w:r>
        <w:rPr>
          <w:rFonts w:hint="eastAsia" w:ascii="Times New Roman" w:hAnsi="Times New Roman"/>
          <w:b w:val="0"/>
          <w:color w:val="auto"/>
          <w:sz w:val="24"/>
          <w:szCs w:val="24"/>
        </w:rPr>
        <w:t>根据《穗南综指办〔2023〕1号-南沙大型城市综合体建设指挥部办公室关于印发《南沙大型城市综合体建设指挥部办公室机构设置及职责》的通知》（详见附件17），</w:t>
      </w:r>
      <w:r>
        <w:rPr>
          <w:rFonts w:ascii="Times New Roman" w:hAnsi="Times New Roman"/>
          <w:b w:val="0"/>
          <w:color w:val="auto"/>
          <w:sz w:val="24"/>
          <w:szCs w:val="24"/>
        </w:rPr>
        <w:t>本项目建设管理单位为广州南沙交通投资集团有限公司。</w:t>
      </w:r>
    </w:p>
    <w:p>
      <w:pPr>
        <w:spacing w:line="288"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广州南沙交通投资集团有限公司(以下简称“交投集团”)于2022年10月28日挂牌，是南沙开发区管委会全额出资组建的区属国有一级集团公司。</w:t>
      </w:r>
    </w:p>
    <w:p>
      <w:pPr>
        <w:spacing w:line="288" w:lineRule="auto"/>
        <w:ind w:firstLine="480" w:firstLineChars="200"/>
        <w:jc w:val="left"/>
        <w:rPr>
          <w:rFonts w:ascii="Times New Roman" w:hAnsi="Times New Roman"/>
        </w:rPr>
      </w:pPr>
      <w:r>
        <w:rPr>
          <w:rFonts w:ascii="Times New Roman" w:hAnsi="Times New Roman"/>
          <w:b w:val="0"/>
          <w:color w:val="auto"/>
          <w:sz w:val="24"/>
          <w:szCs w:val="24"/>
        </w:rPr>
        <w:t>交投集团以“双区”建设“双城”联动为战略引领，充分发挥区属国企战略支撑、基础保障作用，定位为区域交通设施建设和运维服务商，围绕管委会、区政府关于优化区内公共交通体系的工作要求，对标交通行业先进企业，聚焦主营业务，大力发展智慧交通和枢纽经济，整体提升城市综合交通精准动态协同服务能力，按照“站城一体化”理念高标准推进枢纽站场规划建设，完善“枢纽+社区+产业”融合发展模式，推进重大轨道枢纽站场综合体开发建设，形成以交通枢纽为核心的城市开发及产业布局。</w:t>
      </w:r>
    </w:p>
    <w:p>
      <w:pPr>
        <w:pStyle w:val="3"/>
        <w:spacing w:line="288" w:lineRule="auto"/>
        <w:ind w:firstLine="562" w:firstLineChars="200"/>
      </w:pPr>
      <w:bookmarkStart w:id="13" w:name="_Toc25266"/>
      <w:r>
        <w:fldChar w:fldCharType="begin"/>
      </w:r>
      <w:r>
        <w:instrText xml:space="preserve">HYPERLINK\l"_Toc16487_"</w:instrText>
      </w:r>
      <w:r>
        <w:fldChar w:fldCharType="separate"/>
      </w:r>
      <w:bookmarkStart w:id="14" w:name="_Toc139447459"/>
      <w:r>
        <w:t>编制依据</w:t>
      </w:r>
      <w:bookmarkEnd w:id="14"/>
      <w:r>
        <w:fldChar w:fldCharType="end"/>
      </w:r>
      <w:bookmarkEnd w:id="13"/>
    </w:p>
    <w:p>
      <w:pPr>
        <w:pStyle w:val="117"/>
        <w:numPr>
          <w:ilvl w:val="0"/>
          <w:numId w:val="5"/>
        </w:numPr>
        <w:spacing w:line="288" w:lineRule="auto"/>
        <w:ind w:firstLine="480"/>
        <w:rPr>
          <w:rFonts w:ascii="Times New Roman" w:hAnsi="Times New Roman"/>
        </w:rPr>
      </w:pPr>
      <w:r>
        <w:rPr>
          <w:rFonts w:ascii="Times New Roman" w:hAnsi="Times New Roman"/>
        </w:rPr>
        <w:t>《广州市国土空间总体规划(2018-2035年)》</w:t>
      </w:r>
    </w:p>
    <w:p>
      <w:pPr>
        <w:pStyle w:val="117"/>
        <w:numPr>
          <w:ilvl w:val="0"/>
          <w:numId w:val="5"/>
        </w:numPr>
        <w:spacing w:line="288" w:lineRule="auto"/>
        <w:ind w:firstLine="480"/>
        <w:rPr>
          <w:rFonts w:ascii="Times New Roman" w:hAnsi="Times New Roman"/>
        </w:rPr>
      </w:pPr>
      <w:r>
        <w:rPr>
          <w:rFonts w:ascii="Times New Roman" w:hAnsi="Times New Roman"/>
        </w:rPr>
        <w:t>《南沙新区城市总体规划（2012-2025）》（2014年10月版）；</w:t>
      </w:r>
    </w:p>
    <w:p>
      <w:pPr>
        <w:pStyle w:val="117"/>
        <w:numPr>
          <w:ilvl w:val="0"/>
          <w:numId w:val="5"/>
        </w:numPr>
        <w:spacing w:line="288" w:lineRule="auto"/>
        <w:ind w:firstLine="480"/>
        <w:rPr>
          <w:rFonts w:ascii="Times New Roman" w:hAnsi="Times New Roman"/>
        </w:rPr>
      </w:pPr>
      <w:r>
        <w:rPr>
          <w:rFonts w:ascii="Times New Roman" w:hAnsi="Times New Roman"/>
        </w:rPr>
        <w:t>《南沙新区国土空间总体规划（2021-2035年）》</w:t>
      </w:r>
    </w:p>
    <w:p>
      <w:pPr>
        <w:pStyle w:val="117"/>
        <w:numPr>
          <w:ilvl w:val="0"/>
          <w:numId w:val="5"/>
        </w:numPr>
        <w:spacing w:line="288" w:lineRule="auto"/>
        <w:ind w:firstLine="480"/>
        <w:rPr>
          <w:rFonts w:ascii="Times New Roman" w:hAnsi="Times New Roman"/>
        </w:rPr>
      </w:pPr>
      <w:r>
        <w:rPr>
          <w:rFonts w:ascii="Times New Roman" w:hAnsi="Times New Roman"/>
        </w:rPr>
        <w:t>《南沙新区综合交通体系规划》（2014年10月版）；</w:t>
      </w:r>
    </w:p>
    <w:p>
      <w:pPr>
        <w:pStyle w:val="117"/>
        <w:numPr>
          <w:ilvl w:val="0"/>
          <w:numId w:val="5"/>
        </w:numPr>
        <w:spacing w:line="288" w:lineRule="auto"/>
        <w:ind w:firstLine="480"/>
        <w:rPr>
          <w:rFonts w:ascii="Times New Roman" w:hAnsi="Times New Roman"/>
        </w:rPr>
      </w:pPr>
      <w:r>
        <w:rPr>
          <w:rFonts w:ascii="Times New Roman" w:hAnsi="Times New Roman"/>
        </w:rPr>
        <w:t>《南沙新区市政基础设施技术指引》（2015年10月版）；</w:t>
      </w:r>
    </w:p>
    <w:p>
      <w:pPr>
        <w:pStyle w:val="117"/>
        <w:numPr>
          <w:ilvl w:val="0"/>
          <w:numId w:val="5"/>
        </w:numPr>
        <w:spacing w:line="288" w:lineRule="auto"/>
        <w:ind w:firstLine="480"/>
        <w:rPr>
          <w:rFonts w:ascii="Times New Roman" w:hAnsi="Times New Roman"/>
        </w:rPr>
      </w:pPr>
      <w:r>
        <w:rPr>
          <w:rFonts w:ascii="Times New Roman" w:hAnsi="Times New Roman"/>
        </w:rPr>
        <w:t>《广州南沙新区横沥分区控制性详细规划》（2019年10月版）；</w:t>
      </w:r>
    </w:p>
    <w:p>
      <w:pPr>
        <w:pStyle w:val="117"/>
        <w:numPr>
          <w:ilvl w:val="0"/>
          <w:numId w:val="5"/>
        </w:numPr>
        <w:spacing w:line="288" w:lineRule="auto"/>
        <w:ind w:firstLine="480"/>
        <w:rPr>
          <w:rFonts w:ascii="Times New Roman" w:hAnsi="Times New Roman"/>
        </w:rPr>
      </w:pPr>
      <w:r>
        <w:rPr>
          <w:rFonts w:ascii="Times New Roman" w:hAnsi="Times New Roman"/>
        </w:rPr>
        <w:t>《城市道路品质化提升建设指引》完善版（2017年5月版）；</w:t>
      </w:r>
    </w:p>
    <w:p>
      <w:pPr>
        <w:pStyle w:val="117"/>
        <w:numPr>
          <w:ilvl w:val="0"/>
          <w:numId w:val="5"/>
        </w:numPr>
        <w:spacing w:line="288" w:lineRule="auto"/>
        <w:ind w:firstLine="480"/>
        <w:rPr>
          <w:rFonts w:ascii="Times New Roman" w:hAnsi="Times New Roman"/>
        </w:rPr>
      </w:pPr>
      <w:r>
        <w:rPr>
          <w:rFonts w:ascii="Times New Roman" w:hAnsi="Times New Roman"/>
        </w:rPr>
        <w:t>《广州市海绵城市建设技术指引及标准图集（试行）》；</w:t>
      </w:r>
    </w:p>
    <w:p>
      <w:pPr>
        <w:pStyle w:val="117"/>
        <w:numPr>
          <w:ilvl w:val="0"/>
          <w:numId w:val="5"/>
        </w:numPr>
        <w:spacing w:line="288" w:lineRule="auto"/>
        <w:ind w:firstLine="480"/>
        <w:rPr>
          <w:rFonts w:ascii="Times New Roman" w:hAnsi="Times New Roman"/>
        </w:rPr>
      </w:pPr>
      <w:r>
        <w:rPr>
          <w:rFonts w:ascii="Times New Roman" w:hAnsi="Times New Roman"/>
        </w:rPr>
        <w:t>《国家发展改革委关于印发投资项目可行性研究报告编写大纲及说明的通知》（发改投资规〔2023〕304号）</w:t>
      </w:r>
    </w:p>
    <w:p>
      <w:pPr>
        <w:pStyle w:val="117"/>
        <w:numPr>
          <w:ilvl w:val="0"/>
          <w:numId w:val="5"/>
        </w:numPr>
        <w:spacing w:line="288" w:lineRule="auto"/>
        <w:ind w:firstLine="480"/>
        <w:rPr>
          <w:rFonts w:ascii="Times New Roman" w:hAnsi="Times New Roman"/>
        </w:rPr>
      </w:pPr>
      <w:r>
        <w:rPr>
          <w:rFonts w:ascii="Times New Roman" w:hAnsi="Times New Roman"/>
        </w:rPr>
        <w:t>项目周边其他已建或在建工程的相关资料等；</w:t>
      </w:r>
    </w:p>
    <w:p>
      <w:pPr>
        <w:pStyle w:val="117"/>
        <w:numPr>
          <w:ilvl w:val="0"/>
          <w:numId w:val="5"/>
        </w:numPr>
        <w:spacing w:line="288" w:lineRule="auto"/>
        <w:ind w:firstLine="480"/>
        <w:rPr>
          <w:rFonts w:ascii="Times New Roman" w:hAnsi="Times New Roman"/>
        </w:rPr>
      </w:pPr>
      <w:r>
        <w:rPr>
          <w:rFonts w:ascii="Times New Roman" w:hAnsi="Times New Roman"/>
        </w:rPr>
        <w:t>关于印发南沙区落实《南沙全民文化体育综合体及配套设施建设第一批工作任务》的实施方案的通知；</w:t>
      </w:r>
    </w:p>
    <w:p>
      <w:pPr>
        <w:pStyle w:val="117"/>
        <w:numPr>
          <w:ilvl w:val="0"/>
          <w:numId w:val="5"/>
        </w:numPr>
        <w:spacing w:line="288" w:lineRule="auto"/>
        <w:ind w:firstLine="480"/>
        <w:rPr>
          <w:rFonts w:ascii="Times New Roman" w:hAnsi="Times New Roman"/>
        </w:rPr>
      </w:pPr>
      <w:bookmarkStart w:id="15" w:name="_Toc139447460"/>
      <w:r>
        <w:rPr>
          <w:rFonts w:ascii="Times New Roman" w:hAnsi="Times New Roman"/>
        </w:rPr>
        <w:t>广州南沙经济技术开发区规划和自然资源局《南沙新区万顷沙南部片区道路控制性规划修正方案批后通告图》及广州及南沙新区相关指南、指引文件；</w:t>
      </w:r>
    </w:p>
    <w:p>
      <w:pPr>
        <w:pStyle w:val="3"/>
        <w:spacing w:line="288" w:lineRule="auto"/>
        <w:ind w:firstLine="562" w:firstLineChars="200"/>
      </w:pPr>
      <w:bookmarkStart w:id="16" w:name="_Toc12975"/>
      <w:r>
        <w:t>工程采用的坐标及高程系统</w:t>
      </w:r>
      <w:bookmarkEnd w:id="15"/>
      <w:bookmarkEnd w:id="16"/>
    </w:p>
    <w:p>
      <w:pPr>
        <w:spacing w:line="288"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本项目坐标系统采用广州2000坐标系统，高程系统采用广州城建高程系统。</w:t>
      </w:r>
    </w:p>
    <w:p>
      <w:pPr>
        <w:pStyle w:val="3"/>
        <w:spacing w:line="288" w:lineRule="auto"/>
        <w:ind w:firstLine="562" w:firstLineChars="200"/>
      </w:pPr>
      <w:bookmarkStart w:id="17" w:name="_Toc6341"/>
      <w:r>
        <w:t>项目提出的理由与过程</w:t>
      </w:r>
      <w:bookmarkEnd w:id="17"/>
    </w:p>
    <w:p>
      <w:pPr>
        <w:spacing w:line="288" w:lineRule="auto"/>
        <w:ind w:firstLine="482" w:firstLineChars="200"/>
        <w:jc w:val="left"/>
        <w:rPr>
          <w:rFonts w:ascii="Times New Roman" w:hAnsi="Times New Roman"/>
          <w:b w:val="0"/>
          <w:color w:val="auto"/>
          <w:sz w:val="24"/>
          <w:szCs w:val="24"/>
        </w:rPr>
      </w:pPr>
      <w:r>
        <w:rPr>
          <w:rFonts w:hint="eastAsia" w:ascii="Times New Roman" w:hAnsi="Times New Roman"/>
          <w:bCs/>
          <w:color w:val="auto"/>
          <w:sz w:val="24"/>
          <w:szCs w:val="24"/>
        </w:rPr>
        <w:t>（1）</w:t>
      </w:r>
      <w:r>
        <w:rPr>
          <w:rFonts w:ascii="Times New Roman" w:hAnsi="Times New Roman"/>
          <w:bCs/>
          <w:color w:val="auto"/>
          <w:sz w:val="24"/>
          <w:szCs w:val="24"/>
        </w:rPr>
        <w:t>2021年12月，</w:t>
      </w:r>
      <w:r>
        <w:rPr>
          <w:rFonts w:ascii="Times New Roman" w:hAnsi="Times New Roman"/>
          <w:b w:val="0"/>
          <w:color w:val="auto"/>
          <w:sz w:val="24"/>
          <w:szCs w:val="24"/>
        </w:rPr>
        <w:t>广东省体育局、广东省发改委印发《广东省“十四五”时期全民健身场地设施补短板五年行动方案》，方案提出补齐“两场一馆一池一中心”建设短板。文件指出南沙区十四五时期公共体育场馆补齐短标目标包括建设体育场、游泳池（馆）、全民建设广场、全民健身中心。</w:t>
      </w:r>
    </w:p>
    <w:p>
      <w:pPr>
        <w:spacing w:line="288" w:lineRule="auto"/>
        <w:ind w:firstLine="482" w:firstLineChars="200"/>
        <w:jc w:val="left"/>
        <w:rPr>
          <w:rFonts w:ascii="Times New Roman" w:hAnsi="Times New Roman"/>
          <w:b w:val="0"/>
          <w:color w:val="auto"/>
          <w:sz w:val="24"/>
          <w:szCs w:val="24"/>
        </w:rPr>
      </w:pPr>
      <w:r>
        <w:rPr>
          <w:rFonts w:hint="eastAsia" w:ascii="Times New Roman" w:hAnsi="Times New Roman"/>
          <w:bCs/>
          <w:color w:val="auto"/>
          <w:sz w:val="24"/>
          <w:szCs w:val="24"/>
        </w:rPr>
        <w:t>（2）</w:t>
      </w:r>
      <w:r>
        <w:rPr>
          <w:rFonts w:ascii="Times New Roman" w:hAnsi="Times New Roman"/>
          <w:bCs/>
          <w:color w:val="auto"/>
          <w:sz w:val="24"/>
          <w:szCs w:val="24"/>
        </w:rPr>
        <w:t>2022年6月，</w:t>
      </w:r>
      <w:r>
        <w:rPr>
          <w:rFonts w:ascii="Times New Roman" w:hAnsi="Times New Roman"/>
          <w:b w:val="0"/>
          <w:color w:val="auto"/>
          <w:sz w:val="24"/>
          <w:szCs w:val="24"/>
        </w:rPr>
        <w:t>国务院正式印发《广州南沙深化面向世界的粤港澳全面合作总体方案》，加快推动广州南沙深化粤港澳全面合作，打造成为立足湾区、协同港澳、面向世界的重大战略性平台，在粤港澳大湾区建设中更好发挥引领带动作用。方案提出“构建国际交往新平台，积极承办国际重要论坛、大型文体赛事等对外交流活动”。</w:t>
      </w:r>
    </w:p>
    <w:p>
      <w:pPr>
        <w:spacing w:line="288" w:lineRule="auto"/>
        <w:ind w:firstLine="482" w:firstLineChars="200"/>
        <w:jc w:val="left"/>
        <w:rPr>
          <w:rFonts w:ascii="Times New Roman" w:hAnsi="Times New Roman"/>
          <w:b w:val="0"/>
          <w:color w:val="auto"/>
          <w:sz w:val="24"/>
          <w:szCs w:val="24"/>
        </w:rPr>
      </w:pPr>
      <w:r>
        <w:rPr>
          <w:rFonts w:hint="eastAsia" w:ascii="Times New Roman" w:hAnsi="Times New Roman"/>
          <w:bCs/>
          <w:color w:val="auto"/>
          <w:sz w:val="24"/>
          <w:szCs w:val="24"/>
        </w:rPr>
        <w:t>（3）</w:t>
      </w:r>
      <w:r>
        <w:rPr>
          <w:rFonts w:ascii="Times New Roman" w:hAnsi="Times New Roman"/>
          <w:bCs/>
          <w:color w:val="auto"/>
          <w:sz w:val="24"/>
          <w:szCs w:val="24"/>
        </w:rPr>
        <w:t>2023年1月20日，</w:t>
      </w:r>
      <w:r>
        <w:rPr>
          <w:rFonts w:ascii="Times New Roman" w:hAnsi="Times New Roman"/>
          <w:b w:val="0"/>
          <w:color w:val="auto"/>
          <w:sz w:val="24"/>
          <w:szCs w:val="24"/>
        </w:rPr>
        <w:t>广州市成立南沙区大型城市综合体建设指挥部，动员全市力量参与项目开发建设；2023年1月31日广州市规划和自然资源局启动国际竞赛招标；2023年2月4日广州市政府主要领导召开会议研究南沙大型城市综合体建设有关工作，会议要求由南沙区委、区政府负责，市各相关部门参与，结合落实《南沙方案》要求和片区功能开发需求，深入研究建设南沙大型城市综合体项目的必要性、可行性，深化研究项目规划理念和功能定位。</w:t>
      </w:r>
    </w:p>
    <w:p>
      <w:pPr>
        <w:spacing w:line="300" w:lineRule="auto"/>
        <w:ind w:firstLine="482" w:firstLineChars="200"/>
        <w:jc w:val="left"/>
        <w:rPr>
          <w:rFonts w:ascii="Times New Roman" w:hAnsi="Times New Roman"/>
          <w:b w:val="0"/>
          <w:color w:val="000000" w:themeColor="text1"/>
          <w:sz w:val="24"/>
          <w:szCs w:val="24"/>
          <w:highlight w:val="green"/>
          <w14:textFill>
            <w14:solidFill>
              <w14:schemeClr w14:val="tx1"/>
            </w14:solidFill>
          </w14:textFill>
        </w:rPr>
      </w:pPr>
      <w:r>
        <w:rPr>
          <w:rFonts w:hint="eastAsia" w:ascii="Times New Roman" w:hAnsi="Times New Roman"/>
          <w:bCs/>
          <w:color w:val="000000" w:themeColor="text1"/>
          <w:sz w:val="24"/>
          <w:szCs w:val="24"/>
          <w:highlight w:val="green"/>
          <w14:textFill>
            <w14:solidFill>
              <w14:schemeClr w14:val="tx1"/>
            </w14:solidFill>
          </w14:textFill>
        </w:rPr>
        <w:t>（4）</w:t>
      </w:r>
      <w:r>
        <w:rPr>
          <w:rFonts w:ascii="Times New Roman" w:hAnsi="Times New Roman"/>
          <w:bCs/>
          <w:color w:val="000000" w:themeColor="text1"/>
          <w:sz w:val="24"/>
          <w:szCs w:val="24"/>
          <w:highlight w:val="yellow"/>
          <w14:textFill>
            <w14:solidFill>
              <w14:schemeClr w14:val="tx1"/>
            </w14:solidFill>
          </w14:textFill>
        </w:rPr>
        <w:t>2023年4月20日，</w:t>
      </w:r>
      <w:r>
        <w:rPr>
          <w:rFonts w:ascii="Times New Roman" w:hAnsi="Times New Roman"/>
          <w:b w:val="0"/>
          <w:color w:val="000000" w:themeColor="text1"/>
          <w:sz w:val="24"/>
          <w:szCs w:val="24"/>
          <w:highlight w:val="yellow"/>
          <w14:textFill>
            <w14:solidFill>
              <w14:schemeClr w14:val="tx1"/>
            </w14:solidFill>
          </w14:textFill>
        </w:rPr>
        <w:t>根据南沙大型城市综合体建设指挥部关于印发《南沙全民文化体育综合体及配套设施建设第一批工作任务》的通知，及南沙区落实《南沙全民文化体育综合体及配套设施建设第一批工作任务》</w:t>
      </w:r>
      <w:r>
        <w:rPr>
          <w:rFonts w:ascii="Times New Roman" w:hAnsi="Times New Roman"/>
          <w:b w:val="0"/>
          <w:color w:val="000000" w:themeColor="text1"/>
          <w:sz w:val="24"/>
          <w:szCs w:val="24"/>
          <w:highlight w:val="green"/>
          <w14:textFill>
            <w14:solidFill>
              <w14:schemeClr w14:val="tx1"/>
            </w14:solidFill>
          </w14:textFill>
        </w:rPr>
        <w:t>的实施方案。</w:t>
      </w:r>
    </w:p>
    <w:p>
      <w:pPr>
        <w:spacing w:line="300" w:lineRule="auto"/>
        <w:ind w:firstLine="480" w:firstLineChars="200"/>
        <w:jc w:val="left"/>
        <w:rPr>
          <w:rFonts w:ascii="Times New Roman" w:hAnsi="Times New Roman"/>
          <w:b w:val="0"/>
          <w:color w:val="000000" w:themeColor="text1"/>
          <w:sz w:val="24"/>
          <w:szCs w:val="24"/>
          <w:highlight w:val="green"/>
          <w14:textFill>
            <w14:solidFill>
              <w14:schemeClr w14:val="tx1"/>
            </w14:solidFill>
          </w14:textFill>
        </w:rPr>
      </w:pPr>
      <w:r>
        <w:rPr>
          <w:rFonts w:ascii="Times New Roman" w:hAnsi="Times New Roman"/>
          <w:b w:val="0"/>
          <w:color w:val="000000" w:themeColor="text1"/>
          <w:sz w:val="24"/>
          <w:szCs w:val="24"/>
          <w:highlight w:val="green"/>
          <w14:textFill>
            <w14:solidFill>
              <w14:schemeClr w14:val="tx1"/>
            </w14:solidFill>
          </w14:textFill>
        </w:rPr>
        <w:t>根据第一批工作任务，</w:t>
      </w:r>
      <w:r>
        <w:rPr>
          <w:rFonts w:hint="eastAsia" w:ascii="Times New Roman" w:hAnsi="Times New Roman"/>
          <w:b w:val="0"/>
          <w:color w:val="000000" w:themeColor="text1"/>
          <w:sz w:val="24"/>
          <w:szCs w:val="24"/>
          <w:highlight w:val="green"/>
          <w14:textFill>
            <w14:solidFill>
              <w14:schemeClr w14:val="tx1"/>
            </w14:solidFill>
          </w14:textFill>
        </w:rPr>
        <w:t>南沙全民文化体育综合体配套骨干道路共包括9条道路，具体建设内容及规模如下：</w:t>
      </w:r>
    </w:p>
    <w:p>
      <w:pPr>
        <w:numPr>
          <w:ilvl w:val="0"/>
          <w:numId w:val="6"/>
        </w:numPr>
        <w:spacing w:line="300" w:lineRule="auto"/>
        <w:ind w:firstLine="480" w:firstLineChars="200"/>
        <w:jc w:val="left"/>
        <w:rPr>
          <w:rFonts w:ascii="Times New Roman" w:hAnsi="Times New Roman"/>
          <w:b w:val="0"/>
          <w:color w:val="000000" w:themeColor="text1"/>
          <w:sz w:val="24"/>
          <w:szCs w:val="24"/>
          <w:highlight w:val="green"/>
          <w14:textFill>
            <w14:solidFill>
              <w14:schemeClr w14:val="tx1"/>
            </w14:solidFill>
          </w14:textFill>
        </w:rPr>
      </w:pPr>
      <w:r>
        <w:rPr>
          <w:rFonts w:hint="eastAsia" w:ascii="Times New Roman" w:hAnsi="Times New Roman"/>
          <w:b w:val="0"/>
          <w:color w:val="000000" w:themeColor="text1"/>
          <w:sz w:val="24"/>
          <w:szCs w:val="24"/>
          <w:highlight w:val="green"/>
          <w14:textFill>
            <w14:solidFill>
              <w14:schemeClr w14:val="tx1"/>
            </w14:solidFill>
          </w14:textFill>
        </w:rPr>
        <w:t>灵新大道，道路等级为主干路，道路宽度60米，双向8车道。道路长度约6000 米，建设起点为南沙港快速路出口，终点为南沙全民文化体育综合体。</w:t>
      </w:r>
    </w:p>
    <w:p>
      <w:pPr>
        <w:numPr>
          <w:ilvl w:val="0"/>
          <w:numId w:val="6"/>
        </w:numPr>
        <w:spacing w:line="300" w:lineRule="auto"/>
        <w:ind w:firstLine="480" w:firstLineChars="200"/>
        <w:jc w:val="left"/>
        <w:rPr>
          <w:rFonts w:ascii="Times New Roman" w:hAnsi="Times New Roman"/>
          <w:b w:val="0"/>
          <w:color w:val="000000" w:themeColor="text1"/>
          <w:sz w:val="24"/>
          <w:szCs w:val="24"/>
          <w:highlight w:val="green"/>
          <w14:textFill>
            <w14:solidFill>
              <w14:schemeClr w14:val="tx1"/>
            </w14:solidFill>
          </w14:textFill>
        </w:rPr>
      </w:pPr>
      <w:r>
        <w:rPr>
          <w:rFonts w:ascii="Times New Roman" w:hAnsi="Times New Roman"/>
          <w:b w:val="0"/>
          <w:color w:val="000000" w:themeColor="text1"/>
          <w:sz w:val="24"/>
          <w:szCs w:val="24"/>
          <w:highlight w:val="green"/>
          <w14:textFill>
            <w14:solidFill>
              <w14:schemeClr w14:val="tx1"/>
            </w14:solidFill>
          </w14:textFill>
        </w:rPr>
        <w:t>万环西路南延段</w:t>
      </w:r>
      <w:r>
        <w:rPr>
          <w:rFonts w:hint="eastAsia" w:ascii="Times New Roman" w:hAnsi="Times New Roman"/>
          <w:b w:val="0"/>
          <w:color w:val="000000" w:themeColor="text1"/>
          <w:sz w:val="24"/>
          <w:szCs w:val="24"/>
          <w:highlight w:val="green"/>
          <w14:textFill>
            <w14:solidFill>
              <w14:schemeClr w14:val="tx1"/>
            </w14:solidFill>
          </w14:textFill>
        </w:rPr>
        <w:t>，</w:t>
      </w:r>
      <w:r>
        <w:rPr>
          <w:rFonts w:hint="eastAsia" w:ascii="Times New Roman" w:hAnsi="Times New Roman"/>
          <w:b w:val="0"/>
          <w:color w:val="000000" w:themeColor="text1"/>
          <w:sz w:val="24"/>
          <w:szCs w:val="24"/>
          <w:highlight w:val="green"/>
          <w14:textFill>
            <w14:solidFill>
              <w14:schemeClr w14:val="tx1"/>
            </w14:solidFill>
          </w14:textFill>
        </w:rPr>
        <w:t>道路等级为主干路，</w:t>
      </w:r>
      <w:r>
        <w:rPr>
          <w:rFonts w:ascii="Times New Roman" w:hAnsi="Times New Roman"/>
          <w:b w:val="0"/>
          <w:color w:val="000000" w:themeColor="text1"/>
          <w:sz w:val="24"/>
          <w:szCs w:val="24"/>
          <w:highlight w:val="green"/>
          <w14:textFill>
            <w14:solidFill>
              <w14:schemeClr w14:val="tx1"/>
            </w14:solidFill>
          </w14:textFill>
        </w:rPr>
        <w:t>道路宽度 65米，</w:t>
      </w:r>
      <w:r>
        <w:rPr>
          <w:rFonts w:hint="eastAsia" w:ascii="Times New Roman" w:hAnsi="Times New Roman"/>
          <w:b w:val="0"/>
          <w:color w:val="000000" w:themeColor="text1"/>
          <w:sz w:val="24"/>
          <w:szCs w:val="24"/>
          <w:highlight w:val="green"/>
          <w14:textFill>
            <w14:solidFill>
              <w14:schemeClr w14:val="tx1"/>
            </w14:solidFill>
          </w14:textFill>
        </w:rPr>
        <w:t>双向</w:t>
      </w:r>
      <w:r>
        <w:rPr>
          <w:rFonts w:ascii="Times New Roman" w:hAnsi="Times New Roman"/>
          <w:b w:val="0"/>
          <w:color w:val="000000" w:themeColor="text1"/>
          <w:sz w:val="24"/>
          <w:szCs w:val="24"/>
          <w:highlight w:val="green"/>
          <w14:textFill>
            <w14:solidFill>
              <w14:schemeClr w14:val="tx1"/>
            </w14:solidFill>
          </w14:textFill>
        </w:rPr>
        <w:t>8车道，道路长度约8100米，建设起点为南中高速，终点为规划横二路。</w:t>
      </w:r>
    </w:p>
    <w:p>
      <w:pPr>
        <w:numPr>
          <w:ilvl w:val="0"/>
          <w:numId w:val="6"/>
        </w:numPr>
        <w:spacing w:line="300" w:lineRule="auto"/>
        <w:ind w:firstLine="480" w:firstLineChars="200"/>
        <w:jc w:val="left"/>
        <w:rPr>
          <w:rFonts w:ascii="Times New Roman" w:hAnsi="Times New Roman"/>
          <w:b w:val="0"/>
          <w:color w:val="000000" w:themeColor="text1"/>
          <w:sz w:val="24"/>
          <w:szCs w:val="24"/>
          <w:highlight w:val="yellow"/>
          <w14:textFill>
            <w14:solidFill>
              <w14:schemeClr w14:val="tx1"/>
            </w14:solidFill>
          </w14:textFill>
        </w:rPr>
      </w:pPr>
      <w:r>
        <w:rPr>
          <w:rFonts w:ascii="Times New Roman" w:hAnsi="Times New Roman"/>
          <w:b w:val="0"/>
          <w:color w:val="000000" w:themeColor="text1"/>
          <w:sz w:val="24"/>
          <w:szCs w:val="24"/>
          <w:highlight w:val="yellow"/>
          <w14:textFill>
            <w14:solidFill>
              <w14:schemeClr w14:val="tx1"/>
            </w14:solidFill>
          </w14:textFill>
        </w:rPr>
        <w:t>规划纵一路(南段)，道路等级为主干路，道路宽度 40 米，双向6车道</w:t>
      </w:r>
      <w:r>
        <w:rPr>
          <w:rFonts w:hint="eastAsia" w:ascii="Times New Roman" w:hAnsi="Times New Roman"/>
          <w:b w:val="0"/>
          <w:color w:val="000000" w:themeColor="text1"/>
          <w:sz w:val="24"/>
          <w:szCs w:val="24"/>
          <w:highlight w:val="yellow"/>
          <w14:textFill>
            <w14:solidFill>
              <w14:schemeClr w14:val="tx1"/>
            </w14:solidFill>
          </w14:textFill>
        </w:rPr>
        <w:t>，</w:t>
      </w:r>
      <w:r>
        <w:rPr>
          <w:rFonts w:ascii="Times New Roman" w:hAnsi="Times New Roman"/>
          <w:b w:val="0"/>
          <w:color w:val="000000" w:themeColor="text1"/>
          <w:sz w:val="24"/>
          <w:szCs w:val="24"/>
          <w:highlight w:val="yellow"/>
          <w14:textFill>
            <w14:solidFill>
              <w14:schemeClr w14:val="tx1"/>
            </w14:solidFill>
          </w14:textFill>
        </w:rPr>
        <w:t>道路长度约650 米，建设起点为</w:t>
      </w:r>
      <w:r>
        <w:rPr>
          <w:rFonts w:hint="eastAsia" w:ascii="Times New Roman" w:hAnsi="Times New Roman"/>
          <w:b w:val="0"/>
          <w:color w:val="000000" w:themeColor="text1"/>
          <w:sz w:val="24"/>
          <w:szCs w:val="24"/>
          <w:highlight w:val="yellow"/>
          <w14:textFill>
            <w14:solidFill>
              <w14:schemeClr w14:val="tx1"/>
            </w14:solidFill>
          </w14:textFill>
        </w:rPr>
        <w:t>二十</w:t>
      </w:r>
      <w:r>
        <w:rPr>
          <w:rFonts w:ascii="Times New Roman" w:hAnsi="Times New Roman"/>
          <w:b w:val="0"/>
          <w:color w:val="000000" w:themeColor="text1"/>
          <w:sz w:val="24"/>
          <w:szCs w:val="24"/>
          <w:highlight w:val="yellow"/>
          <w14:textFill>
            <w14:solidFill>
              <w14:schemeClr w14:val="tx1"/>
            </w14:solidFill>
          </w14:textFill>
        </w:rPr>
        <w:t>涌南路，终点为规划横二路</w:t>
      </w:r>
      <w:r>
        <w:rPr>
          <w:rFonts w:hint="eastAsia" w:ascii="Times New Roman" w:hAnsi="Times New Roman"/>
          <w:b w:val="0"/>
          <w:color w:val="000000" w:themeColor="text1"/>
          <w:sz w:val="24"/>
          <w:szCs w:val="24"/>
          <w:highlight w:val="yellow"/>
          <w14:textFill>
            <w14:solidFill>
              <w14:schemeClr w14:val="tx1"/>
            </w14:solidFill>
          </w14:textFill>
        </w:rPr>
        <w:t>。</w:t>
      </w:r>
    </w:p>
    <w:p>
      <w:pPr>
        <w:numPr>
          <w:ilvl w:val="0"/>
          <w:numId w:val="6"/>
        </w:numPr>
        <w:spacing w:line="300" w:lineRule="auto"/>
        <w:ind w:firstLine="480" w:firstLineChars="200"/>
        <w:jc w:val="left"/>
        <w:rPr>
          <w:rFonts w:ascii="Times New Roman" w:hAnsi="Times New Roman"/>
          <w:b w:val="0"/>
          <w:color w:val="000000" w:themeColor="text1"/>
          <w:sz w:val="24"/>
          <w:szCs w:val="24"/>
          <w:highlight w:val="yellow"/>
          <w14:textFill>
            <w14:solidFill>
              <w14:schemeClr w14:val="tx1"/>
            </w14:solidFill>
          </w14:textFill>
        </w:rPr>
      </w:pPr>
      <w:r>
        <w:rPr>
          <w:rFonts w:ascii="Times New Roman" w:hAnsi="Times New Roman"/>
          <w:b w:val="0"/>
          <w:color w:val="000000" w:themeColor="text1"/>
          <w:sz w:val="24"/>
          <w:szCs w:val="24"/>
          <w:highlight w:val="yellow"/>
          <w14:textFill>
            <w14:solidFill>
              <w14:schemeClr w14:val="tx1"/>
            </w14:solidFill>
          </w14:textFill>
        </w:rPr>
        <w:t>规划纵三路(南段)</w:t>
      </w:r>
      <w:r>
        <w:rPr>
          <w:rFonts w:hint="eastAsia" w:ascii="Times New Roman" w:hAnsi="Times New Roman"/>
          <w:b w:val="0"/>
          <w:color w:val="000000" w:themeColor="text1"/>
          <w:sz w:val="24"/>
          <w:szCs w:val="24"/>
          <w:highlight w:val="yellow"/>
          <w14:textFill>
            <w14:solidFill>
              <w14:schemeClr w14:val="tx1"/>
            </w14:solidFill>
          </w14:textFill>
        </w:rPr>
        <w:t>，</w:t>
      </w:r>
      <w:r>
        <w:rPr>
          <w:rFonts w:ascii="Times New Roman" w:hAnsi="Times New Roman"/>
          <w:b w:val="0"/>
          <w:color w:val="000000" w:themeColor="text1"/>
          <w:sz w:val="24"/>
          <w:szCs w:val="24"/>
          <w:highlight w:val="yellow"/>
          <w14:textFill>
            <w14:solidFill>
              <w14:schemeClr w14:val="tx1"/>
            </w14:solidFill>
          </w14:textFill>
        </w:rPr>
        <w:t>道路等级为次干路，道路宽度34 米，双向4车道</w:t>
      </w:r>
      <w:r>
        <w:rPr>
          <w:rFonts w:hint="eastAsia" w:ascii="Times New Roman" w:hAnsi="Times New Roman"/>
          <w:b w:val="0"/>
          <w:color w:val="000000" w:themeColor="text1"/>
          <w:sz w:val="24"/>
          <w:szCs w:val="24"/>
          <w:highlight w:val="yellow"/>
          <w14:textFill>
            <w14:solidFill>
              <w14:schemeClr w14:val="tx1"/>
            </w14:solidFill>
          </w14:textFill>
        </w:rPr>
        <w:t>，</w:t>
      </w:r>
      <w:r>
        <w:rPr>
          <w:rFonts w:ascii="Times New Roman" w:hAnsi="Times New Roman"/>
          <w:b w:val="0"/>
          <w:color w:val="000000" w:themeColor="text1"/>
          <w:sz w:val="24"/>
          <w:szCs w:val="24"/>
          <w:highlight w:val="yellow"/>
          <w14:textFill>
            <w14:solidFill>
              <w14:schemeClr w14:val="tx1"/>
            </w14:solidFill>
          </w14:textFill>
        </w:rPr>
        <w:t>道路长度约1500米，建设起点为二十涌北路</w:t>
      </w:r>
      <w:r>
        <w:rPr>
          <w:rFonts w:hint="eastAsia" w:ascii="Times New Roman" w:hAnsi="Times New Roman"/>
          <w:b w:val="0"/>
          <w:color w:val="000000" w:themeColor="text1"/>
          <w:sz w:val="24"/>
          <w:szCs w:val="24"/>
          <w:highlight w:val="yellow"/>
          <w14:textFill>
            <w14:solidFill>
              <w14:schemeClr w14:val="tx1"/>
            </w14:solidFill>
          </w14:textFill>
        </w:rPr>
        <w:t>，</w:t>
      </w:r>
      <w:r>
        <w:rPr>
          <w:rFonts w:ascii="Times New Roman" w:hAnsi="Times New Roman"/>
          <w:b w:val="0"/>
          <w:color w:val="000000" w:themeColor="text1"/>
          <w:sz w:val="24"/>
          <w:szCs w:val="24"/>
          <w:highlight w:val="yellow"/>
          <w14:textFill>
            <w14:solidFill>
              <w14:schemeClr w14:val="tx1"/>
            </w14:solidFill>
          </w14:textFill>
        </w:rPr>
        <w:t>终点为规划横二路。</w:t>
      </w:r>
    </w:p>
    <w:p>
      <w:pPr>
        <w:numPr>
          <w:ilvl w:val="0"/>
          <w:numId w:val="6"/>
        </w:numPr>
        <w:spacing w:line="300" w:lineRule="auto"/>
        <w:ind w:firstLine="480" w:firstLineChars="200"/>
        <w:jc w:val="left"/>
        <w:rPr>
          <w:rFonts w:ascii="Times New Roman" w:hAnsi="Times New Roman"/>
          <w:b w:val="0"/>
          <w:color w:val="000000" w:themeColor="text1"/>
          <w:sz w:val="24"/>
          <w:szCs w:val="24"/>
          <w:highlight w:val="yellow"/>
          <w14:textFill>
            <w14:solidFill>
              <w14:schemeClr w14:val="tx1"/>
            </w14:solidFill>
          </w14:textFill>
        </w:rPr>
      </w:pPr>
      <w:r>
        <w:rPr>
          <w:rFonts w:ascii="Times New Roman" w:hAnsi="Times New Roman"/>
          <w:b w:val="0"/>
          <w:color w:val="000000" w:themeColor="text1"/>
          <w:sz w:val="24"/>
          <w:szCs w:val="24"/>
          <w:highlight w:val="yellow"/>
          <w14:textFill>
            <w14:solidFill>
              <w14:schemeClr w14:val="tx1"/>
            </w14:solidFill>
          </w14:textFill>
        </w:rPr>
        <w:t>二十涌北路(东段)</w:t>
      </w:r>
      <w:r>
        <w:rPr>
          <w:rFonts w:hint="eastAsia" w:ascii="Times New Roman" w:hAnsi="Times New Roman"/>
          <w:b w:val="0"/>
          <w:color w:val="000000" w:themeColor="text1"/>
          <w:sz w:val="24"/>
          <w:szCs w:val="24"/>
          <w:highlight w:val="yellow"/>
          <w14:textFill>
            <w14:solidFill>
              <w14:schemeClr w14:val="tx1"/>
            </w14:solidFill>
          </w14:textFill>
        </w:rPr>
        <w:t>，</w:t>
      </w:r>
      <w:r>
        <w:rPr>
          <w:rFonts w:ascii="Times New Roman" w:hAnsi="Times New Roman"/>
          <w:b w:val="0"/>
          <w:color w:val="000000" w:themeColor="text1"/>
          <w:sz w:val="24"/>
          <w:szCs w:val="24"/>
          <w:highlight w:val="yellow"/>
          <w14:textFill>
            <w14:solidFill>
              <w14:schemeClr w14:val="tx1"/>
            </w14:solidFill>
          </w14:textFill>
        </w:rPr>
        <w:t>道路等级为主干路，道路宽度50 米，双向6车道</w:t>
      </w:r>
      <w:r>
        <w:rPr>
          <w:rFonts w:hint="eastAsia" w:ascii="Times New Roman" w:hAnsi="Times New Roman"/>
          <w:b w:val="0"/>
          <w:color w:val="000000" w:themeColor="text1"/>
          <w:sz w:val="24"/>
          <w:szCs w:val="24"/>
          <w:highlight w:val="yellow"/>
          <w14:textFill>
            <w14:solidFill>
              <w14:schemeClr w14:val="tx1"/>
            </w14:solidFill>
          </w14:textFill>
        </w:rPr>
        <w:t>，</w:t>
      </w:r>
      <w:r>
        <w:rPr>
          <w:rFonts w:ascii="Times New Roman" w:hAnsi="Times New Roman"/>
          <w:b w:val="0"/>
          <w:color w:val="000000" w:themeColor="text1"/>
          <w:sz w:val="24"/>
          <w:szCs w:val="24"/>
          <w:highlight w:val="yellow"/>
          <w14:textFill>
            <w14:solidFill>
              <w14:schemeClr w14:val="tx1"/>
            </w14:solidFill>
          </w14:textFill>
        </w:rPr>
        <w:t>道路长度约1700米，建设起点为万环西路，终点为灵新大道。</w:t>
      </w:r>
    </w:p>
    <w:p>
      <w:pPr>
        <w:numPr>
          <w:ilvl w:val="0"/>
          <w:numId w:val="6"/>
        </w:numPr>
        <w:spacing w:line="300" w:lineRule="auto"/>
        <w:ind w:firstLine="480" w:firstLineChars="200"/>
        <w:jc w:val="left"/>
        <w:rPr>
          <w:rFonts w:ascii="Times New Roman" w:hAnsi="Times New Roman"/>
          <w:b w:val="0"/>
          <w:color w:val="000000" w:themeColor="text1"/>
          <w:sz w:val="24"/>
          <w:szCs w:val="24"/>
          <w:highlight w:val="yellow"/>
          <w14:textFill>
            <w14:solidFill>
              <w14:schemeClr w14:val="tx1"/>
            </w14:solidFill>
          </w14:textFill>
        </w:rPr>
      </w:pPr>
      <w:r>
        <w:rPr>
          <w:rFonts w:ascii="Times New Roman" w:hAnsi="Times New Roman"/>
          <w:b w:val="0"/>
          <w:color w:val="000000" w:themeColor="text1"/>
          <w:sz w:val="24"/>
          <w:szCs w:val="24"/>
          <w:highlight w:val="yellow"/>
          <w14:textFill>
            <w14:solidFill>
              <w14:schemeClr w14:val="tx1"/>
            </w14:solidFill>
          </w14:textFill>
        </w:rPr>
        <w:t>二十涌南路</w:t>
      </w:r>
      <w:r>
        <w:rPr>
          <w:rFonts w:hint="eastAsia" w:ascii="Times New Roman" w:hAnsi="Times New Roman"/>
          <w:b w:val="0"/>
          <w:color w:val="000000" w:themeColor="text1"/>
          <w:sz w:val="24"/>
          <w:szCs w:val="24"/>
          <w:highlight w:val="yellow"/>
          <w14:textFill>
            <w14:solidFill>
              <w14:schemeClr w14:val="tx1"/>
            </w14:solidFill>
          </w14:textFill>
        </w:rPr>
        <w:t>，</w:t>
      </w:r>
      <w:r>
        <w:rPr>
          <w:rFonts w:ascii="Times New Roman" w:hAnsi="Times New Roman"/>
          <w:b w:val="0"/>
          <w:color w:val="000000" w:themeColor="text1"/>
          <w:sz w:val="24"/>
          <w:szCs w:val="24"/>
          <w:highlight w:val="yellow"/>
          <w14:textFill>
            <w14:solidFill>
              <w14:schemeClr w14:val="tx1"/>
            </w14:solidFill>
          </w14:textFill>
        </w:rPr>
        <w:t>道路等级为次干路，道路宽度40米，双向6车道</w:t>
      </w:r>
      <w:r>
        <w:rPr>
          <w:rFonts w:hint="eastAsia" w:ascii="Times New Roman" w:hAnsi="Times New Roman"/>
          <w:b w:val="0"/>
          <w:color w:val="000000" w:themeColor="text1"/>
          <w:sz w:val="24"/>
          <w:szCs w:val="24"/>
          <w:highlight w:val="yellow"/>
          <w14:textFill>
            <w14:solidFill>
              <w14:schemeClr w14:val="tx1"/>
            </w14:solidFill>
          </w14:textFill>
        </w:rPr>
        <w:t>，</w:t>
      </w:r>
      <w:r>
        <w:rPr>
          <w:rFonts w:ascii="Times New Roman" w:hAnsi="Times New Roman"/>
          <w:b w:val="0"/>
          <w:color w:val="000000" w:themeColor="text1"/>
          <w:sz w:val="24"/>
          <w:szCs w:val="24"/>
          <w:highlight w:val="yellow"/>
          <w14:textFill>
            <w14:solidFill>
              <w14:schemeClr w14:val="tx1"/>
            </w14:solidFill>
          </w14:textFill>
        </w:rPr>
        <w:t>道路长度约 2400 米，建设起点为规划纵一路，终点为灵新大道。</w:t>
      </w:r>
    </w:p>
    <w:p>
      <w:pPr>
        <w:numPr>
          <w:ilvl w:val="0"/>
          <w:numId w:val="6"/>
        </w:numPr>
        <w:spacing w:line="300" w:lineRule="auto"/>
        <w:ind w:firstLine="480" w:firstLineChars="200"/>
        <w:jc w:val="left"/>
        <w:rPr>
          <w:rFonts w:ascii="Times New Roman" w:hAnsi="Times New Roman"/>
          <w:b w:val="0"/>
          <w:color w:val="000000" w:themeColor="text1"/>
          <w:sz w:val="24"/>
          <w:szCs w:val="24"/>
          <w:highlight w:val="yellow"/>
          <w14:textFill>
            <w14:solidFill>
              <w14:schemeClr w14:val="tx1"/>
            </w14:solidFill>
          </w14:textFill>
        </w:rPr>
      </w:pPr>
      <w:r>
        <w:rPr>
          <w:rFonts w:ascii="Times New Roman" w:hAnsi="Times New Roman"/>
          <w:b w:val="0"/>
          <w:color w:val="000000" w:themeColor="text1"/>
          <w:sz w:val="24"/>
          <w:szCs w:val="24"/>
          <w:highlight w:val="yellow"/>
          <w14:textFill>
            <w14:solidFill>
              <w14:schemeClr w14:val="tx1"/>
            </w14:solidFill>
          </w14:textFill>
        </w:rPr>
        <w:t>二十涌南二路</w:t>
      </w:r>
      <w:r>
        <w:rPr>
          <w:rFonts w:hint="eastAsia" w:ascii="Times New Roman" w:hAnsi="Times New Roman"/>
          <w:b w:val="0"/>
          <w:color w:val="000000" w:themeColor="text1"/>
          <w:sz w:val="24"/>
          <w:szCs w:val="24"/>
          <w:highlight w:val="yellow"/>
          <w14:textFill>
            <w14:solidFill>
              <w14:schemeClr w14:val="tx1"/>
            </w14:solidFill>
          </w14:textFill>
        </w:rPr>
        <w:t>，</w:t>
      </w:r>
      <w:r>
        <w:rPr>
          <w:rFonts w:ascii="Times New Roman" w:hAnsi="Times New Roman"/>
          <w:b w:val="0"/>
          <w:color w:val="000000" w:themeColor="text1"/>
          <w:sz w:val="24"/>
          <w:szCs w:val="24"/>
          <w:highlight w:val="yellow"/>
          <w14:textFill>
            <w14:solidFill>
              <w14:schemeClr w14:val="tx1"/>
            </w14:solidFill>
          </w14:textFill>
        </w:rPr>
        <w:t>道路等级为主干路，道路宽度50米，双向 6车道，道路长度约2500 米，建设起点为规划纵一路，终点为灵新大道。</w:t>
      </w:r>
    </w:p>
    <w:p>
      <w:pPr>
        <w:numPr>
          <w:ilvl w:val="0"/>
          <w:numId w:val="6"/>
        </w:numPr>
        <w:spacing w:line="300" w:lineRule="auto"/>
        <w:ind w:firstLine="480" w:firstLineChars="200"/>
        <w:jc w:val="left"/>
        <w:rPr>
          <w:rFonts w:ascii="Times New Roman" w:hAnsi="Times New Roman"/>
          <w:b w:val="0"/>
          <w:color w:val="000000" w:themeColor="text1"/>
          <w:sz w:val="24"/>
          <w:szCs w:val="24"/>
          <w:highlight w:val="yellow"/>
          <w14:textFill>
            <w14:solidFill>
              <w14:schemeClr w14:val="tx1"/>
            </w14:solidFill>
          </w14:textFill>
        </w:rPr>
      </w:pPr>
      <w:r>
        <w:rPr>
          <w:rFonts w:ascii="Times New Roman" w:hAnsi="Times New Roman"/>
          <w:b w:val="0"/>
          <w:color w:val="000000" w:themeColor="text1"/>
          <w:sz w:val="24"/>
          <w:szCs w:val="24"/>
          <w:highlight w:val="yellow"/>
          <w14:textFill>
            <w14:solidFill>
              <w14:schemeClr w14:val="tx1"/>
            </w14:solidFill>
          </w14:textFill>
        </w:rPr>
        <w:t>二十一涌北路</w:t>
      </w:r>
      <w:r>
        <w:rPr>
          <w:rFonts w:hint="eastAsia" w:ascii="Times New Roman" w:hAnsi="Times New Roman"/>
          <w:b w:val="0"/>
          <w:color w:val="000000" w:themeColor="text1"/>
          <w:sz w:val="24"/>
          <w:szCs w:val="24"/>
          <w:highlight w:val="yellow"/>
          <w14:textFill>
            <w14:solidFill>
              <w14:schemeClr w14:val="tx1"/>
            </w14:solidFill>
          </w14:textFill>
        </w:rPr>
        <w:t>，</w:t>
      </w:r>
      <w:r>
        <w:rPr>
          <w:rFonts w:ascii="Times New Roman" w:hAnsi="Times New Roman"/>
          <w:b w:val="0"/>
          <w:color w:val="000000" w:themeColor="text1"/>
          <w:sz w:val="24"/>
          <w:szCs w:val="24"/>
          <w:highlight w:val="yellow"/>
          <w14:textFill>
            <w14:solidFill>
              <w14:schemeClr w14:val="tx1"/>
            </w14:solidFill>
          </w14:textFill>
        </w:rPr>
        <w:t>道路等级为次干路，道路宽度30米，双向4车道。道路长度约2500 米，建设起点为规划纵一路，终点为灵新大道</w:t>
      </w:r>
      <w:r>
        <w:rPr>
          <w:rFonts w:hint="eastAsia" w:ascii="Times New Roman" w:hAnsi="Times New Roman"/>
          <w:b w:val="0"/>
          <w:color w:val="000000" w:themeColor="text1"/>
          <w:sz w:val="24"/>
          <w:szCs w:val="24"/>
          <w:highlight w:val="yellow"/>
          <w14:textFill>
            <w14:solidFill>
              <w14:schemeClr w14:val="tx1"/>
            </w14:solidFill>
          </w14:textFill>
        </w:rPr>
        <w:t>。</w:t>
      </w:r>
    </w:p>
    <w:p>
      <w:pPr>
        <w:numPr>
          <w:ilvl w:val="0"/>
          <w:numId w:val="6"/>
        </w:numPr>
        <w:spacing w:line="300" w:lineRule="auto"/>
        <w:ind w:firstLine="480" w:firstLineChars="200"/>
        <w:jc w:val="left"/>
        <w:rPr>
          <w:rFonts w:ascii="Times New Roman" w:hAnsi="Times New Roman"/>
          <w:b w:val="0"/>
          <w:color w:val="000000" w:themeColor="text1"/>
          <w:sz w:val="24"/>
          <w:szCs w:val="24"/>
          <w:highlight w:val="yellow"/>
          <w14:textFill>
            <w14:solidFill>
              <w14:schemeClr w14:val="tx1"/>
            </w14:solidFill>
          </w14:textFill>
        </w:rPr>
      </w:pPr>
      <w:r>
        <w:rPr>
          <w:rFonts w:ascii="Times New Roman" w:hAnsi="Times New Roman"/>
          <w:b w:val="0"/>
          <w:color w:val="000000" w:themeColor="text1"/>
          <w:sz w:val="24"/>
          <w:szCs w:val="24"/>
          <w:highlight w:val="cyan"/>
          <w14:textFill>
            <w14:solidFill>
              <w14:schemeClr w14:val="tx1"/>
            </w14:solidFill>
          </w14:textFill>
        </w:rPr>
        <w:t>规划横二路</w:t>
      </w:r>
      <w:r>
        <w:rPr>
          <w:rFonts w:hint="eastAsia" w:ascii="Times New Roman" w:hAnsi="Times New Roman"/>
          <w:b w:val="0"/>
          <w:color w:val="000000" w:themeColor="text1"/>
          <w:sz w:val="24"/>
          <w:szCs w:val="24"/>
          <w:highlight w:val="yellow"/>
          <w14:textFill>
            <w14:solidFill>
              <w14:schemeClr w14:val="tx1"/>
            </w14:solidFill>
          </w14:textFill>
        </w:rPr>
        <w:t>，</w:t>
      </w:r>
      <w:r>
        <w:rPr>
          <w:rFonts w:ascii="Times New Roman" w:hAnsi="Times New Roman"/>
          <w:b w:val="0"/>
          <w:color w:val="000000" w:themeColor="text1"/>
          <w:sz w:val="24"/>
          <w:szCs w:val="24"/>
          <w:highlight w:val="yellow"/>
          <w14:textFill>
            <w14:solidFill>
              <w14:schemeClr w14:val="tx1"/>
            </w14:solidFill>
          </w14:textFill>
        </w:rPr>
        <w:t>道路等级为次干路，道路宽度30 米，双向4车道。道路长度约1600 米，建设起点为规划纵一路，终点为规划纵三路。</w:t>
      </w:r>
    </w:p>
    <w:p>
      <w:pPr>
        <w:spacing w:line="300" w:lineRule="auto"/>
        <w:ind w:firstLine="480" w:firstLineChars="200"/>
        <w:jc w:val="left"/>
        <w:rPr>
          <w:rFonts w:ascii="Times New Roman" w:hAnsi="Times New Roman"/>
          <w:b w:val="0"/>
          <w:color w:val="000000" w:themeColor="text1"/>
          <w:sz w:val="24"/>
          <w:szCs w:val="24"/>
          <w:highlight w:val="green"/>
          <w14:textFill>
            <w14:solidFill>
              <w14:schemeClr w14:val="tx1"/>
            </w14:solidFill>
          </w14:textFill>
        </w:rPr>
      </w:pPr>
      <w:r>
        <w:rPr>
          <w:rFonts w:hint="eastAsia" w:ascii="Times New Roman" w:hAnsi="Times New Roman"/>
          <w:b w:val="0"/>
          <w:color w:val="000000" w:themeColor="text1"/>
          <w:sz w:val="24"/>
          <w:szCs w:val="24"/>
          <w:highlight w:val="green"/>
          <w14:textFill>
            <w14:solidFill>
              <w14:schemeClr w14:val="tx1"/>
            </w14:solidFill>
          </w14:textFill>
        </w:rPr>
        <w:t>根据</w:t>
      </w:r>
      <w:r>
        <w:rPr>
          <w:rFonts w:ascii="Times New Roman" w:hAnsi="Times New Roman"/>
          <w:b w:val="0"/>
          <w:color w:val="000000" w:themeColor="text1"/>
          <w:sz w:val="24"/>
          <w:szCs w:val="24"/>
          <w:highlight w:val="green"/>
          <w14:textFill>
            <w14:solidFill>
              <w14:schemeClr w14:val="tx1"/>
            </w14:solidFill>
          </w14:textFill>
        </w:rPr>
        <w:t>2023年</w:t>
      </w:r>
      <w:r>
        <w:rPr>
          <w:rFonts w:hint="eastAsia" w:ascii="Times New Roman" w:hAnsi="Times New Roman"/>
          <w:b w:val="0"/>
          <w:color w:val="000000" w:themeColor="text1"/>
          <w:sz w:val="24"/>
          <w:szCs w:val="24"/>
          <w:highlight w:val="green"/>
          <w14:textFill>
            <w14:solidFill>
              <w14:schemeClr w14:val="tx1"/>
            </w14:solidFill>
          </w14:textFill>
        </w:rPr>
        <w:t>7</w:t>
      </w:r>
      <w:r>
        <w:rPr>
          <w:rFonts w:ascii="Times New Roman" w:hAnsi="Times New Roman"/>
          <w:b w:val="0"/>
          <w:color w:val="000000" w:themeColor="text1"/>
          <w:sz w:val="24"/>
          <w:szCs w:val="24"/>
          <w:highlight w:val="green"/>
          <w14:textFill>
            <w14:solidFill>
              <w14:schemeClr w14:val="tx1"/>
            </w14:solidFill>
          </w14:textFill>
        </w:rPr>
        <w:t>月</w:t>
      </w:r>
      <w:r>
        <w:rPr>
          <w:rFonts w:hint="eastAsia" w:ascii="Times New Roman" w:hAnsi="Times New Roman"/>
          <w:b w:val="0"/>
          <w:color w:val="000000" w:themeColor="text1"/>
          <w:sz w:val="24"/>
          <w:szCs w:val="24"/>
          <w:highlight w:val="green"/>
          <w14:textFill>
            <w14:solidFill>
              <w14:schemeClr w14:val="tx1"/>
            </w14:solidFill>
          </w14:textFill>
        </w:rPr>
        <w:t>19</w:t>
      </w:r>
      <w:r>
        <w:rPr>
          <w:rFonts w:ascii="Times New Roman" w:hAnsi="Times New Roman"/>
          <w:b w:val="0"/>
          <w:color w:val="000000" w:themeColor="text1"/>
          <w:sz w:val="24"/>
          <w:szCs w:val="24"/>
          <w:highlight w:val="green"/>
          <w14:textFill>
            <w14:solidFill>
              <w14:schemeClr w14:val="tx1"/>
            </w14:solidFill>
          </w14:textFill>
        </w:rPr>
        <w:t>日，</w:t>
      </w:r>
      <w:r>
        <w:rPr>
          <w:rFonts w:hint="eastAsia" w:ascii="Times New Roman" w:hAnsi="Times New Roman"/>
          <w:b w:val="0"/>
          <w:color w:val="000000" w:themeColor="text1"/>
          <w:sz w:val="24"/>
          <w:szCs w:val="24"/>
          <w:highlight w:val="green"/>
          <w14:textFill>
            <w14:solidFill>
              <w14:schemeClr w14:val="tx1"/>
            </w14:solidFill>
          </w14:textFill>
        </w:rPr>
        <w:t>广州市规划和自然资源局南沙区分局提供的《关于提供南沙全民文化体育综合体部分配套道路规划意见的复函-穗规划资源南〔2023〕810号》（附件5）相关内容，广州市规划和自然资源局南沙区分局根据目前掌握的规划资料，提供部分道路规划意见如下：</w:t>
      </w:r>
    </w:p>
    <w:p>
      <w:pPr>
        <w:spacing w:line="300" w:lineRule="auto"/>
        <w:ind w:firstLine="480" w:firstLineChars="200"/>
        <w:jc w:val="left"/>
        <w:rPr>
          <w:rFonts w:ascii="Times New Roman" w:hAnsi="Times New Roman"/>
          <w:b w:val="0"/>
          <w:color w:val="000000" w:themeColor="text1"/>
          <w:sz w:val="24"/>
          <w:szCs w:val="24"/>
          <w:highlight w:val="green"/>
          <w14:textFill>
            <w14:solidFill>
              <w14:schemeClr w14:val="tx1"/>
            </w14:solidFill>
          </w14:textFill>
        </w:rPr>
      </w:pPr>
      <w:r>
        <w:rPr>
          <w:rFonts w:hint="eastAsia" w:ascii="Times New Roman" w:hAnsi="Times New Roman"/>
          <w:b w:val="0"/>
          <w:color w:val="000000" w:themeColor="text1"/>
          <w:sz w:val="24"/>
          <w:szCs w:val="24"/>
          <w:highlight w:val="green"/>
          <w14:textFill>
            <w14:solidFill>
              <w14:schemeClr w14:val="tx1"/>
            </w14:solidFill>
          </w14:textFill>
        </w:rPr>
        <w:t>首批骨干道路包括：</w:t>
      </w:r>
    </w:p>
    <w:p>
      <w:pPr>
        <w:numPr>
          <w:ilvl w:val="0"/>
          <w:numId w:val="7"/>
        </w:numPr>
        <w:spacing w:line="300" w:lineRule="auto"/>
        <w:ind w:firstLine="480" w:firstLineChars="200"/>
        <w:jc w:val="left"/>
        <w:rPr>
          <w:rFonts w:ascii="Times New Roman" w:hAnsi="Times New Roman"/>
          <w:b w:val="0"/>
          <w:color w:val="000000" w:themeColor="text1"/>
          <w:sz w:val="24"/>
          <w:szCs w:val="24"/>
          <w:highlight w:val="green"/>
          <w14:textFill>
            <w14:solidFill>
              <w14:schemeClr w14:val="tx1"/>
            </w14:solidFill>
          </w14:textFill>
        </w:rPr>
      </w:pPr>
      <w:r>
        <w:rPr>
          <w:rFonts w:hint="eastAsia" w:ascii="Times New Roman" w:hAnsi="Times New Roman"/>
          <w:b w:val="0"/>
          <w:color w:val="000000" w:themeColor="text1"/>
          <w:sz w:val="24"/>
          <w:szCs w:val="24"/>
          <w:highlight w:val="green"/>
          <w14:textFill>
            <w14:solidFill>
              <w14:schemeClr w14:val="tx1"/>
            </w14:solidFill>
          </w14:textFill>
        </w:rPr>
        <w:t>灵新大道，规划为 60 米宽交通干路，双向八车道，北起十八涌，南至滨海路；</w:t>
      </w:r>
    </w:p>
    <w:p>
      <w:pPr>
        <w:numPr>
          <w:ilvl w:val="0"/>
          <w:numId w:val="7"/>
        </w:numPr>
        <w:spacing w:line="300" w:lineRule="auto"/>
        <w:ind w:firstLine="480" w:firstLineChars="200"/>
        <w:jc w:val="left"/>
        <w:rPr>
          <w:rFonts w:ascii="Times New Roman" w:hAnsi="Times New Roman"/>
          <w:b w:val="0"/>
          <w:color w:val="000000" w:themeColor="text1"/>
          <w:sz w:val="24"/>
          <w:szCs w:val="24"/>
          <w:highlight w:val="green"/>
          <w14:textFill>
            <w14:solidFill>
              <w14:schemeClr w14:val="tx1"/>
            </w14:solidFill>
          </w14:textFill>
        </w:rPr>
      </w:pPr>
      <w:r>
        <w:rPr>
          <w:rFonts w:ascii="Times New Roman" w:hAnsi="Times New Roman"/>
          <w:b w:val="0"/>
          <w:color w:val="000000" w:themeColor="text1"/>
          <w:sz w:val="24"/>
          <w:szCs w:val="24"/>
          <w:highlight w:val="green"/>
          <w14:textFill>
            <w14:solidFill>
              <w14:schemeClr w14:val="tx1"/>
            </w14:solidFill>
          </w14:textFill>
        </w:rPr>
        <w:t>万环西路南延段</w:t>
      </w:r>
      <w:r>
        <w:rPr>
          <w:rFonts w:hint="eastAsia" w:ascii="Times New Roman" w:hAnsi="Times New Roman"/>
          <w:b w:val="0"/>
          <w:color w:val="000000" w:themeColor="text1"/>
          <w:sz w:val="24"/>
          <w:szCs w:val="24"/>
          <w:highlight w:val="green"/>
          <w14:textFill>
            <w14:solidFill>
              <w14:schemeClr w14:val="tx1"/>
            </w14:solidFill>
          </w14:textFill>
        </w:rPr>
        <w:t>，</w:t>
      </w:r>
      <w:r>
        <w:rPr>
          <w:rFonts w:ascii="Times New Roman" w:hAnsi="Times New Roman"/>
          <w:b w:val="0"/>
          <w:color w:val="000000" w:themeColor="text1"/>
          <w:sz w:val="24"/>
          <w:szCs w:val="24"/>
          <w:highlight w:val="green"/>
          <w14:textFill>
            <w14:solidFill>
              <w14:schemeClr w14:val="tx1"/>
            </w14:solidFill>
          </w14:textFill>
        </w:rPr>
        <w:t>规划为 65 米宽交通性干路(宽度含南中高速用地)</w:t>
      </w:r>
      <w:r>
        <w:rPr>
          <w:rFonts w:hint="eastAsia" w:ascii="Times New Roman" w:hAnsi="Times New Roman"/>
          <w:b w:val="0"/>
          <w:color w:val="000000" w:themeColor="text1"/>
          <w:sz w:val="24"/>
          <w:szCs w:val="24"/>
          <w:highlight w:val="green"/>
          <w14:textFill>
            <w14:solidFill>
              <w14:schemeClr w14:val="tx1"/>
            </w14:solidFill>
          </w14:textFill>
        </w:rPr>
        <w:t>，</w:t>
      </w:r>
      <w:r>
        <w:rPr>
          <w:rFonts w:ascii="Times New Roman" w:hAnsi="Times New Roman"/>
          <w:b w:val="0"/>
          <w:color w:val="000000" w:themeColor="text1"/>
          <w:sz w:val="24"/>
          <w:szCs w:val="24"/>
          <w:highlight w:val="green"/>
          <w14:textFill>
            <w14:solidFill>
              <w14:schemeClr w14:val="tx1"/>
            </w14:solidFill>
          </w14:textFill>
        </w:rPr>
        <w:t>双向八车道</w:t>
      </w:r>
      <w:r>
        <w:rPr>
          <w:rFonts w:hint="eastAsia" w:ascii="Times New Roman" w:hAnsi="Times New Roman"/>
          <w:b w:val="0"/>
          <w:color w:val="000000" w:themeColor="text1"/>
          <w:sz w:val="24"/>
          <w:szCs w:val="24"/>
          <w:highlight w:val="green"/>
          <w14:textFill>
            <w14:solidFill>
              <w14:schemeClr w14:val="tx1"/>
            </w14:solidFill>
          </w14:textFill>
        </w:rPr>
        <w:t>，</w:t>
      </w:r>
      <w:r>
        <w:rPr>
          <w:rFonts w:ascii="Times New Roman" w:hAnsi="Times New Roman"/>
          <w:b w:val="0"/>
          <w:color w:val="000000" w:themeColor="text1"/>
          <w:sz w:val="24"/>
          <w:szCs w:val="24"/>
          <w:highlight w:val="green"/>
          <w14:textFill>
            <w14:solidFill>
              <w14:schemeClr w14:val="tx1"/>
            </w14:solidFill>
          </w14:textFill>
        </w:rPr>
        <w:t>北起十八涌南至滨海路</w:t>
      </w:r>
      <w:r>
        <w:rPr>
          <w:rFonts w:hint="eastAsia" w:ascii="Times New Roman" w:hAnsi="Times New Roman"/>
          <w:b w:val="0"/>
          <w:color w:val="000000" w:themeColor="text1"/>
          <w:sz w:val="24"/>
          <w:szCs w:val="24"/>
          <w:highlight w:val="green"/>
          <w14:textFill>
            <w14:solidFill>
              <w14:schemeClr w14:val="tx1"/>
            </w14:solidFill>
          </w14:textFill>
        </w:rPr>
        <w:t>；</w:t>
      </w:r>
    </w:p>
    <w:p>
      <w:pPr>
        <w:numPr>
          <w:ilvl w:val="0"/>
          <w:numId w:val="7"/>
        </w:numPr>
        <w:spacing w:line="300" w:lineRule="auto"/>
        <w:ind w:firstLine="480" w:firstLineChars="200"/>
        <w:jc w:val="left"/>
        <w:rPr>
          <w:rFonts w:ascii="Times New Roman" w:hAnsi="Times New Roman"/>
          <w:b w:val="0"/>
          <w:color w:val="000000" w:themeColor="text1"/>
          <w:sz w:val="24"/>
          <w:szCs w:val="24"/>
          <w:highlight w:val="yellow"/>
          <w14:textFill>
            <w14:solidFill>
              <w14:schemeClr w14:val="tx1"/>
            </w14:solidFill>
          </w14:textFill>
        </w:rPr>
      </w:pPr>
      <w:r>
        <w:rPr>
          <w:rFonts w:ascii="Times New Roman" w:hAnsi="Times New Roman"/>
          <w:b w:val="0"/>
          <w:color w:val="000000" w:themeColor="text1"/>
          <w:sz w:val="24"/>
          <w:szCs w:val="24"/>
          <w:highlight w:val="yellow"/>
          <w14:textFill>
            <w14:solidFill>
              <w14:schemeClr w14:val="tx1"/>
            </w14:solidFill>
          </w14:textFill>
        </w:rPr>
        <w:t>规划纵一路(二十涌南路-二十一涌北路段)</w:t>
      </w:r>
      <w:r>
        <w:rPr>
          <w:rFonts w:hint="eastAsia" w:ascii="Times New Roman" w:hAnsi="Times New Roman"/>
          <w:b w:val="0"/>
          <w:color w:val="000000" w:themeColor="text1"/>
          <w:sz w:val="24"/>
          <w:szCs w:val="24"/>
          <w:highlight w:val="yellow"/>
          <w14:textFill>
            <w14:solidFill>
              <w14:schemeClr w14:val="tx1"/>
            </w14:solidFill>
          </w14:textFill>
        </w:rPr>
        <w:t>，</w:t>
      </w:r>
      <w:r>
        <w:rPr>
          <w:rFonts w:ascii="Times New Roman" w:hAnsi="Times New Roman"/>
          <w:b w:val="0"/>
          <w:color w:val="000000" w:themeColor="text1"/>
          <w:sz w:val="24"/>
          <w:szCs w:val="24"/>
          <w:highlight w:val="yellow"/>
          <w14:textFill>
            <w14:solidFill>
              <w14:schemeClr w14:val="tx1"/>
            </w14:solidFill>
          </w14:textFill>
        </w:rPr>
        <w:t>规划为 40 米宽主干路，双向六车道</w:t>
      </w:r>
      <w:r>
        <w:rPr>
          <w:rFonts w:hint="eastAsia" w:ascii="Times New Roman" w:hAnsi="Times New Roman"/>
          <w:b w:val="0"/>
          <w:color w:val="000000" w:themeColor="text1"/>
          <w:sz w:val="24"/>
          <w:szCs w:val="24"/>
          <w:highlight w:val="yellow"/>
          <w14:textFill>
            <w14:solidFill>
              <w14:schemeClr w14:val="tx1"/>
            </w14:solidFill>
          </w14:textFill>
        </w:rPr>
        <w:t>；</w:t>
      </w:r>
    </w:p>
    <w:p>
      <w:pPr>
        <w:numPr>
          <w:ilvl w:val="0"/>
          <w:numId w:val="7"/>
        </w:numPr>
        <w:spacing w:line="300" w:lineRule="auto"/>
        <w:ind w:firstLine="480" w:firstLineChars="200"/>
        <w:jc w:val="left"/>
        <w:rPr>
          <w:rFonts w:ascii="Times New Roman" w:hAnsi="Times New Roman"/>
          <w:b w:val="0"/>
          <w:color w:val="000000" w:themeColor="text1"/>
          <w:sz w:val="24"/>
          <w:szCs w:val="24"/>
          <w:highlight w:val="yellow"/>
          <w14:textFill>
            <w14:solidFill>
              <w14:schemeClr w14:val="tx1"/>
            </w14:solidFill>
          </w14:textFill>
        </w:rPr>
      </w:pPr>
      <w:r>
        <w:rPr>
          <w:rFonts w:ascii="Times New Roman" w:hAnsi="Times New Roman"/>
          <w:b w:val="0"/>
          <w:color w:val="000000" w:themeColor="text1"/>
          <w:sz w:val="24"/>
          <w:szCs w:val="24"/>
          <w:highlight w:val="yellow"/>
          <w14:textFill>
            <w14:solidFill>
              <w14:schemeClr w14:val="tx1"/>
            </w14:solidFill>
          </w14:textFill>
        </w:rPr>
        <w:t>规划纵三路(二十涌北路-滨海路段)</w:t>
      </w:r>
      <w:r>
        <w:rPr>
          <w:rFonts w:hint="eastAsia" w:ascii="Times New Roman" w:hAnsi="Times New Roman"/>
          <w:b w:val="0"/>
          <w:color w:val="000000" w:themeColor="text1"/>
          <w:sz w:val="24"/>
          <w:szCs w:val="24"/>
          <w:highlight w:val="yellow"/>
          <w14:textFill>
            <w14:solidFill>
              <w14:schemeClr w14:val="tx1"/>
            </w14:solidFill>
          </w14:textFill>
        </w:rPr>
        <w:t>，</w:t>
      </w:r>
      <w:r>
        <w:rPr>
          <w:rFonts w:ascii="Times New Roman" w:hAnsi="Times New Roman"/>
          <w:b w:val="0"/>
          <w:color w:val="000000" w:themeColor="text1"/>
          <w:sz w:val="24"/>
          <w:szCs w:val="24"/>
          <w:highlight w:val="yellow"/>
          <w14:textFill>
            <w14:solidFill>
              <w14:schemeClr w14:val="tx1"/>
            </w14:solidFill>
          </w14:textFill>
        </w:rPr>
        <w:t>规划为 34 米宽次干路，双向 6 车道</w:t>
      </w:r>
      <w:r>
        <w:rPr>
          <w:rFonts w:hint="eastAsia" w:ascii="Times New Roman" w:hAnsi="Times New Roman"/>
          <w:b w:val="0"/>
          <w:color w:val="000000" w:themeColor="text1"/>
          <w:sz w:val="24"/>
          <w:szCs w:val="24"/>
          <w:highlight w:val="yellow"/>
          <w14:textFill>
            <w14:solidFill>
              <w14:schemeClr w14:val="tx1"/>
            </w14:solidFill>
          </w14:textFill>
        </w:rPr>
        <w:t>；</w:t>
      </w:r>
    </w:p>
    <w:p>
      <w:pPr>
        <w:numPr>
          <w:ilvl w:val="0"/>
          <w:numId w:val="7"/>
        </w:numPr>
        <w:spacing w:line="300" w:lineRule="auto"/>
        <w:ind w:firstLine="480" w:firstLineChars="200"/>
        <w:jc w:val="left"/>
        <w:rPr>
          <w:rFonts w:ascii="Times New Roman" w:hAnsi="Times New Roman"/>
          <w:b w:val="0"/>
          <w:color w:val="000000" w:themeColor="text1"/>
          <w:sz w:val="24"/>
          <w:szCs w:val="24"/>
          <w:highlight w:val="yellow"/>
          <w14:textFill>
            <w14:solidFill>
              <w14:schemeClr w14:val="tx1"/>
            </w14:solidFill>
          </w14:textFill>
        </w:rPr>
      </w:pPr>
      <w:r>
        <w:rPr>
          <w:rFonts w:hint="eastAsia" w:ascii="Times New Roman" w:hAnsi="Times New Roman"/>
          <w:b w:val="0"/>
          <w:color w:val="000000" w:themeColor="text1"/>
          <w:sz w:val="24"/>
          <w:szCs w:val="24"/>
          <w:highlight w:val="yellow"/>
          <w14:textFill>
            <w14:solidFill>
              <w14:schemeClr w14:val="tx1"/>
            </w14:solidFill>
          </w14:textFill>
        </w:rPr>
        <w:t>二</w:t>
      </w:r>
      <w:r>
        <w:rPr>
          <w:rFonts w:ascii="Times New Roman" w:hAnsi="Times New Roman"/>
          <w:b w:val="0"/>
          <w:color w:val="000000" w:themeColor="text1"/>
          <w:sz w:val="24"/>
          <w:szCs w:val="24"/>
          <w:highlight w:val="yellow"/>
          <w14:textFill>
            <w14:solidFill>
              <w14:schemeClr w14:val="tx1"/>
            </w14:solidFill>
          </w14:textFill>
        </w:rPr>
        <w:t>十涌北路</w:t>
      </w:r>
      <w:r>
        <w:rPr>
          <w:rFonts w:hint="eastAsia" w:ascii="Times New Roman" w:hAnsi="Times New Roman"/>
          <w:b w:val="0"/>
          <w:color w:val="000000" w:themeColor="text1"/>
          <w:sz w:val="24"/>
          <w:szCs w:val="24"/>
          <w:highlight w:val="yellow"/>
          <w14:textFill>
            <w14:solidFill>
              <w14:schemeClr w14:val="tx1"/>
            </w14:solidFill>
          </w14:textFill>
        </w:rPr>
        <w:t>，</w:t>
      </w:r>
      <w:r>
        <w:rPr>
          <w:rFonts w:ascii="Times New Roman" w:hAnsi="Times New Roman"/>
          <w:b w:val="0"/>
          <w:color w:val="000000" w:themeColor="text1"/>
          <w:sz w:val="24"/>
          <w:szCs w:val="24"/>
          <w:highlight w:val="yellow"/>
          <w14:textFill>
            <w14:solidFill>
              <w14:schemeClr w14:val="tx1"/>
            </w14:solidFill>
          </w14:textFill>
        </w:rPr>
        <w:t>规划为 50 米宽主干路，双向六车道，西起万环西路南延段，东至灵新大道</w:t>
      </w:r>
      <w:r>
        <w:rPr>
          <w:rFonts w:hint="eastAsia" w:ascii="Times New Roman" w:hAnsi="Times New Roman"/>
          <w:b w:val="0"/>
          <w:color w:val="000000" w:themeColor="text1"/>
          <w:sz w:val="24"/>
          <w:szCs w:val="24"/>
          <w:highlight w:val="yellow"/>
          <w14:textFill>
            <w14:solidFill>
              <w14:schemeClr w14:val="tx1"/>
            </w14:solidFill>
          </w14:textFill>
        </w:rPr>
        <w:t>；</w:t>
      </w:r>
    </w:p>
    <w:p>
      <w:pPr>
        <w:numPr>
          <w:ilvl w:val="0"/>
          <w:numId w:val="7"/>
        </w:numPr>
        <w:spacing w:line="300" w:lineRule="auto"/>
        <w:ind w:firstLine="480" w:firstLineChars="200"/>
        <w:jc w:val="left"/>
        <w:rPr>
          <w:rFonts w:ascii="Times New Roman" w:hAnsi="Times New Roman"/>
          <w:b w:val="0"/>
          <w:color w:val="000000" w:themeColor="text1"/>
          <w:sz w:val="24"/>
          <w:szCs w:val="24"/>
          <w:highlight w:val="yellow"/>
          <w14:textFill>
            <w14:solidFill>
              <w14:schemeClr w14:val="tx1"/>
            </w14:solidFill>
          </w14:textFill>
        </w:rPr>
      </w:pPr>
      <w:r>
        <w:rPr>
          <w:rFonts w:ascii="Times New Roman" w:hAnsi="Times New Roman"/>
          <w:b w:val="0"/>
          <w:color w:val="000000" w:themeColor="text1"/>
          <w:sz w:val="24"/>
          <w:szCs w:val="24"/>
          <w:highlight w:val="yellow"/>
          <w14:textFill>
            <w14:solidFill>
              <w14:schemeClr w14:val="tx1"/>
            </w14:solidFill>
          </w14:textFill>
        </w:rPr>
        <w:t>二十涌南路</w:t>
      </w:r>
      <w:r>
        <w:rPr>
          <w:rFonts w:hint="eastAsia" w:ascii="Times New Roman" w:hAnsi="Times New Roman"/>
          <w:b w:val="0"/>
          <w:color w:val="000000" w:themeColor="text1"/>
          <w:sz w:val="24"/>
          <w:szCs w:val="24"/>
          <w:highlight w:val="yellow"/>
          <w14:textFill>
            <w14:solidFill>
              <w14:schemeClr w14:val="tx1"/>
            </w14:solidFill>
          </w14:textFill>
        </w:rPr>
        <w:t>，</w:t>
      </w:r>
      <w:r>
        <w:rPr>
          <w:rFonts w:ascii="Times New Roman" w:hAnsi="Times New Roman"/>
          <w:b w:val="0"/>
          <w:color w:val="000000" w:themeColor="text1"/>
          <w:sz w:val="24"/>
          <w:szCs w:val="24"/>
          <w:highlight w:val="yellow"/>
          <w14:textFill>
            <w14:solidFill>
              <w14:schemeClr w14:val="tx1"/>
            </w14:solidFill>
          </w14:textFill>
        </w:rPr>
        <w:t>规划为 36 米宽次干路，双向六车道，西起规划纵一路，东至灵新大道</w:t>
      </w:r>
      <w:r>
        <w:rPr>
          <w:rFonts w:hint="eastAsia" w:ascii="Times New Roman" w:hAnsi="Times New Roman"/>
          <w:b w:val="0"/>
          <w:color w:val="000000" w:themeColor="text1"/>
          <w:sz w:val="24"/>
          <w:szCs w:val="24"/>
          <w:highlight w:val="yellow"/>
          <w14:textFill>
            <w14:solidFill>
              <w14:schemeClr w14:val="tx1"/>
            </w14:solidFill>
          </w14:textFill>
        </w:rPr>
        <w:t>；</w:t>
      </w:r>
    </w:p>
    <w:p>
      <w:pPr>
        <w:numPr>
          <w:ilvl w:val="0"/>
          <w:numId w:val="7"/>
        </w:numPr>
        <w:spacing w:line="300" w:lineRule="auto"/>
        <w:ind w:firstLine="480" w:firstLineChars="200"/>
        <w:jc w:val="left"/>
        <w:rPr>
          <w:rFonts w:ascii="Times New Roman" w:hAnsi="Times New Roman"/>
          <w:b w:val="0"/>
          <w:color w:val="000000" w:themeColor="text1"/>
          <w:sz w:val="24"/>
          <w:szCs w:val="24"/>
          <w:highlight w:val="yellow"/>
          <w14:textFill>
            <w14:solidFill>
              <w14:schemeClr w14:val="tx1"/>
            </w14:solidFill>
          </w14:textFill>
        </w:rPr>
      </w:pPr>
      <w:r>
        <w:rPr>
          <w:rFonts w:ascii="Times New Roman" w:hAnsi="Times New Roman"/>
          <w:b w:val="0"/>
          <w:color w:val="000000" w:themeColor="text1"/>
          <w:sz w:val="24"/>
          <w:szCs w:val="24"/>
          <w:highlight w:val="yellow"/>
          <w14:textFill>
            <w14:solidFill>
              <w14:schemeClr w14:val="tx1"/>
            </w14:solidFill>
          </w14:textFill>
        </w:rPr>
        <w:t>二十涌南二路(万顷沙支线-规划纵三路段)规划为 40 米宽主干路，双向六车道</w:t>
      </w:r>
      <w:r>
        <w:rPr>
          <w:rFonts w:hint="eastAsia" w:ascii="Times New Roman" w:hAnsi="Times New Roman"/>
          <w:b w:val="0"/>
          <w:color w:val="000000" w:themeColor="text1"/>
          <w:sz w:val="24"/>
          <w:szCs w:val="24"/>
          <w:highlight w:val="yellow"/>
          <w14:textFill>
            <w14:solidFill>
              <w14:schemeClr w14:val="tx1"/>
            </w14:solidFill>
          </w14:textFill>
        </w:rPr>
        <w:t>；</w:t>
      </w:r>
    </w:p>
    <w:p>
      <w:pPr>
        <w:numPr>
          <w:ilvl w:val="0"/>
          <w:numId w:val="7"/>
        </w:numPr>
        <w:spacing w:line="300" w:lineRule="auto"/>
        <w:ind w:firstLine="480" w:firstLineChars="200"/>
        <w:jc w:val="left"/>
        <w:rPr>
          <w:rFonts w:ascii="Times New Roman" w:hAnsi="Times New Roman"/>
          <w:b w:val="0"/>
          <w:color w:val="000000" w:themeColor="text1"/>
          <w:sz w:val="24"/>
          <w:szCs w:val="24"/>
          <w:highlight w:val="yellow"/>
          <w14:textFill>
            <w14:solidFill>
              <w14:schemeClr w14:val="tx1"/>
            </w14:solidFill>
          </w14:textFill>
        </w:rPr>
      </w:pPr>
      <w:r>
        <w:rPr>
          <w:rFonts w:ascii="Times New Roman" w:hAnsi="Times New Roman"/>
          <w:b w:val="0"/>
          <w:color w:val="000000" w:themeColor="text1"/>
          <w:sz w:val="24"/>
          <w:szCs w:val="24"/>
          <w:highlight w:val="yellow"/>
          <w14:textFill>
            <w14:solidFill>
              <w14:schemeClr w14:val="tx1"/>
            </w14:solidFill>
          </w14:textFill>
        </w:rPr>
        <w:t>二十一涌北路</w:t>
      </w:r>
      <w:r>
        <w:rPr>
          <w:rFonts w:hint="eastAsia" w:ascii="Times New Roman" w:hAnsi="Times New Roman"/>
          <w:b w:val="0"/>
          <w:color w:val="000000" w:themeColor="text1"/>
          <w:sz w:val="24"/>
          <w:szCs w:val="24"/>
          <w:highlight w:val="yellow"/>
          <w14:textFill>
            <w14:solidFill>
              <w14:schemeClr w14:val="tx1"/>
            </w14:solidFill>
          </w14:textFill>
        </w:rPr>
        <w:t>，</w:t>
      </w:r>
      <w:r>
        <w:rPr>
          <w:rFonts w:ascii="Times New Roman" w:hAnsi="Times New Roman"/>
          <w:b w:val="0"/>
          <w:color w:val="000000" w:themeColor="text1"/>
          <w:sz w:val="24"/>
          <w:szCs w:val="24"/>
          <w:highlight w:val="yellow"/>
          <w14:textFill>
            <w14:solidFill>
              <w14:schemeClr w14:val="tx1"/>
            </w14:solidFill>
          </w14:textFill>
        </w:rPr>
        <w:t>规划为 40 米宽次干路，双向六车道，西起规划纵一路，东至灵新大道</w:t>
      </w:r>
      <w:r>
        <w:rPr>
          <w:rFonts w:hint="eastAsia" w:ascii="Times New Roman" w:hAnsi="Times New Roman"/>
          <w:b w:val="0"/>
          <w:color w:val="000000" w:themeColor="text1"/>
          <w:sz w:val="24"/>
          <w:szCs w:val="24"/>
          <w:highlight w:val="yellow"/>
          <w14:textFill>
            <w14:solidFill>
              <w14:schemeClr w14:val="tx1"/>
            </w14:solidFill>
          </w14:textFill>
        </w:rPr>
        <w:t>；</w:t>
      </w:r>
    </w:p>
    <w:p>
      <w:pPr>
        <w:numPr>
          <w:ilvl w:val="0"/>
          <w:numId w:val="7"/>
        </w:numPr>
        <w:spacing w:line="300" w:lineRule="auto"/>
        <w:ind w:firstLine="480" w:firstLineChars="200"/>
        <w:jc w:val="left"/>
        <w:rPr>
          <w:rFonts w:ascii="Times New Roman" w:hAnsi="Times New Roman"/>
          <w:b w:val="0"/>
          <w:color w:val="000000" w:themeColor="text1"/>
          <w:sz w:val="24"/>
          <w:szCs w:val="24"/>
          <w:highlight w:val="yellow"/>
          <w14:textFill>
            <w14:solidFill>
              <w14:schemeClr w14:val="tx1"/>
            </w14:solidFill>
          </w14:textFill>
        </w:rPr>
      </w:pPr>
      <w:r>
        <w:rPr>
          <w:rFonts w:ascii="Times New Roman" w:hAnsi="Times New Roman"/>
          <w:b w:val="0"/>
          <w:color w:val="000000" w:themeColor="text1"/>
          <w:sz w:val="24"/>
          <w:szCs w:val="24"/>
          <w:highlight w:val="cyan"/>
          <w14:textFill>
            <w14:solidFill>
              <w14:schemeClr w14:val="tx1"/>
            </w14:solidFill>
          </w14:textFill>
        </w:rPr>
        <w:t>滨海路</w:t>
      </w:r>
      <w:r>
        <w:rPr>
          <w:rFonts w:hint="eastAsia" w:ascii="Times New Roman" w:hAnsi="Times New Roman"/>
          <w:b w:val="0"/>
          <w:color w:val="000000" w:themeColor="text1"/>
          <w:sz w:val="24"/>
          <w:szCs w:val="24"/>
          <w:highlight w:val="yellow"/>
          <w14:textFill>
            <w14:solidFill>
              <w14:schemeClr w14:val="tx1"/>
            </w14:solidFill>
          </w14:textFill>
        </w:rPr>
        <w:t>，</w:t>
      </w:r>
      <w:r>
        <w:rPr>
          <w:rFonts w:ascii="Times New Roman" w:hAnsi="Times New Roman"/>
          <w:b w:val="0"/>
          <w:color w:val="000000" w:themeColor="text1"/>
          <w:sz w:val="24"/>
          <w:szCs w:val="24"/>
          <w:highlight w:val="yellow"/>
          <w14:textFill>
            <w14:solidFill>
              <w14:schemeClr w14:val="tx1"/>
            </w14:solidFill>
          </w14:textFill>
        </w:rPr>
        <w:t>规划为 26 米宽景观性道路双向 4 车道，西起规划纵一路，东至灵新大道。</w:t>
      </w:r>
    </w:p>
    <w:p>
      <w:pPr>
        <w:spacing w:line="300" w:lineRule="auto"/>
        <w:ind w:firstLine="480" w:firstLineChars="200"/>
        <w:jc w:val="left"/>
        <w:rPr>
          <w:rFonts w:ascii="Times New Roman" w:hAnsi="Times New Roman"/>
          <w:b w:val="0"/>
          <w:color w:val="000000" w:themeColor="text1"/>
          <w:sz w:val="24"/>
          <w:szCs w:val="24"/>
          <w:highlight w:val="cyan"/>
          <w14:textFill>
            <w14:solidFill>
              <w14:schemeClr w14:val="tx1"/>
            </w14:solidFill>
          </w14:textFill>
        </w:rPr>
      </w:pPr>
      <w:r>
        <w:rPr>
          <w:rFonts w:hint="eastAsia" w:ascii="Times New Roman" w:hAnsi="Times New Roman"/>
          <w:b w:val="0"/>
          <w:color w:val="000000" w:themeColor="text1"/>
          <w:sz w:val="24"/>
          <w:szCs w:val="24"/>
          <w:highlight w:val="cyan"/>
          <w14:textFill>
            <w14:solidFill>
              <w14:schemeClr w14:val="tx1"/>
            </w14:solidFill>
          </w14:textFill>
        </w:rPr>
        <w:t>根据</w:t>
      </w:r>
      <w:r>
        <w:rPr>
          <w:rFonts w:ascii="Times New Roman" w:hAnsi="Times New Roman"/>
          <w:b w:val="0"/>
          <w:color w:val="000000" w:themeColor="text1"/>
          <w:sz w:val="24"/>
          <w:szCs w:val="24"/>
          <w:highlight w:val="cyan"/>
          <w14:textFill>
            <w14:solidFill>
              <w14:schemeClr w14:val="tx1"/>
            </w14:solidFill>
          </w14:textFill>
        </w:rPr>
        <w:t>2023年</w:t>
      </w:r>
      <w:r>
        <w:rPr>
          <w:rFonts w:hint="eastAsia" w:ascii="Times New Roman" w:hAnsi="Times New Roman"/>
          <w:b w:val="0"/>
          <w:color w:val="000000" w:themeColor="text1"/>
          <w:sz w:val="24"/>
          <w:szCs w:val="24"/>
          <w:highlight w:val="cyan"/>
          <w14:textFill>
            <w14:solidFill>
              <w14:schemeClr w14:val="tx1"/>
            </w14:solidFill>
          </w14:textFill>
        </w:rPr>
        <w:t>9</w:t>
      </w:r>
      <w:r>
        <w:rPr>
          <w:rFonts w:ascii="Times New Roman" w:hAnsi="Times New Roman"/>
          <w:b w:val="0"/>
          <w:color w:val="000000" w:themeColor="text1"/>
          <w:sz w:val="24"/>
          <w:szCs w:val="24"/>
          <w:highlight w:val="cyan"/>
          <w14:textFill>
            <w14:solidFill>
              <w14:schemeClr w14:val="tx1"/>
            </w14:solidFill>
          </w14:textFill>
        </w:rPr>
        <w:t>月</w:t>
      </w:r>
      <w:r>
        <w:rPr>
          <w:rFonts w:hint="eastAsia" w:ascii="Times New Roman" w:hAnsi="Times New Roman"/>
          <w:b w:val="0"/>
          <w:color w:val="000000" w:themeColor="text1"/>
          <w:sz w:val="24"/>
          <w:szCs w:val="24"/>
          <w:highlight w:val="cyan"/>
          <w14:textFill>
            <w14:solidFill>
              <w14:schemeClr w14:val="tx1"/>
            </w14:solidFill>
          </w14:textFill>
        </w:rPr>
        <w:t>19</w:t>
      </w:r>
      <w:r>
        <w:rPr>
          <w:rFonts w:ascii="Times New Roman" w:hAnsi="Times New Roman"/>
          <w:b w:val="0"/>
          <w:color w:val="000000" w:themeColor="text1"/>
          <w:sz w:val="24"/>
          <w:szCs w:val="24"/>
          <w:highlight w:val="cyan"/>
          <w14:textFill>
            <w14:solidFill>
              <w14:schemeClr w14:val="tx1"/>
            </w14:solidFill>
          </w14:textFill>
        </w:rPr>
        <w:t>日</w:t>
      </w:r>
      <w:r>
        <w:rPr>
          <w:rFonts w:hint="eastAsia" w:ascii="Times New Roman" w:hAnsi="Times New Roman"/>
          <w:b w:val="0"/>
          <w:color w:val="000000" w:themeColor="text1"/>
          <w:sz w:val="24"/>
          <w:szCs w:val="24"/>
          <w:highlight w:val="cyan"/>
          <w14:textFill>
            <w14:solidFill>
              <w14:schemeClr w14:val="tx1"/>
            </w14:solidFill>
          </w14:textFill>
        </w:rPr>
        <w:t>《关于研究南沙全民文化体育综合体配建道路事宜的备忘》（附件20）</w:t>
      </w:r>
      <w:r>
        <w:rPr>
          <w:rFonts w:hint="eastAsia" w:ascii="Times New Roman" w:hAnsi="Times New Roman"/>
          <w:b w:val="0"/>
          <w:color w:val="000000" w:themeColor="text1"/>
          <w:sz w:val="24"/>
          <w:szCs w:val="24"/>
          <w:highlight w:val="green"/>
          <w14:textFill>
            <w14:solidFill>
              <w14:schemeClr w14:val="tx1"/>
            </w14:solidFill>
          </w14:textFill>
        </w:rPr>
        <w:t>，</w:t>
      </w:r>
      <w:r>
        <w:rPr>
          <w:rFonts w:hint="eastAsia" w:ascii="Times New Roman" w:hAnsi="Times New Roman"/>
          <w:b w:val="0"/>
          <w:color w:val="000000" w:themeColor="text1"/>
          <w:sz w:val="24"/>
          <w:szCs w:val="24"/>
          <w:highlight w:val="cyan"/>
          <w14:textFill>
            <w14:solidFill>
              <w14:schemeClr w14:val="tx1"/>
            </w14:solidFill>
          </w14:textFill>
        </w:rPr>
        <w:t>会议对南沙全民文化体育综合体配套骨干道路（除万环西路南延段拓宽工程、灵新大道南延线）进行研究讨论，并原则同意二十涌北路（东段）、规划纵三路（二十涌北路至滨海路段）纳入配建范围，按照“土地出让+配建”模式建设；剩余的5 条骨干道路按照财政投资的模式进行建设。</w:t>
      </w:r>
    </w:p>
    <w:p>
      <w:pPr>
        <w:spacing w:line="300" w:lineRule="auto"/>
        <w:ind w:firstLine="480" w:firstLineChars="200"/>
        <w:jc w:val="left"/>
        <w:rPr>
          <w:rFonts w:ascii="Times New Roman" w:hAnsi="Times New Roman"/>
          <w:b w:val="0"/>
          <w:color w:val="000000" w:themeColor="text1"/>
          <w:sz w:val="24"/>
          <w:szCs w:val="24"/>
          <w:highlight w:val="green"/>
          <w14:textFill>
            <w14:solidFill>
              <w14:schemeClr w14:val="tx1"/>
            </w14:solidFill>
          </w14:textFill>
        </w:rPr>
      </w:pPr>
      <w:r>
        <w:rPr>
          <w:rFonts w:hint="eastAsia" w:ascii="Times New Roman" w:hAnsi="Times New Roman"/>
          <w:b w:val="0"/>
          <w:color w:val="000000" w:themeColor="text1"/>
          <w:sz w:val="24"/>
          <w:szCs w:val="24"/>
          <w:highlight w:val="green"/>
          <w14:textFill>
            <w14:solidFill>
              <w14:schemeClr w14:val="tx1"/>
            </w14:solidFill>
          </w14:textFill>
        </w:rPr>
        <w:t>本次可研根据《穗规划资源南〔2023〕810号》及《关于研究南沙全民文化体育综合体配建道路事宜的备忘》执行，</w:t>
      </w:r>
      <w:r>
        <w:rPr>
          <w:rFonts w:hint="eastAsia" w:ascii="Times New Roman" w:hAnsi="Times New Roman"/>
          <w:b w:val="0"/>
          <w:color w:val="000000" w:themeColor="text1"/>
          <w:sz w:val="24"/>
          <w:szCs w:val="24"/>
          <w:highlight w:val="cyan"/>
          <w14:textFill>
            <w14:solidFill>
              <w14:schemeClr w14:val="tx1"/>
            </w14:solidFill>
          </w14:textFill>
        </w:rPr>
        <w:t>配建范围共包括2条道路</w:t>
      </w:r>
      <w:r>
        <w:rPr>
          <w:rFonts w:hint="eastAsia" w:ascii="Times New Roman" w:hAnsi="Times New Roman"/>
          <w:b w:val="0"/>
          <w:color w:val="000000" w:themeColor="text1"/>
          <w:sz w:val="24"/>
          <w:szCs w:val="24"/>
          <w:highlight w:val="green"/>
          <w14:textFill>
            <w14:solidFill>
              <w14:schemeClr w14:val="tx1"/>
            </w14:solidFill>
          </w14:textFill>
        </w:rPr>
        <w:t>，分别为二十涌北路、规划纵三路。本次设计2条道路与</w:t>
      </w:r>
      <w:r>
        <w:rPr>
          <w:rFonts w:ascii="Times New Roman" w:hAnsi="Times New Roman"/>
          <w:b w:val="0"/>
          <w:color w:val="000000" w:themeColor="text1"/>
          <w:sz w:val="24"/>
          <w:szCs w:val="24"/>
          <w:highlight w:val="green"/>
          <w14:textFill>
            <w14:solidFill>
              <w14:schemeClr w14:val="tx1"/>
            </w14:solidFill>
          </w14:textFill>
        </w:rPr>
        <w:t>第一批工作任务</w:t>
      </w:r>
      <w:r>
        <w:rPr>
          <w:rFonts w:hint="eastAsia" w:ascii="Times New Roman" w:hAnsi="Times New Roman"/>
          <w:b w:val="0"/>
          <w:color w:val="000000" w:themeColor="text1"/>
          <w:sz w:val="24"/>
          <w:szCs w:val="24"/>
          <w:highlight w:val="green"/>
          <w14:textFill>
            <w14:solidFill>
              <w14:schemeClr w14:val="tx1"/>
            </w14:solidFill>
          </w14:textFill>
        </w:rPr>
        <w:t>中骨干道路建设内容及规模对比如下：</w:t>
      </w:r>
    </w:p>
    <w:tbl>
      <w:tblPr>
        <w:tblStyle w:val="32"/>
        <w:tblW w:w="9687" w:type="dxa"/>
        <w:jc w:val="center"/>
        <w:tblLayout w:type="fixed"/>
        <w:tblCellMar>
          <w:top w:w="0" w:type="dxa"/>
          <w:left w:w="108" w:type="dxa"/>
          <w:bottom w:w="0" w:type="dxa"/>
          <w:right w:w="108" w:type="dxa"/>
        </w:tblCellMar>
      </w:tblPr>
      <w:tblGrid>
        <w:gridCol w:w="2470"/>
        <w:gridCol w:w="1684"/>
        <w:gridCol w:w="1116"/>
        <w:gridCol w:w="1084"/>
        <w:gridCol w:w="750"/>
        <w:gridCol w:w="1250"/>
        <w:gridCol w:w="1333"/>
      </w:tblGrid>
      <w:tr>
        <w:tblPrEx>
          <w:tblCellMar>
            <w:top w:w="0" w:type="dxa"/>
            <w:left w:w="108" w:type="dxa"/>
            <w:bottom w:w="0" w:type="dxa"/>
            <w:right w:w="108" w:type="dxa"/>
          </w:tblCellMar>
        </w:tblPrEx>
        <w:trPr>
          <w:trHeight w:val="450" w:hRule="atLeast"/>
          <w:jc w:val="center"/>
        </w:trPr>
        <w:tc>
          <w:tcPr>
            <w:tcW w:w="4154"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spacing w:line="300" w:lineRule="auto"/>
              <w:ind w:firstLine="480" w:firstLineChars="200"/>
              <w:jc w:val="center"/>
              <w:rPr>
                <w:rFonts w:ascii="Times New Roman" w:hAnsi="Times New Roman"/>
                <w:b w:val="0"/>
                <w:color w:val="auto"/>
                <w:sz w:val="24"/>
                <w:szCs w:val="24"/>
              </w:rPr>
            </w:pPr>
            <w:r>
              <w:rPr>
                <w:rFonts w:ascii="Times New Roman" w:hAnsi="Times New Roman"/>
                <w:b w:val="0"/>
                <w:color w:val="auto"/>
                <w:sz w:val="24"/>
                <w:szCs w:val="24"/>
              </w:rPr>
              <w:t>道路名称</w:t>
            </w:r>
          </w:p>
        </w:tc>
        <w:tc>
          <w:tcPr>
            <w:tcW w:w="2950"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spacing w:line="300" w:lineRule="auto"/>
              <w:ind w:firstLine="480" w:firstLineChars="200"/>
              <w:jc w:val="center"/>
              <w:rPr>
                <w:rFonts w:ascii="Times New Roman" w:hAnsi="Times New Roman"/>
                <w:b w:val="0"/>
                <w:color w:val="auto"/>
                <w:sz w:val="24"/>
                <w:szCs w:val="24"/>
              </w:rPr>
            </w:pPr>
            <w:r>
              <w:rPr>
                <w:rFonts w:ascii="Times New Roman" w:hAnsi="Times New Roman"/>
                <w:b w:val="0"/>
                <w:color w:val="auto"/>
                <w:sz w:val="24"/>
                <w:szCs w:val="24"/>
              </w:rPr>
              <w:t>道路长度(m)</w:t>
            </w:r>
          </w:p>
        </w:tc>
        <w:tc>
          <w:tcPr>
            <w:tcW w:w="258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道路宽度(m)</w:t>
            </w:r>
          </w:p>
        </w:tc>
      </w:tr>
      <w:tr>
        <w:tblPrEx>
          <w:tblCellMar>
            <w:top w:w="0" w:type="dxa"/>
            <w:left w:w="108" w:type="dxa"/>
            <w:bottom w:w="0" w:type="dxa"/>
            <w:right w:w="108" w:type="dxa"/>
          </w:tblCellMar>
        </w:tblPrEx>
        <w:trPr>
          <w:trHeight w:val="600" w:hRule="atLeast"/>
          <w:jc w:val="center"/>
        </w:trPr>
        <w:tc>
          <w:tcPr>
            <w:tcW w:w="24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第一批工作任务</w:t>
            </w:r>
          </w:p>
        </w:tc>
        <w:tc>
          <w:tcPr>
            <w:tcW w:w="16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spacing w:line="300" w:lineRule="auto"/>
              <w:jc w:val="center"/>
              <w:rPr>
                <w:rFonts w:ascii="Times New Roman" w:hAnsi="Times New Roman"/>
                <w:b w:val="0"/>
                <w:color w:val="auto"/>
                <w:sz w:val="24"/>
                <w:szCs w:val="24"/>
              </w:rPr>
            </w:pPr>
            <w:r>
              <w:rPr>
                <w:rFonts w:hint="eastAsia" w:ascii="Times New Roman" w:hAnsi="Times New Roman"/>
                <w:b w:val="0"/>
                <w:color w:val="auto"/>
                <w:sz w:val="24"/>
                <w:szCs w:val="24"/>
                <w:highlight w:val="green"/>
              </w:rPr>
              <w:t>本次可研</w:t>
            </w:r>
          </w:p>
        </w:tc>
        <w:tc>
          <w:tcPr>
            <w:tcW w:w="11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第一批工作任务</w:t>
            </w:r>
          </w:p>
        </w:tc>
        <w:tc>
          <w:tcPr>
            <w:tcW w:w="10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spacing w:line="300" w:lineRule="auto"/>
              <w:jc w:val="center"/>
              <w:rPr>
                <w:rFonts w:ascii="Times New Roman" w:hAnsi="Times New Roman"/>
                <w:b w:val="0"/>
                <w:color w:val="auto"/>
                <w:sz w:val="24"/>
                <w:szCs w:val="24"/>
              </w:rPr>
            </w:pPr>
            <w:r>
              <w:rPr>
                <w:rFonts w:hint="eastAsia" w:ascii="Times New Roman" w:hAnsi="Times New Roman"/>
                <w:b w:val="0"/>
                <w:color w:val="auto"/>
                <w:sz w:val="24"/>
                <w:szCs w:val="24"/>
                <w:highlight w:val="green"/>
              </w:rPr>
              <w:t>本次可研</w:t>
            </w:r>
          </w:p>
        </w:tc>
        <w:tc>
          <w:tcPr>
            <w:tcW w:w="7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差异</w:t>
            </w:r>
          </w:p>
        </w:tc>
        <w:tc>
          <w:tcPr>
            <w:tcW w:w="12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第一批工作任务</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spacing w:line="300" w:lineRule="auto"/>
              <w:jc w:val="center"/>
              <w:rPr>
                <w:rFonts w:ascii="Times New Roman" w:hAnsi="Times New Roman"/>
                <w:b w:val="0"/>
                <w:color w:val="auto"/>
                <w:sz w:val="24"/>
                <w:szCs w:val="24"/>
              </w:rPr>
            </w:pPr>
            <w:r>
              <w:rPr>
                <w:rFonts w:hint="eastAsia" w:ascii="Times New Roman" w:hAnsi="Times New Roman"/>
                <w:b w:val="0"/>
                <w:color w:val="auto"/>
                <w:sz w:val="24"/>
                <w:szCs w:val="24"/>
                <w:highlight w:val="green"/>
              </w:rPr>
              <w:t>本次可研</w:t>
            </w:r>
          </w:p>
        </w:tc>
      </w:tr>
      <w:tr>
        <w:tblPrEx>
          <w:tblCellMar>
            <w:top w:w="0" w:type="dxa"/>
            <w:left w:w="108" w:type="dxa"/>
            <w:bottom w:w="0" w:type="dxa"/>
            <w:right w:w="108" w:type="dxa"/>
          </w:tblCellMar>
        </w:tblPrEx>
        <w:trPr>
          <w:trHeight w:val="600" w:hRule="atLeast"/>
          <w:jc w:val="center"/>
        </w:trPr>
        <w:tc>
          <w:tcPr>
            <w:tcW w:w="24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规划纵三路(南段)</w:t>
            </w:r>
          </w:p>
        </w:tc>
        <w:tc>
          <w:tcPr>
            <w:tcW w:w="16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规划纵三路</w:t>
            </w:r>
          </w:p>
        </w:tc>
        <w:tc>
          <w:tcPr>
            <w:tcW w:w="11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1500</w:t>
            </w:r>
          </w:p>
        </w:tc>
        <w:tc>
          <w:tcPr>
            <w:tcW w:w="10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1485</w:t>
            </w:r>
          </w:p>
        </w:tc>
        <w:tc>
          <w:tcPr>
            <w:tcW w:w="7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15</w:t>
            </w:r>
          </w:p>
        </w:tc>
        <w:tc>
          <w:tcPr>
            <w:tcW w:w="12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34</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34</w:t>
            </w:r>
          </w:p>
        </w:tc>
      </w:tr>
      <w:tr>
        <w:tblPrEx>
          <w:tblCellMar>
            <w:top w:w="0" w:type="dxa"/>
            <w:left w:w="108" w:type="dxa"/>
            <w:bottom w:w="0" w:type="dxa"/>
            <w:right w:w="108" w:type="dxa"/>
          </w:tblCellMar>
        </w:tblPrEx>
        <w:trPr>
          <w:trHeight w:val="600" w:hRule="atLeast"/>
          <w:jc w:val="center"/>
        </w:trPr>
        <w:tc>
          <w:tcPr>
            <w:tcW w:w="24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二十涌北路(东段)</w:t>
            </w:r>
          </w:p>
        </w:tc>
        <w:tc>
          <w:tcPr>
            <w:tcW w:w="16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二十涌北路</w:t>
            </w:r>
          </w:p>
        </w:tc>
        <w:tc>
          <w:tcPr>
            <w:tcW w:w="11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1700</w:t>
            </w:r>
          </w:p>
        </w:tc>
        <w:tc>
          <w:tcPr>
            <w:tcW w:w="10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1852</w:t>
            </w:r>
          </w:p>
        </w:tc>
        <w:tc>
          <w:tcPr>
            <w:tcW w:w="7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-152</w:t>
            </w:r>
          </w:p>
        </w:tc>
        <w:tc>
          <w:tcPr>
            <w:tcW w:w="12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50</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50</w:t>
            </w:r>
          </w:p>
        </w:tc>
      </w:tr>
    </w:tbl>
    <w:p>
      <w:pPr>
        <w:spacing w:line="300" w:lineRule="auto"/>
        <w:ind w:firstLine="480" w:firstLineChars="200"/>
        <w:jc w:val="left"/>
        <w:rPr>
          <w:rFonts w:ascii="Times New Roman" w:hAnsi="Times New Roman"/>
          <w:b w:val="0"/>
          <w:color w:val="000000" w:themeColor="text1"/>
          <w:sz w:val="24"/>
          <w:szCs w:val="24"/>
          <w:highlight w:val="green"/>
          <w14:textFill>
            <w14:solidFill>
              <w14:schemeClr w14:val="tx1"/>
            </w14:solidFill>
          </w14:textFill>
        </w:rPr>
      </w:pPr>
    </w:p>
    <w:p>
      <w:pPr>
        <w:spacing w:line="300" w:lineRule="auto"/>
        <w:ind w:firstLine="480" w:firstLineChars="200"/>
        <w:jc w:val="left"/>
        <w:rPr>
          <w:rFonts w:ascii="Times New Roman" w:hAnsi="Times New Roman"/>
          <w:b w:val="0"/>
          <w:color w:val="000000" w:themeColor="text1"/>
          <w:sz w:val="24"/>
          <w:szCs w:val="24"/>
          <w:highlight w:val="green"/>
          <w14:textFill>
            <w14:solidFill>
              <w14:schemeClr w14:val="tx1"/>
            </w14:solidFill>
          </w14:textFill>
        </w:rPr>
      </w:pPr>
      <w:r>
        <w:rPr>
          <w:rFonts w:hint="eastAsia" w:ascii="Times New Roman" w:hAnsi="Times New Roman"/>
          <w:b w:val="0"/>
          <w:color w:val="000000" w:themeColor="text1"/>
          <w:sz w:val="24"/>
          <w:szCs w:val="24"/>
          <w:highlight w:val="green"/>
          <w14:textFill>
            <w14:solidFill>
              <w14:schemeClr w14:val="tx1"/>
            </w14:solidFill>
          </w14:textFill>
        </w:rPr>
        <w:t>具体差异如下：</w:t>
      </w:r>
    </w:p>
    <w:p>
      <w:pPr>
        <w:numPr>
          <w:ilvl w:val="0"/>
          <w:numId w:val="8"/>
        </w:numPr>
        <w:spacing w:line="300" w:lineRule="auto"/>
        <w:ind w:firstLine="480" w:firstLineChars="200"/>
        <w:jc w:val="left"/>
        <w:rPr>
          <w:rFonts w:ascii="Times New Roman" w:hAnsi="Times New Roman"/>
          <w:b w:val="0"/>
          <w:color w:val="000000" w:themeColor="text1"/>
          <w:sz w:val="24"/>
          <w:szCs w:val="24"/>
          <w:highlight w:val="yellow"/>
          <w14:textFill>
            <w14:solidFill>
              <w14:schemeClr w14:val="tx1"/>
            </w14:solidFill>
          </w14:textFill>
        </w:rPr>
      </w:pPr>
      <w:r>
        <w:rPr>
          <w:rFonts w:ascii="Times New Roman" w:hAnsi="Times New Roman"/>
          <w:b w:val="0"/>
          <w:color w:val="000000" w:themeColor="text1"/>
          <w:sz w:val="24"/>
          <w:szCs w:val="24"/>
          <w:highlight w:val="yellow"/>
          <w14:textFill>
            <w14:solidFill>
              <w14:schemeClr w14:val="tx1"/>
            </w14:solidFill>
          </w14:textFill>
        </w:rPr>
        <w:t>1、本项目规划纵三路这条道路的名称与第一批工作任务不一致；</w:t>
      </w:r>
    </w:p>
    <w:p>
      <w:pPr>
        <w:spacing w:line="300" w:lineRule="auto"/>
        <w:ind w:firstLine="480" w:firstLineChars="200"/>
        <w:jc w:val="left"/>
        <w:rPr>
          <w:rFonts w:ascii="Times New Roman" w:hAnsi="Times New Roman"/>
          <w:b w:val="0"/>
          <w:color w:val="000000" w:themeColor="text1"/>
          <w:sz w:val="24"/>
          <w:szCs w:val="24"/>
          <w:highlight w:val="green"/>
          <w14:textFill>
            <w14:solidFill>
              <w14:schemeClr w14:val="tx1"/>
            </w14:solidFill>
          </w14:textFill>
        </w:rPr>
      </w:pPr>
      <w:r>
        <w:rPr>
          <w:rFonts w:ascii="Times New Roman" w:hAnsi="Times New Roman"/>
          <w:b w:val="0"/>
          <w:color w:val="000000" w:themeColor="text1"/>
          <w:sz w:val="24"/>
          <w:szCs w:val="24"/>
          <w:highlight w:val="yellow"/>
          <w14:textFill>
            <w14:solidFill>
              <w14:schemeClr w14:val="tx1"/>
            </w14:solidFill>
          </w14:textFill>
        </w:rPr>
        <w:t>2、根据第一批工作任务，</w:t>
      </w:r>
      <w:r>
        <w:rPr>
          <w:rFonts w:hint="eastAsia" w:ascii="Times New Roman" w:hAnsi="Times New Roman"/>
          <w:b w:val="0"/>
          <w:color w:val="000000" w:themeColor="text1"/>
          <w:sz w:val="24"/>
          <w:szCs w:val="24"/>
          <w:highlight w:val="yellow"/>
          <w14:textFill>
            <w14:solidFill>
              <w14:schemeClr w14:val="tx1"/>
            </w14:solidFill>
          </w14:textFill>
        </w:rPr>
        <w:t>2</w:t>
      </w:r>
      <w:r>
        <w:rPr>
          <w:rFonts w:ascii="Times New Roman" w:hAnsi="Times New Roman"/>
          <w:b w:val="0"/>
          <w:color w:val="000000" w:themeColor="text1"/>
          <w:sz w:val="24"/>
          <w:szCs w:val="24"/>
          <w:highlight w:val="yellow"/>
          <w14:textFill>
            <w14:solidFill>
              <w14:schemeClr w14:val="tx1"/>
            </w14:solidFill>
          </w14:textFill>
        </w:rPr>
        <w:t>条骨干道路总长度为</w:t>
      </w:r>
      <w:r>
        <w:rPr>
          <w:rFonts w:hint="eastAsia" w:ascii="Times New Roman" w:hAnsi="Times New Roman"/>
          <w:b w:val="0"/>
          <w:color w:val="000000" w:themeColor="text1"/>
          <w:sz w:val="24"/>
          <w:szCs w:val="24"/>
          <w:highlight w:val="yellow"/>
          <w14:textFill>
            <w14:solidFill>
              <w14:schemeClr w14:val="tx1"/>
            </w14:solidFill>
          </w14:textFill>
        </w:rPr>
        <w:t>32</w:t>
      </w:r>
      <w:r>
        <w:rPr>
          <w:rFonts w:ascii="Times New Roman" w:hAnsi="Times New Roman"/>
          <w:b w:val="0"/>
          <w:color w:val="000000" w:themeColor="text1"/>
          <w:sz w:val="24"/>
          <w:szCs w:val="24"/>
          <w:highlight w:val="yellow"/>
          <w14:textFill>
            <w14:solidFill>
              <w14:schemeClr w14:val="tx1"/>
            </w14:solidFill>
          </w14:textFill>
        </w:rPr>
        <w:t>00m，建设方案</w:t>
      </w:r>
      <w:r>
        <w:rPr>
          <w:rFonts w:hint="eastAsia" w:ascii="Times New Roman" w:hAnsi="Times New Roman"/>
          <w:b w:val="0"/>
          <w:color w:val="000000" w:themeColor="text1"/>
          <w:sz w:val="24"/>
          <w:szCs w:val="24"/>
          <w:highlight w:val="yellow"/>
          <w14:textFill>
            <w14:solidFill>
              <w14:schemeClr w14:val="tx1"/>
            </w14:solidFill>
          </w14:textFill>
        </w:rPr>
        <w:t>2</w:t>
      </w:r>
      <w:r>
        <w:rPr>
          <w:rFonts w:ascii="Times New Roman" w:hAnsi="Times New Roman"/>
          <w:b w:val="0"/>
          <w:color w:val="000000" w:themeColor="text1"/>
          <w:sz w:val="24"/>
          <w:szCs w:val="24"/>
          <w:highlight w:val="yellow"/>
          <w14:textFill>
            <w14:solidFill>
              <w14:schemeClr w14:val="tx1"/>
            </w14:solidFill>
          </w14:textFill>
        </w:rPr>
        <w:t>条骨干道路总长度为</w:t>
      </w:r>
      <w:r>
        <w:rPr>
          <w:rFonts w:hint="eastAsia" w:ascii="Times New Roman" w:hAnsi="Times New Roman"/>
          <w:b w:val="0"/>
          <w:color w:val="000000" w:themeColor="text1"/>
          <w:sz w:val="24"/>
          <w:szCs w:val="24"/>
          <w:highlight w:val="yellow"/>
          <w14:textFill>
            <w14:solidFill>
              <w14:schemeClr w14:val="tx1"/>
            </w14:solidFill>
          </w14:textFill>
        </w:rPr>
        <w:t>3337</w:t>
      </w:r>
      <w:r>
        <w:rPr>
          <w:rFonts w:ascii="Times New Roman" w:hAnsi="Times New Roman"/>
          <w:b w:val="0"/>
          <w:color w:val="000000" w:themeColor="text1"/>
          <w:sz w:val="24"/>
          <w:szCs w:val="24"/>
          <w:highlight w:val="yellow"/>
          <w14:textFill>
            <w14:solidFill>
              <w14:schemeClr w14:val="tx1"/>
            </w14:solidFill>
          </w14:textFill>
        </w:rPr>
        <w:t>m</w:t>
      </w:r>
      <w:r>
        <w:rPr>
          <w:rFonts w:hint="eastAsia" w:ascii="Times New Roman" w:hAnsi="Times New Roman"/>
          <w:b w:val="0"/>
          <w:color w:val="000000" w:themeColor="text1"/>
          <w:sz w:val="24"/>
          <w:szCs w:val="24"/>
          <w:highlight w:val="green"/>
          <w14:textFill>
            <w14:solidFill>
              <w14:schemeClr w14:val="tx1"/>
            </w14:solidFill>
          </w14:textFill>
        </w:rPr>
        <w:t>。</w:t>
      </w:r>
    </w:p>
    <w:p>
      <w:pPr>
        <w:spacing w:line="300" w:lineRule="auto"/>
        <w:ind w:firstLine="480" w:firstLineChars="200"/>
        <w:jc w:val="left"/>
        <w:rPr>
          <w:rFonts w:ascii="Times New Roman" w:hAnsi="Times New Roman"/>
          <w:b w:val="0"/>
          <w:color w:val="000000" w:themeColor="text1"/>
          <w:sz w:val="24"/>
          <w:szCs w:val="24"/>
          <w:highlight w:val="green"/>
          <w14:textFill>
            <w14:solidFill>
              <w14:schemeClr w14:val="tx1"/>
            </w14:solidFill>
          </w14:textFill>
        </w:rPr>
      </w:pPr>
      <w:r>
        <w:rPr>
          <w:rFonts w:hint="eastAsia" w:ascii="Times New Roman" w:hAnsi="Times New Roman"/>
          <w:b w:val="0"/>
          <w:color w:val="000000" w:themeColor="text1"/>
          <w:sz w:val="24"/>
          <w:szCs w:val="24"/>
          <w:highlight w:val="green"/>
          <w14:textFill>
            <w14:solidFill>
              <w14:schemeClr w14:val="tx1"/>
            </w14:solidFill>
          </w14:textFill>
        </w:rPr>
        <w:t>3、投资差异：根据《关于印发南沙区落实《南沙全民文化体育综合体及配套设施建设第一批工作任务》的实施方案的通知》及《南沙全民文化体育综合体及配套设施建设第一批工作任务清单》，南沙全民文化体育综合体配套骨干道路总共9条，总长约26950m，道路总面积约1392500㎡，总投资约56.42亿元，单位长度投资21万元/m，单位面积总投资4052元/㎡。</w:t>
      </w:r>
    </w:p>
    <w:p>
      <w:pPr>
        <w:spacing w:line="300" w:lineRule="auto"/>
        <w:ind w:firstLine="480" w:firstLineChars="200"/>
        <w:jc w:val="left"/>
        <w:rPr>
          <w:rFonts w:ascii="Times New Roman" w:hAnsi="Times New Roman"/>
          <w:b w:val="0"/>
          <w:color w:val="auto"/>
          <w:sz w:val="24"/>
          <w:szCs w:val="24"/>
          <w:highlight w:val="cyan"/>
        </w:rPr>
      </w:pPr>
      <w:r>
        <w:rPr>
          <w:rFonts w:hint="eastAsia" w:ascii="Times New Roman" w:hAnsi="Times New Roman"/>
          <w:b w:val="0"/>
          <w:color w:val="000000" w:themeColor="text1"/>
          <w:sz w:val="24"/>
          <w:szCs w:val="24"/>
          <w:highlight w:val="green"/>
          <w14:textFill>
            <w14:solidFill>
              <w14:schemeClr w14:val="tx1"/>
            </w14:solidFill>
          </w14:textFill>
        </w:rPr>
        <w:t>本项目为南沙全民文化体育综合体配套骨干道路中的2条，分别为二十涌北路、规划纵三路，总长约3337m，道路总面积约143090㎡，</w:t>
      </w:r>
      <w:r>
        <w:rPr>
          <w:rFonts w:hint="eastAsia" w:ascii="Times New Roman" w:hAnsi="Times New Roman"/>
          <w:b w:val="0"/>
          <w:color w:val="auto"/>
          <w:sz w:val="24"/>
          <w:szCs w:val="24"/>
          <w:highlight w:val="cyan"/>
        </w:rPr>
        <w:t>总投资约</w:t>
      </w:r>
      <w:r>
        <w:rPr>
          <w:rFonts w:ascii="Times New Roman" w:hAnsi="Times New Roman"/>
          <w:b w:val="0"/>
          <w:color w:val="auto"/>
          <w:sz w:val="24"/>
          <w:szCs w:val="24"/>
          <w:highlight w:val="cyan"/>
        </w:rPr>
        <w:t>99629.78万元，单位长度投资29.86万元/m，</w:t>
      </w:r>
      <w:r>
        <w:rPr>
          <w:rFonts w:ascii="Times New Roman" w:hAnsi="Times New Roman"/>
          <w:b w:val="0"/>
          <w:color w:val="auto"/>
          <w:sz w:val="24"/>
          <w:szCs w:val="24"/>
          <w:highlight w:val="magenta"/>
        </w:rPr>
        <w:t>单位面积总投资6654元/㎡。</w:t>
      </w:r>
    </w:p>
    <w:p>
      <w:pPr>
        <w:spacing w:line="300" w:lineRule="auto"/>
        <w:ind w:firstLine="480" w:firstLineChars="200"/>
        <w:jc w:val="left"/>
        <w:rPr>
          <w:rFonts w:ascii="Times New Roman" w:hAnsi="Times New Roman"/>
          <w:b w:val="0"/>
          <w:color w:val="000000" w:themeColor="text1"/>
          <w:sz w:val="24"/>
          <w:szCs w:val="24"/>
          <w:highlight w:val="yellow"/>
          <w14:textFill>
            <w14:solidFill>
              <w14:schemeClr w14:val="tx1"/>
            </w14:solidFill>
          </w14:textFill>
        </w:rPr>
      </w:pPr>
      <w:r>
        <w:rPr>
          <w:rFonts w:hint="eastAsia" w:ascii="Times New Roman" w:hAnsi="Times New Roman"/>
          <w:b w:val="0"/>
          <w:color w:val="000000" w:themeColor="text1"/>
          <w:sz w:val="24"/>
          <w:szCs w:val="24"/>
          <w:highlight w:val="yellow"/>
          <w14:textFill>
            <w14:solidFill>
              <w14:schemeClr w14:val="tx1"/>
            </w14:solidFill>
          </w14:textFill>
        </w:rPr>
        <w:t>差异原因主要为印发第一批任务时，规划和项目建设方案未稳定，建设内容、规模和投资估算仅为初步估算内容，后期根据广州市规划和自然资源局南沙区分局提供的《关于提供南沙全民文化体育综合体部分配套道路规划意见的复函-穗规划资源南〔2023〕810号》及《关于研究南沙全民文化体育综合体配建道路事宜的备忘》，明确了本项目建设内容及规模。</w:t>
      </w:r>
    </w:p>
    <w:p>
      <w:pPr>
        <w:spacing w:line="300" w:lineRule="auto"/>
        <w:ind w:firstLine="480" w:firstLineChars="200"/>
        <w:jc w:val="left"/>
        <w:rPr>
          <w:rFonts w:ascii="Times New Roman" w:hAnsi="Times New Roman"/>
          <w:b w:val="0"/>
          <w:color w:val="000000" w:themeColor="text1"/>
          <w:sz w:val="24"/>
          <w:szCs w:val="24"/>
          <w:highlight w:val="green"/>
          <w14:textFill>
            <w14:solidFill>
              <w14:schemeClr w14:val="tx1"/>
            </w14:solidFill>
          </w14:textFill>
        </w:rPr>
      </w:pPr>
      <w:r>
        <w:rPr>
          <w:rFonts w:hint="eastAsia" w:ascii="Times New Roman" w:hAnsi="Times New Roman"/>
          <w:b w:val="0"/>
          <w:color w:val="000000" w:themeColor="text1"/>
          <w:sz w:val="24"/>
          <w:szCs w:val="24"/>
          <w:highlight w:val="green"/>
          <w14:textFill>
            <w14:solidFill>
              <w14:schemeClr w14:val="tx1"/>
            </w14:solidFill>
          </w14:textFill>
        </w:rPr>
        <w:t>根据</w:t>
      </w:r>
      <w:r>
        <w:rPr>
          <w:rFonts w:ascii="Times New Roman" w:hAnsi="Times New Roman"/>
          <w:b w:val="0"/>
          <w:color w:val="000000" w:themeColor="text1"/>
          <w:sz w:val="24"/>
          <w:szCs w:val="24"/>
          <w:highlight w:val="green"/>
          <w14:textFill>
            <w14:solidFill>
              <w14:schemeClr w14:val="tx1"/>
            </w14:solidFill>
          </w14:textFill>
        </w:rPr>
        <w:t>《南沙全民文化体育综合体及配套设施建设第一批工作任务》的实施方案</w:t>
      </w:r>
      <w:r>
        <w:rPr>
          <w:rFonts w:hint="eastAsia" w:ascii="Times New Roman" w:hAnsi="Times New Roman"/>
          <w:b w:val="0"/>
          <w:color w:val="000000" w:themeColor="text1"/>
          <w:sz w:val="24"/>
          <w:szCs w:val="24"/>
          <w:highlight w:val="green"/>
          <w14:textFill>
            <w14:solidFill>
              <w14:schemeClr w14:val="tx1"/>
            </w14:solidFill>
          </w14:textFill>
        </w:rPr>
        <w:t>，</w:t>
      </w:r>
      <w:r>
        <w:rPr>
          <w:rFonts w:ascii="Times New Roman" w:hAnsi="Times New Roman"/>
          <w:b w:val="0"/>
          <w:color w:val="000000" w:themeColor="text1"/>
          <w:sz w:val="24"/>
          <w:szCs w:val="24"/>
          <w:highlight w:val="green"/>
          <w14:textFill>
            <w14:solidFill>
              <w14:schemeClr w14:val="tx1"/>
            </w14:solidFill>
          </w14:textFill>
        </w:rPr>
        <w:t>本项目的工作安排如下：</w:t>
      </w:r>
    </w:p>
    <w:p>
      <w:pPr>
        <w:spacing w:line="300" w:lineRule="auto"/>
        <w:ind w:firstLine="480" w:firstLineChars="200"/>
        <w:jc w:val="left"/>
        <w:rPr>
          <w:rFonts w:ascii="Times New Roman" w:hAnsi="Times New Roman"/>
          <w:b w:val="0"/>
          <w:color w:val="000000" w:themeColor="text1"/>
          <w:sz w:val="24"/>
          <w:szCs w:val="24"/>
          <w:highlight w:val="green"/>
          <w14:textFill>
            <w14:solidFill>
              <w14:schemeClr w14:val="tx1"/>
            </w14:solidFill>
          </w14:textFill>
        </w:rPr>
      </w:pPr>
      <w:r>
        <w:rPr>
          <w:rFonts w:hint="eastAsia" w:ascii="Times New Roman" w:hAnsi="Times New Roman"/>
          <w:b w:val="0"/>
          <w:color w:val="000000" w:themeColor="text1"/>
          <w:sz w:val="24"/>
          <w:szCs w:val="24"/>
          <w:highlight w:val="green"/>
          <w14:textFill>
            <w14:solidFill>
              <w14:schemeClr w14:val="tx1"/>
            </w14:solidFill>
          </w14:textFill>
        </w:rPr>
        <w:t>1、</w:t>
      </w:r>
      <w:r>
        <w:rPr>
          <w:rFonts w:ascii="Times New Roman" w:hAnsi="Times New Roman"/>
          <w:b w:val="0"/>
          <w:color w:val="000000" w:themeColor="text1"/>
          <w:sz w:val="24"/>
          <w:szCs w:val="24"/>
          <w:highlight w:val="green"/>
          <w14:textFill>
            <w14:solidFill>
              <w14:schemeClr w14:val="tx1"/>
            </w14:solidFill>
          </w14:textFill>
        </w:rPr>
        <w:t>2023年9月完成项目前期工作，动工建设；</w:t>
      </w:r>
    </w:p>
    <w:p>
      <w:pPr>
        <w:spacing w:line="300" w:lineRule="auto"/>
        <w:ind w:firstLine="480" w:firstLineChars="200"/>
        <w:jc w:val="left"/>
        <w:rPr>
          <w:rFonts w:ascii="Times New Roman" w:hAnsi="Times New Roman"/>
          <w:b w:val="0"/>
          <w:color w:val="000000" w:themeColor="text1"/>
          <w:sz w:val="24"/>
          <w:szCs w:val="24"/>
          <w:highlight w:val="green"/>
          <w14:textFill>
            <w14:solidFill>
              <w14:schemeClr w14:val="tx1"/>
            </w14:solidFill>
          </w14:textFill>
        </w:rPr>
      </w:pPr>
      <w:r>
        <w:rPr>
          <w:rFonts w:hint="eastAsia" w:ascii="Times New Roman" w:hAnsi="Times New Roman"/>
          <w:b w:val="0"/>
          <w:color w:val="000000" w:themeColor="text1"/>
          <w:sz w:val="24"/>
          <w:szCs w:val="24"/>
          <w:highlight w:val="green"/>
          <w14:textFill>
            <w14:solidFill>
              <w14:schemeClr w14:val="tx1"/>
            </w14:solidFill>
          </w14:textFill>
        </w:rPr>
        <w:t>2、</w:t>
      </w:r>
      <w:r>
        <w:rPr>
          <w:rFonts w:ascii="Times New Roman" w:hAnsi="Times New Roman"/>
          <w:b w:val="0"/>
          <w:color w:val="000000" w:themeColor="text1"/>
          <w:sz w:val="24"/>
          <w:szCs w:val="24"/>
          <w:highlight w:val="green"/>
          <w14:textFill>
            <w14:solidFill>
              <w14:schemeClr w14:val="tx1"/>
            </w14:solidFill>
          </w14:textFill>
        </w:rPr>
        <w:t>2025年3月完成道路建设并通车。</w:t>
      </w:r>
    </w:p>
    <w:p>
      <w:pPr>
        <w:spacing w:line="288" w:lineRule="auto"/>
        <w:ind w:firstLine="482" w:firstLineChars="200"/>
        <w:jc w:val="left"/>
        <w:rPr>
          <w:rFonts w:ascii="Times New Roman" w:hAnsi="Times New Roman"/>
          <w:b w:val="0"/>
          <w:color w:val="auto"/>
          <w:sz w:val="24"/>
          <w:szCs w:val="24"/>
          <w:highlight w:val="green"/>
        </w:rPr>
      </w:pPr>
      <w:r>
        <w:rPr>
          <w:rFonts w:hint="eastAsia" w:ascii="Times New Roman" w:hAnsi="Times New Roman"/>
          <w:bCs/>
          <w:color w:val="auto"/>
          <w:sz w:val="24"/>
          <w:szCs w:val="24"/>
          <w:highlight w:val="green"/>
        </w:rPr>
        <w:t>（5）</w:t>
      </w:r>
      <w:r>
        <w:rPr>
          <w:rFonts w:ascii="Times New Roman" w:hAnsi="Times New Roman"/>
          <w:bCs/>
          <w:color w:val="auto"/>
          <w:sz w:val="24"/>
          <w:szCs w:val="24"/>
          <w:highlight w:val="green"/>
        </w:rPr>
        <w:t>2023年5月11日，</w:t>
      </w:r>
      <w:r>
        <w:rPr>
          <w:rFonts w:ascii="Times New Roman" w:hAnsi="Times New Roman"/>
          <w:b w:val="0"/>
          <w:color w:val="auto"/>
          <w:sz w:val="24"/>
          <w:szCs w:val="24"/>
          <w:highlight w:val="green"/>
        </w:rPr>
        <w:t>根据《关于研究推进南沙全民文化体育综合体及配套设施建设工作的会议纪要》，交投集团公司作为南沙全民文化体育综合体及配套设施建设相关项目的投资项目建设机构，代表业主单位进行项目的全过程建设管理工作，负责从工程</w:t>
      </w:r>
      <w:r>
        <w:rPr>
          <w:rFonts w:hint="eastAsia" w:ascii="Times New Roman" w:hAnsi="Times New Roman"/>
          <w:b w:val="0"/>
          <w:color w:val="auto"/>
          <w:sz w:val="24"/>
          <w:szCs w:val="24"/>
          <w:highlight w:val="green"/>
        </w:rPr>
        <w:t>建设方案</w:t>
      </w:r>
      <w:r>
        <w:rPr>
          <w:rFonts w:ascii="Times New Roman" w:hAnsi="Times New Roman"/>
          <w:b w:val="0"/>
          <w:color w:val="auto"/>
          <w:sz w:val="24"/>
          <w:szCs w:val="24"/>
          <w:highlight w:val="green"/>
        </w:rPr>
        <w:t>的编制报批至项目竣工验收、竣工结算、财务决算、移交和保修期结束之日上的全过程统筹管理工作。</w:t>
      </w:r>
    </w:p>
    <w:p>
      <w:pPr>
        <w:spacing w:line="288" w:lineRule="auto"/>
        <w:ind w:firstLine="482" w:firstLineChars="200"/>
        <w:jc w:val="left"/>
        <w:rPr>
          <w:rFonts w:ascii="Times New Roman" w:hAnsi="Times New Roman"/>
          <w:b w:val="0"/>
          <w:color w:val="auto"/>
          <w:sz w:val="24"/>
          <w:szCs w:val="24"/>
          <w:highlight w:val="green"/>
        </w:rPr>
      </w:pPr>
      <w:r>
        <w:rPr>
          <w:rFonts w:hint="eastAsia" w:ascii="Times New Roman" w:hAnsi="Times New Roman"/>
          <w:bCs/>
          <w:color w:val="auto"/>
          <w:sz w:val="24"/>
          <w:szCs w:val="24"/>
          <w:highlight w:val="green"/>
        </w:rPr>
        <w:t>（6）</w:t>
      </w:r>
      <w:r>
        <w:rPr>
          <w:rFonts w:ascii="Times New Roman" w:hAnsi="Times New Roman"/>
          <w:bCs/>
          <w:color w:val="auto"/>
          <w:sz w:val="24"/>
          <w:szCs w:val="24"/>
          <w:highlight w:val="green"/>
        </w:rPr>
        <w:t>2023年5月15日，</w:t>
      </w:r>
      <w:r>
        <w:rPr>
          <w:rFonts w:ascii="Times New Roman" w:hAnsi="Times New Roman"/>
          <w:b w:val="0"/>
          <w:color w:val="auto"/>
          <w:sz w:val="24"/>
          <w:szCs w:val="24"/>
          <w:highlight w:val="green"/>
        </w:rPr>
        <w:t>广州市南沙大型城市综合体建设指挥部印发了南沙区落实《南沙全民文化体育综合体及配套设施建设第一批工作任务》的实施方案，对各政府单位任务分工进行了明确。</w:t>
      </w:r>
    </w:p>
    <w:p>
      <w:pPr>
        <w:spacing w:line="288" w:lineRule="auto"/>
        <w:ind w:firstLine="482" w:firstLineChars="200"/>
        <w:jc w:val="left"/>
        <w:rPr>
          <w:rFonts w:ascii="Times New Roman" w:hAnsi="Times New Roman"/>
          <w:b w:val="0"/>
          <w:color w:val="auto"/>
          <w:sz w:val="24"/>
          <w:szCs w:val="24"/>
          <w:highlight w:val="green"/>
        </w:rPr>
      </w:pPr>
      <w:r>
        <w:rPr>
          <w:rFonts w:hint="eastAsia" w:ascii="Times New Roman" w:hAnsi="Times New Roman"/>
          <w:bCs/>
          <w:color w:val="auto"/>
          <w:sz w:val="24"/>
          <w:szCs w:val="24"/>
          <w:highlight w:val="green"/>
        </w:rPr>
        <w:t>（7）</w:t>
      </w:r>
      <w:r>
        <w:rPr>
          <w:rFonts w:ascii="Times New Roman" w:hAnsi="Times New Roman"/>
          <w:bCs/>
          <w:color w:val="auto"/>
          <w:sz w:val="24"/>
          <w:szCs w:val="24"/>
          <w:highlight w:val="green"/>
        </w:rPr>
        <w:t>2023年7月19日，</w:t>
      </w:r>
      <w:r>
        <w:rPr>
          <w:rFonts w:ascii="Times New Roman" w:hAnsi="Times New Roman"/>
          <w:b w:val="0"/>
          <w:color w:val="auto"/>
          <w:sz w:val="24"/>
          <w:szCs w:val="24"/>
          <w:highlight w:val="green"/>
        </w:rPr>
        <w:t>项目取得广州市规划和自然资源局南沙区分局《关于提供南沙全民文化体育综合体部分配套道路规划意见的复函》。</w:t>
      </w:r>
    </w:p>
    <w:p>
      <w:pPr>
        <w:spacing w:line="288" w:lineRule="auto"/>
        <w:ind w:firstLine="482" w:firstLineChars="200"/>
        <w:jc w:val="left"/>
        <w:rPr>
          <w:rFonts w:ascii="Times New Roman" w:hAnsi="Times New Roman"/>
          <w:b w:val="0"/>
          <w:color w:val="auto"/>
          <w:sz w:val="24"/>
          <w:szCs w:val="24"/>
          <w:highlight w:val="green"/>
        </w:rPr>
      </w:pPr>
      <w:r>
        <w:rPr>
          <w:rFonts w:hint="eastAsia" w:ascii="Times New Roman" w:hAnsi="Times New Roman"/>
          <w:bCs/>
          <w:color w:val="auto"/>
          <w:sz w:val="24"/>
          <w:szCs w:val="24"/>
          <w:highlight w:val="green"/>
        </w:rPr>
        <w:t>（8）</w:t>
      </w:r>
      <w:r>
        <w:rPr>
          <w:rFonts w:ascii="Times New Roman" w:hAnsi="Times New Roman"/>
          <w:bCs/>
          <w:color w:val="auto"/>
          <w:sz w:val="24"/>
          <w:szCs w:val="24"/>
          <w:highlight w:val="green"/>
        </w:rPr>
        <w:t>2023年8月11日，</w:t>
      </w:r>
      <w:r>
        <w:rPr>
          <w:rFonts w:ascii="Times New Roman" w:hAnsi="Times New Roman"/>
          <w:b w:val="0"/>
          <w:color w:val="auto"/>
          <w:sz w:val="24"/>
          <w:szCs w:val="24"/>
          <w:highlight w:val="green"/>
        </w:rPr>
        <w:t>项目建设管理单位广州南沙交通投资集团有限公司组织召开了本项目建设方案专家评审会。</w:t>
      </w:r>
    </w:p>
    <w:p>
      <w:pPr>
        <w:spacing w:line="288" w:lineRule="auto"/>
        <w:ind w:firstLine="482" w:firstLineChars="200"/>
        <w:jc w:val="left"/>
        <w:rPr>
          <w:rFonts w:ascii="Times New Roman" w:hAnsi="Times New Roman"/>
          <w:b w:val="0"/>
          <w:color w:val="auto"/>
          <w:sz w:val="24"/>
          <w:szCs w:val="24"/>
          <w:highlight w:val="green"/>
        </w:rPr>
      </w:pPr>
      <w:r>
        <w:rPr>
          <w:rFonts w:hint="eastAsia" w:ascii="Times New Roman" w:hAnsi="Times New Roman"/>
          <w:bCs/>
          <w:color w:val="auto"/>
          <w:sz w:val="24"/>
          <w:szCs w:val="24"/>
          <w:highlight w:val="green"/>
        </w:rPr>
        <w:t>（9）</w:t>
      </w:r>
      <w:r>
        <w:rPr>
          <w:rFonts w:ascii="Times New Roman" w:hAnsi="Times New Roman"/>
          <w:bCs/>
          <w:color w:val="auto"/>
          <w:sz w:val="24"/>
          <w:szCs w:val="24"/>
          <w:highlight w:val="green"/>
        </w:rPr>
        <w:t>2023年8月30日，</w:t>
      </w:r>
      <w:r>
        <w:rPr>
          <w:rFonts w:ascii="Times New Roman" w:hAnsi="Times New Roman"/>
          <w:b w:val="0"/>
          <w:color w:val="auto"/>
          <w:sz w:val="24"/>
          <w:szCs w:val="24"/>
          <w:highlight w:val="green"/>
        </w:rPr>
        <w:t>项目通过了广州南沙经济技术开发区发展和改革局组织召开的《南沙全民文化体育综合体项目配套骨干道路可行性研究报告》专家评估会。</w:t>
      </w:r>
    </w:p>
    <w:p>
      <w:pPr>
        <w:spacing w:line="288" w:lineRule="auto"/>
        <w:ind w:firstLine="482" w:firstLineChars="200"/>
        <w:jc w:val="left"/>
        <w:rPr>
          <w:rFonts w:ascii="Times New Roman" w:hAnsi="Times New Roman"/>
          <w:b w:val="0"/>
          <w:color w:val="auto"/>
          <w:sz w:val="24"/>
          <w:szCs w:val="24"/>
          <w:highlight w:val="green"/>
        </w:rPr>
      </w:pPr>
      <w:r>
        <w:rPr>
          <w:rFonts w:hint="eastAsia" w:ascii="Times New Roman" w:hAnsi="Times New Roman"/>
          <w:bCs/>
          <w:color w:val="auto"/>
          <w:sz w:val="24"/>
          <w:szCs w:val="24"/>
          <w:highlight w:val="green"/>
        </w:rPr>
        <w:t>（10）2023年8月30日，</w:t>
      </w:r>
      <w:r>
        <w:rPr>
          <w:rFonts w:hint="eastAsia" w:ascii="Times New Roman" w:hAnsi="Times New Roman"/>
          <w:b w:val="0"/>
          <w:color w:val="auto"/>
          <w:sz w:val="24"/>
          <w:szCs w:val="24"/>
          <w:highlight w:val="green"/>
        </w:rPr>
        <w:t>本项目开展协同会审工作，征询各部门意见。</w:t>
      </w:r>
    </w:p>
    <w:p>
      <w:pPr>
        <w:spacing w:line="288" w:lineRule="auto"/>
        <w:ind w:firstLine="482" w:firstLineChars="200"/>
        <w:jc w:val="left"/>
        <w:rPr>
          <w:rFonts w:ascii="Times New Roman" w:hAnsi="Times New Roman"/>
          <w:b w:val="0"/>
          <w:color w:val="auto"/>
          <w:sz w:val="24"/>
          <w:szCs w:val="24"/>
          <w:highlight w:val="green"/>
        </w:rPr>
      </w:pPr>
      <w:r>
        <w:rPr>
          <w:rFonts w:hint="eastAsia" w:ascii="Times New Roman" w:hAnsi="Times New Roman"/>
          <w:bCs/>
          <w:color w:val="auto"/>
          <w:sz w:val="24"/>
          <w:szCs w:val="24"/>
          <w:highlight w:val="green"/>
        </w:rPr>
        <w:t>（11）2023年9月27日，</w:t>
      </w:r>
      <w:r>
        <w:rPr>
          <w:rFonts w:hint="eastAsia" w:ascii="Times New Roman" w:hAnsi="Times New Roman"/>
          <w:b w:val="0"/>
          <w:color w:val="auto"/>
          <w:sz w:val="24"/>
          <w:szCs w:val="24"/>
          <w:highlight w:val="green"/>
        </w:rPr>
        <w:t>由南沙区联审决策委员会交通专业委员会组织召开南沙全民文化体育综合体项目配套骨干道路(二十涌北路、规划纵三路 )建设方案联合评审会。</w:t>
      </w:r>
    </w:p>
    <w:p>
      <w:pPr>
        <w:spacing w:line="288" w:lineRule="auto"/>
        <w:ind w:firstLine="482" w:firstLineChars="200"/>
        <w:jc w:val="left"/>
        <w:rPr>
          <w:rFonts w:ascii="Times New Roman" w:hAnsi="Times New Roman"/>
          <w:b w:val="0"/>
          <w:color w:val="auto"/>
          <w:sz w:val="24"/>
          <w:szCs w:val="24"/>
          <w:highlight w:val="green"/>
        </w:rPr>
      </w:pPr>
      <w:r>
        <w:rPr>
          <w:rFonts w:hint="eastAsia" w:ascii="Times New Roman" w:hAnsi="Times New Roman"/>
          <w:bCs/>
          <w:color w:val="auto"/>
          <w:sz w:val="24"/>
          <w:szCs w:val="24"/>
          <w:highlight w:val="green"/>
        </w:rPr>
        <w:t>（12）2023年10月10日，</w:t>
      </w:r>
      <w:r>
        <w:rPr>
          <w:rFonts w:hint="eastAsia" w:ascii="Times New Roman" w:hAnsi="Times New Roman"/>
          <w:b w:val="0"/>
          <w:color w:val="auto"/>
          <w:sz w:val="24"/>
          <w:szCs w:val="24"/>
          <w:highlight w:val="green"/>
        </w:rPr>
        <w:t>由区交通联审决策委员会主任黄晓峰同志主持召开广州市南沙区政府投资工程建设项目建设方案联审决策会议审议本项目建设方案。</w:t>
      </w:r>
    </w:p>
    <w:p>
      <w:pPr>
        <w:pStyle w:val="3"/>
        <w:spacing w:line="288" w:lineRule="auto"/>
        <w:ind w:firstLine="562" w:firstLineChars="200"/>
      </w:pPr>
      <w:bookmarkStart w:id="18" w:name="_Toc139447461"/>
      <w:bookmarkStart w:id="19" w:name="_Toc18780"/>
      <w:bookmarkStart w:id="20" w:name="_Toc17933"/>
      <w:r>
        <w:t>研究过程</w:t>
      </w:r>
      <w:bookmarkEnd w:id="18"/>
      <w:bookmarkEnd w:id="19"/>
      <w:bookmarkEnd w:id="20"/>
    </w:p>
    <w:p>
      <w:pPr>
        <w:spacing w:line="288" w:lineRule="auto"/>
        <w:ind w:firstLine="480" w:firstLineChars="200"/>
        <w:jc w:val="left"/>
        <w:rPr>
          <w:rFonts w:ascii="Times New Roman" w:hAnsi="Times New Roman"/>
          <w:b w:val="0"/>
          <w:color w:val="auto"/>
          <w:sz w:val="24"/>
          <w:szCs w:val="24"/>
        </w:rPr>
      </w:pPr>
      <w:r>
        <w:rPr>
          <w:rFonts w:hint="eastAsia" w:ascii="Times New Roman" w:hAnsi="Times New Roman"/>
          <w:b w:val="0"/>
          <w:color w:val="auto"/>
          <w:sz w:val="24"/>
          <w:szCs w:val="24"/>
        </w:rPr>
        <w:t>（1）</w:t>
      </w:r>
      <w:r>
        <w:rPr>
          <w:rFonts w:ascii="Times New Roman" w:hAnsi="Times New Roman"/>
          <w:b w:val="0"/>
          <w:color w:val="auto"/>
          <w:sz w:val="24"/>
          <w:szCs w:val="24"/>
        </w:rPr>
        <w:t>2023年8月29日，我院通过公开招标，中标南沙全民文化体育综合体项目配套骨干道路工程可行性研究报告编制、勘察和初步设计。</w:t>
      </w:r>
    </w:p>
    <w:p>
      <w:pPr>
        <w:spacing w:line="288" w:lineRule="auto"/>
        <w:ind w:firstLine="480" w:firstLineChars="200"/>
        <w:jc w:val="left"/>
        <w:rPr>
          <w:rFonts w:ascii="Times New Roman" w:hAnsi="Times New Roman"/>
          <w:b w:val="0"/>
          <w:color w:val="auto"/>
          <w:sz w:val="24"/>
          <w:szCs w:val="24"/>
        </w:rPr>
      </w:pPr>
      <w:r>
        <w:rPr>
          <w:rFonts w:hint="eastAsia" w:ascii="Times New Roman" w:hAnsi="Times New Roman"/>
          <w:b w:val="0"/>
          <w:color w:val="auto"/>
          <w:sz w:val="24"/>
          <w:szCs w:val="24"/>
        </w:rPr>
        <w:t>（2）</w:t>
      </w:r>
      <w:r>
        <w:rPr>
          <w:rFonts w:ascii="Times New Roman" w:hAnsi="Times New Roman"/>
          <w:b w:val="0"/>
          <w:color w:val="auto"/>
          <w:sz w:val="24"/>
          <w:szCs w:val="24"/>
        </w:rPr>
        <w:t>2023年8月30日至今，开展本项目建设方案编制工作。</w:t>
      </w:r>
    </w:p>
    <w:p>
      <w:pPr>
        <w:spacing w:line="288" w:lineRule="auto"/>
        <w:ind w:firstLine="480" w:firstLineChars="200"/>
        <w:jc w:val="left"/>
        <w:rPr>
          <w:rFonts w:ascii="Times New Roman" w:hAnsi="Times New Roman"/>
          <w:b w:val="0"/>
          <w:color w:val="auto"/>
          <w:sz w:val="24"/>
          <w:szCs w:val="24"/>
        </w:rPr>
      </w:pPr>
      <w:r>
        <w:rPr>
          <w:rFonts w:hint="eastAsia" w:ascii="Times New Roman" w:hAnsi="Times New Roman"/>
          <w:b w:val="0"/>
          <w:color w:val="auto"/>
          <w:sz w:val="24"/>
          <w:szCs w:val="24"/>
        </w:rPr>
        <w:t>（3）</w:t>
      </w:r>
      <w:r>
        <w:rPr>
          <w:rFonts w:ascii="Times New Roman" w:hAnsi="Times New Roman"/>
          <w:b w:val="0"/>
          <w:color w:val="auto"/>
          <w:sz w:val="24"/>
          <w:szCs w:val="24"/>
        </w:rPr>
        <w:t>2023年8月30日，开展协同会审工作，征询各部门意见。</w:t>
      </w:r>
    </w:p>
    <w:p>
      <w:pPr>
        <w:spacing w:line="288" w:lineRule="auto"/>
        <w:ind w:firstLine="480" w:firstLineChars="200"/>
        <w:jc w:val="left"/>
        <w:rPr>
          <w:rFonts w:ascii="Times New Roman" w:hAnsi="Times New Roman"/>
          <w:b w:val="0"/>
          <w:color w:val="auto"/>
          <w:sz w:val="24"/>
          <w:szCs w:val="24"/>
        </w:rPr>
      </w:pPr>
      <w:r>
        <w:rPr>
          <w:rFonts w:hint="eastAsia" w:ascii="Times New Roman" w:hAnsi="Times New Roman"/>
          <w:b w:val="0"/>
          <w:color w:val="auto"/>
          <w:sz w:val="24"/>
          <w:szCs w:val="24"/>
        </w:rPr>
        <w:t>（4）</w:t>
      </w:r>
      <w:r>
        <w:rPr>
          <w:rFonts w:ascii="Times New Roman" w:hAnsi="Times New Roman"/>
          <w:b w:val="0"/>
          <w:color w:val="auto"/>
          <w:sz w:val="24"/>
          <w:szCs w:val="24"/>
        </w:rPr>
        <w:t>2023年8月30日，广州南沙经济技术开发区发展和改革局组织召开南沙全民文化体育综合体项目配套骨干道路可行性研究报告评估会。</w:t>
      </w:r>
    </w:p>
    <w:p>
      <w:pPr>
        <w:spacing w:line="288" w:lineRule="auto"/>
        <w:ind w:firstLine="480" w:firstLineChars="200"/>
        <w:jc w:val="left"/>
        <w:rPr>
          <w:rFonts w:ascii="Times New Roman" w:hAnsi="Times New Roman"/>
          <w:b w:val="0"/>
          <w:color w:val="auto"/>
          <w:sz w:val="24"/>
          <w:szCs w:val="24"/>
        </w:rPr>
      </w:pPr>
      <w:r>
        <w:rPr>
          <w:rFonts w:hint="eastAsia" w:ascii="Times New Roman" w:hAnsi="Times New Roman"/>
          <w:b w:val="0"/>
          <w:color w:val="auto"/>
          <w:sz w:val="24"/>
          <w:szCs w:val="24"/>
        </w:rPr>
        <w:t>（5）</w:t>
      </w:r>
      <w:r>
        <w:rPr>
          <w:rFonts w:ascii="Times New Roman" w:hAnsi="Times New Roman"/>
          <w:b w:val="0"/>
          <w:color w:val="auto"/>
          <w:sz w:val="24"/>
          <w:szCs w:val="24"/>
        </w:rPr>
        <w:t>2023年9月4日，开展项目用地预审和规划选址工作，暂未批复相关文件。</w:t>
      </w:r>
    </w:p>
    <w:p>
      <w:pPr>
        <w:pStyle w:val="117"/>
        <w:spacing w:line="288" w:lineRule="auto"/>
        <w:ind w:firstLine="480"/>
        <w:rPr>
          <w:rFonts w:ascii="Times New Roman" w:hAnsi="Times New Roman"/>
        </w:rPr>
      </w:pPr>
      <w:r>
        <w:rPr>
          <w:rFonts w:hint="eastAsia" w:ascii="Times New Roman" w:hAnsi="Times New Roman"/>
          <w:szCs w:val="24"/>
        </w:rPr>
        <w:t>（6）</w:t>
      </w:r>
      <w:r>
        <w:rPr>
          <w:rFonts w:ascii="Times New Roman" w:hAnsi="Times New Roman"/>
          <w:szCs w:val="24"/>
        </w:rPr>
        <w:t>2023年9月</w:t>
      </w:r>
      <w:r>
        <w:rPr>
          <w:rFonts w:hint="eastAsia" w:ascii="Times New Roman" w:hAnsi="Times New Roman"/>
          <w:szCs w:val="24"/>
        </w:rPr>
        <w:t>27</w:t>
      </w:r>
      <w:r>
        <w:rPr>
          <w:rFonts w:ascii="Times New Roman" w:hAnsi="Times New Roman"/>
          <w:szCs w:val="24"/>
        </w:rPr>
        <w:t>日，</w:t>
      </w:r>
      <w:r>
        <w:rPr>
          <w:rFonts w:hint="eastAsia" w:ascii="Times New Roman" w:hAnsi="Times New Roman"/>
          <w:szCs w:val="24"/>
        </w:rPr>
        <w:t>由南沙区联审决策委员会交通专业委员会组织召开南沙全民文化体育综合体项目配套骨干道路(二十涌北路、规划纵三路 )建设方案联合评审会</w:t>
      </w:r>
      <w:r>
        <w:rPr>
          <w:rFonts w:ascii="Times New Roman" w:hAnsi="Times New Roman"/>
        </w:rPr>
        <w:t>。</w:t>
      </w:r>
    </w:p>
    <w:p>
      <w:pPr>
        <w:spacing w:line="288" w:lineRule="auto"/>
        <w:ind w:firstLine="480" w:firstLineChars="200"/>
        <w:jc w:val="left"/>
        <w:rPr>
          <w:rFonts w:ascii="Times New Roman" w:hAnsi="Times New Roman"/>
          <w:b w:val="0"/>
          <w:color w:val="auto"/>
          <w:sz w:val="24"/>
          <w:szCs w:val="24"/>
        </w:rPr>
      </w:pPr>
      <w:r>
        <w:rPr>
          <w:rFonts w:hint="eastAsia" w:ascii="Times New Roman" w:hAnsi="Times New Roman"/>
          <w:b w:val="0"/>
          <w:color w:val="auto"/>
          <w:sz w:val="24"/>
          <w:szCs w:val="24"/>
        </w:rPr>
        <w:t>（</w:t>
      </w:r>
      <w:r>
        <w:rPr>
          <w:rFonts w:hint="eastAsia" w:ascii="Times New Roman" w:hAnsi="Times New Roman"/>
          <w:b w:val="0"/>
          <w:color w:val="auto"/>
          <w:sz w:val="24"/>
          <w:szCs w:val="24"/>
          <w:lang w:val="en-US" w:eastAsia="zh-CN"/>
        </w:rPr>
        <w:t>7</w:t>
      </w:r>
      <w:r>
        <w:rPr>
          <w:rFonts w:hint="eastAsia" w:ascii="Times New Roman" w:hAnsi="Times New Roman"/>
          <w:b w:val="0"/>
          <w:color w:val="auto"/>
          <w:sz w:val="24"/>
          <w:szCs w:val="24"/>
        </w:rPr>
        <w:t>）2023年10月10日，由区交通联审决策委员会主任黄晓峰同志主持召开广州市南沙区政府投资工程建设项目建设方案联审决策会议</w:t>
      </w:r>
      <w:r>
        <w:rPr>
          <w:rFonts w:hint="eastAsia" w:ascii="Times New Roman" w:hAnsi="Times New Roman"/>
          <w:b w:val="0"/>
          <w:color w:val="auto"/>
          <w:sz w:val="24"/>
          <w:szCs w:val="24"/>
          <w:lang w:val="en-US" w:eastAsia="zh-CN"/>
        </w:rPr>
        <w:t>审议本项目建设方案</w:t>
      </w:r>
      <w:r>
        <w:rPr>
          <w:rFonts w:hint="eastAsia" w:ascii="Times New Roman" w:hAnsi="Times New Roman"/>
          <w:b w:val="0"/>
          <w:color w:val="auto"/>
          <w:sz w:val="24"/>
          <w:szCs w:val="24"/>
        </w:rPr>
        <w:t>。</w:t>
      </w:r>
    </w:p>
    <w:p>
      <w:pPr>
        <w:pStyle w:val="3"/>
        <w:spacing w:line="288" w:lineRule="auto"/>
        <w:ind w:firstLine="562" w:firstLineChars="200"/>
      </w:pPr>
      <w:bookmarkStart w:id="21" w:name="_Toc139447462"/>
      <w:bookmarkStart w:id="22" w:name="_Toc14983"/>
      <w:r>
        <w:t>对各行政主管部门意见的执行情况</w:t>
      </w:r>
      <w:bookmarkEnd w:id="21"/>
      <w:bookmarkEnd w:id="22"/>
    </w:p>
    <w:p>
      <w:pPr>
        <w:pStyle w:val="4"/>
        <w:ind w:firstLine="482" w:firstLineChars="200"/>
      </w:pPr>
      <w:bookmarkStart w:id="23" w:name="_Toc139447463"/>
      <w:bookmarkStart w:id="24" w:name="_Toc22355"/>
      <w:r>
        <w:t>建设方案专家评审会专家组意见（建设单位组织）</w:t>
      </w:r>
      <w:bookmarkEnd w:id="23"/>
      <w:bookmarkEnd w:id="24"/>
    </w:p>
    <w:p>
      <w:pPr>
        <w:spacing w:line="288"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1、建设方案建议参考2023版《投资项目可行性研究报告编写大纲》编写。</w:t>
      </w:r>
    </w:p>
    <w:p>
      <w:pPr>
        <w:spacing w:line="288" w:lineRule="auto"/>
        <w:ind w:firstLine="482" w:firstLineChars="20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意见回复：建设方案按南沙相关指引和要求编制，后续可研将参照2023版《投资项目可行性研究报告编写大纲》编写。</w:t>
      </w:r>
    </w:p>
    <w:p>
      <w:pPr>
        <w:spacing w:line="288"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2、建议结合场馆、景观及绿化率要求优化横断面设计，适当增加人行道宽度。</w:t>
      </w:r>
    </w:p>
    <w:p>
      <w:pPr>
        <w:spacing w:line="288" w:lineRule="auto"/>
        <w:ind w:firstLine="482" w:firstLineChars="20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意见回复：后续设计中，将道路行道树布置范围调整为路侧绿化带，河涌相邻路段将结合河涌慢行系统综合调整道路横断面布置，尽量增加人行空间宽度。</w:t>
      </w:r>
    </w:p>
    <w:p>
      <w:pPr>
        <w:spacing w:line="288"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3、建议在满足防洪要求的基础上，纵断面设计尽量贴近地块规划标高。</w:t>
      </w:r>
    </w:p>
    <w:p>
      <w:pPr>
        <w:spacing w:line="288" w:lineRule="auto"/>
        <w:ind w:firstLine="482" w:firstLineChars="20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意见回复：按意见执行</w:t>
      </w:r>
    </w:p>
    <w:p>
      <w:pPr>
        <w:spacing w:line="288"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4、建议采用措施避免交叉口车行轨迹与南中高速桥墩冲突</w:t>
      </w:r>
    </w:p>
    <w:p>
      <w:pPr>
        <w:spacing w:line="288" w:lineRule="auto"/>
        <w:ind w:firstLine="482" w:firstLineChars="20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意见回复：后续将进一步通过与南中高速、规划部门协调，优化线位及交通组织方案，确保行车顺畅安全。</w:t>
      </w:r>
    </w:p>
    <w:p>
      <w:pPr>
        <w:spacing w:line="288"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5、地铁站旁地基宜采用钻孔灌注桩+筏板板结构，二十涌南二路与地铁相交路段建议与搅拌桩+轻质土路堤方案比选，水塘路段管桩复合地基建议改为管桩+排水固结。</w:t>
      </w:r>
    </w:p>
    <w:p>
      <w:pPr>
        <w:spacing w:line="288" w:lineRule="auto"/>
        <w:ind w:firstLine="482" w:firstLineChars="20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意见回复：后续将进一步根据地质勘查资料及与地铁部门协调，优化落实道路软基处理工法。</w:t>
      </w:r>
    </w:p>
    <w:p>
      <w:pPr>
        <w:spacing w:line="288"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6、建议补充涵洞比选方案。</w:t>
      </w:r>
    </w:p>
    <w:p>
      <w:pPr>
        <w:spacing w:line="288" w:lineRule="auto"/>
        <w:ind w:firstLine="482" w:firstLineChars="20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意见回复：按意见补充</w:t>
      </w:r>
    </w:p>
    <w:p>
      <w:pPr>
        <w:spacing w:line="288"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7、建议统一照明标准横断面中灯具的布置型式。</w:t>
      </w:r>
    </w:p>
    <w:p>
      <w:pPr>
        <w:spacing w:line="288" w:lineRule="auto"/>
        <w:ind w:firstLine="482" w:firstLineChars="20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意见回复：按意见统一布置</w:t>
      </w:r>
    </w:p>
    <w:p>
      <w:pPr>
        <w:spacing w:line="288"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8、核对电力管沟标准横断面中电力排管的布置方位，补充110kV电力管沟相关内容。</w:t>
      </w:r>
    </w:p>
    <w:p>
      <w:pPr>
        <w:spacing w:line="288" w:lineRule="auto"/>
        <w:ind w:firstLine="482" w:firstLineChars="20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意见回复：后续将依据与电力部门进一步协调成果，落实电力管沟具体设计。</w:t>
      </w:r>
    </w:p>
    <w:p>
      <w:pPr>
        <w:spacing w:line="288"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9、建议增加现状给水管与规划环状供水管的接驳设计方案，考虑预留给水接驳口。</w:t>
      </w:r>
    </w:p>
    <w:p>
      <w:pPr>
        <w:spacing w:line="288" w:lineRule="auto"/>
        <w:ind w:firstLine="482" w:firstLineChars="20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意见回复：后续将依据相关部门协调成果，补充优化相应设计内容。</w:t>
      </w:r>
    </w:p>
    <w:p>
      <w:pPr>
        <w:spacing w:line="288"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10、核实雨水汇水分区，优化雨水工程设计。</w:t>
      </w:r>
    </w:p>
    <w:p>
      <w:pPr>
        <w:spacing w:line="288" w:lineRule="auto"/>
        <w:ind w:firstLine="482" w:firstLineChars="20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意见回复：按意见进行复核。</w:t>
      </w:r>
    </w:p>
    <w:p>
      <w:pPr>
        <w:spacing w:line="288"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11、协调本工程与周边市政建设项目的建设时序，做好排水衔接。</w:t>
      </w:r>
    </w:p>
    <w:p>
      <w:pPr>
        <w:spacing w:line="288" w:lineRule="auto"/>
        <w:ind w:firstLine="482" w:firstLineChars="20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意见回复：后续将通过协调沟通，落实周边项目建设时序及衔接设计。</w:t>
      </w:r>
    </w:p>
    <w:p>
      <w:pPr>
        <w:spacing w:line="288"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12、补充树木专篇内容，明确项目是否涉及城市树木保护。</w:t>
      </w:r>
    </w:p>
    <w:p>
      <w:pPr>
        <w:spacing w:line="288" w:lineRule="auto"/>
        <w:ind w:firstLine="482" w:firstLineChars="20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意见回复：后续设计补充相关内容</w:t>
      </w:r>
    </w:p>
    <w:p>
      <w:pPr>
        <w:spacing w:line="288"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13、建议调整部分树木品种、树木的种植位置及方式</w:t>
      </w:r>
    </w:p>
    <w:p>
      <w:pPr>
        <w:spacing w:line="288" w:lineRule="auto"/>
        <w:ind w:firstLine="482" w:firstLineChars="20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意见回复：后续将依据片区相关指引要求，优化道路绿化种植。</w:t>
      </w:r>
    </w:p>
    <w:p>
      <w:pPr>
        <w:spacing w:line="288"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14、复核估算开项内容的完整性及技术经济指标的合理性，完善投资估算。</w:t>
      </w:r>
    </w:p>
    <w:p>
      <w:pPr>
        <w:spacing w:line="288" w:lineRule="auto"/>
        <w:ind w:firstLine="482" w:firstLineChars="20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意见回复：按意见执行。</w:t>
      </w:r>
    </w:p>
    <w:p>
      <w:pPr>
        <w:pStyle w:val="3"/>
        <w:spacing w:line="288" w:lineRule="auto"/>
        <w:ind w:firstLine="562" w:firstLineChars="200"/>
        <w:rPr>
          <w:highlight w:val="magenta"/>
        </w:rPr>
      </w:pPr>
      <w:bookmarkStart w:id="25" w:name="_Toc1203"/>
      <w:r>
        <w:rPr>
          <w:rFonts w:hint="eastAsia"/>
          <w:highlight w:val="magenta"/>
        </w:rPr>
        <w:t>研究结论与建议</w:t>
      </w:r>
      <w:bookmarkEnd w:id="25"/>
    </w:p>
    <w:p>
      <w:pPr>
        <w:pStyle w:val="4"/>
        <w:ind w:firstLine="482" w:firstLineChars="200"/>
        <w:rPr>
          <w:highlight w:val="magenta"/>
        </w:rPr>
      </w:pPr>
      <w:bookmarkStart w:id="26" w:name="_Toc414728758"/>
      <w:bookmarkStart w:id="27" w:name="_Toc266741751"/>
      <w:bookmarkStart w:id="28" w:name="_Toc21859"/>
      <w:bookmarkStart w:id="29" w:name="_Toc378076969"/>
      <w:bookmarkStart w:id="30" w:name="_Toc145614381"/>
      <w:bookmarkStart w:id="31" w:name="_Toc23035"/>
      <w:r>
        <w:rPr>
          <w:highlight w:val="magenta"/>
        </w:rPr>
        <w:t>交通量预测结果</w:t>
      </w:r>
      <w:bookmarkEnd w:id="26"/>
      <w:bookmarkEnd w:id="27"/>
      <w:bookmarkEnd w:id="28"/>
      <w:bookmarkEnd w:id="29"/>
      <w:r>
        <w:rPr>
          <w:rFonts w:hint="eastAsia"/>
          <w:highlight w:val="magenta"/>
        </w:rPr>
        <w:t>及分析</w:t>
      </w:r>
      <w:bookmarkEnd w:id="30"/>
      <w:bookmarkEnd w:id="31"/>
    </w:p>
    <w:p>
      <w:pPr>
        <w:spacing w:line="300" w:lineRule="auto"/>
        <w:ind w:firstLine="480" w:firstLineChars="200"/>
        <w:jc w:val="left"/>
        <w:rPr>
          <w:rFonts w:cs="宋体"/>
          <w:b w:val="0"/>
          <w:bCs/>
          <w:color w:val="auto"/>
          <w:sz w:val="24"/>
          <w:szCs w:val="24"/>
          <w:highlight w:val="magenta"/>
        </w:rPr>
      </w:pPr>
      <w:r>
        <w:rPr>
          <w:rFonts w:ascii="Times New Roman" w:hAnsi="Times New Roman"/>
          <w:b w:val="0"/>
          <w:color w:val="000000" w:themeColor="text1"/>
          <w:sz w:val="24"/>
          <w:szCs w:val="24"/>
          <w:highlight w:val="magenta"/>
          <w:lang w:val="zh-CN"/>
          <w14:textFill>
            <w14:solidFill>
              <w14:schemeClr w14:val="tx1"/>
            </w14:solidFill>
          </w14:textFill>
        </w:rPr>
        <w:t>本项目涉及道路在预测中期服务水平均达到B级，远期年服务水平至少为C级，车流状态为稳定车流，能接受的延误，行车自由程度明显受限，行驶状况较好。故本项目规划的断面布置比较合理</w:t>
      </w:r>
      <w:r>
        <w:rPr>
          <w:rFonts w:hint="eastAsia" w:cs="宋体"/>
          <w:b w:val="0"/>
          <w:bCs/>
          <w:color w:val="auto"/>
          <w:sz w:val="24"/>
          <w:szCs w:val="24"/>
          <w:highlight w:val="magenta"/>
        </w:rPr>
        <w:t>。</w:t>
      </w:r>
    </w:p>
    <w:p>
      <w:pPr>
        <w:pStyle w:val="4"/>
        <w:ind w:firstLine="482" w:firstLineChars="200"/>
        <w:rPr>
          <w:highlight w:val="magenta"/>
        </w:rPr>
      </w:pPr>
      <w:bookmarkStart w:id="32" w:name="_Toc414728759"/>
      <w:bookmarkStart w:id="33" w:name="_Toc5714"/>
      <w:bookmarkStart w:id="34" w:name="_Toc266741752"/>
      <w:bookmarkStart w:id="35" w:name="_Toc378076970"/>
      <w:bookmarkStart w:id="36" w:name="_Toc145614382"/>
      <w:bookmarkStart w:id="37" w:name="_Toc18394"/>
      <w:r>
        <w:rPr>
          <w:highlight w:val="magenta"/>
        </w:rPr>
        <w:t>技术标准</w:t>
      </w:r>
      <w:bookmarkEnd w:id="32"/>
      <w:bookmarkEnd w:id="33"/>
      <w:bookmarkEnd w:id="34"/>
      <w:bookmarkEnd w:id="35"/>
      <w:bookmarkEnd w:id="36"/>
      <w:bookmarkEnd w:id="37"/>
    </w:p>
    <w:p>
      <w:pPr>
        <w:ind w:firstLine="480"/>
        <w:rPr>
          <w:rFonts w:cs="宋体"/>
          <w:b w:val="0"/>
          <w:bCs/>
          <w:color w:val="auto"/>
          <w:sz w:val="24"/>
          <w:szCs w:val="24"/>
          <w:highlight w:val="magenta"/>
        </w:rPr>
      </w:pPr>
      <w:r>
        <w:rPr>
          <w:rFonts w:hint="eastAsia" w:cs="宋体"/>
          <w:b w:val="0"/>
          <w:bCs/>
          <w:color w:val="auto"/>
          <w:sz w:val="24"/>
          <w:szCs w:val="24"/>
          <w:highlight w:val="magenta"/>
        </w:rPr>
        <w:t>本项目主要技术指标表如下：</w:t>
      </w:r>
    </w:p>
    <w:p>
      <w:pPr>
        <w:spacing w:before="183" w:line="219" w:lineRule="auto"/>
        <w:ind w:left="4218" w:firstLine="478" w:firstLineChars="200"/>
        <w:rPr>
          <w:rFonts w:ascii="Times New Roman" w:hAnsi="Times New Roman"/>
          <w:sz w:val="24"/>
          <w:szCs w:val="24"/>
          <w:highlight w:val="magenta"/>
        </w:rPr>
      </w:pPr>
      <w:bookmarkStart w:id="38" w:name="_Toc145614383"/>
      <w:r>
        <w:rPr>
          <w:rFonts w:ascii="Times New Roman" w:hAnsi="Times New Roman"/>
          <w:spacing w:val="-1"/>
          <w:sz w:val="24"/>
          <w:szCs w:val="24"/>
          <w:highlight w:val="magenta"/>
          <w14:textOutline w14:w="3048" w14:cap="flat" w14:cmpd="sng" w14:algn="ctr">
            <w14:solidFill>
              <w14:srgbClr w14:val="000000"/>
            </w14:solidFill>
            <w14:prstDash w14:val="solid"/>
            <w14:miter w14:val="0"/>
          </w14:textOutline>
        </w:rPr>
        <w:t>主干路主要技术标准</w:t>
      </w:r>
    </w:p>
    <w:tbl>
      <w:tblPr>
        <w:tblStyle w:val="379"/>
        <w:tblW w:w="692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044"/>
        <w:gridCol w:w="807"/>
        <w:gridCol w:w="1366"/>
        <w:gridCol w:w="171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9" w:hRule="atLeast"/>
          <w:jc w:val="center"/>
        </w:trPr>
        <w:tc>
          <w:tcPr>
            <w:tcW w:w="3044" w:type="dxa"/>
            <w:vMerge w:val="restart"/>
            <w:tcBorders>
              <w:bottom w:val="nil"/>
            </w:tcBorders>
          </w:tcPr>
          <w:p>
            <w:pPr>
              <w:pStyle w:val="391"/>
              <w:autoSpaceDE w:val="0"/>
              <w:autoSpaceDN w:val="0"/>
              <w:spacing w:before="78" w:line="220" w:lineRule="auto"/>
              <w:ind w:left="1301"/>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4"/>
                <w:highlight w:val="magenta"/>
                <w14:textFill>
                  <w14:solidFill>
                    <w14:schemeClr w14:val="tx1"/>
                  </w14:solidFill>
                </w14:textFill>
              </w:rPr>
              <w:t>项目</w:t>
            </w:r>
          </w:p>
        </w:tc>
        <w:tc>
          <w:tcPr>
            <w:tcW w:w="807" w:type="dxa"/>
            <w:vMerge w:val="restart"/>
            <w:tcBorders>
              <w:bottom w:val="nil"/>
            </w:tcBorders>
          </w:tcPr>
          <w:p>
            <w:pPr>
              <w:pStyle w:val="391"/>
              <w:autoSpaceDE w:val="0"/>
              <w:autoSpaceDN w:val="0"/>
              <w:spacing w:before="78" w:line="220" w:lineRule="auto"/>
              <w:ind w:left="171"/>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单位</w:t>
            </w:r>
          </w:p>
        </w:tc>
        <w:tc>
          <w:tcPr>
            <w:tcW w:w="1366" w:type="dxa"/>
            <w:vMerge w:val="restart"/>
            <w:tcBorders>
              <w:bottom w:val="nil"/>
            </w:tcBorders>
          </w:tcPr>
          <w:p>
            <w:pPr>
              <w:pStyle w:val="391"/>
              <w:autoSpaceDE w:val="0"/>
              <w:autoSpaceDN w:val="0"/>
              <w:spacing w:before="78" w:line="220" w:lineRule="auto"/>
              <w:ind w:left="330"/>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规范值</w:t>
            </w:r>
          </w:p>
        </w:tc>
        <w:tc>
          <w:tcPr>
            <w:tcW w:w="1710" w:type="dxa"/>
          </w:tcPr>
          <w:p>
            <w:pPr>
              <w:pStyle w:val="391"/>
              <w:autoSpaceDE w:val="0"/>
              <w:autoSpaceDN w:val="0"/>
              <w:spacing w:before="157" w:line="220" w:lineRule="auto"/>
              <w:jc w:val="center"/>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设计值</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3044"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highlight w:val="magenta"/>
                <w:lang w:eastAsia="en-US"/>
                <w14:textFill>
                  <w14:solidFill>
                    <w14:schemeClr w14:val="tx1"/>
                  </w14:solidFill>
                </w14:textFill>
              </w:rPr>
            </w:pPr>
          </w:p>
        </w:tc>
        <w:tc>
          <w:tcPr>
            <w:tcW w:w="807"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highlight w:val="magenta"/>
                <w:lang w:eastAsia="en-US"/>
                <w14:textFill>
                  <w14:solidFill>
                    <w14:schemeClr w14:val="tx1"/>
                  </w14:solidFill>
                </w14:textFill>
              </w:rPr>
            </w:pPr>
          </w:p>
        </w:tc>
        <w:tc>
          <w:tcPr>
            <w:tcW w:w="1366"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highlight w:val="magenta"/>
                <w:lang w:eastAsia="en-US"/>
                <w14:textFill>
                  <w14:solidFill>
                    <w14:schemeClr w14:val="tx1"/>
                  </w14:solidFill>
                </w14:textFill>
              </w:rPr>
            </w:pPr>
          </w:p>
        </w:tc>
        <w:tc>
          <w:tcPr>
            <w:tcW w:w="1710" w:type="dxa"/>
          </w:tcPr>
          <w:p>
            <w:pPr>
              <w:pStyle w:val="391"/>
              <w:autoSpaceDE w:val="0"/>
              <w:autoSpaceDN w:val="0"/>
              <w:spacing w:before="134" w:line="220" w:lineRule="auto"/>
              <w:ind w:left="265"/>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二十涌北路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jc w:val="center"/>
        </w:trPr>
        <w:tc>
          <w:tcPr>
            <w:tcW w:w="3044" w:type="dxa"/>
          </w:tcPr>
          <w:p>
            <w:pPr>
              <w:pStyle w:val="391"/>
              <w:autoSpaceDE w:val="0"/>
              <w:autoSpaceDN w:val="0"/>
              <w:spacing w:before="134" w:line="220" w:lineRule="auto"/>
              <w:ind w:left="1056"/>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2"/>
                <w:highlight w:val="magenta"/>
                <w14:textFill>
                  <w14:solidFill>
                    <w14:schemeClr w14:val="tx1"/>
                  </w14:solidFill>
                </w14:textFill>
              </w:rPr>
              <w:t>道路级别</w:t>
            </w:r>
          </w:p>
        </w:tc>
        <w:tc>
          <w:tcPr>
            <w:tcW w:w="807" w:type="dxa"/>
          </w:tcPr>
          <w:p>
            <w:pPr>
              <w:autoSpaceDE w:val="0"/>
              <w:autoSpaceDN w:val="0"/>
              <w:rPr>
                <w:rFonts w:ascii="Times New Roman" w:hAnsi="Times New Roman" w:eastAsiaTheme="minorEastAsia" w:cstheme="minorBidi"/>
                <w:b w:val="0"/>
                <w:bCs/>
                <w:color w:val="000000" w:themeColor="text1"/>
                <w:sz w:val="21"/>
                <w:highlight w:val="magenta"/>
                <w:lang w:eastAsia="en-US"/>
                <w14:textFill>
                  <w14:solidFill>
                    <w14:schemeClr w14:val="tx1"/>
                  </w14:solidFill>
                </w14:textFill>
              </w:rPr>
            </w:pPr>
          </w:p>
        </w:tc>
        <w:tc>
          <w:tcPr>
            <w:tcW w:w="1366" w:type="dxa"/>
          </w:tcPr>
          <w:p>
            <w:pPr>
              <w:pStyle w:val="391"/>
              <w:autoSpaceDE w:val="0"/>
              <w:autoSpaceDN w:val="0"/>
              <w:spacing w:before="135" w:line="219" w:lineRule="auto"/>
              <w:ind w:left="331"/>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主干路</w:t>
            </w:r>
          </w:p>
        </w:tc>
        <w:tc>
          <w:tcPr>
            <w:tcW w:w="1710" w:type="dxa"/>
          </w:tcPr>
          <w:p>
            <w:pPr>
              <w:pStyle w:val="391"/>
              <w:autoSpaceDE w:val="0"/>
              <w:autoSpaceDN w:val="0"/>
              <w:spacing w:before="135" w:line="219" w:lineRule="auto"/>
              <w:ind w:left="503"/>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主干路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3044" w:type="dxa"/>
          </w:tcPr>
          <w:p>
            <w:pPr>
              <w:pStyle w:val="391"/>
              <w:autoSpaceDE w:val="0"/>
              <w:autoSpaceDN w:val="0"/>
              <w:spacing w:before="134" w:line="220" w:lineRule="auto"/>
              <w:ind w:left="1061"/>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设计速度</w:t>
            </w:r>
          </w:p>
        </w:tc>
        <w:tc>
          <w:tcPr>
            <w:tcW w:w="807" w:type="dxa"/>
          </w:tcPr>
          <w:p>
            <w:pPr>
              <w:pStyle w:val="391"/>
              <w:autoSpaceDE w:val="0"/>
              <w:autoSpaceDN w:val="0"/>
              <w:spacing w:before="135" w:line="225" w:lineRule="auto"/>
              <w:ind w:left="165"/>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2"/>
                <w:highlight w:val="magenta"/>
                <w14:textFill>
                  <w14:solidFill>
                    <w14:schemeClr w14:val="tx1"/>
                  </w14:solidFill>
                </w14:textFill>
              </w:rPr>
              <w:t>Km/h</w:t>
            </w:r>
          </w:p>
        </w:tc>
        <w:tc>
          <w:tcPr>
            <w:tcW w:w="1366" w:type="dxa"/>
          </w:tcPr>
          <w:p>
            <w:pPr>
              <w:pStyle w:val="391"/>
              <w:autoSpaceDE w:val="0"/>
              <w:autoSpaceDN w:val="0"/>
              <w:spacing w:before="173" w:line="183" w:lineRule="auto"/>
              <w:ind w:left="571"/>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60</w:t>
            </w:r>
          </w:p>
        </w:tc>
        <w:tc>
          <w:tcPr>
            <w:tcW w:w="1710" w:type="dxa"/>
          </w:tcPr>
          <w:p>
            <w:pPr>
              <w:pStyle w:val="391"/>
              <w:autoSpaceDE w:val="0"/>
              <w:autoSpaceDN w:val="0"/>
              <w:spacing w:before="173" w:line="183" w:lineRule="auto"/>
              <w:ind w:left="743"/>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60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3044" w:type="dxa"/>
          </w:tcPr>
          <w:p>
            <w:pPr>
              <w:pStyle w:val="391"/>
              <w:autoSpaceDE w:val="0"/>
              <w:autoSpaceDN w:val="0"/>
              <w:spacing w:before="134" w:line="220" w:lineRule="auto"/>
              <w:ind w:left="819"/>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2"/>
                <w:highlight w:val="magenta"/>
                <w14:textFill>
                  <w14:solidFill>
                    <w14:schemeClr w14:val="tx1"/>
                  </w14:solidFill>
                </w14:textFill>
              </w:rPr>
              <w:t>路面设计年限</w:t>
            </w:r>
          </w:p>
        </w:tc>
        <w:tc>
          <w:tcPr>
            <w:tcW w:w="807" w:type="dxa"/>
          </w:tcPr>
          <w:p>
            <w:pPr>
              <w:pStyle w:val="391"/>
              <w:autoSpaceDE w:val="0"/>
              <w:autoSpaceDN w:val="0"/>
              <w:spacing w:before="135" w:line="220" w:lineRule="auto"/>
              <w:ind w:left="290"/>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年</w:t>
            </w:r>
          </w:p>
        </w:tc>
        <w:tc>
          <w:tcPr>
            <w:tcW w:w="1366" w:type="dxa"/>
          </w:tcPr>
          <w:p>
            <w:pPr>
              <w:pStyle w:val="391"/>
              <w:autoSpaceDE w:val="0"/>
              <w:autoSpaceDN w:val="0"/>
              <w:spacing w:before="172" w:line="184" w:lineRule="auto"/>
              <w:ind w:left="587"/>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14"/>
                <w:highlight w:val="magenta"/>
                <w14:textFill>
                  <w14:solidFill>
                    <w14:schemeClr w14:val="tx1"/>
                  </w14:solidFill>
                </w14:textFill>
              </w:rPr>
              <w:t>15</w:t>
            </w:r>
          </w:p>
        </w:tc>
        <w:tc>
          <w:tcPr>
            <w:tcW w:w="1710" w:type="dxa"/>
          </w:tcPr>
          <w:p>
            <w:pPr>
              <w:pStyle w:val="391"/>
              <w:autoSpaceDE w:val="0"/>
              <w:autoSpaceDN w:val="0"/>
              <w:spacing w:before="172" w:line="184" w:lineRule="auto"/>
              <w:ind w:left="759"/>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14"/>
                <w:highlight w:val="magenta"/>
                <w14:textFill>
                  <w14:solidFill>
                    <w14:schemeClr w14:val="tx1"/>
                  </w14:solidFill>
                </w14:textFill>
              </w:rPr>
              <w:t>15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jc w:val="center"/>
        </w:trPr>
        <w:tc>
          <w:tcPr>
            <w:tcW w:w="3044" w:type="dxa"/>
          </w:tcPr>
          <w:p>
            <w:pPr>
              <w:pStyle w:val="391"/>
              <w:autoSpaceDE w:val="0"/>
              <w:autoSpaceDN w:val="0"/>
              <w:spacing w:before="135" w:line="220" w:lineRule="auto"/>
              <w:ind w:left="819"/>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2"/>
                <w:highlight w:val="magenta"/>
                <w14:textFill>
                  <w14:solidFill>
                    <w14:schemeClr w14:val="tx1"/>
                  </w14:solidFill>
                </w14:textFill>
              </w:rPr>
              <w:t>路面设计载荷</w:t>
            </w:r>
          </w:p>
        </w:tc>
        <w:tc>
          <w:tcPr>
            <w:tcW w:w="807" w:type="dxa"/>
          </w:tcPr>
          <w:p>
            <w:pPr>
              <w:autoSpaceDE w:val="0"/>
              <w:autoSpaceDN w:val="0"/>
              <w:rPr>
                <w:rFonts w:ascii="Times New Roman" w:hAnsi="Times New Roman" w:eastAsiaTheme="minorEastAsia" w:cstheme="minorBidi"/>
                <w:b w:val="0"/>
                <w:bCs/>
                <w:color w:val="000000" w:themeColor="text1"/>
                <w:sz w:val="21"/>
                <w:highlight w:val="magenta"/>
                <w:lang w:eastAsia="en-US"/>
                <w14:textFill>
                  <w14:solidFill>
                    <w14:schemeClr w14:val="tx1"/>
                  </w14:solidFill>
                </w14:textFill>
              </w:rPr>
            </w:pPr>
          </w:p>
        </w:tc>
        <w:tc>
          <w:tcPr>
            <w:tcW w:w="1366" w:type="dxa"/>
          </w:tcPr>
          <w:p>
            <w:pPr>
              <w:pStyle w:val="391"/>
              <w:autoSpaceDE w:val="0"/>
              <w:autoSpaceDN w:val="0"/>
              <w:spacing w:before="173" w:line="184" w:lineRule="auto"/>
              <w:ind w:left="263"/>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1"/>
                <w:highlight w:val="magenta"/>
                <w14:textFill>
                  <w14:solidFill>
                    <w14:schemeClr w14:val="tx1"/>
                  </w14:solidFill>
                </w14:textFill>
              </w:rPr>
              <w:t>BZZ-100</w:t>
            </w:r>
          </w:p>
        </w:tc>
        <w:tc>
          <w:tcPr>
            <w:tcW w:w="1710" w:type="dxa"/>
          </w:tcPr>
          <w:p>
            <w:pPr>
              <w:pStyle w:val="391"/>
              <w:autoSpaceDE w:val="0"/>
              <w:autoSpaceDN w:val="0"/>
              <w:spacing w:before="173" w:line="184" w:lineRule="auto"/>
              <w:ind w:left="436"/>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1"/>
                <w:highlight w:val="magenta"/>
                <w14:textFill>
                  <w14:solidFill>
                    <w14:schemeClr w14:val="tx1"/>
                  </w14:solidFill>
                </w14:textFill>
              </w:rPr>
              <w:t>BZZ-100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3044" w:type="dxa"/>
          </w:tcPr>
          <w:p>
            <w:pPr>
              <w:pStyle w:val="391"/>
              <w:autoSpaceDE w:val="0"/>
              <w:autoSpaceDN w:val="0"/>
              <w:spacing w:before="134" w:line="220" w:lineRule="auto"/>
              <w:ind w:left="1061"/>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行车净高</w:t>
            </w:r>
          </w:p>
        </w:tc>
        <w:tc>
          <w:tcPr>
            <w:tcW w:w="807" w:type="dxa"/>
          </w:tcPr>
          <w:p>
            <w:pPr>
              <w:pStyle w:val="391"/>
              <w:autoSpaceDE w:val="0"/>
              <w:autoSpaceDN w:val="0"/>
              <w:spacing w:before="136" w:line="241" w:lineRule="auto"/>
              <w:ind w:left="342"/>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m</w:t>
            </w:r>
          </w:p>
        </w:tc>
        <w:tc>
          <w:tcPr>
            <w:tcW w:w="1366" w:type="dxa"/>
          </w:tcPr>
          <w:p>
            <w:pPr>
              <w:pStyle w:val="391"/>
              <w:autoSpaceDE w:val="0"/>
              <w:autoSpaceDN w:val="0"/>
              <w:spacing w:before="174" w:line="183" w:lineRule="auto"/>
              <w:ind w:left="508"/>
              <w:rPr>
                <w:rFonts w:ascii="Times New Roman" w:hAnsi="Times New Roman" w:cs="Times New Roman" w:eastAsiaTheme="minorEastAsia"/>
                <w:b w:val="0"/>
                <w:bCs/>
                <w:color w:val="000000" w:themeColor="text1"/>
                <w:highlight w:val="magenta"/>
                <w:lang w:eastAsia="zh-CN"/>
                <w14:textFill>
                  <w14:solidFill>
                    <w14:schemeClr w14:val="tx1"/>
                  </w14:solidFill>
                </w14:textFill>
              </w:rPr>
            </w:pPr>
            <w:r>
              <w:rPr>
                <w:rFonts w:ascii="Times New Roman" w:hAnsi="Times New Roman" w:cs="Times New Roman" w:eastAsiaTheme="minorEastAsia"/>
                <w:b w:val="0"/>
                <w:bCs/>
                <w:color w:val="000000" w:themeColor="text1"/>
                <w:spacing w:val="-3"/>
                <w:highlight w:val="magenta"/>
                <w:lang w:eastAsia="zh-CN"/>
                <w14:textFill>
                  <w14:solidFill>
                    <w14:schemeClr w14:val="tx1"/>
                  </w14:solidFill>
                </w14:textFill>
              </w:rPr>
              <w:t>4.5</w:t>
            </w:r>
          </w:p>
        </w:tc>
        <w:tc>
          <w:tcPr>
            <w:tcW w:w="1710" w:type="dxa"/>
          </w:tcPr>
          <w:p>
            <w:pPr>
              <w:pStyle w:val="391"/>
              <w:autoSpaceDE w:val="0"/>
              <w:autoSpaceDN w:val="0"/>
              <w:spacing w:before="174" w:line="183" w:lineRule="auto"/>
              <w:ind w:left="680"/>
              <w:rPr>
                <w:rFonts w:ascii="Times New Roman" w:hAnsi="Times New Roman" w:cs="Times New Roman" w:eastAsiaTheme="minorEastAsia"/>
                <w:b w:val="0"/>
                <w:bCs/>
                <w:color w:val="000000" w:themeColor="text1"/>
                <w:highlight w:val="magenta"/>
                <w:lang w:eastAsia="zh-CN"/>
                <w14:textFill>
                  <w14:solidFill>
                    <w14:schemeClr w14:val="tx1"/>
                  </w14:solidFill>
                </w14:textFill>
              </w:rPr>
            </w:pPr>
            <w:r>
              <w:rPr>
                <w:rFonts w:ascii="Times New Roman" w:hAnsi="Times New Roman" w:cs="Times New Roman" w:eastAsiaTheme="minorEastAsia"/>
                <w:b w:val="0"/>
                <w:bCs/>
                <w:color w:val="000000" w:themeColor="text1"/>
                <w:spacing w:val="-3"/>
                <w:highlight w:val="magenta"/>
                <w:lang w:eastAsia="zh-CN"/>
                <w14:textFill>
                  <w14:solidFill>
                    <w14:schemeClr w14:val="tx1"/>
                  </w14:solidFill>
                </w14:textFill>
              </w:rPr>
              <w:t>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3044" w:type="dxa"/>
          </w:tcPr>
          <w:p>
            <w:pPr>
              <w:pStyle w:val="391"/>
              <w:autoSpaceDE w:val="0"/>
              <w:autoSpaceDN w:val="0"/>
              <w:spacing w:before="135" w:line="220" w:lineRule="auto"/>
              <w:ind w:left="1059"/>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路面横坡</w:t>
            </w:r>
          </w:p>
        </w:tc>
        <w:tc>
          <w:tcPr>
            <w:tcW w:w="807" w:type="dxa"/>
          </w:tcPr>
          <w:p>
            <w:pPr>
              <w:pStyle w:val="391"/>
              <w:autoSpaceDE w:val="0"/>
              <w:autoSpaceDN w:val="0"/>
              <w:spacing w:before="136"/>
              <w:ind w:left="342"/>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w:t>
            </w:r>
          </w:p>
        </w:tc>
        <w:tc>
          <w:tcPr>
            <w:tcW w:w="1366" w:type="dxa"/>
          </w:tcPr>
          <w:p>
            <w:pPr>
              <w:pStyle w:val="391"/>
              <w:autoSpaceDE w:val="0"/>
              <w:autoSpaceDN w:val="0"/>
              <w:spacing w:before="175" w:line="183" w:lineRule="auto"/>
              <w:ind w:left="632"/>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2</w:t>
            </w:r>
          </w:p>
        </w:tc>
        <w:tc>
          <w:tcPr>
            <w:tcW w:w="1710" w:type="dxa"/>
          </w:tcPr>
          <w:p>
            <w:pPr>
              <w:pStyle w:val="391"/>
              <w:autoSpaceDE w:val="0"/>
              <w:autoSpaceDN w:val="0"/>
              <w:spacing w:before="175" w:line="183" w:lineRule="auto"/>
              <w:ind w:left="804"/>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jc w:val="center"/>
        </w:trPr>
        <w:tc>
          <w:tcPr>
            <w:tcW w:w="3044" w:type="dxa"/>
          </w:tcPr>
          <w:p>
            <w:pPr>
              <w:pStyle w:val="391"/>
              <w:autoSpaceDE w:val="0"/>
              <w:autoSpaceDN w:val="0"/>
              <w:spacing w:before="136" w:line="220" w:lineRule="auto"/>
              <w:ind w:left="581"/>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2"/>
                <w:highlight w:val="magenta"/>
                <w14:textFill>
                  <w14:solidFill>
                    <w14:schemeClr w14:val="tx1"/>
                  </w14:solidFill>
                </w14:textFill>
              </w:rPr>
              <w:t>不设加宽最小半径</w:t>
            </w:r>
          </w:p>
        </w:tc>
        <w:tc>
          <w:tcPr>
            <w:tcW w:w="807" w:type="dxa"/>
          </w:tcPr>
          <w:p>
            <w:pPr>
              <w:pStyle w:val="391"/>
              <w:autoSpaceDE w:val="0"/>
              <w:autoSpaceDN w:val="0"/>
              <w:spacing w:before="138" w:line="241" w:lineRule="auto"/>
              <w:ind w:left="342"/>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m</w:t>
            </w:r>
          </w:p>
        </w:tc>
        <w:tc>
          <w:tcPr>
            <w:tcW w:w="1366" w:type="dxa"/>
          </w:tcPr>
          <w:p>
            <w:pPr>
              <w:pStyle w:val="391"/>
              <w:autoSpaceDE w:val="0"/>
              <w:autoSpaceDN w:val="0"/>
              <w:spacing w:before="175" w:line="183" w:lineRule="auto"/>
              <w:ind w:left="512"/>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250</w:t>
            </w:r>
          </w:p>
        </w:tc>
        <w:tc>
          <w:tcPr>
            <w:tcW w:w="1710" w:type="dxa"/>
          </w:tcPr>
          <w:p>
            <w:pPr>
              <w:pStyle w:val="391"/>
              <w:autoSpaceDE w:val="0"/>
              <w:autoSpaceDN w:val="0"/>
              <w:spacing w:before="136" w:line="225" w:lineRule="auto"/>
              <w:ind w:left="800"/>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3044" w:type="dxa"/>
          </w:tcPr>
          <w:p>
            <w:pPr>
              <w:pStyle w:val="391"/>
              <w:autoSpaceDE w:val="0"/>
              <w:autoSpaceDN w:val="0"/>
              <w:spacing w:before="135" w:line="220" w:lineRule="auto"/>
              <w:ind w:left="581"/>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2"/>
                <w:highlight w:val="magenta"/>
                <w14:textFill>
                  <w14:solidFill>
                    <w14:schemeClr w14:val="tx1"/>
                  </w14:solidFill>
                </w14:textFill>
              </w:rPr>
              <w:t>不设超高最小半径</w:t>
            </w:r>
          </w:p>
        </w:tc>
        <w:tc>
          <w:tcPr>
            <w:tcW w:w="807" w:type="dxa"/>
          </w:tcPr>
          <w:p>
            <w:pPr>
              <w:pStyle w:val="391"/>
              <w:autoSpaceDE w:val="0"/>
              <w:autoSpaceDN w:val="0"/>
              <w:spacing w:before="137" w:line="241" w:lineRule="auto"/>
              <w:ind w:left="342"/>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m</w:t>
            </w:r>
          </w:p>
        </w:tc>
        <w:tc>
          <w:tcPr>
            <w:tcW w:w="1366" w:type="dxa"/>
          </w:tcPr>
          <w:p>
            <w:pPr>
              <w:pStyle w:val="391"/>
              <w:autoSpaceDE w:val="0"/>
              <w:autoSpaceDN w:val="0"/>
              <w:spacing w:before="175" w:line="183" w:lineRule="auto"/>
              <w:ind w:left="511"/>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600</w:t>
            </w:r>
          </w:p>
        </w:tc>
        <w:tc>
          <w:tcPr>
            <w:tcW w:w="1710" w:type="dxa"/>
          </w:tcPr>
          <w:p>
            <w:pPr>
              <w:pStyle w:val="391"/>
              <w:autoSpaceDE w:val="0"/>
              <w:autoSpaceDN w:val="0"/>
              <w:spacing w:before="135" w:line="225" w:lineRule="auto"/>
              <w:ind w:left="800"/>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3044" w:type="dxa"/>
          </w:tcPr>
          <w:p>
            <w:pPr>
              <w:pStyle w:val="391"/>
              <w:autoSpaceDE w:val="0"/>
              <w:autoSpaceDN w:val="0"/>
              <w:spacing w:before="136" w:line="220" w:lineRule="auto"/>
              <w:ind w:left="341"/>
              <w:rPr>
                <w:rFonts w:ascii="Times New Roman" w:hAnsi="Times New Roman" w:cs="Times New Roman" w:eastAsiaTheme="minorEastAsia"/>
                <w:b w:val="0"/>
                <w:bCs/>
                <w:color w:val="000000" w:themeColor="text1"/>
                <w:highlight w:val="magenta"/>
                <w:lang w:eastAsia="zh-CN"/>
                <w14:textFill>
                  <w14:solidFill>
                    <w14:schemeClr w14:val="tx1"/>
                  </w14:solidFill>
                </w14:textFill>
              </w:rPr>
            </w:pPr>
            <w:r>
              <w:rPr>
                <w:rFonts w:ascii="Times New Roman" w:hAnsi="Times New Roman" w:cs="Times New Roman" w:eastAsiaTheme="minorEastAsia"/>
                <w:b w:val="0"/>
                <w:bCs/>
                <w:color w:val="000000" w:themeColor="text1"/>
                <w:spacing w:val="-2"/>
                <w:highlight w:val="magenta"/>
                <w:lang w:eastAsia="zh-CN"/>
                <w14:textFill>
                  <w14:solidFill>
                    <w14:schemeClr w14:val="tx1"/>
                  </w14:solidFill>
                </w14:textFill>
              </w:rPr>
              <w:t>不设缓和曲线最小半径</w:t>
            </w:r>
          </w:p>
        </w:tc>
        <w:tc>
          <w:tcPr>
            <w:tcW w:w="807" w:type="dxa"/>
          </w:tcPr>
          <w:p>
            <w:pPr>
              <w:pStyle w:val="391"/>
              <w:autoSpaceDE w:val="0"/>
              <w:autoSpaceDN w:val="0"/>
              <w:spacing w:before="138" w:line="241" w:lineRule="auto"/>
              <w:ind w:left="342"/>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m</w:t>
            </w:r>
          </w:p>
        </w:tc>
        <w:tc>
          <w:tcPr>
            <w:tcW w:w="1366" w:type="dxa"/>
          </w:tcPr>
          <w:p>
            <w:pPr>
              <w:pStyle w:val="391"/>
              <w:autoSpaceDE w:val="0"/>
              <w:autoSpaceDN w:val="0"/>
              <w:spacing w:before="174" w:line="184" w:lineRule="auto"/>
              <w:ind w:left="467"/>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6"/>
                <w:highlight w:val="magenta"/>
                <w14:textFill>
                  <w14:solidFill>
                    <w14:schemeClr w14:val="tx1"/>
                  </w14:solidFill>
                </w14:textFill>
              </w:rPr>
              <w:t>1000</w:t>
            </w:r>
          </w:p>
        </w:tc>
        <w:tc>
          <w:tcPr>
            <w:tcW w:w="1710" w:type="dxa"/>
          </w:tcPr>
          <w:p>
            <w:pPr>
              <w:pStyle w:val="391"/>
              <w:autoSpaceDE w:val="0"/>
              <w:autoSpaceDN w:val="0"/>
              <w:spacing w:before="136" w:line="225" w:lineRule="auto"/>
              <w:ind w:left="800"/>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jc w:val="center"/>
        </w:trPr>
        <w:tc>
          <w:tcPr>
            <w:tcW w:w="3044" w:type="dxa"/>
          </w:tcPr>
          <w:p>
            <w:pPr>
              <w:pStyle w:val="391"/>
              <w:autoSpaceDE w:val="0"/>
              <w:autoSpaceDN w:val="0"/>
              <w:spacing w:before="137" w:line="220" w:lineRule="auto"/>
              <w:ind w:left="717"/>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4"/>
                <w:highlight w:val="magenta"/>
                <w14:textFill>
                  <w14:solidFill>
                    <w14:schemeClr w14:val="tx1"/>
                  </w14:solidFill>
                </w14:textFill>
              </w:rPr>
              <w:t>圆曲线最小长度</w:t>
            </w:r>
          </w:p>
        </w:tc>
        <w:tc>
          <w:tcPr>
            <w:tcW w:w="807" w:type="dxa"/>
          </w:tcPr>
          <w:p>
            <w:pPr>
              <w:pStyle w:val="391"/>
              <w:autoSpaceDE w:val="0"/>
              <w:autoSpaceDN w:val="0"/>
              <w:spacing w:before="139" w:line="241" w:lineRule="auto"/>
              <w:ind w:left="342"/>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m</w:t>
            </w:r>
          </w:p>
        </w:tc>
        <w:tc>
          <w:tcPr>
            <w:tcW w:w="1366" w:type="dxa"/>
          </w:tcPr>
          <w:p>
            <w:pPr>
              <w:pStyle w:val="391"/>
              <w:autoSpaceDE w:val="0"/>
              <w:autoSpaceDN w:val="0"/>
              <w:spacing w:before="176" w:line="183" w:lineRule="auto"/>
              <w:ind w:left="574"/>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8"/>
                <w:highlight w:val="magenta"/>
                <w14:textFill>
                  <w14:solidFill>
                    <w14:schemeClr w14:val="tx1"/>
                  </w14:solidFill>
                </w14:textFill>
              </w:rPr>
              <w:t>50</w:t>
            </w:r>
          </w:p>
        </w:tc>
        <w:tc>
          <w:tcPr>
            <w:tcW w:w="1710" w:type="dxa"/>
          </w:tcPr>
          <w:p>
            <w:pPr>
              <w:pStyle w:val="391"/>
              <w:autoSpaceDE w:val="0"/>
              <w:autoSpaceDN w:val="0"/>
              <w:spacing w:before="137" w:line="225" w:lineRule="auto"/>
              <w:ind w:left="800"/>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3044" w:type="dxa"/>
          </w:tcPr>
          <w:p>
            <w:pPr>
              <w:pStyle w:val="391"/>
              <w:autoSpaceDE w:val="0"/>
              <w:autoSpaceDN w:val="0"/>
              <w:spacing w:before="136" w:line="220" w:lineRule="auto"/>
              <w:ind w:left="474"/>
              <w:rPr>
                <w:rFonts w:ascii="Times New Roman" w:hAnsi="Times New Roman" w:cs="Times New Roman" w:eastAsiaTheme="minorEastAsia"/>
                <w:b w:val="0"/>
                <w:bCs/>
                <w:color w:val="000000" w:themeColor="text1"/>
                <w:highlight w:val="magenta"/>
                <w14:textFill>
                  <w14:solidFill>
                    <w14:schemeClr w14:val="tx1"/>
                  </w14:solidFill>
                </w14:textFill>
              </w:rPr>
            </w:pPr>
            <w:r>
              <w:rPr>
                <w:rFonts w:hint="eastAsia" w:ascii="Times New Roman" w:hAnsi="Times New Roman" w:cs="Times New Roman" w:eastAsiaTheme="minorEastAsia"/>
                <w:b w:val="0"/>
                <w:bCs/>
                <w:color w:val="000000" w:themeColor="text1"/>
                <w:spacing w:val="-3"/>
                <w:highlight w:val="magenta"/>
                <w:lang w:eastAsia="zh-CN"/>
                <w14:textFill>
                  <w14:solidFill>
                    <w14:schemeClr w14:val="tx1"/>
                  </w14:solidFill>
                </w14:textFill>
              </w:rPr>
              <w:t>凹形</w:t>
            </w:r>
            <w:r>
              <w:rPr>
                <w:rFonts w:ascii="Times New Roman" w:hAnsi="Times New Roman" w:cs="Times New Roman" w:eastAsiaTheme="minorEastAsia"/>
                <w:b w:val="0"/>
                <w:bCs/>
                <w:color w:val="000000" w:themeColor="text1"/>
                <w:spacing w:val="-3"/>
                <w:highlight w:val="magenta"/>
                <w14:textFill>
                  <w14:solidFill>
                    <w14:schemeClr w14:val="tx1"/>
                  </w14:solidFill>
                </w14:textFill>
              </w:rPr>
              <w:t>竖曲线最小半径</w:t>
            </w:r>
          </w:p>
        </w:tc>
        <w:tc>
          <w:tcPr>
            <w:tcW w:w="807" w:type="dxa"/>
          </w:tcPr>
          <w:p>
            <w:pPr>
              <w:pStyle w:val="391"/>
              <w:autoSpaceDE w:val="0"/>
              <w:autoSpaceDN w:val="0"/>
              <w:spacing w:before="138" w:line="241" w:lineRule="auto"/>
              <w:ind w:left="342"/>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m</w:t>
            </w:r>
          </w:p>
        </w:tc>
        <w:tc>
          <w:tcPr>
            <w:tcW w:w="1366" w:type="dxa"/>
          </w:tcPr>
          <w:p>
            <w:pPr>
              <w:pStyle w:val="391"/>
              <w:autoSpaceDE w:val="0"/>
              <w:autoSpaceDN w:val="0"/>
              <w:spacing w:before="175" w:line="184" w:lineRule="auto"/>
              <w:ind w:left="467"/>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6"/>
                <w:highlight w:val="magenta"/>
                <w14:textFill>
                  <w14:solidFill>
                    <w14:schemeClr w14:val="tx1"/>
                  </w14:solidFill>
                </w14:textFill>
              </w:rPr>
              <w:t>1500</w:t>
            </w:r>
          </w:p>
        </w:tc>
        <w:tc>
          <w:tcPr>
            <w:tcW w:w="1710" w:type="dxa"/>
          </w:tcPr>
          <w:p>
            <w:pPr>
              <w:pStyle w:val="391"/>
              <w:autoSpaceDE w:val="0"/>
              <w:autoSpaceDN w:val="0"/>
              <w:spacing w:before="174" w:line="184" w:lineRule="auto"/>
              <w:ind w:left="579"/>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5"/>
                <w:highlight w:val="magenta"/>
                <w14:textFill>
                  <w14:solidFill>
                    <w14:schemeClr w14:val="tx1"/>
                  </w14:solidFill>
                </w14:textFill>
              </w:rPr>
              <w:t>13000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3044" w:type="dxa"/>
          </w:tcPr>
          <w:p>
            <w:pPr>
              <w:pStyle w:val="391"/>
              <w:autoSpaceDE w:val="0"/>
              <w:autoSpaceDN w:val="0"/>
              <w:spacing w:before="137" w:line="220" w:lineRule="auto"/>
              <w:ind w:left="479"/>
              <w:rPr>
                <w:rFonts w:ascii="Times New Roman" w:hAnsi="Times New Roman" w:cs="Times New Roman" w:eastAsiaTheme="minorEastAsia"/>
                <w:b w:val="0"/>
                <w:bCs/>
                <w:color w:val="000000" w:themeColor="text1"/>
                <w:highlight w:val="magenta"/>
                <w14:textFill>
                  <w14:solidFill>
                    <w14:schemeClr w14:val="tx1"/>
                  </w14:solidFill>
                </w14:textFill>
              </w:rPr>
            </w:pPr>
            <w:r>
              <w:rPr>
                <w:rFonts w:hint="eastAsia" w:ascii="Times New Roman" w:hAnsi="Times New Roman" w:cs="Times New Roman" w:eastAsiaTheme="minorEastAsia"/>
                <w:b w:val="0"/>
                <w:bCs/>
                <w:color w:val="000000" w:themeColor="text1"/>
                <w:spacing w:val="-4"/>
                <w:highlight w:val="magenta"/>
                <w:lang w:eastAsia="zh-CN"/>
                <w14:textFill>
                  <w14:solidFill>
                    <w14:schemeClr w14:val="tx1"/>
                  </w14:solidFill>
                </w14:textFill>
              </w:rPr>
              <w:t>凸形</w:t>
            </w:r>
            <w:r>
              <w:rPr>
                <w:rFonts w:ascii="Times New Roman" w:hAnsi="Times New Roman" w:cs="Times New Roman" w:eastAsiaTheme="minorEastAsia"/>
                <w:b w:val="0"/>
                <w:bCs/>
                <w:color w:val="000000" w:themeColor="text1"/>
                <w:spacing w:val="-4"/>
                <w:highlight w:val="magenta"/>
                <w14:textFill>
                  <w14:solidFill>
                    <w14:schemeClr w14:val="tx1"/>
                  </w14:solidFill>
                </w14:textFill>
              </w:rPr>
              <w:t>竖曲线最小半径</w:t>
            </w:r>
          </w:p>
        </w:tc>
        <w:tc>
          <w:tcPr>
            <w:tcW w:w="807" w:type="dxa"/>
          </w:tcPr>
          <w:p>
            <w:pPr>
              <w:pStyle w:val="391"/>
              <w:autoSpaceDE w:val="0"/>
              <w:autoSpaceDN w:val="0"/>
              <w:spacing w:before="139" w:line="241" w:lineRule="auto"/>
              <w:ind w:left="342"/>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m</w:t>
            </w:r>
          </w:p>
        </w:tc>
        <w:tc>
          <w:tcPr>
            <w:tcW w:w="1366" w:type="dxa"/>
          </w:tcPr>
          <w:p>
            <w:pPr>
              <w:pStyle w:val="391"/>
              <w:autoSpaceDE w:val="0"/>
              <w:autoSpaceDN w:val="0"/>
              <w:spacing w:before="175" w:line="184" w:lineRule="auto"/>
              <w:ind w:left="467"/>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6"/>
                <w:highlight w:val="magenta"/>
                <w14:textFill>
                  <w14:solidFill>
                    <w14:schemeClr w14:val="tx1"/>
                  </w14:solidFill>
                </w14:textFill>
              </w:rPr>
              <w:t>1800</w:t>
            </w:r>
          </w:p>
        </w:tc>
        <w:tc>
          <w:tcPr>
            <w:tcW w:w="1710" w:type="dxa"/>
          </w:tcPr>
          <w:p>
            <w:pPr>
              <w:pStyle w:val="391"/>
              <w:autoSpaceDE w:val="0"/>
              <w:autoSpaceDN w:val="0"/>
              <w:spacing w:before="174" w:line="184" w:lineRule="auto"/>
              <w:ind w:left="579"/>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5"/>
                <w:highlight w:val="magenta"/>
                <w14:textFill>
                  <w14:solidFill>
                    <w14:schemeClr w14:val="tx1"/>
                  </w14:solidFill>
                </w14:textFill>
              </w:rPr>
              <w:t>11000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jc w:val="center"/>
        </w:trPr>
        <w:tc>
          <w:tcPr>
            <w:tcW w:w="3044" w:type="dxa"/>
          </w:tcPr>
          <w:p>
            <w:pPr>
              <w:pStyle w:val="391"/>
              <w:autoSpaceDE w:val="0"/>
              <w:autoSpaceDN w:val="0"/>
              <w:spacing w:before="138" w:line="220" w:lineRule="auto"/>
              <w:ind w:left="1060"/>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最大纵坡</w:t>
            </w:r>
          </w:p>
        </w:tc>
        <w:tc>
          <w:tcPr>
            <w:tcW w:w="807" w:type="dxa"/>
          </w:tcPr>
          <w:p>
            <w:pPr>
              <w:pStyle w:val="391"/>
              <w:autoSpaceDE w:val="0"/>
              <w:autoSpaceDN w:val="0"/>
              <w:spacing w:before="139"/>
              <w:ind w:left="342"/>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w:t>
            </w:r>
          </w:p>
        </w:tc>
        <w:tc>
          <w:tcPr>
            <w:tcW w:w="1366" w:type="dxa"/>
          </w:tcPr>
          <w:p>
            <w:pPr>
              <w:pStyle w:val="391"/>
              <w:autoSpaceDE w:val="0"/>
              <w:autoSpaceDN w:val="0"/>
              <w:spacing w:before="179" w:line="182" w:lineRule="auto"/>
              <w:ind w:left="634"/>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5</w:t>
            </w:r>
          </w:p>
        </w:tc>
        <w:tc>
          <w:tcPr>
            <w:tcW w:w="1710" w:type="dxa"/>
          </w:tcPr>
          <w:p>
            <w:pPr>
              <w:pStyle w:val="391"/>
              <w:autoSpaceDE w:val="0"/>
              <w:autoSpaceDN w:val="0"/>
              <w:spacing w:before="176" w:line="183" w:lineRule="auto"/>
              <w:ind w:left="623"/>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0.63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8" w:hRule="atLeast"/>
          <w:jc w:val="center"/>
        </w:trPr>
        <w:tc>
          <w:tcPr>
            <w:tcW w:w="3044" w:type="dxa"/>
          </w:tcPr>
          <w:p>
            <w:pPr>
              <w:pStyle w:val="391"/>
              <w:autoSpaceDE w:val="0"/>
              <w:autoSpaceDN w:val="0"/>
              <w:spacing w:before="137" w:line="220" w:lineRule="auto"/>
              <w:ind w:left="1060"/>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最小坡长</w:t>
            </w:r>
          </w:p>
        </w:tc>
        <w:tc>
          <w:tcPr>
            <w:tcW w:w="807" w:type="dxa"/>
          </w:tcPr>
          <w:p>
            <w:pPr>
              <w:pStyle w:val="391"/>
              <w:autoSpaceDE w:val="0"/>
              <w:autoSpaceDN w:val="0"/>
              <w:spacing w:before="139" w:line="241" w:lineRule="auto"/>
              <w:ind w:left="342"/>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m</w:t>
            </w:r>
          </w:p>
        </w:tc>
        <w:tc>
          <w:tcPr>
            <w:tcW w:w="1366" w:type="dxa"/>
          </w:tcPr>
          <w:p>
            <w:pPr>
              <w:pStyle w:val="391"/>
              <w:autoSpaceDE w:val="0"/>
              <w:autoSpaceDN w:val="0"/>
              <w:spacing w:before="176" w:line="184" w:lineRule="auto"/>
              <w:ind w:left="527"/>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7"/>
                <w:highlight w:val="magenta"/>
                <w14:textFill>
                  <w14:solidFill>
                    <w14:schemeClr w14:val="tx1"/>
                  </w14:solidFill>
                </w14:textFill>
              </w:rPr>
              <w:t>150</w:t>
            </w:r>
          </w:p>
        </w:tc>
        <w:tc>
          <w:tcPr>
            <w:tcW w:w="1710" w:type="dxa"/>
          </w:tcPr>
          <w:p>
            <w:pPr>
              <w:pStyle w:val="391"/>
              <w:autoSpaceDE w:val="0"/>
              <w:autoSpaceDN w:val="0"/>
              <w:spacing w:before="176" w:line="183" w:lineRule="auto"/>
              <w:ind w:left="684"/>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200</w:t>
            </w:r>
          </w:p>
        </w:tc>
      </w:tr>
    </w:tbl>
    <w:p>
      <w:pPr>
        <w:spacing w:before="113" w:line="219" w:lineRule="auto"/>
        <w:ind w:left="4211" w:firstLine="478" w:firstLineChars="200"/>
        <w:rPr>
          <w:rFonts w:ascii="Times New Roman" w:hAnsi="Times New Roman"/>
          <w:sz w:val="24"/>
          <w:szCs w:val="24"/>
          <w:highlight w:val="magenta"/>
        </w:rPr>
      </w:pPr>
      <w:r>
        <w:rPr>
          <w:rFonts w:ascii="Times New Roman" w:hAnsi="Times New Roman"/>
          <w:spacing w:val="-1"/>
          <w:sz w:val="24"/>
          <w:szCs w:val="24"/>
          <w:highlight w:val="magenta"/>
          <w14:textOutline w14:w="3048" w14:cap="flat" w14:cmpd="sng" w14:algn="ctr">
            <w14:solidFill>
              <w14:srgbClr w14:val="000000"/>
            </w14:solidFill>
            <w14:prstDash w14:val="solid"/>
            <w14:miter w14:val="0"/>
          </w14:textOutline>
        </w:rPr>
        <w:t>次干路主要技术标准</w:t>
      </w:r>
    </w:p>
    <w:tbl>
      <w:tblPr>
        <w:tblStyle w:val="379"/>
        <w:tblW w:w="6002"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640"/>
        <w:gridCol w:w="702"/>
        <w:gridCol w:w="1181"/>
        <w:gridCol w:w="1479"/>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8" w:hRule="atLeast"/>
          <w:jc w:val="center"/>
        </w:trPr>
        <w:tc>
          <w:tcPr>
            <w:tcW w:w="2640" w:type="dxa"/>
            <w:vMerge w:val="restart"/>
            <w:tcBorders>
              <w:bottom w:val="nil"/>
            </w:tcBorders>
          </w:tcPr>
          <w:p>
            <w:pPr>
              <w:pStyle w:val="391"/>
              <w:autoSpaceDE w:val="0"/>
              <w:autoSpaceDN w:val="0"/>
              <w:spacing w:before="78" w:line="220" w:lineRule="auto"/>
              <w:ind w:left="1100"/>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4"/>
                <w:highlight w:val="magenta"/>
                <w14:textFill>
                  <w14:solidFill>
                    <w14:schemeClr w14:val="tx1"/>
                  </w14:solidFill>
                </w14:textFill>
              </w:rPr>
              <w:t>项目</w:t>
            </w:r>
          </w:p>
        </w:tc>
        <w:tc>
          <w:tcPr>
            <w:tcW w:w="702" w:type="dxa"/>
            <w:vMerge w:val="restart"/>
            <w:tcBorders>
              <w:bottom w:val="nil"/>
            </w:tcBorders>
          </w:tcPr>
          <w:p>
            <w:pPr>
              <w:pStyle w:val="391"/>
              <w:autoSpaceDE w:val="0"/>
              <w:autoSpaceDN w:val="0"/>
              <w:spacing w:before="78" w:line="220" w:lineRule="auto"/>
              <w:ind w:left="117"/>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单位</w:t>
            </w:r>
          </w:p>
        </w:tc>
        <w:tc>
          <w:tcPr>
            <w:tcW w:w="1181" w:type="dxa"/>
            <w:vMerge w:val="restart"/>
            <w:tcBorders>
              <w:bottom w:val="nil"/>
            </w:tcBorders>
          </w:tcPr>
          <w:p>
            <w:pPr>
              <w:pStyle w:val="391"/>
              <w:autoSpaceDE w:val="0"/>
              <w:autoSpaceDN w:val="0"/>
              <w:spacing w:before="78" w:line="220" w:lineRule="auto"/>
              <w:ind w:left="236"/>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规范值</w:t>
            </w:r>
          </w:p>
        </w:tc>
        <w:tc>
          <w:tcPr>
            <w:tcW w:w="1479" w:type="dxa"/>
          </w:tcPr>
          <w:p>
            <w:pPr>
              <w:pStyle w:val="391"/>
              <w:autoSpaceDE w:val="0"/>
              <w:autoSpaceDN w:val="0"/>
              <w:spacing w:before="157" w:line="220" w:lineRule="auto"/>
              <w:jc w:val="center"/>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设计值</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jc w:val="center"/>
        </w:trPr>
        <w:tc>
          <w:tcPr>
            <w:tcW w:w="2640"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highlight w:val="magenta"/>
                <w:lang w:eastAsia="en-US"/>
                <w14:textFill>
                  <w14:solidFill>
                    <w14:schemeClr w14:val="tx1"/>
                  </w14:solidFill>
                </w14:textFill>
              </w:rPr>
            </w:pPr>
          </w:p>
        </w:tc>
        <w:tc>
          <w:tcPr>
            <w:tcW w:w="702"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highlight w:val="magenta"/>
                <w:lang w:eastAsia="en-US"/>
                <w14:textFill>
                  <w14:solidFill>
                    <w14:schemeClr w14:val="tx1"/>
                  </w14:solidFill>
                </w14:textFill>
              </w:rPr>
            </w:pPr>
          </w:p>
        </w:tc>
        <w:tc>
          <w:tcPr>
            <w:tcW w:w="1181"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highlight w:val="magenta"/>
                <w:lang w:eastAsia="en-US"/>
                <w14:textFill>
                  <w14:solidFill>
                    <w14:schemeClr w14:val="tx1"/>
                  </w14:solidFill>
                </w14:textFill>
              </w:rPr>
            </w:pPr>
          </w:p>
        </w:tc>
        <w:tc>
          <w:tcPr>
            <w:tcW w:w="1479" w:type="dxa"/>
          </w:tcPr>
          <w:p>
            <w:pPr>
              <w:pStyle w:val="391"/>
              <w:autoSpaceDE w:val="0"/>
              <w:autoSpaceDN w:val="0"/>
              <w:spacing w:before="192" w:line="220" w:lineRule="auto"/>
              <w:ind w:left="80"/>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2"/>
                <w:highlight w:val="magenta"/>
                <w14:textFill>
                  <w14:solidFill>
                    <w14:schemeClr w14:val="tx1"/>
                  </w14:solidFill>
                </w14:textFill>
              </w:rPr>
              <w:t>规划纵三路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6" w:line="220" w:lineRule="auto"/>
              <w:ind w:left="855"/>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2"/>
                <w:highlight w:val="magenta"/>
                <w14:textFill>
                  <w14:solidFill>
                    <w14:schemeClr w14:val="tx1"/>
                  </w14:solidFill>
                </w14:textFill>
              </w:rPr>
              <w:t>道路级别</w:t>
            </w:r>
          </w:p>
        </w:tc>
        <w:tc>
          <w:tcPr>
            <w:tcW w:w="702" w:type="dxa"/>
          </w:tcPr>
          <w:p>
            <w:pPr>
              <w:autoSpaceDE w:val="0"/>
              <w:autoSpaceDN w:val="0"/>
              <w:rPr>
                <w:rFonts w:ascii="Times New Roman" w:hAnsi="Times New Roman" w:eastAsiaTheme="minorEastAsia" w:cstheme="minorBidi"/>
                <w:b w:val="0"/>
                <w:bCs/>
                <w:color w:val="000000" w:themeColor="text1"/>
                <w:sz w:val="21"/>
                <w:highlight w:val="magenta"/>
                <w:lang w:eastAsia="en-US"/>
                <w14:textFill>
                  <w14:solidFill>
                    <w14:schemeClr w14:val="tx1"/>
                  </w14:solidFill>
                </w14:textFill>
              </w:rPr>
            </w:pPr>
          </w:p>
        </w:tc>
        <w:tc>
          <w:tcPr>
            <w:tcW w:w="1181" w:type="dxa"/>
          </w:tcPr>
          <w:p>
            <w:pPr>
              <w:pStyle w:val="391"/>
              <w:autoSpaceDE w:val="0"/>
              <w:autoSpaceDN w:val="0"/>
              <w:spacing w:before="136" w:line="219" w:lineRule="auto"/>
              <w:ind w:left="242"/>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4"/>
                <w:highlight w:val="magenta"/>
                <w14:textFill>
                  <w14:solidFill>
                    <w14:schemeClr w14:val="tx1"/>
                  </w14:solidFill>
                </w14:textFill>
              </w:rPr>
              <w:t>次干路</w:t>
            </w:r>
          </w:p>
        </w:tc>
        <w:tc>
          <w:tcPr>
            <w:tcW w:w="1479" w:type="dxa"/>
          </w:tcPr>
          <w:p>
            <w:pPr>
              <w:pStyle w:val="391"/>
              <w:autoSpaceDE w:val="0"/>
              <w:autoSpaceDN w:val="0"/>
              <w:spacing w:before="136" w:line="219" w:lineRule="auto"/>
              <w:ind w:left="326"/>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4"/>
                <w:highlight w:val="magenta"/>
                <w14:textFill>
                  <w14:solidFill>
                    <w14:schemeClr w14:val="tx1"/>
                  </w14:solidFill>
                </w14:textFill>
              </w:rPr>
              <w:t>次干路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58" w:line="220" w:lineRule="auto"/>
              <w:ind w:left="860"/>
              <w:rPr>
                <w:rFonts w:ascii="Times New Roman" w:hAnsi="Times New Roman" w:cs="Times New Roman" w:eastAsiaTheme="minorEastAsia"/>
                <w:b w:val="0"/>
                <w:bCs/>
                <w:color w:val="000000" w:themeColor="text1"/>
                <w:spacing w:val="-2"/>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设计速度</w:t>
            </w:r>
          </w:p>
        </w:tc>
        <w:tc>
          <w:tcPr>
            <w:tcW w:w="702" w:type="dxa"/>
          </w:tcPr>
          <w:p>
            <w:pPr>
              <w:pStyle w:val="391"/>
              <w:autoSpaceDE w:val="0"/>
              <w:autoSpaceDN w:val="0"/>
              <w:spacing w:before="157" w:line="225" w:lineRule="auto"/>
              <w:ind w:left="112"/>
              <w:rPr>
                <w:rFonts w:ascii="Times New Roman" w:hAnsi="Times New Roman" w:cs="Times New Roman" w:eastAsiaTheme="minorEastAsia"/>
                <w:b w:val="0"/>
                <w:bCs/>
                <w:color w:val="000000" w:themeColor="text1"/>
                <w:sz w:val="21"/>
                <w:highlight w:val="magenta"/>
                <w14:textFill>
                  <w14:solidFill>
                    <w14:schemeClr w14:val="tx1"/>
                  </w14:solidFill>
                </w14:textFill>
              </w:rPr>
            </w:pPr>
            <w:r>
              <w:rPr>
                <w:rFonts w:ascii="Times New Roman" w:hAnsi="Times New Roman" w:cs="Times New Roman" w:eastAsiaTheme="minorEastAsia"/>
                <w:b w:val="0"/>
                <w:bCs/>
                <w:color w:val="000000" w:themeColor="text1"/>
                <w:spacing w:val="-2"/>
                <w:highlight w:val="magenta"/>
                <w14:textFill>
                  <w14:solidFill>
                    <w14:schemeClr w14:val="tx1"/>
                  </w14:solidFill>
                </w14:textFill>
              </w:rPr>
              <w:t>Km/h</w:t>
            </w:r>
          </w:p>
        </w:tc>
        <w:tc>
          <w:tcPr>
            <w:tcW w:w="1181" w:type="dxa"/>
          </w:tcPr>
          <w:p>
            <w:pPr>
              <w:pStyle w:val="391"/>
              <w:autoSpaceDE w:val="0"/>
              <w:autoSpaceDN w:val="0"/>
              <w:spacing w:before="196" w:line="183" w:lineRule="auto"/>
              <w:ind w:left="474"/>
              <w:rPr>
                <w:rFonts w:ascii="Times New Roman" w:hAnsi="Times New Roman" w:cs="Times New Roman" w:eastAsiaTheme="minorEastAsia"/>
                <w:b w:val="0"/>
                <w:bCs/>
                <w:color w:val="000000" w:themeColor="text1"/>
                <w:spacing w:val="-4"/>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40</w:t>
            </w:r>
          </w:p>
        </w:tc>
        <w:tc>
          <w:tcPr>
            <w:tcW w:w="1479" w:type="dxa"/>
          </w:tcPr>
          <w:p>
            <w:pPr>
              <w:pStyle w:val="391"/>
              <w:autoSpaceDE w:val="0"/>
              <w:autoSpaceDN w:val="0"/>
              <w:spacing w:before="196" w:line="183" w:lineRule="auto"/>
              <w:ind w:left="558"/>
              <w:rPr>
                <w:rFonts w:ascii="Times New Roman" w:hAnsi="Times New Roman" w:cs="Times New Roman" w:eastAsiaTheme="minorEastAsia"/>
                <w:b w:val="0"/>
                <w:bCs/>
                <w:color w:val="000000" w:themeColor="text1"/>
                <w:spacing w:val="-4"/>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40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3" w:line="220" w:lineRule="auto"/>
              <w:ind w:left="618"/>
              <w:rPr>
                <w:rFonts w:ascii="Times New Roman" w:hAnsi="Times New Roman" w:cs="Times New Roman" w:eastAsiaTheme="minorEastAsia"/>
                <w:b w:val="0"/>
                <w:bCs/>
                <w:color w:val="000000" w:themeColor="text1"/>
                <w:spacing w:val="-2"/>
                <w:highlight w:val="magenta"/>
                <w14:textFill>
                  <w14:solidFill>
                    <w14:schemeClr w14:val="tx1"/>
                  </w14:solidFill>
                </w14:textFill>
              </w:rPr>
            </w:pPr>
            <w:r>
              <w:rPr>
                <w:rFonts w:ascii="Times New Roman" w:hAnsi="Times New Roman" w:cs="Times New Roman" w:eastAsiaTheme="minorEastAsia"/>
                <w:b w:val="0"/>
                <w:bCs/>
                <w:color w:val="000000" w:themeColor="text1"/>
                <w:spacing w:val="-2"/>
                <w:highlight w:val="magenta"/>
                <w14:textFill>
                  <w14:solidFill>
                    <w14:schemeClr w14:val="tx1"/>
                  </w14:solidFill>
                </w14:textFill>
              </w:rPr>
              <w:t>路面设计年限</w:t>
            </w:r>
          </w:p>
        </w:tc>
        <w:tc>
          <w:tcPr>
            <w:tcW w:w="702" w:type="dxa"/>
          </w:tcPr>
          <w:p>
            <w:pPr>
              <w:pStyle w:val="391"/>
              <w:autoSpaceDE w:val="0"/>
              <w:autoSpaceDN w:val="0"/>
              <w:spacing w:before="133" w:line="220" w:lineRule="auto"/>
              <w:ind w:left="236"/>
              <w:rPr>
                <w:rFonts w:ascii="Times New Roman" w:hAnsi="Times New Roman" w:cs="Times New Roman" w:eastAsiaTheme="minorEastAsia"/>
                <w:b w:val="0"/>
                <w:bCs/>
                <w:color w:val="000000" w:themeColor="text1"/>
                <w:sz w:val="2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年</w:t>
            </w:r>
          </w:p>
        </w:tc>
        <w:tc>
          <w:tcPr>
            <w:tcW w:w="1181" w:type="dxa"/>
          </w:tcPr>
          <w:p>
            <w:pPr>
              <w:pStyle w:val="391"/>
              <w:autoSpaceDE w:val="0"/>
              <w:autoSpaceDN w:val="0"/>
              <w:spacing w:before="170" w:line="184" w:lineRule="auto"/>
              <w:ind w:left="493"/>
              <w:rPr>
                <w:rFonts w:ascii="Times New Roman" w:hAnsi="Times New Roman" w:cs="Times New Roman" w:eastAsiaTheme="minorEastAsia"/>
                <w:b w:val="0"/>
                <w:bCs/>
                <w:color w:val="000000" w:themeColor="text1"/>
                <w:spacing w:val="-4"/>
                <w:highlight w:val="magenta"/>
                <w14:textFill>
                  <w14:solidFill>
                    <w14:schemeClr w14:val="tx1"/>
                  </w14:solidFill>
                </w14:textFill>
              </w:rPr>
            </w:pPr>
            <w:r>
              <w:rPr>
                <w:rFonts w:ascii="Times New Roman" w:hAnsi="Times New Roman" w:cs="Times New Roman" w:eastAsiaTheme="minorEastAsia"/>
                <w:b w:val="0"/>
                <w:bCs/>
                <w:color w:val="000000" w:themeColor="text1"/>
                <w:spacing w:val="-14"/>
                <w:highlight w:val="magenta"/>
                <w14:textFill>
                  <w14:solidFill>
                    <w14:schemeClr w14:val="tx1"/>
                  </w14:solidFill>
                </w14:textFill>
              </w:rPr>
              <w:t>15</w:t>
            </w:r>
          </w:p>
        </w:tc>
        <w:tc>
          <w:tcPr>
            <w:tcW w:w="1479" w:type="dxa"/>
          </w:tcPr>
          <w:p>
            <w:pPr>
              <w:pStyle w:val="391"/>
              <w:autoSpaceDE w:val="0"/>
              <w:autoSpaceDN w:val="0"/>
              <w:spacing w:before="170" w:line="184" w:lineRule="auto"/>
              <w:ind w:left="577"/>
              <w:rPr>
                <w:rFonts w:ascii="Times New Roman" w:hAnsi="Times New Roman" w:cs="Times New Roman" w:eastAsiaTheme="minorEastAsia"/>
                <w:b w:val="0"/>
                <w:bCs/>
                <w:color w:val="000000" w:themeColor="text1"/>
                <w:spacing w:val="-4"/>
                <w:highlight w:val="magenta"/>
                <w14:textFill>
                  <w14:solidFill>
                    <w14:schemeClr w14:val="tx1"/>
                  </w14:solidFill>
                </w14:textFill>
              </w:rPr>
            </w:pPr>
            <w:r>
              <w:rPr>
                <w:rFonts w:ascii="Times New Roman" w:hAnsi="Times New Roman" w:cs="Times New Roman" w:eastAsiaTheme="minorEastAsia"/>
                <w:b w:val="0"/>
                <w:bCs/>
                <w:color w:val="000000" w:themeColor="text1"/>
                <w:spacing w:val="-7"/>
                <w:highlight w:val="magenta"/>
                <w14:textFill>
                  <w14:solidFill>
                    <w14:schemeClr w14:val="tx1"/>
                  </w14:solidFill>
                </w14:textFill>
              </w:rPr>
              <w:t>15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4" w:line="220" w:lineRule="auto"/>
              <w:ind w:left="618"/>
              <w:rPr>
                <w:rFonts w:ascii="Times New Roman" w:hAnsi="Times New Roman" w:cs="Times New Roman" w:eastAsiaTheme="minorEastAsia"/>
                <w:b w:val="0"/>
                <w:bCs/>
                <w:color w:val="000000" w:themeColor="text1"/>
                <w:spacing w:val="-2"/>
                <w:highlight w:val="magenta"/>
                <w14:textFill>
                  <w14:solidFill>
                    <w14:schemeClr w14:val="tx1"/>
                  </w14:solidFill>
                </w14:textFill>
              </w:rPr>
            </w:pPr>
            <w:r>
              <w:rPr>
                <w:rFonts w:ascii="Times New Roman" w:hAnsi="Times New Roman" w:cs="Times New Roman" w:eastAsiaTheme="minorEastAsia"/>
                <w:b w:val="0"/>
                <w:bCs/>
                <w:color w:val="000000" w:themeColor="text1"/>
                <w:spacing w:val="-2"/>
                <w:highlight w:val="magenta"/>
                <w14:textFill>
                  <w14:solidFill>
                    <w14:schemeClr w14:val="tx1"/>
                  </w14:solidFill>
                </w14:textFill>
              </w:rPr>
              <w:t>路面设计载荷</w:t>
            </w:r>
          </w:p>
        </w:tc>
        <w:tc>
          <w:tcPr>
            <w:tcW w:w="702" w:type="dxa"/>
          </w:tcPr>
          <w:p>
            <w:pPr>
              <w:autoSpaceDE w:val="0"/>
              <w:autoSpaceDN w:val="0"/>
              <w:rPr>
                <w:rFonts w:ascii="Times New Roman" w:hAnsi="Times New Roman" w:eastAsiaTheme="minorEastAsia" w:cstheme="minorBidi"/>
                <w:b w:val="0"/>
                <w:bCs/>
                <w:color w:val="000000" w:themeColor="text1"/>
                <w:sz w:val="21"/>
                <w:highlight w:val="magenta"/>
                <w:lang w:eastAsia="en-US"/>
                <w14:textFill>
                  <w14:solidFill>
                    <w14:schemeClr w14:val="tx1"/>
                  </w14:solidFill>
                </w14:textFill>
              </w:rPr>
            </w:pPr>
          </w:p>
        </w:tc>
        <w:tc>
          <w:tcPr>
            <w:tcW w:w="1181" w:type="dxa"/>
          </w:tcPr>
          <w:p>
            <w:pPr>
              <w:pStyle w:val="391"/>
              <w:autoSpaceDE w:val="0"/>
              <w:autoSpaceDN w:val="0"/>
              <w:spacing w:before="171" w:line="184" w:lineRule="auto"/>
              <w:ind w:left="170"/>
              <w:rPr>
                <w:rFonts w:ascii="Times New Roman" w:hAnsi="Times New Roman" w:cs="Times New Roman" w:eastAsiaTheme="minorEastAsia"/>
                <w:b w:val="0"/>
                <w:bCs/>
                <w:color w:val="000000" w:themeColor="text1"/>
                <w:spacing w:val="-4"/>
                <w:highlight w:val="magenta"/>
                <w14:textFill>
                  <w14:solidFill>
                    <w14:schemeClr w14:val="tx1"/>
                  </w14:solidFill>
                </w14:textFill>
              </w:rPr>
            </w:pPr>
            <w:r>
              <w:rPr>
                <w:rFonts w:ascii="Times New Roman" w:hAnsi="Times New Roman" w:cs="Times New Roman" w:eastAsiaTheme="minorEastAsia"/>
                <w:b w:val="0"/>
                <w:bCs/>
                <w:color w:val="000000" w:themeColor="text1"/>
                <w:spacing w:val="-1"/>
                <w:highlight w:val="magenta"/>
                <w14:textFill>
                  <w14:solidFill>
                    <w14:schemeClr w14:val="tx1"/>
                  </w14:solidFill>
                </w14:textFill>
              </w:rPr>
              <w:t>BZZ-100</w:t>
            </w:r>
          </w:p>
        </w:tc>
        <w:tc>
          <w:tcPr>
            <w:tcW w:w="1479" w:type="dxa"/>
          </w:tcPr>
          <w:p>
            <w:pPr>
              <w:pStyle w:val="391"/>
              <w:autoSpaceDE w:val="0"/>
              <w:autoSpaceDN w:val="0"/>
              <w:spacing w:before="171" w:line="184" w:lineRule="auto"/>
              <w:ind w:left="254"/>
              <w:rPr>
                <w:rFonts w:ascii="Times New Roman" w:hAnsi="Times New Roman" w:cs="Times New Roman" w:eastAsiaTheme="minorEastAsia"/>
                <w:b w:val="0"/>
                <w:bCs/>
                <w:color w:val="000000" w:themeColor="text1"/>
                <w:spacing w:val="-4"/>
                <w:highlight w:val="magenta"/>
                <w14:textFill>
                  <w14:solidFill>
                    <w14:schemeClr w14:val="tx1"/>
                  </w14:solidFill>
                </w14:textFill>
              </w:rPr>
            </w:pPr>
            <w:r>
              <w:rPr>
                <w:rFonts w:ascii="Times New Roman" w:hAnsi="Times New Roman" w:cs="Times New Roman" w:eastAsiaTheme="minorEastAsia"/>
                <w:b w:val="0"/>
                <w:bCs/>
                <w:color w:val="000000" w:themeColor="text1"/>
                <w:spacing w:val="-1"/>
                <w:highlight w:val="magenta"/>
                <w14:textFill>
                  <w14:solidFill>
                    <w14:schemeClr w14:val="tx1"/>
                  </w14:solidFill>
                </w14:textFill>
              </w:rPr>
              <w:t>BZZ-100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4" w:line="220" w:lineRule="auto"/>
              <w:ind w:left="860"/>
              <w:rPr>
                <w:rFonts w:ascii="Times New Roman" w:hAnsi="Times New Roman" w:cs="Times New Roman" w:eastAsiaTheme="minorEastAsia"/>
                <w:b w:val="0"/>
                <w:bCs/>
                <w:color w:val="000000" w:themeColor="text1"/>
                <w:spacing w:val="-2"/>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行车净高</w:t>
            </w:r>
          </w:p>
        </w:tc>
        <w:tc>
          <w:tcPr>
            <w:tcW w:w="702" w:type="dxa"/>
          </w:tcPr>
          <w:p>
            <w:pPr>
              <w:pStyle w:val="391"/>
              <w:autoSpaceDE w:val="0"/>
              <w:autoSpaceDN w:val="0"/>
              <w:spacing w:before="135" w:line="241" w:lineRule="auto"/>
              <w:ind w:left="289"/>
              <w:rPr>
                <w:rFonts w:ascii="Times New Roman" w:hAnsi="Times New Roman" w:cs="Times New Roman" w:eastAsiaTheme="minorEastAsia"/>
                <w:b w:val="0"/>
                <w:bCs/>
                <w:color w:val="000000" w:themeColor="text1"/>
                <w:sz w:val="2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m</w:t>
            </w:r>
          </w:p>
        </w:tc>
        <w:tc>
          <w:tcPr>
            <w:tcW w:w="1181" w:type="dxa"/>
          </w:tcPr>
          <w:p>
            <w:pPr>
              <w:pStyle w:val="391"/>
              <w:autoSpaceDE w:val="0"/>
              <w:autoSpaceDN w:val="0"/>
              <w:spacing w:before="173" w:line="183" w:lineRule="auto"/>
              <w:ind w:left="414"/>
              <w:rPr>
                <w:rFonts w:ascii="Times New Roman" w:hAnsi="Times New Roman" w:cs="Times New Roman" w:eastAsiaTheme="minorEastAsia"/>
                <w:b w:val="0"/>
                <w:bCs/>
                <w:color w:val="000000" w:themeColor="text1"/>
                <w:spacing w:val="-4"/>
                <w:highlight w:val="magenta"/>
                <w:lang w:eastAsia="zh-CN"/>
                <w14:textFill>
                  <w14:solidFill>
                    <w14:schemeClr w14:val="tx1"/>
                  </w14:solidFill>
                </w14:textFill>
              </w:rPr>
            </w:pPr>
            <w:r>
              <w:rPr>
                <w:rFonts w:ascii="Times New Roman" w:hAnsi="Times New Roman" w:cs="Times New Roman" w:eastAsiaTheme="minorEastAsia"/>
                <w:b w:val="0"/>
                <w:bCs/>
                <w:color w:val="000000" w:themeColor="text1"/>
                <w:spacing w:val="-3"/>
                <w:highlight w:val="magenta"/>
                <w:lang w:eastAsia="zh-CN"/>
                <w14:textFill>
                  <w14:solidFill>
                    <w14:schemeClr w14:val="tx1"/>
                  </w14:solidFill>
                </w14:textFill>
              </w:rPr>
              <w:t>4.5</w:t>
            </w:r>
          </w:p>
        </w:tc>
        <w:tc>
          <w:tcPr>
            <w:tcW w:w="1479" w:type="dxa"/>
          </w:tcPr>
          <w:p>
            <w:pPr>
              <w:pStyle w:val="391"/>
              <w:autoSpaceDE w:val="0"/>
              <w:autoSpaceDN w:val="0"/>
              <w:spacing w:before="174" w:line="183" w:lineRule="auto"/>
              <w:ind w:left="498"/>
              <w:rPr>
                <w:rFonts w:ascii="Times New Roman" w:hAnsi="Times New Roman" w:cs="Times New Roman" w:eastAsiaTheme="minorEastAsia"/>
                <w:b w:val="0"/>
                <w:bCs/>
                <w:color w:val="000000" w:themeColor="text1"/>
                <w:spacing w:val="-4"/>
                <w:highlight w:val="magenta"/>
                <w:lang w:eastAsia="zh-CN"/>
                <w14:textFill>
                  <w14:solidFill>
                    <w14:schemeClr w14:val="tx1"/>
                  </w14:solidFill>
                </w14:textFill>
              </w:rPr>
            </w:pPr>
            <w:r>
              <w:rPr>
                <w:rFonts w:ascii="Times New Roman" w:hAnsi="Times New Roman" w:cs="Times New Roman" w:eastAsiaTheme="minorEastAsia"/>
                <w:b w:val="0"/>
                <w:bCs/>
                <w:color w:val="000000" w:themeColor="text1"/>
                <w:spacing w:val="-2"/>
                <w:highlight w:val="magenta"/>
                <w:lang w:eastAsia="zh-CN"/>
                <w14:textFill>
                  <w14:solidFill>
                    <w14:schemeClr w14:val="tx1"/>
                  </w14:solidFill>
                </w14:textFill>
              </w:rPr>
              <w:t>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5" w:line="220" w:lineRule="auto"/>
              <w:ind w:left="858"/>
              <w:rPr>
                <w:rFonts w:ascii="Times New Roman" w:hAnsi="Times New Roman" w:cs="Times New Roman" w:eastAsiaTheme="minorEastAsia"/>
                <w:b w:val="0"/>
                <w:bCs/>
                <w:color w:val="000000" w:themeColor="text1"/>
                <w:spacing w:val="-2"/>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路面横坡</w:t>
            </w:r>
          </w:p>
        </w:tc>
        <w:tc>
          <w:tcPr>
            <w:tcW w:w="702" w:type="dxa"/>
          </w:tcPr>
          <w:p>
            <w:pPr>
              <w:pStyle w:val="391"/>
              <w:autoSpaceDE w:val="0"/>
              <w:autoSpaceDN w:val="0"/>
              <w:spacing w:before="135"/>
              <w:ind w:left="289"/>
              <w:rPr>
                <w:rFonts w:ascii="Times New Roman" w:hAnsi="Times New Roman" w:cs="Times New Roman" w:eastAsiaTheme="minorEastAsia"/>
                <w:b w:val="0"/>
                <w:bCs/>
                <w:color w:val="000000" w:themeColor="text1"/>
                <w:sz w:val="2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w:t>
            </w:r>
          </w:p>
        </w:tc>
        <w:tc>
          <w:tcPr>
            <w:tcW w:w="1181" w:type="dxa"/>
          </w:tcPr>
          <w:p>
            <w:pPr>
              <w:pStyle w:val="391"/>
              <w:autoSpaceDE w:val="0"/>
              <w:autoSpaceDN w:val="0"/>
              <w:spacing w:before="173" w:line="183" w:lineRule="auto"/>
              <w:ind w:left="538"/>
              <w:rPr>
                <w:rFonts w:ascii="Times New Roman" w:hAnsi="Times New Roman" w:cs="Times New Roman" w:eastAsiaTheme="minorEastAsia"/>
                <w:b w:val="0"/>
                <w:bCs/>
                <w:color w:val="000000" w:themeColor="text1"/>
                <w:spacing w:val="-4"/>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2</w:t>
            </w:r>
          </w:p>
        </w:tc>
        <w:tc>
          <w:tcPr>
            <w:tcW w:w="1479" w:type="dxa"/>
          </w:tcPr>
          <w:p>
            <w:pPr>
              <w:pStyle w:val="391"/>
              <w:autoSpaceDE w:val="0"/>
              <w:autoSpaceDN w:val="0"/>
              <w:spacing w:before="173" w:line="183" w:lineRule="auto"/>
              <w:ind w:left="622"/>
              <w:rPr>
                <w:rFonts w:ascii="Times New Roman" w:hAnsi="Times New Roman" w:cs="Times New Roman" w:eastAsiaTheme="minorEastAsia"/>
                <w:b w:val="0"/>
                <w:bCs/>
                <w:color w:val="000000" w:themeColor="text1"/>
                <w:spacing w:val="-4"/>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6" w:line="220" w:lineRule="auto"/>
              <w:ind w:left="380"/>
              <w:rPr>
                <w:rFonts w:ascii="Times New Roman" w:hAnsi="Times New Roman" w:cs="Times New Roman" w:eastAsiaTheme="minorEastAsia"/>
                <w:b w:val="0"/>
                <w:bCs/>
                <w:color w:val="000000" w:themeColor="text1"/>
                <w:spacing w:val="-2"/>
                <w:highlight w:val="magenta"/>
                <w14:textFill>
                  <w14:solidFill>
                    <w14:schemeClr w14:val="tx1"/>
                  </w14:solidFill>
                </w14:textFill>
              </w:rPr>
            </w:pPr>
            <w:r>
              <w:rPr>
                <w:rFonts w:ascii="Times New Roman" w:hAnsi="Times New Roman" w:cs="Times New Roman" w:eastAsiaTheme="minorEastAsia"/>
                <w:b w:val="0"/>
                <w:bCs/>
                <w:color w:val="000000" w:themeColor="text1"/>
                <w:spacing w:val="-2"/>
                <w:highlight w:val="magenta"/>
                <w14:textFill>
                  <w14:solidFill>
                    <w14:schemeClr w14:val="tx1"/>
                  </w14:solidFill>
                </w14:textFill>
              </w:rPr>
              <w:t>不设加宽最小半径</w:t>
            </w:r>
          </w:p>
        </w:tc>
        <w:tc>
          <w:tcPr>
            <w:tcW w:w="702" w:type="dxa"/>
          </w:tcPr>
          <w:p>
            <w:pPr>
              <w:pStyle w:val="391"/>
              <w:autoSpaceDE w:val="0"/>
              <w:autoSpaceDN w:val="0"/>
              <w:spacing w:before="136" w:line="241" w:lineRule="auto"/>
              <w:ind w:left="289"/>
              <w:rPr>
                <w:rFonts w:ascii="Times New Roman" w:hAnsi="Times New Roman" w:cs="Times New Roman" w:eastAsiaTheme="minorEastAsia"/>
                <w:b w:val="0"/>
                <w:bCs/>
                <w:color w:val="000000" w:themeColor="text1"/>
                <w:sz w:val="2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m</w:t>
            </w:r>
          </w:p>
        </w:tc>
        <w:tc>
          <w:tcPr>
            <w:tcW w:w="1181" w:type="dxa"/>
          </w:tcPr>
          <w:p>
            <w:pPr>
              <w:pStyle w:val="391"/>
              <w:autoSpaceDE w:val="0"/>
              <w:autoSpaceDN w:val="0"/>
              <w:spacing w:before="174" w:line="183" w:lineRule="auto"/>
              <w:ind w:left="418"/>
              <w:rPr>
                <w:rFonts w:ascii="Times New Roman" w:hAnsi="Times New Roman" w:cs="Times New Roman" w:eastAsiaTheme="minorEastAsia"/>
                <w:b w:val="0"/>
                <w:bCs/>
                <w:color w:val="000000" w:themeColor="text1"/>
                <w:spacing w:val="-4"/>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250</w:t>
            </w:r>
          </w:p>
        </w:tc>
        <w:tc>
          <w:tcPr>
            <w:tcW w:w="1479" w:type="dxa"/>
          </w:tcPr>
          <w:p>
            <w:pPr>
              <w:pStyle w:val="391"/>
              <w:autoSpaceDE w:val="0"/>
              <w:autoSpaceDN w:val="0"/>
              <w:spacing w:before="174" w:line="183" w:lineRule="auto"/>
              <w:ind w:left="504"/>
              <w:rPr>
                <w:rFonts w:ascii="Times New Roman" w:hAnsi="Times New Roman" w:cs="Times New Roman" w:eastAsiaTheme="minorEastAsia"/>
                <w:b w:val="0"/>
                <w:bCs/>
                <w:color w:val="000000" w:themeColor="text1"/>
                <w:spacing w:val="-4"/>
                <w:highlight w:val="magenta"/>
                <w14:textFill>
                  <w14:solidFill>
                    <w14:schemeClr w14:val="tx1"/>
                  </w14:solidFill>
                </w14:textFill>
              </w:rPr>
            </w:pPr>
            <w:r>
              <w:rPr>
                <w:rFonts w:ascii="Times New Roman" w:hAnsi="Times New Roman" w:cs="Times New Roman" w:eastAsiaTheme="minorEastAsia"/>
                <w:b w:val="0"/>
                <w:bCs/>
                <w:color w:val="000000" w:themeColor="text1"/>
                <w:spacing w:val="-4"/>
                <w:highlight w:val="magenta"/>
                <w14:textFill>
                  <w14:solidFill>
                    <w14:schemeClr w14:val="tx1"/>
                  </w14:solidFill>
                </w14:textFill>
              </w:rPr>
              <w:t>500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5" w:line="220" w:lineRule="auto"/>
              <w:ind w:left="380"/>
              <w:rPr>
                <w:rFonts w:ascii="Times New Roman" w:hAnsi="Times New Roman" w:cs="Times New Roman" w:eastAsiaTheme="minorEastAsia"/>
                <w:b w:val="0"/>
                <w:bCs/>
                <w:color w:val="000000" w:themeColor="text1"/>
                <w:spacing w:val="-2"/>
                <w:highlight w:val="magenta"/>
                <w14:textFill>
                  <w14:solidFill>
                    <w14:schemeClr w14:val="tx1"/>
                  </w14:solidFill>
                </w14:textFill>
              </w:rPr>
            </w:pPr>
            <w:r>
              <w:rPr>
                <w:rFonts w:ascii="Times New Roman" w:hAnsi="Times New Roman" w:cs="Times New Roman" w:eastAsiaTheme="minorEastAsia"/>
                <w:b w:val="0"/>
                <w:bCs/>
                <w:color w:val="000000" w:themeColor="text1"/>
                <w:spacing w:val="-2"/>
                <w:highlight w:val="magenta"/>
                <w14:textFill>
                  <w14:solidFill>
                    <w14:schemeClr w14:val="tx1"/>
                  </w14:solidFill>
                </w14:textFill>
              </w:rPr>
              <w:t>不设超高最小半径</w:t>
            </w:r>
          </w:p>
        </w:tc>
        <w:tc>
          <w:tcPr>
            <w:tcW w:w="702" w:type="dxa"/>
          </w:tcPr>
          <w:p>
            <w:pPr>
              <w:pStyle w:val="391"/>
              <w:autoSpaceDE w:val="0"/>
              <w:autoSpaceDN w:val="0"/>
              <w:spacing w:before="136" w:line="241" w:lineRule="auto"/>
              <w:ind w:left="289"/>
              <w:rPr>
                <w:rFonts w:ascii="Times New Roman" w:hAnsi="Times New Roman" w:cs="Times New Roman" w:eastAsiaTheme="minorEastAsia"/>
                <w:b w:val="0"/>
                <w:bCs/>
                <w:color w:val="000000" w:themeColor="text1"/>
                <w:sz w:val="2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m</w:t>
            </w:r>
          </w:p>
        </w:tc>
        <w:tc>
          <w:tcPr>
            <w:tcW w:w="1181" w:type="dxa"/>
          </w:tcPr>
          <w:p>
            <w:pPr>
              <w:pStyle w:val="391"/>
              <w:autoSpaceDE w:val="0"/>
              <w:autoSpaceDN w:val="0"/>
              <w:spacing w:before="174" w:line="183" w:lineRule="auto"/>
              <w:ind w:left="420"/>
              <w:rPr>
                <w:rFonts w:ascii="Times New Roman" w:hAnsi="Times New Roman" w:cs="Times New Roman" w:eastAsiaTheme="minorEastAsia"/>
                <w:b w:val="0"/>
                <w:bCs/>
                <w:color w:val="000000" w:themeColor="text1"/>
                <w:spacing w:val="-4"/>
                <w:highlight w:val="magenta"/>
                <w14:textFill>
                  <w14:solidFill>
                    <w14:schemeClr w14:val="tx1"/>
                  </w14:solidFill>
                </w14:textFill>
              </w:rPr>
            </w:pPr>
            <w:r>
              <w:rPr>
                <w:rFonts w:ascii="Times New Roman" w:hAnsi="Times New Roman" w:cs="Times New Roman" w:eastAsiaTheme="minorEastAsia"/>
                <w:b w:val="0"/>
                <w:bCs/>
                <w:color w:val="000000" w:themeColor="text1"/>
                <w:spacing w:val="-4"/>
                <w:highlight w:val="magenta"/>
                <w14:textFill>
                  <w14:solidFill>
                    <w14:schemeClr w14:val="tx1"/>
                  </w14:solidFill>
                </w14:textFill>
              </w:rPr>
              <w:t>300</w:t>
            </w:r>
          </w:p>
        </w:tc>
        <w:tc>
          <w:tcPr>
            <w:tcW w:w="1479" w:type="dxa"/>
          </w:tcPr>
          <w:p>
            <w:pPr>
              <w:pStyle w:val="391"/>
              <w:autoSpaceDE w:val="0"/>
              <w:autoSpaceDN w:val="0"/>
              <w:spacing w:before="174" w:line="183" w:lineRule="auto"/>
              <w:ind w:left="504"/>
              <w:rPr>
                <w:rFonts w:ascii="Times New Roman" w:hAnsi="Times New Roman" w:cs="Times New Roman" w:eastAsiaTheme="minorEastAsia"/>
                <w:b w:val="0"/>
                <w:bCs/>
                <w:color w:val="000000" w:themeColor="text1"/>
                <w:spacing w:val="-4"/>
                <w:highlight w:val="magenta"/>
                <w14:textFill>
                  <w14:solidFill>
                    <w14:schemeClr w14:val="tx1"/>
                  </w14:solidFill>
                </w14:textFill>
              </w:rPr>
            </w:pPr>
            <w:r>
              <w:rPr>
                <w:rFonts w:ascii="Times New Roman" w:hAnsi="Times New Roman" w:cs="Times New Roman" w:eastAsiaTheme="minorEastAsia"/>
                <w:b w:val="0"/>
                <w:bCs/>
                <w:color w:val="000000" w:themeColor="text1"/>
                <w:spacing w:val="-4"/>
                <w:highlight w:val="magenta"/>
                <w14:textFill>
                  <w14:solidFill>
                    <w14:schemeClr w14:val="tx1"/>
                  </w14:solidFill>
                </w14:textFill>
              </w:rPr>
              <w:t>500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6" w:line="220" w:lineRule="auto"/>
              <w:ind w:left="140"/>
              <w:rPr>
                <w:rFonts w:ascii="Times New Roman" w:hAnsi="Times New Roman" w:cs="Times New Roman" w:eastAsiaTheme="minorEastAsia"/>
                <w:b w:val="0"/>
                <w:bCs/>
                <w:color w:val="000000" w:themeColor="text1"/>
                <w:spacing w:val="-2"/>
                <w:highlight w:val="magenta"/>
                <w:lang w:eastAsia="zh-CN"/>
                <w14:textFill>
                  <w14:solidFill>
                    <w14:schemeClr w14:val="tx1"/>
                  </w14:solidFill>
                </w14:textFill>
              </w:rPr>
            </w:pPr>
            <w:r>
              <w:rPr>
                <w:rFonts w:ascii="Times New Roman" w:hAnsi="Times New Roman" w:cs="Times New Roman" w:eastAsiaTheme="minorEastAsia"/>
                <w:b w:val="0"/>
                <w:bCs/>
                <w:color w:val="000000" w:themeColor="text1"/>
                <w:spacing w:val="-2"/>
                <w:highlight w:val="magenta"/>
                <w:lang w:eastAsia="zh-CN"/>
                <w14:textFill>
                  <w14:solidFill>
                    <w14:schemeClr w14:val="tx1"/>
                  </w14:solidFill>
                </w14:textFill>
              </w:rPr>
              <w:t>不设缓和曲线最小半径</w:t>
            </w:r>
          </w:p>
        </w:tc>
        <w:tc>
          <w:tcPr>
            <w:tcW w:w="702" w:type="dxa"/>
          </w:tcPr>
          <w:p>
            <w:pPr>
              <w:pStyle w:val="391"/>
              <w:autoSpaceDE w:val="0"/>
              <w:autoSpaceDN w:val="0"/>
              <w:spacing w:before="137" w:line="241" w:lineRule="auto"/>
              <w:ind w:left="289"/>
              <w:rPr>
                <w:rFonts w:ascii="Times New Roman" w:hAnsi="Times New Roman" w:cs="Times New Roman" w:eastAsiaTheme="minorEastAsia"/>
                <w:b w:val="0"/>
                <w:bCs/>
                <w:color w:val="000000" w:themeColor="text1"/>
                <w:sz w:val="2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m</w:t>
            </w:r>
          </w:p>
        </w:tc>
        <w:tc>
          <w:tcPr>
            <w:tcW w:w="1181" w:type="dxa"/>
          </w:tcPr>
          <w:p>
            <w:pPr>
              <w:pStyle w:val="391"/>
              <w:autoSpaceDE w:val="0"/>
              <w:autoSpaceDN w:val="0"/>
              <w:spacing w:before="175" w:line="183" w:lineRule="auto"/>
              <w:ind w:left="420"/>
              <w:rPr>
                <w:rFonts w:ascii="Times New Roman" w:hAnsi="Times New Roman" w:cs="Times New Roman" w:eastAsiaTheme="minorEastAsia"/>
                <w:b w:val="0"/>
                <w:bCs/>
                <w:color w:val="000000" w:themeColor="text1"/>
                <w:spacing w:val="-4"/>
                <w:highlight w:val="magenta"/>
                <w14:textFill>
                  <w14:solidFill>
                    <w14:schemeClr w14:val="tx1"/>
                  </w14:solidFill>
                </w14:textFill>
              </w:rPr>
            </w:pPr>
            <w:r>
              <w:rPr>
                <w:rFonts w:ascii="Times New Roman" w:hAnsi="Times New Roman" w:cs="Times New Roman" w:eastAsiaTheme="minorEastAsia"/>
                <w:b w:val="0"/>
                <w:bCs/>
                <w:color w:val="000000" w:themeColor="text1"/>
                <w:spacing w:val="-4"/>
                <w:highlight w:val="magenta"/>
                <w14:textFill>
                  <w14:solidFill>
                    <w14:schemeClr w14:val="tx1"/>
                  </w14:solidFill>
                </w14:textFill>
              </w:rPr>
              <w:t>500</w:t>
            </w:r>
          </w:p>
        </w:tc>
        <w:tc>
          <w:tcPr>
            <w:tcW w:w="1479" w:type="dxa"/>
          </w:tcPr>
          <w:p>
            <w:pPr>
              <w:pStyle w:val="391"/>
              <w:autoSpaceDE w:val="0"/>
              <w:autoSpaceDN w:val="0"/>
              <w:spacing w:before="175" w:line="183" w:lineRule="auto"/>
              <w:ind w:left="504"/>
              <w:rPr>
                <w:rFonts w:ascii="Times New Roman" w:hAnsi="Times New Roman" w:cs="Times New Roman" w:eastAsiaTheme="minorEastAsia"/>
                <w:b w:val="0"/>
                <w:bCs/>
                <w:color w:val="000000" w:themeColor="text1"/>
                <w:spacing w:val="-4"/>
                <w:highlight w:val="magenta"/>
                <w14:textFill>
                  <w14:solidFill>
                    <w14:schemeClr w14:val="tx1"/>
                  </w14:solidFill>
                </w14:textFill>
              </w:rPr>
            </w:pPr>
            <w:r>
              <w:rPr>
                <w:rFonts w:ascii="Times New Roman" w:hAnsi="Times New Roman" w:cs="Times New Roman" w:eastAsiaTheme="minorEastAsia"/>
                <w:b w:val="0"/>
                <w:bCs/>
                <w:color w:val="000000" w:themeColor="text1"/>
                <w:spacing w:val="-4"/>
                <w:highlight w:val="magenta"/>
                <w14:textFill>
                  <w14:solidFill>
                    <w14:schemeClr w14:val="tx1"/>
                  </w14:solidFill>
                </w14:textFill>
              </w:rPr>
              <w:t>500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7" w:line="220" w:lineRule="auto"/>
              <w:ind w:left="516"/>
              <w:rPr>
                <w:rFonts w:ascii="Times New Roman" w:hAnsi="Times New Roman" w:cs="Times New Roman" w:eastAsiaTheme="minorEastAsia"/>
                <w:b w:val="0"/>
                <w:bCs/>
                <w:color w:val="000000" w:themeColor="text1"/>
                <w:spacing w:val="-2"/>
                <w:highlight w:val="magenta"/>
                <w14:textFill>
                  <w14:solidFill>
                    <w14:schemeClr w14:val="tx1"/>
                  </w14:solidFill>
                </w14:textFill>
              </w:rPr>
            </w:pPr>
            <w:r>
              <w:rPr>
                <w:rFonts w:ascii="Times New Roman" w:hAnsi="Times New Roman" w:cs="Times New Roman" w:eastAsiaTheme="minorEastAsia"/>
                <w:b w:val="0"/>
                <w:bCs/>
                <w:color w:val="000000" w:themeColor="text1"/>
                <w:spacing w:val="-4"/>
                <w:highlight w:val="magenta"/>
                <w14:textFill>
                  <w14:solidFill>
                    <w14:schemeClr w14:val="tx1"/>
                  </w14:solidFill>
                </w14:textFill>
              </w:rPr>
              <w:t>圆曲线最小长度</w:t>
            </w:r>
          </w:p>
        </w:tc>
        <w:tc>
          <w:tcPr>
            <w:tcW w:w="702" w:type="dxa"/>
          </w:tcPr>
          <w:p>
            <w:pPr>
              <w:pStyle w:val="391"/>
              <w:autoSpaceDE w:val="0"/>
              <w:autoSpaceDN w:val="0"/>
              <w:spacing w:before="137" w:line="241" w:lineRule="auto"/>
              <w:ind w:left="289"/>
              <w:rPr>
                <w:rFonts w:ascii="Times New Roman" w:hAnsi="Times New Roman" w:cs="Times New Roman" w:eastAsiaTheme="minorEastAsia"/>
                <w:b w:val="0"/>
                <w:bCs/>
                <w:color w:val="000000" w:themeColor="text1"/>
                <w:sz w:val="2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m</w:t>
            </w:r>
          </w:p>
        </w:tc>
        <w:tc>
          <w:tcPr>
            <w:tcW w:w="1181" w:type="dxa"/>
          </w:tcPr>
          <w:p>
            <w:pPr>
              <w:pStyle w:val="391"/>
              <w:autoSpaceDE w:val="0"/>
              <w:autoSpaceDN w:val="0"/>
              <w:spacing w:before="175" w:line="183" w:lineRule="auto"/>
              <w:ind w:left="480"/>
              <w:rPr>
                <w:rFonts w:ascii="Times New Roman" w:hAnsi="Times New Roman" w:cs="Times New Roman" w:eastAsiaTheme="minorEastAsia"/>
                <w:b w:val="0"/>
                <w:bCs/>
                <w:color w:val="000000" w:themeColor="text1"/>
                <w:spacing w:val="-4"/>
                <w:highlight w:val="magenta"/>
                <w14:textFill>
                  <w14:solidFill>
                    <w14:schemeClr w14:val="tx1"/>
                  </w14:solidFill>
                </w14:textFill>
              </w:rPr>
            </w:pPr>
            <w:r>
              <w:rPr>
                <w:rFonts w:ascii="Times New Roman" w:hAnsi="Times New Roman" w:cs="Times New Roman" w:eastAsiaTheme="minorEastAsia"/>
                <w:b w:val="0"/>
                <w:bCs/>
                <w:color w:val="000000" w:themeColor="text1"/>
                <w:spacing w:val="-8"/>
                <w:highlight w:val="magenta"/>
                <w14:textFill>
                  <w14:solidFill>
                    <w14:schemeClr w14:val="tx1"/>
                  </w14:solidFill>
                </w14:textFill>
              </w:rPr>
              <w:t>35</w:t>
            </w:r>
          </w:p>
        </w:tc>
        <w:tc>
          <w:tcPr>
            <w:tcW w:w="1479" w:type="dxa"/>
          </w:tcPr>
          <w:p>
            <w:pPr>
              <w:pStyle w:val="391"/>
              <w:autoSpaceDE w:val="0"/>
              <w:autoSpaceDN w:val="0"/>
              <w:spacing w:before="174" w:line="184" w:lineRule="auto"/>
              <w:ind w:left="337"/>
              <w:rPr>
                <w:rFonts w:ascii="Times New Roman" w:hAnsi="Times New Roman" w:cs="Times New Roman" w:eastAsiaTheme="minorEastAsia"/>
                <w:b w:val="0"/>
                <w:bCs/>
                <w:color w:val="000000" w:themeColor="text1"/>
                <w:spacing w:val="-4"/>
                <w:highlight w:val="magenta"/>
                <w14:textFill>
                  <w14:solidFill>
                    <w14:schemeClr w14:val="tx1"/>
                  </w14:solidFill>
                </w14:textFill>
              </w:rPr>
            </w:pPr>
            <w:r>
              <w:rPr>
                <w:rFonts w:ascii="Times New Roman" w:hAnsi="Times New Roman" w:cs="Times New Roman" w:eastAsiaTheme="minorEastAsia"/>
                <w:b w:val="0"/>
                <w:bCs/>
                <w:color w:val="000000" w:themeColor="text1"/>
                <w:spacing w:val="-5"/>
                <w:highlight w:val="magenta"/>
                <w14:textFill>
                  <w14:solidFill>
                    <w14:schemeClr w14:val="tx1"/>
                  </w14:solidFill>
                </w14:textFill>
              </w:rPr>
              <w:t>114.45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6" w:line="220" w:lineRule="auto"/>
              <w:ind w:left="273"/>
              <w:rPr>
                <w:rFonts w:ascii="Times New Roman" w:hAnsi="Times New Roman" w:cs="Times New Roman" w:eastAsiaTheme="minorEastAsia"/>
                <w:b w:val="0"/>
                <w:bCs/>
                <w:color w:val="000000" w:themeColor="text1"/>
                <w:spacing w:val="-2"/>
                <w:highlight w:val="magenta"/>
                <w14:textFill>
                  <w14:solidFill>
                    <w14:schemeClr w14:val="tx1"/>
                  </w14:solidFill>
                </w14:textFill>
              </w:rPr>
            </w:pPr>
            <w:r>
              <w:rPr>
                <w:rFonts w:hint="eastAsia" w:ascii="Times New Roman" w:hAnsi="Times New Roman" w:cs="Times New Roman" w:eastAsiaTheme="minorEastAsia"/>
                <w:b w:val="0"/>
                <w:bCs/>
                <w:color w:val="000000" w:themeColor="text1"/>
                <w:spacing w:val="-3"/>
                <w:highlight w:val="magenta"/>
                <w:lang w:eastAsia="zh-CN"/>
                <w14:textFill>
                  <w14:solidFill>
                    <w14:schemeClr w14:val="tx1"/>
                  </w14:solidFill>
                </w14:textFill>
              </w:rPr>
              <w:t>凹形</w:t>
            </w:r>
            <w:r>
              <w:rPr>
                <w:rFonts w:ascii="Times New Roman" w:hAnsi="Times New Roman" w:cs="Times New Roman" w:eastAsiaTheme="minorEastAsia"/>
                <w:b w:val="0"/>
                <w:bCs/>
                <w:color w:val="000000" w:themeColor="text1"/>
                <w:spacing w:val="-3"/>
                <w:highlight w:val="magenta"/>
                <w14:textFill>
                  <w14:solidFill>
                    <w14:schemeClr w14:val="tx1"/>
                  </w14:solidFill>
                </w14:textFill>
              </w:rPr>
              <w:t>竖曲线最小半径</w:t>
            </w:r>
          </w:p>
        </w:tc>
        <w:tc>
          <w:tcPr>
            <w:tcW w:w="702" w:type="dxa"/>
          </w:tcPr>
          <w:p>
            <w:pPr>
              <w:pStyle w:val="391"/>
              <w:autoSpaceDE w:val="0"/>
              <w:autoSpaceDN w:val="0"/>
              <w:spacing w:before="137" w:line="241" w:lineRule="auto"/>
              <w:ind w:left="289"/>
              <w:rPr>
                <w:rFonts w:ascii="Times New Roman" w:hAnsi="Times New Roman" w:cs="Times New Roman" w:eastAsiaTheme="minorEastAsia"/>
                <w:b w:val="0"/>
                <w:bCs/>
                <w:color w:val="000000" w:themeColor="text1"/>
                <w:sz w:val="2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m</w:t>
            </w:r>
          </w:p>
        </w:tc>
        <w:tc>
          <w:tcPr>
            <w:tcW w:w="1181" w:type="dxa"/>
          </w:tcPr>
          <w:p>
            <w:pPr>
              <w:pStyle w:val="391"/>
              <w:autoSpaceDE w:val="0"/>
              <w:autoSpaceDN w:val="0"/>
              <w:spacing w:before="175" w:line="183" w:lineRule="auto"/>
              <w:ind w:left="421"/>
              <w:rPr>
                <w:rFonts w:ascii="Times New Roman" w:hAnsi="Times New Roman" w:cs="Times New Roman" w:eastAsiaTheme="minorEastAsia"/>
                <w:b w:val="0"/>
                <w:bCs/>
                <w:color w:val="000000" w:themeColor="text1"/>
                <w:spacing w:val="-4"/>
                <w:highlight w:val="magenta"/>
                <w14:textFill>
                  <w14:solidFill>
                    <w14:schemeClr w14:val="tx1"/>
                  </w14:solidFill>
                </w14:textFill>
              </w:rPr>
            </w:pPr>
            <w:r>
              <w:rPr>
                <w:rFonts w:ascii="Times New Roman" w:hAnsi="Times New Roman" w:cs="Times New Roman" w:eastAsiaTheme="minorEastAsia"/>
                <w:b w:val="0"/>
                <w:bCs/>
                <w:color w:val="000000" w:themeColor="text1"/>
                <w:spacing w:val="-4"/>
                <w:highlight w:val="magenta"/>
                <w14:textFill>
                  <w14:solidFill>
                    <w14:schemeClr w14:val="tx1"/>
                  </w14:solidFill>
                </w14:textFill>
              </w:rPr>
              <w:t>700</w:t>
            </w:r>
          </w:p>
        </w:tc>
        <w:tc>
          <w:tcPr>
            <w:tcW w:w="1479" w:type="dxa"/>
          </w:tcPr>
          <w:p>
            <w:pPr>
              <w:pStyle w:val="391"/>
              <w:autoSpaceDE w:val="0"/>
              <w:autoSpaceDN w:val="0"/>
              <w:spacing w:before="175" w:line="183" w:lineRule="auto"/>
              <w:ind w:left="438"/>
              <w:rPr>
                <w:rFonts w:ascii="Times New Roman" w:hAnsi="Times New Roman" w:cs="Times New Roman" w:eastAsiaTheme="minorEastAsia"/>
                <w:b w:val="0"/>
                <w:bCs/>
                <w:color w:val="000000" w:themeColor="text1"/>
                <w:spacing w:val="-4"/>
                <w:highlight w:val="magenta"/>
                <w14:textFill>
                  <w14:solidFill>
                    <w14:schemeClr w14:val="tx1"/>
                  </w14:solidFill>
                </w14:textFill>
              </w:rPr>
            </w:pPr>
            <w:r>
              <w:rPr>
                <w:rFonts w:ascii="Times New Roman" w:hAnsi="Times New Roman" w:cs="Times New Roman" w:eastAsiaTheme="minorEastAsia"/>
                <w:b w:val="0"/>
                <w:bCs/>
                <w:color w:val="000000" w:themeColor="text1"/>
                <w:spacing w:val="-2"/>
                <w:highlight w:val="magenta"/>
                <w14:textFill>
                  <w14:solidFill>
                    <w14:schemeClr w14:val="tx1"/>
                  </w14:solidFill>
                </w14:textFill>
              </w:rPr>
              <w:t>4200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7" w:line="220" w:lineRule="auto"/>
              <w:ind w:left="277"/>
              <w:rPr>
                <w:rFonts w:ascii="Times New Roman" w:hAnsi="Times New Roman" w:cs="Times New Roman" w:eastAsiaTheme="minorEastAsia"/>
                <w:b w:val="0"/>
                <w:bCs/>
                <w:color w:val="000000" w:themeColor="text1"/>
                <w:spacing w:val="-2"/>
                <w:highlight w:val="magenta"/>
                <w14:textFill>
                  <w14:solidFill>
                    <w14:schemeClr w14:val="tx1"/>
                  </w14:solidFill>
                </w14:textFill>
              </w:rPr>
            </w:pPr>
            <w:r>
              <w:rPr>
                <w:rFonts w:hint="eastAsia" w:ascii="Times New Roman" w:hAnsi="Times New Roman" w:cs="Times New Roman" w:eastAsiaTheme="minorEastAsia"/>
                <w:b w:val="0"/>
                <w:bCs/>
                <w:color w:val="000000" w:themeColor="text1"/>
                <w:spacing w:val="-4"/>
                <w:highlight w:val="magenta"/>
                <w:lang w:eastAsia="zh-CN"/>
                <w14:textFill>
                  <w14:solidFill>
                    <w14:schemeClr w14:val="tx1"/>
                  </w14:solidFill>
                </w14:textFill>
              </w:rPr>
              <w:t>凸形</w:t>
            </w:r>
            <w:r>
              <w:rPr>
                <w:rFonts w:ascii="Times New Roman" w:hAnsi="Times New Roman" w:cs="Times New Roman" w:eastAsiaTheme="minorEastAsia"/>
                <w:b w:val="0"/>
                <w:bCs/>
                <w:color w:val="000000" w:themeColor="text1"/>
                <w:spacing w:val="-4"/>
                <w:highlight w:val="magenta"/>
                <w14:textFill>
                  <w14:solidFill>
                    <w14:schemeClr w14:val="tx1"/>
                  </w14:solidFill>
                </w14:textFill>
              </w:rPr>
              <w:t>竖曲线最小半径</w:t>
            </w:r>
          </w:p>
        </w:tc>
        <w:tc>
          <w:tcPr>
            <w:tcW w:w="702" w:type="dxa"/>
          </w:tcPr>
          <w:p>
            <w:pPr>
              <w:pStyle w:val="391"/>
              <w:autoSpaceDE w:val="0"/>
              <w:autoSpaceDN w:val="0"/>
              <w:spacing w:before="138" w:line="241" w:lineRule="auto"/>
              <w:ind w:left="289"/>
              <w:rPr>
                <w:rFonts w:ascii="Times New Roman" w:hAnsi="Times New Roman" w:cs="Times New Roman" w:eastAsiaTheme="minorEastAsia"/>
                <w:b w:val="0"/>
                <w:bCs/>
                <w:color w:val="000000" w:themeColor="text1"/>
                <w:sz w:val="2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m</w:t>
            </w:r>
          </w:p>
        </w:tc>
        <w:tc>
          <w:tcPr>
            <w:tcW w:w="1181" w:type="dxa"/>
          </w:tcPr>
          <w:p>
            <w:pPr>
              <w:pStyle w:val="391"/>
              <w:autoSpaceDE w:val="0"/>
              <w:autoSpaceDN w:val="0"/>
              <w:spacing w:before="176" w:line="183" w:lineRule="auto"/>
              <w:ind w:left="417"/>
              <w:rPr>
                <w:rFonts w:ascii="Times New Roman" w:hAnsi="Times New Roman" w:cs="Times New Roman" w:eastAsiaTheme="minorEastAsia"/>
                <w:b w:val="0"/>
                <w:bCs/>
                <w:color w:val="000000" w:themeColor="text1"/>
                <w:spacing w:val="-4"/>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600</w:t>
            </w:r>
          </w:p>
        </w:tc>
        <w:tc>
          <w:tcPr>
            <w:tcW w:w="1479" w:type="dxa"/>
          </w:tcPr>
          <w:p>
            <w:pPr>
              <w:pStyle w:val="391"/>
              <w:autoSpaceDE w:val="0"/>
              <w:autoSpaceDN w:val="0"/>
              <w:spacing w:before="176" w:line="183" w:lineRule="auto"/>
              <w:ind w:left="442"/>
              <w:rPr>
                <w:rFonts w:ascii="Times New Roman" w:hAnsi="Times New Roman" w:cs="Times New Roman" w:eastAsiaTheme="minorEastAsia"/>
                <w:b w:val="0"/>
                <w:bCs/>
                <w:color w:val="000000" w:themeColor="text1"/>
                <w:spacing w:val="-4"/>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2000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8" w:line="220" w:lineRule="auto"/>
              <w:ind w:left="859"/>
              <w:rPr>
                <w:rFonts w:ascii="Times New Roman" w:hAnsi="Times New Roman" w:cs="Times New Roman" w:eastAsiaTheme="minorEastAsia"/>
                <w:b w:val="0"/>
                <w:bCs/>
                <w:color w:val="000000" w:themeColor="text1"/>
                <w:spacing w:val="-2"/>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最大纵坡</w:t>
            </w:r>
          </w:p>
        </w:tc>
        <w:tc>
          <w:tcPr>
            <w:tcW w:w="702" w:type="dxa"/>
          </w:tcPr>
          <w:p>
            <w:pPr>
              <w:pStyle w:val="391"/>
              <w:autoSpaceDE w:val="0"/>
              <w:autoSpaceDN w:val="0"/>
              <w:spacing w:before="138"/>
              <w:ind w:left="289"/>
              <w:rPr>
                <w:rFonts w:ascii="Times New Roman" w:hAnsi="Times New Roman" w:cs="Times New Roman" w:eastAsiaTheme="minorEastAsia"/>
                <w:b w:val="0"/>
                <w:bCs/>
                <w:color w:val="000000" w:themeColor="text1"/>
                <w:sz w:val="2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w:t>
            </w:r>
          </w:p>
        </w:tc>
        <w:tc>
          <w:tcPr>
            <w:tcW w:w="1181" w:type="dxa"/>
          </w:tcPr>
          <w:p>
            <w:pPr>
              <w:pStyle w:val="391"/>
              <w:autoSpaceDE w:val="0"/>
              <w:autoSpaceDN w:val="0"/>
              <w:spacing w:before="176" w:line="183" w:lineRule="auto"/>
              <w:ind w:left="537"/>
              <w:rPr>
                <w:rFonts w:ascii="Times New Roman" w:hAnsi="Times New Roman" w:cs="Times New Roman" w:eastAsiaTheme="minorEastAsia"/>
                <w:b w:val="0"/>
                <w:bCs/>
                <w:color w:val="000000" w:themeColor="text1"/>
                <w:spacing w:val="-4"/>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6</w:t>
            </w:r>
          </w:p>
        </w:tc>
        <w:tc>
          <w:tcPr>
            <w:tcW w:w="1479" w:type="dxa"/>
          </w:tcPr>
          <w:p>
            <w:pPr>
              <w:pStyle w:val="391"/>
              <w:autoSpaceDE w:val="0"/>
              <w:autoSpaceDN w:val="0"/>
              <w:spacing w:before="176" w:line="183" w:lineRule="auto"/>
              <w:ind w:left="502"/>
              <w:rPr>
                <w:rFonts w:ascii="Times New Roman" w:hAnsi="Times New Roman" w:cs="Times New Roman" w:eastAsiaTheme="minorEastAsia"/>
                <w:b w:val="0"/>
                <w:bCs/>
                <w:color w:val="000000" w:themeColor="text1"/>
                <w:spacing w:val="-4"/>
                <w:highlight w:val="magenta"/>
                <w14:textFill>
                  <w14:solidFill>
                    <w14:schemeClr w14:val="tx1"/>
                  </w14:solidFill>
                </w14:textFill>
              </w:rPr>
            </w:pPr>
            <w:r>
              <w:rPr>
                <w:rFonts w:ascii="Times New Roman" w:hAnsi="Times New Roman" w:cs="Times New Roman" w:eastAsiaTheme="minorEastAsia"/>
                <w:b w:val="0"/>
                <w:bCs/>
                <w:color w:val="000000" w:themeColor="text1"/>
                <w:spacing w:val="-5"/>
                <w:highlight w:val="magenta"/>
                <w14:textFill>
                  <w14:solidFill>
                    <w14:schemeClr w14:val="tx1"/>
                  </w14:solidFill>
                </w14:textFill>
              </w:rPr>
              <w:t>2.5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7" w:line="220" w:lineRule="auto"/>
              <w:ind w:left="859"/>
              <w:rPr>
                <w:rFonts w:ascii="Times New Roman" w:hAnsi="Times New Roman" w:cs="Times New Roman" w:eastAsiaTheme="minorEastAsia"/>
                <w:b w:val="0"/>
                <w:bCs/>
                <w:color w:val="000000" w:themeColor="text1"/>
                <w:spacing w:val="-2"/>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最小坡长</w:t>
            </w:r>
          </w:p>
        </w:tc>
        <w:tc>
          <w:tcPr>
            <w:tcW w:w="702" w:type="dxa"/>
          </w:tcPr>
          <w:p>
            <w:pPr>
              <w:pStyle w:val="391"/>
              <w:autoSpaceDE w:val="0"/>
              <w:autoSpaceDN w:val="0"/>
              <w:spacing w:before="138" w:line="241" w:lineRule="auto"/>
              <w:ind w:left="289"/>
              <w:rPr>
                <w:rFonts w:ascii="Times New Roman" w:hAnsi="Times New Roman" w:cs="Times New Roman" w:eastAsiaTheme="minorEastAsia"/>
                <w:b w:val="0"/>
                <w:bCs/>
                <w:color w:val="000000" w:themeColor="text1"/>
                <w:sz w:val="21"/>
                <w:highlight w:val="magenta"/>
                <w14:textFill>
                  <w14:solidFill>
                    <w14:schemeClr w14:val="tx1"/>
                  </w14:solidFill>
                </w14:textFill>
              </w:rPr>
            </w:pPr>
            <w:r>
              <w:rPr>
                <w:rFonts w:ascii="Times New Roman" w:hAnsi="Times New Roman" w:cs="Times New Roman" w:eastAsiaTheme="minorEastAsia"/>
                <w:b w:val="0"/>
                <w:bCs/>
                <w:color w:val="000000" w:themeColor="text1"/>
                <w:highlight w:val="magenta"/>
                <w14:textFill>
                  <w14:solidFill>
                    <w14:schemeClr w14:val="tx1"/>
                  </w14:solidFill>
                </w14:textFill>
              </w:rPr>
              <w:t>m</w:t>
            </w:r>
          </w:p>
        </w:tc>
        <w:tc>
          <w:tcPr>
            <w:tcW w:w="1181" w:type="dxa"/>
          </w:tcPr>
          <w:p>
            <w:pPr>
              <w:pStyle w:val="391"/>
              <w:autoSpaceDE w:val="0"/>
              <w:autoSpaceDN w:val="0"/>
              <w:spacing w:before="175" w:line="184" w:lineRule="auto"/>
              <w:ind w:left="433"/>
              <w:rPr>
                <w:rFonts w:ascii="Times New Roman" w:hAnsi="Times New Roman" w:cs="Times New Roman" w:eastAsiaTheme="minorEastAsia"/>
                <w:b w:val="0"/>
                <w:bCs/>
                <w:color w:val="000000" w:themeColor="text1"/>
                <w:spacing w:val="-4"/>
                <w:highlight w:val="magenta"/>
                <w14:textFill>
                  <w14:solidFill>
                    <w14:schemeClr w14:val="tx1"/>
                  </w14:solidFill>
                </w14:textFill>
              </w:rPr>
            </w:pPr>
            <w:r>
              <w:rPr>
                <w:rFonts w:ascii="Times New Roman" w:hAnsi="Times New Roman" w:cs="Times New Roman" w:eastAsiaTheme="minorEastAsia"/>
                <w:b w:val="0"/>
                <w:bCs/>
                <w:color w:val="000000" w:themeColor="text1"/>
                <w:spacing w:val="-7"/>
                <w:highlight w:val="magenta"/>
                <w14:textFill>
                  <w14:solidFill>
                    <w14:schemeClr w14:val="tx1"/>
                  </w14:solidFill>
                </w14:textFill>
              </w:rPr>
              <w:t>110</w:t>
            </w:r>
          </w:p>
        </w:tc>
        <w:tc>
          <w:tcPr>
            <w:tcW w:w="1479" w:type="dxa"/>
          </w:tcPr>
          <w:p>
            <w:pPr>
              <w:pStyle w:val="391"/>
              <w:autoSpaceDE w:val="0"/>
              <w:autoSpaceDN w:val="0"/>
              <w:spacing w:before="175" w:line="184" w:lineRule="auto"/>
              <w:ind w:left="517"/>
              <w:rPr>
                <w:rFonts w:ascii="Times New Roman" w:hAnsi="Times New Roman" w:cs="Times New Roman" w:eastAsiaTheme="minorEastAsia"/>
                <w:b w:val="0"/>
                <w:bCs/>
                <w:color w:val="000000" w:themeColor="text1"/>
                <w:spacing w:val="-4"/>
                <w:highlight w:val="magenta"/>
                <w14:textFill>
                  <w14:solidFill>
                    <w14:schemeClr w14:val="tx1"/>
                  </w14:solidFill>
                </w14:textFill>
              </w:rPr>
            </w:pPr>
            <w:r>
              <w:rPr>
                <w:rFonts w:ascii="Times New Roman" w:hAnsi="Times New Roman" w:cs="Times New Roman" w:eastAsiaTheme="minorEastAsia"/>
                <w:b w:val="0"/>
                <w:bCs/>
                <w:color w:val="000000" w:themeColor="text1"/>
                <w:spacing w:val="-7"/>
                <w:highlight w:val="magenta"/>
                <w14:textFill>
                  <w14:solidFill>
                    <w14:schemeClr w14:val="tx1"/>
                  </w14:solidFill>
                </w14:textFill>
              </w:rPr>
              <w:t>130</w:t>
            </w:r>
          </w:p>
        </w:tc>
      </w:tr>
    </w:tbl>
    <w:p>
      <w:pPr>
        <w:pStyle w:val="4"/>
        <w:ind w:firstLine="482" w:firstLineChars="200"/>
        <w:rPr>
          <w:highlight w:val="magenta"/>
        </w:rPr>
      </w:pPr>
      <w:bookmarkStart w:id="39" w:name="_Toc25419"/>
      <w:r>
        <w:rPr>
          <w:rFonts w:hint="eastAsia"/>
          <w:highlight w:val="magenta"/>
        </w:rPr>
        <w:t>总体方案</w:t>
      </w:r>
      <w:bookmarkEnd w:id="38"/>
      <w:bookmarkEnd w:id="39"/>
    </w:p>
    <w:p>
      <w:pPr>
        <w:spacing w:line="300" w:lineRule="auto"/>
        <w:ind w:firstLine="480" w:firstLineChars="200"/>
        <w:jc w:val="left"/>
        <w:rPr>
          <w:rFonts w:ascii="Times New Roman" w:hAnsi="Times New Roman"/>
          <w:b w:val="0"/>
          <w:color w:val="000000" w:themeColor="text1"/>
          <w:sz w:val="24"/>
          <w:szCs w:val="24"/>
          <w:highlight w:val="magenta"/>
          <w:lang w:val="zh-CN"/>
          <w14:textFill>
            <w14:solidFill>
              <w14:schemeClr w14:val="tx1"/>
            </w14:solidFill>
          </w14:textFill>
        </w:rPr>
      </w:pPr>
      <w:r>
        <w:rPr>
          <w:rFonts w:ascii="Times New Roman" w:hAnsi="Times New Roman"/>
          <w:b w:val="0"/>
          <w:color w:val="000000" w:themeColor="text1"/>
          <w:sz w:val="24"/>
          <w:szCs w:val="24"/>
          <w:highlight w:val="magenta"/>
          <w:lang w:val="zh-CN"/>
          <w14:textFill>
            <w14:solidFill>
              <w14:schemeClr w14:val="tx1"/>
            </w14:solidFill>
          </w14:textFill>
        </w:rPr>
        <w:t>1、道路工程</w:t>
      </w:r>
    </w:p>
    <w:p>
      <w:pPr>
        <w:spacing w:line="300" w:lineRule="auto"/>
        <w:ind w:firstLine="480" w:firstLineChars="200"/>
        <w:jc w:val="left"/>
        <w:rPr>
          <w:rFonts w:ascii="Times New Roman" w:hAnsi="Times New Roman"/>
          <w:b w:val="0"/>
          <w:color w:val="000000" w:themeColor="text1"/>
          <w:sz w:val="24"/>
          <w:szCs w:val="24"/>
          <w:highlight w:val="magenta"/>
          <w:lang w:val="zh-CN"/>
          <w14:textFill>
            <w14:solidFill>
              <w14:schemeClr w14:val="tx1"/>
            </w14:solidFill>
          </w14:textFill>
        </w:rPr>
      </w:pPr>
      <w:r>
        <w:rPr>
          <w:rFonts w:ascii="Times New Roman" w:hAnsi="Times New Roman"/>
          <w:b w:val="0"/>
          <w:color w:val="000000" w:themeColor="text1"/>
          <w:sz w:val="24"/>
          <w:szCs w:val="24"/>
          <w:highlight w:val="magenta"/>
          <w:lang w:val="zh-CN"/>
          <w14:textFill>
            <w14:solidFill>
              <w14:schemeClr w14:val="tx1"/>
            </w14:solidFill>
          </w14:textFill>
        </w:rPr>
        <w:t>（1）总体方案</w:t>
      </w:r>
    </w:p>
    <w:p>
      <w:pPr>
        <w:spacing w:line="288" w:lineRule="auto"/>
        <w:ind w:firstLine="480" w:firstLineChars="200"/>
        <w:jc w:val="left"/>
        <w:rPr>
          <w:rFonts w:ascii="Times New Roman" w:hAnsi="Times New Roman"/>
          <w:b w:val="0"/>
          <w:color w:val="auto"/>
          <w:sz w:val="24"/>
          <w:szCs w:val="24"/>
          <w:highlight w:val="green"/>
        </w:rPr>
      </w:pPr>
      <w:r>
        <w:rPr>
          <w:rFonts w:ascii="Times New Roman" w:hAnsi="Times New Roman"/>
          <w:b w:val="0"/>
          <w:color w:val="auto"/>
          <w:sz w:val="24"/>
          <w:szCs w:val="24"/>
          <w:highlight w:val="green"/>
        </w:rPr>
        <w:t>本项目包含</w:t>
      </w:r>
      <w:r>
        <w:rPr>
          <w:rFonts w:hint="eastAsia" w:ascii="Times New Roman" w:hAnsi="Times New Roman"/>
          <w:b w:val="0"/>
          <w:color w:val="auto"/>
          <w:sz w:val="24"/>
          <w:szCs w:val="24"/>
          <w:highlight w:val="green"/>
        </w:rPr>
        <w:t>2</w:t>
      </w:r>
      <w:r>
        <w:rPr>
          <w:rFonts w:ascii="Times New Roman" w:hAnsi="Times New Roman"/>
          <w:b w:val="0"/>
          <w:color w:val="auto"/>
          <w:sz w:val="24"/>
          <w:szCs w:val="24"/>
          <w:highlight w:val="green"/>
        </w:rPr>
        <w:t>条新建市政道路，</w:t>
      </w:r>
      <w:r>
        <w:rPr>
          <w:rFonts w:hint="eastAsia" w:ascii="Times New Roman" w:hAnsi="Times New Roman"/>
          <w:b w:val="0"/>
          <w:color w:val="auto"/>
          <w:sz w:val="24"/>
          <w:szCs w:val="24"/>
          <w:highlight w:val="green"/>
        </w:rPr>
        <w:t>2座新建跨涌桥。路线总长度约3337米，其中道路总长度约3142米，桥梁总长度约195米。</w:t>
      </w:r>
      <w:r>
        <w:rPr>
          <w:rFonts w:ascii="Times New Roman" w:hAnsi="Times New Roman"/>
          <w:b w:val="0"/>
          <w:color w:val="auto"/>
          <w:sz w:val="24"/>
          <w:szCs w:val="24"/>
          <w:highlight w:val="green"/>
        </w:rPr>
        <w:t>其中城市主干路</w:t>
      </w:r>
      <w:r>
        <w:rPr>
          <w:rFonts w:hint="eastAsia" w:ascii="Times New Roman" w:hAnsi="Times New Roman"/>
          <w:b w:val="0"/>
          <w:color w:val="auto"/>
          <w:sz w:val="24"/>
          <w:szCs w:val="24"/>
          <w:highlight w:val="green"/>
        </w:rPr>
        <w:t>1</w:t>
      </w:r>
      <w:r>
        <w:rPr>
          <w:rFonts w:ascii="Times New Roman" w:hAnsi="Times New Roman"/>
          <w:b w:val="0"/>
          <w:color w:val="auto"/>
          <w:sz w:val="24"/>
          <w:szCs w:val="24"/>
          <w:highlight w:val="green"/>
        </w:rPr>
        <w:t>条，设计速度60km/h，为二十涌北路，</w:t>
      </w:r>
      <w:r>
        <w:rPr>
          <w:rFonts w:hint="eastAsia" w:ascii="Times New Roman" w:hAnsi="Times New Roman"/>
          <w:b w:val="0"/>
          <w:color w:val="auto"/>
          <w:sz w:val="24"/>
          <w:szCs w:val="24"/>
          <w:highlight w:val="green"/>
        </w:rPr>
        <w:t>规划双向六车道，道路红线宽度50m，</w:t>
      </w:r>
      <w:r>
        <w:rPr>
          <w:rFonts w:ascii="Times New Roman" w:hAnsi="Times New Roman"/>
          <w:b w:val="0"/>
          <w:color w:val="auto"/>
          <w:sz w:val="24"/>
          <w:szCs w:val="24"/>
          <w:highlight w:val="green"/>
        </w:rPr>
        <w:t>全长约</w:t>
      </w:r>
      <w:r>
        <w:rPr>
          <w:rFonts w:hint="eastAsia" w:ascii="Times New Roman" w:hAnsi="Times New Roman"/>
          <w:b w:val="0"/>
          <w:color w:val="auto"/>
          <w:sz w:val="24"/>
          <w:szCs w:val="24"/>
          <w:highlight w:val="green"/>
        </w:rPr>
        <w:t>1852</w:t>
      </w:r>
      <w:r>
        <w:rPr>
          <w:rFonts w:ascii="Times New Roman" w:hAnsi="Times New Roman"/>
          <w:b w:val="0"/>
          <w:color w:val="auto"/>
          <w:sz w:val="24"/>
          <w:szCs w:val="24"/>
          <w:highlight w:val="green"/>
        </w:rPr>
        <w:t>m</w:t>
      </w:r>
      <w:r>
        <w:rPr>
          <w:rFonts w:hint="eastAsia" w:ascii="Times New Roman" w:hAnsi="Times New Roman"/>
          <w:b w:val="0"/>
          <w:color w:val="auto"/>
          <w:sz w:val="24"/>
          <w:szCs w:val="24"/>
          <w:highlight w:val="green"/>
        </w:rPr>
        <w:t>，含一座</w:t>
      </w:r>
      <w:r>
        <w:rPr>
          <w:rFonts w:hint="eastAsia" w:ascii="Times New Roman" w:hAnsi="Times New Roman"/>
          <w:b w:val="0"/>
          <w:color w:val="000000" w:themeColor="text1"/>
          <w:sz w:val="24"/>
          <w:szCs w:val="24"/>
          <w:highlight w:val="green"/>
          <w14:textFill>
            <w14:solidFill>
              <w14:schemeClr w14:val="tx1"/>
            </w14:solidFill>
          </w14:textFill>
        </w:rPr>
        <w:t>跨涌连接桥</w:t>
      </w:r>
      <w:r>
        <w:rPr>
          <w:rFonts w:ascii="Times New Roman" w:hAnsi="Times New Roman"/>
          <w:b w:val="0"/>
          <w:color w:val="auto"/>
          <w:sz w:val="24"/>
          <w:szCs w:val="24"/>
          <w:highlight w:val="green"/>
        </w:rPr>
        <w:t>；城市次干路</w:t>
      </w:r>
      <w:r>
        <w:rPr>
          <w:rFonts w:hint="eastAsia" w:ascii="Times New Roman" w:hAnsi="Times New Roman"/>
          <w:b w:val="0"/>
          <w:color w:val="auto"/>
          <w:sz w:val="24"/>
          <w:szCs w:val="24"/>
          <w:highlight w:val="green"/>
        </w:rPr>
        <w:t>1</w:t>
      </w:r>
      <w:r>
        <w:rPr>
          <w:rFonts w:ascii="Times New Roman" w:hAnsi="Times New Roman"/>
          <w:b w:val="0"/>
          <w:color w:val="auto"/>
          <w:sz w:val="24"/>
          <w:szCs w:val="24"/>
          <w:highlight w:val="green"/>
        </w:rPr>
        <w:t>条，设计速度40km/h，分别为规划纵三路，，</w:t>
      </w:r>
      <w:r>
        <w:rPr>
          <w:rFonts w:hint="eastAsia" w:ascii="Times New Roman" w:hAnsi="Times New Roman"/>
          <w:b w:val="0"/>
          <w:color w:val="auto"/>
          <w:sz w:val="24"/>
          <w:szCs w:val="24"/>
          <w:highlight w:val="green"/>
        </w:rPr>
        <w:t>规划双向六车道，道路红线宽度34m，</w:t>
      </w:r>
      <w:r>
        <w:rPr>
          <w:rFonts w:ascii="Times New Roman" w:hAnsi="Times New Roman"/>
          <w:b w:val="0"/>
          <w:color w:val="auto"/>
          <w:sz w:val="24"/>
          <w:szCs w:val="24"/>
          <w:highlight w:val="green"/>
        </w:rPr>
        <w:t>次干路全长约</w:t>
      </w:r>
      <w:r>
        <w:rPr>
          <w:rFonts w:hint="eastAsia" w:ascii="Times New Roman" w:hAnsi="Times New Roman"/>
          <w:b w:val="0"/>
          <w:color w:val="auto"/>
          <w:sz w:val="24"/>
          <w:szCs w:val="24"/>
          <w:highlight w:val="green"/>
        </w:rPr>
        <w:t>1485</w:t>
      </w:r>
      <w:r>
        <w:rPr>
          <w:rFonts w:ascii="Times New Roman" w:hAnsi="Times New Roman"/>
          <w:b w:val="0"/>
          <w:color w:val="auto"/>
          <w:sz w:val="24"/>
          <w:szCs w:val="24"/>
          <w:highlight w:val="green"/>
        </w:rPr>
        <w:t>m</w:t>
      </w:r>
      <w:r>
        <w:rPr>
          <w:rFonts w:hint="eastAsia" w:ascii="Times New Roman" w:hAnsi="Times New Roman"/>
          <w:b w:val="0"/>
          <w:color w:val="auto"/>
          <w:sz w:val="24"/>
          <w:szCs w:val="24"/>
          <w:highlight w:val="green"/>
        </w:rPr>
        <w:t>，</w:t>
      </w:r>
      <w:r>
        <w:rPr>
          <w:rFonts w:ascii="Times New Roman" w:hAnsi="Times New Roman"/>
          <w:b w:val="0"/>
          <w:color w:val="auto"/>
          <w:sz w:val="24"/>
          <w:szCs w:val="24"/>
          <w:highlight w:val="green"/>
        </w:rPr>
        <w:t>新建桥涵</w:t>
      </w:r>
      <w:r>
        <w:rPr>
          <w:rFonts w:hint="eastAsia" w:ascii="Times New Roman" w:hAnsi="Times New Roman"/>
          <w:b w:val="0"/>
          <w:color w:val="auto"/>
          <w:sz w:val="24"/>
          <w:szCs w:val="24"/>
          <w:highlight w:val="green"/>
        </w:rPr>
        <w:t>1</w:t>
      </w:r>
      <w:r>
        <w:rPr>
          <w:rFonts w:ascii="Times New Roman" w:hAnsi="Times New Roman"/>
          <w:b w:val="0"/>
          <w:color w:val="auto"/>
          <w:sz w:val="24"/>
          <w:szCs w:val="24"/>
          <w:highlight w:val="green"/>
        </w:rPr>
        <w:t>座，涵洞1座。</w:t>
      </w:r>
    </w:p>
    <w:p>
      <w:pPr>
        <w:spacing w:line="300" w:lineRule="auto"/>
        <w:ind w:firstLine="480" w:firstLineChars="200"/>
        <w:rPr>
          <w:rFonts w:ascii="Times New Roman" w:hAnsi="Times New Roman"/>
          <w:b w:val="0"/>
          <w:color w:val="000000" w:themeColor="text1"/>
          <w:sz w:val="24"/>
          <w:szCs w:val="24"/>
          <w:highlight w:val="magenta"/>
          <w14:textFill>
            <w14:solidFill>
              <w14:schemeClr w14:val="tx1"/>
            </w14:solidFill>
          </w14:textFill>
        </w:rPr>
      </w:pPr>
      <w:r>
        <w:rPr>
          <w:rFonts w:ascii="Times New Roman" w:hAnsi="Times New Roman"/>
          <w:b w:val="0"/>
          <w:color w:val="000000" w:themeColor="text1"/>
          <w:sz w:val="24"/>
          <w:szCs w:val="24"/>
          <w:highlight w:val="magenta"/>
          <w14:textFill>
            <w14:solidFill>
              <w14:schemeClr w14:val="tx1"/>
            </w14:solidFill>
          </w14:textFill>
        </w:rPr>
        <w:t>（2）道路横断面</w:t>
      </w:r>
    </w:p>
    <w:p>
      <w:pPr>
        <w:spacing w:line="300" w:lineRule="auto"/>
        <w:ind w:firstLine="480" w:firstLineChars="200"/>
        <w:jc w:val="left"/>
        <w:rPr>
          <w:rFonts w:ascii="Times New Roman" w:hAnsi="Times New Roman"/>
          <w:b w:val="0"/>
          <w:color w:val="000000" w:themeColor="text1"/>
          <w:sz w:val="24"/>
          <w:szCs w:val="24"/>
          <w:highlight w:val="magenta"/>
          <w14:textFill>
            <w14:solidFill>
              <w14:schemeClr w14:val="tx1"/>
            </w14:solidFill>
          </w14:textFill>
        </w:rPr>
      </w:pPr>
      <w:r>
        <w:rPr>
          <w:rFonts w:hint="eastAsia" w:ascii="Times New Roman" w:hAnsi="Times New Roman"/>
          <w:b w:val="0"/>
          <w:color w:val="000000" w:themeColor="text1"/>
          <w:sz w:val="24"/>
          <w:szCs w:val="24"/>
          <w:highlight w:val="magenta"/>
          <w14:textFill>
            <w14:solidFill>
              <w14:schemeClr w14:val="tx1"/>
            </w14:solidFill>
          </w14:textFill>
        </w:rPr>
        <w:t>1、</w:t>
      </w:r>
      <w:r>
        <w:rPr>
          <w:rFonts w:ascii="Times New Roman" w:hAnsi="Times New Roman"/>
          <w:b w:val="0"/>
          <w:color w:val="000000" w:themeColor="text1"/>
          <w:sz w:val="24"/>
          <w:szCs w:val="24"/>
          <w:highlight w:val="magenta"/>
          <w14:textFill>
            <w14:solidFill>
              <w14:schemeClr w14:val="tx1"/>
            </w14:solidFill>
          </w14:textFill>
        </w:rPr>
        <w:t>50m断面推荐方案（适用于二十涌北路）：双向6车道，行车道与非机动车不共板。</w:t>
      </w:r>
    </w:p>
    <w:p>
      <w:pPr>
        <w:spacing w:line="300" w:lineRule="auto"/>
        <w:ind w:firstLine="480" w:firstLineChars="200"/>
        <w:jc w:val="left"/>
        <w:rPr>
          <w:rFonts w:ascii="Times New Roman" w:hAnsi="Times New Roman"/>
          <w:b w:val="0"/>
          <w:color w:val="000000" w:themeColor="text1"/>
          <w:sz w:val="24"/>
          <w:szCs w:val="24"/>
          <w:highlight w:val="magenta"/>
          <w14:textFill>
            <w14:solidFill>
              <w14:schemeClr w14:val="tx1"/>
            </w14:solidFill>
          </w14:textFill>
        </w:rPr>
      </w:pPr>
      <w:r>
        <w:rPr>
          <w:rFonts w:ascii="Times New Roman" w:hAnsi="Times New Roman"/>
          <w:b w:val="0"/>
          <w:color w:val="000000" w:themeColor="text1"/>
          <w:sz w:val="24"/>
          <w:szCs w:val="24"/>
          <w:highlight w:val="magenta"/>
          <w14:textFill>
            <w14:solidFill>
              <w14:schemeClr w14:val="tx1"/>
            </w14:solidFill>
          </w14:textFill>
        </w:rPr>
        <w:t>标准横断面(50m)布置如下：3.75m(人行道)+1.5m（树穴）+4.5m（非机动车道）+2m(侧绿化带)+11.25m(机动车道)+4m(中央绿化带)＋11.25m(机动车道)+2m(侧绿化带)+4.5m（非机动车道）</w:t>
      </w:r>
    </w:p>
    <w:p>
      <w:pPr>
        <w:spacing w:line="300" w:lineRule="auto"/>
        <w:ind w:firstLine="480" w:firstLineChars="200"/>
        <w:jc w:val="left"/>
        <w:rPr>
          <w:rFonts w:ascii="Times New Roman" w:hAnsi="Times New Roman"/>
          <w:b w:val="0"/>
          <w:color w:val="000000" w:themeColor="text1"/>
          <w:sz w:val="24"/>
          <w:szCs w:val="24"/>
          <w:highlight w:val="magenta"/>
          <w14:textFill>
            <w14:solidFill>
              <w14:schemeClr w14:val="tx1"/>
            </w14:solidFill>
          </w14:textFill>
        </w:rPr>
      </w:pPr>
      <w:r>
        <w:rPr>
          <w:rFonts w:ascii="Times New Roman" w:hAnsi="Times New Roman"/>
          <w:b w:val="0"/>
          <w:color w:val="000000" w:themeColor="text1"/>
          <w:sz w:val="24"/>
          <w:szCs w:val="24"/>
          <w:highlight w:val="magenta"/>
          <w14:textFill>
            <w14:solidFill>
              <w14:schemeClr w14:val="tx1"/>
            </w14:solidFill>
          </w14:textFill>
        </w:rPr>
        <w:t>+1.5m（树穴）+3.75m(人行道)=50m</w:t>
      </w:r>
    </w:p>
    <w:p>
      <w:pPr>
        <w:spacing w:line="300" w:lineRule="auto"/>
        <w:ind w:firstLine="480" w:firstLineChars="200"/>
        <w:jc w:val="left"/>
        <w:rPr>
          <w:rFonts w:ascii="Times New Roman" w:hAnsi="Times New Roman"/>
          <w:b w:val="0"/>
          <w:color w:val="000000" w:themeColor="text1"/>
          <w:sz w:val="24"/>
          <w:szCs w:val="24"/>
          <w:highlight w:val="magenta"/>
          <w14:textFill>
            <w14:solidFill>
              <w14:schemeClr w14:val="tx1"/>
            </w14:solidFill>
          </w14:textFill>
        </w:rPr>
      </w:pPr>
      <w:r>
        <w:rPr>
          <w:rFonts w:hint="eastAsia" w:ascii="Times New Roman" w:hAnsi="Times New Roman"/>
          <w:b w:val="0"/>
          <w:color w:val="000000" w:themeColor="text1"/>
          <w:sz w:val="24"/>
          <w:szCs w:val="24"/>
          <w:highlight w:val="magenta"/>
          <w14:textFill>
            <w14:solidFill>
              <w14:schemeClr w14:val="tx1"/>
            </w14:solidFill>
          </w14:textFill>
        </w:rPr>
        <w:t>2、</w:t>
      </w:r>
      <w:r>
        <w:rPr>
          <w:rFonts w:ascii="Times New Roman" w:hAnsi="Times New Roman"/>
          <w:b w:val="0"/>
          <w:color w:val="000000" w:themeColor="text1"/>
          <w:sz w:val="24"/>
          <w:szCs w:val="24"/>
          <w:highlight w:val="magenta"/>
          <w14:textFill>
            <w14:solidFill>
              <w14:schemeClr w14:val="tx1"/>
            </w14:solidFill>
          </w14:textFill>
        </w:rPr>
        <w:t>34m断面推荐方案（适用于规划纵三路）：双向6车道，行车道与非机动车共板（机非共板）。</w:t>
      </w:r>
    </w:p>
    <w:p>
      <w:pPr>
        <w:spacing w:line="300" w:lineRule="auto"/>
        <w:ind w:firstLine="480" w:firstLineChars="200"/>
        <w:jc w:val="left"/>
        <w:rPr>
          <w:rFonts w:ascii="Times New Roman" w:hAnsi="Times New Roman"/>
          <w:b w:val="0"/>
          <w:color w:val="000000" w:themeColor="text1"/>
          <w:sz w:val="24"/>
          <w:szCs w:val="24"/>
          <w:highlight w:val="magenta"/>
          <w14:textFill>
            <w14:solidFill>
              <w14:schemeClr w14:val="tx1"/>
            </w14:solidFill>
          </w14:textFill>
        </w:rPr>
      </w:pPr>
      <w:r>
        <w:rPr>
          <w:rFonts w:ascii="Times New Roman" w:hAnsi="Times New Roman"/>
          <w:b w:val="0"/>
          <w:color w:val="000000" w:themeColor="text1"/>
          <w:sz w:val="24"/>
          <w:szCs w:val="24"/>
          <w:highlight w:val="magenta"/>
          <w14:textFill>
            <w14:solidFill>
              <w14:schemeClr w14:val="tx1"/>
            </w14:solidFill>
          </w14:textFill>
        </w:rPr>
        <w:t>标准横断面(34m)布置如下：2m(人行道)+1.5m（树池）+1.5m(非机动车道)＋0.5m（分隔栏）</w:t>
      </w:r>
    </w:p>
    <w:p>
      <w:pPr>
        <w:spacing w:line="300" w:lineRule="auto"/>
        <w:ind w:firstLine="480" w:firstLineChars="200"/>
        <w:jc w:val="left"/>
        <w:rPr>
          <w:b w:val="0"/>
          <w:bCs/>
          <w:color w:val="auto"/>
          <w:kern w:val="0"/>
          <w:sz w:val="24"/>
          <w:szCs w:val="24"/>
          <w:highlight w:val="magenta"/>
        </w:rPr>
      </w:pPr>
      <w:r>
        <w:rPr>
          <w:rFonts w:ascii="Times New Roman" w:hAnsi="Times New Roman"/>
          <w:b w:val="0"/>
          <w:color w:val="000000" w:themeColor="text1"/>
          <w:sz w:val="24"/>
          <w:szCs w:val="24"/>
          <w:highlight w:val="magenta"/>
          <w14:textFill>
            <w14:solidFill>
              <w14:schemeClr w14:val="tx1"/>
            </w14:solidFill>
          </w14:textFill>
        </w:rPr>
        <w:t>+10.75m(机动车道)+1.5m(中央绿化带）+10.75m（机动车道）+0.5m（分隔栏）+1.5m(非机动车道)+1.5m（树池）+2m(人行道)=34m</w:t>
      </w:r>
    </w:p>
    <w:p>
      <w:pPr>
        <w:pStyle w:val="414"/>
        <w:ind w:firstLine="482"/>
        <w:rPr>
          <w:rFonts w:hint="default" w:ascii="宋体" w:hAnsi="宋体"/>
          <w:b w:val="0"/>
          <w:bCs/>
          <w:color w:val="auto"/>
          <w:sz w:val="24"/>
          <w:szCs w:val="24"/>
          <w:highlight w:val="magenta"/>
        </w:rPr>
      </w:pPr>
      <w:r>
        <w:rPr>
          <w:rFonts w:hint="default" w:ascii="宋体" w:hAnsi="宋体"/>
          <w:b w:val="0"/>
          <w:bCs/>
          <w:color w:val="auto"/>
          <w:sz w:val="24"/>
          <w:szCs w:val="24"/>
          <w:highlight w:val="magenta"/>
        </w:rPr>
        <w:t>2</w:t>
      </w:r>
      <w:r>
        <w:rPr>
          <w:rFonts w:ascii="宋体" w:hAnsi="宋体"/>
          <w:b w:val="0"/>
          <w:bCs/>
          <w:color w:val="auto"/>
          <w:sz w:val="24"/>
          <w:szCs w:val="24"/>
          <w:highlight w:val="magenta"/>
        </w:rPr>
        <w:t>、桥梁工程</w:t>
      </w:r>
    </w:p>
    <w:p>
      <w:pPr>
        <w:spacing w:line="300" w:lineRule="auto"/>
        <w:ind w:firstLine="480" w:firstLineChars="200"/>
        <w:rPr>
          <w:rFonts w:ascii="Times New Roman" w:hAnsi="Times New Roman"/>
          <w:b w:val="0"/>
          <w:color w:val="auto"/>
          <w:sz w:val="24"/>
          <w:szCs w:val="24"/>
          <w:highlight w:val="magenta"/>
        </w:rPr>
      </w:pPr>
      <w:r>
        <w:rPr>
          <w:rFonts w:ascii="Times New Roman" w:hAnsi="Times New Roman"/>
          <w:b w:val="0"/>
          <w:color w:val="auto"/>
          <w:sz w:val="24"/>
          <w:szCs w:val="24"/>
          <w:highlight w:val="magenta"/>
        </w:rPr>
        <w:t>本次设计桥梁共计</w:t>
      </w:r>
      <w:r>
        <w:rPr>
          <w:rFonts w:hint="eastAsia" w:ascii="Times New Roman" w:hAnsi="Times New Roman"/>
          <w:b w:val="0"/>
          <w:color w:val="auto"/>
          <w:sz w:val="24"/>
          <w:szCs w:val="24"/>
          <w:highlight w:val="magenta"/>
        </w:rPr>
        <w:t>2</w:t>
      </w:r>
      <w:r>
        <w:rPr>
          <w:rFonts w:ascii="Times New Roman" w:hAnsi="Times New Roman"/>
          <w:b w:val="0"/>
          <w:color w:val="auto"/>
          <w:sz w:val="24"/>
          <w:szCs w:val="24"/>
          <w:highlight w:val="magenta"/>
        </w:rPr>
        <w:t>座，其中大桥1座，中小桥梁</w:t>
      </w:r>
      <w:r>
        <w:rPr>
          <w:rFonts w:hint="eastAsia" w:ascii="Times New Roman" w:hAnsi="Times New Roman"/>
          <w:b w:val="0"/>
          <w:color w:val="auto"/>
          <w:sz w:val="24"/>
          <w:szCs w:val="24"/>
          <w:highlight w:val="magenta"/>
        </w:rPr>
        <w:t>1</w:t>
      </w:r>
      <w:r>
        <w:rPr>
          <w:rFonts w:ascii="Times New Roman" w:hAnsi="Times New Roman"/>
          <w:b w:val="0"/>
          <w:color w:val="auto"/>
          <w:sz w:val="24"/>
          <w:szCs w:val="24"/>
          <w:highlight w:val="magenta"/>
        </w:rPr>
        <w:t>座；跨越河涌情况如下：跨二十涌大桥1座，位于规划纵三路上；跨连接涌</w:t>
      </w:r>
      <w:r>
        <w:rPr>
          <w:rFonts w:hint="eastAsia" w:ascii="Times New Roman" w:hAnsi="Times New Roman"/>
          <w:b w:val="0"/>
          <w:color w:val="auto"/>
          <w:sz w:val="24"/>
          <w:szCs w:val="24"/>
          <w:highlight w:val="magenta"/>
        </w:rPr>
        <w:t>1</w:t>
      </w:r>
      <w:r>
        <w:rPr>
          <w:rFonts w:ascii="Times New Roman" w:hAnsi="Times New Roman"/>
          <w:b w:val="0"/>
          <w:color w:val="auto"/>
          <w:sz w:val="24"/>
          <w:szCs w:val="24"/>
          <w:highlight w:val="magenta"/>
        </w:rPr>
        <w:t>座，位于二十涌北路上。</w:t>
      </w:r>
    </w:p>
    <w:p>
      <w:pPr>
        <w:spacing w:line="300" w:lineRule="auto"/>
        <w:ind w:firstLine="480" w:firstLineChars="200"/>
        <w:rPr>
          <w:rFonts w:ascii="Times New Roman" w:hAnsi="Times New Roman"/>
          <w:b w:val="0"/>
          <w:color w:val="auto"/>
          <w:sz w:val="24"/>
          <w:szCs w:val="24"/>
          <w:highlight w:val="magenta"/>
        </w:rPr>
      </w:pPr>
      <w:r>
        <w:rPr>
          <w:rFonts w:ascii="Times New Roman" w:hAnsi="Times New Roman"/>
          <w:b w:val="0"/>
          <w:color w:val="auto"/>
          <w:sz w:val="24"/>
          <w:szCs w:val="24"/>
          <w:highlight w:val="magenta"/>
        </w:rPr>
        <w:t>二十涌大桥与道路正交布置；桥梁标准段全宽41m，断面布置为3.5m（人行道）+1.5m（侧分带）+14.75m（车行道）+1.5m（中分带）+14.75m（车行道）+1.5m（侧分带）+3.5m（人行道）=41m。</w:t>
      </w:r>
    </w:p>
    <w:p>
      <w:pPr>
        <w:spacing w:line="300" w:lineRule="auto"/>
        <w:ind w:firstLine="480" w:firstLineChars="200"/>
        <w:rPr>
          <w:rFonts w:ascii="Times New Roman" w:hAnsi="Times New Roman"/>
          <w:b w:val="0"/>
          <w:color w:val="auto"/>
          <w:sz w:val="24"/>
          <w:szCs w:val="24"/>
          <w:highlight w:val="magenta"/>
        </w:rPr>
      </w:pPr>
      <w:r>
        <w:rPr>
          <w:rFonts w:ascii="Times New Roman" w:hAnsi="Times New Roman"/>
          <w:b w:val="0"/>
          <w:color w:val="auto"/>
          <w:sz w:val="24"/>
          <w:szCs w:val="24"/>
          <w:highlight w:val="magenta"/>
        </w:rPr>
        <w:t>该方案桥梁跨径组合为5x30，桥梁全长150m，桥梁全宽41m，采用预制预应力小箱梁结构，梁高1.6m。全桥共计70片梁，其中边梁10片，中梁60片，边梁宽2.85m，中梁宽2.4m。桥台采用轻型桥台，采用群桩基础，桩径为1.2m。桥墩采用桩柱式，圆柱墩直径为1.4m，桩径为1.6m。</w:t>
      </w:r>
    </w:p>
    <w:p>
      <w:pPr>
        <w:spacing w:line="300" w:lineRule="auto"/>
        <w:ind w:firstLine="480" w:firstLineChars="200"/>
        <w:rPr>
          <w:rFonts w:ascii="Times New Roman" w:hAnsi="Times New Roman"/>
          <w:b w:val="0"/>
          <w:color w:val="auto"/>
          <w:sz w:val="24"/>
          <w:szCs w:val="24"/>
          <w:highlight w:val="magenta"/>
        </w:rPr>
      </w:pPr>
      <w:r>
        <w:rPr>
          <w:rFonts w:hint="eastAsia" w:ascii="Times New Roman" w:hAnsi="Times New Roman"/>
          <w:b w:val="0"/>
          <w:color w:val="auto"/>
          <w:sz w:val="24"/>
          <w:szCs w:val="24"/>
          <w:highlight w:val="magenta"/>
        </w:rPr>
        <w:t>1</w:t>
      </w:r>
      <w:r>
        <w:rPr>
          <w:rFonts w:ascii="Times New Roman" w:hAnsi="Times New Roman"/>
          <w:b w:val="0"/>
          <w:color w:val="auto"/>
          <w:sz w:val="24"/>
          <w:szCs w:val="24"/>
          <w:highlight w:val="magenta"/>
        </w:rPr>
        <w:t>座连接涌桥桥梁布置如下表：</w:t>
      </w:r>
    </w:p>
    <w:tbl>
      <w:tblPr>
        <w:tblStyle w:val="379"/>
        <w:tblW w:w="10367"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857"/>
        <w:gridCol w:w="2148"/>
        <w:gridCol w:w="998"/>
        <w:gridCol w:w="767"/>
        <w:gridCol w:w="1274"/>
        <w:gridCol w:w="1227"/>
        <w:gridCol w:w="1096"/>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4" w:hRule="atLeast"/>
        </w:trPr>
        <w:tc>
          <w:tcPr>
            <w:tcW w:w="2857" w:type="dxa"/>
          </w:tcPr>
          <w:p>
            <w:pPr>
              <w:pStyle w:val="391"/>
              <w:autoSpaceDE w:val="0"/>
              <w:autoSpaceDN w:val="0"/>
              <w:spacing w:before="78" w:line="220" w:lineRule="auto"/>
              <w:ind w:left="959"/>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2"/>
                <w:highlight w:val="magenta"/>
                <w14:textFill>
                  <w14:solidFill>
                    <w14:schemeClr w14:val="tx1"/>
                  </w14:solidFill>
                </w14:textFill>
              </w:rPr>
              <w:t>桥梁名称</w:t>
            </w:r>
          </w:p>
        </w:tc>
        <w:tc>
          <w:tcPr>
            <w:tcW w:w="2148" w:type="dxa"/>
          </w:tcPr>
          <w:p>
            <w:pPr>
              <w:pStyle w:val="391"/>
              <w:autoSpaceDE w:val="0"/>
              <w:autoSpaceDN w:val="0"/>
              <w:spacing w:before="78" w:line="220" w:lineRule="auto"/>
              <w:ind w:left="622"/>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6"/>
                <w:highlight w:val="magenta"/>
                <w14:textFill>
                  <w14:solidFill>
                    <w14:schemeClr w14:val="tx1"/>
                  </w14:solidFill>
                </w14:textFill>
              </w:rPr>
              <w:t>中心桩号</w:t>
            </w:r>
          </w:p>
        </w:tc>
        <w:tc>
          <w:tcPr>
            <w:tcW w:w="998" w:type="dxa"/>
          </w:tcPr>
          <w:p>
            <w:pPr>
              <w:pStyle w:val="391"/>
              <w:autoSpaceDE w:val="0"/>
              <w:autoSpaceDN w:val="0"/>
              <w:spacing w:before="78" w:line="220" w:lineRule="auto"/>
              <w:ind w:left="266"/>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跨径</w:t>
            </w:r>
          </w:p>
        </w:tc>
        <w:tc>
          <w:tcPr>
            <w:tcW w:w="767" w:type="dxa"/>
          </w:tcPr>
          <w:p>
            <w:pPr>
              <w:pStyle w:val="391"/>
              <w:autoSpaceDE w:val="0"/>
              <w:autoSpaceDN w:val="0"/>
              <w:spacing w:before="78" w:line="219" w:lineRule="auto"/>
              <w:ind w:left="153"/>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4"/>
                <w:highlight w:val="magenta"/>
                <w14:textFill>
                  <w14:solidFill>
                    <w14:schemeClr w14:val="tx1"/>
                  </w14:solidFill>
                </w14:textFill>
              </w:rPr>
              <w:t>角度</w:t>
            </w:r>
          </w:p>
        </w:tc>
        <w:tc>
          <w:tcPr>
            <w:tcW w:w="1274" w:type="dxa"/>
          </w:tcPr>
          <w:p>
            <w:pPr>
              <w:pStyle w:val="391"/>
              <w:autoSpaceDE w:val="0"/>
              <w:autoSpaceDN w:val="0"/>
              <w:spacing w:before="78" w:line="220" w:lineRule="auto"/>
              <w:ind w:left="163"/>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2"/>
                <w:highlight w:val="magenta"/>
                <w14:textFill>
                  <w14:solidFill>
                    <w14:schemeClr w14:val="tx1"/>
                  </w14:solidFill>
                </w14:textFill>
              </w:rPr>
              <w:t>河涌名称</w:t>
            </w:r>
          </w:p>
        </w:tc>
        <w:tc>
          <w:tcPr>
            <w:tcW w:w="1227" w:type="dxa"/>
          </w:tcPr>
          <w:p>
            <w:pPr>
              <w:pStyle w:val="391"/>
              <w:autoSpaceDE w:val="0"/>
              <w:autoSpaceDN w:val="0"/>
              <w:spacing w:before="78" w:line="220" w:lineRule="auto"/>
              <w:ind w:left="115"/>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4"/>
                <w:highlight w:val="magenta"/>
                <w14:textFill>
                  <w14:solidFill>
                    <w14:schemeClr w14:val="tx1"/>
                  </w14:solidFill>
                </w14:textFill>
              </w:rPr>
              <w:t>桥宽（m）</w:t>
            </w:r>
          </w:p>
        </w:tc>
        <w:tc>
          <w:tcPr>
            <w:tcW w:w="1096" w:type="dxa"/>
          </w:tcPr>
          <w:p>
            <w:pPr>
              <w:pStyle w:val="391"/>
              <w:autoSpaceDE w:val="0"/>
              <w:autoSpaceDN w:val="0"/>
              <w:spacing w:before="138" w:line="468" w:lineRule="exact"/>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3"/>
                <w:position w:val="17"/>
                <w:highlight w:val="magenta"/>
                <w14:textFill>
                  <w14:solidFill>
                    <w14:schemeClr w14:val="tx1"/>
                  </w14:solidFill>
                </w14:textFill>
              </w:rPr>
              <w:t>桥梁全</w:t>
            </w:r>
          </w:p>
          <w:p>
            <w:pPr>
              <w:pStyle w:val="391"/>
              <w:autoSpaceDE w:val="0"/>
              <w:autoSpaceDN w:val="0"/>
              <w:spacing w:line="223" w:lineRule="auto"/>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5"/>
                <w:highlight w:val="magenta"/>
                <w14:textFill>
                  <w14:solidFill>
                    <w14:schemeClr w14:val="tx1"/>
                  </w14:solidFill>
                </w14:textFill>
              </w:rPr>
              <w:t>长（m）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857" w:type="dxa"/>
          </w:tcPr>
          <w:p>
            <w:pPr>
              <w:pStyle w:val="391"/>
              <w:autoSpaceDE w:val="0"/>
              <w:autoSpaceDN w:val="0"/>
              <w:spacing w:before="114" w:line="220" w:lineRule="auto"/>
              <w:ind w:left="303"/>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2"/>
                <w:highlight w:val="magenta"/>
                <w14:textFill>
                  <w14:solidFill>
                    <w14:schemeClr w14:val="tx1"/>
                  </w14:solidFill>
                </w14:textFill>
              </w:rPr>
              <w:t>二十涌北路-连接涌桥</w:t>
            </w:r>
          </w:p>
        </w:tc>
        <w:tc>
          <w:tcPr>
            <w:tcW w:w="2148" w:type="dxa"/>
          </w:tcPr>
          <w:p>
            <w:pPr>
              <w:pStyle w:val="391"/>
              <w:autoSpaceDE w:val="0"/>
              <w:autoSpaceDN w:val="0"/>
              <w:spacing w:before="152" w:line="183" w:lineRule="auto"/>
              <w:ind w:left="236"/>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1"/>
                <w:highlight w:val="magenta"/>
                <w14:textFill>
                  <w14:solidFill>
                    <w14:schemeClr w14:val="tx1"/>
                  </w14:solidFill>
                </w14:textFill>
              </w:rPr>
              <w:t>ESCBK0+628.594</w:t>
            </w:r>
          </w:p>
        </w:tc>
        <w:tc>
          <w:tcPr>
            <w:tcW w:w="998" w:type="dxa"/>
          </w:tcPr>
          <w:p>
            <w:pPr>
              <w:pStyle w:val="391"/>
              <w:autoSpaceDE w:val="0"/>
              <w:autoSpaceDN w:val="0"/>
              <w:spacing w:before="152" w:line="183" w:lineRule="auto"/>
              <w:ind w:left="149"/>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2×20m</w:t>
            </w:r>
          </w:p>
        </w:tc>
        <w:tc>
          <w:tcPr>
            <w:tcW w:w="767" w:type="dxa"/>
          </w:tcPr>
          <w:p>
            <w:pPr>
              <w:pStyle w:val="391"/>
              <w:autoSpaceDE w:val="0"/>
              <w:autoSpaceDN w:val="0"/>
              <w:spacing w:before="152" w:line="183" w:lineRule="auto"/>
              <w:ind w:left="271"/>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85</w:t>
            </w:r>
          </w:p>
        </w:tc>
        <w:tc>
          <w:tcPr>
            <w:tcW w:w="1274" w:type="dxa"/>
          </w:tcPr>
          <w:p>
            <w:pPr>
              <w:pStyle w:val="391"/>
              <w:autoSpaceDE w:val="0"/>
              <w:autoSpaceDN w:val="0"/>
              <w:spacing w:before="114" w:line="220" w:lineRule="auto"/>
              <w:ind w:left="285"/>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连接涌</w:t>
            </w:r>
          </w:p>
        </w:tc>
        <w:tc>
          <w:tcPr>
            <w:tcW w:w="1227" w:type="dxa"/>
          </w:tcPr>
          <w:p>
            <w:pPr>
              <w:pStyle w:val="391"/>
              <w:autoSpaceDE w:val="0"/>
              <w:autoSpaceDN w:val="0"/>
              <w:spacing w:before="114" w:line="225" w:lineRule="auto"/>
              <w:ind w:left="204"/>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2"/>
                <w:highlight w:val="magenta"/>
                <w14:textFill>
                  <w14:solidFill>
                    <w14:schemeClr w14:val="tx1"/>
                  </w14:solidFill>
                </w14:textFill>
              </w:rPr>
              <w:t>23.5/27</w:t>
            </w:r>
          </w:p>
        </w:tc>
        <w:tc>
          <w:tcPr>
            <w:tcW w:w="1096" w:type="dxa"/>
          </w:tcPr>
          <w:p>
            <w:pPr>
              <w:pStyle w:val="391"/>
              <w:autoSpaceDE w:val="0"/>
              <w:autoSpaceDN w:val="0"/>
              <w:spacing w:before="152" w:line="183" w:lineRule="auto"/>
              <w:ind w:left="428"/>
              <w:rPr>
                <w:rFonts w:ascii="Times New Roman" w:hAnsi="Times New Roman" w:cs="Times New Roman" w:eastAsiaTheme="minorEastAsia"/>
                <w:b w:val="0"/>
                <w:bCs/>
                <w:color w:val="000000" w:themeColor="text1"/>
                <w:highlight w:val="magenta"/>
                <w14:textFill>
                  <w14:solidFill>
                    <w14:schemeClr w14:val="tx1"/>
                  </w14:solidFill>
                </w14:textFill>
              </w:rPr>
            </w:pPr>
            <w:r>
              <w:rPr>
                <w:rFonts w:ascii="Times New Roman" w:hAnsi="Times New Roman" w:cs="Times New Roman" w:eastAsiaTheme="minorEastAsia"/>
                <w:b w:val="0"/>
                <w:bCs/>
                <w:color w:val="000000" w:themeColor="text1"/>
                <w:spacing w:val="-3"/>
                <w:highlight w:val="magenta"/>
                <w14:textFill>
                  <w14:solidFill>
                    <w14:schemeClr w14:val="tx1"/>
                  </w14:solidFill>
                </w14:textFill>
              </w:rPr>
              <w:t>45</w:t>
            </w:r>
          </w:p>
        </w:tc>
      </w:tr>
    </w:tbl>
    <w:p>
      <w:pPr>
        <w:spacing w:line="300" w:lineRule="auto"/>
        <w:ind w:firstLine="480" w:firstLineChars="200"/>
        <w:rPr>
          <w:rFonts w:ascii="Times New Roman" w:hAnsi="Times New Roman"/>
          <w:b w:val="0"/>
          <w:color w:val="auto"/>
          <w:sz w:val="24"/>
          <w:szCs w:val="24"/>
          <w:highlight w:val="magenta"/>
        </w:rPr>
      </w:pPr>
    </w:p>
    <w:p>
      <w:pPr>
        <w:pStyle w:val="4"/>
        <w:ind w:firstLine="482" w:firstLineChars="200"/>
        <w:rPr>
          <w:highlight w:val="magenta"/>
        </w:rPr>
      </w:pPr>
      <w:bookmarkStart w:id="40" w:name="_Toc145614384"/>
      <w:bookmarkStart w:id="41" w:name="_Toc5949"/>
      <w:r>
        <w:rPr>
          <w:rFonts w:hint="eastAsia"/>
          <w:highlight w:val="magenta"/>
        </w:rPr>
        <w:t>经济</w:t>
      </w:r>
      <w:bookmarkStart w:id="42" w:name="待更新"/>
      <w:bookmarkEnd w:id="42"/>
      <w:r>
        <w:rPr>
          <w:rFonts w:hint="eastAsia"/>
          <w:highlight w:val="magenta"/>
        </w:rPr>
        <w:t>评价</w:t>
      </w:r>
      <w:bookmarkEnd w:id="40"/>
      <w:bookmarkEnd w:id="41"/>
    </w:p>
    <w:p>
      <w:pPr>
        <w:spacing w:line="300" w:lineRule="auto"/>
        <w:ind w:firstLine="480" w:firstLineChars="200"/>
        <w:rPr>
          <w:b w:val="0"/>
          <w:bCs/>
          <w:color w:val="auto"/>
          <w:sz w:val="24"/>
          <w:szCs w:val="24"/>
          <w:highlight w:val="magenta"/>
        </w:rPr>
      </w:pPr>
      <w:r>
        <w:rPr>
          <w:rFonts w:hint="eastAsia" w:ascii="Times New Roman" w:hAnsi="Times New Roman"/>
          <w:b w:val="0"/>
          <w:color w:val="auto"/>
          <w:sz w:val="24"/>
          <w:szCs w:val="24"/>
          <w:highlight w:val="magenta"/>
        </w:rPr>
        <w:t>经过分析</w:t>
      </w:r>
      <w:r>
        <w:rPr>
          <w:rFonts w:ascii="Times New Roman" w:hAnsi="Times New Roman"/>
          <w:b w:val="0"/>
          <w:color w:val="auto"/>
          <w:sz w:val="24"/>
          <w:szCs w:val="24"/>
          <w:highlight w:val="magenta"/>
        </w:rPr>
        <w:t>，</w:t>
      </w:r>
      <w:r>
        <w:rPr>
          <w:rFonts w:hint="eastAsia" w:ascii="Times New Roman" w:hAnsi="Times New Roman"/>
          <w:b w:val="0"/>
          <w:color w:val="auto"/>
          <w:sz w:val="24"/>
          <w:szCs w:val="24"/>
          <w:highlight w:val="magenta"/>
        </w:rPr>
        <w:t>本项目</w:t>
      </w:r>
      <w:r>
        <w:rPr>
          <w:rFonts w:ascii="Times New Roman" w:hAnsi="Times New Roman"/>
          <w:b w:val="0"/>
          <w:color w:val="auto"/>
          <w:sz w:val="24"/>
          <w:szCs w:val="24"/>
          <w:highlight w:val="magenta"/>
        </w:rPr>
        <w:t>经济费用增加20%或交通量减少20%的不利情况下，或经济费用增加10%及交通量减少10%的双向不利情况下，其经济内部收益率依然大于社会折现率8%、经济净现值大于0。</w:t>
      </w:r>
    </w:p>
    <w:p>
      <w:pPr>
        <w:pStyle w:val="4"/>
        <w:ind w:firstLine="482" w:firstLineChars="200"/>
        <w:rPr>
          <w:highlight w:val="magenta"/>
        </w:rPr>
      </w:pPr>
      <w:bookmarkStart w:id="43" w:name="_Toc145614385"/>
      <w:bookmarkStart w:id="44" w:name="_Toc2121"/>
      <w:r>
        <w:rPr>
          <w:highlight w:val="magenta"/>
        </w:rPr>
        <w:t>社会评价</w:t>
      </w:r>
      <w:bookmarkEnd w:id="43"/>
      <w:bookmarkEnd w:id="44"/>
    </w:p>
    <w:p>
      <w:pPr>
        <w:spacing w:line="300" w:lineRule="auto"/>
        <w:ind w:firstLine="480" w:firstLineChars="200"/>
        <w:rPr>
          <w:rFonts w:ascii="Times New Roman" w:hAnsi="Times New Roman"/>
          <w:b w:val="0"/>
          <w:color w:val="auto"/>
          <w:sz w:val="24"/>
          <w:szCs w:val="24"/>
          <w:highlight w:val="magenta"/>
        </w:rPr>
      </w:pPr>
      <w:r>
        <w:rPr>
          <w:rFonts w:ascii="Times New Roman" w:hAnsi="Times New Roman"/>
          <w:b w:val="0"/>
          <w:color w:val="auto"/>
          <w:sz w:val="24"/>
          <w:szCs w:val="24"/>
          <w:highlight w:val="magenta"/>
        </w:rPr>
        <w:t>本工程的建设有利于南沙地区的经济，取得较大的社会效益。本项目建成后，将加速万顷沙片区的建设，有利于促进当地交通出行和经济发展。有利于完善南沙区万顷沙的路网结构，服务南沙大型城市综合体的赛时出行。有利于带动万顷沙片区南片区土地利用开发。有利于促进南沙粤港澳互联互通、交流合作。有利于提高周边区域居民的收入，改善生活环境和人文环境，提高居民生活质量。将为加快南沙区的建设进程、促进地区经济发展和改善当地的出行环境提供有利条件。为地块周围的经济发展与区域开发提供良好的基础条件，对促进区域文化、科技、教育事业的发展和提高具有积极的意义。因此该建设项目的方案在维持社会稳定方面基本可行，可以按照拟定规模和计划实施。</w:t>
      </w:r>
    </w:p>
    <w:p>
      <w:pPr>
        <w:pStyle w:val="4"/>
        <w:ind w:firstLine="482" w:firstLineChars="200"/>
        <w:rPr>
          <w:highlight w:val="magenta"/>
        </w:rPr>
      </w:pPr>
      <w:bookmarkStart w:id="45" w:name="_Toc145614386"/>
      <w:bookmarkStart w:id="46" w:name="_Toc28523"/>
      <w:r>
        <w:rPr>
          <w:rFonts w:hint="eastAsia"/>
          <w:highlight w:val="magenta"/>
        </w:rPr>
        <w:t>树木保护专章结论</w:t>
      </w:r>
      <w:bookmarkEnd w:id="45"/>
      <w:bookmarkEnd w:id="46"/>
    </w:p>
    <w:p>
      <w:pPr>
        <w:wordWrap w:val="0"/>
        <w:spacing w:line="300" w:lineRule="auto"/>
        <w:ind w:firstLine="480" w:firstLineChars="200"/>
        <w:jc w:val="left"/>
        <w:rPr>
          <w:rFonts w:ascii="Times New Roman" w:hAnsi="Times New Roman" w:eastAsiaTheme="minorEastAsia"/>
          <w:b w:val="0"/>
          <w:bCs/>
          <w:color w:val="auto"/>
          <w:sz w:val="24"/>
          <w:szCs w:val="24"/>
          <w:highlight w:val="magenta"/>
        </w:rPr>
      </w:pPr>
      <w:r>
        <w:rPr>
          <w:rFonts w:ascii="Times New Roman" w:hAnsi="Times New Roman" w:eastAsiaTheme="minorEastAsia"/>
          <w:b w:val="0"/>
          <w:bCs/>
          <w:color w:val="auto"/>
          <w:sz w:val="24"/>
          <w:szCs w:val="24"/>
          <w:highlight w:val="magenta"/>
        </w:rPr>
        <w:t>（1）结论</w:t>
      </w:r>
    </w:p>
    <w:p>
      <w:pPr>
        <w:wordWrap w:val="0"/>
        <w:spacing w:line="300" w:lineRule="auto"/>
        <w:ind w:firstLine="480" w:firstLineChars="200"/>
        <w:jc w:val="left"/>
        <w:rPr>
          <w:rFonts w:ascii="Times New Roman" w:hAnsi="Times New Roman" w:eastAsiaTheme="minorEastAsia"/>
          <w:b w:val="0"/>
          <w:bCs/>
          <w:color w:val="auto"/>
          <w:sz w:val="24"/>
          <w:szCs w:val="24"/>
          <w:highlight w:val="magenta"/>
        </w:rPr>
      </w:pPr>
      <w:r>
        <w:rPr>
          <w:rFonts w:ascii="Times New Roman" w:hAnsi="Times New Roman" w:eastAsiaTheme="minorEastAsia"/>
          <w:b w:val="0"/>
          <w:bCs/>
          <w:color w:val="auto"/>
          <w:sz w:val="24"/>
          <w:szCs w:val="24"/>
          <w:highlight w:val="magenta"/>
        </w:rPr>
        <w:t>本项目范围内共计树木（乔木）</w:t>
      </w:r>
      <w:r>
        <w:rPr>
          <w:rFonts w:hint="eastAsia" w:ascii="Times New Roman" w:hAnsi="Times New Roman" w:eastAsiaTheme="minorEastAsia"/>
          <w:b w:val="0"/>
          <w:bCs/>
          <w:color w:val="auto"/>
          <w:sz w:val="24"/>
          <w:szCs w:val="24"/>
          <w:highlight w:val="magenta"/>
        </w:rPr>
        <w:t>1</w:t>
      </w:r>
      <w:r>
        <w:rPr>
          <w:rFonts w:ascii="Times New Roman" w:hAnsi="Times New Roman" w:eastAsiaTheme="minorEastAsia"/>
          <w:b w:val="0"/>
          <w:bCs/>
          <w:color w:val="auto"/>
          <w:sz w:val="24"/>
          <w:szCs w:val="24"/>
          <w:highlight w:val="magenta"/>
        </w:rPr>
        <w:t>株，由于道路（含边坡）、桥梁施工的原因，拟保留树木0株，迁移利用树木共</w:t>
      </w:r>
      <w:r>
        <w:rPr>
          <w:rFonts w:hint="eastAsia" w:ascii="Times New Roman" w:hAnsi="Times New Roman" w:eastAsiaTheme="minorEastAsia"/>
          <w:b w:val="0"/>
          <w:bCs/>
          <w:color w:val="auto"/>
          <w:sz w:val="24"/>
          <w:szCs w:val="24"/>
          <w:highlight w:val="magenta"/>
        </w:rPr>
        <w:t>1</w:t>
      </w:r>
      <w:r>
        <w:rPr>
          <w:rFonts w:ascii="Times New Roman" w:hAnsi="Times New Roman" w:eastAsiaTheme="minorEastAsia"/>
          <w:b w:val="0"/>
          <w:bCs/>
          <w:color w:val="auto"/>
          <w:sz w:val="24"/>
          <w:szCs w:val="24"/>
          <w:highlight w:val="magenta"/>
        </w:rPr>
        <w:t>株，其中由于项目范围内基本为经济树木，基本不能用作行道树，红线内回迁利用0株，红线外移植树木为</w:t>
      </w:r>
      <w:r>
        <w:rPr>
          <w:rFonts w:hint="eastAsia" w:ascii="Times New Roman" w:hAnsi="Times New Roman" w:eastAsiaTheme="minorEastAsia"/>
          <w:b w:val="0"/>
          <w:bCs/>
          <w:color w:val="auto"/>
          <w:sz w:val="24"/>
          <w:szCs w:val="24"/>
          <w:highlight w:val="magenta"/>
        </w:rPr>
        <w:t>1</w:t>
      </w:r>
      <w:r>
        <w:rPr>
          <w:rFonts w:ascii="Times New Roman" w:hAnsi="Times New Roman" w:eastAsiaTheme="minorEastAsia"/>
          <w:b w:val="0"/>
          <w:bCs/>
          <w:color w:val="auto"/>
          <w:sz w:val="24"/>
          <w:szCs w:val="24"/>
          <w:highlight w:val="magenta"/>
        </w:rPr>
        <w:t>株。回迁移植利用率100%（不含无迁移利用价值树木），其中红线内树木回迁利用率0%，红线外树木移植利用率100%。不涉及移植古树资源和古树名木。</w:t>
      </w:r>
    </w:p>
    <w:p>
      <w:pPr>
        <w:wordWrap w:val="0"/>
        <w:spacing w:line="300" w:lineRule="auto"/>
        <w:ind w:firstLine="480" w:firstLineChars="200"/>
        <w:jc w:val="left"/>
        <w:rPr>
          <w:rFonts w:ascii="Times New Roman" w:hAnsi="Times New Roman" w:eastAsiaTheme="minorEastAsia"/>
          <w:b w:val="0"/>
          <w:bCs/>
          <w:color w:val="auto"/>
          <w:sz w:val="24"/>
          <w:szCs w:val="24"/>
          <w:highlight w:val="magenta"/>
        </w:rPr>
      </w:pPr>
      <w:r>
        <w:rPr>
          <w:rFonts w:ascii="Times New Roman" w:hAnsi="Times New Roman" w:eastAsiaTheme="minorEastAsia"/>
          <w:b w:val="0"/>
          <w:bCs/>
          <w:color w:val="auto"/>
          <w:sz w:val="24"/>
          <w:szCs w:val="24"/>
          <w:highlight w:val="magenta"/>
        </w:rPr>
        <w:t>（2）建议</w:t>
      </w:r>
    </w:p>
    <w:p>
      <w:pPr>
        <w:wordWrap w:val="0"/>
        <w:spacing w:line="300" w:lineRule="auto"/>
        <w:ind w:firstLine="480" w:firstLineChars="200"/>
        <w:jc w:val="left"/>
        <w:rPr>
          <w:rFonts w:ascii="Times New Roman" w:hAnsi="Times New Roman" w:eastAsiaTheme="minorEastAsia"/>
          <w:b w:val="0"/>
          <w:bCs/>
          <w:color w:val="auto"/>
          <w:sz w:val="24"/>
          <w:szCs w:val="24"/>
          <w:highlight w:val="magenta"/>
        </w:rPr>
      </w:pPr>
      <w:r>
        <w:rPr>
          <w:rFonts w:ascii="Times New Roman" w:hAnsi="Times New Roman" w:eastAsiaTheme="minorEastAsia"/>
          <w:b w:val="0"/>
          <w:bCs/>
          <w:color w:val="auto"/>
          <w:sz w:val="24"/>
          <w:szCs w:val="24"/>
          <w:highlight w:val="magenta"/>
        </w:rPr>
        <w:t>1）因项目范围内涉及树木较少，且呈现点状分布，大多为经济树木，红线内回迁利用或原址保留的树木应考虑与道路路段行道树绿化风格统一，且选用原场地内的乡土</w:t>
      </w:r>
      <w:r>
        <w:rPr>
          <w:rFonts w:hint="eastAsia" w:ascii="Times New Roman" w:hAnsi="Times New Roman" w:eastAsiaTheme="minorEastAsia"/>
          <w:b w:val="0"/>
          <w:bCs/>
          <w:color w:val="auto"/>
          <w:sz w:val="24"/>
          <w:szCs w:val="24"/>
          <w:highlight w:val="magenta"/>
        </w:rPr>
        <w:t>树</w:t>
      </w:r>
      <w:r>
        <w:rPr>
          <w:rFonts w:ascii="Times New Roman" w:hAnsi="Times New Roman" w:eastAsiaTheme="minorEastAsia"/>
          <w:b w:val="0"/>
          <w:bCs/>
          <w:color w:val="auto"/>
          <w:sz w:val="24"/>
          <w:szCs w:val="24"/>
          <w:highlight w:val="magenta"/>
        </w:rPr>
        <w:t>，以达到较佳的绿化景观效果，因此红线范围内树木考虑场外移植利用。</w:t>
      </w:r>
    </w:p>
    <w:p>
      <w:pPr>
        <w:wordWrap w:val="0"/>
        <w:spacing w:line="300" w:lineRule="auto"/>
        <w:ind w:firstLine="480" w:firstLineChars="200"/>
        <w:jc w:val="left"/>
        <w:rPr>
          <w:rFonts w:ascii="Times New Roman" w:hAnsi="Times New Roman" w:eastAsiaTheme="minorEastAsia"/>
          <w:b w:val="0"/>
          <w:bCs/>
          <w:color w:val="auto"/>
          <w:sz w:val="24"/>
          <w:szCs w:val="24"/>
          <w:highlight w:val="magenta"/>
        </w:rPr>
      </w:pPr>
      <w:r>
        <w:rPr>
          <w:rFonts w:ascii="Times New Roman" w:hAnsi="Times New Roman" w:eastAsiaTheme="minorEastAsia"/>
          <w:b w:val="0"/>
          <w:bCs/>
          <w:color w:val="auto"/>
          <w:sz w:val="24"/>
          <w:szCs w:val="24"/>
          <w:highlight w:val="magenta"/>
        </w:rPr>
        <w:t>2）南沙万顷沙范围目前有仍较多的苗木场及果树林，建议将有利用价值的经济树木迁移至就近苗木场。</w:t>
      </w:r>
    </w:p>
    <w:p>
      <w:pPr>
        <w:spacing w:line="300" w:lineRule="auto"/>
        <w:ind w:firstLine="480" w:firstLineChars="200"/>
        <w:jc w:val="left"/>
        <w:rPr>
          <w:rFonts w:ascii="Times New Roman" w:hAnsi="Times New Roman" w:eastAsiaTheme="minorEastAsia"/>
          <w:b w:val="0"/>
          <w:bCs/>
          <w:color w:val="auto"/>
          <w:sz w:val="24"/>
          <w:szCs w:val="24"/>
          <w:highlight w:val="magenta"/>
        </w:rPr>
      </w:pPr>
      <w:r>
        <w:rPr>
          <w:rFonts w:hint="eastAsia" w:ascii="Times New Roman" w:hAnsi="Times New Roman" w:eastAsiaTheme="minorEastAsia"/>
          <w:b w:val="0"/>
          <w:bCs/>
          <w:color w:val="auto"/>
          <w:sz w:val="24"/>
          <w:szCs w:val="24"/>
          <w:highlight w:val="green"/>
        </w:rPr>
        <w:t>本项目树木保护方案已取得住建园林部门的复函（详见附件18：关于对南沙全民文化体育综合体项目配套骨干道路工程树木保护专章意见的复函），根据复函，住建园林部门对该项目立项阶段城市树木保护专章无原则性修改意见。</w:t>
      </w:r>
    </w:p>
    <w:p>
      <w:pPr>
        <w:pStyle w:val="4"/>
        <w:ind w:firstLine="482" w:firstLineChars="200"/>
        <w:rPr>
          <w:highlight w:val="magenta"/>
        </w:rPr>
      </w:pPr>
      <w:bookmarkStart w:id="47" w:name="_Toc10340"/>
      <w:r>
        <w:rPr>
          <w:rFonts w:hint="eastAsia"/>
          <w:highlight w:val="magenta"/>
        </w:rPr>
        <w:t>问题与建议</w:t>
      </w:r>
      <w:bookmarkEnd w:id="47"/>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（1）加快推进各项前期与各部门沟通协调工作</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本项目建设涉及环保、规划、水利等多个部门，项目前期应尽快与各部门沟通协调。</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（2）加强与南沙区住建局、广州市高速公路有限公司沟通</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本项目建设与南中高速、万环西路南延线（十六涌半至海堤段）工程、灵新大道南延线工程等项目相关，</w:t>
      </w:r>
      <w:r>
        <w:rPr>
          <w:rFonts w:hint="eastAsia" w:ascii="Times New Roman" w:hAnsi="Times New Roman"/>
          <w:b w:val="0"/>
          <w:color w:val="auto"/>
          <w:sz w:val="24"/>
          <w:szCs w:val="20"/>
          <w:highlight w:val="magenta"/>
        </w:rPr>
        <w:t>加强与</w:t>
      </w:r>
      <w:r>
        <w:rPr>
          <w:rFonts w:ascii="Times New Roman" w:hAnsi="Times New Roman"/>
          <w:b w:val="0"/>
          <w:color w:val="auto"/>
          <w:sz w:val="24"/>
          <w:szCs w:val="20"/>
          <w:highlight w:val="magenta"/>
        </w:rPr>
        <w:t>南沙区住建局、广州市高速公路有限公司</w:t>
      </w:r>
      <w:r>
        <w:rPr>
          <w:rFonts w:hint="eastAsia" w:ascii="Times New Roman" w:hAnsi="Times New Roman"/>
          <w:b w:val="0"/>
          <w:color w:val="auto"/>
          <w:sz w:val="24"/>
          <w:szCs w:val="20"/>
          <w:highlight w:val="magenta"/>
        </w:rPr>
        <w:t>沟通</w:t>
      </w:r>
      <w:r>
        <w:rPr>
          <w:rFonts w:ascii="Times New Roman" w:hAnsi="Times New Roman"/>
          <w:b w:val="0"/>
          <w:color w:val="auto"/>
          <w:sz w:val="24"/>
          <w:szCs w:val="20"/>
          <w:highlight w:val="magenta"/>
        </w:rPr>
        <w:t>。</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（3）建议与广州地铁沟通协商道路涉铁区域内软基处理事项</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本项目局部道路涉及南中城际铁路，</w:t>
      </w:r>
      <w:r>
        <w:rPr>
          <w:rFonts w:hint="eastAsia" w:ascii="Times New Roman" w:hAnsi="Times New Roman"/>
          <w:b w:val="0"/>
          <w:color w:val="auto"/>
          <w:sz w:val="24"/>
          <w:szCs w:val="20"/>
          <w:highlight w:val="magenta"/>
        </w:rPr>
        <w:t>相关方案需征得地铁集团同意</w:t>
      </w:r>
      <w:r>
        <w:rPr>
          <w:rFonts w:ascii="Times New Roman" w:hAnsi="Times New Roman"/>
          <w:b w:val="0"/>
          <w:color w:val="auto"/>
          <w:sz w:val="24"/>
          <w:szCs w:val="20"/>
          <w:highlight w:val="magenta"/>
        </w:rPr>
        <w:t>。</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（4）项目区域内软基处理方案</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本项目地处万顷沙，近珠江入海口，软土厚度较厚，地质条件较差；同时路堤填高较高，采用超载方案可能存在稳定性问题，为改善路堤的稳定性，采用堆载方案需缓慢加载，施工期较长，同时也存在较大的工期沉降。</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（5）桥涵工程存在问题与建议</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1.规划纵三路-二十涌大桥若考虑河道不落墩的情况下，由于二十涌河道宽度为120m，且两侧人行道宽5m，单跨跨径约150m，梁高需3m以上，桥面标高需12m才满足通航净空和人行道净高，建议河道考虑落墩方案，减小主跨跨径，以降低梁高对道路高程的影响。</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（6）</w:t>
      </w:r>
      <w:r>
        <w:rPr>
          <w:rFonts w:hint="eastAsia" w:ascii="Times New Roman" w:hAnsi="Times New Roman"/>
          <w:b w:val="0"/>
          <w:color w:val="auto"/>
          <w:sz w:val="24"/>
          <w:szCs w:val="20"/>
          <w:highlight w:val="magenta"/>
        </w:rPr>
        <w:t>下阶段需尽快开展</w:t>
      </w:r>
      <w:r>
        <w:rPr>
          <w:rFonts w:ascii="Times New Roman" w:hAnsi="Times New Roman"/>
          <w:b w:val="0"/>
          <w:color w:val="auto"/>
          <w:sz w:val="24"/>
          <w:szCs w:val="20"/>
          <w:highlight w:val="magenta"/>
        </w:rPr>
        <w:t>的相关</w:t>
      </w:r>
      <w:r>
        <w:rPr>
          <w:rFonts w:hint="eastAsia" w:ascii="Times New Roman" w:hAnsi="Times New Roman"/>
          <w:b w:val="0"/>
          <w:color w:val="auto"/>
          <w:sz w:val="24"/>
          <w:szCs w:val="20"/>
          <w:highlight w:val="magenta"/>
        </w:rPr>
        <w:t>工作</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1.目前</w:t>
      </w:r>
      <w:r>
        <w:rPr>
          <w:rFonts w:hint="eastAsia" w:ascii="Times New Roman" w:hAnsi="Times New Roman"/>
          <w:b w:val="0"/>
          <w:color w:val="auto"/>
          <w:sz w:val="24"/>
          <w:szCs w:val="20"/>
          <w:highlight w:val="magenta"/>
        </w:rPr>
        <w:t>片区</w:t>
      </w:r>
      <w:r>
        <w:rPr>
          <w:rFonts w:ascii="Times New Roman" w:hAnsi="Times New Roman"/>
          <w:b w:val="0"/>
          <w:color w:val="auto"/>
          <w:sz w:val="24"/>
          <w:szCs w:val="20"/>
          <w:highlight w:val="magenta"/>
        </w:rPr>
        <w:t>规划</w:t>
      </w:r>
      <w:r>
        <w:rPr>
          <w:rFonts w:hint="eastAsia" w:ascii="Times New Roman" w:hAnsi="Times New Roman"/>
          <w:b w:val="0"/>
          <w:color w:val="auto"/>
          <w:sz w:val="24"/>
          <w:szCs w:val="20"/>
          <w:highlight w:val="magenta"/>
        </w:rPr>
        <w:t>正在修编</w:t>
      </w:r>
      <w:r>
        <w:rPr>
          <w:rFonts w:ascii="Times New Roman" w:hAnsi="Times New Roman"/>
          <w:b w:val="0"/>
          <w:color w:val="auto"/>
          <w:sz w:val="24"/>
          <w:szCs w:val="20"/>
          <w:highlight w:val="magenta"/>
        </w:rPr>
        <w:t>，</w:t>
      </w:r>
      <w:r>
        <w:rPr>
          <w:rFonts w:hint="eastAsia" w:ascii="Times New Roman" w:hAnsi="Times New Roman"/>
          <w:b w:val="0"/>
          <w:color w:val="auto"/>
          <w:sz w:val="24"/>
          <w:szCs w:val="20"/>
          <w:highlight w:val="magenta"/>
        </w:rPr>
        <w:t>加强与规划部门对接</w:t>
      </w:r>
      <w:r>
        <w:rPr>
          <w:rFonts w:ascii="Times New Roman" w:hAnsi="Times New Roman"/>
          <w:b w:val="0"/>
          <w:color w:val="auto"/>
          <w:sz w:val="24"/>
          <w:szCs w:val="20"/>
          <w:highlight w:val="magenta"/>
        </w:rPr>
        <w:t>。</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2.后续根据管线部门征询意见进一步完善管综布设。</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3.现阶段无本项目勘察资料，仅参考周边项目勘察资料，下阶段根据勘察资料进一步优化。</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4.因现阶段暂无道路周边地块相关雨污水管线接驳条件，下阶段</w:t>
      </w:r>
      <w:r>
        <w:rPr>
          <w:rFonts w:hint="eastAsia" w:ascii="Times New Roman" w:hAnsi="Times New Roman"/>
          <w:b w:val="0"/>
          <w:color w:val="auto"/>
          <w:sz w:val="24"/>
          <w:szCs w:val="20"/>
          <w:highlight w:val="magenta"/>
        </w:rPr>
        <w:t>需</w:t>
      </w:r>
      <w:r>
        <w:rPr>
          <w:rFonts w:ascii="Times New Roman" w:hAnsi="Times New Roman"/>
          <w:b w:val="0"/>
          <w:color w:val="auto"/>
          <w:sz w:val="24"/>
          <w:szCs w:val="20"/>
          <w:highlight w:val="magenta"/>
        </w:rPr>
        <w:t>进一步对接道路周边拟建及在建地块，做好地块雨污水管线与市政雨污水管线的接驳。</w:t>
      </w:r>
    </w:p>
    <w:p>
      <w:pPr>
        <w:spacing w:line="300" w:lineRule="auto"/>
        <w:ind w:firstLine="480" w:firstLineChars="200"/>
        <w:jc w:val="left"/>
        <w:rPr>
          <w:rFonts w:ascii="Times New Roman" w:hAnsi="Times New Roman"/>
          <w:b w:val="0"/>
          <w:color w:val="auto"/>
          <w:sz w:val="24"/>
          <w:szCs w:val="20"/>
          <w:highlight w:val="magenta"/>
        </w:rPr>
      </w:pPr>
      <w:r>
        <w:rPr>
          <w:rFonts w:hint="eastAsia" w:ascii="Times New Roman" w:hAnsi="Times New Roman"/>
          <w:b w:val="0"/>
          <w:color w:val="auto"/>
          <w:sz w:val="24"/>
          <w:szCs w:val="20"/>
          <w:highlight w:val="magenta"/>
        </w:rPr>
        <w:t>5</w:t>
      </w:r>
      <w:r>
        <w:rPr>
          <w:rFonts w:ascii="Times New Roman" w:hAnsi="Times New Roman"/>
          <w:b w:val="0"/>
          <w:color w:val="auto"/>
          <w:sz w:val="24"/>
          <w:szCs w:val="20"/>
          <w:highlight w:val="magenta"/>
        </w:rPr>
        <w:t>、关于防洪评价</w:t>
      </w:r>
    </w:p>
    <w:p>
      <w:pPr>
        <w:spacing w:line="300" w:lineRule="auto"/>
        <w:ind w:firstLine="480" w:firstLineChars="200"/>
        <w:jc w:val="left"/>
        <w:rPr>
          <w:rFonts w:ascii="Times New Roman" w:hAnsi="Times New Roman"/>
          <w:b w:val="0"/>
          <w:color w:val="auto"/>
          <w:sz w:val="24"/>
          <w:szCs w:val="20"/>
          <w:highlight w:val="magenta"/>
        </w:rPr>
      </w:pPr>
      <w:r>
        <w:rPr>
          <w:rFonts w:hint="eastAsia" w:ascii="Times New Roman" w:hAnsi="Times New Roman"/>
          <w:b w:val="0"/>
          <w:color w:val="auto"/>
          <w:sz w:val="24"/>
          <w:szCs w:val="20"/>
          <w:highlight w:val="magenta"/>
        </w:rPr>
        <w:t>本项目跨越河涌，</w:t>
      </w:r>
      <w:r>
        <w:rPr>
          <w:rFonts w:ascii="Times New Roman" w:hAnsi="Times New Roman"/>
          <w:b w:val="0"/>
          <w:color w:val="auto"/>
          <w:sz w:val="24"/>
          <w:szCs w:val="20"/>
          <w:highlight w:val="magenta"/>
        </w:rPr>
        <w:t>防洪评价由业主委托第三方进行编制，</w:t>
      </w:r>
      <w:r>
        <w:rPr>
          <w:rFonts w:hint="eastAsia" w:ascii="Times New Roman" w:hAnsi="Times New Roman"/>
          <w:b w:val="0"/>
          <w:color w:val="auto"/>
          <w:sz w:val="24"/>
          <w:szCs w:val="20"/>
          <w:highlight w:val="magenta"/>
        </w:rPr>
        <w:t>建议尽快完成，确保项目顺利推进</w:t>
      </w:r>
      <w:r>
        <w:rPr>
          <w:rFonts w:ascii="Times New Roman" w:hAnsi="Times New Roman"/>
          <w:b w:val="0"/>
          <w:color w:val="auto"/>
          <w:sz w:val="24"/>
          <w:szCs w:val="20"/>
          <w:highlight w:val="magenta"/>
        </w:rPr>
        <w:t>。</w:t>
      </w:r>
      <w:r>
        <w:rPr>
          <w:rFonts w:ascii="Times New Roman" w:hAnsi="Times New Roman"/>
          <w:b w:val="0"/>
          <w:color w:val="auto"/>
          <w:sz w:val="24"/>
          <w:szCs w:val="20"/>
          <w:highlight w:val="magenta"/>
        </w:rPr>
        <w:br w:type="page"/>
      </w:r>
    </w:p>
    <w:p>
      <w:pPr>
        <w:pStyle w:val="2"/>
        <w:keepNext/>
        <w:keepLines/>
        <w:numPr>
          <w:ilvl w:val="0"/>
          <w:numId w:val="2"/>
        </w:numPr>
        <w:spacing w:before="191" w:beforeLines="0" w:after="191" w:afterLines="0" w:line="360" w:lineRule="auto"/>
        <w:ind w:firstLine="643" w:firstLineChars="200"/>
        <w:jc w:val="center"/>
        <w:rPr>
          <w:rFonts w:ascii="Times New Roman" w:hAnsi="Times New Roman"/>
        </w:rPr>
      </w:pPr>
      <w:bookmarkStart w:id="48" w:name="_Toc6858"/>
      <w:r>
        <w:rPr>
          <w:rFonts w:ascii="Times New Roman" w:hAnsi="Times New Roman"/>
        </w:rPr>
        <w:t>项目建设背景和必要性</w:t>
      </w:r>
      <w:bookmarkEnd w:id="48"/>
    </w:p>
    <w:p>
      <w:pPr>
        <w:pStyle w:val="3"/>
        <w:ind w:firstLine="562" w:firstLineChars="200"/>
      </w:pPr>
      <w:bookmarkStart w:id="49" w:name="_Toc29268"/>
      <w:r>
        <w:fldChar w:fldCharType="begin"/>
      </w:r>
      <w:r>
        <w:instrText xml:space="preserve">HYPERLINK\l"_Toc16487_"</w:instrText>
      </w:r>
      <w:r>
        <w:fldChar w:fldCharType="separate"/>
      </w:r>
      <w:r>
        <w:t>项目背景</w:t>
      </w:r>
      <w:r>
        <w:fldChar w:fldCharType="end"/>
      </w:r>
      <w:bookmarkEnd w:id="49"/>
    </w:p>
    <w:p>
      <w:pPr>
        <w:spacing w:line="300" w:lineRule="auto"/>
        <w:ind w:firstLine="480" w:firstLineChars="200"/>
        <w:rPr>
          <w:rFonts w:ascii="Times New Roman" w:hAnsi="Times New Roman"/>
          <w:b w:val="0"/>
          <w:color w:val="000000" w:themeColor="text1"/>
          <w:sz w:val="24"/>
          <w:highlight w:val="green"/>
          <w14:textFill>
            <w14:solidFill>
              <w14:schemeClr w14:val="tx1"/>
            </w14:solidFill>
          </w14:textFill>
        </w:rPr>
      </w:pPr>
      <w:r>
        <w:rPr>
          <w:rFonts w:hint="eastAsia" w:ascii="Times New Roman" w:hAnsi="Times New Roman"/>
          <w:b w:val="0"/>
          <w:color w:val="000000" w:themeColor="text1"/>
          <w:sz w:val="24"/>
          <w:highlight w:val="green"/>
          <w14:textFill>
            <w14:solidFill>
              <w14:schemeClr w14:val="tx1"/>
            </w14:solidFill>
          </w14:textFill>
        </w:rPr>
        <w:t>南沙新区为国家新区、自贸试验区、粤港澳全面合作示范区和承载门户枢纽功能的广州城市副中心，是广州市“一把手工程”。近年来南沙经济发展稳中提质，创新动能持续增强，制度创新成效突出，港澳合作深度推进，门户枢纽能级跃升，城市建设加快步伐，发展成绩显著，各项社会经济指标领跑广州十一区。在迈入“十四五”之际，南沙新区将以更高要求、更大力度、更实举措加快发展，不断提升南沙新区在国家推进高水平改革开放和粤港澳大湾区建设中的显示度、影响力，奋力打造新时代改革开放新高地。</w:t>
      </w:r>
    </w:p>
    <w:p>
      <w:pPr>
        <w:spacing w:line="300" w:lineRule="auto"/>
        <w:ind w:firstLine="480" w:firstLineChars="200"/>
        <w:rPr>
          <w:rFonts w:ascii="Times New Roman" w:hAnsi="Times New Roman"/>
          <w:b w:val="0"/>
          <w:color w:val="000000" w:themeColor="text1"/>
          <w:sz w:val="24"/>
          <w:highlight w:val="green"/>
          <w14:textFill>
            <w14:solidFill>
              <w14:schemeClr w14:val="tx1"/>
            </w14:solidFill>
          </w14:textFill>
        </w:rPr>
      </w:pPr>
      <w:r>
        <w:rPr>
          <w:rFonts w:hint="eastAsia" w:ascii="Times New Roman" w:hAnsi="Times New Roman"/>
          <w:b w:val="0"/>
          <w:color w:val="000000" w:themeColor="text1"/>
          <w:sz w:val="24"/>
          <w:highlight w:val="green"/>
          <w14:textFill>
            <w14:solidFill>
              <w14:schemeClr w14:val="tx1"/>
            </w14:solidFill>
          </w14:textFill>
        </w:rPr>
        <w:t>南沙新区位于粤港澳大湾区几何中心，50km范围可以覆盖湾区主要节点城市，道路交通出行占据绝对优势，由于高快速路对城市用地具有分割影响，一般对外高快速路的出入口需要设置在城区外围，由高快速路进入城区需要由城市道路衔接实现，因此，南沙快速融入和辐射湾区，一方面需要构建快速直连的高快速通道，另一方面需要畅通对外出入口衔接通道；南沙新区内发展呈“一中心多组团”形式，组团间联系距离多为20km 范围，多组团的空间结构需要由快速便捷通道有效连接各功能组团，形成有机高效的整体支撑全区发展。</w:t>
      </w:r>
    </w:p>
    <w:p>
      <w:pPr>
        <w:spacing w:line="300" w:lineRule="auto"/>
        <w:ind w:firstLine="480" w:firstLineChars="200"/>
        <w:rPr>
          <w:rFonts w:ascii="Times New Roman" w:hAnsi="Times New Roman"/>
          <w:b w:val="0"/>
          <w:color w:val="000000" w:themeColor="text1"/>
          <w:sz w:val="24"/>
          <w:highlight w:val="green"/>
          <w14:textFill>
            <w14:solidFill>
              <w14:schemeClr w14:val="tx1"/>
            </w14:solidFill>
          </w14:textFill>
        </w:rPr>
      </w:pPr>
      <w:r>
        <w:rPr>
          <w:rFonts w:hint="eastAsia" w:ascii="Times New Roman" w:hAnsi="Times New Roman"/>
          <w:b w:val="0"/>
          <w:color w:val="000000" w:themeColor="text1"/>
          <w:sz w:val="24"/>
          <w:highlight w:val="green"/>
          <w14:textFill>
            <w14:solidFill>
              <w14:schemeClr w14:val="tx1"/>
            </w14:solidFill>
          </w14:textFill>
        </w:rPr>
        <w:t>2022年国务院出台《广州南沙深化面向世界的粤港澳全面合作总体方案》，提出将南沙打造成为立足湾区、协同港澳、面向世界的重大战略性平台，今年省市区高质量发展大会，提出将南沙打造成广州高质量发展主阵地、新引擎，支撑南沙打造成为粤港澳大湾区高水平对外开放门户枢纽。</w:t>
      </w:r>
    </w:p>
    <w:p>
      <w:pPr>
        <w:spacing w:line="300" w:lineRule="auto"/>
        <w:ind w:firstLine="480" w:firstLineChars="200"/>
        <w:rPr>
          <w:rFonts w:ascii="Times New Roman" w:hAnsi="Times New Roman"/>
          <w:b w:val="0"/>
          <w:color w:val="000000" w:themeColor="text1"/>
          <w:sz w:val="24"/>
          <w:highlight w:val="green"/>
          <w14:textFill>
            <w14:solidFill>
              <w14:schemeClr w14:val="tx1"/>
            </w14:solidFill>
          </w14:textFill>
        </w:rPr>
      </w:pPr>
      <w:r>
        <w:rPr>
          <w:rFonts w:hint="eastAsia" w:ascii="Times New Roman" w:hAnsi="Times New Roman"/>
          <w:b w:val="0"/>
          <w:color w:val="000000" w:themeColor="text1"/>
          <w:sz w:val="24"/>
          <w:highlight w:val="green"/>
          <w14:textFill>
            <w14:solidFill>
              <w14:schemeClr w14:val="tx1"/>
            </w14:solidFill>
          </w14:textFill>
        </w:rPr>
        <w:t>2023年开春之际，广东省、广州市、南沙区各级政府召开高质量发展大会。南沙打造为全市高质量发展主阵地和新引擎，全力打造中国式现代化的南沙范例。</w:t>
      </w:r>
    </w:p>
    <w:p>
      <w:pPr>
        <w:spacing w:line="300" w:lineRule="auto"/>
        <w:ind w:firstLine="480" w:firstLineChars="200"/>
        <w:rPr>
          <w:rFonts w:ascii="Times New Roman" w:hAnsi="Times New Roman"/>
          <w:b w:val="0"/>
          <w:color w:val="000000" w:themeColor="text1"/>
          <w:sz w:val="24"/>
          <w:highlight w:val="green"/>
          <w14:textFill>
            <w14:solidFill>
              <w14:schemeClr w14:val="tx1"/>
            </w14:solidFill>
          </w14:textFill>
        </w:rPr>
      </w:pPr>
      <w:r>
        <w:rPr>
          <w:rFonts w:hint="eastAsia" w:ascii="Times New Roman" w:hAnsi="Times New Roman"/>
          <w:b w:val="0"/>
          <w:color w:val="000000" w:themeColor="text1"/>
          <w:sz w:val="24"/>
          <w:highlight w:val="green"/>
          <w14:textFill>
            <w14:solidFill>
              <w14:schemeClr w14:val="tx1"/>
            </w14:solidFill>
          </w14:textFill>
        </w:rPr>
        <w:t>广东省提出强化在国内国际两个循环中的关键功能，依托粤港澳大湾区这一重要动力源，发挥横琴、前海、南沙等重大平台作用，扎扎实实抓好今年，抓好5年，再深耕10年、30年，必定能再造一个新广东、再创让世界刮目相看的新奇迹。</w:t>
      </w:r>
    </w:p>
    <w:p>
      <w:pPr>
        <w:spacing w:line="300" w:lineRule="auto"/>
        <w:ind w:firstLine="480" w:firstLineChars="200"/>
        <w:rPr>
          <w:rFonts w:ascii="Times New Roman" w:hAnsi="Times New Roman"/>
          <w:b w:val="0"/>
          <w:color w:val="000000" w:themeColor="text1"/>
          <w:sz w:val="24"/>
          <w:highlight w:val="green"/>
          <w14:textFill>
            <w14:solidFill>
              <w14:schemeClr w14:val="tx1"/>
            </w14:solidFill>
          </w14:textFill>
        </w:rPr>
      </w:pPr>
      <w:r>
        <w:rPr>
          <w:rFonts w:hint="eastAsia" w:ascii="Times New Roman" w:hAnsi="Times New Roman"/>
          <w:b w:val="0"/>
          <w:color w:val="000000" w:themeColor="text1"/>
          <w:sz w:val="24"/>
          <w:highlight w:val="green"/>
          <w14:textFill>
            <w14:solidFill>
              <w14:schemeClr w14:val="tx1"/>
            </w14:solidFill>
          </w14:textFill>
        </w:rPr>
        <w:t>广州市提出锚定建设“精明增长、精致城区、岭南特色、田园风格、中国气派”的现代化都市。加快南沙开发开放，集中力量建设先行启动区，努力把南沙建设成为立足湾区、协同港澳、面向世界的重大战略性平台。提高城市开放合作水平、贸易投资自由化便利化水平、资源要素集聚水平、公共服务现代化国际化水平。</w:t>
      </w:r>
    </w:p>
    <w:p>
      <w:pPr>
        <w:spacing w:line="300" w:lineRule="auto"/>
        <w:ind w:firstLine="480" w:firstLineChars="200"/>
        <w:rPr>
          <w:rFonts w:ascii="Times New Roman" w:hAnsi="Times New Roman"/>
          <w:b w:val="0"/>
          <w:color w:val="000000" w:themeColor="text1"/>
          <w:sz w:val="24"/>
          <w:highlight w:val="green"/>
          <w14:textFill>
            <w14:solidFill>
              <w14:schemeClr w14:val="tx1"/>
            </w14:solidFill>
          </w14:textFill>
        </w:rPr>
      </w:pPr>
      <w:r>
        <w:rPr>
          <w:rFonts w:hint="eastAsia" w:ascii="Times New Roman" w:hAnsi="Times New Roman"/>
          <w:b w:val="0"/>
          <w:color w:val="000000" w:themeColor="text1"/>
          <w:sz w:val="24"/>
          <w:highlight w:val="green"/>
          <w14:textFill>
            <w14:solidFill>
              <w14:schemeClr w14:val="tx1"/>
            </w14:solidFill>
          </w14:textFill>
        </w:rPr>
        <w:t>南沙区提出将突出面向世界开放导向，以推进全面深化改革释放高质量发展活力，全力做好深化面向世界的粤港澳全面合作这篇大文章，共建高水平对外开放门户。 实施全省首个未来城市建设试点，集中力量建设南沙湾、庆盛枢纽、南沙枢纽等重点片区，完善大湾区“半小时交通圈”。提升城市功能品质。在南沙全域全面加快智慧城市建设，打造公园城市高质量发展标杆。</w:t>
      </w:r>
    </w:p>
    <w:p>
      <w:pPr>
        <w:spacing w:line="300" w:lineRule="auto"/>
        <w:ind w:firstLine="480" w:firstLineChars="200"/>
        <w:rPr>
          <w:rFonts w:ascii="Times New Roman" w:hAnsi="Times New Roman"/>
          <w:b w:val="0"/>
          <w:color w:val="000000" w:themeColor="text1"/>
          <w:sz w:val="24"/>
          <w:highlight w:val="green"/>
          <w14:textFill>
            <w14:solidFill>
              <w14:schemeClr w14:val="tx1"/>
            </w14:solidFill>
          </w14:textFill>
        </w:rPr>
      </w:pPr>
      <w:r>
        <w:rPr>
          <w:rFonts w:hint="eastAsia" w:ascii="Times New Roman" w:hAnsi="Times New Roman"/>
          <w:b w:val="0"/>
          <w:color w:val="000000" w:themeColor="text1"/>
          <w:sz w:val="24"/>
          <w:highlight w:val="green"/>
          <w14:textFill>
            <w14:solidFill>
              <w14:schemeClr w14:val="tx1"/>
            </w14:solidFill>
          </w14:textFill>
        </w:rPr>
        <w:t>为贯彻习近平总书记关于粤港澳大湾区建设的指示精神，落实国务院印发的《广州南沙深化面向世界的粤港澳全面合作总体方案》（以下简称“南沙方案”）将南沙打造成为立足湾区、协同港澳、面向世界的重大战略性平台。按照省委、省政府的工作部署，我市要加快建设集文化、体育、旅游、国防教育等功能为一体的全民文化体育综合体。</w:t>
      </w:r>
    </w:p>
    <w:p>
      <w:pPr>
        <w:spacing w:line="300" w:lineRule="auto"/>
        <w:ind w:firstLine="480" w:firstLineChars="200"/>
        <w:rPr>
          <w:rFonts w:ascii="Times New Roman" w:hAnsi="Times New Roman"/>
          <w:b w:val="0"/>
          <w:color w:val="000000" w:themeColor="text1"/>
          <w:sz w:val="24"/>
          <w:highlight w:val="green"/>
          <w14:textFill>
            <w14:solidFill>
              <w14:schemeClr w14:val="tx1"/>
            </w14:solidFill>
          </w14:textFill>
        </w:rPr>
      </w:pPr>
      <w:r>
        <w:rPr>
          <w:rFonts w:hint="eastAsia" w:ascii="Times New Roman" w:hAnsi="Times New Roman"/>
          <w:b w:val="0"/>
          <w:color w:val="000000" w:themeColor="text1"/>
          <w:sz w:val="24"/>
          <w:highlight w:val="green"/>
          <w14:textFill>
            <w14:solidFill>
              <w14:schemeClr w14:val="tx1"/>
            </w14:solidFill>
          </w14:textFill>
        </w:rPr>
        <w:t>在未提出全民文化体育综合体之前，南沙万顷沙镇南片基本无规划开发建设，为规划引领城市发展，为落实《南沙方案》“积极承办国际重要论坛、大型文体赛事等对外交流活动”的工作要求，要举全市之力，下非常之功，对标世界一流，高起点谋划、高水平设计、高标准建设，努力将南沙全民文化体育综合体建成广州乃至粤港澳大湾区产业升级、高质量发展的重要引擎和粤港澳合作的重要标杆，充分发挥这一大型综合体建设的牵引带动作用。市层面开展城市设计、控规调整工作。</w:t>
      </w:r>
    </w:p>
    <w:p>
      <w:pPr>
        <w:spacing w:line="300" w:lineRule="auto"/>
        <w:ind w:firstLine="480" w:firstLineChars="200"/>
        <w:rPr>
          <w:rFonts w:ascii="Times New Roman" w:hAnsi="Times New Roman"/>
          <w:b w:val="0"/>
          <w:color w:val="000000" w:themeColor="text1"/>
          <w:sz w:val="24"/>
          <w:highlight w:val="green"/>
          <w14:textFill>
            <w14:solidFill>
              <w14:schemeClr w14:val="tx1"/>
            </w14:solidFill>
          </w14:textFill>
        </w:rPr>
      </w:pPr>
      <w:r>
        <w:rPr>
          <w:rFonts w:hint="eastAsia" w:ascii="Times New Roman" w:hAnsi="Times New Roman"/>
          <w:b w:val="0"/>
          <w:color w:val="000000" w:themeColor="text1"/>
          <w:sz w:val="24"/>
          <w:highlight w:val="green"/>
          <w14:textFill>
            <w14:solidFill>
              <w14:schemeClr w14:val="tx1"/>
            </w14:solidFill>
          </w14:textFill>
        </w:rPr>
        <w:t>根据在编制的城市设计概念方案，启动区规划建设海洋生态、文化、体育、商业大型城市综合体。南沙全民文化体育综合体项目包括体育场、综合体育馆、游泳跳水馆、运动员中心、能源中心、停车场、道路等附属设施。</w:t>
      </w:r>
    </w:p>
    <w:p>
      <w:pPr>
        <w:spacing w:line="300" w:lineRule="auto"/>
        <w:ind w:firstLine="480" w:firstLineChars="200"/>
        <w:rPr>
          <w:rFonts w:ascii="Times New Roman" w:hAnsi="Times New Roman"/>
          <w:b w:val="0"/>
          <w:color w:val="000000" w:themeColor="text1"/>
          <w:sz w:val="24"/>
          <w:highlight w:val="green"/>
          <w14:textFill>
            <w14:solidFill>
              <w14:schemeClr w14:val="tx1"/>
            </w14:solidFill>
          </w14:textFill>
        </w:rPr>
      </w:pPr>
      <w:r>
        <w:rPr>
          <w:rFonts w:hint="eastAsia" w:ascii="Times New Roman" w:hAnsi="Times New Roman"/>
          <w:b w:val="0"/>
          <w:color w:val="000000" w:themeColor="text1"/>
          <w:sz w:val="24"/>
          <w:highlight w:val="green"/>
          <w14:textFill>
            <w14:solidFill>
              <w14:schemeClr w14:val="tx1"/>
            </w14:solidFill>
          </w14:textFill>
        </w:rPr>
        <w:t xml:space="preserve"> 为促进南沙大型城市综合体（后更名为南沙全民文化体育综合体），由市委市政府成立了南沙大型城市综合体建设指挥部，为贯彻落实南沙方案，按照省委、省政府的工作部署，广州市要加快建设集文化、体育、旅游、国防教育的功能为一体的全民文化体育综合体。根据区域城市设计和控规调整的最新成果，加快推进建设工作，南沙大型城市综合体建设指挥部印发了《南沙全民文化体育综合体及配套设施建设第一批工作任务》，计划在南沙南部10平方公里，建设南沙全民文化体育综合体及配套设施，总投资约181.98亿元。</w:t>
      </w:r>
    </w:p>
    <w:p>
      <w:pPr>
        <w:spacing w:line="300" w:lineRule="auto"/>
        <w:ind w:firstLine="480" w:firstLineChars="200"/>
        <w:rPr>
          <w:rFonts w:ascii="Times New Roman" w:hAnsi="Times New Roman"/>
          <w:b w:val="0"/>
          <w:color w:val="000000" w:themeColor="text1"/>
          <w:sz w:val="24"/>
          <w:highlight w:val="green"/>
          <w14:textFill>
            <w14:solidFill>
              <w14:schemeClr w14:val="tx1"/>
            </w14:solidFill>
          </w14:textFill>
        </w:rPr>
      </w:pPr>
      <w:r>
        <w:rPr>
          <w:rFonts w:hint="eastAsia" w:ascii="Times New Roman" w:hAnsi="Times New Roman"/>
          <w:b w:val="0"/>
          <w:color w:val="000000" w:themeColor="text1"/>
          <w:sz w:val="24"/>
          <w:highlight w:val="green"/>
          <w14:textFill>
            <w14:solidFill>
              <w14:schemeClr w14:val="tx1"/>
            </w14:solidFill>
          </w14:textFill>
        </w:rPr>
        <w:t>根据《南沙全民文化体育综合体及配套设施建设第一批工作任务》，计划综合体及配套道路拟将于2025年3月建成。</w:t>
      </w:r>
    </w:p>
    <w:p>
      <w:pPr>
        <w:spacing w:line="300" w:lineRule="auto"/>
        <w:ind w:firstLine="480" w:firstLineChars="200"/>
        <w:rPr>
          <w:rFonts w:ascii="Times New Roman" w:hAnsi="Times New Roman"/>
          <w:b w:val="0"/>
          <w:color w:val="000000" w:themeColor="text1"/>
          <w:sz w:val="24"/>
          <w:highlight w:val="green"/>
          <w14:textFill>
            <w14:solidFill>
              <w14:schemeClr w14:val="tx1"/>
            </w14:solidFill>
          </w14:textFill>
        </w:rPr>
      </w:pPr>
      <w:r>
        <w:rPr>
          <w:rFonts w:hint="eastAsia" w:ascii="Times New Roman" w:hAnsi="Times New Roman"/>
          <w:b w:val="0"/>
          <w:color w:val="000000" w:themeColor="text1"/>
          <w:sz w:val="24"/>
          <w:highlight w:val="green"/>
          <w14:textFill>
            <w14:solidFill>
              <w14:schemeClr w14:val="tx1"/>
            </w14:solidFill>
          </w14:textFill>
        </w:rPr>
        <w:t>南沙全民文化体育综合体位于二十涌以南，占地0.7平方公里，规划建设内容为“一场两馆”和“配套设施”。目前已完成城市设计方案，并完成控规调整基本稳定。</w:t>
      </w:r>
    </w:p>
    <w:p>
      <w:pPr>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hint="eastAsia" w:ascii="Times New Roman" w:hAnsi="Times New Roman"/>
          <w:b w:val="0"/>
          <w:color w:val="000000" w:themeColor="text1"/>
          <w:sz w:val="24"/>
          <w:highlight w:val="green"/>
          <w14:textFill>
            <w14:solidFill>
              <w14:schemeClr w14:val="tx1"/>
            </w14:solidFill>
          </w14:textFill>
        </w:rPr>
        <w:t>为加快推进综合体开发建设，本项目作为综合体开发建设的生命通道和保赛通道之一，亟需配套建设。</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本项目所在区域为广州南沙区，南沙区位于珠江出海口虎门水道伶仃洋的西岸，是西江、北江、东江三江汇集之处，是广州市唯一出海口，处于珠江三角洲经济区的地理几何中心，在广州—香港—澳门“A”字形空间结构中处于支撑位置，东与东莞虎门隔海相望，西连中山市，与香港、澳门三足鼎立在珠江湾，是联结珠江口两岸城市群的枢纽性节点，是珠三角的最后一块处女地。以南沙为中心30km范围内，有广州、中山、东莞、佛山；60km范围内有香港、澳门、深圳、珠海、惠州、江门等14个大中城市；方圆100km内聚集着广州、深圳、东莞、中山、珠海、佛山等中国经济最活跃的城市群。全区总面积803km2，其中陆域面积约575km2。南沙海岸线一边对着香港、一边对着澳门，距离香港38海里、距离澳门41海里，京港澳高速、南沙港快速、广州地铁四号线、广深港客运专线、广州港南沙港区等陆续建成投入营运，水运、空运、铁路、公路运输网络发达，南沙背靠珠江三角洲4000万人口的广阔市场腹地，又通过穗、深、港、澳等大城市连接海内外市场。南沙与港澳地缘相近、语言相通、商缘相连，合作历史悠久，上世纪80年代就与港澳企业开展了成片开发合作，合作建设了一批国家级科技研发平台和高端示范项目，是广东省实施内地与港澳关于建立更紧密经贸关系的安排（CEPA）先行先试综合示范区。总之，南沙是珠江流域通向海洋的重要通道，也是连接珠江口两岸城市群的枢纽节点和我国南方重要的对外开放门户，战略位置突出，具有很强的市场潜力和辐射力。根据《广州市南沙区、广州南沙开发区（自贸区南沙片区）国民经济和社会发展第十四个五年规划和2035年远景目标纲要》。本项目为南沙新区万顷沙镇的基础设施建设，本项目的建设将促进万顷沙镇基础设施的建成，是万顷沙镇基础设施的重要组成部分。</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项目的建设有利于贯彻落实新发展理念和高质量发展要求，加快实现创新驱动发展战略，加快培育发展新动能，提升大湾区产业创新力和竞争力。有利于充分发挥国家新区自贸试验区改革开放试验田作用，学习借鉴港澳与国际接轨的营商规则，共建国际一流营商环境，促进生产要素跨境跨区域有序自由流动，率先构建开放型经济新体制。有利于探索湾区城市联动发展的新模式新机制，形成区域双向开放、协同发展新格局，更好地辐射带动更广区域参与国际经济竞争合作，在“一带一路”建设中发挥重要作用。</w:t>
      </w:r>
    </w:p>
    <w:p>
      <w:pPr>
        <w:ind w:firstLine="482" w:firstLineChars="200"/>
        <w:jc w:val="center"/>
        <w:rPr>
          <w:rFonts w:ascii="Times New Roman" w:hAnsi="Times New Roman"/>
          <w:sz w:val="24"/>
        </w:rPr>
      </w:pPr>
      <w:r>
        <w:rPr>
          <w:rFonts w:ascii="Times New Roman" w:hAnsi="Times New Roman"/>
          <w:sz w:val="24"/>
        </w:rPr>
        <w:drawing>
          <wp:inline distT="0" distB="0" distL="0" distR="0">
            <wp:extent cx="5015230" cy="5039995"/>
            <wp:effectExtent l="0" t="0" r="13970" b="8255"/>
            <wp:docPr id="1037" name="图片 1037" descr="H:\2022年\设计项目\01 万环西路\设计资料\投标文本图片制作\南沙新区区位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 name="图片 1037" descr="H:\2022年\设计项目\01 万环西路\设计资料\投标文本图片制作\南沙新区区位图.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015230" cy="5039995"/>
                    </a:xfrm>
                    <a:prstGeom prst="rect">
                      <a:avLst/>
                    </a:prstGeom>
                    <a:noFill/>
                    <a:ln>
                      <a:noFill/>
                    </a:ln>
                  </pic:spPr>
                </pic:pic>
              </a:graphicData>
            </a:graphic>
          </wp:inline>
        </w:drawing>
      </w:r>
    </w:p>
    <w:p>
      <w:pPr>
        <w:spacing w:line="300" w:lineRule="auto"/>
        <w:ind w:firstLine="422" w:firstLineChars="200"/>
        <w:jc w:val="center"/>
        <w:rPr>
          <w:rFonts w:ascii="Times New Roman" w:hAnsi="Times New Roman"/>
          <w:color w:val="000000" w:themeColor="text1"/>
          <w:sz w:val="21"/>
          <w14:textFill>
            <w14:solidFill>
              <w14:schemeClr w14:val="tx1"/>
            </w14:solidFill>
          </w14:textFill>
        </w:rPr>
      </w:pPr>
      <w:r>
        <w:rPr>
          <w:rFonts w:ascii="Times New Roman" w:hAnsi="Times New Roman"/>
          <w:color w:val="000000" w:themeColor="text1"/>
          <w:sz w:val="21"/>
          <w14:textFill>
            <w14:solidFill>
              <w14:schemeClr w14:val="tx1"/>
            </w14:solidFill>
          </w14:textFill>
        </w:rPr>
        <w:t>南沙新区区位图</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本项目位于南沙区南部片区，区域现状路网尚未完善，交通不便，主要的交通主干线为现状万环西路、灵新大道，南中高速及其万顷沙支线为在建高速路。本项目的建设与万环西南延线、灵新大道南延线、南中高速及其万顷沙支线等组成的骨干交通路网，使南沙与广州中心城区乃至珠江三角洲地区的路网形成快速便捷的联系，充分发挥南沙作为珠三角交通枢纽的优势，同时积极引导产业落地，打造“湾区之芯”，立足南沙，面向世界，引领高质量发展。</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highlight w:val="green"/>
          <w14:textFill>
            <w14:solidFill>
              <w14:schemeClr w14:val="tx1"/>
            </w14:solidFill>
          </w14:textFill>
        </w:rPr>
        <w:t>根据南沙大型城市综合体建设指挥部关于印发《南沙全民文化体育综合体及配套设施建设第一批工作任务》的通知</w:t>
      </w:r>
      <w:r>
        <w:rPr>
          <w:rFonts w:hint="eastAsia" w:ascii="Times New Roman" w:hAnsi="Times New Roman"/>
          <w:b w:val="0"/>
          <w:color w:val="000000" w:themeColor="text1"/>
          <w:sz w:val="24"/>
          <w:szCs w:val="24"/>
          <w:highlight w:val="green"/>
          <w14:textFill>
            <w14:solidFill>
              <w14:schemeClr w14:val="tx1"/>
            </w14:solidFill>
          </w14:textFill>
        </w:rPr>
        <w:t>、</w:t>
      </w:r>
      <w:r>
        <w:rPr>
          <w:rFonts w:ascii="Times New Roman" w:hAnsi="Times New Roman"/>
          <w:b w:val="0"/>
          <w:color w:val="000000" w:themeColor="text1"/>
          <w:sz w:val="24"/>
          <w:szCs w:val="24"/>
          <w:highlight w:val="green"/>
          <w14:textFill>
            <w14:solidFill>
              <w14:schemeClr w14:val="tx1"/>
            </w14:solidFill>
          </w14:textFill>
        </w:rPr>
        <w:t>南沙区落实《南沙全民文化体育综合体及配套设施建设第一批工作任务》的实施方案</w:t>
      </w:r>
      <w:r>
        <w:rPr>
          <w:rFonts w:hint="eastAsia" w:ascii="Times New Roman" w:hAnsi="Times New Roman"/>
          <w:b w:val="0"/>
          <w:color w:val="000000" w:themeColor="text1"/>
          <w:sz w:val="24"/>
          <w:szCs w:val="24"/>
          <w:highlight w:val="green"/>
          <w14:textFill>
            <w14:solidFill>
              <w14:schemeClr w14:val="tx1"/>
            </w14:solidFill>
          </w14:textFill>
        </w:rPr>
        <w:t>、广州市规划和自然资源局南沙区分局提供的《关于提供南沙全民文化体育综合体部分配套道路规划意见的复函-穗规划资源南〔2023〕810号》及《关于研究南沙全民文化体育综合体配建道路事宜的备忘》相关要求，</w:t>
      </w:r>
      <w:r>
        <w:rPr>
          <w:rFonts w:ascii="Times New Roman" w:hAnsi="Times New Roman"/>
          <w:b w:val="0"/>
          <w:color w:val="auto"/>
          <w:sz w:val="24"/>
          <w:szCs w:val="24"/>
        </w:rPr>
        <w:t>本项目包含</w:t>
      </w:r>
      <w:r>
        <w:rPr>
          <w:rFonts w:hint="eastAsia" w:ascii="Times New Roman" w:hAnsi="Times New Roman"/>
          <w:b w:val="0"/>
          <w:color w:val="auto"/>
          <w:sz w:val="24"/>
          <w:szCs w:val="24"/>
        </w:rPr>
        <w:t>2</w:t>
      </w:r>
      <w:r>
        <w:rPr>
          <w:rFonts w:ascii="Times New Roman" w:hAnsi="Times New Roman"/>
          <w:b w:val="0"/>
          <w:color w:val="auto"/>
          <w:sz w:val="24"/>
          <w:szCs w:val="24"/>
        </w:rPr>
        <w:t>条新建市政道路，其中城市主干路</w:t>
      </w:r>
      <w:r>
        <w:rPr>
          <w:rFonts w:hint="eastAsia" w:ascii="Times New Roman" w:hAnsi="Times New Roman"/>
          <w:b w:val="0"/>
          <w:color w:val="auto"/>
          <w:sz w:val="24"/>
          <w:szCs w:val="24"/>
        </w:rPr>
        <w:t>1</w:t>
      </w:r>
      <w:r>
        <w:rPr>
          <w:rFonts w:ascii="Times New Roman" w:hAnsi="Times New Roman"/>
          <w:b w:val="0"/>
          <w:color w:val="auto"/>
          <w:sz w:val="24"/>
          <w:szCs w:val="24"/>
        </w:rPr>
        <w:t>条，设计速度60km/h，为二十涌北路，全长约</w:t>
      </w:r>
      <w:r>
        <w:rPr>
          <w:rFonts w:hint="eastAsia" w:ascii="Times New Roman" w:hAnsi="Times New Roman"/>
          <w:b w:val="0"/>
          <w:color w:val="auto"/>
          <w:sz w:val="24"/>
          <w:szCs w:val="24"/>
        </w:rPr>
        <w:t>1852</w:t>
      </w:r>
      <w:r>
        <w:rPr>
          <w:rFonts w:ascii="Times New Roman" w:hAnsi="Times New Roman"/>
          <w:b w:val="0"/>
          <w:color w:val="auto"/>
          <w:sz w:val="24"/>
          <w:szCs w:val="24"/>
        </w:rPr>
        <w:t>m；城市次干路</w:t>
      </w:r>
      <w:r>
        <w:rPr>
          <w:rFonts w:hint="eastAsia" w:ascii="Times New Roman" w:hAnsi="Times New Roman"/>
          <w:b w:val="0"/>
          <w:color w:val="auto"/>
          <w:sz w:val="24"/>
          <w:szCs w:val="24"/>
        </w:rPr>
        <w:t>1</w:t>
      </w:r>
      <w:r>
        <w:rPr>
          <w:rFonts w:ascii="Times New Roman" w:hAnsi="Times New Roman"/>
          <w:b w:val="0"/>
          <w:color w:val="auto"/>
          <w:sz w:val="24"/>
          <w:szCs w:val="24"/>
        </w:rPr>
        <w:t>条，设计速度40km/h，分别为规划纵三路，次干路全长约</w:t>
      </w:r>
      <w:r>
        <w:rPr>
          <w:rFonts w:hint="eastAsia" w:ascii="Times New Roman" w:hAnsi="Times New Roman"/>
          <w:b w:val="0"/>
          <w:color w:val="auto"/>
          <w:sz w:val="24"/>
          <w:szCs w:val="24"/>
        </w:rPr>
        <w:t>1485</w:t>
      </w:r>
      <w:r>
        <w:rPr>
          <w:rFonts w:ascii="Times New Roman" w:hAnsi="Times New Roman"/>
          <w:b w:val="0"/>
          <w:color w:val="auto"/>
          <w:sz w:val="24"/>
          <w:szCs w:val="24"/>
        </w:rPr>
        <w:t>m；新建桥涵</w:t>
      </w:r>
      <w:r>
        <w:rPr>
          <w:rFonts w:hint="eastAsia" w:ascii="Times New Roman" w:hAnsi="Times New Roman"/>
          <w:b w:val="0"/>
          <w:color w:val="auto"/>
          <w:sz w:val="24"/>
          <w:szCs w:val="24"/>
        </w:rPr>
        <w:t>2</w:t>
      </w:r>
      <w:r>
        <w:rPr>
          <w:rFonts w:ascii="Times New Roman" w:hAnsi="Times New Roman"/>
          <w:b w:val="0"/>
          <w:color w:val="auto"/>
          <w:sz w:val="24"/>
          <w:szCs w:val="24"/>
        </w:rPr>
        <w:t>座，涵洞1座</w:t>
      </w:r>
      <w:r>
        <w:rPr>
          <w:rFonts w:ascii="Times New Roman" w:hAnsi="Times New Roman"/>
          <w:b w:val="0"/>
          <w:color w:val="000000" w:themeColor="text1"/>
          <w:sz w:val="24"/>
          <w:szCs w:val="24"/>
          <w14:textFill>
            <w14:solidFill>
              <w14:schemeClr w14:val="tx1"/>
            </w14:solidFill>
          </w14:textFill>
        </w:rPr>
        <w:t>。</w:t>
      </w:r>
    </w:p>
    <w:p>
      <w:pPr>
        <w:pStyle w:val="3"/>
        <w:ind w:firstLine="562" w:firstLineChars="200"/>
      </w:pPr>
      <w:bookmarkStart w:id="50" w:name="_Toc2936"/>
      <w:r>
        <w:t>规划政策符合性</w:t>
      </w:r>
      <w:bookmarkEnd w:id="50"/>
    </w:p>
    <w:p>
      <w:pPr>
        <w:pStyle w:val="4"/>
        <w:ind w:firstLine="482" w:firstLineChars="200"/>
      </w:pPr>
      <w:bookmarkStart w:id="51" w:name="_Toc7414"/>
      <w:r>
        <w:t>影响区域社会经济发展情况</w:t>
      </w:r>
      <w:bookmarkEnd w:id="51"/>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（1）广东省社会经济现状</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2022年，广东坚持稳中求进工作总基调，高效统筹疫情防控和经济社会发展，有力有效应对</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超预期因素冲击，经济运行韧性彰显，高质量发展取得新的成效，民生保障持续加强，经济社会大局保持稳定。</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根据地区生产总值统一核算结果，2022年，广东地区生产总值为129118.58亿元，同比增长</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1.9%。其中，第一产业增加值5340.36亿元，增长5.2%；第二产业增加值52843.51亿元，增长2.5%；第三产业增加值70934.71亿元，增长1.2%。</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2022年，广东规模以上工业增加值3.95万亿元，同比增长1.6%。分三大门类看，采矿业增</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加值增长4.6%，制造业增长1.3%，电力、热力、燃气及水生产和供应业增长5.3%。支柱行业中，新能源汽车产销两旺，汽车制造业增长20.8%；锂电和光伏等新能源产业快速发展，电气机械和器材制造业增长2.8%；计算机、通信和其他电子设备制造业增长1.1%；电力、热力生产和供应业增长5.4%。</w:t>
      </w:r>
    </w:p>
    <w:p>
      <w:pPr>
        <w:spacing w:line="360" w:lineRule="auto"/>
        <w:ind w:firstLine="422" w:firstLineChars="200"/>
        <w:jc w:val="center"/>
        <w:rPr>
          <w:rFonts w:ascii="Times New Roman" w:hAnsi="Times New Roman"/>
          <w:color w:val="000000" w:themeColor="text1"/>
          <w:sz w:val="21"/>
          <w14:textFill>
            <w14:solidFill>
              <w14:schemeClr w14:val="tx1"/>
            </w14:solidFill>
          </w14:textFill>
        </w:rPr>
      </w:pPr>
      <w:r>
        <w:rPr>
          <w:rFonts w:ascii="Times New Roman" w:hAnsi="Times New Roman"/>
          <w:color w:val="000000" w:themeColor="text1"/>
          <w:sz w:val="21"/>
          <w14:textFill>
            <w14:solidFill>
              <w14:schemeClr w14:val="tx1"/>
            </w14:solidFill>
          </w14:textFill>
        </w:rPr>
        <w:drawing>
          <wp:inline distT="0" distB="0" distL="114300" distR="114300">
            <wp:extent cx="4801235" cy="2706370"/>
            <wp:effectExtent l="0" t="0" r="18415" b="17780"/>
            <wp:docPr id="2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pic:cNvPicPr>
                      <a:picLocks noChangeAspect="1"/>
                    </pic:cNvPicPr>
                  </pic:nvPicPr>
                  <pic:blipFill>
                    <a:blip r:embed="rId30"/>
                    <a:stretch>
                      <a:fillRect/>
                    </a:stretch>
                  </pic:blipFill>
                  <pic:spPr>
                    <a:xfrm>
                      <a:off x="0" y="0"/>
                      <a:ext cx="4801235" cy="2706370"/>
                    </a:xfrm>
                    <a:prstGeom prst="rect">
                      <a:avLst/>
                    </a:prstGeom>
                    <a:noFill/>
                    <a:ln>
                      <a:noFill/>
                    </a:ln>
                  </pic:spPr>
                </pic:pic>
              </a:graphicData>
            </a:graphic>
          </wp:inline>
        </w:drawing>
      </w:r>
    </w:p>
    <w:p>
      <w:pPr>
        <w:spacing w:line="360" w:lineRule="auto"/>
        <w:ind w:firstLine="422" w:firstLineChars="200"/>
        <w:jc w:val="center"/>
        <w:rPr>
          <w:rFonts w:ascii="Times New Roman" w:hAnsi="Times New Roman"/>
          <w:color w:val="000000" w:themeColor="text1"/>
          <w:sz w:val="21"/>
          <w14:textFill>
            <w14:solidFill>
              <w14:schemeClr w14:val="tx1"/>
            </w14:solidFill>
          </w14:textFill>
        </w:rPr>
      </w:pPr>
      <w:r>
        <w:rPr>
          <w:rFonts w:ascii="Times New Roman" w:hAnsi="Times New Roman"/>
          <w:color w:val="000000" w:themeColor="text1"/>
          <w:sz w:val="21"/>
          <w14:textFill>
            <w14:solidFill>
              <w14:schemeClr w14:val="tx1"/>
            </w14:solidFill>
          </w14:textFill>
        </w:rPr>
        <w:t>2017-2022年广东地区生产总值及增长速度</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2022年，广东固定资产投资额同比下降2.6%。分领域看，工业投资增长10.3%，占全部投资比重27.9%，同比提高3.3个百分点，其中，制造业投资增长12.2%。基础设施投资增长2.0%，占全部投资比重27.6%，同比提高1.3个百分点，其中，铁路运输业投资增长23.5%；公共设施管理业投资增长8.8%，城市更新、人居环境改善项目建设有序推进。社会民生领域加大补短板力度，卫生和社会工作投资增长29.4%。房地产开发投资下降14.3%。</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2022年，广东规模以上工业高技术制造业增加值同比增长3.2%，占规模以上工业增加值比重29.9%；其中，医药制造业增长15.1%，计算机及办公设备制造业增长12.6%，医疗仪器设备及仪表制造业增长8.3%。先进制造业增加值增长2.5%，占规模以上工业增加值比重55.1%；其中，先进装备制造业增长9.6%，生物医药及高性能医疗器械增长12.5%。制造业发展新动能快速培育，高技术制造业投资增长25.5%，先进制造业投资增长17.8%。居民消费方式加快向线上转移，网络购物持续释放潜力，全省限额以上单位通过公共网络实现商品零售额增长13.4%，占社会消费品零售总额比重12.2%。</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(2)广州市社会经济现状</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2022年，广州市地区生产总值为28839.00亿元，同比增长1.0%。其中，第一产业增加值为318.31亿元，同比增长3.17%；第二产业增加值为7909.29亿元，同比增长1.07%；第三产业增加值为20611.40亿元，同比增长0.97%。</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2022年，全市规模以上工业增加值同比增长0.8%。主导产业汽车制造业发挥重要支撑作用，全年实现增加值同比增长4.8%，其中新能源汽车产出势头良好，实现产值、产量分别为446.61亿元和31.37万辆，同比分别增长1.2倍和1.1倍。高技术制造业保持较好增势，实现增加值同比增长8.1%，其中，医药制造业释放强劲动能，同比增长49.5%。传统优势行业电气机械及器材制造业增势稳定，同比增长5.5%。部分新产品保持较快增长，新一代信息技术产品中的显示器、智能电视产量同比分别增长19.4%和84.0%；集成电路产业开始释放潜力，全年集成电路圆片产量增长12.4%；工业机器人、工业控制计算机及系统等工业数字化转型产品产量增势较好，同比分别增长25.7%和32.8%。</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2022年全市完成固定资产投资同比下降2.1%。分领域看，基础设施投资同比下降1.5%，其中，交通项目投资增势稳定，铁路运输业、交通运输业投资同比分别增长25.7%和5.0%。工业投资增势较好，同比增长12.6%，其中，制造业投资表现亮眼，同比增长21.5%，高于工业投资增速8.9个百分点。高技术制造业投资持续发力，同比增长48.2%，占全市工业投资的比重为40.2%，占比与2021年相比提高9.6个百分点；其中电子及通信设备制造业投资引领增长，同比增速达69.6%。房地产开发投资同比下降5.4%。</w:t>
      </w:r>
    </w:p>
    <w:p>
      <w:pPr>
        <w:spacing w:line="300" w:lineRule="auto"/>
        <w:ind w:firstLine="562" w:firstLineChars="200"/>
        <w:jc w:val="center"/>
        <w:rPr>
          <w:rFonts w:ascii="Times New Roman" w:hAnsi="Times New Roman"/>
        </w:rPr>
      </w:pPr>
      <w:r>
        <w:rPr>
          <w:rFonts w:ascii="Times New Roman" w:hAnsi="Times New Roman"/>
        </w:rPr>
        <w:drawing>
          <wp:inline distT="0" distB="0" distL="114300" distR="114300">
            <wp:extent cx="4159250" cy="2616835"/>
            <wp:effectExtent l="0" t="0" r="12700" b="12065"/>
            <wp:docPr id="2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6"/>
                    <pic:cNvPicPr>
                      <a:picLocks noChangeAspect="1"/>
                    </pic:cNvPicPr>
                  </pic:nvPicPr>
                  <pic:blipFill>
                    <a:blip r:embed="rId31"/>
                    <a:stretch>
                      <a:fillRect/>
                    </a:stretch>
                  </pic:blipFill>
                  <pic:spPr>
                    <a:xfrm>
                      <a:off x="0" y="0"/>
                      <a:ext cx="4159250" cy="2616835"/>
                    </a:xfrm>
                    <a:prstGeom prst="rect">
                      <a:avLst/>
                    </a:prstGeom>
                    <a:noFill/>
                    <a:ln>
                      <a:noFill/>
                    </a:ln>
                  </pic:spPr>
                </pic:pic>
              </a:graphicData>
            </a:graphic>
          </wp:inline>
        </w:drawing>
      </w:r>
    </w:p>
    <w:p>
      <w:pPr>
        <w:spacing w:line="360" w:lineRule="auto"/>
        <w:ind w:firstLine="422" w:firstLineChars="200"/>
        <w:jc w:val="center"/>
        <w:rPr>
          <w:rFonts w:ascii="Times New Roman" w:hAnsi="Times New Roman"/>
          <w:color w:val="000000" w:themeColor="text1"/>
          <w:sz w:val="21"/>
          <w14:textFill>
            <w14:solidFill>
              <w14:schemeClr w14:val="tx1"/>
            </w14:solidFill>
          </w14:textFill>
        </w:rPr>
      </w:pPr>
      <w:r>
        <w:rPr>
          <w:rFonts w:ascii="Times New Roman" w:hAnsi="Times New Roman"/>
          <w:color w:val="000000" w:themeColor="text1"/>
          <w:sz w:val="21"/>
          <w14:textFill>
            <w14:solidFill>
              <w14:schemeClr w14:val="tx1"/>
            </w14:solidFill>
          </w14:textFill>
        </w:rPr>
        <w:t>2017-2022年广州市固定资产投资增长速度</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(3)南沙区社会经济现状</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南沙奋力打造中国式现代化的南沙范例。</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聚焦深化与港澳全面合作，提档推进先行启动区建设，提速推进规则衔接机制对接，提质推进青年创业就业合作，提效推进区域协同联动发展，高质量引领带动粤港澳大湾区建设。</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聚焦巩固实体经济根基，聚力产业链式集群发展，聚力产业平台提质增效，聚力产业项目引进培育，聚力产业服务生态优化，高质量构建更具竞争力的现代化产业体系。</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聚焦增强门户枢纽能级，建设立体型区域交通枢纽、复合型国际航运枢纽、创新型国际贸易枢纽、开放型国际信息枢纽，高质量打造链接国内国际双循环重要枢纽节点。</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聚焦深化改革扩大开放，更大力度实施制度型开放，更深层次推动集成式改革，更高标准营造一流营商环境，更宽视野构建国际交往新平台，高质量建设国际经济合作前沿地。</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聚焦提升城市功能品质，完善城市功能布局，赋能城市治理智能化精细化，夯实绿色发展生态底色，丰富优质文化供给，高质量建设“精明增长、精致城区、岭南特色、田园风格、中国气派”的现代化都市。</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聚焦保障和改善民生，推进城乡融合发展，推进乡村全面振兴，推进公共服务普惠共享，推进共同富裕，高质量打造大湾区共同富裕生动样板。</w:t>
      </w:r>
    </w:p>
    <w:p>
      <w:pPr>
        <w:spacing w:line="300" w:lineRule="auto"/>
        <w:ind w:firstLine="562" w:firstLineChars="200"/>
        <w:jc w:val="center"/>
        <w:rPr>
          <w:rFonts w:ascii="Times New Roman" w:hAnsi="Times New Roman"/>
        </w:rPr>
      </w:pPr>
      <w:r>
        <w:rPr>
          <w:rFonts w:ascii="Times New Roman" w:hAnsi="Times New Roman"/>
        </w:rPr>
        <w:drawing>
          <wp:inline distT="0" distB="0" distL="114300" distR="114300">
            <wp:extent cx="3753485" cy="2452370"/>
            <wp:effectExtent l="0" t="0" r="18415" b="5080"/>
            <wp:docPr id="3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7"/>
                    <pic:cNvPicPr>
                      <a:picLocks noChangeAspect="1"/>
                    </pic:cNvPicPr>
                  </pic:nvPicPr>
                  <pic:blipFill>
                    <a:blip r:embed="rId32"/>
                    <a:stretch>
                      <a:fillRect/>
                    </a:stretch>
                  </pic:blipFill>
                  <pic:spPr>
                    <a:xfrm>
                      <a:off x="0" y="0"/>
                      <a:ext cx="3753485" cy="2452370"/>
                    </a:xfrm>
                    <a:prstGeom prst="rect">
                      <a:avLst/>
                    </a:prstGeom>
                    <a:noFill/>
                    <a:ln>
                      <a:noFill/>
                    </a:ln>
                  </pic:spPr>
                </pic:pic>
              </a:graphicData>
            </a:graphic>
          </wp:inline>
        </w:drawing>
      </w:r>
    </w:p>
    <w:p>
      <w:pPr>
        <w:spacing w:line="360" w:lineRule="auto"/>
        <w:ind w:firstLine="422" w:firstLineChars="200"/>
        <w:jc w:val="center"/>
        <w:rPr>
          <w:rFonts w:ascii="Times New Roman" w:hAnsi="Times New Roman"/>
          <w:color w:val="000000" w:themeColor="text1"/>
          <w:sz w:val="21"/>
          <w14:textFill>
            <w14:solidFill>
              <w14:schemeClr w14:val="tx1"/>
            </w14:solidFill>
          </w14:textFill>
        </w:rPr>
      </w:pPr>
      <w:r>
        <w:rPr>
          <w:rFonts w:ascii="Times New Roman" w:hAnsi="Times New Roman"/>
          <w:color w:val="000000" w:themeColor="text1"/>
          <w:sz w:val="21"/>
          <w14:textFill>
            <w14:solidFill>
              <w14:schemeClr w14:val="tx1"/>
            </w14:solidFill>
          </w14:textFill>
        </w:rPr>
        <w:t>2022年南沙三次产业结构</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产业增加值为69.96亿元，增长6.0%；第二产业增加值为885.95亿元，增长8.3%；第三产业增加值为1175.70亿元，增长10.7%。三次产业增加值的比例为3.3:41.6:55.1。</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2021年，全区实现税收总额725.66亿元（含关税），增长10.5%；其中，税务部门税收504.43亿元，增长12.0%。全区一般公共预算收入108.20亿元，增长19.8%；其中，税收收入、非税收入分别占全区一般公共预算收入比重的80.3%、19.7%。一般公共预算支出271.38亿元，增长7.0%。</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从行业看，汽车制造业产值1548.55亿元，增长16.4%，占全区规模以上工业产值的45.5%；铁路、船舶、航空航天和其他运输设备制造业产值101.14亿元，增长29.2%；化学原料和化学制品制造业产值192.8亿元，增长28.2%；电气机械和器材制造业产值293.11亿元，增长13%；酒、饮料和精制茶制造业产值99.7亿元，增长12.5%。工业产品生产销售衔接良好，全区规模以上工业企业全年销售产值增长19.4%，产销率达99.4%。</w:t>
      </w:r>
    </w:p>
    <w:p>
      <w:pPr>
        <w:pStyle w:val="4"/>
        <w:ind w:firstLine="482" w:firstLineChars="200"/>
      </w:pPr>
      <w:bookmarkStart w:id="52" w:name="_Toc466113987"/>
      <w:bookmarkStart w:id="53" w:name="_Toc23848"/>
      <w:r>
        <w:t>南沙新区城市总体规划</w:t>
      </w:r>
      <w:bookmarkEnd w:id="52"/>
      <w:bookmarkEnd w:id="53"/>
    </w:p>
    <w:p>
      <w:pPr>
        <w:spacing w:line="300" w:lineRule="auto"/>
        <w:ind w:firstLine="482" w:firstLineChars="200"/>
        <w:jc w:val="left"/>
        <w:rPr>
          <w:rFonts w:ascii="Times New Roman" w:hAnsi="Times New Roman"/>
          <w:bCs/>
          <w:color w:val="000000" w:themeColor="text1"/>
          <w:sz w:val="24"/>
          <w:szCs w:val="24"/>
          <w14:textFill>
            <w14:solidFill>
              <w14:schemeClr w14:val="tx1"/>
            </w14:solidFill>
          </w14:textFill>
        </w:rPr>
      </w:pPr>
      <w:bookmarkStart w:id="54" w:name="_Toc413251164"/>
      <w:bookmarkStart w:id="55" w:name="_Toc486886487"/>
      <w:r>
        <w:rPr>
          <w:rFonts w:ascii="Times New Roman" w:hAnsi="Times New Roman"/>
          <w:bCs/>
          <w:color w:val="000000" w:themeColor="text1"/>
          <w:sz w:val="24"/>
          <w:szCs w:val="24"/>
          <w14:textFill>
            <w14:solidFill>
              <w14:schemeClr w14:val="tx1"/>
            </w14:solidFill>
          </w14:textFill>
        </w:rPr>
        <w:t>1、战略定位</w:t>
      </w:r>
      <w:bookmarkEnd w:id="54"/>
      <w:bookmarkEnd w:id="55"/>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结合南沙新区发展规划，未来的南沙新区将立足广州、依托珠三角、连接港澳、服务内地、面向全世界，打造成为粤港澳全面合作的示范区。</w:t>
      </w:r>
    </w:p>
    <w:p>
      <w:pPr>
        <w:adjustRightInd w:val="0"/>
        <w:snapToGrid w:val="0"/>
        <w:ind w:firstLine="562" w:firstLineChars="200"/>
        <w:jc w:val="center"/>
        <w:rPr>
          <w:rFonts w:ascii="Times New Roman" w:hAnsi="Times New Roman"/>
        </w:rPr>
      </w:pPr>
      <w:r>
        <w:rPr>
          <w:rFonts w:ascii="Times New Roman" w:hAnsi="Times New Roman"/>
        </w:rPr>
        <w:drawing>
          <wp:inline distT="0" distB="0" distL="0" distR="0">
            <wp:extent cx="5759450" cy="3779520"/>
            <wp:effectExtent l="0" t="0" r="12700" b="11430"/>
            <wp:docPr id="13" name="图片 13" descr="H:\2022年\设计项目\01 万环西路\设计资料\投标文本图片制作\南沙战略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H:\2022年\设计项目\01 万环西路\设计资料\投标文本图片制作\南沙战略图.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760000" cy="3780000"/>
                    </a:xfrm>
                    <a:prstGeom prst="rect">
                      <a:avLst/>
                    </a:prstGeom>
                    <a:noFill/>
                    <a:ln>
                      <a:noFill/>
                    </a:ln>
                  </pic:spPr>
                </pic:pic>
              </a:graphicData>
            </a:graphic>
          </wp:inline>
        </w:drawing>
      </w:r>
    </w:p>
    <w:p>
      <w:pPr>
        <w:spacing w:line="360" w:lineRule="auto"/>
        <w:ind w:firstLine="422" w:firstLineChars="200"/>
        <w:jc w:val="center"/>
        <w:rPr>
          <w:rFonts w:ascii="Times New Roman" w:hAnsi="Times New Roman" w:eastAsia="黑体"/>
          <w:color w:val="0000CC"/>
          <w:szCs w:val="21"/>
        </w:rPr>
      </w:pPr>
      <w:r>
        <w:rPr>
          <w:rFonts w:ascii="Times New Roman" w:hAnsi="Times New Roman"/>
          <w:color w:val="000000" w:themeColor="text1"/>
          <w:sz w:val="21"/>
          <w14:textFill>
            <w14:solidFill>
              <w14:schemeClr w14:val="tx1"/>
            </w14:solidFill>
          </w14:textFill>
        </w:rPr>
        <w:t>南沙新区中心区城市效果图</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（1）粤港澳优质生活圈。</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依托南沙新区优越的地理区位、丰富的生态资源和独特的岭南水乡文化，对接港澳先进的城市规划、公共服务和社会管理理念，共同保护区域生态安全，强化跨界基础设施对接，完善公共服务领域跨界合作机制，提升三地通关便利程度，共建健康生态的生活环境、集约有序的空间格局、舒适优美的城乡景观、绿色便捷的交通网络、优质高效的公共服务和紧密顺畅的协作机制，建设粤港澳优质生活圈。</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（2）新型城市化的典范。</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（3）现代产业新高地。</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（4）世界先进水平的综合服务枢纽。</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（5）社会管理服务创新的平台。</w:t>
      </w:r>
    </w:p>
    <w:p>
      <w:pPr>
        <w:spacing w:line="300" w:lineRule="auto"/>
        <w:ind w:firstLine="482" w:firstLineChars="200"/>
        <w:jc w:val="left"/>
        <w:rPr>
          <w:rFonts w:ascii="Times New Roman" w:hAnsi="Times New Roman"/>
          <w:bCs/>
          <w:color w:val="000000" w:themeColor="text1"/>
          <w:sz w:val="24"/>
          <w:szCs w:val="24"/>
          <w14:textFill>
            <w14:solidFill>
              <w14:schemeClr w14:val="tx1"/>
            </w14:solidFill>
          </w14:textFill>
        </w:rPr>
      </w:pPr>
      <w:bookmarkStart w:id="56" w:name="_Toc413251165"/>
      <w:bookmarkStart w:id="57" w:name="_Toc486886488"/>
      <w:r>
        <w:rPr>
          <w:rFonts w:ascii="Times New Roman" w:hAnsi="Times New Roman"/>
          <w:bCs/>
          <w:color w:val="000000" w:themeColor="text1"/>
          <w:sz w:val="24"/>
          <w:szCs w:val="24"/>
          <w14:textFill>
            <w14:solidFill>
              <w14:schemeClr w14:val="tx1"/>
            </w14:solidFill>
          </w14:textFill>
        </w:rPr>
        <w:t>2、空间布局</w:t>
      </w:r>
      <w:bookmarkEnd w:id="56"/>
      <w:bookmarkEnd w:id="57"/>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（1）发展规模</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至2020年，总建设用地245平方公里，其中城乡建设用地218.1平方公里（城市建设用地190.4平方公里，村镇建设用地27.7平方公里），区域交通和公用设施用地26.9平方公里（主要是港口用地）；常住人口约为208万人，城镇人口约为190万人，农业人口约18万人。</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至2030年总建设用地300平方公里，其中城乡建设用地245平方公里（城市建设用地230平方公里，村镇建设用地15平方公里），区域交通和公用设施用地55平方公里（主要是港口用地）；总人口按照不超过300万人进行调控，常住人口约为270万人，其中城镇人口约为255万人，农业人口约15万人。流动人口约30万人。</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（2）打造“一城四区”城市发展空间布局</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依托山城田江海的空间形态，科学合理提升城市空间布局，塑造各具特色、多点支撑、协同发展的“一城四区”组团式城市格局。</w:t>
      </w:r>
    </w:p>
    <w:p>
      <w:pPr>
        <w:spacing w:line="360" w:lineRule="auto"/>
        <w:ind w:firstLine="482" w:firstLineChars="200"/>
        <w:jc w:val="center"/>
        <w:rPr>
          <w:rFonts w:ascii="Times New Roman" w:hAnsi="Times New Roman"/>
          <w:sz w:val="24"/>
        </w:rPr>
      </w:pPr>
      <w:r>
        <w:rPr>
          <w:rFonts w:ascii="Times New Roman" w:hAnsi="Times New Roman"/>
          <w:sz w:val="24"/>
        </w:rPr>
        <w:drawing>
          <wp:inline distT="0" distB="0" distL="0" distR="0">
            <wp:extent cx="5759450" cy="3836670"/>
            <wp:effectExtent l="0" t="0" r="12700" b="11430"/>
            <wp:docPr id="15" name="图片 15" descr="H:\2022年\设计项目\01 万环西路\设计资料\投标文本图片制作\“一城四区”城市发展空间布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H:\2022年\设计项目\01 万环西路\设计资料\投标文本图片制作\“一城四区”城市发展空间布局.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760000" cy="3836762"/>
                    </a:xfrm>
                    <a:prstGeom prst="rect">
                      <a:avLst/>
                    </a:prstGeom>
                    <a:noFill/>
                    <a:ln>
                      <a:noFill/>
                    </a:ln>
                  </pic:spPr>
                </pic:pic>
              </a:graphicData>
            </a:graphic>
          </wp:inline>
        </w:drawing>
      </w:r>
    </w:p>
    <w:p>
      <w:pPr>
        <w:spacing w:line="300" w:lineRule="auto"/>
        <w:ind w:firstLine="422" w:firstLineChars="200"/>
        <w:jc w:val="center"/>
        <w:rPr>
          <w:rFonts w:ascii="Times New Roman" w:hAnsi="Times New Roman"/>
          <w:color w:val="000000" w:themeColor="text1"/>
          <w:sz w:val="21"/>
          <w14:textFill>
            <w14:solidFill>
              <w14:schemeClr w14:val="tx1"/>
            </w14:solidFill>
          </w14:textFill>
        </w:rPr>
      </w:pPr>
      <w:r>
        <w:rPr>
          <w:rFonts w:ascii="Times New Roman" w:hAnsi="Times New Roman"/>
          <w:color w:val="000000" w:themeColor="text1"/>
          <w:sz w:val="21"/>
          <w14:textFill>
            <w14:solidFill>
              <w14:schemeClr w14:val="tx1"/>
            </w14:solidFill>
          </w14:textFill>
        </w:rPr>
        <w:t>“一城四区”城市发展空间布局</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重点培育人工智能、新能源汽车研发与制造等战略性新兴产业。北部片区加强与顺德地区同城化建设，打造南沙西部综合服务中心、大湾区重要的生产服务和先进制造业基地。南部片区重点提高国际化服务水平和航运服务功能，重点布局科技创新、综合服务，打造广深“双城”联动重要承载区和粤港澳创新合作示范区，预留未来产业发展空间，加强生态廊道及南沙湿地的保护，建设国际旅游度假中心。海港片区重点发展港航物流、船舶海工装备等海洋经济，建设广州国际航运枢纽核心承载区。不断优化城市生态网络、交通网络和生产生活网络，促进枢纽、城区、片区之间互联互通和功能互补。</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（3）推动重点功能片区协调联动发展</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综合各重点功能片区资源禀赋、区位优势和产业基础，科学确定主体功能定位，明确主导产业和发展重点，形成横向错位发展、纵向分工协作的联动发展格局。突出抓好重点功能片区开发建设，打造各具特色、多点支撑、协同发展的高质量发展动力源和增长极。推进基础设施和公共服务设施共建共享，统筹各片区产业分工、环境治理等协调联动，实现产业协同、资源共享、环境共治。</w:t>
      </w:r>
    </w:p>
    <w:p>
      <w:pPr>
        <w:ind w:firstLine="562" w:firstLineChars="200"/>
        <w:jc w:val="center"/>
        <w:rPr>
          <w:rFonts w:ascii="Times New Roman" w:hAnsi="Times New Roman"/>
          <w:kern w:val="0"/>
        </w:rPr>
      </w:pPr>
      <w:r>
        <w:rPr>
          <w:rFonts w:ascii="Times New Roman" w:hAnsi="Times New Roman"/>
        </w:rPr>
        <w:drawing>
          <wp:inline distT="0" distB="0" distL="0" distR="0">
            <wp:extent cx="5027295" cy="4319905"/>
            <wp:effectExtent l="0" t="0" r="1905" b="4445"/>
            <wp:docPr id="11" name="图片 11" descr="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0045"/>
                    <pic:cNvPicPr>
                      <a:picLocks noChangeAspect="1" noChangeArrowheads="1"/>
                    </pic:cNvPicPr>
                  </pic:nvPicPr>
                  <pic:blipFill>
                    <a:blip r:embed="rId35" cstate="print">
                      <a:extLst>
                        <a:ext uri="{28A0092B-C50C-407E-A947-70E740481C1C}">
                          <a14:useLocalDpi xmlns:a14="http://schemas.microsoft.com/office/drawing/2010/main" val="0"/>
                        </a:ext>
                      </a:extLst>
                    </a:blip>
                    <a:srcRect l="-372" r="-439"/>
                    <a:stretch>
                      <a:fillRect/>
                    </a:stretch>
                  </pic:blipFill>
                  <pic:spPr>
                    <a:xfrm>
                      <a:off x="0" y="0"/>
                      <a:ext cx="5027295" cy="4319905"/>
                    </a:xfrm>
                    <a:prstGeom prst="rect">
                      <a:avLst/>
                    </a:prstGeom>
                    <a:noFill/>
                    <a:ln>
                      <a:noFill/>
                    </a:ln>
                    <a:effectLst/>
                  </pic:spPr>
                </pic:pic>
              </a:graphicData>
            </a:graphic>
          </wp:inline>
        </w:drawing>
      </w:r>
    </w:p>
    <w:p>
      <w:pPr>
        <w:spacing w:line="300" w:lineRule="auto"/>
        <w:ind w:firstLine="422" w:firstLineChars="200"/>
        <w:jc w:val="center"/>
        <w:rPr>
          <w:rFonts w:ascii="Times New Roman" w:hAnsi="Times New Roman"/>
          <w:color w:val="000000" w:themeColor="text1"/>
          <w:sz w:val="21"/>
          <w14:textFill>
            <w14:solidFill>
              <w14:schemeClr w14:val="tx1"/>
            </w14:solidFill>
          </w14:textFill>
        </w:rPr>
      </w:pPr>
      <w:r>
        <w:rPr>
          <w:rFonts w:ascii="Times New Roman" w:hAnsi="Times New Roman"/>
          <w:color w:val="000000" w:themeColor="text1"/>
          <w:sz w:val="21"/>
          <w14:textFill>
            <w14:solidFill>
              <w14:schemeClr w14:val="tx1"/>
            </w14:solidFill>
          </w14:textFill>
        </w:rPr>
        <w:t>南沙新区功能区联动布局图</w:t>
      </w:r>
    </w:p>
    <w:p>
      <w:pPr>
        <w:pStyle w:val="4"/>
        <w:ind w:firstLine="482" w:firstLineChars="200"/>
      </w:pPr>
      <w:bookmarkStart w:id="58" w:name="_Toc23616"/>
      <w:r>
        <w:t>南沙区国土空间总体规划</w:t>
      </w:r>
      <w:bookmarkEnd w:id="58"/>
    </w:p>
    <w:p>
      <w:pPr>
        <w:spacing w:line="300" w:lineRule="auto"/>
        <w:ind w:firstLine="482" w:firstLineChars="20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1、坚持战略引领打造粤港澳全面合作重大战略性平台</w:t>
      </w:r>
    </w:p>
    <w:p>
      <w:pPr>
        <w:spacing w:line="300" w:lineRule="auto"/>
        <w:ind w:firstLine="482"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战略定位：</w:t>
      </w:r>
      <w:r>
        <w:rPr>
          <w:rFonts w:ascii="Times New Roman" w:hAnsi="Times New Roman"/>
          <w:b w:val="0"/>
          <w:color w:val="000000" w:themeColor="text1"/>
          <w:sz w:val="24"/>
          <w:szCs w:val="24"/>
          <w14:textFill>
            <w14:solidFill>
              <w14:schemeClr w14:val="tx1"/>
            </w14:solidFill>
          </w14:textFill>
        </w:rPr>
        <w:t>围绕粤港澳全面合作示范区建设，做实湾区交通中心、做强湾区功能中心、做优湾区服务中心，建设大湾区高质量发展中心地带，将南沙打造为：“立足湾区、协同港澳、面向世界”的重大战略性平台。</w:t>
      </w:r>
    </w:p>
    <w:p>
      <w:pPr>
        <w:spacing w:line="300" w:lineRule="auto"/>
        <w:ind w:firstLine="482"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战略定位：</w:t>
      </w:r>
      <w:r>
        <w:rPr>
          <w:rFonts w:ascii="Times New Roman" w:hAnsi="Times New Roman"/>
          <w:b w:val="0"/>
          <w:color w:val="000000" w:themeColor="text1"/>
          <w:sz w:val="24"/>
          <w:szCs w:val="24"/>
          <w14:textFill>
            <w14:solidFill>
              <w14:schemeClr w14:val="tx1"/>
            </w14:solidFill>
          </w14:textFill>
        </w:rPr>
        <w:t>（1）科技支撑，建设科技创新产业合作基地。（2）深度融合，创建青年创业就业合作平台。（3）内联外通，共建高水平对外开放门户。（4）制度创新，打造规则衔接机制对接高地。（5）品质提升，建立高质量城市发展标杆。</w:t>
      </w:r>
    </w:p>
    <w:p>
      <w:pPr>
        <w:spacing w:line="300" w:lineRule="auto"/>
        <w:ind w:firstLine="482"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发展理念：</w:t>
      </w:r>
      <w:r>
        <w:rPr>
          <w:rFonts w:ascii="Times New Roman" w:hAnsi="Times New Roman"/>
          <w:b w:val="0"/>
          <w:color w:val="000000" w:themeColor="text1"/>
          <w:sz w:val="24"/>
          <w:szCs w:val="24"/>
          <w14:textFill>
            <w14:solidFill>
              <w14:schemeClr w14:val="tx1"/>
            </w14:solidFill>
          </w14:textFill>
        </w:rPr>
        <w:t>（1）精明增长，构建面海新城国土空间新格局。（2）精致城区，建设生态宜居一州城市新核心。（3）岭南特色，加强风貌管控塑造城市新典范。（4）田园风格，构建城乡融合和美现代新国土。（5）中国气派，打造高质量发展城市新标杆。</w:t>
      </w:r>
    </w:p>
    <w:p>
      <w:pPr>
        <w:spacing w:line="300" w:lineRule="auto"/>
        <w:ind w:firstLine="482" w:firstLineChars="20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2、建设大湾区综合性国家科学中心主要承载区</w:t>
      </w:r>
    </w:p>
    <w:p>
      <w:pPr>
        <w:pStyle w:val="16"/>
        <w:ind w:firstLine="422" w:firstLineChars="200"/>
        <w:jc w:val="center"/>
        <w:rPr>
          <w:rFonts w:ascii="Times New Roman" w:hAnsi="Times New Roman"/>
        </w:rPr>
      </w:pPr>
      <w:r>
        <w:rPr>
          <w:rFonts w:ascii="Times New Roman" w:hAnsi="Times New Roman"/>
        </w:rPr>
        <w:drawing>
          <wp:inline distT="0" distB="0" distL="114300" distR="114300">
            <wp:extent cx="4533900" cy="4319905"/>
            <wp:effectExtent l="0" t="0" r="0" b="4445"/>
            <wp:docPr id="7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34"/>
                    <pic:cNvPicPr>
                      <a:picLocks noChangeAspect="1"/>
                    </pic:cNvPicPr>
                  </pic:nvPicPr>
                  <pic:blipFill>
                    <a:blip r:embed="rId36"/>
                    <a:srcRect t="1990"/>
                    <a:stretch>
                      <a:fillRect/>
                    </a:stretch>
                  </pic:blipFill>
                  <pic:spPr>
                    <a:xfrm>
                      <a:off x="0" y="0"/>
                      <a:ext cx="4533900" cy="4319905"/>
                    </a:xfrm>
                    <a:prstGeom prst="rect">
                      <a:avLst/>
                    </a:prstGeom>
                    <a:noFill/>
                    <a:ln>
                      <a:noFill/>
                    </a:ln>
                  </pic:spPr>
                </pic:pic>
              </a:graphicData>
            </a:graphic>
          </wp:inline>
        </w:drawing>
      </w:r>
    </w:p>
    <w:p>
      <w:pPr>
        <w:spacing w:line="300" w:lineRule="auto"/>
        <w:ind w:firstLine="422" w:firstLineChars="200"/>
        <w:jc w:val="center"/>
        <w:rPr>
          <w:rFonts w:ascii="Times New Roman" w:hAnsi="Times New Roman"/>
        </w:rPr>
      </w:pPr>
      <w:r>
        <w:rPr>
          <w:rFonts w:ascii="Times New Roman" w:hAnsi="Times New Roman"/>
          <w:color w:val="000000" w:themeColor="text1"/>
          <w:sz w:val="21"/>
          <w14:textFill>
            <w14:solidFill>
              <w14:schemeClr w14:val="tx1"/>
            </w14:solidFill>
          </w14:textFill>
        </w:rPr>
        <w:t>南沙科学城结构图</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以南沙科学城为核心，统筹部署重大科技基础设施，构建“一体两翼三支点”的南沙科学城空间格局，总面积99平方千米。建设明珠科学园、龙穴岛科学大装置区、南沙湾实验室集群等重点平台。</w:t>
      </w:r>
    </w:p>
    <w:p>
      <w:pPr>
        <w:spacing w:line="300" w:lineRule="auto"/>
        <w:ind w:firstLine="482" w:firstLineChars="20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3、促进要素集聚建设大湾区对外开放门户枢纽</w:t>
      </w:r>
    </w:p>
    <w:p>
      <w:pPr>
        <w:ind w:firstLine="562" w:firstLineChars="200"/>
        <w:jc w:val="center"/>
        <w:rPr>
          <w:rFonts w:ascii="Times New Roman" w:hAnsi="Times New Roman"/>
        </w:rPr>
      </w:pPr>
      <w:r>
        <w:rPr>
          <w:rFonts w:ascii="Times New Roman" w:hAnsi="Times New Roman"/>
        </w:rPr>
        <w:drawing>
          <wp:inline distT="0" distB="0" distL="114300" distR="114300">
            <wp:extent cx="4486275" cy="4140200"/>
            <wp:effectExtent l="0" t="0" r="9525" b="12700"/>
            <wp:docPr id="12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35"/>
                    <pic:cNvPicPr>
                      <a:picLocks noChangeAspect="1"/>
                    </pic:cNvPicPr>
                  </pic:nvPicPr>
                  <pic:blipFill>
                    <a:blip r:embed="rId37"/>
                    <a:stretch>
                      <a:fillRect/>
                    </a:stretch>
                  </pic:blipFill>
                  <pic:spPr>
                    <a:xfrm>
                      <a:off x="0" y="0"/>
                      <a:ext cx="4486275" cy="4140200"/>
                    </a:xfrm>
                    <a:prstGeom prst="rect">
                      <a:avLst/>
                    </a:prstGeom>
                    <a:noFill/>
                    <a:ln>
                      <a:noFill/>
                    </a:ln>
                  </pic:spPr>
                </pic:pic>
              </a:graphicData>
            </a:graphic>
          </wp:inline>
        </w:drawing>
      </w:r>
    </w:p>
    <w:p>
      <w:pPr>
        <w:spacing w:line="300" w:lineRule="auto"/>
        <w:ind w:firstLine="422" w:firstLineChars="200"/>
        <w:jc w:val="center"/>
        <w:rPr>
          <w:rFonts w:ascii="Times New Roman" w:hAnsi="Times New Roman"/>
          <w:color w:val="000000" w:themeColor="text1"/>
          <w:sz w:val="21"/>
          <w14:textFill>
            <w14:solidFill>
              <w14:schemeClr w14:val="tx1"/>
            </w14:solidFill>
          </w14:textFill>
        </w:rPr>
      </w:pPr>
      <w:r>
        <w:rPr>
          <w:rFonts w:ascii="Times New Roman" w:hAnsi="Times New Roman"/>
          <w:color w:val="000000" w:themeColor="text1"/>
          <w:sz w:val="21"/>
          <w14:textFill>
            <w14:solidFill>
              <w14:schemeClr w14:val="tx1"/>
            </w14:solidFill>
          </w14:textFill>
        </w:rPr>
        <w:t>中心交通枢纽系统示意图</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到2035年，全面建成畅通南沙、贯通全市、直通湾区、联通港澳、融通全球的湾区中心交通枢纽，高标准实现“大湾区30分钟优质生活圈”、“全球12小时航空经济圈”、“全球123快货物流圈”。</w:t>
      </w:r>
      <w:bookmarkStart w:id="59" w:name="_Toc486886489"/>
      <w:bookmarkStart w:id="60" w:name="_Toc413251167"/>
    </w:p>
    <w:p>
      <w:pPr>
        <w:pStyle w:val="4"/>
        <w:ind w:firstLine="482" w:firstLineChars="200"/>
      </w:pPr>
      <w:bookmarkStart w:id="61" w:name="_Toc1761"/>
      <w:r>
        <w:t>广州市交通运输“十四五”规划</w:t>
      </w:r>
      <w:bookmarkEnd w:id="61"/>
    </w:p>
    <w:p>
      <w:pPr>
        <w:numPr>
          <w:ilvl w:val="0"/>
          <w:numId w:val="9"/>
        </w:numPr>
        <w:spacing w:line="300" w:lineRule="auto"/>
        <w:ind w:firstLine="482" w:firstLineChars="20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发展形势</w:t>
      </w:r>
    </w:p>
    <w:p>
      <w:pPr>
        <w:numPr>
          <w:ilvl w:val="0"/>
          <w:numId w:val="10"/>
        </w:num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建设活力国际大都市需要进一步提升综合交通枢纽能级。</w:t>
      </w:r>
    </w:p>
    <w:p>
      <w:pPr>
        <w:numPr>
          <w:ilvl w:val="0"/>
          <w:numId w:val="10"/>
        </w:num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支撑区域发展新格局需要进一步完善综合立体交通网络。</w:t>
      </w:r>
    </w:p>
    <w:p>
      <w:pPr>
        <w:numPr>
          <w:ilvl w:val="0"/>
          <w:numId w:val="10"/>
        </w:num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实现“四个出新出彩”需要进一步提升交通运输服务品质。</w:t>
      </w:r>
    </w:p>
    <w:p>
      <w:pPr>
        <w:numPr>
          <w:ilvl w:val="0"/>
          <w:numId w:val="10"/>
        </w:num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服务居民“出有畅行”需要进一步完善绿色交通出行系统。</w:t>
      </w:r>
    </w:p>
    <w:p>
      <w:pPr>
        <w:numPr>
          <w:ilvl w:val="0"/>
          <w:numId w:val="10"/>
        </w:num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推进创新高质量发展需要进一步提升交通智慧治理水平。</w:t>
      </w:r>
    </w:p>
    <w:p>
      <w:pPr>
        <w:numPr>
          <w:ilvl w:val="0"/>
          <w:numId w:val="9"/>
        </w:numPr>
        <w:spacing w:line="300" w:lineRule="auto"/>
        <w:ind w:firstLine="482" w:firstLineChars="20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发展目标</w:t>
      </w:r>
    </w:p>
    <w:p>
      <w:pPr>
        <w:numPr>
          <w:ilvl w:val="0"/>
          <w:numId w:val="11"/>
        </w:num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综合交通枢纽能级提升。坚持国际性综合交通枢纽作为立市之本、强市之基，城市枢纽功能更加强大，世界级空港、海港、铁路枢纽地位更加稳固。高水平提升国际航空枢纽，构建以白云国际机场为核心的大湾区世界级机场群；高水平提升国际航运枢纽，优化港口功能布局，强化国际航运枢纽功能；高水平提升世界级铁路枢纽，实施铁路枢纽能级提升工程，完善铁路枢纽布局，畅通“四通八达、四面八方”高铁通道；建设更高水平的国际物流中心，完善智能物流、供应链物流、绿色物流等大物流格局。</w:t>
      </w:r>
    </w:p>
    <w:p>
      <w:pPr>
        <w:numPr>
          <w:ilvl w:val="0"/>
          <w:numId w:val="11"/>
        </w:num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综合交通网络功能增强。完善机场的集疏运体系，构建一体化的综合交通网络，争取更多空域资源，提升机场运能；完善国际航运网络，推动广州港与珠江口内及珠江西岸港口协同合作发展；完善国家铁路网络，强化区域枢纽辐射能力；构建湾区城际轨道网络，推动干线铁路、城际铁路、市域（郊）铁路、城市轨道交通“四网融合”；加快高速公路建设，实施市政道路网络结构性提升工程。</w:t>
      </w:r>
    </w:p>
    <w:p>
      <w:pPr>
        <w:numPr>
          <w:ilvl w:val="0"/>
          <w:numId w:val="11"/>
        </w:num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综合交通服务优质多样。旅客联程运输便捷顺畅，货物多式联运高效经济，对外交通基本实现“12312”4出行交通圈和“123”5快货物流圈，城市交通基本实现“3060”目标。推进街区路网精细化设计，进一步增强公共交通和慢行交通路权保障；推广一站式、多样化、共享交通服务，满足居民多元化出行需求。</w:t>
      </w:r>
    </w:p>
    <w:p>
      <w:pPr>
        <w:numPr>
          <w:ilvl w:val="0"/>
          <w:numId w:val="11"/>
        </w:num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综合交通环境绿色宜人。创新常规公交发展模式，强化公交地铁无缝衔接，建成更加完善立体的绿色交通系统；加强交通需求管理，引导小汽车的合理使用；进一步推广新能源应用，大力发展绿色物流；初步形成“布局合理、生态友好、清洁低碳、集约高效”的绿色出行服务体系。</w:t>
      </w:r>
    </w:p>
    <w:p>
      <w:pPr>
        <w:numPr>
          <w:ilvl w:val="0"/>
          <w:numId w:val="11"/>
        </w:num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综合交通运行安全智慧。提高交通安全综合治理和防控能力，提升交通韧性和冗余能力。交通运输军民融合进一步发展，基本适应新时代运输、国防事业的发展需要。推动新一代智慧交通体系建设，打造交通强国战略下的智慧交通广州样板，逐步形成数据驱动的城市交通治理服务体系，持续推动广州智慧交通发展水平走在全国前列。</w:t>
      </w:r>
    </w:p>
    <w:p>
      <w:pPr>
        <w:spacing w:line="300" w:lineRule="auto"/>
        <w:ind w:firstLine="482" w:firstLineChars="20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3、道路网络结构图</w:t>
      </w:r>
    </w:p>
    <w:p>
      <w:pPr>
        <w:spacing w:line="300" w:lineRule="auto"/>
        <w:ind w:firstLine="562" w:firstLineChars="200"/>
        <w:jc w:val="center"/>
        <w:rPr>
          <w:rFonts w:ascii="Times New Roman" w:hAnsi="Times New Roman"/>
        </w:rPr>
      </w:pPr>
      <w:r>
        <w:rPr>
          <w:rFonts w:ascii="Times New Roman" w:hAnsi="Times New Roman"/>
        </w:rPr>
        <w:drawing>
          <wp:inline distT="0" distB="0" distL="114300" distR="114300">
            <wp:extent cx="4822825" cy="6735445"/>
            <wp:effectExtent l="0" t="0" r="15875" b="8255"/>
            <wp:docPr id="14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25"/>
                    <pic:cNvPicPr>
                      <a:picLocks noChangeAspect="1"/>
                    </pic:cNvPicPr>
                  </pic:nvPicPr>
                  <pic:blipFill>
                    <a:blip r:embed="rId38"/>
                    <a:stretch>
                      <a:fillRect/>
                    </a:stretch>
                  </pic:blipFill>
                  <pic:spPr>
                    <a:xfrm>
                      <a:off x="0" y="0"/>
                      <a:ext cx="4822825" cy="6735445"/>
                    </a:xfrm>
                    <a:prstGeom prst="rect">
                      <a:avLst/>
                    </a:prstGeom>
                    <a:noFill/>
                    <a:ln>
                      <a:noFill/>
                    </a:ln>
                  </pic:spPr>
                </pic:pic>
              </a:graphicData>
            </a:graphic>
          </wp:inline>
        </w:drawing>
      </w:r>
    </w:p>
    <w:p>
      <w:pPr>
        <w:spacing w:line="300" w:lineRule="auto"/>
        <w:ind w:firstLine="422" w:firstLineChars="200"/>
        <w:jc w:val="center"/>
        <w:rPr>
          <w:rFonts w:ascii="Times New Roman" w:hAnsi="Times New Roman"/>
        </w:rPr>
      </w:pPr>
      <w:r>
        <w:rPr>
          <w:rFonts w:ascii="Times New Roman" w:hAnsi="Times New Roman"/>
          <w:color w:val="000000" w:themeColor="text1"/>
          <w:sz w:val="21"/>
          <w14:textFill>
            <w14:solidFill>
              <w14:schemeClr w14:val="tx1"/>
            </w14:solidFill>
          </w14:textFill>
        </w:rPr>
        <w:t>广州市交通运输“十四五”城市道路规划图</w:t>
      </w:r>
    </w:p>
    <w:p>
      <w:pPr>
        <w:pStyle w:val="4"/>
        <w:ind w:firstLine="482" w:firstLineChars="200"/>
      </w:pPr>
      <w:bookmarkStart w:id="62" w:name="_Toc6770"/>
      <w:r>
        <w:t>广州市南沙区综合交通运输体系发展“十四五”规划</w:t>
      </w:r>
      <w:bookmarkEnd w:id="62"/>
    </w:p>
    <w:p>
      <w:pPr>
        <w:spacing w:line="300" w:lineRule="auto"/>
        <w:ind w:firstLine="482" w:firstLineChars="20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1、规划目标</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（1）提升综合交通枢纽能级，强化全球资源配置能力</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提升航运枢纽，优化完善港口布局，国际一流港航基础设施推动建设，疏港铁路、国际物流中心建成，不断巩固港口核心优势。提升铁路枢纽，构建“一主（南沙站枢纽）一辅（庆盛枢纽）”的铁路客运枢纽格局，争取更多国铁、城际轨道线路经停和到发班次，提升客流聚集效能；加强与周边大机场衔接，实现与国际、国内主要城市更快速通达，提升区域交通辐射和服务能力。</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（2）构建直联湾区立体交通网络，巩固湾区交通中心地位</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加速与国家铁路网、大湾区城际轨道网全面衔接，深江铁路、广珠澳高铁、南沙至珠海（中山）城际等轨道项目加快建设，对外综合运输能力显著增强，实现对外轨道出行“30+12348”时空目标。南中高速、狮子洋通道等高速公路加快建设，形成“七横七纵”高快速路网，拉近与广州母城中心城区距离，强化与珠江口东西两岸主要城市快速直联，强化大湾区交通中心地位。</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（3）形成高效低碳交通出行模式，打造人民满意交通系统</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大力推进城市公共交通优先发展、超前发展，推动地铁十五号线（一期）、轨道交通二十二号线南延线等规划建设，充分发挥轨道交通对城市公共交通改善的作用，实现轨道出行“3040”时空目标。城市公共交通新能源汽车快速发展，新能源公交车实现全覆盖。构建15分钟社区生活圈慢行交通系统，促进多种交通方式高效衔接。强化各功能片区之间快速连接，持续建好“四好农村路”，完善交通内循环。</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（4）建设全市智慧交通示范区，提升交通运输综合效能</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抓住当前新技术与交通运输融合发展的契机，构建国内领先的智慧交通运输体系，智能交通大脑、庆盛枢纽国家级自动驾驶及智慧示范项目建成，推动车联网、5G、自动驾驶等技术在交通运输行业应用。</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（5）实现交通行业精细化治理，保障交通行业平稳运行</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不断优化完善城市交通管理政策，客运交通一体化管理、货运物流管理、城市公共停车管理等更加规范，交通拥堵治理成效明显；强化载运工具质量治理，落实营运车辆技术检测和维护保养制度，落实行业安全监管责任；提升应急指挥的信息化和决策水平，提高应对突发事件的能力。</w:t>
      </w:r>
    </w:p>
    <w:p>
      <w:pPr>
        <w:spacing w:line="300" w:lineRule="auto"/>
        <w:ind w:firstLine="562"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rPr>
        <w:t>广州南沙新区综合交通体系规划</w:t>
      </w:r>
      <w:bookmarkEnd w:id="59"/>
      <w:bookmarkEnd w:id="60"/>
    </w:p>
    <w:p>
      <w:pPr>
        <w:spacing w:line="360" w:lineRule="auto"/>
        <w:ind w:firstLine="482" w:firstLineChars="200"/>
        <w:jc w:val="center"/>
        <w:rPr>
          <w:rFonts w:ascii="Times New Roman" w:hAnsi="Times New Roman"/>
          <w:sz w:val="24"/>
        </w:rPr>
      </w:pPr>
      <w:r>
        <w:rPr>
          <w:rFonts w:ascii="Times New Roman" w:hAnsi="Times New Roman"/>
          <w:sz w:val="24"/>
        </w:rPr>
        <w:drawing>
          <wp:inline distT="0" distB="0" distL="0" distR="0">
            <wp:extent cx="3164840" cy="2700020"/>
            <wp:effectExtent l="0" t="0" r="16510" b="5080"/>
            <wp:docPr id="16" name="图片 16" descr="F:\2015年\十六涌投标\南沙资料\南沙新区综合交通规划2012-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F:\2015年\十六涌投标\南沙资料\南沙新区综合交通规划2012-11\1.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3164840" cy="2700020"/>
                    </a:xfrm>
                    <a:prstGeom prst="rect">
                      <a:avLst/>
                    </a:prstGeom>
                    <a:noFill/>
                    <a:ln>
                      <a:noFill/>
                    </a:ln>
                  </pic:spPr>
                </pic:pic>
              </a:graphicData>
            </a:graphic>
          </wp:inline>
        </w:drawing>
      </w:r>
    </w:p>
    <w:p>
      <w:pPr>
        <w:spacing w:line="300" w:lineRule="auto"/>
        <w:ind w:firstLine="422" w:firstLineChars="200"/>
        <w:jc w:val="center"/>
        <w:rPr>
          <w:rFonts w:ascii="Times New Roman" w:hAnsi="Times New Roman"/>
          <w:color w:val="000000" w:themeColor="text1"/>
          <w:sz w:val="21"/>
          <w14:textFill>
            <w14:solidFill>
              <w14:schemeClr w14:val="tx1"/>
            </w14:solidFill>
          </w14:textFill>
        </w:rPr>
      </w:pPr>
      <w:r>
        <w:rPr>
          <w:rFonts w:ascii="Times New Roman" w:hAnsi="Times New Roman"/>
          <w:color w:val="000000" w:themeColor="text1"/>
          <w:sz w:val="21"/>
          <w14:textFill>
            <w14:solidFill>
              <w14:schemeClr w14:val="tx1"/>
            </w14:solidFill>
          </w14:textFill>
        </w:rPr>
        <w:t>南沙生活区示意图</w:t>
      </w:r>
    </w:p>
    <w:p>
      <w:pPr>
        <w:spacing w:line="300" w:lineRule="auto"/>
        <w:ind w:firstLine="482" w:firstLineChars="200"/>
        <w:jc w:val="left"/>
        <w:rPr>
          <w:rFonts w:ascii="Times New Roman" w:hAnsi="Times New Roman"/>
          <w:bCs/>
          <w:color w:val="000000" w:themeColor="text1"/>
          <w:sz w:val="24"/>
          <w:szCs w:val="24"/>
          <w14:textFill>
            <w14:solidFill>
              <w14:schemeClr w14:val="tx1"/>
            </w14:solidFill>
          </w14:textFill>
        </w:rPr>
      </w:pPr>
      <w:bookmarkStart w:id="63" w:name="_Toc413251170"/>
      <w:bookmarkStart w:id="64" w:name="_Toc486886492"/>
      <w:r>
        <w:rPr>
          <w:rFonts w:ascii="Times New Roman" w:hAnsi="Times New Roman"/>
          <w:bCs/>
          <w:color w:val="000000" w:themeColor="text1"/>
          <w:sz w:val="24"/>
          <w:szCs w:val="24"/>
          <w14:textFill>
            <w14:solidFill>
              <w14:schemeClr w14:val="tx1"/>
            </w14:solidFill>
          </w14:textFill>
        </w:rPr>
        <w:t>2、主骨架路网规划</w:t>
      </w:r>
      <w:bookmarkEnd w:id="63"/>
      <w:bookmarkEnd w:id="64"/>
    </w:p>
    <w:p>
      <w:pPr>
        <w:ind w:firstLine="562" w:firstLineChars="200"/>
        <w:jc w:val="center"/>
        <w:rPr>
          <w:rFonts w:ascii="Times New Roman" w:hAnsi="Times New Roman"/>
          <w:kern w:val="0"/>
        </w:rPr>
      </w:pPr>
      <w:r>
        <w:rPr>
          <w:rFonts w:ascii="Times New Roman" w:hAnsi="Times New Roman"/>
          <w:kern w:val="0"/>
        </w:rPr>
        <w:drawing>
          <wp:inline distT="0" distB="0" distL="0" distR="0">
            <wp:extent cx="4971415" cy="3599815"/>
            <wp:effectExtent l="0" t="0" r="635" b="635"/>
            <wp:docPr id="140" name="图片 140" descr="07-道路系统系统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07-道路系统系统图"/>
                    <pic:cNvPicPr>
                      <a:picLocks noChangeAspect="1" noChangeArrowheads="1"/>
                    </pic:cNvPicPr>
                  </pic:nvPicPr>
                  <pic:blipFill>
                    <a:blip r:embed="rId40" cstate="screen">
                      <a:extLst>
                        <a:ext uri="{28A0092B-C50C-407E-A947-70E740481C1C}">
                          <a14:useLocalDpi xmlns:a14="http://schemas.microsoft.com/office/drawing/2010/main" val="0"/>
                        </a:ext>
                      </a:extLst>
                    </a:blip>
                    <a:srcRect/>
                    <a:stretch>
                      <a:fillRect/>
                    </a:stretch>
                  </pic:blipFill>
                  <pic:spPr>
                    <a:xfrm>
                      <a:off x="0" y="0"/>
                      <a:ext cx="4971415" cy="3599815"/>
                    </a:xfrm>
                    <a:prstGeom prst="rect">
                      <a:avLst/>
                    </a:prstGeom>
                    <a:noFill/>
                    <a:ln>
                      <a:noFill/>
                    </a:ln>
                    <a:effectLst/>
                  </pic:spPr>
                </pic:pic>
              </a:graphicData>
            </a:graphic>
          </wp:inline>
        </w:drawing>
      </w:r>
    </w:p>
    <w:p>
      <w:pPr>
        <w:spacing w:line="360" w:lineRule="auto"/>
        <w:ind w:firstLine="422" w:firstLineChars="200"/>
        <w:jc w:val="center"/>
        <w:rPr>
          <w:rFonts w:ascii="Times New Roman" w:hAnsi="Times New Roman"/>
          <w:color w:val="0000CC"/>
          <w:szCs w:val="24"/>
        </w:rPr>
      </w:pPr>
      <w:r>
        <w:rPr>
          <w:rFonts w:ascii="Times New Roman" w:hAnsi="Times New Roman"/>
          <w:color w:val="000000" w:themeColor="text1"/>
          <w:sz w:val="21"/>
          <w14:textFill>
            <w14:solidFill>
              <w14:schemeClr w14:val="tx1"/>
            </w14:solidFill>
          </w14:textFill>
        </w:rPr>
        <w:t>南沙新区道路系统规划图</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规划形成“双环+九射”的主骨架道路系统。</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（1）“外环”</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中心区机动车交通环，是城市中心过境交通的主要疏解通道。由黄阁大道、环市大道、港前大道、沥心沙东路（红莲路）和万环西路组成，按交通性主干路标准建设。</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（2）“内环”</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中心区公共交通环，是中心区各大功能节点的主要联系道路，起组织中心区交通的作用。由凤凰大道、进港大道、英东大道、三镇大道组成，按生活性主干路标准建设形式。</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（3）“九射”</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东部快线、龙穴大道、黄榄干线-顺番公路，按快速路标准建设；十五涌东路-万中路、七号公路-万环西路、南沙大道（番禺东环路）、灵新大道、沥心沙东路、番中公路（S111），按交通性干道标准建设。</w:t>
      </w:r>
    </w:p>
    <w:p>
      <w:pPr>
        <w:ind w:firstLine="482" w:firstLineChars="200"/>
        <w:jc w:val="center"/>
        <w:rPr>
          <w:rFonts w:ascii="Times New Roman" w:hAnsi="Times New Roman"/>
          <w:sz w:val="24"/>
        </w:rPr>
      </w:pPr>
      <w:r>
        <w:rPr>
          <w:rFonts w:ascii="Times New Roman" w:hAnsi="Times New Roman"/>
          <w:sz w:val="24"/>
        </w:rPr>
        <w:drawing>
          <wp:inline distT="0" distB="0" distL="0" distR="0">
            <wp:extent cx="6820535" cy="4679950"/>
            <wp:effectExtent l="0" t="0" r="18415" b="6350"/>
            <wp:docPr id="141" name="图片 141" descr="H:\2022年\设计项目\01 万环西路\设计资料\投标文本图片制作\货运规划.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H:\2022年\设计项目\01 万环西路\设计资料\投标文本图片制作\货运规划.jpg"/>
                    <pic:cNvPicPr>
                      <a:picLocks noChangeAspect="1" noChangeArrowheads="1"/>
                    </pic:cNvPicPr>
                  </pic:nvPicPr>
                  <pic:blipFill>
                    <a:blip r:embed="rId41" cstate="print">
                      <a:extLst>
                        <a:ext uri="{28A0092B-C50C-407E-A947-70E740481C1C}">
                          <a14:useLocalDpi xmlns:a14="http://schemas.microsoft.com/office/drawing/2010/main" val="0"/>
                        </a:ext>
                      </a:extLst>
                    </a:blip>
                    <a:srcRect l="1334" r="3114"/>
                    <a:stretch>
                      <a:fillRect/>
                    </a:stretch>
                  </pic:blipFill>
                  <pic:spPr>
                    <a:xfrm>
                      <a:off x="0" y="0"/>
                      <a:ext cx="6820535" cy="4679950"/>
                    </a:xfrm>
                    <a:prstGeom prst="rect">
                      <a:avLst/>
                    </a:prstGeom>
                    <a:noFill/>
                    <a:ln>
                      <a:noFill/>
                    </a:ln>
                  </pic:spPr>
                </pic:pic>
              </a:graphicData>
            </a:graphic>
          </wp:inline>
        </w:drawing>
      </w:r>
    </w:p>
    <w:p>
      <w:pPr>
        <w:spacing w:line="360" w:lineRule="auto"/>
        <w:ind w:firstLine="422" w:firstLineChars="200"/>
        <w:jc w:val="center"/>
        <w:rPr>
          <w:rFonts w:ascii="Times New Roman" w:hAnsi="Times New Roman"/>
          <w:color w:val="000000" w:themeColor="text1"/>
          <w:sz w:val="21"/>
          <w14:textFill>
            <w14:solidFill>
              <w14:schemeClr w14:val="tx1"/>
            </w14:solidFill>
          </w14:textFill>
        </w:rPr>
      </w:pPr>
      <w:r>
        <w:rPr>
          <w:rFonts w:ascii="Times New Roman" w:hAnsi="Times New Roman"/>
          <w:color w:val="000000" w:themeColor="text1"/>
          <w:sz w:val="21"/>
          <w14:textFill>
            <w14:solidFill>
              <w14:schemeClr w14:val="tx1"/>
            </w14:solidFill>
          </w14:textFill>
        </w:rPr>
        <w:t>南沙新区道路系统规划图</w:t>
      </w:r>
    </w:p>
    <w:p>
      <w:pPr>
        <w:pStyle w:val="4"/>
        <w:ind w:firstLine="482" w:firstLineChars="200"/>
      </w:pPr>
      <w:bookmarkStart w:id="65" w:name="_Toc17360"/>
      <w:bookmarkStart w:id="66" w:name="_Toc523667143"/>
      <w:r>
        <w:t>大型城市综合体规划</w:t>
      </w:r>
      <w:bookmarkEnd w:id="65"/>
    </w:p>
    <w:p>
      <w:bookmarkStart w:id="67" w:name="_Toc29524"/>
      <w:bookmarkStart w:id="68" w:name="_Toc1557"/>
      <w:bookmarkStart w:id="69" w:name="_Toc7963"/>
      <w:bookmarkStart w:id="70" w:name="_Toc19914"/>
      <w:r>
        <w:drawing>
          <wp:inline distT="0" distB="0" distL="114300" distR="114300">
            <wp:extent cx="6512560" cy="5808980"/>
            <wp:effectExtent l="0" t="0" r="2540" b="1270"/>
            <wp:docPr id="5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5"/>
                    <pic:cNvPicPr>
                      <a:picLocks noChangeAspect="1"/>
                    </pic:cNvPicPr>
                  </pic:nvPicPr>
                  <pic:blipFill>
                    <a:blip r:embed="rId42"/>
                    <a:stretch>
                      <a:fillRect/>
                    </a:stretch>
                  </pic:blipFill>
                  <pic:spPr>
                    <a:xfrm>
                      <a:off x="0" y="0"/>
                      <a:ext cx="6512560" cy="5808980"/>
                    </a:xfrm>
                    <a:prstGeom prst="rect">
                      <a:avLst/>
                    </a:prstGeom>
                    <a:noFill/>
                    <a:ln>
                      <a:noFill/>
                    </a:ln>
                  </pic:spPr>
                </pic:pic>
              </a:graphicData>
            </a:graphic>
          </wp:inline>
        </w:drawing>
      </w:r>
      <w:bookmarkEnd w:id="67"/>
      <w:bookmarkEnd w:id="68"/>
      <w:bookmarkEnd w:id="69"/>
      <w:bookmarkEnd w:id="70"/>
    </w:p>
    <w:p>
      <w:pPr>
        <w:spacing w:line="300" w:lineRule="auto"/>
        <w:ind w:firstLine="422" w:firstLineChars="200"/>
        <w:jc w:val="center"/>
        <w:rPr>
          <w:rFonts w:ascii="Times New Roman" w:hAnsi="Times New Roman"/>
          <w:color w:val="000000" w:themeColor="text1"/>
          <w:sz w:val="21"/>
          <w14:textFill>
            <w14:solidFill>
              <w14:schemeClr w14:val="tx1"/>
            </w14:solidFill>
          </w14:textFill>
        </w:rPr>
      </w:pPr>
      <w:r>
        <w:rPr>
          <w:rFonts w:ascii="Times New Roman" w:hAnsi="Times New Roman"/>
          <w:color w:val="000000" w:themeColor="text1"/>
          <w:sz w:val="21"/>
          <w14:textFill>
            <w14:solidFill>
              <w14:schemeClr w14:val="tx1"/>
            </w14:solidFill>
          </w14:textFill>
        </w:rPr>
        <w:t>南沙大型城市综合体项目</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湾区之芯，南沙大型综合体项目选址万顷沙最南端，规划总面积约35km2。其中启动区位于深中通道东侧、二十涌以南，面积约3km</w:t>
      </w:r>
      <w:r>
        <w:rPr>
          <w:rFonts w:ascii="Times New Roman" w:hAnsi="Times New Roman"/>
          <w:b w:val="0"/>
          <w:color w:val="000000" w:themeColor="text1"/>
          <w:sz w:val="24"/>
          <w:szCs w:val="24"/>
          <w:vertAlign w:val="superscript"/>
          <w14:textFill>
            <w14:solidFill>
              <w14:schemeClr w14:val="tx1"/>
            </w14:solidFill>
          </w14:textFill>
        </w:rPr>
        <w:t>2</w:t>
      </w:r>
      <w:r>
        <w:rPr>
          <w:rFonts w:ascii="Times New Roman" w:hAnsi="Times New Roman"/>
          <w:b w:val="0"/>
          <w:color w:val="000000" w:themeColor="text1"/>
          <w:sz w:val="24"/>
          <w:szCs w:val="24"/>
          <w14:textFill>
            <w14:solidFill>
              <w14:schemeClr w14:val="tx1"/>
            </w14:solidFill>
          </w14:textFill>
        </w:rPr>
        <w:t>，场馆区范围位于二十一涌以南，面积约0.7 km</w:t>
      </w:r>
      <w:r>
        <w:rPr>
          <w:rFonts w:ascii="Times New Roman" w:hAnsi="Times New Roman"/>
          <w:b w:val="0"/>
          <w:color w:val="000000" w:themeColor="text1"/>
          <w:sz w:val="24"/>
          <w:szCs w:val="24"/>
          <w:vertAlign w:val="superscript"/>
          <w14:textFill>
            <w14:solidFill>
              <w14:schemeClr w14:val="tx1"/>
            </w14:solidFill>
          </w14:textFill>
        </w:rPr>
        <w:t>2</w:t>
      </w:r>
      <w:r>
        <w:rPr>
          <w:rFonts w:ascii="Times New Roman" w:hAnsi="Times New Roman"/>
          <w:b w:val="0"/>
          <w:color w:val="000000" w:themeColor="text1"/>
          <w:sz w:val="24"/>
          <w:szCs w:val="24"/>
          <w14:textFill>
            <w14:solidFill>
              <w14:schemeClr w14:val="tx1"/>
            </w14:solidFill>
          </w14:textFill>
        </w:rPr>
        <w:t>。</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（1）城市设计</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综合体体育场馆及公共建筑以“海上明珠、行云流水”为主题，游龙般的景观连接湿地与海洋。景观设计行云流水，延伸到南沙湿地公园。从滨海公园、开放式全民体育体验带、商业水街，完成从海洋到湿地景观的过渡，在万顷沙岛尖形成一个轻盈灵动、多元时尚、活力无限的超级城市综合体。</w:t>
      </w:r>
    </w:p>
    <w:p>
      <w:pPr>
        <w:spacing w:line="300" w:lineRule="auto"/>
        <w:ind w:firstLine="562" w:firstLineChars="200"/>
        <w:jc w:val="center"/>
        <w:rPr>
          <w:rFonts w:ascii="Times New Roman" w:hAnsi="Times New Roman"/>
        </w:rPr>
      </w:pPr>
      <w:r>
        <w:rPr>
          <w:rFonts w:ascii="Times New Roman" w:hAnsi="Times New Roman"/>
        </w:rPr>
        <w:drawing>
          <wp:inline distT="0" distB="0" distL="114300" distR="114300">
            <wp:extent cx="5393690" cy="5544185"/>
            <wp:effectExtent l="0" t="0" r="16510" b="18415"/>
            <wp:docPr id="5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6"/>
                    <pic:cNvPicPr>
                      <a:picLocks noChangeAspect="1"/>
                    </pic:cNvPicPr>
                  </pic:nvPicPr>
                  <pic:blipFill>
                    <a:blip r:embed="rId43"/>
                    <a:stretch>
                      <a:fillRect/>
                    </a:stretch>
                  </pic:blipFill>
                  <pic:spPr>
                    <a:xfrm>
                      <a:off x="0" y="0"/>
                      <a:ext cx="5393690" cy="5544185"/>
                    </a:xfrm>
                    <a:prstGeom prst="rect">
                      <a:avLst/>
                    </a:prstGeom>
                    <a:noFill/>
                    <a:ln>
                      <a:noFill/>
                    </a:ln>
                  </pic:spPr>
                </pic:pic>
              </a:graphicData>
            </a:graphic>
          </wp:inline>
        </w:drawing>
      </w:r>
    </w:p>
    <w:p>
      <w:pPr>
        <w:spacing w:line="300" w:lineRule="auto"/>
        <w:ind w:firstLine="422" w:firstLineChars="200"/>
        <w:jc w:val="center"/>
        <w:rPr>
          <w:rFonts w:ascii="Times New Roman" w:hAnsi="Times New Roman"/>
          <w:color w:val="000000" w:themeColor="text1"/>
          <w:sz w:val="21"/>
          <w14:textFill>
            <w14:solidFill>
              <w14:schemeClr w14:val="tx1"/>
            </w14:solidFill>
          </w14:textFill>
        </w:rPr>
      </w:pPr>
      <w:r>
        <w:rPr>
          <w:rFonts w:ascii="Times New Roman" w:hAnsi="Times New Roman"/>
          <w:color w:val="000000" w:themeColor="text1"/>
          <w:sz w:val="21"/>
          <w14:textFill>
            <w14:solidFill>
              <w14:schemeClr w14:val="tx1"/>
            </w14:solidFill>
          </w14:textFill>
        </w:rPr>
        <w:t>综合体总平面图</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体育场根据工期要求，分期建设。本期建设约为3.98万座演艺场馆，未来通过微小改造，</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扩建为完整的6万座体育场。</w:t>
      </w:r>
    </w:p>
    <w:p>
      <w:pPr>
        <w:numPr>
          <w:ilvl w:val="0"/>
          <w:numId w:val="12"/>
        </w:num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路网规划</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区域路网遵循《广东省高速公路网规划（2020-2035年）》及《广州南沙新区综合交通体系规划》中明确的高快速路及主干道路网布局方案。规划设计范围应结合地块和建筑功能划分，合理确定路网密度，并满足《城市综合交通体系规划标准(GBT51328-2018)》的相关要求。</w:t>
      </w:r>
    </w:p>
    <w:p>
      <w:pPr>
        <w:spacing w:line="300" w:lineRule="auto"/>
        <w:ind w:firstLine="562"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rPr>
        <w:drawing>
          <wp:inline distT="0" distB="0" distL="114300" distR="114300">
            <wp:extent cx="5333365" cy="3973830"/>
            <wp:effectExtent l="0" t="0" r="635" b="7620"/>
            <wp:docPr id="5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7"/>
                    <pic:cNvPicPr>
                      <a:picLocks noChangeAspect="1"/>
                    </pic:cNvPicPr>
                  </pic:nvPicPr>
                  <pic:blipFill>
                    <a:blip r:embed="rId44"/>
                    <a:stretch>
                      <a:fillRect/>
                    </a:stretch>
                  </pic:blipFill>
                  <pic:spPr>
                    <a:xfrm>
                      <a:off x="0" y="0"/>
                      <a:ext cx="5333365" cy="3973830"/>
                    </a:xfrm>
                    <a:prstGeom prst="rect">
                      <a:avLst/>
                    </a:prstGeom>
                    <a:noFill/>
                    <a:ln>
                      <a:noFill/>
                    </a:ln>
                  </pic:spPr>
                </pic:pic>
              </a:graphicData>
            </a:graphic>
          </wp:inline>
        </w:drawing>
      </w:r>
    </w:p>
    <w:p>
      <w:pPr>
        <w:spacing w:line="300" w:lineRule="auto"/>
        <w:ind w:firstLine="422" w:firstLineChars="200"/>
        <w:jc w:val="center"/>
        <w:rPr>
          <w:rFonts w:ascii="Times New Roman" w:hAnsi="Times New Roman"/>
          <w:color w:val="000000" w:themeColor="text1"/>
          <w:sz w:val="21"/>
          <w14:textFill>
            <w14:solidFill>
              <w14:schemeClr w14:val="tx1"/>
            </w14:solidFill>
          </w14:textFill>
        </w:rPr>
      </w:pPr>
      <w:r>
        <w:rPr>
          <w:rFonts w:ascii="Times New Roman" w:hAnsi="Times New Roman"/>
          <w:color w:val="000000" w:themeColor="text1"/>
          <w:sz w:val="21"/>
          <w14:textFill>
            <w14:solidFill>
              <w14:schemeClr w14:val="tx1"/>
            </w14:solidFill>
          </w14:textFill>
        </w:rPr>
        <w:t>规划保赛建设道路</w:t>
      </w:r>
    </w:p>
    <w:p>
      <w:pPr>
        <w:pStyle w:val="410"/>
      </w:pPr>
      <w:bookmarkStart w:id="71" w:name="_Toc145614409"/>
      <w:bookmarkStart w:id="72" w:name="_Toc50"/>
      <w:r>
        <w:t>《南沙南部地区城市设计》（在编）</w:t>
      </w:r>
      <w:bookmarkEnd w:id="71"/>
      <w:bookmarkEnd w:id="72"/>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构建“二横二纵”高快速路网，加强区域路网衔接，以及“六横五纵”骨架路网，服务组团之间便捷联系。</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二十涌附近新增出入口：使深圳、中山、广州方向车辆快速进出基地南部。</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预留3条衔接通道：</w:t>
      </w:r>
      <w:r>
        <w:rPr>
          <w:rFonts w:hint="eastAsia" w:ascii="Times New Roman" w:hAnsi="Times New Roman"/>
          <w:b w:val="0"/>
          <w:color w:val="000000" w:themeColor="text1"/>
          <w:sz w:val="24"/>
          <w:szCs w:val="24"/>
          <w14:textFill>
            <w14:solidFill>
              <w14:schemeClr w14:val="tx1"/>
            </w14:solidFill>
          </w14:textFill>
        </w:rPr>
        <w:t>①</w:t>
      </w:r>
      <w:r>
        <w:rPr>
          <w:rFonts w:ascii="Times New Roman" w:hAnsi="Times New Roman"/>
          <w:b w:val="0"/>
          <w:color w:val="000000" w:themeColor="text1"/>
          <w:sz w:val="24"/>
          <w:szCs w:val="24"/>
          <w14:textFill>
            <w14:solidFill>
              <w14:schemeClr w14:val="tx1"/>
            </w14:solidFill>
          </w14:textFill>
        </w:rPr>
        <w:t>二十涌北路预留向西衔接翠亨新区通道，</w:t>
      </w:r>
      <w:r>
        <w:rPr>
          <w:rFonts w:hint="eastAsia" w:ascii="Times New Roman" w:hAnsi="Times New Roman"/>
          <w:b w:val="0"/>
          <w:color w:val="000000" w:themeColor="text1"/>
          <w:sz w:val="24"/>
          <w:szCs w:val="24"/>
          <w14:textFill>
            <w14:solidFill>
              <w14:schemeClr w14:val="tx1"/>
            </w14:solidFill>
          </w14:textFill>
        </w:rPr>
        <w:t>②</w:t>
      </w:r>
      <w:r>
        <w:rPr>
          <w:rFonts w:ascii="Times New Roman" w:hAnsi="Times New Roman"/>
          <w:b w:val="0"/>
          <w:color w:val="000000" w:themeColor="text1"/>
          <w:sz w:val="24"/>
          <w:szCs w:val="24"/>
          <w14:textFill>
            <w14:solidFill>
              <w14:schemeClr w14:val="tx1"/>
            </w14:solidFill>
          </w14:textFill>
        </w:rPr>
        <w:t>向东预留衔接龙穴岛通道，</w:t>
      </w:r>
      <w:r>
        <w:rPr>
          <w:rFonts w:hint="eastAsia" w:ascii="Times New Roman" w:hAnsi="Times New Roman"/>
          <w:b w:val="0"/>
          <w:color w:val="000000" w:themeColor="text1"/>
          <w:sz w:val="24"/>
          <w:szCs w:val="24"/>
          <w14:textFill>
            <w14:solidFill>
              <w14:schemeClr w14:val="tx1"/>
            </w14:solidFill>
          </w14:textFill>
        </w:rPr>
        <w:t>③</w:t>
      </w:r>
      <w:r>
        <w:rPr>
          <w:rFonts w:ascii="Times New Roman" w:hAnsi="Times New Roman"/>
          <w:b w:val="0"/>
          <w:color w:val="000000" w:themeColor="text1"/>
          <w:sz w:val="24"/>
          <w:szCs w:val="24"/>
          <w14:textFill>
            <w14:solidFill>
              <w14:schemeClr w14:val="tx1"/>
            </w14:solidFill>
          </w14:textFill>
        </w:rPr>
        <w:t>向北预留衔接万环东路通道。</w:t>
      </w:r>
      <w:r>
        <w:rPr>
          <w:rFonts w:ascii="Times New Roman" w:hAnsi="Times New Roman"/>
          <w:b w:val="0"/>
          <w:color w:val="000000" w:themeColor="text1"/>
          <w:sz w:val="24"/>
          <w:szCs w:val="24"/>
          <w:lang w:val="zh-CN"/>
          <w14:textFill>
            <w14:solidFill>
              <w14:schemeClr w14:val="tx1"/>
            </w14:solidFill>
          </w14:textFill>
        </w:rPr>
        <w:t>南部片区路网规划</w:t>
      </w:r>
    </w:p>
    <w:tbl>
      <w:tblPr>
        <w:tblStyle w:val="32"/>
        <w:tblW w:w="9062" w:type="dxa"/>
        <w:jc w:val="center"/>
        <w:tblLayout w:type="autofit"/>
        <w:tblCellMar>
          <w:top w:w="0" w:type="dxa"/>
          <w:left w:w="0" w:type="dxa"/>
          <w:bottom w:w="0" w:type="dxa"/>
          <w:right w:w="0" w:type="dxa"/>
        </w:tblCellMar>
      </w:tblPr>
      <w:tblGrid>
        <w:gridCol w:w="1186"/>
        <w:gridCol w:w="1178"/>
        <w:gridCol w:w="3480"/>
        <w:gridCol w:w="1642"/>
        <w:gridCol w:w="1576"/>
      </w:tblGrid>
      <w:tr>
        <w:tblPrEx>
          <w:tblCellMar>
            <w:top w:w="0" w:type="dxa"/>
            <w:left w:w="0" w:type="dxa"/>
            <w:bottom w:w="0" w:type="dxa"/>
            <w:right w:w="0" w:type="dxa"/>
          </w:tblCellMar>
        </w:tblPrEx>
        <w:trPr>
          <w:trHeight w:val="454" w:hRule="atLeast"/>
          <w:tblHeader/>
          <w:jc w:val="center"/>
        </w:trPr>
        <w:tc>
          <w:tcPr>
            <w:tcW w:w="1186" w:type="dxa"/>
            <w:tcBorders>
              <w:top w:val="single" w:color="000000" w:sz="8" w:space="0"/>
              <w:left w:val="single" w:color="000000" w:sz="8" w:space="0"/>
              <w:bottom w:val="single" w:color="000000" w:sz="8" w:space="0"/>
              <w:right w:val="single" w:color="000000" w:sz="8" w:space="0"/>
            </w:tcBorders>
            <w:shd w:val="clear" w:color="auto" w:fill="auto"/>
            <w:tcMar>
              <w:top w:w="15" w:type="dxa"/>
              <w:left w:w="54" w:type="dxa"/>
              <w:bottom w:w="0" w:type="dxa"/>
              <w:right w:w="54"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分类</w:t>
            </w:r>
          </w:p>
        </w:tc>
        <w:tc>
          <w:tcPr>
            <w:tcW w:w="4658"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54" w:type="dxa"/>
              <w:bottom w:w="0" w:type="dxa"/>
              <w:right w:w="54"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道路名称</w:t>
            </w:r>
          </w:p>
        </w:tc>
        <w:tc>
          <w:tcPr>
            <w:tcW w:w="1642" w:type="dxa"/>
            <w:tcBorders>
              <w:top w:val="single" w:color="000000" w:sz="8" w:space="0"/>
              <w:left w:val="single" w:color="000000" w:sz="8" w:space="0"/>
              <w:bottom w:val="single" w:color="000000" w:sz="8" w:space="0"/>
              <w:right w:val="single" w:color="000000" w:sz="8" w:space="0"/>
            </w:tcBorders>
            <w:shd w:val="clear" w:color="auto" w:fill="auto"/>
            <w:tcMar>
              <w:top w:w="15" w:type="dxa"/>
              <w:left w:w="54" w:type="dxa"/>
              <w:bottom w:w="0" w:type="dxa"/>
              <w:right w:w="54"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道路等级</w:t>
            </w:r>
          </w:p>
        </w:tc>
        <w:tc>
          <w:tcPr>
            <w:tcW w:w="1576" w:type="dxa"/>
            <w:tcBorders>
              <w:top w:val="single" w:color="000000" w:sz="8" w:space="0"/>
              <w:left w:val="single" w:color="000000" w:sz="8" w:space="0"/>
              <w:bottom w:val="single" w:color="000000" w:sz="8" w:space="0"/>
              <w:right w:val="single" w:color="000000" w:sz="8" w:space="0"/>
            </w:tcBorders>
            <w:shd w:val="clear" w:color="auto" w:fill="auto"/>
            <w:tcMar>
              <w:top w:w="15" w:type="dxa"/>
              <w:left w:w="54" w:type="dxa"/>
              <w:bottom w:w="0" w:type="dxa"/>
              <w:right w:w="54"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规划红线宽度</w:t>
            </w:r>
          </w:p>
        </w:tc>
      </w:tr>
      <w:tr>
        <w:tblPrEx>
          <w:tblCellMar>
            <w:top w:w="0" w:type="dxa"/>
            <w:left w:w="0" w:type="dxa"/>
            <w:bottom w:w="0" w:type="dxa"/>
            <w:right w:w="0" w:type="dxa"/>
          </w:tblCellMar>
        </w:tblPrEx>
        <w:trPr>
          <w:trHeight w:val="454" w:hRule="atLeast"/>
          <w:jc w:val="center"/>
        </w:trPr>
        <w:tc>
          <w:tcPr>
            <w:tcW w:w="1186"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54" w:type="dxa"/>
              <w:bottom w:w="0" w:type="dxa"/>
              <w:right w:w="54"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高快速路</w:t>
            </w:r>
          </w:p>
        </w:tc>
        <w:tc>
          <w:tcPr>
            <w:tcW w:w="1178"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54" w:type="dxa"/>
              <w:bottom w:w="0" w:type="dxa"/>
              <w:right w:w="54"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二横</w:t>
            </w:r>
          </w:p>
        </w:tc>
        <w:tc>
          <w:tcPr>
            <w:tcW w:w="3480" w:type="dxa"/>
            <w:tcBorders>
              <w:top w:val="single" w:color="000000" w:sz="8" w:space="0"/>
              <w:left w:val="single" w:color="000000" w:sz="8" w:space="0"/>
              <w:bottom w:val="single" w:color="000000" w:sz="8" w:space="0"/>
              <w:right w:val="single" w:color="000000" w:sz="8" w:space="0"/>
            </w:tcBorders>
            <w:shd w:val="clear" w:color="auto" w:fill="auto"/>
            <w:tcMar>
              <w:top w:w="15" w:type="dxa"/>
              <w:left w:w="54" w:type="dxa"/>
              <w:bottom w:w="0" w:type="dxa"/>
              <w:right w:w="54"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南中高速-穗深通道</w:t>
            </w:r>
          </w:p>
        </w:tc>
        <w:tc>
          <w:tcPr>
            <w:tcW w:w="1642" w:type="dxa"/>
            <w:tcBorders>
              <w:top w:val="single" w:color="000000" w:sz="8" w:space="0"/>
              <w:left w:val="single" w:color="000000" w:sz="8" w:space="0"/>
              <w:bottom w:val="single" w:color="000000" w:sz="8" w:space="0"/>
              <w:right w:val="single" w:color="000000" w:sz="8" w:space="0"/>
            </w:tcBorders>
            <w:shd w:val="clear" w:color="auto" w:fill="auto"/>
            <w:tcMar>
              <w:top w:w="15" w:type="dxa"/>
              <w:left w:w="54" w:type="dxa"/>
              <w:bottom w:w="0" w:type="dxa"/>
              <w:right w:w="54"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高速公路</w:t>
            </w:r>
          </w:p>
        </w:tc>
        <w:tc>
          <w:tcPr>
            <w:tcW w:w="1576" w:type="dxa"/>
            <w:tcBorders>
              <w:top w:val="single" w:color="000000" w:sz="8" w:space="0"/>
              <w:left w:val="single" w:color="000000" w:sz="8" w:space="0"/>
              <w:bottom w:val="single" w:color="000000" w:sz="8" w:space="0"/>
              <w:right w:val="single" w:color="000000" w:sz="8" w:space="0"/>
            </w:tcBorders>
            <w:shd w:val="clear" w:color="auto" w:fill="auto"/>
            <w:tcMar>
              <w:top w:w="15" w:type="dxa"/>
              <w:left w:w="54" w:type="dxa"/>
              <w:bottom w:w="0" w:type="dxa"/>
              <w:right w:w="54"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65m</w:t>
            </w:r>
          </w:p>
        </w:tc>
      </w:tr>
      <w:tr>
        <w:tblPrEx>
          <w:tblCellMar>
            <w:top w:w="0" w:type="dxa"/>
            <w:left w:w="0" w:type="dxa"/>
            <w:bottom w:w="0" w:type="dxa"/>
            <w:right w:w="0" w:type="dxa"/>
          </w:tblCellMar>
        </w:tblPrEx>
        <w:trPr>
          <w:trHeight w:val="454"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p>
        </w:tc>
        <w:tc>
          <w:tcPr>
            <w:tcW w:w="3480" w:type="dxa"/>
            <w:tcBorders>
              <w:top w:val="single" w:color="000000" w:sz="8" w:space="0"/>
              <w:left w:val="single" w:color="000000" w:sz="8" w:space="0"/>
              <w:bottom w:val="single" w:color="000000" w:sz="8" w:space="0"/>
              <w:right w:val="single" w:color="000000" w:sz="8" w:space="0"/>
            </w:tcBorders>
            <w:shd w:val="clear" w:color="auto" w:fill="auto"/>
            <w:tcMar>
              <w:top w:w="15" w:type="dxa"/>
              <w:left w:w="54" w:type="dxa"/>
              <w:bottom w:w="0" w:type="dxa"/>
              <w:right w:w="54"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深中通道</w:t>
            </w:r>
          </w:p>
        </w:tc>
        <w:tc>
          <w:tcPr>
            <w:tcW w:w="1642" w:type="dxa"/>
            <w:tcBorders>
              <w:top w:val="single" w:color="000000" w:sz="8" w:space="0"/>
              <w:left w:val="single" w:color="000000" w:sz="8" w:space="0"/>
              <w:bottom w:val="single" w:color="000000" w:sz="8" w:space="0"/>
              <w:right w:val="single" w:color="000000" w:sz="8" w:space="0"/>
            </w:tcBorders>
            <w:shd w:val="clear" w:color="auto" w:fill="auto"/>
            <w:tcMar>
              <w:top w:w="15" w:type="dxa"/>
              <w:left w:w="54" w:type="dxa"/>
              <w:bottom w:w="0" w:type="dxa"/>
              <w:right w:w="54"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高速公路</w:t>
            </w:r>
          </w:p>
        </w:tc>
        <w:tc>
          <w:tcPr>
            <w:tcW w:w="1576" w:type="dxa"/>
            <w:tcBorders>
              <w:top w:val="single" w:color="000000" w:sz="8" w:space="0"/>
              <w:left w:val="single" w:color="000000" w:sz="8" w:space="0"/>
              <w:bottom w:val="single" w:color="000000" w:sz="8" w:space="0"/>
              <w:right w:val="single" w:color="000000" w:sz="8" w:space="0"/>
            </w:tcBorders>
            <w:shd w:val="clear" w:color="auto" w:fill="auto"/>
            <w:tcMar>
              <w:top w:w="15" w:type="dxa"/>
              <w:left w:w="54" w:type="dxa"/>
              <w:bottom w:w="0" w:type="dxa"/>
              <w:right w:w="54"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60m</w:t>
            </w:r>
          </w:p>
        </w:tc>
      </w:tr>
      <w:tr>
        <w:tblPrEx>
          <w:tblCellMar>
            <w:top w:w="0" w:type="dxa"/>
            <w:left w:w="0" w:type="dxa"/>
            <w:bottom w:w="0" w:type="dxa"/>
            <w:right w:w="0" w:type="dxa"/>
          </w:tblCellMar>
        </w:tblPrEx>
        <w:trPr>
          <w:trHeight w:val="454"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p>
        </w:tc>
        <w:tc>
          <w:tcPr>
            <w:tcW w:w="1178"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54" w:type="dxa"/>
              <w:bottom w:w="0" w:type="dxa"/>
              <w:right w:w="54"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二纵</w:t>
            </w:r>
          </w:p>
        </w:tc>
        <w:tc>
          <w:tcPr>
            <w:tcW w:w="3480" w:type="dxa"/>
            <w:tcBorders>
              <w:top w:val="single" w:color="000000" w:sz="8" w:space="0"/>
              <w:left w:val="single" w:color="000000" w:sz="8" w:space="0"/>
              <w:bottom w:val="single" w:color="000000" w:sz="8" w:space="0"/>
              <w:right w:val="single" w:color="000000" w:sz="8" w:space="0"/>
            </w:tcBorders>
            <w:shd w:val="clear" w:color="auto" w:fill="auto"/>
            <w:tcMar>
              <w:top w:w="15" w:type="dxa"/>
              <w:left w:w="54" w:type="dxa"/>
              <w:bottom w:w="0" w:type="dxa"/>
              <w:right w:w="54"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万顷沙支线</w:t>
            </w:r>
          </w:p>
        </w:tc>
        <w:tc>
          <w:tcPr>
            <w:tcW w:w="1642" w:type="dxa"/>
            <w:tcBorders>
              <w:top w:val="single" w:color="000000" w:sz="8" w:space="0"/>
              <w:left w:val="single" w:color="000000" w:sz="8" w:space="0"/>
              <w:bottom w:val="single" w:color="000000" w:sz="8" w:space="0"/>
              <w:right w:val="single" w:color="000000" w:sz="8" w:space="0"/>
            </w:tcBorders>
            <w:shd w:val="clear" w:color="auto" w:fill="auto"/>
            <w:tcMar>
              <w:top w:w="15" w:type="dxa"/>
              <w:left w:w="54" w:type="dxa"/>
              <w:bottom w:w="0" w:type="dxa"/>
              <w:right w:w="54"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高速公路</w:t>
            </w:r>
          </w:p>
        </w:tc>
        <w:tc>
          <w:tcPr>
            <w:tcW w:w="1576" w:type="dxa"/>
            <w:tcBorders>
              <w:top w:val="single" w:color="000000" w:sz="8" w:space="0"/>
              <w:left w:val="single" w:color="000000" w:sz="8" w:space="0"/>
              <w:bottom w:val="single" w:color="000000" w:sz="8" w:space="0"/>
              <w:right w:val="single" w:color="000000" w:sz="8" w:space="0"/>
            </w:tcBorders>
            <w:shd w:val="clear" w:color="auto" w:fill="auto"/>
            <w:tcMar>
              <w:top w:w="15" w:type="dxa"/>
              <w:left w:w="54" w:type="dxa"/>
              <w:bottom w:w="0" w:type="dxa"/>
              <w:right w:w="54"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65m</w:t>
            </w:r>
          </w:p>
        </w:tc>
      </w:tr>
      <w:tr>
        <w:tblPrEx>
          <w:tblCellMar>
            <w:top w:w="0" w:type="dxa"/>
            <w:left w:w="0" w:type="dxa"/>
            <w:bottom w:w="0" w:type="dxa"/>
            <w:right w:w="0" w:type="dxa"/>
          </w:tblCellMar>
        </w:tblPrEx>
        <w:trPr>
          <w:trHeight w:val="454"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p>
        </w:tc>
        <w:tc>
          <w:tcPr>
            <w:tcW w:w="3480" w:type="dxa"/>
            <w:tcBorders>
              <w:top w:val="single" w:color="000000" w:sz="8" w:space="0"/>
              <w:left w:val="single" w:color="000000" w:sz="8" w:space="0"/>
              <w:bottom w:val="single" w:color="000000" w:sz="8" w:space="0"/>
              <w:right w:val="single" w:color="000000" w:sz="8" w:space="0"/>
            </w:tcBorders>
            <w:shd w:val="clear" w:color="auto" w:fill="auto"/>
            <w:tcMar>
              <w:top w:w="15" w:type="dxa"/>
              <w:left w:w="54" w:type="dxa"/>
              <w:bottom w:w="0" w:type="dxa"/>
              <w:right w:w="54"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南沙港快速</w:t>
            </w:r>
          </w:p>
        </w:tc>
        <w:tc>
          <w:tcPr>
            <w:tcW w:w="1642" w:type="dxa"/>
            <w:tcBorders>
              <w:top w:val="single" w:color="000000" w:sz="8" w:space="0"/>
              <w:left w:val="single" w:color="000000" w:sz="8" w:space="0"/>
              <w:bottom w:val="single" w:color="000000" w:sz="8" w:space="0"/>
              <w:right w:val="single" w:color="000000" w:sz="8" w:space="0"/>
            </w:tcBorders>
            <w:shd w:val="clear" w:color="auto" w:fill="auto"/>
            <w:tcMar>
              <w:top w:w="15" w:type="dxa"/>
              <w:left w:w="54" w:type="dxa"/>
              <w:bottom w:w="0" w:type="dxa"/>
              <w:right w:w="54"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快速路</w:t>
            </w:r>
          </w:p>
        </w:tc>
        <w:tc>
          <w:tcPr>
            <w:tcW w:w="1576" w:type="dxa"/>
            <w:tcBorders>
              <w:top w:val="single" w:color="000000" w:sz="8" w:space="0"/>
              <w:left w:val="single" w:color="000000" w:sz="8" w:space="0"/>
              <w:bottom w:val="single" w:color="000000" w:sz="8" w:space="0"/>
              <w:right w:val="single" w:color="000000" w:sz="8" w:space="0"/>
            </w:tcBorders>
            <w:shd w:val="clear" w:color="auto" w:fill="auto"/>
            <w:tcMar>
              <w:top w:w="15" w:type="dxa"/>
              <w:left w:w="54" w:type="dxa"/>
              <w:bottom w:w="0" w:type="dxa"/>
              <w:right w:w="54"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80m</w:t>
            </w:r>
          </w:p>
        </w:tc>
      </w:tr>
      <w:tr>
        <w:tblPrEx>
          <w:tblCellMar>
            <w:top w:w="0" w:type="dxa"/>
            <w:left w:w="0" w:type="dxa"/>
            <w:bottom w:w="0" w:type="dxa"/>
            <w:right w:w="0" w:type="dxa"/>
          </w:tblCellMar>
        </w:tblPrEx>
        <w:trPr>
          <w:trHeight w:val="454" w:hRule="atLeast"/>
          <w:jc w:val="center"/>
        </w:trPr>
        <w:tc>
          <w:tcPr>
            <w:tcW w:w="1186" w:type="dxa"/>
            <w:vMerge w:val="restart"/>
            <w:tcBorders>
              <w:top w:val="single" w:color="000000" w:sz="8" w:space="0"/>
              <w:left w:val="single" w:color="000000" w:sz="8" w:space="0"/>
              <w:bottom w:val="single" w:color="000000" w:sz="8" w:space="0"/>
              <w:right w:val="single" w:color="000000" w:sz="8" w:space="0"/>
            </w:tcBorders>
            <w:shd w:val="clear" w:color="auto" w:fill="auto"/>
            <w:tcMar>
              <w:top w:w="72" w:type="dxa"/>
              <w:left w:w="57" w:type="dxa"/>
              <w:bottom w:w="72" w:type="dxa"/>
              <w:right w:w="57"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骨架路网</w:t>
            </w:r>
          </w:p>
        </w:tc>
        <w:tc>
          <w:tcPr>
            <w:tcW w:w="1178"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54" w:type="dxa"/>
              <w:bottom w:w="0" w:type="dxa"/>
              <w:right w:w="54"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六横</w:t>
            </w:r>
          </w:p>
        </w:tc>
        <w:tc>
          <w:tcPr>
            <w:tcW w:w="3480"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渔港大道</w:t>
            </w:r>
          </w:p>
        </w:tc>
        <w:tc>
          <w:tcPr>
            <w:tcW w:w="1642"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主干路</w:t>
            </w:r>
          </w:p>
        </w:tc>
        <w:tc>
          <w:tcPr>
            <w:tcW w:w="1576"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40m</w:t>
            </w:r>
          </w:p>
        </w:tc>
      </w:tr>
      <w:tr>
        <w:tblPrEx>
          <w:tblCellMar>
            <w:top w:w="0" w:type="dxa"/>
            <w:left w:w="0" w:type="dxa"/>
            <w:bottom w:w="0" w:type="dxa"/>
            <w:right w:w="0" w:type="dxa"/>
          </w:tblCellMar>
        </w:tblPrEx>
        <w:trPr>
          <w:trHeight w:val="454"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p>
        </w:tc>
        <w:tc>
          <w:tcPr>
            <w:tcW w:w="3480"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龙利路</w:t>
            </w:r>
          </w:p>
        </w:tc>
        <w:tc>
          <w:tcPr>
            <w:tcW w:w="1642"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主干路</w:t>
            </w:r>
          </w:p>
        </w:tc>
        <w:tc>
          <w:tcPr>
            <w:tcW w:w="1576"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36m</w:t>
            </w:r>
          </w:p>
        </w:tc>
      </w:tr>
      <w:tr>
        <w:tblPrEx>
          <w:tblCellMar>
            <w:top w:w="0" w:type="dxa"/>
            <w:left w:w="0" w:type="dxa"/>
            <w:bottom w:w="0" w:type="dxa"/>
            <w:right w:w="0" w:type="dxa"/>
          </w:tblCellMar>
        </w:tblPrEx>
        <w:trPr>
          <w:trHeight w:val="454"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p>
        </w:tc>
        <w:tc>
          <w:tcPr>
            <w:tcW w:w="3480"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万环南路</w:t>
            </w:r>
          </w:p>
        </w:tc>
        <w:tc>
          <w:tcPr>
            <w:tcW w:w="1642"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主干路</w:t>
            </w:r>
          </w:p>
        </w:tc>
        <w:tc>
          <w:tcPr>
            <w:tcW w:w="1576"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40m</w:t>
            </w:r>
          </w:p>
        </w:tc>
      </w:tr>
      <w:tr>
        <w:tblPrEx>
          <w:tblCellMar>
            <w:top w:w="0" w:type="dxa"/>
            <w:left w:w="0" w:type="dxa"/>
            <w:bottom w:w="0" w:type="dxa"/>
            <w:right w:w="0" w:type="dxa"/>
          </w:tblCellMar>
        </w:tblPrEx>
        <w:trPr>
          <w:trHeight w:val="454"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p>
        </w:tc>
        <w:tc>
          <w:tcPr>
            <w:tcW w:w="3480"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规划横一路</w:t>
            </w:r>
          </w:p>
        </w:tc>
        <w:tc>
          <w:tcPr>
            <w:tcW w:w="1642"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主干路</w:t>
            </w:r>
          </w:p>
        </w:tc>
        <w:tc>
          <w:tcPr>
            <w:tcW w:w="1576"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40m</w:t>
            </w:r>
          </w:p>
        </w:tc>
      </w:tr>
      <w:tr>
        <w:tblPrEx>
          <w:tblCellMar>
            <w:top w:w="0" w:type="dxa"/>
            <w:left w:w="0" w:type="dxa"/>
            <w:bottom w:w="0" w:type="dxa"/>
            <w:right w:w="0" w:type="dxa"/>
          </w:tblCellMar>
        </w:tblPrEx>
        <w:trPr>
          <w:trHeight w:val="454"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p>
        </w:tc>
        <w:tc>
          <w:tcPr>
            <w:tcW w:w="3480"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二十涌北路</w:t>
            </w:r>
          </w:p>
        </w:tc>
        <w:tc>
          <w:tcPr>
            <w:tcW w:w="1642"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主干路</w:t>
            </w:r>
          </w:p>
        </w:tc>
        <w:tc>
          <w:tcPr>
            <w:tcW w:w="1576"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50m</w:t>
            </w:r>
          </w:p>
        </w:tc>
      </w:tr>
      <w:tr>
        <w:tblPrEx>
          <w:tblCellMar>
            <w:top w:w="0" w:type="dxa"/>
            <w:left w:w="0" w:type="dxa"/>
            <w:bottom w:w="0" w:type="dxa"/>
            <w:right w:w="0" w:type="dxa"/>
          </w:tblCellMar>
        </w:tblPrEx>
        <w:trPr>
          <w:trHeight w:val="454"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p>
        </w:tc>
        <w:tc>
          <w:tcPr>
            <w:tcW w:w="3480"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二十涌南一路</w:t>
            </w:r>
          </w:p>
        </w:tc>
        <w:tc>
          <w:tcPr>
            <w:tcW w:w="1642"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主干路</w:t>
            </w:r>
          </w:p>
        </w:tc>
        <w:tc>
          <w:tcPr>
            <w:tcW w:w="1576"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40m</w:t>
            </w:r>
          </w:p>
        </w:tc>
      </w:tr>
      <w:tr>
        <w:tblPrEx>
          <w:tblCellMar>
            <w:top w:w="0" w:type="dxa"/>
            <w:left w:w="0" w:type="dxa"/>
            <w:bottom w:w="0" w:type="dxa"/>
            <w:right w:w="0" w:type="dxa"/>
          </w:tblCellMar>
        </w:tblPrEx>
        <w:trPr>
          <w:trHeight w:val="454"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p>
        </w:tc>
        <w:tc>
          <w:tcPr>
            <w:tcW w:w="1178"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54" w:type="dxa"/>
              <w:bottom w:w="0" w:type="dxa"/>
              <w:right w:w="54"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五纵</w:t>
            </w:r>
          </w:p>
        </w:tc>
        <w:tc>
          <w:tcPr>
            <w:tcW w:w="3480"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规划纵一路</w:t>
            </w:r>
          </w:p>
        </w:tc>
        <w:tc>
          <w:tcPr>
            <w:tcW w:w="1642"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主干路</w:t>
            </w:r>
          </w:p>
        </w:tc>
        <w:tc>
          <w:tcPr>
            <w:tcW w:w="1576"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40m</w:t>
            </w:r>
          </w:p>
        </w:tc>
      </w:tr>
      <w:tr>
        <w:tblPrEx>
          <w:tblCellMar>
            <w:top w:w="0" w:type="dxa"/>
            <w:left w:w="0" w:type="dxa"/>
            <w:bottom w:w="0" w:type="dxa"/>
            <w:right w:w="0" w:type="dxa"/>
          </w:tblCellMar>
        </w:tblPrEx>
        <w:trPr>
          <w:trHeight w:val="454"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p>
        </w:tc>
        <w:tc>
          <w:tcPr>
            <w:tcW w:w="3480"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万环西路及南延线</w:t>
            </w:r>
          </w:p>
        </w:tc>
        <w:tc>
          <w:tcPr>
            <w:tcW w:w="1642"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快捷路</w:t>
            </w:r>
          </w:p>
        </w:tc>
        <w:tc>
          <w:tcPr>
            <w:tcW w:w="1576"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60-65m</w:t>
            </w:r>
          </w:p>
        </w:tc>
      </w:tr>
      <w:tr>
        <w:tblPrEx>
          <w:tblCellMar>
            <w:top w:w="0" w:type="dxa"/>
            <w:left w:w="0" w:type="dxa"/>
            <w:bottom w:w="0" w:type="dxa"/>
            <w:right w:w="0" w:type="dxa"/>
          </w:tblCellMar>
        </w:tblPrEx>
        <w:trPr>
          <w:trHeight w:val="454"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p>
        </w:tc>
        <w:tc>
          <w:tcPr>
            <w:tcW w:w="3480"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健康谷纵七</w:t>
            </w:r>
          </w:p>
        </w:tc>
        <w:tc>
          <w:tcPr>
            <w:tcW w:w="1642"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主干路</w:t>
            </w:r>
          </w:p>
        </w:tc>
        <w:tc>
          <w:tcPr>
            <w:tcW w:w="1576"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40m</w:t>
            </w:r>
          </w:p>
        </w:tc>
      </w:tr>
      <w:tr>
        <w:tblPrEx>
          <w:tblCellMar>
            <w:top w:w="0" w:type="dxa"/>
            <w:left w:w="0" w:type="dxa"/>
            <w:bottom w:w="0" w:type="dxa"/>
            <w:right w:w="0" w:type="dxa"/>
          </w:tblCellMar>
        </w:tblPrEx>
        <w:trPr>
          <w:trHeight w:val="454"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p>
        </w:tc>
        <w:tc>
          <w:tcPr>
            <w:tcW w:w="3480"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灵新大道</w:t>
            </w:r>
          </w:p>
        </w:tc>
        <w:tc>
          <w:tcPr>
            <w:tcW w:w="1642"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主干路</w:t>
            </w:r>
          </w:p>
        </w:tc>
        <w:tc>
          <w:tcPr>
            <w:tcW w:w="1576"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60m</w:t>
            </w:r>
          </w:p>
        </w:tc>
      </w:tr>
      <w:tr>
        <w:tblPrEx>
          <w:tblCellMar>
            <w:top w:w="0" w:type="dxa"/>
            <w:left w:w="0" w:type="dxa"/>
            <w:bottom w:w="0" w:type="dxa"/>
            <w:right w:w="0" w:type="dxa"/>
          </w:tblCellMar>
        </w:tblPrEx>
        <w:trPr>
          <w:trHeight w:val="454"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p>
        </w:tc>
        <w:tc>
          <w:tcPr>
            <w:tcW w:w="3480"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万环东路</w:t>
            </w:r>
          </w:p>
        </w:tc>
        <w:tc>
          <w:tcPr>
            <w:tcW w:w="1642"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主干路</w:t>
            </w:r>
          </w:p>
        </w:tc>
        <w:tc>
          <w:tcPr>
            <w:tcW w:w="1576" w:type="dxa"/>
            <w:tcBorders>
              <w:top w:val="single" w:color="000000" w:sz="8" w:space="0"/>
              <w:left w:val="single" w:color="000000" w:sz="8" w:space="0"/>
              <w:bottom w:val="single" w:color="000000" w:sz="8" w:space="0"/>
              <w:right w:val="single" w:color="000000" w:sz="8" w:space="0"/>
            </w:tcBorders>
            <w:shd w:val="clear" w:color="auto" w:fill="auto"/>
            <w:tcMar>
              <w:top w:w="15" w:type="dxa"/>
              <w:left w:w="133" w:type="dxa"/>
              <w:bottom w:w="0" w:type="dxa"/>
              <w:right w:w="133" w:type="dxa"/>
            </w:tcMar>
            <w:vAlign w:val="center"/>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40m</w:t>
            </w:r>
          </w:p>
        </w:tc>
      </w:tr>
    </w:tbl>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p>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drawing>
          <wp:inline distT="0" distB="0" distL="0" distR="0">
            <wp:extent cx="4621530" cy="4361815"/>
            <wp:effectExtent l="0" t="0" r="7620" b="635"/>
            <wp:docPr id="418272797" name="图片 418272797"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272797" name="图片 418272797" descr="地图&#10;&#10;描述已自动生成"/>
                    <pic:cNvPicPr>
                      <a:picLocks noChangeAspect="1"/>
                    </pic:cNvPicPr>
                  </pic:nvPicPr>
                  <pic:blipFill>
                    <a:blip r:embed="rId45"/>
                    <a:stretch>
                      <a:fillRect/>
                    </a:stretch>
                  </pic:blipFill>
                  <pic:spPr>
                    <a:xfrm>
                      <a:off x="0" y="0"/>
                      <a:ext cx="4621530" cy="4361815"/>
                    </a:xfrm>
                    <a:prstGeom prst="rect">
                      <a:avLst/>
                    </a:prstGeom>
                  </pic:spPr>
                </pic:pic>
              </a:graphicData>
            </a:graphic>
          </wp:inline>
        </w:drawing>
      </w:r>
    </w:p>
    <w:p>
      <w:pPr>
        <w:spacing w:line="300" w:lineRule="auto"/>
        <w:ind w:firstLine="422"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cs="Times New Roman"/>
          <w:color w:val="000000" w:themeColor="text1"/>
          <w:sz w:val="21"/>
          <w14:textFill>
            <w14:solidFill>
              <w14:schemeClr w14:val="tx1"/>
            </w14:solidFill>
          </w14:textFill>
        </w:rPr>
        <w:t>南部片区规划路网</w:t>
      </w:r>
    </w:p>
    <w:p>
      <w:pPr>
        <w:spacing w:line="300" w:lineRule="auto"/>
        <w:ind w:firstLine="480" w:firstLineChars="200"/>
        <w:jc w:val="left"/>
        <w:rPr>
          <w:rFonts w:ascii="Times New Roman" w:hAnsi="Times New Roman"/>
          <w:color w:val="000000" w:themeColor="text1"/>
          <w:sz w:val="21"/>
          <w14:textFill>
            <w14:solidFill>
              <w14:schemeClr w14:val="tx1"/>
            </w14:solidFill>
          </w14:textFill>
        </w:rPr>
      </w:pPr>
      <w:r>
        <w:rPr>
          <w:rFonts w:ascii="Times New Roman" w:hAnsi="Times New Roman"/>
          <w:b w:val="0"/>
          <w:color w:val="auto"/>
          <w:sz w:val="24"/>
          <w:szCs w:val="24"/>
        </w:rPr>
        <w:t>本项目包含</w:t>
      </w:r>
      <w:r>
        <w:rPr>
          <w:rFonts w:hint="eastAsia" w:ascii="Times New Roman" w:hAnsi="Times New Roman"/>
          <w:b w:val="0"/>
          <w:color w:val="auto"/>
          <w:sz w:val="24"/>
          <w:szCs w:val="24"/>
        </w:rPr>
        <w:t>2</w:t>
      </w:r>
      <w:r>
        <w:rPr>
          <w:rFonts w:ascii="Times New Roman" w:hAnsi="Times New Roman"/>
          <w:b w:val="0"/>
          <w:color w:val="auto"/>
          <w:sz w:val="24"/>
          <w:szCs w:val="24"/>
        </w:rPr>
        <w:t>条新建市政道路，为二十涌北路</w:t>
      </w:r>
      <w:r>
        <w:rPr>
          <w:rFonts w:hint="eastAsia" w:ascii="Times New Roman" w:hAnsi="Times New Roman"/>
          <w:b w:val="0"/>
          <w:color w:val="auto"/>
          <w:sz w:val="24"/>
          <w:szCs w:val="24"/>
        </w:rPr>
        <w:t>、</w:t>
      </w:r>
      <w:r>
        <w:rPr>
          <w:rFonts w:ascii="Times New Roman" w:hAnsi="Times New Roman"/>
          <w:b w:val="0"/>
          <w:color w:val="auto"/>
          <w:sz w:val="24"/>
          <w:szCs w:val="24"/>
        </w:rPr>
        <w:t>规划纵三路。</w:t>
      </w:r>
    </w:p>
    <w:p>
      <w:pPr>
        <w:pStyle w:val="4"/>
        <w:ind w:firstLine="482" w:firstLineChars="200"/>
      </w:pPr>
      <w:bookmarkStart w:id="73" w:name="_Toc13194"/>
      <w:r>
        <w:t>防洪排涝规划</w:t>
      </w:r>
      <w:bookmarkEnd w:id="73"/>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hint="eastAsia" w:ascii="Times New Roman" w:hAnsi="Times New Roman"/>
          <w:b w:val="0"/>
          <w:color w:val="000000" w:themeColor="text1"/>
          <w:sz w:val="24"/>
          <w:szCs w:val="24"/>
          <w14:textFill>
            <w14:solidFill>
              <w14:schemeClr w14:val="tx1"/>
            </w14:solidFill>
          </w14:textFill>
        </w:rPr>
        <w:t>1）防洪工程现状</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万顷沙围现状依托堤防、水闸组成防洪(潮)体系已基本形成。其中：十八涌以北大部分地区作为城市建设区，该片区外江堤防的近远期防洪(潮)标准确定为200年一遇，并通过十八涌南堤形成闭合的200年一遇防洪保护圈。十八涌以南规划为湿地，外江堤防近期防洪潮标准为50年一遇</w:t>
      </w:r>
      <w:r>
        <w:rPr>
          <w:rFonts w:hint="eastAsia" w:ascii="Times New Roman" w:hAnsi="Times New Roman"/>
          <w:b w:val="0"/>
          <w:color w:val="000000" w:themeColor="text1"/>
          <w:sz w:val="24"/>
          <w:szCs w:val="24"/>
          <w14:textFill>
            <w14:solidFill>
              <w14:schemeClr w14:val="tx1"/>
            </w14:solidFill>
          </w14:textFill>
        </w:rPr>
        <w:t>，远</w:t>
      </w:r>
      <w:r>
        <w:rPr>
          <w:rFonts w:ascii="Times New Roman" w:hAnsi="Times New Roman"/>
          <w:b w:val="0"/>
          <w:color w:val="000000" w:themeColor="text1"/>
          <w:sz w:val="24"/>
          <w:szCs w:val="24"/>
          <w14:textFill>
            <w14:solidFill>
              <w14:schemeClr w14:val="tx1"/>
            </w14:solidFill>
          </w14:textFill>
        </w:rPr>
        <w:t>期防洪潮标准为</w:t>
      </w:r>
      <w:r>
        <w:rPr>
          <w:rFonts w:hint="eastAsia" w:ascii="Times New Roman" w:hAnsi="Times New Roman"/>
          <w:b w:val="0"/>
          <w:color w:val="000000" w:themeColor="text1"/>
          <w:sz w:val="24"/>
          <w:szCs w:val="24"/>
          <w14:textFill>
            <w14:solidFill>
              <w14:schemeClr w14:val="tx1"/>
            </w14:solidFill>
          </w14:textFill>
        </w:rPr>
        <w:t>20</w:t>
      </w:r>
      <w:r>
        <w:rPr>
          <w:rFonts w:ascii="Times New Roman" w:hAnsi="Times New Roman"/>
          <w:b w:val="0"/>
          <w:color w:val="000000" w:themeColor="text1"/>
          <w:sz w:val="24"/>
          <w:szCs w:val="24"/>
          <w14:textFill>
            <w14:solidFill>
              <w14:schemeClr w14:val="tx1"/>
            </w14:solidFill>
          </w14:textFill>
        </w:rPr>
        <w:t>0年一遇</w:t>
      </w:r>
      <w:r>
        <w:rPr>
          <w:rFonts w:hint="eastAsia" w:ascii="Times New Roman" w:hAnsi="Times New Roman"/>
          <w:b w:val="0"/>
          <w:color w:val="000000" w:themeColor="text1"/>
          <w:sz w:val="24"/>
          <w:szCs w:val="24"/>
          <w14:textFill>
            <w14:solidFill>
              <w14:schemeClr w14:val="tx1"/>
            </w14:solidFill>
          </w14:textFill>
        </w:rPr>
        <w:t>。</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hint="eastAsia" w:ascii="Times New Roman" w:hAnsi="Times New Roman"/>
          <w:b w:val="0"/>
          <w:color w:val="000000" w:themeColor="text1"/>
          <w:sz w:val="24"/>
          <w:szCs w:val="24"/>
          <w14:textFill>
            <w14:solidFill>
              <w14:schemeClr w14:val="tx1"/>
            </w14:solidFill>
          </w14:textFill>
        </w:rPr>
        <w:t>万顷沙西站潮汐特征表</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53"/>
        <w:gridCol w:w="43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16" w:hRule="atLeast"/>
          <w:jc w:val="center"/>
        </w:trPr>
        <w:tc>
          <w:tcPr>
            <w:tcW w:w="4353" w:type="dxa"/>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hint="eastAsia" w:ascii="Times New Roman" w:hAnsi="Times New Roman"/>
                <w:b w:val="0"/>
                <w:color w:val="000000" w:themeColor="text1"/>
                <w:sz w:val="24"/>
                <w:szCs w:val="24"/>
                <w14:textFill>
                  <w14:solidFill>
                    <w14:schemeClr w14:val="tx1"/>
                  </w14:solidFill>
                </w14:textFill>
              </w:rPr>
              <w:t>项目</w:t>
            </w:r>
          </w:p>
        </w:tc>
        <w:tc>
          <w:tcPr>
            <w:tcW w:w="4353" w:type="dxa"/>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hint="eastAsia" w:ascii="Times New Roman" w:hAnsi="Times New Roman"/>
                <w:b w:val="0"/>
                <w:color w:val="000000" w:themeColor="text1"/>
                <w:sz w:val="24"/>
                <w:szCs w:val="24"/>
                <w14:textFill>
                  <w14:solidFill>
                    <w14:schemeClr w14:val="tx1"/>
                  </w14:solidFill>
                </w14:textFill>
              </w:rPr>
              <w:t>高度（m）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4353" w:type="dxa"/>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hint="eastAsia" w:ascii="Times New Roman" w:hAnsi="Times New Roman"/>
                <w:b w:val="0"/>
                <w:color w:val="000000" w:themeColor="text1"/>
                <w:sz w:val="24"/>
                <w:szCs w:val="24"/>
                <w14:textFill>
                  <w14:solidFill>
                    <w14:schemeClr w14:val="tx1"/>
                  </w14:solidFill>
                </w14:textFill>
              </w:rPr>
              <w:t>2</w:t>
            </w:r>
            <w:r>
              <w:rPr>
                <w:rFonts w:ascii="Times New Roman" w:hAnsi="Times New Roman"/>
                <w:b w:val="0"/>
                <w:color w:val="000000" w:themeColor="text1"/>
                <w:sz w:val="24"/>
                <w:szCs w:val="24"/>
                <w14:textFill>
                  <w14:solidFill>
                    <w14:schemeClr w14:val="tx1"/>
                  </w14:solidFill>
                </w14:textFill>
              </w:rPr>
              <w:t>00</w:t>
            </w:r>
            <w:r>
              <w:rPr>
                <w:rFonts w:hint="eastAsia" w:ascii="Times New Roman" w:hAnsi="Times New Roman"/>
                <w:b w:val="0"/>
                <w:color w:val="000000" w:themeColor="text1"/>
                <w:sz w:val="24"/>
                <w:szCs w:val="24"/>
                <w14:textFill>
                  <w14:solidFill>
                    <w14:schemeClr w14:val="tx1"/>
                  </w14:solidFill>
                </w14:textFill>
              </w:rPr>
              <w:t>年一遇潮位</w:t>
            </w:r>
          </w:p>
        </w:tc>
        <w:tc>
          <w:tcPr>
            <w:tcW w:w="4353" w:type="dxa"/>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hint="eastAsia" w:ascii="Times New Roman" w:hAnsi="Times New Roman"/>
                <w:b w:val="0"/>
                <w:color w:val="000000" w:themeColor="text1"/>
                <w:sz w:val="24"/>
                <w:szCs w:val="24"/>
                <w14:textFill>
                  <w14:solidFill>
                    <w14:schemeClr w14:val="tx1"/>
                  </w14:solidFill>
                </w14:textFill>
              </w:rPr>
              <w:t>8</w:t>
            </w:r>
            <w:r>
              <w:rPr>
                <w:rFonts w:ascii="Times New Roman" w:hAnsi="Times New Roman"/>
                <w:b w:val="0"/>
                <w:color w:val="000000" w:themeColor="text1"/>
                <w:sz w:val="24"/>
                <w:szCs w:val="24"/>
                <w14:textFill>
                  <w14:solidFill>
                    <w14:schemeClr w14:val="tx1"/>
                  </w14:solidFill>
                </w14:textFill>
              </w:rPr>
              <w:t>.51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4353" w:type="dxa"/>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hint="eastAsia" w:ascii="Times New Roman" w:hAnsi="Times New Roman"/>
                <w:b w:val="0"/>
                <w:color w:val="000000" w:themeColor="text1"/>
                <w:sz w:val="24"/>
                <w:szCs w:val="24"/>
                <w14:textFill>
                  <w14:solidFill>
                    <w14:schemeClr w14:val="tx1"/>
                  </w14:solidFill>
                </w14:textFill>
              </w:rPr>
              <w:t>多年平均高潮位</w:t>
            </w:r>
          </w:p>
        </w:tc>
        <w:tc>
          <w:tcPr>
            <w:tcW w:w="4353" w:type="dxa"/>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hint="eastAsia" w:ascii="Times New Roman" w:hAnsi="Times New Roman"/>
                <w:b w:val="0"/>
                <w:color w:val="000000" w:themeColor="text1"/>
                <w:sz w:val="24"/>
                <w:szCs w:val="24"/>
                <w14:textFill>
                  <w14:solidFill>
                    <w14:schemeClr w14:val="tx1"/>
                  </w14:solidFill>
                </w14:textFill>
              </w:rPr>
              <w:t>5</w:t>
            </w:r>
            <w:r>
              <w:rPr>
                <w:rFonts w:ascii="Times New Roman" w:hAnsi="Times New Roman"/>
                <w:b w:val="0"/>
                <w:color w:val="000000" w:themeColor="text1"/>
                <w:sz w:val="24"/>
                <w:szCs w:val="24"/>
                <w14:textFill>
                  <w14:solidFill>
                    <w14:schemeClr w14:val="tx1"/>
                  </w14:solidFill>
                </w14:textFill>
              </w:rPr>
              <w:t>.68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4353" w:type="dxa"/>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hint="eastAsia" w:ascii="Times New Roman" w:hAnsi="Times New Roman"/>
                <w:b w:val="0"/>
                <w:color w:val="000000" w:themeColor="text1"/>
                <w:sz w:val="24"/>
                <w:szCs w:val="24"/>
                <w14:textFill>
                  <w14:solidFill>
                    <w14:schemeClr w14:val="tx1"/>
                  </w14:solidFill>
                </w14:textFill>
              </w:rPr>
              <w:t>多年平均低潮位</w:t>
            </w:r>
          </w:p>
        </w:tc>
        <w:tc>
          <w:tcPr>
            <w:tcW w:w="4353" w:type="dxa"/>
          </w:tcPr>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hint="eastAsia" w:ascii="Times New Roman" w:hAnsi="Times New Roman"/>
                <w:b w:val="0"/>
                <w:color w:val="000000" w:themeColor="text1"/>
                <w:sz w:val="24"/>
                <w:szCs w:val="24"/>
                <w14:textFill>
                  <w14:solidFill>
                    <w14:schemeClr w14:val="tx1"/>
                  </w14:solidFill>
                </w14:textFill>
              </w:rPr>
              <w:t>4</w:t>
            </w:r>
            <w:r>
              <w:rPr>
                <w:rFonts w:ascii="Times New Roman" w:hAnsi="Times New Roman"/>
                <w:b w:val="0"/>
                <w:color w:val="000000" w:themeColor="text1"/>
                <w:sz w:val="24"/>
                <w:szCs w:val="24"/>
                <w14:textFill>
                  <w14:solidFill>
                    <w14:schemeClr w14:val="tx1"/>
                  </w14:solidFill>
                </w14:textFill>
              </w:rPr>
              <w:t>.49</w:t>
            </w:r>
          </w:p>
        </w:tc>
      </w:tr>
    </w:tbl>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hint="eastAsia" w:ascii="Times New Roman" w:hAnsi="Times New Roman"/>
          <w:b w:val="0"/>
          <w:color w:val="000000" w:themeColor="text1"/>
          <w:sz w:val="24"/>
          <w:szCs w:val="24"/>
          <w14:textFill>
            <w14:solidFill>
              <w14:schemeClr w14:val="tx1"/>
            </w14:solidFill>
          </w14:textFill>
        </w:rPr>
        <w:t>2</w:t>
      </w:r>
      <w:r>
        <w:rPr>
          <w:rFonts w:ascii="Times New Roman" w:hAnsi="Times New Roman"/>
          <w:b w:val="0"/>
          <w:color w:val="000000" w:themeColor="text1"/>
          <w:sz w:val="24"/>
          <w:szCs w:val="24"/>
          <w14:textFill>
            <w14:solidFill>
              <w14:schemeClr w14:val="tx1"/>
            </w14:solidFill>
          </w14:textFill>
        </w:rPr>
        <w:t>）防洪标准：200年一遇</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根据南沙新区的城市发展定位、人口和建设用地规模，新区作为广州城市副中心，将建设成为具有国际影响力的滨海新城区，规划期总人口为200～300万，防护区的防护等级属于Ⅰ等。根据规范及国务院批复的《广州南沙新区发展规划》，确定新区防洪（潮）标准为：城市建设区200年一遇，以农业为主的防护区50年一遇。</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防洪标准</w:t>
      </w:r>
    </w:p>
    <w:tbl>
      <w:tblPr>
        <w:tblStyle w:val="32"/>
        <w:tblW w:w="921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71"/>
        <w:gridCol w:w="1612"/>
        <w:gridCol w:w="1984"/>
        <w:gridCol w:w="2132"/>
        <w:gridCol w:w="24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1071" w:type="dxa"/>
            <w:shd w:val="clear" w:color="auto" w:fill="auto"/>
            <w:vAlign w:val="center"/>
          </w:tcPr>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防护等级</w:t>
            </w:r>
          </w:p>
        </w:tc>
        <w:tc>
          <w:tcPr>
            <w:tcW w:w="1612" w:type="dxa"/>
            <w:shd w:val="clear" w:color="auto" w:fill="auto"/>
            <w:vAlign w:val="center"/>
          </w:tcPr>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重要性</w:t>
            </w:r>
          </w:p>
        </w:tc>
        <w:tc>
          <w:tcPr>
            <w:tcW w:w="1984" w:type="dxa"/>
            <w:shd w:val="clear" w:color="auto" w:fill="auto"/>
            <w:vAlign w:val="center"/>
          </w:tcPr>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常住人口（万人）</w:t>
            </w:r>
          </w:p>
        </w:tc>
        <w:tc>
          <w:tcPr>
            <w:tcW w:w="2132" w:type="dxa"/>
            <w:shd w:val="clear" w:color="auto" w:fill="auto"/>
            <w:vAlign w:val="center"/>
          </w:tcPr>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当量经济规模（万人）</w:t>
            </w:r>
          </w:p>
        </w:tc>
        <w:tc>
          <w:tcPr>
            <w:tcW w:w="2414" w:type="dxa"/>
            <w:shd w:val="clear" w:color="auto" w:fill="auto"/>
            <w:vAlign w:val="center"/>
          </w:tcPr>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防洪标准（重现期/年）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071" w:type="dxa"/>
            <w:shd w:val="clear" w:color="auto" w:fill="auto"/>
            <w:vAlign w:val="center"/>
          </w:tcPr>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Ⅰ</w:t>
            </w:r>
          </w:p>
        </w:tc>
        <w:tc>
          <w:tcPr>
            <w:tcW w:w="1612" w:type="dxa"/>
            <w:shd w:val="clear" w:color="auto" w:fill="auto"/>
            <w:vAlign w:val="center"/>
          </w:tcPr>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特别重要</w:t>
            </w:r>
          </w:p>
        </w:tc>
        <w:tc>
          <w:tcPr>
            <w:tcW w:w="1984" w:type="dxa"/>
            <w:shd w:val="clear" w:color="auto" w:fill="auto"/>
            <w:vAlign w:val="center"/>
          </w:tcPr>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≥150</w:t>
            </w:r>
          </w:p>
        </w:tc>
        <w:tc>
          <w:tcPr>
            <w:tcW w:w="2132" w:type="dxa"/>
            <w:shd w:val="clear" w:color="auto" w:fill="auto"/>
            <w:vAlign w:val="center"/>
          </w:tcPr>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≥300</w:t>
            </w:r>
          </w:p>
        </w:tc>
        <w:tc>
          <w:tcPr>
            <w:tcW w:w="2414" w:type="dxa"/>
            <w:shd w:val="clear" w:color="auto" w:fill="auto"/>
            <w:vAlign w:val="center"/>
          </w:tcPr>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071" w:type="dxa"/>
            <w:shd w:val="clear" w:color="auto" w:fill="auto"/>
            <w:vAlign w:val="center"/>
          </w:tcPr>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Ⅱ</w:t>
            </w:r>
          </w:p>
        </w:tc>
        <w:tc>
          <w:tcPr>
            <w:tcW w:w="1612" w:type="dxa"/>
            <w:shd w:val="clear" w:color="auto" w:fill="auto"/>
            <w:vAlign w:val="center"/>
          </w:tcPr>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重要</w:t>
            </w:r>
          </w:p>
        </w:tc>
        <w:tc>
          <w:tcPr>
            <w:tcW w:w="1984" w:type="dxa"/>
            <w:shd w:val="clear" w:color="auto" w:fill="auto"/>
            <w:vAlign w:val="center"/>
          </w:tcPr>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&lt;150，≥50</w:t>
            </w:r>
          </w:p>
        </w:tc>
        <w:tc>
          <w:tcPr>
            <w:tcW w:w="2132" w:type="dxa"/>
            <w:shd w:val="clear" w:color="auto" w:fill="auto"/>
            <w:vAlign w:val="center"/>
          </w:tcPr>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&lt;300，≥100</w:t>
            </w:r>
          </w:p>
        </w:tc>
        <w:tc>
          <w:tcPr>
            <w:tcW w:w="2414" w:type="dxa"/>
            <w:shd w:val="clear" w:color="auto" w:fill="auto"/>
            <w:vAlign w:val="center"/>
          </w:tcPr>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200～100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071" w:type="dxa"/>
            <w:shd w:val="clear" w:color="auto" w:fill="auto"/>
            <w:vAlign w:val="center"/>
          </w:tcPr>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Ⅲ</w:t>
            </w:r>
          </w:p>
        </w:tc>
        <w:tc>
          <w:tcPr>
            <w:tcW w:w="1612" w:type="dxa"/>
            <w:shd w:val="clear" w:color="auto" w:fill="auto"/>
            <w:vAlign w:val="center"/>
          </w:tcPr>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比较重要</w:t>
            </w:r>
          </w:p>
        </w:tc>
        <w:tc>
          <w:tcPr>
            <w:tcW w:w="1984" w:type="dxa"/>
            <w:shd w:val="clear" w:color="auto" w:fill="auto"/>
            <w:vAlign w:val="center"/>
          </w:tcPr>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&lt;50，≥20</w:t>
            </w:r>
          </w:p>
        </w:tc>
        <w:tc>
          <w:tcPr>
            <w:tcW w:w="2132" w:type="dxa"/>
            <w:shd w:val="clear" w:color="auto" w:fill="auto"/>
            <w:vAlign w:val="center"/>
          </w:tcPr>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&lt;100，≥40</w:t>
            </w:r>
          </w:p>
        </w:tc>
        <w:tc>
          <w:tcPr>
            <w:tcW w:w="2414" w:type="dxa"/>
            <w:shd w:val="clear" w:color="auto" w:fill="auto"/>
            <w:vAlign w:val="center"/>
          </w:tcPr>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100～50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071" w:type="dxa"/>
            <w:shd w:val="clear" w:color="auto" w:fill="auto"/>
            <w:vAlign w:val="center"/>
          </w:tcPr>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Ⅳ</w:t>
            </w:r>
          </w:p>
        </w:tc>
        <w:tc>
          <w:tcPr>
            <w:tcW w:w="1612" w:type="dxa"/>
            <w:shd w:val="clear" w:color="auto" w:fill="auto"/>
            <w:vAlign w:val="center"/>
          </w:tcPr>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一般</w:t>
            </w:r>
          </w:p>
        </w:tc>
        <w:tc>
          <w:tcPr>
            <w:tcW w:w="1984" w:type="dxa"/>
            <w:shd w:val="clear" w:color="auto" w:fill="auto"/>
            <w:vAlign w:val="center"/>
          </w:tcPr>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20</w:t>
            </w:r>
          </w:p>
        </w:tc>
        <w:tc>
          <w:tcPr>
            <w:tcW w:w="2132" w:type="dxa"/>
            <w:shd w:val="clear" w:color="auto" w:fill="auto"/>
            <w:vAlign w:val="center"/>
          </w:tcPr>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&lt;40</w:t>
            </w:r>
          </w:p>
        </w:tc>
        <w:tc>
          <w:tcPr>
            <w:tcW w:w="2414" w:type="dxa"/>
            <w:shd w:val="clear" w:color="auto" w:fill="auto"/>
            <w:vAlign w:val="center"/>
          </w:tcPr>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50～20</w:t>
            </w:r>
          </w:p>
        </w:tc>
      </w:tr>
    </w:tbl>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hint="eastAsia" w:ascii="Times New Roman" w:hAnsi="Times New Roman"/>
          <w:b w:val="0"/>
          <w:color w:val="000000" w:themeColor="text1"/>
          <w:sz w:val="24"/>
          <w:szCs w:val="24"/>
          <w14:textFill>
            <w14:solidFill>
              <w14:schemeClr w14:val="tx1"/>
            </w14:solidFill>
          </w14:textFill>
        </w:rPr>
        <w:t>3</w:t>
      </w:r>
      <w:r>
        <w:rPr>
          <w:rFonts w:ascii="Times New Roman" w:hAnsi="Times New Roman"/>
          <w:b w:val="0"/>
          <w:color w:val="000000" w:themeColor="text1"/>
          <w:sz w:val="24"/>
          <w:szCs w:val="24"/>
          <w14:textFill>
            <w14:solidFill>
              <w14:schemeClr w14:val="tx1"/>
            </w14:solidFill>
          </w14:textFill>
        </w:rPr>
        <w:t>）排涝标准：50年一遇，24h暴雨不成灾</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依据相关规范、文件，结合南沙新区城市规划，南沙新区城市建设区水利排涝标准如下：明珠湾区、蕉门河中心以及庆盛自贸区块所在区域采用50年一遇，24h暴雨不成灾，其他城市建设区采用20年一遇24h暴雨不成灾；农业区排涝标准采用10年一遇24h暴雨不成灾。</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hint="eastAsia" w:ascii="Times New Roman" w:hAnsi="Times New Roman"/>
          <w:b w:val="0"/>
          <w:color w:val="000000" w:themeColor="text1"/>
          <w:sz w:val="24"/>
          <w:szCs w:val="24"/>
          <w14:textFill>
            <w14:solidFill>
              <w14:schemeClr w14:val="tx1"/>
            </w14:solidFill>
          </w14:textFill>
        </w:rPr>
        <w:t>根据城市设计，规划范围内涝防治设计重现期定为100年。治涝排涝重现期50年一遇24h暴雨不成灾。</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hint="eastAsia" w:ascii="Times New Roman" w:hAnsi="Times New Roman"/>
          <w:b w:val="0"/>
          <w:color w:val="000000" w:themeColor="text1"/>
          <w:sz w:val="24"/>
          <w:szCs w:val="24"/>
          <w14:textFill>
            <w14:solidFill>
              <w14:schemeClr w14:val="tx1"/>
            </w14:solidFill>
          </w14:textFill>
        </w:rPr>
        <w:t>十八涌以北:内河涌管控水位6.2m，采用调蓄+抽排模式，规划场地高程不低于7.0m。十八涌以南:内河涌管控水位6.3m;</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hint="eastAsia" w:ascii="Times New Roman" w:hAnsi="Times New Roman"/>
          <w:b w:val="0"/>
          <w:color w:val="000000" w:themeColor="text1"/>
          <w:sz w:val="24"/>
          <w:szCs w:val="24"/>
          <w14:textFill>
            <w14:solidFill>
              <w14:schemeClr w14:val="tx1"/>
            </w14:solidFill>
          </w14:textFill>
        </w:rPr>
        <w:t>场馆区采用自排模式，场地高程不低于9.01m;</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hint="eastAsia" w:ascii="Times New Roman" w:hAnsi="Times New Roman"/>
          <w:b w:val="0"/>
          <w:color w:val="000000" w:themeColor="text1"/>
          <w:sz w:val="24"/>
          <w:szCs w:val="24"/>
          <w14:textFill>
            <w14:solidFill>
              <w14:schemeClr w14:val="tx1"/>
            </w14:solidFill>
          </w14:textFill>
        </w:rPr>
        <w:t>其他区域采用调蓄+抽排模式，场地高程不小于7.1m，其中启动区不低于8.0m。</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hint="eastAsia" w:ascii="Times New Roman" w:hAnsi="Times New Roman"/>
          <w:b w:val="0"/>
          <w:color w:val="000000" w:themeColor="text1"/>
          <w:sz w:val="24"/>
          <w:szCs w:val="24"/>
          <w14:textFill>
            <w14:solidFill>
              <w14:schemeClr w14:val="tx1"/>
            </w14:solidFill>
          </w14:textFill>
        </w:rPr>
        <w:t>南沙湿地规划为蓄滞洪区，维持现有高程。</w:t>
      </w:r>
    </w:p>
    <w:p>
      <w:pPr>
        <w:spacing w:line="30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drawing>
          <wp:inline distT="0" distB="0" distL="0" distR="0">
            <wp:extent cx="4337685" cy="3752850"/>
            <wp:effectExtent l="0" t="0" r="5715" b="0"/>
            <wp:docPr id="2079799184" name="图片 10"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799184" name="图片 10" descr="地图&#10;&#10;描述已自动生成"/>
                    <pic:cNvPicPr>
                      <a:picLocks noChangeAspect="1" noChangeArrowheads="1"/>
                    </pic:cNvPicPr>
                  </pic:nvPicPr>
                  <pic:blipFill>
                    <a:blip r:embed="rId46" cstate="screen"/>
                    <a:srcRect/>
                    <a:stretch>
                      <a:fillRect/>
                    </a:stretch>
                  </pic:blipFill>
                  <pic:spPr>
                    <a:xfrm>
                      <a:off x="0" y="0"/>
                      <a:ext cx="4344697" cy="3759095"/>
                    </a:xfrm>
                    <a:prstGeom prst="rect">
                      <a:avLst/>
                    </a:prstGeom>
                    <a:noFill/>
                    <a:ln>
                      <a:noFill/>
                    </a:ln>
                  </pic:spPr>
                </pic:pic>
              </a:graphicData>
            </a:graphic>
          </wp:inline>
        </w:drawing>
      </w:r>
    </w:p>
    <w:p>
      <w:pPr>
        <w:spacing w:line="300" w:lineRule="auto"/>
        <w:ind w:firstLine="422" w:firstLineChars="200"/>
        <w:jc w:val="center"/>
        <w:rPr>
          <w:rFonts w:ascii="Times New Roman" w:hAnsi="Times New Roman"/>
          <w:color w:val="000000" w:themeColor="text1"/>
          <w:sz w:val="21"/>
          <w14:textFill>
            <w14:solidFill>
              <w14:schemeClr w14:val="tx1"/>
            </w14:solidFill>
          </w14:textFill>
        </w:rPr>
      </w:pPr>
    </w:p>
    <w:p>
      <w:pPr>
        <w:pStyle w:val="3"/>
        <w:ind w:firstLine="562" w:firstLineChars="200"/>
      </w:pPr>
      <w:bookmarkStart w:id="74" w:name="_Toc27195"/>
      <w:r>
        <w:t>项目建设必要性</w:t>
      </w:r>
      <w:bookmarkEnd w:id="74"/>
    </w:p>
    <w:p>
      <w:pPr>
        <w:pStyle w:val="4"/>
        <w:ind w:firstLine="482" w:firstLineChars="200"/>
        <w:rPr>
          <w:highlight w:val="magenta"/>
        </w:rPr>
      </w:pPr>
      <w:bookmarkStart w:id="75" w:name="_Toc7647"/>
      <w:bookmarkStart w:id="76" w:name="_Toc30060"/>
      <w:bookmarkStart w:id="77" w:name="_TOC_250045"/>
      <w:bookmarkStart w:id="78" w:name="_Toc4148"/>
      <w:r>
        <w:rPr>
          <w:rFonts w:hint="eastAsia"/>
          <w:highlight w:val="magenta"/>
        </w:rPr>
        <w:t>本项目的建设是实现南沙区综合交通运输体系发展“十四五”规划的需要</w:t>
      </w:r>
      <w:bookmarkEnd w:id="75"/>
      <w:bookmarkEnd w:id="76"/>
    </w:p>
    <w:p>
      <w:pPr>
        <w:spacing w:line="300" w:lineRule="auto"/>
        <w:ind w:firstLine="480" w:firstLineChars="200"/>
        <w:jc w:val="left"/>
        <w:rPr>
          <w:b w:val="0"/>
          <w:color w:val="000000" w:themeColor="text1"/>
          <w:sz w:val="24"/>
          <w:szCs w:val="24"/>
          <w:highlight w:val="magenta"/>
          <w14:textFill>
            <w14:solidFill>
              <w14:schemeClr w14:val="tx1"/>
            </w14:solidFill>
          </w14:textFill>
        </w:rPr>
      </w:pPr>
      <w:r>
        <w:rPr>
          <w:rFonts w:hint="eastAsia"/>
          <w:b w:val="0"/>
          <w:color w:val="000000" w:themeColor="text1"/>
          <w:sz w:val="24"/>
          <w:szCs w:val="24"/>
          <w:highlight w:val="magenta"/>
          <w14:textFill>
            <w14:solidFill>
              <w14:schemeClr w14:val="tx1"/>
            </w14:solidFill>
          </w14:textFill>
        </w:rPr>
        <w:t>按照战略规划、科学布局、重点突破的要求，依托重大交通枢纽、重大科技基础设施、重大产业园区，完善产业空间布局，引导重点产业集聚发展，推动产城融合、产创融合、数产融合，打造“一轴带动、一核引领、两极联动、五片协同、多点支撑”的产业空间布局，引领全区高质量发展。</w:t>
      </w:r>
    </w:p>
    <w:p>
      <w:pPr>
        <w:spacing w:line="300" w:lineRule="auto"/>
        <w:ind w:firstLine="480" w:firstLineChars="200"/>
        <w:jc w:val="left"/>
        <w:rPr>
          <w:b w:val="0"/>
          <w:color w:val="000000" w:themeColor="text1"/>
          <w:sz w:val="24"/>
          <w:szCs w:val="24"/>
          <w:highlight w:val="magenta"/>
          <w14:textFill>
            <w14:solidFill>
              <w14:schemeClr w14:val="tx1"/>
            </w14:solidFill>
          </w14:textFill>
        </w:rPr>
      </w:pPr>
      <w:r>
        <w:rPr>
          <w:rFonts w:hint="eastAsia"/>
          <w:b w:val="0"/>
          <w:color w:val="000000" w:themeColor="text1"/>
          <w:sz w:val="24"/>
          <w:szCs w:val="24"/>
          <w:highlight w:val="magenta"/>
          <w14:textFill>
            <w14:solidFill>
              <w14:schemeClr w14:val="tx1"/>
            </w14:solidFill>
          </w14:textFill>
        </w:rPr>
        <w:t>一轴带动：沿庆盛大道经庆盛站、南沙站延伸至深中通道连接点，构建连接广州和深圳两大中心城市、产业要素高度连通和流通、产业链群顺畅协作的发展大通道，打造产业要素流通辐射轴。</w:t>
      </w:r>
    </w:p>
    <w:p>
      <w:pPr>
        <w:spacing w:line="300" w:lineRule="auto"/>
        <w:ind w:firstLine="480" w:firstLineChars="200"/>
        <w:jc w:val="left"/>
        <w:rPr>
          <w:b w:val="0"/>
          <w:color w:val="000000" w:themeColor="text1"/>
          <w:sz w:val="24"/>
          <w:szCs w:val="24"/>
          <w:highlight w:val="magenta"/>
          <w14:textFill>
            <w14:solidFill>
              <w14:schemeClr w14:val="tx1"/>
            </w14:solidFill>
          </w14:textFill>
        </w:rPr>
      </w:pPr>
      <w:r>
        <w:rPr>
          <w:rFonts w:hint="eastAsia"/>
          <w:b w:val="0"/>
          <w:color w:val="000000" w:themeColor="text1"/>
          <w:sz w:val="24"/>
          <w:szCs w:val="24"/>
          <w:highlight w:val="magenta"/>
          <w14:textFill>
            <w14:solidFill>
              <w14:schemeClr w14:val="tx1"/>
            </w14:solidFill>
          </w14:textFill>
        </w:rPr>
        <w:t>一核引领：以明珠湾综合服务区和蕉门河中心区为核心，围绕建设高端型开放型创新型现代产业体系，打造产业综合服务核心区。</w:t>
      </w:r>
    </w:p>
    <w:p>
      <w:pPr>
        <w:spacing w:line="300" w:lineRule="auto"/>
        <w:ind w:firstLine="480" w:firstLineChars="200"/>
        <w:jc w:val="left"/>
        <w:rPr>
          <w:b w:val="0"/>
          <w:color w:val="000000" w:themeColor="text1"/>
          <w:sz w:val="24"/>
          <w:szCs w:val="24"/>
          <w:highlight w:val="magenta"/>
          <w14:textFill>
            <w14:solidFill>
              <w14:schemeClr w14:val="tx1"/>
            </w14:solidFill>
          </w14:textFill>
        </w:rPr>
      </w:pPr>
      <w:r>
        <w:rPr>
          <w:rFonts w:hint="eastAsia"/>
          <w:b w:val="0"/>
          <w:color w:val="000000" w:themeColor="text1"/>
          <w:sz w:val="24"/>
          <w:szCs w:val="24"/>
          <w:highlight w:val="magenta"/>
          <w14:textFill>
            <w14:solidFill>
              <w14:schemeClr w14:val="tx1"/>
            </w14:solidFill>
          </w14:textFill>
        </w:rPr>
        <w:t>两极联动：围绕庆盛、黄阁先进制造业基础和南沙枢纽站的产业联通优势，实现北部庆盛科技创新发展极和南部万顷沙新兴产业成长极联动发展。</w:t>
      </w:r>
    </w:p>
    <w:p>
      <w:pPr>
        <w:spacing w:line="300" w:lineRule="auto"/>
        <w:ind w:firstLine="480" w:firstLineChars="200"/>
        <w:jc w:val="left"/>
        <w:rPr>
          <w:b w:val="0"/>
          <w:color w:val="000000" w:themeColor="text1"/>
          <w:sz w:val="24"/>
          <w:szCs w:val="24"/>
          <w:highlight w:val="magenta"/>
          <w14:textFill>
            <w14:solidFill>
              <w14:schemeClr w14:val="tx1"/>
            </w14:solidFill>
          </w14:textFill>
        </w:rPr>
      </w:pPr>
      <w:r>
        <w:rPr>
          <w:rFonts w:hint="eastAsia"/>
          <w:b w:val="0"/>
          <w:color w:val="000000" w:themeColor="text1"/>
          <w:sz w:val="24"/>
          <w:szCs w:val="24"/>
          <w:highlight w:val="magenta"/>
          <w14:textFill>
            <w14:solidFill>
              <w14:schemeClr w14:val="tx1"/>
            </w14:solidFill>
          </w14:textFill>
        </w:rPr>
        <w:t>五片协同：推动智能产业片区、高端制造片区、高品质服务片区、新兴未来产业片区、现代临港产业片区五大产业集聚片区协同发展。</w:t>
      </w:r>
    </w:p>
    <w:p>
      <w:pPr>
        <w:spacing w:line="300" w:lineRule="auto"/>
        <w:ind w:firstLine="480" w:firstLineChars="200"/>
        <w:jc w:val="left"/>
        <w:rPr>
          <w:b w:val="0"/>
          <w:color w:val="000000" w:themeColor="text1"/>
          <w:sz w:val="24"/>
          <w:szCs w:val="24"/>
          <w:highlight w:val="magenta"/>
          <w14:textFill>
            <w14:solidFill>
              <w14:schemeClr w14:val="tx1"/>
            </w14:solidFill>
          </w14:textFill>
        </w:rPr>
      </w:pPr>
      <w:r>
        <w:rPr>
          <w:rFonts w:hint="eastAsia"/>
          <w:b w:val="0"/>
          <w:color w:val="000000" w:themeColor="text1"/>
          <w:sz w:val="24"/>
          <w:szCs w:val="24"/>
          <w:highlight w:val="magenta"/>
          <w14:textFill>
            <w14:solidFill>
              <w14:schemeClr w14:val="tx1"/>
            </w14:solidFill>
          </w14:textFill>
        </w:rPr>
        <w:t>多点支撑：加快产业园区升级改造，引导分区发展、增强产业需求与空间供给有效匹配，拓展城市发展新空间，建设若干聚焦制造实体经济、现代服务经济、科技创新经济等重点领域的专业化产业园区、产业集聚区、街区楼宇等重点产业平台。</w:t>
      </w:r>
    </w:p>
    <w:p>
      <w:pPr>
        <w:spacing w:line="300" w:lineRule="auto"/>
        <w:ind w:firstLine="480" w:firstLineChars="200"/>
        <w:jc w:val="left"/>
      </w:pPr>
      <w:r>
        <w:rPr>
          <w:rFonts w:hint="eastAsia"/>
          <w:b w:val="0"/>
          <w:color w:val="000000" w:themeColor="text1"/>
          <w:sz w:val="24"/>
          <w:szCs w:val="24"/>
          <w:highlight w:val="magenta"/>
          <w14:textFill>
            <w14:solidFill>
              <w14:schemeClr w14:val="tx1"/>
            </w14:solidFill>
          </w14:textFill>
        </w:rPr>
        <w:t>本项目的实施将强力支撑产业综合服务区的协同建设，落实了南沙区的十四五规划的要求，提高了南沙区城市基础设施建设水平，完善了城市布局和城市配套功能，是实现南沙区“十四五”规划的需要。</w:t>
      </w:r>
    </w:p>
    <w:p>
      <w:pPr>
        <w:pStyle w:val="4"/>
        <w:ind w:firstLine="482" w:firstLineChars="200"/>
      </w:pPr>
      <w:bookmarkStart w:id="79" w:name="_Toc8639"/>
      <w:r>
        <w:t>项目建设推动新区发展规划的实施，是加快南沙大开发，实现跨越式发展</w:t>
      </w:r>
      <w:bookmarkEnd w:id="77"/>
      <w:r>
        <w:t>的需要</w:t>
      </w:r>
      <w:bookmarkEnd w:id="78"/>
      <w:bookmarkEnd w:id="79"/>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根据《南沙新区总体概念规划》的设想，南沙的功能定位为“共建粤港澳优质生活圈的示范区、探索新型城市化模式的先行区、创新社会管理的试验区、率先形成与港澳营商环境接轨的融合区、建设珠三角城市群综合服务的共享区”。未来，南沙新区将大力发展商业商贸、科技创新、教育培训、航运物流和信息会展等现代服务业，以及高端临港工业和海洋产业。目前，南沙新区建设已列入《珠江三角洲地区改革发展规划纲要》、《粤港合作框架协议》和国家“十四五”规划纲要，广州南沙新区将成国家级新区，并赋予省级权限，提出要站在“珠江三角洲建设成世界级的城市群”的高度规划；建设成新型的滨海新城。随着《广州南沙深化面向世界的粤港澳全面合作总体方案》的获批，南沙新区的发展已经列入国家发展战略，担当起更大的责任，增强辐射带动能力，引领珠三角城市转型升级具有重要意义。项目的启动有助于推动南沙新区发展规划的实施，开创南沙新区开发建设的新局面，打造知名的合作试验区，营造和谐生活环境，提高人民生活质量，全面构建和谐社会，从整体上实现南沙新区的跨越式发展。</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可见，本项目的建设是符合南沙新区发展规划，是加快南沙大开发，实现跨越式发展的需要。</w:t>
      </w:r>
    </w:p>
    <w:p>
      <w:pPr>
        <w:spacing w:line="300" w:lineRule="auto"/>
        <w:ind w:firstLine="402" w:firstLineChars="200"/>
        <w:jc w:val="center"/>
        <w:rPr>
          <w:rFonts w:ascii="Times New Roman" w:hAnsi="Times New Roman"/>
        </w:rPr>
      </w:pPr>
      <w:r>
        <w:rPr>
          <w:rFonts w:ascii="Times New Roman" w:hAnsi="Times New Roman"/>
          <w:sz w:val="20"/>
        </w:rPr>
        <w:drawing>
          <wp:inline distT="0" distB="0" distL="0" distR="0">
            <wp:extent cx="3474085" cy="3427095"/>
            <wp:effectExtent l="0" t="0" r="12065" b="1905"/>
            <wp:docPr id="189"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image21.jpeg"/>
                    <pic:cNvPicPr>
                      <a:picLocks noChangeAspect="1"/>
                    </pic:cNvPicPr>
                  </pic:nvPicPr>
                  <pic:blipFill>
                    <a:blip r:embed="rId47" cstate="print"/>
                    <a:stretch>
                      <a:fillRect/>
                    </a:stretch>
                  </pic:blipFill>
                  <pic:spPr>
                    <a:xfrm>
                      <a:off x="0" y="0"/>
                      <a:ext cx="3474085" cy="3427095"/>
                    </a:xfrm>
                    <a:prstGeom prst="rect">
                      <a:avLst/>
                    </a:prstGeom>
                  </pic:spPr>
                </pic:pic>
              </a:graphicData>
            </a:graphic>
          </wp:inline>
        </w:drawing>
      </w:r>
    </w:p>
    <w:p>
      <w:pPr>
        <w:spacing w:line="300" w:lineRule="auto"/>
        <w:ind w:firstLine="422" w:firstLineChars="200"/>
        <w:jc w:val="center"/>
        <w:rPr>
          <w:rFonts w:ascii="Times New Roman" w:hAnsi="Times New Roman"/>
          <w:color w:val="000000" w:themeColor="text1"/>
          <w:sz w:val="21"/>
          <w14:textFill>
            <w14:solidFill>
              <w14:schemeClr w14:val="tx1"/>
            </w14:solidFill>
          </w14:textFill>
        </w:rPr>
      </w:pPr>
      <w:r>
        <w:rPr>
          <w:rFonts w:ascii="Times New Roman" w:hAnsi="Times New Roman"/>
          <w:color w:val="000000" w:themeColor="text1"/>
          <w:sz w:val="21"/>
          <w14:textFill>
            <w14:solidFill>
              <w14:schemeClr w14:val="tx1"/>
            </w14:solidFill>
          </w14:textFill>
        </w:rPr>
        <w:t>南沙大湾区区位图</w:t>
      </w:r>
    </w:p>
    <w:p>
      <w:pPr>
        <w:pStyle w:val="4"/>
        <w:ind w:firstLine="482" w:firstLineChars="200"/>
      </w:pPr>
      <w:bookmarkStart w:id="80" w:name="_Toc31978"/>
      <w:bookmarkStart w:id="81" w:name="_Toc13393"/>
      <w:bookmarkStart w:id="82" w:name="_Toc24577"/>
      <w:r>
        <w:t>本项目的建设是完善综合体体育馆片区路网结构的需要</w:t>
      </w:r>
      <w:bookmarkEnd w:id="80"/>
      <w:bookmarkEnd w:id="81"/>
      <w:bookmarkEnd w:id="82"/>
    </w:p>
    <w:p>
      <w:pPr>
        <w:pStyle w:val="28"/>
        <w:snapToGrid w:val="0"/>
        <w:spacing w:before="0" w:beforeAutospacing="0" w:after="0" w:afterAutospacing="0" w:line="360" w:lineRule="auto"/>
        <w:ind w:firstLine="480" w:firstLineChars="200"/>
        <w:jc w:val="center"/>
        <w:rPr>
          <w:kern w:val="2"/>
        </w:rPr>
      </w:pPr>
      <w:r>
        <w:drawing>
          <wp:inline distT="0" distB="0" distL="0" distR="0">
            <wp:extent cx="6514465" cy="4431030"/>
            <wp:effectExtent l="0" t="0" r="635" b="7620"/>
            <wp:docPr id="98" name="图片 98" descr="https://p7.itc.cn/q_70/images03/20230806/d54b01dc740f43f993377852eeb9f7b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https://p7.itc.cn/q_70/images03/20230806/d54b01dc740f43f993377852eeb9f7ba.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6514465" cy="4431092"/>
                    </a:xfrm>
                    <a:prstGeom prst="rect">
                      <a:avLst/>
                    </a:prstGeom>
                    <a:noFill/>
                    <a:ln>
                      <a:noFill/>
                    </a:ln>
                  </pic:spPr>
                </pic:pic>
              </a:graphicData>
            </a:graphic>
          </wp:inline>
        </w:drawing>
      </w:r>
    </w:p>
    <w:p>
      <w:pPr>
        <w:spacing w:line="360" w:lineRule="auto"/>
        <w:ind w:firstLine="422" w:firstLineChars="200"/>
        <w:jc w:val="center"/>
        <w:rPr>
          <w:rFonts w:ascii="Times New Roman" w:hAnsi="Times New Roman"/>
          <w:color w:val="000000" w:themeColor="text1"/>
          <w:sz w:val="21"/>
          <w14:textFill>
            <w14:solidFill>
              <w14:schemeClr w14:val="tx1"/>
            </w14:solidFill>
          </w14:textFill>
        </w:rPr>
      </w:pPr>
      <w:r>
        <w:rPr>
          <w:rFonts w:ascii="Times New Roman" w:hAnsi="Times New Roman"/>
          <w:color w:val="000000" w:themeColor="text1"/>
          <w:sz w:val="21"/>
          <w14:textFill>
            <w14:solidFill>
              <w14:schemeClr w14:val="tx1"/>
            </w14:solidFill>
          </w14:textFill>
        </w:rPr>
        <w:t>综合体体育馆片区发展区域示意图</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本项目位于万顷沙镇，其功能定位为万顷沙镇优质配套服务区，以旅游和商业服务功能为主，全面对接综合体场馆进行开发建设，为万顷沙镇的就业人口提供完善、优质的配套服务，打造成生态友好、环境舒适、配套齐全的水乡社区。</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目前，万顷沙镇的建设正在快速、有序开展，其基础设施的完善也将为该区域吸引大量的人流、交通流，这将促使片区内配套服务设施的需求大大提高。因此，综合体体育馆骨干路网的开发建设更显迫切，需于近期加快建设。</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综合体体育馆存在骨架路网结构为：万环西路、灵新大道等，目前，片区内骨架路网正积极建设和完善，由于片区内大多数土地尚未有效开发，导致内部现状道路系统部分缺失，其内部规划道路存在未健全、断头路的现象。内部网络的连通不足，导致城市基础设施薄弱，点与点之间的联系通达性无法满足城市发展的需求。为加强综合体体育馆路网结构的完善，疏通片区内部与周边的联系，加快城市化发展，亟需对片区内道路进行规划建设与进一步完善。</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本项目的建设将进一步健全交通体系，创建优质配套服务区，完善综合体体育馆片区路网结构，全面构筑“棋盘式”路网格局与万顷沙镇进行全面对接，提高道路通行功能，改善交通条件，有效实现区域地块互联互通的需要。</w:t>
      </w:r>
    </w:p>
    <w:p>
      <w:pPr>
        <w:pStyle w:val="4"/>
        <w:ind w:firstLine="482" w:firstLineChars="200"/>
      </w:pPr>
      <w:bookmarkStart w:id="83" w:name="_Toc22842"/>
      <w:bookmarkStart w:id="84" w:name="_Toc5303"/>
      <w:r>
        <w:t>是吸引企业投资，带动产业发展，提高区域竞争力的需要</w:t>
      </w:r>
      <w:bookmarkEnd w:id="83"/>
      <w:bookmarkEnd w:id="84"/>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项目现状周边地块现状主要为农田和鱼塘等，产业以渔农产业为主，其基础设施薄弱、零散、不健全，造成现有用地开发层次低、环境差、土地利用经济价值无法充分体现。本项目的实施可为区域用地及沿线区域提供全面的市政配套服务设施，改善区域投资环境，将吸引更多企业进驻南沙，促进产业发展，进一步带动南沙整体经济水平的发展，从而提高南沙区在珠三角区域内的竞争力，大大提升土地利用经济价值。</w:t>
      </w:r>
    </w:p>
    <w:p>
      <w:pPr>
        <w:spacing w:line="300" w:lineRule="auto"/>
        <w:ind w:firstLine="480" w:firstLineChars="200"/>
        <w:jc w:val="left"/>
        <w:rPr>
          <w:b w:val="0"/>
          <w:color w:val="000000" w:themeColor="text1"/>
          <w:sz w:val="24"/>
          <w:szCs w:val="24"/>
          <w:highlight w:val="magenta"/>
          <w14:textFill>
            <w14:solidFill>
              <w14:schemeClr w14:val="tx1"/>
            </w14:solidFill>
          </w14:textFill>
        </w:rPr>
      </w:pPr>
      <w:r>
        <w:rPr>
          <w:rFonts w:hint="eastAsia"/>
          <w:b w:val="0"/>
          <w:color w:val="000000" w:themeColor="text1"/>
          <w:sz w:val="24"/>
          <w:szCs w:val="24"/>
          <w:highlight w:val="magenta"/>
          <w14:textFill>
            <w14:solidFill>
              <w14:schemeClr w14:val="tx1"/>
            </w14:solidFill>
          </w14:textFill>
        </w:rPr>
        <w:t>目前，该片区大多数土地却处于闲置状态，土地利用效率低，功能分布不合理，基础设施匮乏，这对于城市的土地资源是一种极大的浪费，也严重影响了城市发展进程。本项目的建设，有利于完善片区市政配套设施，提高土地利用价值。基础设施的完善也将为区域吸引强大的人流、信息流、资金流和能量流，将会促进商业、商务和科创等社会经济活动的迅速增长，可大大增加就业岗位，改善和促进民生，促进区域经济繁荣。</w:t>
      </w:r>
    </w:p>
    <w:p>
      <w:pPr>
        <w:spacing w:line="300" w:lineRule="auto"/>
        <w:ind w:firstLine="480" w:firstLineChars="200"/>
        <w:jc w:val="left"/>
        <w:rPr>
          <w:b w:val="0"/>
          <w:color w:val="000000" w:themeColor="text1"/>
          <w:sz w:val="24"/>
          <w:szCs w:val="24"/>
          <w:highlight w:val="magenta"/>
          <w14:textFill>
            <w14:solidFill>
              <w14:schemeClr w14:val="tx1"/>
            </w14:solidFill>
          </w14:textFill>
        </w:rPr>
      </w:pPr>
      <w:r>
        <w:rPr>
          <w:rFonts w:hint="eastAsia"/>
          <w:b w:val="0"/>
          <w:color w:val="000000" w:themeColor="text1"/>
          <w:sz w:val="24"/>
          <w:szCs w:val="24"/>
          <w:highlight w:val="magenta"/>
          <w14:textFill>
            <w14:solidFill>
              <w14:schemeClr w14:val="tx1"/>
            </w14:solidFill>
          </w14:textFill>
        </w:rPr>
        <w:t>项目建设将体现城市的文明程度和文化品质，可体现出城市的文化内涵，培育城市知名度和影响力，为人们提供更安全、健康、舒适、高效的城市街道空间。项目建设是优化城市功能和提升城市形象，改善周边居住、生活环境的需要。</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hint="eastAsia"/>
          <w:b w:val="0"/>
          <w:color w:val="000000" w:themeColor="text1"/>
          <w:sz w:val="24"/>
          <w:szCs w:val="24"/>
          <w:highlight w:val="magenta"/>
          <w14:textFill>
            <w14:solidFill>
              <w14:schemeClr w14:val="tx1"/>
            </w14:solidFill>
          </w14:textFill>
        </w:rPr>
        <w:t>本项目的建设可以提高居民的生活环境，提升城市品味，树立良好的城市形象，促进南沙新区的和谐发展。项目的建设除了间接促进当地的经济发展和社会外，还可以为招商引资创造极佳条件，拉动当地经济发展，提升了地区的物业价值。实现“干净、整洁、平安、有序”的城市环境，提升城市的软实力。</w:t>
      </w:r>
    </w:p>
    <w:p>
      <w:pPr>
        <w:pStyle w:val="4"/>
        <w:ind w:firstLine="482" w:firstLineChars="200"/>
      </w:pPr>
      <w:bookmarkStart w:id="85" w:name="_Toc24865"/>
      <w:bookmarkStart w:id="86" w:name="_Toc15510"/>
      <w:r>
        <w:t>是完善南沙全民文化体育综合体基础设施配套，促进万顷沙南片综合开发的需要</w:t>
      </w:r>
      <w:bookmarkEnd w:id="85"/>
      <w:bookmarkEnd w:id="86"/>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南沙万顷沙建设大型城市综合体规划占地面积约3平方公里，集文化、旅游、体育、会议和国防教育等功能为一体，树立广州最南端海陆门户的城市形象，带动湾区发展。</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广州南沙南部片区地处粤港澳大湾区几何中心，方圆100公里内分布着大湾区“9+2”所有城市，紧邻深中通道，面朝珠江出海口，区位、交通和景观条件得天独厚，是广州城市空间发展南拓战略中连接大湾区环湾内圈层发展带的战略性支点。2022年6月国务院印发《广州南沙深化面向世界的粤港澳全面合作总体方案》，明确了南沙深化粤港澳全面合作的目标和任务，要求南沙建设成</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立足湾区、协同港澳、面向世界的重大战略性平台，在粤港澳大湾区建设中更好发挥引领带动作用”。南部片区是广州最南端海陆空门户，肩负为粤港澳全面合作进一步推进创新示范的新使命。广州提出将南沙打造为广州“双核”的新核心区，建设“精明增长、精致城区、岭南特色、田园风格、中国气派”的南沙，谋划在南部片区打造“对外交流”的平台，通过打造满足重大文体赛事需求，集文化、旅游、体育、会议和国防教育等功能为一体的大型城市综合体，以大型城市综合体的建设带动湾区发展，实现南沙从湾区几何中心走向湾区功能中心，形成热火朝天落实《广州南沙深化面向世界的粤港澳全面合作总体方案》的良好局面。</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本项目的建设，密织综合体交通网络，积极引导产业落户，打造良好产业基地，推动南沙“生命未来城”的建设，为构筑湾区“科技未来城”献力。</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南沙全民文化体育综合体规划场馆位于二十涌以南，与海堤围合的东南角，面积约0.7平方公里，目前周边的市政道路仅有在建万环西路南延线，以及高速万顷沙支线。而在扩建改造的灵新大道终点止于十八涌北，十八涌～二十涌为现状双向两车道的新港大道，二十涌以南为海堤堤顶路。</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综合体规划一场两馆，“一场”为6万座综合体育场；“两馆”为2万座综合体育馆、4000座游泳跳水馆。停车位指标：机动车泊位不少于5040泊，非机动车泊位不少于12600泊，临时接</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送车位（出租车上落客泊位）不少于168泊，旅游巴士停车位不少于84泊。场馆赛时交通仅靠</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万环西路南延线不能满足交通出行的要求，灵新大道作为纵向的主干路通道，南沙全民文化体育综合体骨干道路能贯通形成南北向的纵向道路，是重要通道。根据万顷沙支线最新方案，在十八涌及二十涌设置2处出入口，北向广州方向出入口位于十八涌北侧，南向深圳方向出入口位于二十涌南侧。下高速后往返综合体经二十涌北路后往返主场馆区，因此南沙全民文化体育综合体骨干道路是万顷沙支线高速往返车辆的重要保赛道路。</w:t>
      </w:r>
    </w:p>
    <w:p>
      <w:pPr>
        <w:spacing w:line="300" w:lineRule="auto"/>
        <w:ind w:firstLine="562" w:firstLineChars="200"/>
        <w:jc w:val="left"/>
        <w:rPr>
          <w:rFonts w:ascii="Times New Roman" w:hAnsi="Times New Roman"/>
          <w:sz w:val="20"/>
        </w:rPr>
      </w:pPr>
      <w:r>
        <w:rPr>
          <w:rFonts w:ascii="Times New Roman" w:hAnsi="Times New Roman"/>
        </w:rPr>
        <w:drawing>
          <wp:inline distT="0" distB="0" distL="114300" distR="114300">
            <wp:extent cx="6503670" cy="3235325"/>
            <wp:effectExtent l="0" t="0" r="11430" b="3175"/>
            <wp:docPr id="11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33"/>
                    <pic:cNvPicPr>
                      <a:picLocks noChangeAspect="1"/>
                    </pic:cNvPicPr>
                  </pic:nvPicPr>
                  <pic:blipFill>
                    <a:blip r:embed="rId49"/>
                    <a:stretch>
                      <a:fillRect/>
                    </a:stretch>
                  </pic:blipFill>
                  <pic:spPr>
                    <a:xfrm>
                      <a:off x="0" y="0"/>
                      <a:ext cx="6503670" cy="3235325"/>
                    </a:xfrm>
                    <a:prstGeom prst="rect">
                      <a:avLst/>
                    </a:prstGeom>
                    <a:noFill/>
                    <a:ln>
                      <a:noFill/>
                    </a:ln>
                  </pic:spPr>
                </pic:pic>
              </a:graphicData>
            </a:graphic>
          </wp:inline>
        </w:drawing>
      </w:r>
    </w:p>
    <w:p>
      <w:pPr>
        <w:spacing w:line="300" w:lineRule="auto"/>
        <w:ind w:firstLine="422" w:firstLineChars="200"/>
        <w:jc w:val="center"/>
        <w:rPr>
          <w:rFonts w:ascii="Times New Roman" w:hAnsi="Times New Roman"/>
          <w:sz w:val="20"/>
        </w:rPr>
      </w:pPr>
      <w:r>
        <w:rPr>
          <w:rFonts w:ascii="Times New Roman" w:hAnsi="Times New Roman"/>
          <w:color w:val="000000" w:themeColor="text1"/>
          <w:sz w:val="21"/>
          <w14:textFill>
            <w14:solidFill>
              <w14:schemeClr w14:val="tx1"/>
            </w14:solidFill>
          </w14:textFill>
        </w:rPr>
        <w:t>交通组织流线示意图</w:t>
      </w:r>
    </w:p>
    <w:p>
      <w:pPr>
        <w:pStyle w:val="4"/>
        <w:ind w:firstLine="482" w:firstLineChars="200"/>
      </w:pPr>
      <w:bookmarkStart w:id="87" w:name="_Toc9817"/>
      <w:bookmarkStart w:id="88" w:name="_Toc30117"/>
      <w:r>
        <w:t>是推动万顷沙打造广深双城联动先行示范区的需要</w:t>
      </w:r>
      <w:bookmarkEnd w:id="87"/>
      <w:bookmarkEnd w:id="88"/>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南沙作为粤港澳大湾区建设的重大合作平台之一，《广州南沙深化面向世界的粤港澳全面合作总体方案》的出台必将为粤港澳大湾区高质量发展增添新引擎。我们要勇担使命，抢抓机遇，推动万顷沙在南沙开发开放中以新担当新作为开创“双区”建设、“双城”联动新格局，打造广深双城联动先行示范区，努力成为广深双城合作桥头堡。</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当前，南中高速将与深中通道同步建成、无缝对接，生物谷、数字谷、健康谷等一批战略性新兴产业园区加快建设，我们也将发挥本地自然资源和农业产业发展优势，打造“环健康谷休闲体验带”。</w:t>
      </w:r>
    </w:p>
    <w:p>
      <w:pPr>
        <w:spacing w:line="300" w:lineRule="auto"/>
        <w:ind w:firstLine="422" w:firstLineChars="200"/>
        <w:jc w:val="center"/>
        <w:rPr>
          <w:rFonts w:ascii="Times New Roman" w:hAnsi="Times New Roman"/>
          <w:color w:val="000000" w:themeColor="text1"/>
          <w:sz w:val="21"/>
          <w14:textFill>
            <w14:solidFill>
              <w14:schemeClr w14:val="tx1"/>
            </w14:solidFill>
          </w14:textFill>
        </w:rPr>
      </w:pPr>
      <w:r>
        <w:rPr>
          <w:rFonts w:ascii="Times New Roman" w:hAnsi="Times New Roman"/>
          <w:color w:val="000000" w:themeColor="text1"/>
          <w:sz w:val="21"/>
          <w14:textFill>
            <w14:solidFill>
              <w14:schemeClr w14:val="tx1"/>
            </w14:solidFill>
          </w14:textFill>
        </w:rPr>
        <w:drawing>
          <wp:inline distT="0" distB="0" distL="0" distR="0">
            <wp:extent cx="4235450" cy="3816985"/>
            <wp:effectExtent l="0" t="0" r="12700" b="12065"/>
            <wp:docPr id="202"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23.jpeg"/>
                    <pic:cNvPicPr>
                      <a:picLocks noChangeAspect="1"/>
                    </pic:cNvPicPr>
                  </pic:nvPicPr>
                  <pic:blipFill>
                    <a:blip r:embed="rId50" cstate="print"/>
                    <a:stretch>
                      <a:fillRect/>
                    </a:stretch>
                  </pic:blipFill>
                  <pic:spPr>
                    <a:xfrm>
                      <a:off x="0" y="0"/>
                      <a:ext cx="4235450" cy="3816985"/>
                    </a:xfrm>
                    <a:prstGeom prst="rect">
                      <a:avLst/>
                    </a:prstGeom>
                  </pic:spPr>
                </pic:pic>
              </a:graphicData>
            </a:graphic>
          </wp:inline>
        </w:drawing>
      </w:r>
    </w:p>
    <w:p>
      <w:pPr>
        <w:spacing w:line="300" w:lineRule="auto"/>
        <w:ind w:firstLine="480" w:firstLineChars="200"/>
        <w:jc w:val="left"/>
        <w:rPr>
          <w:rFonts w:ascii="Times New Roman" w:hAnsi="Times New Roman"/>
          <w:color w:val="000000" w:themeColor="text1"/>
          <w:sz w:val="21"/>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本项目的建设，贯彻落实党中央决策部署和省、市工作要求，开拓创新、锐意进取，推进高水平开发开放，全力打造“湾区之心、开放门户、未来之城”。</w:t>
      </w:r>
    </w:p>
    <w:p>
      <w:pPr>
        <w:pStyle w:val="4"/>
        <w:ind w:firstLine="482" w:firstLineChars="200"/>
      </w:pPr>
      <w:bookmarkStart w:id="89" w:name="_Toc26008"/>
      <w:bookmarkStart w:id="90" w:name="_Toc28769"/>
      <w:r>
        <w:t>是“一带一路”大战略部署助力的需要</w:t>
      </w:r>
      <w:bookmarkEnd w:id="89"/>
      <w:bookmarkEnd w:id="90"/>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南沙区是广州市唯一的出海通道，广州作为南海航线的起点之一，未来，广州将强化与香港、澳门的深度合作，成为21世纪海上丝绸之路重要枢纽，广东自贸区南沙片区将建成粤港澳深度合作示范区。在推进“21世纪海上丝绸之路”等区域旅游合作，构建城市旅游标志性，品牌形象宣传推广体系，发挥旅游在广东供给侧改革中的助力作用；打造粤港澳大经济区域，实现区域旅游空间结构演变和区域旅游经济的协调发展；加快推进并实现南沙自由港、粤港澳融合试验区建设，承担广东自由贸易试验区南沙区域“先行先试”的探索使命这三处着重发力。这也使得南沙区在“海上丝绸之路”大政策方针中扮演着越来越重要的角色，承担着越来越重要的担子。</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南沙区广州港是中国最大的内贸集装箱枢纽港，也是非洲、地中海航线核心枢纽港。截至目前，广州港已与全球45个重要港口建立友好港关系，在美国、荷兰、新加坡等地设立办事处。广州港</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目前已与世界100多个国家和地区的400多个港口有海运贸易往来。广州港已发展成为华南最大的非洲航线进出口枢纽港，非洲航线最多，班次最密，对促进中非贸易以及新兴市场经济发展做出积极贡献。广州港对接“一带一路”倡议成效显著，目前亚洲区域班轮航线超过40余条，“一带一路”亚洲</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航线枢纽在南沙港区进一步聚集，据悉，到目前为止南沙港区国际集装箱班轮航线总数将超过100条,亚洲方向正成为广州港的第二大优势航线。</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广州依然是影响中华文明和经济发展的启程地之一，辐射全国，通联中外，同时南沙区作为大湾区的几何中心，本项目建成后将大幅节约货运集装箱运输车辆、客运车辆的运输时间，提高运输效率，为南沙区域的发展及“一带一路”大战路的部署做出相当程度的贡献。</w:t>
      </w:r>
    </w:p>
    <w:p>
      <w:pPr>
        <w:spacing w:line="300" w:lineRule="auto"/>
        <w:ind w:firstLine="402" w:firstLineChars="200"/>
        <w:jc w:val="center"/>
        <w:rPr>
          <w:rFonts w:ascii="Times New Roman" w:hAnsi="Times New Roman"/>
          <w:sz w:val="20"/>
        </w:rPr>
      </w:pPr>
      <w:r>
        <w:rPr>
          <w:rFonts w:ascii="Times New Roman" w:hAnsi="Times New Roman"/>
          <w:sz w:val="20"/>
        </w:rPr>
        <w:drawing>
          <wp:inline distT="0" distB="0" distL="0" distR="0">
            <wp:extent cx="4445635" cy="3451225"/>
            <wp:effectExtent l="0" t="0" r="12065" b="15875"/>
            <wp:docPr id="203"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image24.jpeg"/>
                    <pic:cNvPicPr>
                      <a:picLocks noChangeAspect="1"/>
                    </pic:cNvPicPr>
                  </pic:nvPicPr>
                  <pic:blipFill>
                    <a:blip r:embed="rId51" cstate="print"/>
                    <a:stretch>
                      <a:fillRect/>
                    </a:stretch>
                  </pic:blipFill>
                  <pic:spPr>
                    <a:xfrm>
                      <a:off x="0" y="0"/>
                      <a:ext cx="4446012" cy="3451288"/>
                    </a:xfrm>
                    <a:prstGeom prst="rect">
                      <a:avLst/>
                    </a:prstGeom>
                  </pic:spPr>
                </pic:pic>
              </a:graphicData>
            </a:graphic>
          </wp:inline>
        </w:drawing>
      </w:r>
    </w:p>
    <w:p>
      <w:pPr>
        <w:spacing w:line="300" w:lineRule="auto"/>
        <w:ind w:firstLine="422" w:firstLineChars="200"/>
        <w:jc w:val="center"/>
        <w:rPr>
          <w:rFonts w:ascii="Times New Roman" w:hAnsi="Times New Roman"/>
          <w:color w:val="000000" w:themeColor="text1"/>
          <w:sz w:val="21"/>
          <w14:textFill>
            <w14:solidFill>
              <w14:schemeClr w14:val="tx1"/>
            </w14:solidFill>
          </w14:textFill>
        </w:rPr>
      </w:pPr>
      <w:r>
        <w:rPr>
          <w:rFonts w:ascii="Times New Roman" w:hAnsi="Times New Roman"/>
          <w:color w:val="000000" w:themeColor="text1"/>
          <w:sz w:val="21"/>
          <w14:textFill>
            <w14:solidFill>
              <w14:schemeClr w14:val="tx1"/>
            </w14:solidFill>
          </w14:textFill>
        </w:rPr>
        <w:t>海上丝绸之路重要节点布局图</w:t>
      </w:r>
    </w:p>
    <w:p>
      <w:pPr>
        <w:pStyle w:val="4"/>
        <w:ind w:firstLine="482" w:firstLineChars="200"/>
      </w:pPr>
      <w:bookmarkStart w:id="91" w:name="_Toc18968"/>
      <w:bookmarkStart w:id="92" w:name="_Toc9893"/>
      <w:r>
        <w:t>项目建设是南沙地区旅游业发展的保障</w:t>
      </w:r>
      <w:bookmarkEnd w:id="91"/>
      <w:bookmarkEnd w:id="92"/>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highlight w:val="magenta"/>
          <w14:textFill>
            <w14:solidFill>
              <w14:schemeClr w14:val="tx1"/>
            </w14:solidFill>
          </w14:textFill>
        </w:rPr>
        <w:t>南沙</w:t>
      </w:r>
      <w:r>
        <w:rPr>
          <w:rFonts w:ascii="Times New Roman" w:hAnsi="Times New Roman"/>
          <w:b w:val="0"/>
          <w:color w:val="000000" w:themeColor="text1"/>
          <w:sz w:val="24"/>
          <w:szCs w:val="24"/>
          <w14:textFill>
            <w14:solidFill>
              <w14:schemeClr w14:val="tx1"/>
            </w14:solidFill>
          </w14:textFill>
        </w:rPr>
        <w:t>集良好的生态环境、依山环水的自然景观、国际化滨海城市特色与岭南水乡风情于一身，已然成为一方旅游胜地。如今拥有南沙湿地景区、天后宫、黄山鲁森林公园、百万葵园、南沙滨海公园、冼星海故居、上下横档岛、十八罗汉山、东涌水乡风情街、滨海泳场、永乐绿色生态农庄、南沙游艇会、十九涌渔人码头、蕉门河绿道、蕉门河皮划艇、自邮行跨境商城、广州（南沙）邮轮母港、南沙高尔夫球会、南沙大酒店、南沙花园酒店、奥园养生酒店、临海酒店、海力花园酒店等一大批旅游景点和设施。</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南沙位于广州市最南端、珠江虎门水道西岸，南濒珠江出海口伶仃洋，北部大多为农田耕地，南部入海口地区大多为围垦填地，海产品和农业产品丰富，造就了南沙独具特色的海鲜美食和绿色健康的农产品美食。不仅有河网密布的珠江三角洲，开放进取的水文化精神，孕育出独特的岭南水乡风貌，</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南沙保护和延续了传统岭南水乡文化风貌，在现代城市中再现传统水乡文化风貌，而且南沙区文化旅游资源禀赋和基础条件好，有丰富的历史文化积淀，如：天后宫、莲溪村古祠、大角山炮台、横档岛等，又有国际的、独具特色的文化活动丰富市民生活，如：广州水乡文化节、广州南沙妈祖文化旅游节、广州南沙湾国际游艇博览会、CEFA国标舞青少年全国锦标赛等。</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为了更好的让南沙的旅游资源被开发出来，也为了给进南沙游客更好的体验和树立起南沙的高端定位形象，项目的落地为南沙的旅游资源体现的保障性就显而易见了，所以项目的建设是必要的。</w:t>
      </w:r>
    </w:p>
    <w:p>
      <w:pPr>
        <w:pStyle w:val="3"/>
        <w:ind w:firstLine="562" w:firstLineChars="200"/>
      </w:pPr>
      <w:bookmarkStart w:id="93" w:name="_Toc2019"/>
      <w:r>
        <w:t>项目建设紧迫性分析</w:t>
      </w:r>
      <w:bookmarkEnd w:id="93"/>
    </w:p>
    <w:p>
      <w:pPr>
        <w:spacing w:line="300" w:lineRule="auto"/>
        <w:ind w:firstLine="480" w:firstLineChars="200"/>
        <w:jc w:val="left"/>
        <w:rPr>
          <w:rFonts w:ascii="Times New Roman" w:hAnsi="Times New Roman"/>
          <w:b w:val="0"/>
          <w:color w:val="000000" w:themeColor="text1"/>
          <w:sz w:val="24"/>
          <w:szCs w:val="24"/>
          <w:highlight w:val="cyan"/>
          <w14:textFill>
            <w14:solidFill>
              <w14:schemeClr w14:val="tx1"/>
            </w14:solidFill>
          </w14:textFill>
        </w:rPr>
      </w:pPr>
      <w:r>
        <w:rPr>
          <w:rFonts w:hint="eastAsia" w:ascii="Times New Roman" w:hAnsi="Times New Roman"/>
          <w:b w:val="0"/>
          <w:color w:val="000000" w:themeColor="text1"/>
          <w:sz w:val="24"/>
          <w:szCs w:val="24"/>
          <w:highlight w:val="cyan"/>
          <w14:textFill>
            <w14:solidFill>
              <w14:schemeClr w14:val="tx1"/>
            </w14:solidFill>
          </w14:textFill>
        </w:rPr>
        <w:t>（1）工作要求的紧迫性</w:t>
      </w:r>
    </w:p>
    <w:p>
      <w:pPr>
        <w:spacing w:line="300" w:lineRule="auto"/>
        <w:ind w:firstLine="480" w:firstLineChars="200"/>
        <w:jc w:val="left"/>
        <w:rPr>
          <w:rFonts w:ascii="Times New Roman" w:hAnsi="Times New Roman"/>
          <w:b w:val="0"/>
          <w:color w:val="000000" w:themeColor="text1"/>
          <w:sz w:val="24"/>
          <w:szCs w:val="24"/>
          <w:highlight w:val="cyan"/>
          <w14:textFill>
            <w14:solidFill>
              <w14:schemeClr w14:val="tx1"/>
            </w14:solidFill>
          </w14:textFill>
        </w:rPr>
      </w:pPr>
      <w:r>
        <w:rPr>
          <w:rFonts w:ascii="Times New Roman" w:hAnsi="Times New Roman"/>
          <w:b w:val="0"/>
          <w:color w:val="000000" w:themeColor="text1"/>
          <w:sz w:val="24"/>
          <w:szCs w:val="24"/>
          <w:highlight w:val="cyan"/>
          <w14:textFill>
            <w14:solidFill>
              <w14:schemeClr w14:val="tx1"/>
            </w14:solidFill>
          </w14:textFill>
        </w:rPr>
        <w:t>2023年3月23日，广州市发展和改革委员会出具《广州市发展和改革委员会关于加快推进南沙大型城市综合体立项审批工作指导意见的函》，要求抓紧开展南沙大型城市综合体项目立项工作。</w:t>
      </w:r>
    </w:p>
    <w:p>
      <w:pPr>
        <w:spacing w:line="300" w:lineRule="auto"/>
        <w:ind w:firstLine="480" w:firstLineChars="200"/>
        <w:jc w:val="left"/>
        <w:rPr>
          <w:rFonts w:ascii="Times New Roman" w:hAnsi="Times New Roman"/>
          <w:b w:val="0"/>
          <w:color w:val="000000" w:themeColor="text1"/>
          <w:sz w:val="24"/>
          <w:szCs w:val="24"/>
          <w:highlight w:val="cyan"/>
          <w14:textFill>
            <w14:solidFill>
              <w14:schemeClr w14:val="tx1"/>
            </w14:solidFill>
          </w14:textFill>
        </w:rPr>
      </w:pPr>
      <w:r>
        <w:rPr>
          <w:rFonts w:ascii="Times New Roman" w:hAnsi="Times New Roman"/>
          <w:b w:val="0"/>
          <w:color w:val="000000" w:themeColor="text1"/>
          <w:sz w:val="24"/>
          <w:szCs w:val="24"/>
          <w:highlight w:val="cyan"/>
          <w14:textFill>
            <w14:solidFill>
              <w14:schemeClr w14:val="tx1"/>
            </w14:solidFill>
          </w14:textFill>
        </w:rPr>
        <w:t>2023年4月20日，《南沙全民文化体育综合体及配套设施建设第一批工作任务》已经南沙大型城市综合体建设指挥部第一总指挥林克庆同志、总指挥郭永航同志同意，现予印发。请有关单位加快推进建设工作，推进过程中遇到问题，请径向南沙大型城市综合体建设指挥部办公室反映。</w:t>
      </w:r>
    </w:p>
    <w:p>
      <w:pPr>
        <w:spacing w:line="300" w:lineRule="auto"/>
        <w:ind w:firstLine="480" w:firstLineChars="200"/>
        <w:jc w:val="left"/>
        <w:rPr>
          <w:rFonts w:ascii="Times New Roman" w:hAnsi="Times New Roman"/>
          <w:b w:val="0"/>
          <w:color w:val="000000" w:themeColor="text1"/>
          <w:sz w:val="24"/>
          <w:szCs w:val="24"/>
          <w:highlight w:val="cyan"/>
          <w14:textFill>
            <w14:solidFill>
              <w14:schemeClr w14:val="tx1"/>
            </w14:solidFill>
          </w14:textFill>
        </w:rPr>
      </w:pPr>
      <w:r>
        <w:rPr>
          <w:rFonts w:ascii="Times New Roman" w:hAnsi="Times New Roman"/>
          <w:b w:val="0"/>
          <w:color w:val="000000" w:themeColor="text1"/>
          <w:sz w:val="24"/>
          <w:szCs w:val="24"/>
          <w:highlight w:val="cyan"/>
          <w14:textFill>
            <w14:solidFill>
              <w14:schemeClr w14:val="tx1"/>
            </w14:solidFill>
          </w14:textFill>
        </w:rPr>
        <w:t>2023年</w:t>
      </w:r>
      <w:r>
        <w:rPr>
          <w:rFonts w:hint="eastAsia" w:ascii="Times New Roman" w:hAnsi="Times New Roman"/>
          <w:b w:val="0"/>
          <w:color w:val="000000" w:themeColor="text1"/>
          <w:sz w:val="24"/>
          <w:szCs w:val="24"/>
          <w:highlight w:val="cyan"/>
          <w14:textFill>
            <w14:solidFill>
              <w14:schemeClr w14:val="tx1"/>
            </w14:solidFill>
          </w14:textFill>
        </w:rPr>
        <w:t>5</w:t>
      </w:r>
      <w:r>
        <w:rPr>
          <w:rFonts w:ascii="Times New Roman" w:hAnsi="Times New Roman"/>
          <w:b w:val="0"/>
          <w:color w:val="000000" w:themeColor="text1"/>
          <w:sz w:val="24"/>
          <w:szCs w:val="24"/>
          <w:highlight w:val="cyan"/>
          <w14:textFill>
            <w14:solidFill>
              <w14:schemeClr w14:val="tx1"/>
            </w14:solidFill>
          </w14:textFill>
        </w:rPr>
        <w:t>月</w:t>
      </w:r>
      <w:r>
        <w:rPr>
          <w:rFonts w:hint="eastAsia" w:ascii="Times New Roman" w:hAnsi="Times New Roman"/>
          <w:b w:val="0"/>
          <w:color w:val="000000" w:themeColor="text1"/>
          <w:sz w:val="24"/>
          <w:szCs w:val="24"/>
          <w:highlight w:val="cyan"/>
          <w14:textFill>
            <w14:solidFill>
              <w14:schemeClr w14:val="tx1"/>
            </w14:solidFill>
          </w14:textFill>
        </w:rPr>
        <w:t>15</w:t>
      </w:r>
      <w:r>
        <w:rPr>
          <w:rFonts w:ascii="Times New Roman" w:hAnsi="Times New Roman"/>
          <w:b w:val="0"/>
          <w:color w:val="000000" w:themeColor="text1"/>
          <w:sz w:val="24"/>
          <w:szCs w:val="24"/>
          <w:highlight w:val="cyan"/>
          <w14:textFill>
            <w14:solidFill>
              <w14:schemeClr w14:val="tx1"/>
            </w14:solidFill>
          </w14:textFill>
        </w:rPr>
        <w:t>日，《南沙区落实&lt;南沙全民文化体育综合体及配套设施建设第一批工作任务&gt;的实施方案》已经南沙区全民文化体育综合体建设专班主要领导同意，现予印发。请有关单位尽快梳理《实施方案》中工作任务，加快推进建设工作，于2023 年5月18日前将建设工作计划、年度投资计划、联系人及联系方式报专班办公室推进过程中遇到问题，请径向南沙区全民文化体育综合体建设专班办公室反映</w:t>
      </w:r>
      <w:r>
        <w:rPr>
          <w:rFonts w:hint="eastAsia" w:ascii="Times New Roman" w:hAnsi="Times New Roman"/>
          <w:b w:val="0"/>
          <w:color w:val="000000" w:themeColor="text1"/>
          <w:sz w:val="24"/>
          <w:szCs w:val="24"/>
          <w:highlight w:val="cyan"/>
          <w14:textFill>
            <w14:solidFill>
              <w14:schemeClr w14:val="tx1"/>
            </w14:solidFill>
          </w14:textFill>
        </w:rPr>
        <w:t>。</w:t>
      </w:r>
    </w:p>
    <w:p>
      <w:pPr>
        <w:spacing w:line="300" w:lineRule="auto"/>
        <w:ind w:firstLine="480" w:firstLineChars="200"/>
        <w:jc w:val="left"/>
        <w:rPr>
          <w:rFonts w:ascii="Times New Roman" w:hAnsi="Times New Roman"/>
          <w:b w:val="0"/>
          <w:color w:val="000000" w:themeColor="text1"/>
          <w:sz w:val="24"/>
          <w:szCs w:val="24"/>
          <w:highlight w:val="cyan"/>
          <w14:textFill>
            <w14:solidFill>
              <w14:schemeClr w14:val="tx1"/>
            </w14:solidFill>
          </w14:textFill>
        </w:rPr>
      </w:pPr>
      <w:r>
        <w:rPr>
          <w:rFonts w:ascii="Times New Roman" w:hAnsi="Times New Roman"/>
          <w:b w:val="0"/>
          <w:color w:val="000000" w:themeColor="text1"/>
          <w:sz w:val="24"/>
          <w:szCs w:val="24"/>
          <w:highlight w:val="cyan"/>
          <w14:textFill>
            <w14:solidFill>
              <w14:schemeClr w14:val="tx1"/>
            </w14:solidFill>
          </w14:textFill>
        </w:rPr>
        <w:t>2023年</w:t>
      </w:r>
      <w:r>
        <w:rPr>
          <w:rFonts w:hint="eastAsia" w:ascii="Times New Roman" w:hAnsi="Times New Roman"/>
          <w:b w:val="0"/>
          <w:color w:val="000000" w:themeColor="text1"/>
          <w:sz w:val="24"/>
          <w:szCs w:val="24"/>
          <w:highlight w:val="cyan"/>
          <w14:textFill>
            <w14:solidFill>
              <w14:schemeClr w14:val="tx1"/>
            </w14:solidFill>
          </w14:textFill>
        </w:rPr>
        <w:t>5</w:t>
      </w:r>
      <w:r>
        <w:rPr>
          <w:rFonts w:ascii="Times New Roman" w:hAnsi="Times New Roman"/>
          <w:b w:val="0"/>
          <w:color w:val="000000" w:themeColor="text1"/>
          <w:sz w:val="24"/>
          <w:szCs w:val="24"/>
          <w:highlight w:val="cyan"/>
          <w14:textFill>
            <w14:solidFill>
              <w14:schemeClr w14:val="tx1"/>
            </w14:solidFill>
          </w14:textFill>
        </w:rPr>
        <w:t>月</w:t>
      </w:r>
      <w:r>
        <w:rPr>
          <w:rFonts w:hint="eastAsia" w:ascii="Times New Roman" w:hAnsi="Times New Roman"/>
          <w:b w:val="0"/>
          <w:color w:val="000000" w:themeColor="text1"/>
          <w:sz w:val="24"/>
          <w:szCs w:val="24"/>
          <w:highlight w:val="cyan"/>
          <w14:textFill>
            <w14:solidFill>
              <w14:schemeClr w14:val="tx1"/>
            </w14:solidFill>
          </w14:textFill>
        </w:rPr>
        <w:t>26</w:t>
      </w:r>
      <w:r>
        <w:rPr>
          <w:rFonts w:ascii="Times New Roman" w:hAnsi="Times New Roman"/>
          <w:b w:val="0"/>
          <w:color w:val="000000" w:themeColor="text1"/>
          <w:sz w:val="24"/>
          <w:szCs w:val="24"/>
          <w:highlight w:val="cyan"/>
          <w14:textFill>
            <w14:solidFill>
              <w14:schemeClr w14:val="tx1"/>
            </w14:solidFill>
          </w14:textFill>
        </w:rPr>
        <w:t>日，,在中国铁建环球中心 1号楼 2104 会议室，南沙区全民文化体育综合体建设专班办公室 ( 以下简称“专班办公室”) 主持召开专题会议，研究南沙全民文化体育综合体配套骨干道路工程建设前期工作。</w:t>
      </w:r>
    </w:p>
    <w:p>
      <w:pPr>
        <w:spacing w:line="300" w:lineRule="auto"/>
        <w:ind w:firstLine="480" w:firstLineChars="200"/>
        <w:jc w:val="left"/>
        <w:rPr>
          <w:rFonts w:ascii="Times New Roman" w:hAnsi="Times New Roman"/>
          <w:b w:val="0"/>
          <w:color w:val="000000" w:themeColor="text1"/>
          <w:sz w:val="24"/>
          <w:szCs w:val="24"/>
          <w:highlight w:val="cyan"/>
          <w14:textFill>
            <w14:solidFill>
              <w14:schemeClr w14:val="tx1"/>
            </w14:solidFill>
          </w14:textFill>
        </w:rPr>
      </w:pPr>
      <w:r>
        <w:rPr>
          <w:rFonts w:ascii="Times New Roman" w:hAnsi="Times New Roman"/>
          <w:b w:val="0"/>
          <w:color w:val="000000" w:themeColor="text1"/>
          <w:sz w:val="24"/>
          <w:szCs w:val="24"/>
          <w:highlight w:val="cyan"/>
          <w14:textFill>
            <w14:solidFill>
              <w14:schemeClr w14:val="tx1"/>
            </w14:solidFill>
          </w14:textFill>
        </w:rPr>
        <w:t>2023年</w:t>
      </w:r>
      <w:r>
        <w:rPr>
          <w:rFonts w:hint="eastAsia" w:ascii="Times New Roman" w:hAnsi="Times New Roman"/>
          <w:b w:val="0"/>
          <w:color w:val="000000" w:themeColor="text1"/>
          <w:sz w:val="24"/>
          <w:szCs w:val="24"/>
          <w:highlight w:val="cyan"/>
          <w14:textFill>
            <w14:solidFill>
              <w14:schemeClr w14:val="tx1"/>
            </w14:solidFill>
          </w14:textFill>
        </w:rPr>
        <w:t>6</w:t>
      </w:r>
      <w:r>
        <w:rPr>
          <w:rFonts w:ascii="Times New Roman" w:hAnsi="Times New Roman"/>
          <w:b w:val="0"/>
          <w:color w:val="000000" w:themeColor="text1"/>
          <w:sz w:val="24"/>
          <w:szCs w:val="24"/>
          <w:highlight w:val="cyan"/>
          <w14:textFill>
            <w14:solidFill>
              <w14:schemeClr w14:val="tx1"/>
            </w14:solidFill>
          </w14:textFill>
        </w:rPr>
        <w:t>月</w:t>
      </w:r>
      <w:r>
        <w:rPr>
          <w:rFonts w:hint="eastAsia" w:ascii="Times New Roman" w:hAnsi="Times New Roman"/>
          <w:b w:val="0"/>
          <w:color w:val="000000" w:themeColor="text1"/>
          <w:sz w:val="24"/>
          <w:szCs w:val="24"/>
          <w:highlight w:val="cyan"/>
          <w14:textFill>
            <w14:solidFill>
              <w14:schemeClr w14:val="tx1"/>
            </w14:solidFill>
          </w14:textFill>
        </w:rPr>
        <w:t>21</w:t>
      </w:r>
      <w:r>
        <w:rPr>
          <w:rFonts w:ascii="Times New Roman" w:hAnsi="Times New Roman"/>
          <w:b w:val="0"/>
          <w:color w:val="000000" w:themeColor="text1"/>
          <w:sz w:val="24"/>
          <w:szCs w:val="24"/>
          <w:highlight w:val="cyan"/>
          <w14:textFill>
            <w14:solidFill>
              <w14:schemeClr w14:val="tx1"/>
            </w14:solidFill>
          </w14:textFill>
        </w:rPr>
        <w:t>日，受南沙大型城市综合体建设指挥部专职副总指挥、广州市政协副主席龚海杰同志委托，指挥部办公室副主任、市管一级调研员黄家添同志在市政府 1号楼 227 会议室主持会议，研究推进南沙全民文化体育综合体配套设施建设工作</w:t>
      </w:r>
      <w:r>
        <w:rPr>
          <w:rFonts w:hint="eastAsia" w:ascii="Times New Roman" w:hAnsi="Times New Roman"/>
          <w:b w:val="0"/>
          <w:color w:val="000000" w:themeColor="text1"/>
          <w:sz w:val="24"/>
          <w:szCs w:val="24"/>
          <w:highlight w:val="cyan"/>
          <w14:textFill>
            <w14:solidFill>
              <w14:schemeClr w14:val="tx1"/>
            </w14:solidFill>
          </w14:textFill>
        </w:rPr>
        <w:t>。</w:t>
      </w:r>
    </w:p>
    <w:p>
      <w:pPr>
        <w:spacing w:line="300" w:lineRule="auto"/>
        <w:ind w:firstLine="480" w:firstLineChars="200"/>
        <w:jc w:val="left"/>
        <w:rPr>
          <w:rFonts w:ascii="Times New Roman" w:hAnsi="Times New Roman"/>
          <w:b w:val="0"/>
          <w:color w:val="000000" w:themeColor="text1"/>
          <w:sz w:val="24"/>
          <w:szCs w:val="24"/>
          <w:highlight w:val="green"/>
          <w14:textFill>
            <w14:solidFill>
              <w14:schemeClr w14:val="tx1"/>
            </w14:solidFill>
          </w14:textFill>
        </w:rPr>
      </w:pPr>
      <w:r>
        <w:rPr>
          <w:rFonts w:hint="eastAsia" w:ascii="Times New Roman" w:hAnsi="Times New Roman"/>
          <w:b w:val="0"/>
          <w:color w:val="000000" w:themeColor="text1"/>
          <w:sz w:val="24"/>
          <w:szCs w:val="24"/>
          <w:highlight w:val="green"/>
          <w14:textFill>
            <w14:solidFill>
              <w14:schemeClr w14:val="tx1"/>
            </w14:solidFill>
          </w14:textFill>
        </w:rPr>
        <w:t>（2）项目建设时间的紧迫性</w:t>
      </w:r>
    </w:p>
    <w:p>
      <w:pPr>
        <w:spacing w:line="300" w:lineRule="auto"/>
        <w:ind w:firstLine="480" w:firstLineChars="200"/>
        <w:jc w:val="left"/>
        <w:rPr>
          <w:rFonts w:ascii="Times New Roman" w:hAnsi="Times New Roman"/>
          <w:b w:val="0"/>
          <w:color w:val="000000" w:themeColor="text1"/>
          <w:sz w:val="24"/>
          <w:szCs w:val="24"/>
          <w:highlight w:val="green"/>
          <w14:textFill>
            <w14:solidFill>
              <w14:schemeClr w14:val="tx1"/>
            </w14:solidFill>
          </w14:textFill>
        </w:rPr>
      </w:pPr>
      <w:r>
        <w:rPr>
          <w:rFonts w:ascii="Times New Roman" w:hAnsi="Times New Roman"/>
          <w:b w:val="0"/>
          <w:color w:val="000000" w:themeColor="text1"/>
          <w:sz w:val="24"/>
          <w:szCs w:val="24"/>
          <w:highlight w:val="green"/>
          <w14:textFill>
            <w14:solidFill>
              <w14:schemeClr w14:val="tx1"/>
            </w14:solidFill>
          </w14:textFill>
        </w:rPr>
        <w:t>根据南沙大型城市综合体建设指挥部关于印发《南沙全民文化体育综合体及配套设施建设第一批工作任务》的通知，及南沙区落实《南沙全民文化体育综合体及配套设施建设第一批工作任务》的实施方案。</w:t>
      </w:r>
      <w:r>
        <w:rPr>
          <w:rFonts w:hint="eastAsia" w:ascii="Times New Roman" w:hAnsi="Times New Roman"/>
          <w:b w:val="0"/>
          <w:color w:val="000000" w:themeColor="text1"/>
          <w:sz w:val="24"/>
          <w:szCs w:val="24"/>
          <w:highlight w:val="green"/>
          <w14:textFill>
            <w14:solidFill>
              <w14:schemeClr w14:val="tx1"/>
            </w14:solidFill>
          </w14:textFill>
        </w:rPr>
        <w:t>根据要求，</w:t>
      </w:r>
      <w:r>
        <w:rPr>
          <w:rFonts w:ascii="Times New Roman" w:hAnsi="Times New Roman"/>
          <w:b w:val="0"/>
          <w:color w:val="000000" w:themeColor="text1"/>
          <w:sz w:val="24"/>
          <w:szCs w:val="24"/>
          <w:highlight w:val="green"/>
          <w14:textFill>
            <w14:solidFill>
              <w14:schemeClr w14:val="tx1"/>
            </w14:solidFill>
          </w14:textFill>
        </w:rPr>
        <w:t>本项目</w:t>
      </w:r>
      <w:r>
        <w:rPr>
          <w:rFonts w:hint="eastAsia" w:ascii="Times New Roman" w:hAnsi="Times New Roman"/>
          <w:b w:val="0"/>
          <w:color w:val="000000" w:themeColor="text1"/>
          <w:sz w:val="24"/>
          <w:szCs w:val="24"/>
          <w:highlight w:val="green"/>
          <w14:textFill>
            <w14:solidFill>
              <w14:schemeClr w14:val="tx1"/>
            </w14:solidFill>
          </w14:textFill>
        </w:rPr>
        <w:t>需</w:t>
      </w:r>
      <w:r>
        <w:rPr>
          <w:rFonts w:ascii="Times New Roman" w:hAnsi="Times New Roman"/>
          <w:b w:val="0"/>
          <w:color w:val="000000" w:themeColor="text1"/>
          <w:sz w:val="24"/>
          <w:szCs w:val="24"/>
          <w:highlight w:val="green"/>
          <w14:textFill>
            <w14:solidFill>
              <w14:schemeClr w14:val="tx1"/>
            </w14:solidFill>
          </w14:textFill>
        </w:rPr>
        <w:t>2025年3月完成道路建设并通车。</w:t>
      </w:r>
    </w:p>
    <w:p>
      <w:pPr>
        <w:spacing w:line="300" w:lineRule="auto"/>
        <w:ind w:firstLine="480" w:firstLineChars="200"/>
        <w:jc w:val="left"/>
        <w:rPr>
          <w:rFonts w:ascii="Times New Roman" w:hAnsi="Times New Roman" w:cs="Times New Roman"/>
          <w:b w:val="0"/>
          <w:color w:val="000000" w:themeColor="text1"/>
          <w:sz w:val="24"/>
          <w:szCs w:val="24"/>
          <w:highlight w:val="green"/>
          <w14:textFill>
            <w14:solidFill>
              <w14:schemeClr w14:val="tx1"/>
            </w14:solidFill>
          </w14:textFill>
        </w:rPr>
      </w:pPr>
      <w:r>
        <w:rPr>
          <w:rFonts w:ascii="Times New Roman" w:hAnsi="Times New Roman"/>
          <w:b w:val="0"/>
          <w:color w:val="000000" w:themeColor="text1"/>
          <w:sz w:val="24"/>
          <w:szCs w:val="24"/>
          <w:highlight w:val="green"/>
          <w14:textFill>
            <w14:solidFill>
              <w14:schemeClr w14:val="tx1"/>
            </w14:solidFill>
          </w14:textFill>
        </w:rPr>
        <w:t>2023年7月3日，南沙大型城市综合体建设指挥部办公室主持召开关于推进南沙全民文化体育综合体配套设施建设的会议，会议再次强调南沙区建设和交通局牵头，南沙区发展改革局加强指导，南沙交投集团负责推进建设工作</w:t>
      </w:r>
      <w:r>
        <w:rPr>
          <w:rFonts w:hint="eastAsia" w:ascii="Times New Roman" w:hAnsi="Times New Roman"/>
          <w:b w:val="0"/>
          <w:color w:val="000000" w:themeColor="text1"/>
          <w:sz w:val="24"/>
          <w:szCs w:val="24"/>
          <w:highlight w:val="green"/>
          <w14:textFill>
            <w14:solidFill>
              <w14:schemeClr w14:val="tx1"/>
            </w14:solidFill>
          </w14:textFill>
        </w:rPr>
        <w:t>，要求</w:t>
      </w:r>
      <w:r>
        <w:rPr>
          <w:rFonts w:ascii="Times New Roman" w:hAnsi="Times New Roman"/>
          <w:b w:val="0"/>
          <w:color w:val="000000" w:themeColor="text1"/>
          <w:sz w:val="24"/>
          <w:szCs w:val="24"/>
          <w:highlight w:val="green"/>
          <w14:textFill>
            <w14:solidFill>
              <w14:schemeClr w14:val="tx1"/>
            </w14:solidFill>
          </w14:textFill>
        </w:rPr>
        <w:t>今年10月下旬完成道路工程初步设计和概算批复</w:t>
      </w:r>
      <w:r>
        <w:rPr>
          <w:rFonts w:hint="eastAsia" w:ascii="Times New Roman" w:hAnsi="Times New Roman"/>
          <w:b w:val="0"/>
          <w:color w:val="000000" w:themeColor="text1"/>
          <w:sz w:val="24"/>
          <w:szCs w:val="24"/>
          <w:highlight w:val="green"/>
          <w14:textFill>
            <w14:solidFill>
              <w14:schemeClr w14:val="tx1"/>
            </w14:solidFill>
          </w14:textFill>
        </w:rPr>
        <w:t>，</w:t>
      </w:r>
      <w:r>
        <w:rPr>
          <w:rFonts w:ascii="Times New Roman" w:hAnsi="Times New Roman"/>
          <w:b w:val="0"/>
          <w:color w:val="000000" w:themeColor="text1"/>
          <w:sz w:val="24"/>
          <w:szCs w:val="24"/>
          <w:highlight w:val="green"/>
          <w14:textFill>
            <w14:solidFill>
              <w14:schemeClr w14:val="tx1"/>
            </w14:solidFill>
          </w14:textFill>
        </w:rPr>
        <w:t>今年</w:t>
      </w:r>
      <w:r>
        <w:rPr>
          <w:rFonts w:ascii="Times New Roman" w:hAnsi="Times New Roman" w:cs="Times New Roman"/>
          <w:b w:val="0"/>
          <w:color w:val="000000" w:themeColor="text1"/>
          <w:sz w:val="24"/>
          <w:szCs w:val="24"/>
          <w:highlight w:val="green"/>
          <w14:textFill>
            <w14:solidFill>
              <w14:schemeClr w14:val="tx1"/>
            </w14:solidFill>
          </w14:textFill>
        </w:rPr>
        <w:t>11月下旬完成道路工程施工招标</w:t>
      </w:r>
      <w:r>
        <w:rPr>
          <w:rFonts w:hint="eastAsia" w:ascii="Times New Roman" w:hAnsi="Times New Roman" w:cs="Times New Roman"/>
          <w:b w:val="0"/>
          <w:color w:val="000000" w:themeColor="text1"/>
          <w:sz w:val="24"/>
          <w:szCs w:val="24"/>
          <w:highlight w:val="green"/>
          <w14:textFill>
            <w14:solidFill>
              <w14:schemeClr w14:val="tx1"/>
            </w14:solidFill>
          </w14:textFill>
        </w:rPr>
        <w:t>，</w:t>
      </w:r>
      <w:r>
        <w:rPr>
          <w:rFonts w:ascii="Times New Roman" w:hAnsi="Times New Roman" w:cs="Times New Roman"/>
          <w:b w:val="0"/>
          <w:color w:val="000000" w:themeColor="text1"/>
          <w:sz w:val="24"/>
          <w:szCs w:val="24"/>
          <w:highlight w:val="green"/>
          <w14:textFill>
            <w14:solidFill>
              <w14:schemeClr w14:val="tx1"/>
            </w14:solidFill>
          </w14:textFill>
        </w:rPr>
        <w:t>今年12月上旬道路工程动工建设</w:t>
      </w:r>
      <w:r>
        <w:rPr>
          <w:rFonts w:hint="eastAsia" w:ascii="Times New Roman" w:hAnsi="Times New Roman" w:cs="Times New Roman"/>
          <w:b w:val="0"/>
          <w:color w:val="000000" w:themeColor="text1"/>
          <w:sz w:val="24"/>
          <w:szCs w:val="24"/>
          <w:highlight w:val="green"/>
          <w14:textFill>
            <w14:solidFill>
              <w14:schemeClr w14:val="tx1"/>
            </w14:solidFill>
          </w14:textFill>
        </w:rPr>
        <w:t>。</w:t>
      </w:r>
    </w:p>
    <w:p>
      <w:pPr>
        <w:spacing w:line="300" w:lineRule="auto"/>
        <w:ind w:firstLine="480" w:firstLineChars="200"/>
        <w:jc w:val="left"/>
        <w:rPr>
          <w:rFonts w:ascii="Times New Roman" w:hAnsi="Times New Roman" w:cs="Times New Roman"/>
          <w:b w:val="0"/>
          <w:color w:val="000000" w:themeColor="text1"/>
          <w:sz w:val="24"/>
          <w:szCs w:val="24"/>
          <w:highlight w:val="green"/>
          <w14:textFill>
            <w14:solidFill>
              <w14:schemeClr w14:val="tx1"/>
            </w14:solidFill>
          </w14:textFill>
        </w:rPr>
      </w:pPr>
      <w:r>
        <w:rPr>
          <w:rFonts w:hint="eastAsia" w:ascii="Times New Roman" w:hAnsi="Times New Roman" w:cs="Times New Roman"/>
          <w:b w:val="0"/>
          <w:color w:val="000000" w:themeColor="text1"/>
          <w:sz w:val="24"/>
          <w:szCs w:val="24"/>
          <w:highlight w:val="green"/>
          <w14:textFill>
            <w14:solidFill>
              <w14:schemeClr w14:val="tx1"/>
            </w14:solidFill>
          </w14:textFill>
        </w:rPr>
        <w:t>根据广州市政府、南沙区政府的相关工作安排，本项目的建设是完善综合体体育馆片区路网结构的需要，是完善南沙全民文化体育综合体基础设施配套，促进万顷沙南片综合开发的需要。目前南沙全民文化体育综合体已进入施工阶段，要求</w:t>
      </w:r>
      <w:r>
        <w:rPr>
          <w:rFonts w:ascii="Times New Roman" w:hAnsi="Times New Roman" w:cs="Times New Roman"/>
          <w:b w:val="0"/>
          <w:color w:val="000000" w:themeColor="text1"/>
          <w:sz w:val="24"/>
          <w:szCs w:val="24"/>
          <w:highlight w:val="green"/>
          <w14:textFill>
            <w14:solidFill>
              <w14:schemeClr w14:val="tx1"/>
            </w14:solidFill>
          </w14:textFill>
        </w:rPr>
        <w:t>2025</w:t>
      </w:r>
      <w:r>
        <w:rPr>
          <w:rFonts w:hint="eastAsia" w:ascii="Times New Roman" w:hAnsi="Times New Roman" w:cs="Times New Roman"/>
          <w:b w:val="0"/>
          <w:color w:val="000000" w:themeColor="text1"/>
          <w:sz w:val="24"/>
          <w:szCs w:val="24"/>
          <w:highlight w:val="green"/>
          <w14:textFill>
            <w14:solidFill>
              <w14:schemeClr w14:val="tx1"/>
            </w14:solidFill>
          </w14:textFill>
        </w:rPr>
        <w:t>年</w:t>
      </w:r>
      <w:r>
        <w:rPr>
          <w:rFonts w:ascii="Times New Roman" w:hAnsi="Times New Roman" w:cs="Times New Roman"/>
          <w:b w:val="0"/>
          <w:color w:val="000000" w:themeColor="text1"/>
          <w:sz w:val="24"/>
          <w:szCs w:val="24"/>
          <w:highlight w:val="green"/>
          <w14:textFill>
            <w14:solidFill>
              <w14:schemeClr w14:val="tx1"/>
            </w14:solidFill>
          </w14:textFill>
        </w:rPr>
        <w:t>6</w:t>
      </w:r>
      <w:r>
        <w:rPr>
          <w:rFonts w:hint="eastAsia" w:ascii="Times New Roman" w:hAnsi="Times New Roman" w:cs="Times New Roman"/>
          <w:b w:val="0"/>
          <w:color w:val="000000" w:themeColor="text1"/>
          <w:sz w:val="24"/>
          <w:szCs w:val="24"/>
          <w:highlight w:val="green"/>
          <w14:textFill>
            <w14:solidFill>
              <w14:schemeClr w14:val="tx1"/>
            </w14:solidFill>
          </w14:textFill>
        </w:rPr>
        <w:t>月完成工程验收。本项目作为片区配套骨干道路，根据南沙区落实《南沙全民文化体育综合体及配套设施建设第一批工作任务》的实施方案的要求，本项目需</w:t>
      </w:r>
      <w:r>
        <w:rPr>
          <w:rFonts w:ascii="Times New Roman" w:hAnsi="Times New Roman" w:cs="Times New Roman"/>
          <w:b w:val="0"/>
          <w:color w:val="000000" w:themeColor="text1"/>
          <w:sz w:val="24"/>
          <w:szCs w:val="24"/>
          <w:highlight w:val="green"/>
          <w14:textFill>
            <w14:solidFill>
              <w14:schemeClr w14:val="tx1"/>
            </w14:solidFill>
          </w14:textFill>
        </w:rPr>
        <w:t>2025</w:t>
      </w:r>
      <w:r>
        <w:rPr>
          <w:rFonts w:hint="eastAsia" w:ascii="Times New Roman" w:hAnsi="Times New Roman" w:cs="Times New Roman"/>
          <w:b w:val="0"/>
          <w:color w:val="000000" w:themeColor="text1"/>
          <w:sz w:val="24"/>
          <w:szCs w:val="24"/>
          <w:highlight w:val="green"/>
          <w14:textFill>
            <w14:solidFill>
              <w14:schemeClr w14:val="tx1"/>
            </w14:solidFill>
          </w14:textFill>
        </w:rPr>
        <w:t>年3月完成完成道路建设并通车。</w:t>
      </w:r>
    </w:p>
    <w:p>
      <w:pPr>
        <w:spacing w:line="300" w:lineRule="auto"/>
        <w:ind w:firstLine="480" w:firstLineChars="200"/>
        <w:jc w:val="left"/>
        <w:rPr>
          <w:rFonts w:ascii="Times New Roman" w:hAnsi="Times New Roman" w:cs="Times New Roman"/>
          <w:b w:val="0"/>
          <w:color w:val="000000" w:themeColor="text1"/>
          <w:sz w:val="24"/>
          <w:szCs w:val="24"/>
          <w:highlight w:val="green"/>
          <w14:textFill>
            <w14:solidFill>
              <w14:schemeClr w14:val="tx1"/>
            </w14:solidFill>
          </w14:textFill>
        </w:rPr>
      </w:pPr>
      <w:r>
        <w:rPr>
          <w:rFonts w:hint="eastAsia" w:ascii="Times New Roman" w:hAnsi="Times New Roman" w:cs="Times New Roman"/>
          <w:b w:val="0"/>
          <w:color w:val="000000" w:themeColor="text1"/>
          <w:sz w:val="24"/>
          <w:szCs w:val="24"/>
          <w:highlight w:val="green"/>
          <w14:textFill>
            <w14:solidFill>
              <w14:schemeClr w14:val="tx1"/>
            </w14:solidFill>
          </w14:textFill>
        </w:rPr>
        <w:t>本项目位于</w:t>
      </w:r>
      <w:r>
        <w:rPr>
          <w:rFonts w:ascii="Times New Roman" w:hAnsi="Times New Roman" w:cs="Times New Roman"/>
          <w:b w:val="0"/>
          <w:color w:val="000000" w:themeColor="text1"/>
          <w:sz w:val="24"/>
          <w:szCs w:val="24"/>
          <w:highlight w:val="green"/>
          <w14:textFill>
            <w14:solidFill>
              <w14:schemeClr w14:val="tx1"/>
            </w14:solidFill>
          </w14:textFill>
        </w:rPr>
        <w:t>万顷沙区域地质条件非常差，不良地质为深厚软土，为保证路堤稳定性，减小工后沉降和差异沉降，提高道路行驶舒适性，必须对新建道路进行软基处理，满足稳定、沉降及满足构造物的承载力要求。</w:t>
      </w:r>
      <w:r>
        <w:rPr>
          <w:rFonts w:hint="eastAsia" w:ascii="Times New Roman" w:hAnsi="Times New Roman" w:cs="Times New Roman"/>
          <w:b w:val="0"/>
          <w:color w:val="000000" w:themeColor="text1"/>
          <w:sz w:val="24"/>
          <w:szCs w:val="24"/>
          <w:highlight w:val="green"/>
          <w14:textFill>
            <w14:solidFill>
              <w14:schemeClr w14:val="tx1"/>
            </w14:solidFill>
          </w14:textFill>
        </w:rPr>
        <w:t>根据本项目地质特点，采用软基处理的时间期限不小于8个月，完成软基处理后才能进行道路路基及路面结构的施工，工期紧迫。</w:t>
      </w:r>
    </w:p>
    <w:p>
      <w:pPr>
        <w:spacing w:line="300" w:lineRule="auto"/>
        <w:ind w:firstLine="480" w:firstLineChars="200"/>
        <w:jc w:val="left"/>
        <w:rPr>
          <w:rFonts w:ascii="Times New Roman" w:hAnsi="Times New Roman"/>
          <w:b w:val="0"/>
          <w:color w:val="auto"/>
          <w:sz w:val="21"/>
          <w:szCs w:val="21"/>
        </w:rPr>
      </w:pPr>
      <w:r>
        <w:rPr>
          <w:rFonts w:ascii="Times New Roman" w:hAnsi="Times New Roman"/>
          <w:b w:val="0"/>
          <w:color w:val="000000" w:themeColor="text1"/>
          <w:sz w:val="24"/>
          <w:szCs w:val="24"/>
          <w14:textFill>
            <w14:solidFill>
              <w14:schemeClr w14:val="tx1"/>
            </w14:solidFill>
          </w14:textFill>
        </w:rPr>
        <w:br w:type="page"/>
      </w:r>
    </w:p>
    <w:p>
      <w:pPr>
        <w:pStyle w:val="2"/>
        <w:keepNext/>
        <w:keepLines/>
        <w:numPr>
          <w:ilvl w:val="0"/>
          <w:numId w:val="2"/>
        </w:numPr>
        <w:spacing w:before="191" w:beforeLines="0" w:after="191" w:afterLines="0" w:line="360" w:lineRule="auto"/>
        <w:ind w:firstLine="643" w:firstLineChars="200"/>
        <w:jc w:val="center"/>
        <w:rPr>
          <w:rFonts w:ascii="Times New Roman" w:hAnsi="Times New Roman"/>
        </w:rPr>
      </w:pPr>
      <w:bookmarkStart w:id="94" w:name="_Toc10940"/>
      <w:bookmarkStart w:id="95" w:name="_Toc12729"/>
      <w:r>
        <w:rPr>
          <w:rFonts w:ascii="Times New Roman" w:hAnsi="Times New Roman"/>
        </w:rPr>
        <w:t>项目需求分析与产出方案</w:t>
      </w:r>
      <w:bookmarkEnd w:id="94"/>
      <w:bookmarkEnd w:id="95"/>
    </w:p>
    <w:p>
      <w:pPr>
        <w:pStyle w:val="3"/>
        <w:ind w:firstLine="562" w:firstLineChars="200"/>
      </w:pPr>
      <w:bookmarkStart w:id="96" w:name="_Toc11869"/>
      <w:bookmarkStart w:id="97" w:name="_Toc32374"/>
      <w:r>
        <w:t>需求分析</w:t>
      </w:r>
      <w:bookmarkEnd w:id="96"/>
      <w:bookmarkEnd w:id="97"/>
    </w:p>
    <w:p>
      <w:pPr>
        <w:pStyle w:val="4"/>
        <w:ind w:firstLine="482" w:firstLineChars="200"/>
      </w:pPr>
      <w:bookmarkStart w:id="98" w:name="_Toc31764"/>
      <w:bookmarkStart w:id="99" w:name="_Toc24753"/>
      <w:r>
        <w:t>广州市社会经济发展规划</w:t>
      </w:r>
      <w:bookmarkEnd w:id="98"/>
      <w:bookmarkEnd w:id="99"/>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锚定2035年率先基本实现社会主义现代化远景目标，综合考虑国内外和全省发展趋势以及我市发展实际，坚持目标导向和问题导向相结合，坚持守正和创新相统一，今后五年我市经济社会发展主要目标是：实现老城市新活力，推动“四个出新出彩”取得决定性重大成就，国家中心城市和综合性门户城市建设上新水平，国际商贸中心、综合交通枢纽、科技教育文化医疗中心功能大幅增强，省会城市、产业发展、科技创新和宜居环境功能全面强化，城市发展能级和核心竞争力显著提升，粤港澳大湾区区域发展核心引擎作用充分彰显，枢纽之城、实力之城、创新之城、智慧之城、机遇之城、品质之城更加令人向往。主要体现在八个方面。</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经济发展迈上新台阶。在质量效益明显提升的基础上实现经济持续健康发展，经济结构更加优化，产业基础高级化和产业链现代化水平明显提高，先进制造业实现重大突破，率先探索建立与数字经济发展相适应的新经济制度体系，现代化经济体系建设取得重大进展，打造新发展阶段高质量发展典范。“十四五”时期，地区生产总值年均增长6%左右；到2025年，地区生产总值约3.5万亿元，全员劳动生产率提高到26万元/人，数字经济核心产业增加值占地区生产总值比重达25%。</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创新驱动取得新成效。共建粤港澳大湾区国际科技创新中心和综合性国家科学中心取得重大进展，重大科技基础设施加速集聚，科技创新轴引领辐射作用更加凸显，科技和产业创新策源能力显著提升，科技成果加速向现实生产力转化，打造具有全球影响力的科技创新高地。到2025年，研发经费支出（R&amp;D）占地区生产总值比重达3.4%左右，战略性新兴产业增加值突破1.2万亿元。</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3）改革开放实现新突破。营商环境改革取得重大成果，现代产权制度和要素市场化配置体制机制更加完善，改革综合效应有效释放，社会活力和创造力充分迸发。高水平开放进一步扩大，自贸试验区制度深化创新，全球资源要素配置中心功能明显增强，广州都市圈更具影响力，建成国际消费中心城市和国际交往中心，成为全球企业投资、国际人才汇聚首选地和最佳发展地。</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4）城市文明实现新提升。社会主义核心价值观更加深入人心，市民思想道德素质、科学文化素质和身心健康素质明显提高，红色文化、岭南文化、海丝文化、创新文化品牌影响力显著提升，公共文化服务体系和文化产业体系更加健全，文化创新创造活力充分激发，文化强国城市范例魅力彰显，成为展现文化自信的对外文化交流门户。</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5）生态环境得到新改善。国土空间开发保护格局不断优化，生产生活方式绿色转型成效显著，能源资源利用效率全国领先，主要污染物排放总量持续减少，生态系统安全性稳定性显著增强，天蓝、山绿、水清的城乡人居环境更加优美，建成美丽中国样本城市。到2025年，空气质量优良天数比率达88%，森林覆盖率提高到41.65%。</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6）民生福祉取得新进步。公共服务体系更加完善，社会公平正义更加彰显，幼有善育、学有优教、劳有厚得、住有宜居、出有畅行、病有良医、老有颐养、弱有众扶、急有速应加快实现，平安广州、法治广州、幸福广州达到更高水平。“十四五”时期，居民收入增长和经济增长基本同步，新增城镇就业110万人以上，新增基础教育公办学位数30万个以上；到2025年，基本养老保险参保率提高到99%，人均预期寿命达83岁。</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7）村振兴实现新跨越。都市现代农业发展水平显著提高，城乡融合发展体制机制更加完善，城乡生产要素双向自由流动的制度性通道基本打通，城乡公共服务和公共资源配置更加合理，城乡发展差距和居民生活水平差距明显缩小，农业农村现代化走在全国全省前列。</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8）城市治理达到新水平。城市发展战略进一步优化，城市枢纽能级显著提升，城市更新改造深入推进，生产生活生态空间布局更加合理，基础设施更加完善，城市环境品质大幅改善，城市本质安全12水平进一步提高，突发公共事件应急能力显著增强，智慧城市建设成效显著，政府效能持续提升，市域社会治理现代化加快推进，成为超大城市现代化治理新范例。</w:t>
      </w:r>
    </w:p>
    <w:p>
      <w:pPr>
        <w:pStyle w:val="4"/>
        <w:ind w:firstLine="482" w:firstLineChars="200"/>
      </w:pPr>
      <w:bookmarkStart w:id="100" w:name="_Toc25617"/>
      <w:bookmarkStart w:id="101" w:name="_Toc11040"/>
      <w:r>
        <w:t>南沙区交通设施发展规划</w:t>
      </w:r>
      <w:bookmarkEnd w:id="100"/>
      <w:bookmarkEnd w:id="101"/>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2020年12月，广州市政府、广东省发展改革委联合印发实施《南沙综合交通枢纽规划（2020-2035年）》，从省的层面明确将南沙打造成为承载国际综合交通枢纽的重要功能区、服务粤港澳大湾区的区域交通中心及支撑国际化滨海新城的绿色智慧交通示范区，推动南沙由大湾区地理几何中心向区域交通中心、功能中心乃至经济中心转变。</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（1）对外交通：</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轨道交通实现“30+12348”时空目标，构建“一主（南沙站）一辅（庆盛站）三个功能站（通用机场站、蕉门站、横沥站）”的铁路客运站格局。规划及引入6条国铁，在现有广深港高铁、在建南沙港铁路及深圳至江门铁路基础上，新增广州至珠海（澳门）高铁，谋划将深圳至南宁高铁、赣深客专引入南沙。规划3条城际轨道，引入中南虎城际、肇顺南城际和南沙至珠海（中山）城际。</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2）南沙港区建成现代化综合性国际门户枢纽港，规划至2035年，实现广州港货物吞吐量达7.5亿吨（南沙港区约5.4亿吨），集装箱吞吐量达3500万标箱（南沙港区约3050万标箱），邮轮旅客吞吐量250万人次。</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3）高快速路布局形成“406090”湾区时空圈，“40”即实现南沙至广州中心城区，以及深圳、佛山、东莞、中山等周边城市40分钟互达；“60”即南沙至江门、珠海、澳门、香港等湾区主要城市60分钟互达；“90”即南沙与珠三角其他城市90分钟互达。完善与广州中心城区“三高三快”通道建设，新增狮子洋通道，远期研究南沙港快速东延广深沿江高速过江通道，形成“六横七纵”的高快速路网布局。</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（2）对内交通：</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1）区内城轨打造“3040”出行时空圈，南沙至广州中心城区30分钟，南沙内部组团之间40分钟互达。南沙中心区轨道站点800米范围内覆盖人口数占中心区总人口数比例超过70%。</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规划形成与广州中心城区连接的“两快一慢一预留”大容量轨道通道及区内“环+放射”城市轨道网络系统。两快即轨道18、22号线；一环即轨道15号线；放射线包括26号线、31号线、32号线、33号线、38号线。规划布局7条有轨电车线路，服务于城市轨道交通覆盖空白区以及南沙各组团内部区域。</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区内城市骨干道打造“102020”出行时空圈，“10”即区内各产业功能区或组团中心10分钟内接入高快速路；“20”即区内各产业功能区或组团中心至对外交通枢纽20分钟直达；“20”即区内各组团中心至南沙中心城区20分钟可达。</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规划“二环十七射”的南沙骨架路网总体布局，其中往广州中心城区方向6条，往佛山方向2条，往中山方向为南中高速等5条，往东莞、深圳方向为深中通道、狮子洋通道等4条。</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3）区内慢行交通打造“15分钟社区生活圈”，即在15分钟步行可达范围内，配备生活所需的基本服务功能与公共活动空间，形成安全、友好、舒适的社会基本生活平台。</w:t>
      </w:r>
    </w:p>
    <w:p>
      <w:pPr>
        <w:ind w:firstLine="402" w:firstLineChars="200"/>
        <w:jc w:val="center"/>
        <w:rPr>
          <w:rFonts w:ascii="Times New Roman" w:hAnsi="Times New Roman"/>
        </w:rPr>
      </w:pPr>
      <w:r>
        <w:rPr>
          <w:rFonts w:ascii="Times New Roman" w:hAnsi="Times New Roman"/>
          <w:sz w:val="20"/>
        </w:rPr>
        <w:drawing>
          <wp:inline distT="0" distB="0" distL="0" distR="0">
            <wp:extent cx="6045835" cy="4114800"/>
            <wp:effectExtent l="0" t="0" r="12065" b="0"/>
            <wp:docPr id="205"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image27.jpeg"/>
                    <pic:cNvPicPr>
                      <a:picLocks noChangeAspect="1"/>
                    </pic:cNvPicPr>
                  </pic:nvPicPr>
                  <pic:blipFill>
                    <a:blip r:embed="rId52" cstate="print"/>
                    <a:stretch>
                      <a:fillRect/>
                    </a:stretch>
                  </pic:blipFill>
                  <pic:spPr>
                    <a:xfrm>
                      <a:off x="0" y="0"/>
                      <a:ext cx="6046161" cy="4114800"/>
                    </a:xfrm>
                    <a:prstGeom prst="rect">
                      <a:avLst/>
                    </a:prstGeom>
                  </pic:spPr>
                </pic:pic>
              </a:graphicData>
            </a:graphic>
          </wp:inline>
        </w:drawing>
      </w:r>
    </w:p>
    <w:p>
      <w:pPr>
        <w:spacing w:line="300" w:lineRule="auto"/>
        <w:ind w:firstLine="422" w:firstLineChars="200"/>
        <w:jc w:val="center"/>
        <w:rPr>
          <w:rFonts w:ascii="Times New Roman" w:hAnsi="Times New Roman"/>
          <w:color w:val="000000" w:themeColor="text1"/>
          <w:sz w:val="21"/>
          <w14:textFill>
            <w14:solidFill>
              <w14:schemeClr w14:val="tx1"/>
            </w14:solidFill>
          </w14:textFill>
        </w:rPr>
      </w:pPr>
      <w:r>
        <w:rPr>
          <w:rFonts w:ascii="Times New Roman" w:hAnsi="Times New Roman"/>
          <w:color w:val="000000" w:themeColor="text1"/>
          <w:sz w:val="21"/>
          <w14:textFill>
            <w14:solidFill>
              <w14:schemeClr w14:val="tx1"/>
            </w14:solidFill>
          </w14:textFill>
        </w:rPr>
        <w:t>南沙新区道路系统规划图</w:t>
      </w:r>
    </w:p>
    <w:p>
      <w:pPr>
        <w:pStyle w:val="4"/>
        <w:ind w:firstLine="482" w:firstLineChars="200"/>
      </w:pPr>
      <w:bookmarkStart w:id="102" w:name="_Toc26595"/>
      <w:bookmarkStart w:id="103" w:name="_Toc22817"/>
      <w:r>
        <w:t>交通需求分析</w:t>
      </w:r>
      <w:bookmarkEnd w:id="102"/>
      <w:bookmarkEnd w:id="103"/>
    </w:p>
    <w:p>
      <w:pPr>
        <w:pStyle w:val="5"/>
        <w:ind w:firstLine="482" w:firstLineChars="200"/>
        <w:rPr>
          <w:rFonts w:ascii="Times New Roman" w:hAnsi="Times New Roman"/>
          <w:b w:val="0"/>
          <w:color w:val="000000" w:themeColor="text1"/>
          <w14:textFill>
            <w14:solidFill>
              <w14:schemeClr w14:val="tx1"/>
            </w14:solidFill>
          </w14:textFill>
        </w:rPr>
      </w:pPr>
      <w:r>
        <w:rPr>
          <w:rFonts w:ascii="Times New Roman" w:hAnsi="Times New Roman"/>
        </w:rPr>
        <w:t>分析思路及分析方法</w:t>
      </w:r>
    </w:p>
    <w:p>
      <w:pPr>
        <w:adjustRightInd w:val="0"/>
        <w:snapToGrid w:val="0"/>
        <w:spacing w:line="42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预测研究是立足于现状，充分掌握现有资料，根据事物的发展规律把握未来的一项具有开拓性的工作，是在未来的不确定性发展中尽可能地把握其确定性的规律，并引导事物沿着规划者希望的方向（目标）发展，因此逻辑分析技术贯穿着项目研究的全过程。</w:t>
      </w:r>
    </w:p>
    <w:p>
      <w:pPr>
        <w:adjustRightInd w:val="0"/>
        <w:snapToGrid w:val="0"/>
        <w:spacing w:line="42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本次预测在已有研究成果的基础上，以广州市南沙区土地利用规划为依据，利用交通规划软件TransCAD，采用通用的“四阶段”交通预测模型。四阶段模型作为一种比较成熟的技术，在诸多国内外城市的交通模型开发中得到广泛应用，具有较高的可靠性。“四阶段”模型包括交通生成模型、交通分布模型、方式划分模型、交通分配模型四部分子模型，这四部分子模型既确定了“四阶段”模型开发的先后顺序，也是“四阶段”模型最主要组成部分。</w:t>
      </w:r>
    </w:p>
    <w:p>
      <w:pPr>
        <w:adjustRightInd w:val="0"/>
        <w:snapToGrid w:val="0"/>
        <w:spacing w:line="42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（1）根据广州社会经济、城市土地利用现状和规划，现状人口、规划人口、城市发展格局和其他规划等，预测规划年各小区人口、岗位和出行生成量；</w:t>
      </w:r>
    </w:p>
    <w:p>
      <w:pPr>
        <w:adjustRightInd w:val="0"/>
        <w:snapToGrid w:val="0"/>
        <w:spacing w:line="42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（2）利用现状调查数据标定交通分布模型参数，进行交通分布预测；</w:t>
      </w:r>
    </w:p>
    <w:p>
      <w:pPr>
        <w:adjustRightInd w:val="0"/>
        <w:snapToGrid w:val="0"/>
        <w:spacing w:line="42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（3）标定方式划分模型参数，预测得到机动车OD矩阵；</w:t>
      </w:r>
    </w:p>
    <w:p>
      <w:pPr>
        <w:adjustRightInd w:val="0"/>
        <w:snapToGrid w:val="0"/>
        <w:spacing w:line="42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（4）根据最新的规划路网，进行路网流量分配，得到预测范围内各道路的交通流量。交通需求预测技术路线如下图所示：</w:t>
      </w:r>
    </w:p>
    <w:p>
      <w:pPr>
        <w:adjustRightInd w:val="0"/>
        <w:snapToGrid w:val="0"/>
        <w:spacing w:line="420" w:lineRule="auto"/>
        <w:ind w:firstLine="402" w:firstLineChars="200"/>
        <w:rPr>
          <w:rFonts w:ascii="Times New Roman" w:hAnsi="Times New Roman"/>
          <w:sz w:val="24"/>
        </w:rPr>
      </w:pPr>
      <w:r>
        <w:rPr>
          <w:rFonts w:ascii="Times New Roman" w:hAnsi="Times New Roman"/>
          <w:sz w:val="20"/>
        </w:rPr>
        <mc:AlternateContent>
          <mc:Choice Requires="wpg">
            <w:drawing>
              <wp:inline distT="0" distB="0" distL="0" distR="0">
                <wp:extent cx="5186680" cy="3469640"/>
                <wp:effectExtent l="0" t="0" r="13970" b="16510"/>
                <wp:docPr id="215" name="组合 215"/>
                <wp:cNvGraphicFramePr/>
                <a:graphic xmlns:a="http://schemas.openxmlformats.org/drawingml/2006/main">
                  <a:graphicData uri="http://schemas.microsoft.com/office/word/2010/wordprocessingGroup">
                    <wpg:wgp>
                      <wpg:cNvGrpSpPr/>
                      <wpg:grpSpPr>
                        <a:xfrm>
                          <a:off x="0" y="0"/>
                          <a:ext cx="5186680" cy="3469640"/>
                          <a:chOff x="0" y="0"/>
                          <a:chExt cx="8168" cy="5464"/>
                        </a:xfrm>
                      </wpg:grpSpPr>
                      <pic:pic xmlns:pic="http://schemas.openxmlformats.org/drawingml/2006/picture">
                        <pic:nvPicPr>
                          <pic:cNvPr id="209" name="图片 3"/>
                          <pic:cNvPicPr>
                            <a:picLocks noChangeAspect="1"/>
                          </pic:cNvPicPr>
                        </pic:nvPicPr>
                        <pic:blipFill>
                          <a:blip r:embed="rId53"/>
                          <a:stretch>
                            <a:fillRect/>
                          </a:stretch>
                        </pic:blipFill>
                        <pic:spPr>
                          <a:xfrm>
                            <a:off x="0" y="0"/>
                            <a:ext cx="8168" cy="5464"/>
                          </a:xfrm>
                          <a:prstGeom prst="rect">
                            <a:avLst/>
                          </a:prstGeom>
                          <a:noFill/>
                          <a:ln>
                            <a:noFill/>
                          </a:ln>
                        </pic:spPr>
                      </pic:pic>
                      <pic:pic xmlns:pic="http://schemas.openxmlformats.org/drawingml/2006/picture">
                        <pic:nvPicPr>
                          <pic:cNvPr id="213" name="图片 4"/>
                          <pic:cNvPicPr>
                            <a:picLocks noChangeAspect="1"/>
                          </pic:cNvPicPr>
                        </pic:nvPicPr>
                        <pic:blipFill>
                          <a:blip r:embed="rId54"/>
                          <a:stretch>
                            <a:fillRect/>
                          </a:stretch>
                        </pic:blipFill>
                        <pic:spPr>
                          <a:xfrm>
                            <a:off x="6771" y="5430"/>
                            <a:ext cx="1396" cy="9"/>
                          </a:xfrm>
                          <a:prstGeom prst="rect">
                            <a:avLst/>
                          </a:prstGeom>
                          <a:noFill/>
                          <a:ln>
                            <a:noFill/>
                          </a:ln>
                        </pic:spPr>
                      </pic:pic>
                    </wpg:wgp>
                  </a:graphicData>
                </a:graphic>
              </wp:inline>
            </w:drawing>
          </mc:Choice>
          <mc:Fallback>
            <w:pict>
              <v:group id="_x0000_s1026" o:spid="_x0000_s1026" o:spt="203" style="height:273.2pt;width:408.4pt;" coordsize="8168,5464" o:gfxdata="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">
                <o:lock v:ext="edit" aspectratio="f"/>
                <v:shape id="图片 3" o:spid="_x0000_s1026" o:spt="75" type="#_x0000_t75" style="position:absolute;left:0;top:0;height:5464;width:8168;" filled="f" o:preferrelative="t" stroked="f" coordsize="21600,21600" o:gfxdata="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YkoFvQAA&#10;ANwAAAAPAAAAAAAAAAEAIAAAACIAAABkcnMvZG93bnJldi54bWxQSwECFAAUAAAACACHTuJAMy8F&#10;njsAAAA5AAAAEAAAAAAAAAABACAAAAAMAQAAZHJzL3NoYXBleG1sLnhtbFBLBQYAAAAABgAGAFsB&#10;AAC2AwAAAAA=&#10;">
                  <v:fill on="f" focussize="0,0"/>
                  <v:stroke on="f"/>
                  <v:imagedata r:id="rId53" o:title=""/>
                  <o:lock v:ext="edit" aspectratio="t"/>
                </v:shape>
                <v:shape id="图片 4" o:spid="_x0000_s1026" o:spt="75" type="#_x0000_t75" style="position:absolute;left:6771;top:5430;height:9;width:1396;" filled="f" o:preferrelative="t" stroked="f" coordsize="21600,21600" o:gfxdata="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iCkbvQAA&#10;ANwAAAAPAAAAAAAAAAEAIAAAACIAAABkcnMvZG93bnJldi54bWxQSwECFAAUAAAACACHTuJAMy8F&#10;njsAAAA5AAAAEAAAAAAAAAABACAAAAAMAQAAZHJzL3NoYXBleG1sLnhtbFBLBQYAAAAABgAGAFsB&#10;AAC2AwAAAAA=&#10;">
                  <v:fill on="f" focussize="0,0"/>
                  <v:stroke on="f"/>
                  <v:imagedata r:id="rId54" o:title=""/>
                  <o:lock v:ext="edit" aspectratio="t"/>
                </v:shape>
                <w10:wrap type="none"/>
                <w10:anchorlock/>
              </v:group>
            </w:pict>
          </mc:Fallback>
        </mc:AlternateContent>
      </w:r>
    </w:p>
    <w:p>
      <w:pPr>
        <w:spacing w:line="360" w:lineRule="auto"/>
        <w:ind w:firstLine="422" w:firstLineChars="200"/>
        <w:jc w:val="center"/>
        <w:rPr>
          <w:rFonts w:ascii="Times New Roman" w:hAnsi="Times New Roman"/>
          <w:color w:val="auto"/>
          <w:sz w:val="24"/>
        </w:rPr>
      </w:pPr>
      <w:r>
        <w:rPr>
          <w:rFonts w:ascii="Times New Roman" w:hAnsi="Times New Roman"/>
          <w:color w:val="000000" w:themeColor="text1"/>
          <w:sz w:val="21"/>
          <w14:textFill>
            <w14:solidFill>
              <w14:schemeClr w14:val="tx1"/>
            </w14:solidFill>
          </w14:textFill>
        </w:rPr>
        <w:t>交通预测流程图</w:t>
      </w:r>
    </w:p>
    <w:p>
      <w:pPr>
        <w:pStyle w:val="5"/>
        <w:ind w:firstLine="482" w:firstLineChars="200"/>
        <w:rPr>
          <w:rFonts w:ascii="Times New Roman" w:hAnsi="Times New Roman"/>
        </w:rPr>
      </w:pPr>
      <w:r>
        <w:rPr>
          <w:rFonts w:ascii="Times New Roman" w:hAnsi="Times New Roman"/>
        </w:rPr>
        <w:t>预测条件</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a、预测特征年的确定</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预测年限：预测基准年2025年，近期为2030年，中期为2035年，远期为2045年。</w:t>
      </w:r>
    </w:p>
    <w:p>
      <w:pPr>
        <w:spacing w:line="300" w:lineRule="auto"/>
        <w:ind w:firstLine="480" w:firstLineChars="200"/>
        <w:jc w:val="left"/>
        <w:rPr>
          <w:rFonts w:ascii="Times New Roman" w:hAnsi="Times New Roman"/>
          <w:b w:val="0"/>
          <w:color w:val="000000" w:themeColor="text1"/>
          <w:sz w:val="24"/>
          <w:szCs w:val="24"/>
          <w:highlight w:val="yellow"/>
          <w14:textFill>
            <w14:solidFill>
              <w14:schemeClr w14:val="tx1"/>
            </w14:solidFill>
          </w14:textFill>
        </w:rPr>
      </w:pPr>
      <w:r>
        <w:rPr>
          <w:rFonts w:ascii="Times New Roman" w:hAnsi="Times New Roman"/>
          <w:b w:val="0"/>
          <w:color w:val="000000" w:themeColor="text1"/>
          <w:sz w:val="24"/>
          <w:szCs w:val="24"/>
          <w:highlight w:val="yellow"/>
          <w14:textFill>
            <w14:solidFill>
              <w14:schemeClr w14:val="tx1"/>
            </w14:solidFill>
          </w14:textFill>
        </w:rPr>
        <w:t>b、规划路网</w:t>
      </w:r>
    </w:p>
    <w:p>
      <w:pPr>
        <w:spacing w:line="300" w:lineRule="auto"/>
        <w:ind w:firstLine="480" w:firstLineChars="200"/>
        <w:jc w:val="left"/>
        <w:rPr>
          <w:rFonts w:ascii="Times New Roman" w:hAnsi="Times New Roman"/>
          <w:b w:val="0"/>
          <w:color w:val="000000" w:themeColor="text1"/>
          <w:sz w:val="24"/>
          <w:szCs w:val="24"/>
          <w:highlight w:val="yellow"/>
          <w14:textFill>
            <w14:solidFill>
              <w14:schemeClr w14:val="tx1"/>
            </w14:solidFill>
          </w14:textFill>
        </w:rPr>
      </w:pPr>
      <w:r>
        <w:rPr>
          <w:rFonts w:ascii="Times New Roman" w:hAnsi="Times New Roman"/>
          <w:b w:val="0"/>
          <w:color w:val="000000" w:themeColor="text1"/>
          <w:sz w:val="24"/>
          <w:szCs w:val="24"/>
          <w:highlight w:val="yellow"/>
          <w14:textFill>
            <w14:solidFill>
              <w14:schemeClr w14:val="tx1"/>
            </w14:solidFill>
          </w14:textFill>
        </w:rPr>
        <w:t>外围高速系统——形成以南沙港快速、万顷沙支线、南中高速、深中通道组成的“两横两纵”高快结构路网，实现各方向交通快速过境、到达及疏散功能。南沙港快速设计速度100km/h，双向六车道，承担南沙全域过境交通通行。万顷沙支线设计速度100km/h，双向六车道，连接南中高速及深中通道，并通过设置二十涌广州方向及深圳方向高速出入口，连接片区地方道路和高速系统，形成双向快速集散接驳功能。灵新大道设计速度60km/h，双向八车道，连接综合体片区与万顷沙北部片区交通联系。</w:t>
      </w:r>
    </w:p>
    <w:p>
      <w:pPr>
        <w:ind w:firstLine="562" w:firstLineChars="200"/>
        <w:jc w:val="center"/>
        <w:rPr>
          <w:rFonts w:ascii="Times New Roman" w:hAnsi="Times New Roman"/>
          <w:kern w:val="0"/>
          <w:highlight w:val="yellow"/>
        </w:rPr>
      </w:pPr>
      <w:r>
        <w:rPr>
          <w:rFonts w:ascii="Times New Roman" w:hAnsi="Times New Roman"/>
          <w:highlight w:val="yellow"/>
        </w:rPr>
        <w:drawing>
          <wp:inline distT="0" distB="0" distL="0" distR="0">
            <wp:extent cx="5060950" cy="5532120"/>
            <wp:effectExtent l="0" t="0" r="6350" b="1143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55"/>
                    <a:stretch>
                      <a:fillRect/>
                    </a:stretch>
                  </pic:blipFill>
                  <pic:spPr>
                    <a:xfrm>
                      <a:off x="0" y="0"/>
                      <a:ext cx="5067335" cy="5539561"/>
                    </a:xfrm>
                    <a:prstGeom prst="rect">
                      <a:avLst/>
                    </a:prstGeom>
                  </pic:spPr>
                </pic:pic>
              </a:graphicData>
            </a:graphic>
          </wp:inline>
        </w:drawing>
      </w:r>
    </w:p>
    <w:p>
      <w:pPr>
        <w:spacing w:line="300" w:lineRule="auto"/>
        <w:ind w:firstLine="422" w:firstLineChars="200"/>
        <w:jc w:val="center"/>
        <w:rPr>
          <w:rFonts w:ascii="Times New Roman" w:hAnsi="Times New Roman"/>
          <w:b w:val="0"/>
          <w:color w:val="000000" w:themeColor="text1"/>
          <w:sz w:val="24"/>
          <w:szCs w:val="24"/>
          <w:highlight w:val="yellow"/>
          <w14:textFill>
            <w14:solidFill>
              <w14:schemeClr w14:val="tx1"/>
            </w14:solidFill>
          </w14:textFill>
        </w:rPr>
      </w:pPr>
      <w:r>
        <w:rPr>
          <w:rFonts w:ascii="Times New Roman" w:hAnsi="Times New Roman"/>
          <w:color w:val="000000" w:themeColor="text1"/>
          <w:sz w:val="21"/>
          <w:highlight w:val="yellow"/>
          <w14:textFill>
            <w14:solidFill>
              <w14:schemeClr w14:val="tx1"/>
            </w14:solidFill>
          </w14:textFill>
        </w:rPr>
        <w:t>综合体外围高快速路网图</w:t>
      </w:r>
    </w:p>
    <w:p>
      <w:pPr>
        <w:spacing w:line="300" w:lineRule="auto"/>
        <w:ind w:firstLine="480" w:firstLineChars="200"/>
        <w:jc w:val="left"/>
        <w:rPr>
          <w:rFonts w:ascii="Times New Roman" w:hAnsi="Times New Roman"/>
          <w:b w:val="0"/>
          <w:color w:val="000000" w:themeColor="text1"/>
          <w:sz w:val="24"/>
          <w:szCs w:val="24"/>
          <w:highlight w:val="yellow"/>
          <w14:textFill>
            <w14:solidFill>
              <w14:schemeClr w14:val="tx1"/>
            </w14:solidFill>
          </w14:textFill>
        </w:rPr>
      </w:pPr>
      <w:r>
        <w:rPr>
          <w:rFonts w:ascii="Times New Roman" w:hAnsi="Times New Roman"/>
          <w:b w:val="0"/>
          <w:color w:val="000000" w:themeColor="text1"/>
          <w:sz w:val="24"/>
          <w:szCs w:val="24"/>
          <w:highlight w:val="yellow"/>
          <w14:textFill>
            <w14:solidFill>
              <w14:schemeClr w14:val="tx1"/>
            </w14:solidFill>
          </w14:textFill>
        </w:rPr>
        <w:t>综合体周边道路——形成近期“五横四纵”骨干结构路网，实现快速衔接对外高快速道路，服务区域地块交通便捷联系。“一场两馆”交通及片区交通通过“五横”及规划纵一路、纵三路衔接到片区主要进出道路——万顷沙支线、万环西路南延线、灵新大道南延线，进而快速形成与万顷沙周边地区点对点直连。</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highlight w:val="yellow"/>
          <w14:textFill>
            <w14:solidFill>
              <w14:schemeClr w14:val="tx1"/>
            </w14:solidFill>
          </w14:textFill>
        </w:rPr>
        <w:t>南沙区道路交通布局以快速路作为组团间交通联系的主要框架，主干道作为组团内片区间联系的主要框架，次干、支路作为城市生活的网络框架组织城市道路系统。降低高快速路对城市空间的分隔，加密城市路网密度，提高微循环交通效率。其中万环西路作为贯穿本项目周边地块南北向主要通道，周边地块可通过万环西路、灵新大道与万顷沙支线、南沙港快速、南中高速、凤凰大道等南沙新区主骨架路网连接。</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c、四阶段交通预测</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▲交通生成预测</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本次研究中采用交通生成率法预测出行生成量，其数学模型解析如下：</w:t>
      </w:r>
    </w:p>
    <w:p>
      <w:pPr>
        <w:spacing w:line="300" w:lineRule="auto"/>
        <w:ind w:firstLine="562"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rPr>
        <w:drawing>
          <wp:inline distT="0" distB="0" distL="114300" distR="114300">
            <wp:extent cx="1057275" cy="142875"/>
            <wp:effectExtent l="0" t="0" r="9525" b="9525"/>
            <wp:docPr id="353" name="图片 353" descr="1692159048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353" descr="1692159048563"/>
                    <pic:cNvPicPr>
                      <a:picLocks noChangeAspect="1"/>
                    </pic:cNvPicPr>
                  </pic:nvPicPr>
                  <pic:blipFill>
                    <a:blip r:embed="rId56"/>
                    <a:stretch>
                      <a:fillRect/>
                    </a:stretch>
                  </pic:blipFill>
                  <pic:spPr>
                    <a:xfrm>
                      <a:off x="0" y="0"/>
                      <a:ext cx="1057275" cy="142875"/>
                    </a:xfrm>
                    <a:prstGeom prst="rect">
                      <a:avLst/>
                    </a:prstGeom>
                  </pic:spPr>
                </pic:pic>
              </a:graphicData>
            </a:graphic>
          </wp:inline>
        </w:drawing>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式中：</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Gi、Ai—分别为i区的发生量和吸引量；POPi、EMPi—分别为i区的人口和就业岗位数；Rgi、Rai—分别为i区的发生率和吸引率。</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▲交通分布预测</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常用的出行分布模型主要有两种，即增长系数模型和重力模型。这两种模型在本次研究中均有应用。重力模型应用于研究区域范围内的出行分布，增长率模型(Fratar)应用于出入境及过境交通。以下对这两种模型分别做简要介绍。</w:t>
      </w:r>
    </w:p>
    <w:p>
      <w:pPr>
        <w:spacing w:line="300" w:lineRule="auto"/>
        <w:ind w:firstLine="482" w:firstLineChars="20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重力模型</w:t>
      </w:r>
    </w:p>
    <w:p>
      <w:pPr>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重力模型的基本假设是：i区到j区的出行分布量与i区产生量</w:t>
      </w:r>
      <w:r>
        <w:rPr>
          <w:rFonts w:ascii="Times New Roman" w:hAnsi="Times New Roman"/>
          <w:b w:val="0"/>
          <w:color w:val="000000" w:themeColor="text1"/>
          <w:sz w:val="24"/>
          <w:szCs w:val="24"/>
          <w14:textFill>
            <w14:solidFill>
              <w14:schemeClr w14:val="tx1"/>
            </w14:solidFill>
          </w14:textFill>
        </w:rPr>
        <w:object>
          <v:shape id="_x0000_i1025" o:spt="75" type="#_x0000_t75" style="height:20.25pt;width:12pt;" o:ole="t" filled="f" o:preferrelative="t" stroked="f" coordsize="21600,21600">
            <v:path/>
            <v:fill on="f" focussize="0,0"/>
            <v:stroke on="f" joinstyle="miter"/>
            <v:imagedata r:id="rId58" o:title=""/>
            <o:lock v:ext="edit" aspectratio="t"/>
            <w10:wrap type="none"/>
            <w10:anchorlock/>
          </v:shape>
          <o:OLEObject Type="Embed" ProgID="Equation.3" ShapeID="_x0000_i1025" DrawAspect="Content" ObjectID="_1468075725" r:id="rId57">
            <o:LockedField>false</o:LockedField>
          </o:OLEObject>
        </w:object>
      </w:r>
      <w:r>
        <w:rPr>
          <w:rFonts w:ascii="Times New Roman" w:hAnsi="Times New Roman"/>
          <w:b w:val="0"/>
          <w:color w:val="000000" w:themeColor="text1"/>
          <w:sz w:val="24"/>
          <w:szCs w:val="24"/>
          <w14:textFill>
            <w14:solidFill>
              <w14:schemeClr w14:val="tx1"/>
            </w14:solidFill>
          </w14:textFill>
        </w:rPr>
        <w:t>和j区吸引量</w:t>
      </w:r>
      <w:r>
        <w:rPr>
          <w:rFonts w:ascii="Times New Roman" w:hAnsi="Times New Roman"/>
          <w:b w:val="0"/>
          <w:color w:val="000000" w:themeColor="text1"/>
          <w:sz w:val="24"/>
          <w:szCs w:val="24"/>
          <w14:textFill>
            <w14:solidFill>
              <w14:schemeClr w14:val="tx1"/>
            </w14:solidFill>
          </w14:textFill>
        </w:rPr>
        <w:object>
          <v:shape id="_x0000_i1026" o:spt="75" type="#_x0000_t75" style="height:20.25pt;width:15pt;" o:ole="t" filled="f" o:preferrelative="t" stroked="f" coordsize="21600,21600">
            <v:path/>
            <v:fill on="f" focussize="0,0"/>
            <v:stroke on="f" joinstyle="miter"/>
            <v:imagedata r:id="rId60" o:title=""/>
            <o:lock v:ext="edit" aspectratio="t"/>
            <w10:wrap type="none"/>
            <w10:anchorlock/>
          </v:shape>
          <o:OLEObject Type="Embed" ProgID="Equation.3" ShapeID="_x0000_i1026" DrawAspect="Content" ObjectID="_1468075726" r:id="rId59">
            <o:LockedField>false</o:LockedField>
          </o:OLEObject>
        </w:object>
      </w:r>
      <w:r>
        <w:rPr>
          <w:rFonts w:ascii="Times New Roman" w:hAnsi="Times New Roman"/>
          <w:b w:val="0"/>
          <w:color w:val="000000" w:themeColor="text1"/>
          <w:sz w:val="24"/>
          <w:szCs w:val="24"/>
          <w14:textFill>
            <w14:solidFill>
              <w14:schemeClr w14:val="tx1"/>
            </w14:solidFill>
          </w14:textFill>
        </w:rPr>
        <w:t>成正比，而与两区之间的阻抗</w:t>
      </w:r>
      <w:r>
        <w:rPr>
          <w:rFonts w:ascii="Times New Roman" w:hAnsi="Times New Roman"/>
          <w:b w:val="0"/>
          <w:color w:val="000000" w:themeColor="text1"/>
          <w:sz w:val="24"/>
          <w:szCs w:val="24"/>
          <w14:textFill>
            <w14:solidFill>
              <w14:schemeClr w14:val="tx1"/>
            </w14:solidFill>
          </w14:textFill>
        </w:rPr>
        <w:object>
          <v:shape id="_x0000_i1027" o:spt="75" type="#_x0000_t75" style="height:20.25pt;width:33pt;" o:ole="t" filled="f" o:preferrelative="t" stroked="f" coordsize="21600,21600">
            <v:path/>
            <v:fill on="f" focussize="0,0"/>
            <v:stroke on="f" joinstyle="miter"/>
            <v:imagedata r:id="rId62" o:title=""/>
            <o:lock v:ext="edit" aspectratio="t"/>
            <w10:wrap type="none"/>
            <w10:anchorlock/>
          </v:shape>
          <o:OLEObject Type="Embed" ProgID="Equation.3" ShapeID="_x0000_i1027" DrawAspect="Content" ObjectID="_1468075727" r:id="rId61">
            <o:LockedField>false</o:LockedField>
          </o:OLEObject>
        </w:object>
      </w:r>
      <w:r>
        <w:rPr>
          <w:rFonts w:ascii="Times New Roman" w:hAnsi="Times New Roman"/>
          <w:b w:val="0"/>
          <w:color w:val="000000" w:themeColor="text1"/>
          <w:sz w:val="24"/>
          <w:szCs w:val="24"/>
          <w14:textFill>
            <w14:solidFill>
              <w14:schemeClr w14:val="tx1"/>
            </w14:solidFill>
          </w14:textFill>
        </w:rPr>
        <w:t>成反比。本次研究中所采用重力模型的基本形式为：</w:t>
      </w:r>
    </w:p>
    <w:p>
      <w:pPr>
        <w:snapToGrid w:val="0"/>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position w:val="-14"/>
          <w:sz w:val="24"/>
          <w:szCs w:val="24"/>
          <w:lang w:val="zh-CN"/>
          <w14:textFill>
            <w14:solidFill>
              <w14:schemeClr w14:val="tx1"/>
            </w14:solidFill>
          </w14:textFill>
        </w:rPr>
        <w:object>
          <v:shape id="_x0000_i1028" o:spt="75" type="#_x0000_t75" style="height:27pt;width:125.25pt;" o:ole="t" filled="f" o:preferrelative="t" stroked="f" coordsize="21600,21600">
            <v:path/>
            <v:fill on="f" focussize="0,0"/>
            <v:stroke on="f" joinstyle="miter"/>
            <v:imagedata r:id="rId64" o:title=""/>
            <o:lock v:ext="edit" aspectratio="t"/>
            <w10:wrap type="none"/>
            <w10:anchorlock/>
          </v:shape>
          <o:OLEObject Type="Embed" ProgID="Equation.3" ShapeID="_x0000_i1028" DrawAspect="Content" ObjectID="_1468075728" r:id="rId63">
            <o:LockedField>false</o:LockedField>
          </o:OLEObject>
        </w:object>
      </w:r>
    </w:p>
    <w:p>
      <w:pPr>
        <w:snapToGrid w:val="0"/>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object>
          <v:shape id="_x0000_i1029" o:spt="75" type="#_x0000_t75" style="height:30pt;width:143.25pt;" o:ole="t" filled="f" o:preferrelative="t" stroked="f" coordsize="21600,21600">
            <v:path/>
            <v:fill on="f" focussize="0,0"/>
            <v:stroke on="f" joinstyle="miter"/>
            <v:imagedata r:id="rId66" o:title=""/>
            <o:lock v:ext="edit" aspectratio="t"/>
            <w10:wrap type="none"/>
            <w10:anchorlock/>
          </v:shape>
          <o:OLEObject Type="Embed" ProgID="Equation.3" ShapeID="_x0000_i1029" DrawAspect="Content" ObjectID="_1468075729" r:id="rId65">
            <o:LockedField>false</o:LockedField>
          </o:OLEObject>
        </w:objec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式中：</w:t>
      </w:r>
    </w:p>
    <w:p>
      <w:pPr>
        <w:snapToGrid w:val="0"/>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object>
          <v:shape id="_x0000_i1030" o:spt="75" type="#_x0000_t75" style="height:20.25pt;width:14.25pt;" o:ole="t" filled="f" o:preferrelative="t" stroked="f" coordsize="21600,21600">
            <v:path/>
            <v:fill on="f" focussize="0,0"/>
            <v:stroke on="f" joinstyle="miter"/>
            <v:imagedata r:id="rId68" o:title=""/>
            <o:lock v:ext="edit" aspectratio="t"/>
            <w10:wrap type="none"/>
            <w10:anchorlock/>
          </v:shape>
          <o:OLEObject Type="Embed" ProgID="Equation.3" ShapeID="_x0000_i1030" DrawAspect="Content" ObjectID="_1468075730" r:id="rId67">
            <o:LockedField>false</o:LockedField>
          </o:OLEObject>
        </w:object>
      </w:r>
      <w:r>
        <w:rPr>
          <w:rFonts w:ascii="Times New Roman" w:hAnsi="Times New Roman"/>
          <w:b w:val="0"/>
          <w:color w:val="000000" w:themeColor="text1"/>
          <w:sz w:val="24"/>
          <w:szCs w:val="24"/>
          <w:lang w:val="zh-CN"/>
          <w14:textFill>
            <w14:solidFill>
              <w14:schemeClr w14:val="tx1"/>
            </w14:solidFill>
          </w14:textFill>
        </w:rPr>
        <w:tab/>
      </w:r>
      <w:r>
        <w:rPr>
          <w:rFonts w:ascii="Times New Roman" w:hAnsi="Times New Roman"/>
          <w:b w:val="0"/>
          <w:color w:val="000000" w:themeColor="text1"/>
          <w:sz w:val="24"/>
          <w:szCs w:val="24"/>
          <w:lang w:val="zh-CN"/>
          <w14:textFill>
            <w14:solidFill>
              <w14:schemeClr w14:val="tx1"/>
            </w14:solidFill>
          </w14:textFill>
        </w:rPr>
        <w:t>——</w:t>
      </w:r>
      <w:r>
        <w:rPr>
          <w:rFonts w:ascii="Times New Roman" w:hAnsi="Times New Roman"/>
          <w:b w:val="0"/>
          <w:color w:val="000000" w:themeColor="text1"/>
          <w:sz w:val="24"/>
          <w:szCs w:val="24"/>
          <w:lang w:val="zh-CN"/>
          <w14:textFill>
            <w14:solidFill>
              <w14:schemeClr w14:val="tx1"/>
            </w14:solidFill>
          </w14:textFill>
        </w:rPr>
        <w:tab/>
      </w:r>
      <w:r>
        <w:rPr>
          <w:rFonts w:ascii="Times New Roman" w:hAnsi="Times New Roman"/>
          <w:b w:val="0"/>
          <w:color w:val="000000" w:themeColor="text1"/>
          <w:sz w:val="24"/>
          <w:szCs w:val="24"/>
          <w:lang w:val="zh-CN"/>
          <w14:textFill>
            <w14:solidFill>
              <w14:schemeClr w14:val="tx1"/>
            </w14:solidFill>
          </w14:textFill>
        </w:rPr>
        <w:t>i区到j区的出行量</w:t>
      </w:r>
    </w:p>
    <w:p>
      <w:pPr>
        <w:snapToGrid w:val="0"/>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object>
          <v:shape id="_x0000_i1031" o:spt="75" type="#_x0000_t75" style="height:20.25pt;width:12pt;" o:ole="t" filled="f" o:preferrelative="t" stroked="f" coordsize="21600,21600">
            <v:path/>
            <v:fill on="f" focussize="0,0"/>
            <v:stroke on="f" joinstyle="miter"/>
            <v:imagedata r:id="rId70" o:title=""/>
            <o:lock v:ext="edit" aspectratio="t"/>
            <w10:wrap type="none"/>
            <w10:anchorlock/>
          </v:shape>
          <o:OLEObject Type="Embed" ProgID="Equation.3" ShapeID="_x0000_i1031" DrawAspect="Content" ObjectID="_1468075731" r:id="rId69">
            <o:LockedField>false</o:LockedField>
          </o:OLEObject>
        </w:object>
      </w:r>
      <w:r>
        <w:rPr>
          <w:rFonts w:ascii="Times New Roman" w:hAnsi="Times New Roman"/>
          <w:b w:val="0"/>
          <w:color w:val="000000" w:themeColor="text1"/>
          <w:sz w:val="24"/>
          <w:szCs w:val="24"/>
          <w:lang w:val="zh-CN"/>
          <w14:textFill>
            <w14:solidFill>
              <w14:schemeClr w14:val="tx1"/>
            </w14:solidFill>
          </w14:textFill>
        </w:rPr>
        <w:t>，</w:t>
      </w:r>
      <w:r>
        <w:rPr>
          <w:rFonts w:ascii="Times New Roman" w:hAnsi="Times New Roman"/>
          <w:b w:val="0"/>
          <w:color w:val="000000" w:themeColor="text1"/>
          <w:sz w:val="24"/>
          <w:szCs w:val="24"/>
          <w:lang w:val="zh-CN"/>
          <w14:textFill>
            <w14:solidFill>
              <w14:schemeClr w14:val="tx1"/>
            </w14:solidFill>
          </w14:textFill>
        </w:rPr>
        <w:object>
          <v:shape id="_x0000_i1032" o:spt="75" type="#_x0000_t75" style="height:20.25pt;width:15pt;" o:ole="t" filled="f" o:preferrelative="t" stroked="f" coordsize="21600,21600">
            <v:path/>
            <v:fill on="f" focussize="0,0"/>
            <v:stroke on="f" joinstyle="miter"/>
            <v:imagedata r:id="rId72" o:title=""/>
            <o:lock v:ext="edit" aspectratio="t"/>
            <w10:wrap type="none"/>
            <w10:anchorlock/>
          </v:shape>
          <o:OLEObject Type="Embed" ProgID="Equation.3" ShapeID="_x0000_i1032" DrawAspect="Content" ObjectID="_1468075732" r:id="rId71">
            <o:LockedField>false</o:LockedField>
          </o:OLEObject>
        </w:object>
      </w:r>
      <w:r>
        <w:rPr>
          <w:rFonts w:ascii="Times New Roman" w:hAnsi="Times New Roman"/>
          <w:b w:val="0"/>
          <w:color w:val="000000" w:themeColor="text1"/>
          <w:sz w:val="24"/>
          <w:szCs w:val="24"/>
          <w:lang w:val="zh-CN"/>
          <w14:textFill>
            <w14:solidFill>
              <w14:schemeClr w14:val="tx1"/>
            </w14:solidFill>
          </w14:textFill>
        </w:rPr>
        <w:tab/>
      </w:r>
      <w:r>
        <w:rPr>
          <w:rFonts w:ascii="Times New Roman" w:hAnsi="Times New Roman"/>
          <w:b w:val="0"/>
          <w:color w:val="000000" w:themeColor="text1"/>
          <w:sz w:val="24"/>
          <w:szCs w:val="24"/>
          <w:lang w:val="zh-CN"/>
          <w14:textFill>
            <w14:solidFill>
              <w14:schemeClr w14:val="tx1"/>
            </w14:solidFill>
          </w14:textFill>
        </w:rPr>
        <w:t>——</w:t>
      </w:r>
      <w:r>
        <w:rPr>
          <w:rFonts w:ascii="Times New Roman" w:hAnsi="Times New Roman"/>
          <w:b w:val="0"/>
          <w:color w:val="000000" w:themeColor="text1"/>
          <w:sz w:val="24"/>
          <w:szCs w:val="24"/>
          <w:lang w:val="zh-CN"/>
          <w14:textFill>
            <w14:solidFill>
              <w14:schemeClr w14:val="tx1"/>
            </w14:solidFill>
          </w14:textFill>
        </w:rPr>
        <w:tab/>
      </w:r>
      <w:r>
        <w:rPr>
          <w:rFonts w:ascii="Times New Roman" w:hAnsi="Times New Roman"/>
          <w:b w:val="0"/>
          <w:color w:val="000000" w:themeColor="text1"/>
          <w:sz w:val="24"/>
          <w:szCs w:val="24"/>
          <w:lang w:val="zh-CN"/>
          <w14:textFill>
            <w14:solidFill>
              <w14:schemeClr w14:val="tx1"/>
            </w14:solidFill>
          </w14:textFill>
        </w:rPr>
        <w:t>i区产生量和j区吸引量</w:t>
      </w:r>
    </w:p>
    <w:p>
      <w:pPr>
        <w:snapToGrid w:val="0"/>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object>
          <v:shape id="_x0000_i1033" o:spt="75" type="#_x0000_t75" style="height:20.25pt;width:33pt;" o:ole="t" filled="f" o:preferrelative="t" stroked="f" coordsize="21600,21600">
            <v:path/>
            <v:fill on="f" focussize="0,0"/>
            <v:stroke on="f" joinstyle="miter"/>
            <v:imagedata r:id="rId74" o:title=""/>
            <o:lock v:ext="edit" aspectratio="t"/>
            <w10:wrap type="none"/>
            <w10:anchorlock/>
          </v:shape>
          <o:OLEObject Type="Embed" ProgID="Equation.3" ShapeID="_x0000_i1033" DrawAspect="Content" ObjectID="_1468075733" r:id="rId73">
            <o:LockedField>false</o:LockedField>
          </o:OLEObject>
        </w:object>
      </w:r>
      <w:r>
        <w:rPr>
          <w:rFonts w:ascii="Times New Roman" w:hAnsi="Times New Roman"/>
          <w:b w:val="0"/>
          <w:color w:val="000000" w:themeColor="text1"/>
          <w:sz w:val="24"/>
          <w:szCs w:val="24"/>
          <w:lang w:val="zh-CN"/>
          <w14:textFill>
            <w14:solidFill>
              <w14:schemeClr w14:val="tx1"/>
            </w14:solidFill>
          </w14:textFill>
        </w:rPr>
        <w:tab/>
      </w:r>
      <w:r>
        <w:rPr>
          <w:rFonts w:ascii="Times New Roman" w:hAnsi="Times New Roman"/>
          <w:b w:val="0"/>
          <w:color w:val="000000" w:themeColor="text1"/>
          <w:sz w:val="24"/>
          <w:szCs w:val="24"/>
          <w:lang w:val="zh-CN"/>
          <w14:textFill>
            <w14:solidFill>
              <w14:schemeClr w14:val="tx1"/>
            </w14:solidFill>
          </w14:textFill>
        </w:rPr>
        <w:t>——</w:t>
      </w:r>
      <w:r>
        <w:rPr>
          <w:rFonts w:ascii="Times New Roman" w:hAnsi="Times New Roman"/>
          <w:b w:val="0"/>
          <w:color w:val="000000" w:themeColor="text1"/>
          <w:sz w:val="24"/>
          <w:szCs w:val="24"/>
          <w:lang w:val="zh-CN"/>
          <w14:textFill>
            <w14:solidFill>
              <w14:schemeClr w14:val="tx1"/>
            </w14:solidFill>
          </w14:textFill>
        </w:rPr>
        <w:tab/>
      </w:r>
      <w:r>
        <w:rPr>
          <w:rFonts w:ascii="Times New Roman" w:hAnsi="Times New Roman"/>
          <w:b w:val="0"/>
          <w:color w:val="000000" w:themeColor="text1"/>
          <w:sz w:val="24"/>
          <w:szCs w:val="24"/>
          <w:lang w:val="zh-CN"/>
          <w14:textFill>
            <w14:solidFill>
              <w14:schemeClr w14:val="tx1"/>
            </w14:solidFill>
          </w14:textFill>
        </w:rPr>
        <w:t>i区到j区的出行阻抗</w:t>
      </w:r>
    </w:p>
    <w:p>
      <w:pPr>
        <w:snapToGrid w:val="0"/>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object>
          <v:shape id="_x0000_i1034" o:spt="75" type="#_x0000_t75" style="height:20.25pt;width:14.25pt;" o:ole="t" filled="f" o:preferrelative="t" stroked="f" coordsize="21600,21600">
            <v:path/>
            <v:fill on="f" focussize="0,0"/>
            <v:stroke on="f" joinstyle="miter"/>
            <v:imagedata r:id="rId76" o:title=""/>
            <o:lock v:ext="edit" aspectratio="t"/>
            <w10:wrap type="none"/>
            <w10:anchorlock/>
          </v:shape>
          <o:OLEObject Type="Embed" ProgID="Equation.3" ShapeID="_x0000_i1034" DrawAspect="Content" ObjectID="_1468075734" r:id="rId75">
            <o:LockedField>false</o:LockedField>
          </o:OLEObject>
        </w:object>
      </w:r>
      <w:r>
        <w:rPr>
          <w:rFonts w:ascii="Times New Roman" w:hAnsi="Times New Roman"/>
          <w:b w:val="0"/>
          <w:color w:val="000000" w:themeColor="text1"/>
          <w:sz w:val="24"/>
          <w:szCs w:val="24"/>
          <w:lang w:val="zh-CN"/>
          <w14:textFill>
            <w14:solidFill>
              <w14:schemeClr w14:val="tx1"/>
            </w14:solidFill>
          </w14:textFill>
        </w:rPr>
        <w:tab/>
      </w:r>
      <w:r>
        <w:rPr>
          <w:rFonts w:ascii="Times New Roman" w:hAnsi="Times New Roman"/>
          <w:b w:val="0"/>
          <w:color w:val="000000" w:themeColor="text1"/>
          <w:sz w:val="24"/>
          <w:szCs w:val="24"/>
          <w:lang w:val="zh-CN"/>
          <w14:textFill>
            <w14:solidFill>
              <w14:schemeClr w14:val="tx1"/>
            </w14:solidFill>
          </w14:textFill>
        </w:rPr>
        <w:tab/>
      </w:r>
      <w:r>
        <w:rPr>
          <w:rFonts w:ascii="Times New Roman" w:hAnsi="Times New Roman"/>
          <w:b w:val="0"/>
          <w:color w:val="000000" w:themeColor="text1"/>
          <w:sz w:val="24"/>
          <w:szCs w:val="24"/>
          <w:lang w:val="zh-CN"/>
          <w14:textFill>
            <w14:solidFill>
              <w14:schemeClr w14:val="tx1"/>
            </w14:solidFill>
          </w14:textFill>
        </w:rPr>
        <w:t>——</w:t>
      </w:r>
      <w:r>
        <w:rPr>
          <w:rFonts w:ascii="Times New Roman" w:hAnsi="Times New Roman"/>
          <w:b w:val="0"/>
          <w:color w:val="000000" w:themeColor="text1"/>
          <w:sz w:val="24"/>
          <w:szCs w:val="24"/>
          <w:lang w:val="zh-CN"/>
          <w14:textFill>
            <w14:solidFill>
              <w14:schemeClr w14:val="tx1"/>
            </w14:solidFill>
          </w14:textFill>
        </w:rPr>
        <w:tab/>
      </w:r>
      <w:r>
        <w:rPr>
          <w:rFonts w:ascii="Times New Roman" w:hAnsi="Times New Roman"/>
          <w:b w:val="0"/>
          <w:color w:val="000000" w:themeColor="text1"/>
          <w:sz w:val="24"/>
          <w:szCs w:val="24"/>
          <w:lang w:val="zh-CN"/>
          <w14:textFill>
            <w14:solidFill>
              <w14:schemeClr w14:val="tx1"/>
            </w14:solidFill>
          </w14:textFill>
        </w:rPr>
        <w:t>i区到j区的综合费用</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a，b，c——</w:t>
      </w:r>
      <w:r>
        <w:rPr>
          <w:rFonts w:ascii="Times New Roman" w:hAnsi="Times New Roman"/>
          <w:b w:val="0"/>
          <w:color w:val="000000" w:themeColor="text1"/>
          <w:sz w:val="24"/>
          <w:szCs w:val="24"/>
          <w:lang w:val="zh-CN"/>
          <w14:textFill>
            <w14:solidFill>
              <w14:schemeClr w14:val="tx1"/>
            </w14:solidFill>
          </w14:textFill>
        </w:rPr>
        <w:tab/>
      </w:r>
      <w:r>
        <w:rPr>
          <w:rFonts w:ascii="Times New Roman" w:hAnsi="Times New Roman"/>
          <w:b w:val="0"/>
          <w:color w:val="000000" w:themeColor="text1"/>
          <w:sz w:val="24"/>
          <w:szCs w:val="24"/>
          <w:lang w:val="zh-CN"/>
          <w14:textFill>
            <w14:solidFill>
              <w14:schemeClr w14:val="tx1"/>
            </w14:solidFill>
          </w14:textFill>
        </w:rPr>
        <w:t>参数</w:t>
      </w:r>
    </w:p>
    <w:p>
      <w:pPr>
        <w:spacing w:line="300" w:lineRule="auto"/>
        <w:ind w:firstLine="482" w:firstLineChars="200"/>
        <w:jc w:val="left"/>
        <w:rPr>
          <w:rFonts w:ascii="Times New Roman" w:hAnsi="Times New Roman"/>
          <w:bCs/>
          <w:color w:val="000000" w:themeColor="text1"/>
          <w:sz w:val="24"/>
          <w:szCs w:val="24"/>
          <w:lang w:val="zh-CN"/>
          <w14:textFill>
            <w14:solidFill>
              <w14:schemeClr w14:val="tx1"/>
            </w14:solidFill>
          </w14:textFill>
        </w:rPr>
      </w:pPr>
      <w:r>
        <w:rPr>
          <w:rFonts w:ascii="Times New Roman" w:hAnsi="Times New Roman"/>
          <w:bCs/>
          <w:color w:val="000000" w:themeColor="text1"/>
          <w:sz w:val="24"/>
          <w:szCs w:val="24"/>
          <w:lang w:val="zh-CN"/>
          <w14:textFill>
            <w14:solidFill>
              <w14:schemeClr w14:val="tx1"/>
            </w14:solidFill>
          </w14:textFill>
        </w:rPr>
        <w:t>Fratar模型</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Fratar模型假定：两交通小区之间的未来交通量不仅与两交通区之间的交通生成增长有关，而且还与整个规划区和各交通区的交通生成增长有关。模型的基本形式如下：</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object>
          <v:shape id="_x0000_i1035" o:spt="75" type="#_x0000_t75" style="height:45pt;width:129pt;" o:ole="t" filled="f" o:preferrelative="t" stroked="f" coordsize="21600,21600">
            <v:path/>
            <v:fill on="f" focussize="0,0"/>
            <v:stroke on="f" joinstyle="miter"/>
            <v:imagedata r:id="rId78" o:title=""/>
            <o:lock v:ext="edit" aspectratio="t"/>
            <w10:wrap type="none"/>
            <w10:anchorlock/>
          </v:shape>
          <o:OLEObject Type="Embed" ProgID="Equation.3" ShapeID="_x0000_i1035" DrawAspect="Content" ObjectID="_1468075735" r:id="rId77">
            <o:LockedField>false</o:LockedField>
          </o:OLEObject>
        </w:objec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式中：</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object>
          <v:shape id="_x0000_i1036" o:spt="75" type="#_x0000_t75" style="height:60pt;width:107.25pt;" o:ole="t" filled="f" o:preferrelative="t" stroked="f" coordsize="21600,21600">
            <v:path/>
            <v:fill on="f" focussize="0,0"/>
            <v:stroke on="f" joinstyle="miter"/>
            <v:imagedata r:id="rId80" o:title=""/>
            <o:lock v:ext="edit" aspectratio="t"/>
            <w10:wrap type="none"/>
            <w10:anchorlock/>
          </v:shape>
          <o:OLEObject Type="Embed" ProgID="Equation.3" ShapeID="_x0000_i1036" DrawAspect="Content" ObjectID="_1468075736" r:id="rId79">
            <o:LockedField>false</o:LockedField>
          </o:OLEObject>
        </w:object>
      </w:r>
      <w:r>
        <w:rPr>
          <w:rFonts w:ascii="Times New Roman" w:hAnsi="Times New Roman"/>
          <w:b w:val="0"/>
          <w:color w:val="000000" w:themeColor="text1"/>
          <w:sz w:val="24"/>
          <w:szCs w:val="24"/>
          <w:lang w:val="zh-CN"/>
          <w14:textFill>
            <w14:solidFill>
              <w14:schemeClr w14:val="tx1"/>
            </w14:solidFill>
          </w14:textFill>
        </w:rPr>
        <w:tab/>
      </w:r>
      <w:r>
        <w:rPr>
          <w:rFonts w:ascii="Times New Roman" w:hAnsi="Times New Roman"/>
          <w:b w:val="0"/>
          <w:color w:val="000000" w:themeColor="text1"/>
          <w:sz w:val="24"/>
          <w:szCs w:val="24"/>
          <w:lang w:val="zh-CN"/>
          <w14:textFill>
            <w14:solidFill>
              <w14:schemeClr w14:val="tx1"/>
            </w14:solidFill>
          </w14:textFill>
        </w:rPr>
        <w:tab/>
      </w:r>
      <w:r>
        <w:rPr>
          <w:rFonts w:ascii="Times New Roman" w:hAnsi="Times New Roman"/>
          <w:b w:val="0"/>
          <w:color w:val="000000" w:themeColor="text1"/>
          <w:sz w:val="24"/>
          <w:szCs w:val="24"/>
          <w:lang w:val="zh-CN"/>
          <w14:textFill>
            <w14:solidFill>
              <w14:schemeClr w14:val="tx1"/>
            </w14:solidFill>
          </w14:textFill>
        </w:rPr>
        <w:object>
          <v:shape id="_x0000_i1037" o:spt="75" type="#_x0000_t75" style="height:57pt;width:110.25pt;" o:ole="t" filled="f" o:preferrelative="t" stroked="f" coordsize="21600,21600">
            <v:path/>
            <v:fill on="f" focussize="0,0"/>
            <v:stroke on="f" joinstyle="miter"/>
            <v:imagedata r:id="rId82" o:title=""/>
            <o:lock v:ext="edit" aspectratio="t"/>
            <w10:wrap type="none"/>
            <w10:anchorlock/>
          </v:shape>
          <o:OLEObject Type="Embed" ProgID="Equation.3" ShapeID="_x0000_i1037" DrawAspect="Content" ObjectID="_1468075737" r:id="rId81">
            <o:LockedField>false</o:LockedField>
          </o:OLEObject>
        </w:objec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式中：</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object>
          <v:shape id="_x0000_i1038" o:spt="75" type="#_x0000_t75" style="height:20.25pt;width:14.25pt;" o:ole="t" filled="f" o:preferrelative="t" stroked="f" coordsize="21600,21600">
            <v:path/>
            <v:fill on="f" focussize="0,0"/>
            <v:stroke on="f" joinstyle="miter"/>
            <v:imagedata r:id="rId84" o:title=""/>
            <o:lock v:ext="edit" aspectratio="t"/>
            <w10:wrap type="none"/>
            <w10:anchorlock/>
          </v:shape>
          <o:OLEObject Type="Embed" ProgID="Equation.3" ShapeID="_x0000_i1038" DrawAspect="Content" ObjectID="_1468075738" r:id="rId83">
            <o:LockedField>false</o:LockedField>
          </o:OLEObject>
        </w:object>
      </w:r>
      <w:r>
        <w:rPr>
          <w:rFonts w:ascii="Times New Roman" w:hAnsi="Times New Roman"/>
          <w:b w:val="0"/>
          <w:color w:val="000000" w:themeColor="text1"/>
          <w:sz w:val="24"/>
          <w:szCs w:val="24"/>
          <w:lang w:val="zh-CN"/>
          <w14:textFill>
            <w14:solidFill>
              <w14:schemeClr w14:val="tx1"/>
            </w14:solidFill>
          </w14:textFill>
        </w:rPr>
        <w:tab/>
      </w:r>
      <w:r>
        <w:rPr>
          <w:rFonts w:ascii="Times New Roman" w:hAnsi="Times New Roman"/>
          <w:b w:val="0"/>
          <w:color w:val="000000" w:themeColor="text1"/>
          <w:sz w:val="24"/>
          <w:szCs w:val="24"/>
          <w:lang w:val="zh-CN"/>
          <w14:textFill>
            <w14:solidFill>
              <w14:schemeClr w14:val="tx1"/>
            </w14:solidFill>
          </w14:textFill>
        </w:rPr>
        <w:t>——i区到j区的出行量</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object>
          <v:shape id="_x0000_i1039" o:spt="75" type="#_x0000_t75" style="height:20.25pt;width:12pt;" o:ole="t" filled="f" o:preferrelative="t" stroked="f" coordsize="21600,21600">
            <v:path/>
            <v:fill on="f" focussize="0,0"/>
            <v:stroke on="f" joinstyle="miter"/>
            <v:imagedata r:id="rId86" o:title=""/>
            <o:lock v:ext="edit" aspectratio="t"/>
            <w10:wrap type="none"/>
            <w10:anchorlock/>
          </v:shape>
          <o:OLEObject Type="Embed" ProgID="Equation.3" ShapeID="_x0000_i1039" DrawAspect="Content" ObjectID="_1468075739" r:id="rId85">
            <o:LockedField>false</o:LockedField>
          </o:OLEObject>
        </w:object>
      </w:r>
      <w:r>
        <w:rPr>
          <w:rFonts w:ascii="Times New Roman" w:hAnsi="Times New Roman"/>
          <w:b w:val="0"/>
          <w:color w:val="000000" w:themeColor="text1"/>
          <w:sz w:val="24"/>
          <w:szCs w:val="24"/>
          <w:lang w:val="zh-CN"/>
          <w14:textFill>
            <w14:solidFill>
              <w14:schemeClr w14:val="tx1"/>
            </w14:solidFill>
          </w14:textFill>
        </w:rPr>
        <w:tab/>
      </w:r>
      <w:r>
        <w:rPr>
          <w:rFonts w:ascii="Times New Roman" w:hAnsi="Times New Roman"/>
          <w:b w:val="0"/>
          <w:color w:val="000000" w:themeColor="text1"/>
          <w:sz w:val="24"/>
          <w:szCs w:val="24"/>
          <w:lang w:val="zh-CN"/>
          <w14:textFill>
            <w14:solidFill>
              <w14:schemeClr w14:val="tx1"/>
            </w14:solidFill>
          </w14:textFill>
        </w:rPr>
        <w:t>——i区到j区的现状出行量</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object>
          <v:shape id="_x0000_i1040" o:spt="75" type="#_x0000_t75" style="height:20.25pt;width:12pt;" o:ole="t" filled="f" o:preferrelative="t" stroked="f" coordsize="21600,21600">
            <v:path/>
            <v:fill on="f" focussize="0,0"/>
            <v:stroke on="f" joinstyle="miter"/>
            <v:imagedata r:id="rId88" o:title=""/>
            <o:lock v:ext="edit" aspectratio="t"/>
            <w10:wrap type="none"/>
            <w10:anchorlock/>
          </v:shape>
          <o:OLEObject Type="Embed" ProgID="Equation.3" ShapeID="_x0000_i1040" DrawAspect="Content" ObjectID="_1468075740" r:id="rId87">
            <o:LockedField>false</o:LockedField>
          </o:OLEObject>
        </w:object>
      </w:r>
      <w:r>
        <w:rPr>
          <w:rFonts w:ascii="Times New Roman" w:hAnsi="Times New Roman"/>
          <w:b w:val="0"/>
          <w:color w:val="000000" w:themeColor="text1"/>
          <w:sz w:val="24"/>
          <w:szCs w:val="24"/>
          <w:lang w:val="zh-CN"/>
          <w14:textFill>
            <w14:solidFill>
              <w14:schemeClr w14:val="tx1"/>
            </w14:solidFill>
          </w14:textFill>
        </w:rPr>
        <w:t>，</w:t>
      </w:r>
      <w:r>
        <w:rPr>
          <w:rFonts w:ascii="Times New Roman" w:hAnsi="Times New Roman"/>
          <w:b w:val="0"/>
          <w:color w:val="000000" w:themeColor="text1"/>
          <w:sz w:val="24"/>
          <w:szCs w:val="24"/>
          <w:lang w:val="zh-CN"/>
          <w14:textFill>
            <w14:solidFill>
              <w14:schemeClr w14:val="tx1"/>
            </w14:solidFill>
          </w14:textFill>
        </w:rPr>
        <w:object>
          <v:shape id="_x0000_i1041" o:spt="75" type="#_x0000_t75" style="height:20.25pt;width:15pt;" o:ole="t" filled="f" o:preferrelative="t" stroked="f" coordsize="21600,21600">
            <v:path/>
            <v:fill on="f" focussize="0,0"/>
            <v:stroke on="f" joinstyle="miter"/>
            <v:imagedata r:id="rId90" o:title=""/>
            <o:lock v:ext="edit" aspectratio="t"/>
            <w10:wrap type="none"/>
            <w10:anchorlock/>
          </v:shape>
          <o:OLEObject Type="Embed" ProgID="Equation.3" ShapeID="_x0000_i1041" DrawAspect="Content" ObjectID="_1468075741" r:id="rId89">
            <o:LockedField>false</o:LockedField>
          </o:OLEObject>
        </w:object>
      </w:r>
      <w:r>
        <w:rPr>
          <w:rFonts w:ascii="Times New Roman" w:hAnsi="Times New Roman"/>
          <w:b w:val="0"/>
          <w:color w:val="000000" w:themeColor="text1"/>
          <w:sz w:val="24"/>
          <w:szCs w:val="24"/>
          <w:lang w:val="zh-CN"/>
          <w14:textFill>
            <w14:solidFill>
              <w14:schemeClr w14:val="tx1"/>
            </w14:solidFill>
          </w14:textFill>
        </w:rPr>
        <w:t>——模型参数</w:t>
      </w:r>
    </w:p>
    <w:p>
      <w:pPr>
        <w:spacing w:line="300" w:lineRule="auto"/>
        <w:ind w:firstLine="482" w:firstLineChars="20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出行方式划分</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方式划分模型应用分层Logit模型，根据费用模型建立的各种方式综合费用矩阵计算各方式的效用函数，带入Logit模型就可以得到不同层次不同方式的出行方式比例和矩阵。</w:t>
      </w:r>
    </w:p>
    <w:p>
      <w:pPr>
        <w:spacing w:line="300" w:lineRule="auto"/>
        <w:ind w:firstLine="482" w:firstLineChars="20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交通分配</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交通分配是将预测的交通需求分配到未来供应的路网上，是交通量预测的重要环节之一。本次研究采用通用的“用户平衡分配算法”进行交通分配。该方法假定网络分配满足Wardrop用户平衡准则，并应用Beckmann建立的数学方法进行求解。</w:t>
      </w:r>
    </w:p>
    <w:p>
      <w:pPr>
        <w:spacing w:line="300" w:lineRule="auto"/>
        <w:ind w:firstLine="482" w:firstLineChars="20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方案微观分析方法</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微观分析层次主要采用交通仿真模拟技术，对交通流在设计方案中的车速、延误、可能产生的排队等指标进行评估。这里将采用TransCAD的开发公司Caliper最新推出的Transmodeler交通仿真分析工具进行分析。</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TransModeler是一个多功能的交通仿真模型。它具有众多其它同类交通仿真模型所不具备的先进功能，包括对智能交通系统关键技术的支持。TransModeler可以模拟多种道路设施类型，包括城市街道和高速公路的混合网络。在大范围地理地图上选择手头课题所感兴趣的路网或区域，可以很方便地进行只包括市中心、高速通道或环路的交通仿真模型。</w:t>
      </w:r>
    </w:p>
    <w:p>
      <w:pPr>
        <w:pStyle w:val="5"/>
        <w:ind w:firstLine="482" w:firstLineChars="200"/>
        <w:rPr>
          <w:rFonts w:ascii="Times New Roman" w:hAnsi="Times New Roman"/>
        </w:rPr>
      </w:pPr>
      <w:r>
        <w:rPr>
          <w:rFonts w:ascii="Times New Roman" w:hAnsi="Times New Roman"/>
        </w:rPr>
        <w:t>预测年限</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auto"/>
          <w:sz w:val="24"/>
          <w:szCs w:val="24"/>
        </w:rPr>
        <w:t>本项目包含</w:t>
      </w:r>
      <w:r>
        <w:rPr>
          <w:rFonts w:hint="eastAsia" w:ascii="Times New Roman" w:hAnsi="Times New Roman"/>
          <w:b w:val="0"/>
          <w:color w:val="auto"/>
          <w:sz w:val="24"/>
          <w:szCs w:val="24"/>
        </w:rPr>
        <w:t>2</w:t>
      </w:r>
      <w:r>
        <w:rPr>
          <w:rFonts w:ascii="Times New Roman" w:hAnsi="Times New Roman"/>
          <w:b w:val="0"/>
          <w:color w:val="auto"/>
          <w:sz w:val="24"/>
          <w:szCs w:val="24"/>
        </w:rPr>
        <w:t>条新建市政道路，其中城市主干路</w:t>
      </w:r>
      <w:r>
        <w:rPr>
          <w:rFonts w:hint="eastAsia" w:ascii="Times New Roman" w:hAnsi="Times New Roman"/>
          <w:b w:val="0"/>
          <w:color w:val="auto"/>
          <w:sz w:val="24"/>
          <w:szCs w:val="24"/>
        </w:rPr>
        <w:t>1</w:t>
      </w:r>
      <w:r>
        <w:rPr>
          <w:rFonts w:ascii="Times New Roman" w:hAnsi="Times New Roman"/>
          <w:b w:val="0"/>
          <w:color w:val="auto"/>
          <w:sz w:val="24"/>
          <w:szCs w:val="24"/>
        </w:rPr>
        <w:t>条，设计速度60km/h，为二十涌北路，全长约</w:t>
      </w:r>
      <w:r>
        <w:rPr>
          <w:rFonts w:hint="eastAsia" w:ascii="Times New Roman" w:hAnsi="Times New Roman"/>
          <w:b w:val="0"/>
          <w:color w:val="auto"/>
          <w:sz w:val="24"/>
          <w:szCs w:val="24"/>
        </w:rPr>
        <w:t>1852</w:t>
      </w:r>
      <w:r>
        <w:rPr>
          <w:rFonts w:ascii="Times New Roman" w:hAnsi="Times New Roman"/>
          <w:b w:val="0"/>
          <w:color w:val="auto"/>
          <w:sz w:val="24"/>
          <w:szCs w:val="24"/>
        </w:rPr>
        <w:t>m；城市次干路</w:t>
      </w:r>
      <w:r>
        <w:rPr>
          <w:rFonts w:hint="eastAsia" w:ascii="Times New Roman" w:hAnsi="Times New Roman"/>
          <w:b w:val="0"/>
          <w:color w:val="auto"/>
          <w:sz w:val="24"/>
          <w:szCs w:val="24"/>
        </w:rPr>
        <w:t>1</w:t>
      </w:r>
      <w:r>
        <w:rPr>
          <w:rFonts w:ascii="Times New Roman" w:hAnsi="Times New Roman"/>
          <w:b w:val="0"/>
          <w:color w:val="auto"/>
          <w:sz w:val="24"/>
          <w:szCs w:val="24"/>
        </w:rPr>
        <w:t>条，设计速度40km/h，分别为规划纵三路，次干路全长约</w:t>
      </w:r>
      <w:r>
        <w:rPr>
          <w:rFonts w:hint="eastAsia" w:ascii="Times New Roman" w:hAnsi="Times New Roman"/>
          <w:b w:val="0"/>
          <w:color w:val="auto"/>
          <w:sz w:val="24"/>
          <w:szCs w:val="24"/>
        </w:rPr>
        <w:t>1485</w:t>
      </w:r>
      <w:r>
        <w:rPr>
          <w:rFonts w:ascii="Times New Roman" w:hAnsi="Times New Roman"/>
          <w:b w:val="0"/>
          <w:color w:val="auto"/>
          <w:sz w:val="24"/>
          <w:szCs w:val="24"/>
        </w:rPr>
        <w:t>m；新建桥涵</w:t>
      </w:r>
      <w:r>
        <w:rPr>
          <w:rFonts w:hint="eastAsia" w:ascii="Times New Roman" w:hAnsi="Times New Roman"/>
          <w:b w:val="0"/>
          <w:color w:val="auto"/>
          <w:sz w:val="24"/>
          <w:szCs w:val="24"/>
        </w:rPr>
        <w:t>2</w:t>
      </w:r>
      <w:r>
        <w:rPr>
          <w:rFonts w:ascii="Times New Roman" w:hAnsi="Times New Roman"/>
          <w:b w:val="0"/>
          <w:color w:val="auto"/>
          <w:sz w:val="24"/>
          <w:szCs w:val="24"/>
        </w:rPr>
        <w:t>座，涵洞1座</w:t>
      </w:r>
      <w:r>
        <w:rPr>
          <w:rFonts w:ascii="Times New Roman" w:hAnsi="Times New Roman"/>
          <w:b w:val="0"/>
          <w:color w:val="000000" w:themeColor="text1"/>
          <w:sz w:val="24"/>
          <w:szCs w:val="24"/>
          <w14:textFill>
            <w14:solidFill>
              <w14:schemeClr w14:val="tx1"/>
            </w14:solidFill>
          </w14:textFill>
        </w:rPr>
        <w:t>。根据设计需要，确定研究年限如下：</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auto"/>
          <w:sz w:val="24"/>
          <w:szCs w:val="24"/>
        </w:rPr>
        <w:t>二十涌北路</w:t>
      </w:r>
      <w:r>
        <w:rPr>
          <w:rFonts w:ascii="Times New Roman" w:hAnsi="Times New Roman"/>
          <w:b w:val="0"/>
          <w:color w:val="000000" w:themeColor="text1"/>
          <w:sz w:val="24"/>
          <w:szCs w:val="24"/>
          <w14:textFill>
            <w14:solidFill>
              <w14:schemeClr w14:val="tx1"/>
            </w14:solidFill>
          </w14:textFill>
        </w:rPr>
        <w:t>为规划城市主干路，远期预测年限为20年，计划通车年为2025年，则近期特征年为2035年，远期特征年为2045年。</w:t>
      </w:r>
      <w:r>
        <w:rPr>
          <w:rFonts w:ascii="Times New Roman" w:hAnsi="Times New Roman"/>
          <w:b w:val="0"/>
          <w:color w:val="auto"/>
          <w:sz w:val="24"/>
          <w:szCs w:val="24"/>
        </w:rPr>
        <w:t>规划纵三路</w:t>
      </w:r>
      <w:r>
        <w:rPr>
          <w:rFonts w:ascii="Times New Roman" w:hAnsi="Times New Roman"/>
          <w:b w:val="0"/>
          <w:color w:val="000000" w:themeColor="text1"/>
          <w:sz w:val="24"/>
          <w:szCs w:val="24"/>
          <w14:textFill>
            <w14:solidFill>
              <w14:schemeClr w14:val="tx1"/>
            </w14:solidFill>
          </w14:textFill>
        </w:rPr>
        <w:t>为规划城市次干路，远期预测年限为20年，计划通车年为2025年，则近期特征年为2035年，远期特征年为2045年。</w:t>
      </w:r>
    </w:p>
    <w:p>
      <w:pPr>
        <w:pStyle w:val="4"/>
        <w:ind w:firstLine="482" w:firstLineChars="200"/>
      </w:pPr>
      <w:bookmarkStart w:id="104" w:name="_Toc23423"/>
      <w:bookmarkStart w:id="105" w:name="_Toc17697"/>
      <w:r>
        <w:t>交通需求预测分析</w:t>
      </w:r>
      <w:bookmarkEnd w:id="104"/>
      <w:bookmarkEnd w:id="105"/>
    </w:p>
    <w:p>
      <w:pPr>
        <w:pStyle w:val="5"/>
        <w:ind w:firstLine="482" w:firstLineChars="200"/>
        <w:rPr>
          <w:rFonts w:ascii="Times New Roman" w:hAnsi="Times New Roman"/>
        </w:rPr>
      </w:pPr>
      <w:r>
        <w:rPr>
          <w:rFonts w:ascii="Times New Roman" w:hAnsi="Times New Roman"/>
        </w:rPr>
        <w:t>交通发生预测</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针对不同的交通流分别采用不同的预测方法，对于客运流的交通产生采用产生率法，而货运流的交通产生采用回归产生模型，其数学模型解析如下</w:t>
      </w:r>
      <w:r>
        <w:rPr>
          <w:rFonts w:ascii="Times New Roman" w:hAnsi="Times New Roman"/>
          <w:b w:val="0"/>
          <w:color w:val="000000" w:themeColor="text1"/>
          <w:sz w:val="24"/>
          <w:szCs w:val="24"/>
          <w:lang w:val="zh-CN"/>
          <w14:textFill>
            <w14:solidFill>
              <w14:schemeClr w14:val="tx1"/>
            </w14:solidFill>
          </w14:textFill>
        </w:rPr>
        <w:t>：</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产生率法：</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drawing>
          <wp:inline distT="0" distB="0" distL="0" distR="0">
            <wp:extent cx="1169035" cy="274320"/>
            <wp:effectExtent l="0" t="0" r="12065" b="1270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1169458" cy="274638"/>
                    </a:xfrm>
                    <a:prstGeom prst="rect">
                      <a:avLst/>
                    </a:prstGeom>
                    <a:noFill/>
                    <a:ln>
                      <a:noFill/>
                    </a:ln>
                  </pic:spPr>
                </pic:pic>
              </a:graphicData>
            </a:graphic>
          </wp:inline>
        </w:drawing>
      </w:r>
      <w:r>
        <w:rPr>
          <w:rFonts w:ascii="Times New Roman" w:hAnsi="Times New Roman"/>
          <w:b w:val="0"/>
          <w:color w:val="000000" w:themeColor="text1"/>
          <w:sz w:val="24"/>
          <w:szCs w:val="24"/>
          <w:lang w:val="zh-CN"/>
          <w14:textFill>
            <w14:solidFill>
              <w14:schemeClr w14:val="tx1"/>
            </w14:solidFill>
          </w14:textFill>
        </w:rPr>
        <w:t>或</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drawing>
          <wp:inline distT="0" distB="0" distL="0" distR="0">
            <wp:extent cx="1169035" cy="274955"/>
            <wp:effectExtent l="0" t="0" r="12065" b="12065"/>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1169990" cy="275413"/>
                    </a:xfrm>
                    <a:prstGeom prst="rect">
                      <a:avLst/>
                    </a:prstGeom>
                    <a:noFill/>
                    <a:ln>
                      <a:noFill/>
                    </a:ln>
                  </pic:spPr>
                </pic:pic>
              </a:graphicData>
            </a:graphic>
          </wp:inline>
        </w:drawing>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其中：Gi、Ai分别为i区的发生和吸引量；</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POPi、EMPi分别为i区的人口和就业岗位数；</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Rgi、Rai分别为i区的发生和吸引率。</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回归产生模型：</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drawing>
          <wp:inline distT="0" distB="0" distL="0" distR="0">
            <wp:extent cx="3987165" cy="287020"/>
            <wp:effectExtent l="0" t="0" r="13335" b="177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3987165" cy="287020"/>
                    </a:xfrm>
                    <a:prstGeom prst="rect">
                      <a:avLst/>
                    </a:prstGeom>
                    <a:noFill/>
                    <a:ln>
                      <a:noFill/>
                    </a:ln>
                  </pic:spPr>
                </pic:pic>
              </a:graphicData>
            </a:graphic>
          </wp:inline>
        </w:drawing>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其中：Ti为i区的交通量；</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a,b,c,d为偏回归系数；</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POPi为i区的人口；</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EMP1i、EMP3i、EMP5i分别为i区第一、三、五类就业岗位数。</w:t>
      </w:r>
    </w:p>
    <w:p>
      <w:pPr>
        <w:pStyle w:val="5"/>
        <w:ind w:firstLine="482" w:firstLineChars="200"/>
        <w:rPr>
          <w:rFonts w:ascii="Times New Roman" w:hAnsi="Times New Roman"/>
        </w:rPr>
      </w:pPr>
      <w:r>
        <w:rPr>
          <w:rFonts w:ascii="Times New Roman" w:hAnsi="Times New Roman"/>
        </w:rPr>
        <w:t>出行方式预测</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方式划分采用如下的基本思路：首先考虑全区及研究区域现状居民出行方式结构及其内在原因，定性分析相关地区未来布局、规模变化趋势，交通系统建设发展趋势，居民出行选择决策趋势，初步估计规划年相关地区交通结构可能的取值范围。</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综合考虑项目周边的轨道交通现状及规划、常规公交线网覆盖范围、对外衔接道路的富余容量以及地块开发的定位等因素的影响，并参考周边地块的出行结构，经模型预测，区域全方式出行中，小型车、中型车、大型车占比如下表所示。</w:t>
      </w:r>
    </w:p>
    <w:tbl>
      <w:tblPr>
        <w:tblStyle w:val="32"/>
        <w:tblW w:w="0" w:type="auto"/>
        <w:tblInd w:w="0" w:type="dxa"/>
        <w:tblBorders>
          <w:top w:val="double" w:color="000000" w:sz="0" w:space="0"/>
          <w:left w:val="double" w:color="000000" w:sz="0" w:space="0"/>
          <w:bottom w:val="double" w:color="000000" w:sz="0" w:space="0"/>
          <w:right w:val="double" w:color="000000" w:sz="0" w:space="0"/>
          <w:insideH w:val="double" w:color="000000" w:sz="0" w:space="0"/>
          <w:insideV w:val="double" w:color="000000" w:sz="0" w:space="0"/>
        </w:tblBorders>
        <w:tblLayout w:type="fixed"/>
        <w:tblCellMar>
          <w:top w:w="0" w:type="dxa"/>
          <w:left w:w="0" w:type="dxa"/>
          <w:bottom w:w="0" w:type="dxa"/>
          <w:right w:w="0" w:type="dxa"/>
        </w:tblCellMar>
      </w:tblPr>
      <w:tblGrid>
        <w:gridCol w:w="1268"/>
        <w:gridCol w:w="1473"/>
        <w:gridCol w:w="1693"/>
        <w:gridCol w:w="1471"/>
        <w:gridCol w:w="1473"/>
        <w:gridCol w:w="1479"/>
        <w:gridCol w:w="1377"/>
      </w:tblGrid>
      <w:tr>
        <w:tblPrEx>
          <w:tblBorders>
            <w:top w:val="double" w:color="000000" w:sz="0" w:space="0"/>
            <w:left w:val="double" w:color="000000" w:sz="0" w:space="0"/>
            <w:bottom w:val="double" w:color="000000" w:sz="0" w:space="0"/>
            <w:right w:val="double" w:color="000000" w:sz="0" w:space="0"/>
            <w:insideH w:val="double" w:color="000000" w:sz="0" w:space="0"/>
            <w:insideV w:val="double" w:color="000000" w:sz="0" w:space="0"/>
          </w:tblBorders>
          <w:tblCellMar>
            <w:top w:w="0" w:type="dxa"/>
            <w:left w:w="0" w:type="dxa"/>
            <w:bottom w:w="0" w:type="dxa"/>
            <w:right w:w="0" w:type="dxa"/>
          </w:tblCellMar>
        </w:tblPrEx>
        <w:trPr>
          <w:trHeight w:val="556" w:hRule="atLeast"/>
        </w:trPr>
        <w:tc>
          <w:tcPr>
            <w:tcW w:w="1268" w:type="dxa"/>
            <w:vMerge w:val="restart"/>
            <w:tcBorders>
              <w:bottom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预测年</w:t>
            </w:r>
          </w:p>
        </w:tc>
        <w:tc>
          <w:tcPr>
            <w:tcW w:w="3166" w:type="dxa"/>
            <w:gridSpan w:val="2"/>
            <w:tcBorders>
              <w:left w:val="single" w:color="000000" w:sz="4" w:space="0"/>
              <w:bottom w:val="single" w:color="000000" w:sz="4" w:space="0"/>
              <w:right w:val="single" w:color="000000" w:sz="4" w:space="0"/>
            </w:tcBorders>
          </w:tcPr>
          <w:p>
            <w:pPr>
              <w:spacing w:line="36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小型车</w:t>
            </w:r>
          </w:p>
        </w:tc>
        <w:tc>
          <w:tcPr>
            <w:tcW w:w="2944" w:type="dxa"/>
            <w:gridSpan w:val="2"/>
            <w:tcBorders>
              <w:left w:val="single" w:color="000000" w:sz="4" w:space="0"/>
              <w:bottom w:val="single" w:color="000000" w:sz="4" w:space="0"/>
              <w:right w:val="single" w:color="000000" w:sz="4" w:space="0"/>
            </w:tcBorders>
          </w:tcPr>
          <w:p>
            <w:pPr>
              <w:spacing w:line="360" w:lineRule="auto"/>
              <w:ind w:firstLine="480"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中型车</w:t>
            </w:r>
          </w:p>
        </w:tc>
        <w:tc>
          <w:tcPr>
            <w:tcW w:w="1479" w:type="dxa"/>
            <w:tcBorders>
              <w:left w:val="single" w:color="000000" w:sz="4" w:space="0"/>
              <w:bottom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大型车</w:t>
            </w:r>
          </w:p>
        </w:tc>
        <w:tc>
          <w:tcPr>
            <w:tcW w:w="1377" w:type="dxa"/>
            <w:vMerge w:val="restart"/>
            <w:tcBorders>
              <w:left w:val="single" w:color="000000" w:sz="4" w:space="0"/>
              <w:bottom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合计</w:t>
            </w:r>
          </w:p>
        </w:tc>
      </w:tr>
      <w:tr>
        <w:tblPrEx>
          <w:tblBorders>
            <w:top w:val="double" w:color="000000" w:sz="0" w:space="0"/>
            <w:left w:val="double" w:color="000000" w:sz="0" w:space="0"/>
            <w:bottom w:val="double" w:color="000000" w:sz="0" w:space="0"/>
            <w:right w:val="double" w:color="000000" w:sz="0" w:space="0"/>
            <w:insideH w:val="double" w:color="000000" w:sz="0" w:space="0"/>
            <w:insideV w:val="double" w:color="000000" w:sz="0" w:space="0"/>
          </w:tblBorders>
          <w:tblCellMar>
            <w:top w:w="0" w:type="dxa"/>
            <w:left w:w="0" w:type="dxa"/>
            <w:bottom w:w="0" w:type="dxa"/>
            <w:right w:w="0" w:type="dxa"/>
          </w:tblCellMar>
        </w:tblPrEx>
        <w:trPr>
          <w:trHeight w:val="581" w:hRule="atLeast"/>
        </w:trPr>
        <w:tc>
          <w:tcPr>
            <w:tcW w:w="1268" w:type="dxa"/>
            <w:vMerge w:val="continue"/>
            <w:tcBorders>
              <w:top w:val="nil"/>
              <w:bottom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p>
        </w:tc>
        <w:tc>
          <w:tcPr>
            <w:tcW w:w="1473" w:type="dxa"/>
            <w:tcBorders>
              <w:top w:val="single" w:color="000000" w:sz="4" w:space="0"/>
              <w:left w:val="single" w:color="000000" w:sz="4" w:space="0"/>
              <w:bottom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小型货车</w:t>
            </w:r>
          </w:p>
        </w:tc>
        <w:tc>
          <w:tcPr>
            <w:tcW w:w="1693" w:type="dxa"/>
            <w:tcBorders>
              <w:top w:val="single" w:color="000000" w:sz="4" w:space="0"/>
              <w:left w:val="single" w:color="000000" w:sz="4" w:space="0"/>
              <w:bottom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小型客车</w:t>
            </w:r>
          </w:p>
        </w:tc>
        <w:tc>
          <w:tcPr>
            <w:tcW w:w="1471" w:type="dxa"/>
            <w:tcBorders>
              <w:top w:val="single" w:color="000000" w:sz="4" w:space="0"/>
              <w:left w:val="single" w:color="000000" w:sz="4" w:space="0"/>
              <w:bottom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中型货车</w:t>
            </w:r>
          </w:p>
        </w:tc>
        <w:tc>
          <w:tcPr>
            <w:tcW w:w="1473" w:type="dxa"/>
            <w:tcBorders>
              <w:top w:val="single" w:color="000000" w:sz="4" w:space="0"/>
              <w:left w:val="single" w:color="000000" w:sz="4" w:space="0"/>
              <w:bottom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中型客车</w:t>
            </w:r>
          </w:p>
        </w:tc>
        <w:tc>
          <w:tcPr>
            <w:tcW w:w="1479" w:type="dxa"/>
            <w:tcBorders>
              <w:top w:val="single" w:color="000000" w:sz="4" w:space="0"/>
              <w:left w:val="single" w:color="000000" w:sz="4" w:space="0"/>
              <w:bottom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大型货车</w:t>
            </w:r>
          </w:p>
        </w:tc>
        <w:tc>
          <w:tcPr>
            <w:tcW w:w="1377" w:type="dxa"/>
            <w:vMerge w:val="continue"/>
            <w:tcBorders>
              <w:top w:val="nil"/>
              <w:left w:val="single" w:color="000000" w:sz="4" w:space="0"/>
              <w:bottom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p>
        </w:tc>
      </w:tr>
      <w:tr>
        <w:tblPrEx>
          <w:tblBorders>
            <w:top w:val="double" w:color="000000" w:sz="0" w:space="0"/>
            <w:left w:val="double" w:color="000000" w:sz="0" w:space="0"/>
            <w:bottom w:val="double" w:color="000000" w:sz="0" w:space="0"/>
            <w:right w:val="double" w:color="000000" w:sz="0" w:space="0"/>
            <w:insideH w:val="double" w:color="000000" w:sz="0" w:space="0"/>
            <w:insideV w:val="double" w:color="000000" w:sz="0" w:space="0"/>
          </w:tblBorders>
          <w:tblCellMar>
            <w:top w:w="0" w:type="dxa"/>
            <w:left w:w="0" w:type="dxa"/>
            <w:bottom w:w="0" w:type="dxa"/>
            <w:right w:w="0" w:type="dxa"/>
          </w:tblCellMar>
        </w:tblPrEx>
        <w:trPr>
          <w:trHeight w:val="503" w:hRule="atLeast"/>
        </w:trPr>
        <w:tc>
          <w:tcPr>
            <w:tcW w:w="1268" w:type="dxa"/>
            <w:tcBorders>
              <w:top w:val="single" w:color="000000" w:sz="4" w:space="0"/>
              <w:bottom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2025</w:t>
            </w:r>
          </w:p>
        </w:tc>
        <w:tc>
          <w:tcPr>
            <w:tcW w:w="1473" w:type="dxa"/>
            <w:tcBorders>
              <w:top w:val="single" w:color="000000" w:sz="4" w:space="0"/>
              <w:left w:val="single" w:color="000000" w:sz="4" w:space="0"/>
              <w:bottom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7.14%</w:t>
            </w:r>
          </w:p>
        </w:tc>
        <w:tc>
          <w:tcPr>
            <w:tcW w:w="1693" w:type="dxa"/>
            <w:tcBorders>
              <w:top w:val="single" w:color="000000" w:sz="4" w:space="0"/>
              <w:left w:val="single" w:color="000000" w:sz="4" w:space="0"/>
              <w:bottom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80.80%</w:t>
            </w:r>
          </w:p>
        </w:tc>
        <w:tc>
          <w:tcPr>
            <w:tcW w:w="1471" w:type="dxa"/>
            <w:tcBorders>
              <w:top w:val="single" w:color="000000" w:sz="4" w:space="0"/>
              <w:left w:val="single" w:color="000000" w:sz="4" w:space="0"/>
              <w:bottom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5.42%</w:t>
            </w:r>
          </w:p>
        </w:tc>
        <w:tc>
          <w:tcPr>
            <w:tcW w:w="1473" w:type="dxa"/>
            <w:tcBorders>
              <w:top w:val="single" w:color="000000" w:sz="4" w:space="0"/>
              <w:left w:val="single" w:color="000000" w:sz="4" w:space="0"/>
              <w:bottom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2.74%</w:t>
            </w:r>
          </w:p>
        </w:tc>
        <w:tc>
          <w:tcPr>
            <w:tcW w:w="1479" w:type="dxa"/>
            <w:tcBorders>
              <w:top w:val="single" w:color="000000" w:sz="4" w:space="0"/>
              <w:left w:val="single" w:color="000000" w:sz="4" w:space="0"/>
              <w:bottom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3.90%</w:t>
            </w:r>
          </w:p>
        </w:tc>
        <w:tc>
          <w:tcPr>
            <w:tcW w:w="1377" w:type="dxa"/>
            <w:tcBorders>
              <w:top w:val="single" w:color="000000" w:sz="4" w:space="0"/>
              <w:left w:val="single" w:color="000000" w:sz="4" w:space="0"/>
              <w:bottom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100%</w:t>
            </w:r>
          </w:p>
        </w:tc>
      </w:tr>
      <w:tr>
        <w:tblPrEx>
          <w:tblBorders>
            <w:top w:val="double" w:color="000000" w:sz="0" w:space="0"/>
            <w:left w:val="double" w:color="000000" w:sz="0" w:space="0"/>
            <w:bottom w:val="double" w:color="000000" w:sz="0" w:space="0"/>
            <w:right w:val="double" w:color="000000" w:sz="0" w:space="0"/>
            <w:insideH w:val="double" w:color="000000" w:sz="0" w:space="0"/>
            <w:insideV w:val="double" w:color="000000" w:sz="0" w:space="0"/>
          </w:tblBorders>
          <w:tblCellMar>
            <w:top w:w="0" w:type="dxa"/>
            <w:left w:w="0" w:type="dxa"/>
            <w:bottom w:w="0" w:type="dxa"/>
            <w:right w:w="0" w:type="dxa"/>
          </w:tblCellMar>
        </w:tblPrEx>
        <w:trPr>
          <w:trHeight w:val="502" w:hRule="atLeast"/>
        </w:trPr>
        <w:tc>
          <w:tcPr>
            <w:tcW w:w="1268" w:type="dxa"/>
            <w:tcBorders>
              <w:top w:val="single" w:color="000000" w:sz="4" w:space="0"/>
              <w:bottom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2035</w:t>
            </w:r>
          </w:p>
        </w:tc>
        <w:tc>
          <w:tcPr>
            <w:tcW w:w="1473" w:type="dxa"/>
            <w:tcBorders>
              <w:top w:val="single" w:color="000000" w:sz="4" w:space="0"/>
              <w:left w:val="single" w:color="000000" w:sz="4" w:space="0"/>
              <w:bottom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6.22%</w:t>
            </w:r>
          </w:p>
        </w:tc>
        <w:tc>
          <w:tcPr>
            <w:tcW w:w="1693" w:type="dxa"/>
            <w:tcBorders>
              <w:top w:val="single" w:color="000000" w:sz="4" w:space="0"/>
              <w:left w:val="single" w:color="000000" w:sz="4" w:space="0"/>
              <w:bottom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85.50%</w:t>
            </w:r>
          </w:p>
        </w:tc>
        <w:tc>
          <w:tcPr>
            <w:tcW w:w="1471" w:type="dxa"/>
            <w:tcBorders>
              <w:top w:val="single" w:color="000000" w:sz="4" w:space="0"/>
              <w:left w:val="single" w:color="000000" w:sz="4" w:space="0"/>
              <w:bottom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4.82%</w:t>
            </w:r>
          </w:p>
        </w:tc>
        <w:tc>
          <w:tcPr>
            <w:tcW w:w="1473" w:type="dxa"/>
            <w:tcBorders>
              <w:top w:val="single" w:color="000000" w:sz="4" w:space="0"/>
              <w:left w:val="single" w:color="000000" w:sz="4" w:space="0"/>
              <w:bottom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1.26%</w:t>
            </w:r>
          </w:p>
        </w:tc>
        <w:tc>
          <w:tcPr>
            <w:tcW w:w="1479" w:type="dxa"/>
            <w:tcBorders>
              <w:top w:val="single" w:color="000000" w:sz="4" w:space="0"/>
              <w:left w:val="single" w:color="000000" w:sz="4" w:space="0"/>
              <w:bottom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2.20%</w:t>
            </w:r>
          </w:p>
        </w:tc>
        <w:tc>
          <w:tcPr>
            <w:tcW w:w="1377" w:type="dxa"/>
            <w:tcBorders>
              <w:top w:val="single" w:color="000000" w:sz="4" w:space="0"/>
              <w:left w:val="single" w:color="000000" w:sz="4" w:space="0"/>
              <w:bottom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100%</w:t>
            </w:r>
          </w:p>
        </w:tc>
      </w:tr>
      <w:tr>
        <w:tblPrEx>
          <w:tblBorders>
            <w:top w:val="double" w:color="000000" w:sz="0" w:space="0"/>
            <w:left w:val="double" w:color="000000" w:sz="0" w:space="0"/>
            <w:bottom w:val="double" w:color="000000" w:sz="0" w:space="0"/>
            <w:right w:val="double" w:color="000000" w:sz="0" w:space="0"/>
            <w:insideH w:val="double" w:color="000000" w:sz="0" w:space="0"/>
            <w:insideV w:val="double" w:color="000000" w:sz="0" w:space="0"/>
          </w:tblBorders>
          <w:tblCellMar>
            <w:top w:w="0" w:type="dxa"/>
            <w:left w:w="0" w:type="dxa"/>
            <w:bottom w:w="0" w:type="dxa"/>
            <w:right w:w="0" w:type="dxa"/>
          </w:tblCellMar>
        </w:tblPrEx>
        <w:trPr>
          <w:trHeight w:val="528" w:hRule="atLeast"/>
        </w:trPr>
        <w:tc>
          <w:tcPr>
            <w:tcW w:w="1268" w:type="dxa"/>
            <w:tcBorders>
              <w:top w:val="single" w:color="000000" w:sz="4" w:space="0"/>
              <w:bottom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2040</w:t>
            </w:r>
          </w:p>
        </w:tc>
        <w:tc>
          <w:tcPr>
            <w:tcW w:w="1473" w:type="dxa"/>
            <w:tcBorders>
              <w:top w:val="single" w:color="000000" w:sz="4" w:space="0"/>
              <w:left w:val="single" w:color="000000" w:sz="4" w:space="0"/>
              <w:bottom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5.50%</w:t>
            </w:r>
          </w:p>
        </w:tc>
        <w:tc>
          <w:tcPr>
            <w:tcW w:w="1693" w:type="dxa"/>
            <w:tcBorders>
              <w:top w:val="single" w:color="000000" w:sz="4" w:space="0"/>
              <w:left w:val="single" w:color="000000" w:sz="4" w:space="0"/>
              <w:bottom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88.98%</w:t>
            </w:r>
          </w:p>
        </w:tc>
        <w:tc>
          <w:tcPr>
            <w:tcW w:w="1471" w:type="dxa"/>
            <w:tcBorders>
              <w:top w:val="single" w:color="000000" w:sz="4" w:space="0"/>
              <w:left w:val="single" w:color="000000" w:sz="4" w:space="0"/>
              <w:bottom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4.01%</w:t>
            </w:r>
          </w:p>
        </w:tc>
        <w:tc>
          <w:tcPr>
            <w:tcW w:w="1473" w:type="dxa"/>
            <w:tcBorders>
              <w:top w:val="single" w:color="000000" w:sz="4" w:space="0"/>
              <w:left w:val="single" w:color="000000" w:sz="4" w:space="0"/>
              <w:bottom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1.15%</w:t>
            </w:r>
          </w:p>
        </w:tc>
        <w:tc>
          <w:tcPr>
            <w:tcW w:w="1479" w:type="dxa"/>
            <w:tcBorders>
              <w:top w:val="single" w:color="000000" w:sz="4" w:space="0"/>
              <w:left w:val="single" w:color="000000" w:sz="4" w:space="0"/>
              <w:bottom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0.36%</w:t>
            </w:r>
          </w:p>
        </w:tc>
        <w:tc>
          <w:tcPr>
            <w:tcW w:w="1377" w:type="dxa"/>
            <w:tcBorders>
              <w:top w:val="single" w:color="000000" w:sz="4" w:space="0"/>
              <w:left w:val="single" w:color="000000" w:sz="4" w:space="0"/>
              <w:bottom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100%</w:t>
            </w:r>
          </w:p>
        </w:tc>
      </w:tr>
      <w:tr>
        <w:tblPrEx>
          <w:tblBorders>
            <w:top w:val="double" w:color="000000" w:sz="0" w:space="0"/>
            <w:left w:val="double" w:color="000000" w:sz="0" w:space="0"/>
            <w:bottom w:val="double" w:color="000000" w:sz="0" w:space="0"/>
            <w:right w:val="double" w:color="000000" w:sz="0" w:space="0"/>
            <w:insideH w:val="double" w:color="000000" w:sz="0" w:space="0"/>
            <w:insideV w:val="double" w:color="000000" w:sz="0" w:space="0"/>
          </w:tblBorders>
          <w:tblCellMar>
            <w:top w:w="0" w:type="dxa"/>
            <w:left w:w="0" w:type="dxa"/>
            <w:bottom w:w="0" w:type="dxa"/>
            <w:right w:w="0" w:type="dxa"/>
          </w:tblCellMar>
        </w:tblPrEx>
        <w:trPr>
          <w:trHeight w:val="529" w:hRule="atLeast"/>
        </w:trPr>
        <w:tc>
          <w:tcPr>
            <w:tcW w:w="1268" w:type="dxa"/>
            <w:tcBorders>
              <w:top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2045</w:t>
            </w:r>
          </w:p>
        </w:tc>
        <w:tc>
          <w:tcPr>
            <w:tcW w:w="1473" w:type="dxa"/>
            <w:tcBorders>
              <w:top w:val="single" w:color="000000" w:sz="4" w:space="0"/>
              <w:left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4.80%</w:t>
            </w:r>
          </w:p>
        </w:tc>
        <w:tc>
          <w:tcPr>
            <w:tcW w:w="1693" w:type="dxa"/>
            <w:tcBorders>
              <w:top w:val="single" w:color="000000" w:sz="4" w:space="0"/>
              <w:left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90.01%</w:t>
            </w:r>
          </w:p>
        </w:tc>
        <w:tc>
          <w:tcPr>
            <w:tcW w:w="1471" w:type="dxa"/>
            <w:tcBorders>
              <w:top w:val="single" w:color="000000" w:sz="4" w:space="0"/>
              <w:left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3.89%</w:t>
            </w:r>
          </w:p>
        </w:tc>
        <w:tc>
          <w:tcPr>
            <w:tcW w:w="1473" w:type="dxa"/>
            <w:tcBorders>
              <w:top w:val="single" w:color="000000" w:sz="4" w:space="0"/>
              <w:left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1.05%</w:t>
            </w:r>
          </w:p>
        </w:tc>
        <w:tc>
          <w:tcPr>
            <w:tcW w:w="1479" w:type="dxa"/>
            <w:tcBorders>
              <w:top w:val="single" w:color="000000" w:sz="4" w:space="0"/>
              <w:left w:val="single" w:color="000000" w:sz="4" w:space="0"/>
              <w:righ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0.25%</w:t>
            </w:r>
          </w:p>
        </w:tc>
        <w:tc>
          <w:tcPr>
            <w:tcW w:w="1377" w:type="dxa"/>
            <w:tcBorders>
              <w:top w:val="single" w:color="000000" w:sz="4" w:space="0"/>
              <w:left w:val="single" w:color="000000" w:sz="4" w:space="0"/>
            </w:tcBorders>
          </w:tcPr>
          <w:p>
            <w:pPr>
              <w:spacing w:line="36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100%</w:t>
            </w:r>
          </w:p>
        </w:tc>
      </w:tr>
    </w:tbl>
    <w:p>
      <w:pPr>
        <w:pStyle w:val="5"/>
        <w:ind w:firstLine="482" w:firstLineChars="200"/>
        <w:rPr>
          <w:rFonts w:ascii="Times New Roman" w:hAnsi="Times New Roman"/>
        </w:rPr>
      </w:pPr>
      <w:r>
        <w:rPr>
          <w:rFonts w:ascii="Times New Roman" w:hAnsi="Times New Roman"/>
        </w:rPr>
        <w:t>出行分布预测</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采用考虑阻抗因素的重力模型法进行分布预测。重力模型法的数学模型解析如下：</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drawing>
          <wp:inline distT="0" distB="0" distL="0" distR="0">
            <wp:extent cx="973455" cy="579755"/>
            <wp:effectExtent l="0" t="0" r="17145" b="1079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977709" cy="582245"/>
                    </a:xfrm>
                    <a:prstGeom prst="rect">
                      <a:avLst/>
                    </a:prstGeom>
                    <a:noFill/>
                    <a:ln>
                      <a:noFill/>
                    </a:ln>
                  </pic:spPr>
                </pic:pic>
              </a:graphicData>
            </a:graphic>
          </wp:inline>
        </w:drawing>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其中：Tij为i区到j区的交通量；</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Pi、Aj分别为i区的发生量和j区的吸引量。</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tij为i区到j区的行程时间；</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c为参数。</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片区交通出行分布与广州中心城区联系最为紧密，占出行总量的43.45%；其次为南沙中心城区方向和深中通道方向，分别占出行总量的23.7%和21.8%。</w:t>
      </w:r>
    </w:p>
    <w:p>
      <w:pPr>
        <w:pStyle w:val="5"/>
        <w:ind w:firstLine="482" w:firstLineChars="200"/>
        <w:rPr>
          <w:rFonts w:ascii="Times New Roman" w:hAnsi="Times New Roman"/>
        </w:rPr>
      </w:pPr>
      <w:r>
        <w:rPr>
          <w:rFonts w:ascii="Times New Roman" w:hAnsi="Times New Roman"/>
        </w:rPr>
        <w:t>交通分配</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交通量分配是将预测的交通需求分配到未来供应的路网上，是交通量预测的重要环节之一。本次研究采用的是容量限制的最短路径分配方法。该方法通过多次循环迭代将交通出行需求以最短路径分配到路网，并在逐次循环中采用平均流量法进行容量限制，最后得出每个路段上所分配到的交通流量。</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交通分配模型：</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drawing>
          <wp:inline distT="0" distB="0" distL="0" distR="0">
            <wp:extent cx="2094865" cy="829310"/>
            <wp:effectExtent l="0" t="0" r="635" b="825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2094865" cy="829310"/>
                    </a:xfrm>
                    <a:prstGeom prst="rect">
                      <a:avLst/>
                    </a:prstGeom>
                    <a:noFill/>
                    <a:ln>
                      <a:noFill/>
                    </a:ln>
                  </pic:spPr>
                </pic:pic>
              </a:graphicData>
            </a:graphic>
          </wp:inline>
        </w:drawing>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式中：Pi——第i条路上分配的交通量；</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Q——分配参数，取0.1～0.5；</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n——可供选择的出行路径条数；</w:t>
      </w:r>
    </w:p>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CDi—为第i条路线分配线路出行费用（Ci）与最好一条分配线路出行费用（Cb）的差值，取分钟计。</w:t>
      </w:r>
    </w:p>
    <w:p>
      <w:pPr>
        <w:pStyle w:val="5"/>
        <w:ind w:firstLine="482" w:firstLineChars="200"/>
        <w:rPr>
          <w:rFonts w:ascii="Times New Roman" w:hAnsi="Times New Roman"/>
        </w:rPr>
      </w:pPr>
      <w:r>
        <w:rPr>
          <w:rFonts w:ascii="Times New Roman" w:hAnsi="Times New Roman"/>
        </w:rPr>
        <w:t>交通承载力分析</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（1）近期（赛事期间）</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路网承载力评估：赛事期间高峰时段（开闭幕式散场）客流8万人次／h，机动车交通量0.82万pcu/h。经评估，赛事开闭幕式散场时段客流在短时间内集中离开场馆，二十涌北路、规划纵二路局部路段服务水平为E级，交通压力大；其他主要路段服务水平为D级及以上。在完善赛事期间交通组织和引导、改善交通接驳、优化交通设施规模和布局后，赛事期间的交通影响在可接受的范围内。</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轨道交通评估：高峰时段轨道交通接驳人数3.12万人次／h，赛事期间拟开通南中珠城际万顷沙二十涌段，当发车间隔为5min,列车最大载客量2600人，满载率100%时，1h轨道交通疏散量为3.12万人，基本能满足散场客流疏散要求。</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常规公交评估：预测赛事期间需公交场站设施面积为1.6万m2-2万m2，规划方案布局2处公交场站，面积合计1.64万m2，公交规模满足需求。</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大巴交通评估：大巴是赛事期间交通服务的主要方式之一，需充分保障大巴车停车需求，预测赛事期间需大巴车停车场面积5万m2，规划大巴停车场1处（3.2万m2，建议进一步扩容。</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停车系统评估：①规划方案设置公共停车场3处，总泊位5040泊，满足高峰时段小汽车停车需求（4923泊）。②场馆周边缺乏出租车停车场，建议补充。</w:t>
      </w:r>
    </w:p>
    <w:p>
      <w:pPr>
        <w:spacing w:line="300" w:lineRule="auto"/>
        <w:ind w:firstLine="562"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rPr>
        <w:drawing>
          <wp:inline distT="0" distB="0" distL="0" distR="0">
            <wp:extent cx="4073525" cy="4457700"/>
            <wp:effectExtent l="0" t="0" r="317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96"/>
                    <a:stretch>
                      <a:fillRect/>
                    </a:stretch>
                  </pic:blipFill>
                  <pic:spPr>
                    <a:xfrm>
                      <a:off x="0" y="0"/>
                      <a:ext cx="4076758" cy="4461234"/>
                    </a:xfrm>
                    <a:prstGeom prst="rect">
                      <a:avLst/>
                    </a:prstGeom>
                  </pic:spPr>
                </pic:pic>
              </a:graphicData>
            </a:graphic>
          </wp:inline>
        </w:drawing>
      </w:r>
    </w:p>
    <w:p>
      <w:pPr>
        <w:spacing w:line="300" w:lineRule="auto"/>
        <w:ind w:firstLine="422" w:firstLineChars="200"/>
        <w:jc w:val="center"/>
        <w:rPr>
          <w:rFonts w:ascii="Times New Roman" w:hAnsi="Times New Roman"/>
          <w:szCs w:val="24"/>
          <w:lang w:val="zh-CN"/>
        </w:rPr>
      </w:pPr>
      <w:r>
        <w:rPr>
          <w:rFonts w:ascii="Times New Roman" w:hAnsi="Times New Roman"/>
          <w:color w:val="000000" w:themeColor="text1"/>
          <w:sz w:val="21"/>
          <w14:textFill>
            <w14:solidFill>
              <w14:schemeClr w14:val="tx1"/>
            </w14:solidFill>
          </w14:textFill>
        </w:rPr>
        <w:t>近期路网饱和度图</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（2）远期</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路网承载力评估：远期项目总用地面积280公顷，总建设量454万m2，项目高峰小时总出行量为14.6万人次/h，机动车交通量为2.2万pcu/h。经评估，在控规方案道路及公共交通设施供给条件下，研究范围内万环西路南延线、灵新大道、二十涌北路等主要道路服务水平均在D级及以上。</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轨道交通评估：规范范围内规划有南中珠城际、31号线、38号线，2处轨道站，轨道交通条件较好，能满足出行需求。</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常规公交评估：预测赛事期间需公交场站设施面积为2.44万m2-3.06万m2，规划方案布局2处公交场站，面积合计1.64万m2，公交规模未能满足需求。</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大巴交通评估：大巴是赛事期间交通服务的主要方式之一，需充分保障大巴车停车需求，预测赛事期间需大巴车停车场面积5万m2，规划大巴停车场1处（3.2万m2，建议进一步扩容。</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停车系统评估：预测规范范围需配建公共停车泊位需求数量不低于2372-3794个，建议结合用地分散布局。</w:t>
      </w:r>
    </w:p>
    <w:p>
      <w:pPr>
        <w:spacing w:line="300" w:lineRule="auto"/>
        <w:ind w:firstLine="562" w:firstLineChars="200"/>
        <w:jc w:val="center"/>
        <w:rPr>
          <w:rFonts w:ascii="Times New Roman" w:hAnsi="Times New Roman"/>
          <w:b w:val="0"/>
          <w:color w:val="000000" w:themeColor="text1"/>
          <w:sz w:val="24"/>
          <w:szCs w:val="24"/>
          <w14:textFill>
            <w14:solidFill>
              <w14:schemeClr w14:val="tx1"/>
            </w14:solidFill>
          </w14:textFill>
        </w:rPr>
      </w:pPr>
      <w:r>
        <w:rPr>
          <w:rFonts w:ascii="Times New Roman" w:hAnsi="Times New Roman"/>
        </w:rPr>
        <w:drawing>
          <wp:inline distT="0" distB="0" distL="0" distR="0">
            <wp:extent cx="3638550" cy="4288155"/>
            <wp:effectExtent l="0" t="0" r="0" b="1714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97"/>
                    <a:stretch>
                      <a:fillRect/>
                    </a:stretch>
                  </pic:blipFill>
                  <pic:spPr>
                    <a:xfrm>
                      <a:off x="0" y="0"/>
                      <a:ext cx="3646284" cy="4297614"/>
                    </a:xfrm>
                    <a:prstGeom prst="rect">
                      <a:avLst/>
                    </a:prstGeom>
                  </pic:spPr>
                </pic:pic>
              </a:graphicData>
            </a:graphic>
          </wp:inline>
        </w:drawing>
      </w:r>
    </w:p>
    <w:p>
      <w:pPr>
        <w:spacing w:line="300" w:lineRule="auto"/>
        <w:ind w:firstLine="422" w:firstLineChars="200"/>
        <w:jc w:val="center"/>
        <w:rPr>
          <w:rFonts w:ascii="Times New Roman" w:hAnsi="Times New Roman"/>
          <w:szCs w:val="24"/>
          <w:lang w:val="zh-CN"/>
        </w:rPr>
      </w:pPr>
      <w:r>
        <w:rPr>
          <w:rFonts w:ascii="Times New Roman" w:hAnsi="Times New Roman"/>
          <w:color w:val="000000" w:themeColor="text1"/>
          <w:sz w:val="21"/>
          <w14:textFill>
            <w14:solidFill>
              <w14:schemeClr w14:val="tx1"/>
            </w14:solidFill>
          </w14:textFill>
        </w:rPr>
        <w:t>远期路网饱和度图</w:t>
      </w:r>
    </w:p>
    <w:p>
      <w:pPr>
        <w:pStyle w:val="3"/>
        <w:ind w:firstLine="562" w:firstLineChars="200"/>
      </w:pPr>
      <w:bookmarkStart w:id="106" w:name="_Toc11298"/>
      <w:bookmarkStart w:id="107" w:name="_Toc1349"/>
      <w:r>
        <w:t>项目功能定位</w:t>
      </w:r>
      <w:bookmarkEnd w:id="106"/>
      <w:bookmarkEnd w:id="107"/>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作为南沙“1+1+3”重点片区，南部地区谋划自身发展逻辑，与重大平台植入形成合力，培育高端要素与新经济业态。未来南沙将以重点片区“1+1+3”（明珠湾、南部片区、南沙湾、庆盛枢纽、南沙枢纽）形式为引领，推动产业、功能、规划、人居等全面优化提升。</w:t>
      </w:r>
    </w:p>
    <w:p>
      <w:pPr>
        <w:spacing w:line="360" w:lineRule="auto"/>
        <w:ind w:firstLine="562" w:firstLineChars="200"/>
        <w:jc w:val="center"/>
        <w:rPr>
          <w:rFonts w:ascii="Times New Roman" w:hAnsi="Times New Roman"/>
          <w:sz w:val="24"/>
        </w:rPr>
      </w:pPr>
      <w:r>
        <w:rPr>
          <w:rFonts w:ascii="Times New Roman" w:hAnsi="Times New Roman"/>
        </w:rPr>
        <w:drawing>
          <wp:inline distT="0" distB="0" distL="0" distR="0">
            <wp:extent cx="5688330" cy="4079240"/>
            <wp:effectExtent l="0" t="0" r="7620" b="1651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98"/>
                    <a:stretch>
                      <a:fillRect/>
                    </a:stretch>
                  </pic:blipFill>
                  <pic:spPr>
                    <a:xfrm>
                      <a:off x="0" y="0"/>
                      <a:ext cx="5693852" cy="4083213"/>
                    </a:xfrm>
                    <a:prstGeom prst="rect">
                      <a:avLst/>
                    </a:prstGeom>
                  </pic:spPr>
                </pic:pic>
              </a:graphicData>
            </a:graphic>
          </wp:inline>
        </w:drawing>
      </w:r>
    </w:p>
    <w:p>
      <w:pPr>
        <w:spacing w:line="300" w:lineRule="auto"/>
        <w:ind w:firstLine="422" w:firstLineChars="200"/>
        <w:jc w:val="center"/>
        <w:rPr>
          <w:rFonts w:ascii="Times New Roman" w:hAnsi="Times New Roman"/>
          <w:szCs w:val="24"/>
          <w:lang w:val="zh-CN"/>
        </w:rPr>
      </w:pPr>
      <w:r>
        <w:rPr>
          <w:rFonts w:ascii="Times New Roman" w:hAnsi="Times New Roman"/>
          <w:color w:val="000000" w:themeColor="text1"/>
          <w:sz w:val="21"/>
          <w14:textFill>
            <w14:solidFill>
              <w14:schemeClr w14:val="tx1"/>
            </w14:solidFill>
          </w14:textFill>
        </w:rPr>
        <w:t>区域空间规划图</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本项目为南沙全民文化体育综合体及配套工程的重要组成部分，包含市政道路及附属设施。本项目的建设，能够进一步提升区域综合交通体系发展，优化城市空间结构，提高土地利用价值，带动区域土地快速开发。</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本项目依托湾心区位，夯实蓝绿基底，汇聚多元活动，聚力打造城海生息与共的湾心汇智客厅。贯彻落实《南沙方案》及《粤港澳大湾区发展纲要》要求，承接南沙南部地区城市设计“湾区之心世界舞台”的发展定位，以高能级的综合服务功能塑造核心发展动力，将南沙南部地区3平方公里启动区打造成为，集文化、体育、生态、演艺于一体的全民文化体育综合体，协同港澳、面向世界。</w:t>
      </w:r>
    </w:p>
    <w:p>
      <w:pPr>
        <w:spacing w:line="300" w:lineRule="auto"/>
        <w:ind w:firstLine="562" w:firstLineChars="200"/>
        <w:rPr>
          <w:rFonts w:ascii="Times New Roman" w:hAnsi="Times New Roman"/>
          <w:b w:val="0"/>
          <w:color w:val="auto"/>
          <w:sz w:val="24"/>
          <w:szCs w:val="24"/>
        </w:rPr>
      </w:pPr>
      <w:r>
        <w:rPr>
          <w:rFonts w:ascii="Times New Roman" w:hAnsi="Times New Roman"/>
        </w:rPr>
        <w:drawing>
          <wp:inline distT="0" distB="0" distL="0" distR="0">
            <wp:extent cx="6514465" cy="3086100"/>
            <wp:effectExtent l="0" t="0" r="635"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pic:cNvPicPr>
                      <a:picLocks noChangeAspect="1"/>
                    </pic:cNvPicPr>
                  </pic:nvPicPr>
                  <pic:blipFill>
                    <a:blip r:embed="rId99"/>
                    <a:stretch>
                      <a:fillRect/>
                    </a:stretch>
                  </pic:blipFill>
                  <pic:spPr>
                    <a:xfrm>
                      <a:off x="0" y="0"/>
                      <a:ext cx="6514465" cy="3086100"/>
                    </a:xfrm>
                    <a:prstGeom prst="rect">
                      <a:avLst/>
                    </a:prstGeom>
                  </pic:spPr>
                </pic:pic>
              </a:graphicData>
            </a:graphic>
          </wp:inline>
        </w:drawing>
      </w:r>
    </w:p>
    <w:p>
      <w:pPr>
        <w:spacing w:line="300" w:lineRule="auto"/>
        <w:ind w:firstLine="422" w:firstLineChars="200"/>
        <w:jc w:val="center"/>
        <w:rPr>
          <w:rFonts w:ascii="Times New Roman" w:hAnsi="Times New Roman"/>
          <w:b w:val="0"/>
          <w:color w:val="auto"/>
          <w:sz w:val="24"/>
          <w:szCs w:val="24"/>
        </w:rPr>
      </w:pPr>
      <w:r>
        <w:rPr>
          <w:rFonts w:ascii="Times New Roman" w:hAnsi="Times New Roman"/>
          <w:color w:val="000000" w:themeColor="text1"/>
          <w:sz w:val="21"/>
          <w14:textFill>
            <w14:solidFill>
              <w14:schemeClr w14:val="tx1"/>
            </w14:solidFill>
          </w14:textFill>
        </w:rPr>
        <w:t>综合体项目定位和设计愿景</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设计范围道路功能分析：</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二十涌北路承担万顷沙支线与二十涌的广州方向出入口和深圳方向出入口接驳交通功能；</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规划纵三路承担综合体场馆衔接出入交通功能；</w:t>
      </w:r>
    </w:p>
    <w:p>
      <w:pPr>
        <w:pStyle w:val="3"/>
        <w:ind w:firstLine="562" w:firstLineChars="200"/>
      </w:pPr>
      <w:bookmarkStart w:id="108" w:name="_Toc32192"/>
      <w:bookmarkStart w:id="109" w:name="_Toc17883"/>
      <w:r>
        <w:t>建设内容及规模</w:t>
      </w:r>
      <w:bookmarkEnd w:id="108"/>
      <w:bookmarkEnd w:id="109"/>
    </w:p>
    <w:p>
      <w:pPr>
        <w:spacing w:line="288"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auto"/>
          <w:sz w:val="24"/>
          <w:szCs w:val="24"/>
        </w:rPr>
        <w:t>建设规模：本项目包含</w:t>
      </w:r>
      <w:r>
        <w:rPr>
          <w:rFonts w:hint="eastAsia" w:ascii="Times New Roman" w:hAnsi="Times New Roman"/>
          <w:b w:val="0"/>
          <w:color w:val="auto"/>
          <w:sz w:val="24"/>
          <w:szCs w:val="24"/>
        </w:rPr>
        <w:t>2</w:t>
      </w:r>
      <w:r>
        <w:rPr>
          <w:rFonts w:ascii="Times New Roman" w:hAnsi="Times New Roman"/>
          <w:b w:val="0"/>
          <w:color w:val="auto"/>
          <w:sz w:val="24"/>
          <w:szCs w:val="24"/>
        </w:rPr>
        <w:t>条新建市政道路，其中城市主干路</w:t>
      </w:r>
      <w:r>
        <w:rPr>
          <w:rFonts w:hint="eastAsia" w:ascii="Times New Roman" w:hAnsi="Times New Roman"/>
          <w:b w:val="0"/>
          <w:color w:val="auto"/>
          <w:sz w:val="24"/>
          <w:szCs w:val="24"/>
        </w:rPr>
        <w:t>1</w:t>
      </w:r>
      <w:r>
        <w:rPr>
          <w:rFonts w:ascii="Times New Roman" w:hAnsi="Times New Roman"/>
          <w:b w:val="0"/>
          <w:color w:val="auto"/>
          <w:sz w:val="24"/>
          <w:szCs w:val="24"/>
        </w:rPr>
        <w:t>条，设计速度60km/h，为二十涌北路，全长约</w:t>
      </w:r>
      <w:r>
        <w:rPr>
          <w:rFonts w:hint="eastAsia" w:ascii="Times New Roman" w:hAnsi="Times New Roman"/>
          <w:b w:val="0"/>
          <w:color w:val="auto"/>
          <w:sz w:val="24"/>
          <w:szCs w:val="24"/>
        </w:rPr>
        <w:t>1852</w:t>
      </w:r>
      <w:r>
        <w:rPr>
          <w:rFonts w:ascii="Times New Roman" w:hAnsi="Times New Roman"/>
          <w:b w:val="0"/>
          <w:color w:val="auto"/>
          <w:sz w:val="24"/>
          <w:szCs w:val="24"/>
        </w:rPr>
        <w:t>m；城市次干路</w:t>
      </w:r>
      <w:r>
        <w:rPr>
          <w:rFonts w:hint="eastAsia" w:ascii="Times New Roman" w:hAnsi="Times New Roman"/>
          <w:b w:val="0"/>
          <w:color w:val="auto"/>
          <w:sz w:val="24"/>
          <w:szCs w:val="24"/>
        </w:rPr>
        <w:t>1</w:t>
      </w:r>
      <w:r>
        <w:rPr>
          <w:rFonts w:ascii="Times New Roman" w:hAnsi="Times New Roman"/>
          <w:b w:val="0"/>
          <w:color w:val="auto"/>
          <w:sz w:val="24"/>
          <w:szCs w:val="24"/>
        </w:rPr>
        <w:t>条，设计速度40km/h，分别为规划纵三路，次干路全长约</w:t>
      </w:r>
      <w:r>
        <w:rPr>
          <w:rFonts w:hint="eastAsia" w:ascii="Times New Roman" w:hAnsi="Times New Roman"/>
          <w:b w:val="0"/>
          <w:color w:val="auto"/>
          <w:sz w:val="24"/>
          <w:szCs w:val="24"/>
        </w:rPr>
        <w:t>1485</w:t>
      </w:r>
      <w:r>
        <w:rPr>
          <w:rFonts w:ascii="Times New Roman" w:hAnsi="Times New Roman"/>
          <w:b w:val="0"/>
          <w:color w:val="auto"/>
          <w:sz w:val="24"/>
          <w:szCs w:val="24"/>
        </w:rPr>
        <w:t>m；新建桥涵</w:t>
      </w:r>
      <w:r>
        <w:rPr>
          <w:rFonts w:hint="eastAsia" w:ascii="Times New Roman" w:hAnsi="Times New Roman"/>
          <w:b w:val="0"/>
          <w:color w:val="auto"/>
          <w:sz w:val="24"/>
          <w:szCs w:val="24"/>
        </w:rPr>
        <w:t>2</w:t>
      </w:r>
      <w:r>
        <w:rPr>
          <w:rFonts w:ascii="Times New Roman" w:hAnsi="Times New Roman"/>
          <w:b w:val="0"/>
          <w:color w:val="auto"/>
          <w:sz w:val="24"/>
          <w:szCs w:val="24"/>
        </w:rPr>
        <w:t>座，涵洞1座</w:t>
      </w:r>
      <w:r>
        <w:rPr>
          <w:rFonts w:ascii="Times New Roman" w:hAnsi="Times New Roman"/>
          <w:b w:val="0"/>
          <w:color w:val="000000" w:themeColor="text1"/>
          <w:sz w:val="24"/>
          <w:szCs w:val="24"/>
          <w14:textFill>
            <w14:solidFill>
              <w14:schemeClr w14:val="tx1"/>
            </w14:solidFill>
          </w14:textFill>
        </w:rPr>
        <w:t>。道路规模与等级如下表所示：</w:t>
      </w:r>
    </w:p>
    <w:p>
      <w:pPr>
        <w:spacing w:before="183" w:line="219" w:lineRule="auto"/>
        <w:ind w:firstLine="478" w:firstLineChars="200"/>
        <w:jc w:val="center"/>
        <w:rPr>
          <w:rFonts w:ascii="Times New Roman" w:hAnsi="Times New Roman"/>
          <w:spacing w:val="-1"/>
          <w:sz w:val="24"/>
          <w:szCs w:val="24"/>
          <w14:textOutline w14:w="3048" w14:cap="flat" w14:cmpd="sng" w14:algn="ctr">
            <w14:solidFill>
              <w14:srgbClr w14:val="000000"/>
            </w14:solidFill>
            <w14:prstDash w14:val="solid"/>
            <w14:miter w14:val="0"/>
          </w14:textOutline>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建设内容及规模表</w:t>
      </w:r>
    </w:p>
    <w:tbl>
      <w:tblPr>
        <w:tblStyle w:val="379"/>
        <w:tblW w:w="9619" w:type="dxa"/>
        <w:tblInd w:w="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19"/>
        <w:gridCol w:w="651"/>
        <w:gridCol w:w="1504"/>
        <w:gridCol w:w="1215"/>
        <w:gridCol w:w="1350"/>
        <w:gridCol w:w="1260"/>
        <w:gridCol w:w="1155"/>
        <w:gridCol w:w="136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3" w:hRule="atLeast"/>
        </w:trPr>
        <w:tc>
          <w:tcPr>
            <w:tcW w:w="1119" w:type="dxa"/>
          </w:tcPr>
          <w:p>
            <w:pPr>
              <w:pStyle w:val="391"/>
              <w:autoSpaceDE w:val="0"/>
              <w:autoSpaceDN w:val="0"/>
              <w:spacing w:before="60" w:line="224" w:lineRule="auto"/>
              <w:ind w:left="452" w:right="193" w:hanging="23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5"/>
                <w14:textFill>
                  <w14:solidFill>
                    <w14:schemeClr w14:val="tx1"/>
                  </w14:solidFill>
                </w14:textFill>
              </w:rPr>
              <w:t>项目类</w:t>
            </w:r>
            <w:r>
              <w:rPr>
                <w:rFonts w:ascii="Times New Roman" w:hAnsi="Times New Roman" w:cs="Times New Roman" w:eastAsiaTheme="minorEastAsia"/>
                <w:b w:val="0"/>
                <w:bCs/>
                <w:color w:val="000000" w:themeColor="text1"/>
                <w14:textFill>
                  <w14:solidFill>
                    <w14:schemeClr w14:val="tx1"/>
                  </w14:solidFill>
                </w14:textFill>
              </w:rPr>
              <w:t>别</w:t>
            </w:r>
          </w:p>
        </w:tc>
        <w:tc>
          <w:tcPr>
            <w:tcW w:w="651" w:type="dxa"/>
            <w:textDirection w:val="tbRlV"/>
          </w:tcPr>
          <w:p>
            <w:pPr>
              <w:pStyle w:val="391"/>
              <w:autoSpaceDE w:val="0"/>
              <w:autoSpaceDN w:val="0"/>
              <w:spacing w:before="205" w:line="210" w:lineRule="auto"/>
              <w:ind w:left="6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5"/>
                <w14:textFill>
                  <w14:solidFill>
                    <w14:schemeClr w14:val="tx1"/>
                  </w14:solidFill>
                </w14:textFill>
              </w:rPr>
              <w:t>序号</w:t>
            </w:r>
          </w:p>
        </w:tc>
        <w:tc>
          <w:tcPr>
            <w:tcW w:w="1504" w:type="dxa"/>
          </w:tcPr>
          <w:p>
            <w:pPr>
              <w:pStyle w:val="391"/>
              <w:autoSpaceDE w:val="0"/>
              <w:autoSpaceDN w:val="0"/>
              <w:spacing w:before="216" w:line="220" w:lineRule="auto"/>
              <w:jc w:val="center"/>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项目名称</w:t>
            </w:r>
          </w:p>
        </w:tc>
        <w:tc>
          <w:tcPr>
            <w:tcW w:w="1215" w:type="dxa"/>
          </w:tcPr>
          <w:p>
            <w:pPr>
              <w:pStyle w:val="391"/>
              <w:autoSpaceDE w:val="0"/>
              <w:autoSpaceDN w:val="0"/>
              <w:spacing w:before="60" w:line="220" w:lineRule="auto"/>
              <w:jc w:val="center"/>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红线宽度</w:t>
            </w:r>
          </w:p>
          <w:p>
            <w:pPr>
              <w:pStyle w:val="391"/>
              <w:autoSpaceDE w:val="0"/>
              <w:autoSpaceDN w:val="0"/>
              <w:spacing w:before="26" w:line="208" w:lineRule="auto"/>
              <w:jc w:val="center"/>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（m）</w:t>
            </w:r>
          </w:p>
        </w:tc>
        <w:tc>
          <w:tcPr>
            <w:tcW w:w="1350" w:type="dxa"/>
          </w:tcPr>
          <w:p>
            <w:pPr>
              <w:pStyle w:val="391"/>
              <w:autoSpaceDE w:val="0"/>
              <w:autoSpaceDN w:val="0"/>
              <w:spacing w:before="60" w:line="224" w:lineRule="auto"/>
              <w:ind w:left="446" w:right="199" w:hanging="23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设计速度</w:t>
            </w:r>
            <w:r>
              <w:rPr>
                <w:rFonts w:ascii="Times New Roman" w:hAnsi="Times New Roman" w:cs="Times New Roman" w:eastAsiaTheme="minorEastAsia"/>
                <w:b w:val="0"/>
                <w:bCs/>
                <w:color w:val="000000" w:themeColor="text1"/>
                <w:spacing w:val="-2"/>
                <w14:textFill>
                  <w14:solidFill>
                    <w14:schemeClr w14:val="tx1"/>
                  </w14:solidFill>
                </w14:textFill>
              </w:rPr>
              <w:t>km/h</w:t>
            </w:r>
          </w:p>
        </w:tc>
        <w:tc>
          <w:tcPr>
            <w:tcW w:w="1260" w:type="dxa"/>
          </w:tcPr>
          <w:p>
            <w:pPr>
              <w:pStyle w:val="391"/>
              <w:autoSpaceDE w:val="0"/>
              <w:autoSpaceDN w:val="0"/>
              <w:spacing w:before="60" w:line="224" w:lineRule="auto"/>
              <w:ind w:left="527" w:right="214" w:hanging="3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等级/标</w:t>
            </w:r>
            <w:r>
              <w:rPr>
                <w:rFonts w:ascii="Times New Roman" w:hAnsi="Times New Roman" w:cs="Times New Roman" w:eastAsiaTheme="minorEastAsia"/>
                <w:b w:val="0"/>
                <w:bCs/>
                <w:color w:val="000000" w:themeColor="text1"/>
                <w14:textFill>
                  <w14:solidFill>
                    <w14:schemeClr w14:val="tx1"/>
                  </w14:solidFill>
                </w14:textFill>
              </w:rPr>
              <w:t>准</w:t>
            </w:r>
          </w:p>
        </w:tc>
        <w:tc>
          <w:tcPr>
            <w:tcW w:w="1155" w:type="dxa"/>
          </w:tcPr>
          <w:p>
            <w:pPr>
              <w:pStyle w:val="391"/>
              <w:autoSpaceDE w:val="0"/>
              <w:autoSpaceDN w:val="0"/>
              <w:spacing w:before="216" w:line="220" w:lineRule="auto"/>
              <w:jc w:val="center"/>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5"/>
                <w14:textFill>
                  <w14:solidFill>
                    <w14:schemeClr w14:val="tx1"/>
                  </w14:solidFill>
                </w14:textFill>
              </w:rPr>
              <w:t>长度（m）</w:t>
            </w:r>
          </w:p>
        </w:tc>
        <w:tc>
          <w:tcPr>
            <w:tcW w:w="1365" w:type="dxa"/>
          </w:tcPr>
          <w:p>
            <w:pPr>
              <w:pStyle w:val="391"/>
              <w:autoSpaceDE w:val="0"/>
              <w:autoSpaceDN w:val="0"/>
              <w:spacing w:before="216" w:line="220" w:lineRule="auto"/>
              <w:jc w:val="center"/>
              <w:rPr>
                <w:rFonts w:ascii="Times New Roman" w:hAnsi="Times New Roman" w:cs="Times New Roman" w:eastAsiaTheme="minorEastAsia"/>
                <w:b w:val="0"/>
                <w:bCs/>
                <w:color w:val="000000" w:themeColor="text1"/>
                <w:spacing w:val="-5"/>
                <w:lang w:eastAsia="zh-CN"/>
                <w14:textFill>
                  <w14:solidFill>
                    <w14:schemeClr w14:val="tx1"/>
                  </w14:solidFill>
                </w14:textFill>
              </w:rPr>
            </w:pPr>
            <w:r>
              <w:rPr>
                <w:rFonts w:ascii="Times New Roman" w:hAnsi="Times New Roman" w:cs="Times New Roman" w:eastAsiaTheme="minorEastAsia"/>
                <w:b w:val="0"/>
                <w:bCs/>
                <w:color w:val="000000" w:themeColor="text1"/>
                <w:spacing w:val="-5"/>
                <w:lang w:eastAsia="zh-CN"/>
                <w14:textFill>
                  <w14:solidFill>
                    <w14:schemeClr w14:val="tx1"/>
                  </w14:solidFill>
                </w14:textFill>
              </w:rPr>
              <w:t>红线面积（㎡）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2" w:hRule="atLeast"/>
        </w:trPr>
        <w:tc>
          <w:tcPr>
            <w:tcW w:w="1119" w:type="dxa"/>
            <w:vMerge w:val="restart"/>
            <w:tcBorders>
              <w:bottom w:val="nil"/>
            </w:tcBorders>
            <w:vAlign w:val="center"/>
          </w:tcPr>
          <w:p>
            <w:pPr>
              <w:pStyle w:val="391"/>
              <w:autoSpaceDE w:val="0"/>
              <w:autoSpaceDN w:val="0"/>
              <w:spacing w:before="78" w:line="230" w:lineRule="auto"/>
              <w:ind w:left="332" w:right="193" w:hanging="105"/>
              <w:jc w:val="center"/>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1.道路</w:t>
            </w:r>
            <w:r>
              <w:rPr>
                <w:rFonts w:ascii="Times New Roman" w:hAnsi="Times New Roman" w:cs="Times New Roman" w:eastAsiaTheme="minorEastAsia"/>
                <w:b w:val="0"/>
                <w:bCs/>
                <w:color w:val="000000" w:themeColor="text1"/>
                <w:spacing w:val="-4"/>
                <w14:textFill>
                  <w14:solidFill>
                    <w14:schemeClr w14:val="tx1"/>
                  </w14:solidFill>
                </w14:textFill>
              </w:rPr>
              <w:t>工程</w:t>
            </w:r>
          </w:p>
        </w:tc>
        <w:tc>
          <w:tcPr>
            <w:tcW w:w="651" w:type="dxa"/>
          </w:tcPr>
          <w:p>
            <w:pPr>
              <w:pStyle w:val="391"/>
              <w:autoSpaceDE w:val="0"/>
              <w:autoSpaceDN w:val="0"/>
              <w:spacing w:before="199" w:line="184" w:lineRule="auto"/>
              <w:ind w:left="28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1</w:t>
            </w:r>
          </w:p>
        </w:tc>
        <w:tc>
          <w:tcPr>
            <w:tcW w:w="1504" w:type="dxa"/>
          </w:tcPr>
          <w:p>
            <w:pPr>
              <w:pStyle w:val="391"/>
              <w:autoSpaceDE w:val="0"/>
              <w:autoSpaceDN w:val="0"/>
              <w:spacing w:before="162" w:line="220" w:lineRule="auto"/>
              <w:jc w:val="center"/>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二十涌北路</w:t>
            </w:r>
          </w:p>
        </w:tc>
        <w:tc>
          <w:tcPr>
            <w:tcW w:w="1215" w:type="dxa"/>
          </w:tcPr>
          <w:p>
            <w:pPr>
              <w:pStyle w:val="391"/>
              <w:autoSpaceDE w:val="0"/>
              <w:autoSpaceDN w:val="0"/>
              <w:spacing w:before="200" w:line="183" w:lineRule="auto"/>
              <w:ind w:left="58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50</w:t>
            </w:r>
          </w:p>
        </w:tc>
        <w:tc>
          <w:tcPr>
            <w:tcW w:w="1350" w:type="dxa"/>
          </w:tcPr>
          <w:p>
            <w:pPr>
              <w:pStyle w:val="391"/>
              <w:autoSpaceDE w:val="0"/>
              <w:autoSpaceDN w:val="0"/>
              <w:spacing w:before="200" w:line="183" w:lineRule="auto"/>
              <w:ind w:left="57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60</w:t>
            </w:r>
          </w:p>
        </w:tc>
        <w:tc>
          <w:tcPr>
            <w:tcW w:w="1260" w:type="dxa"/>
          </w:tcPr>
          <w:p>
            <w:pPr>
              <w:pStyle w:val="391"/>
              <w:autoSpaceDE w:val="0"/>
              <w:autoSpaceDN w:val="0"/>
              <w:spacing w:before="162" w:line="219" w:lineRule="auto"/>
              <w:ind w:left="28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主干路</w:t>
            </w:r>
          </w:p>
        </w:tc>
        <w:tc>
          <w:tcPr>
            <w:tcW w:w="1155" w:type="dxa"/>
          </w:tcPr>
          <w:p>
            <w:pPr>
              <w:pStyle w:val="391"/>
              <w:autoSpaceDE w:val="0"/>
              <w:autoSpaceDN w:val="0"/>
              <w:spacing w:before="199" w:line="184" w:lineRule="auto"/>
              <w:jc w:val="center"/>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5"/>
                <w14:textFill>
                  <w14:solidFill>
                    <w14:schemeClr w14:val="tx1"/>
                  </w14:solidFill>
                </w14:textFill>
              </w:rPr>
              <w:t>1852m</w:t>
            </w:r>
          </w:p>
        </w:tc>
        <w:tc>
          <w:tcPr>
            <w:tcW w:w="1365" w:type="dxa"/>
          </w:tcPr>
          <w:p>
            <w:pPr>
              <w:pStyle w:val="391"/>
              <w:autoSpaceDE w:val="0"/>
              <w:autoSpaceDN w:val="0"/>
              <w:spacing w:before="199" w:line="184" w:lineRule="auto"/>
              <w:jc w:val="center"/>
              <w:rPr>
                <w:rFonts w:ascii="Times New Roman" w:hAnsi="Times New Roman" w:cs="Times New Roman" w:eastAsiaTheme="minorEastAsia"/>
                <w:b w:val="0"/>
                <w:bCs/>
                <w:color w:val="000000" w:themeColor="text1"/>
                <w:spacing w:val="-5"/>
                <w:lang w:eastAsia="zh-CN"/>
                <w14:textFill>
                  <w14:solidFill>
                    <w14:schemeClr w14:val="tx1"/>
                  </w14:solidFill>
                </w14:textFill>
              </w:rPr>
            </w:pPr>
            <w:r>
              <w:rPr>
                <w:rFonts w:ascii="Times New Roman" w:hAnsi="Times New Roman" w:cs="Times New Roman" w:eastAsiaTheme="minorEastAsia"/>
                <w:b w:val="0"/>
                <w:bCs/>
                <w:color w:val="000000" w:themeColor="text1"/>
                <w:spacing w:val="-5"/>
                <w:lang w:eastAsia="zh-CN"/>
                <w14:textFill>
                  <w14:solidFill>
                    <w14:schemeClr w14:val="tx1"/>
                  </w14:solidFill>
                </w14:textFill>
              </w:rPr>
              <w:t>97</w:t>
            </w:r>
            <w:r>
              <w:rPr>
                <w:rFonts w:hint="eastAsia" w:ascii="Times New Roman" w:hAnsi="Times New Roman" w:cs="Times New Roman" w:eastAsiaTheme="minorEastAsia"/>
                <w:b w:val="0"/>
                <w:bCs/>
                <w:color w:val="000000" w:themeColor="text1"/>
                <w:spacing w:val="-5"/>
                <w:lang w:eastAsia="zh-CN"/>
                <w14:textFill>
                  <w14:solidFill>
                    <w14:schemeClr w14:val="tx1"/>
                  </w14:solidFill>
                </w14:textFill>
              </w:rPr>
              <w:t>419</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1" w:hRule="atLeast"/>
        </w:trPr>
        <w:tc>
          <w:tcPr>
            <w:tcW w:w="1119" w:type="dxa"/>
            <w:vMerge w:val="continue"/>
            <w:tcBorders>
              <w:top w:val="nil"/>
              <w:bottom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651" w:type="dxa"/>
          </w:tcPr>
          <w:p>
            <w:pPr>
              <w:pStyle w:val="391"/>
              <w:autoSpaceDE w:val="0"/>
              <w:autoSpaceDN w:val="0"/>
              <w:spacing w:before="205" w:line="182" w:lineRule="auto"/>
              <w:ind w:left="275"/>
              <w:rPr>
                <w:rFonts w:ascii="Times New Roman" w:hAnsi="Times New Roman" w:cs="Times New Roman" w:eastAsiaTheme="minorEastAsia"/>
                <w:b w:val="0"/>
                <w:bCs/>
                <w:color w:val="000000" w:themeColor="text1"/>
                <w:lang w:eastAsia="zh-CN"/>
                <w14:textFill>
                  <w14:solidFill>
                    <w14:schemeClr w14:val="tx1"/>
                  </w14:solidFill>
                </w14:textFill>
              </w:rPr>
            </w:pPr>
            <w:r>
              <w:rPr>
                <w:rFonts w:hint="eastAsia" w:ascii="Times New Roman" w:hAnsi="Times New Roman" w:cs="Times New Roman" w:eastAsiaTheme="minorEastAsia"/>
                <w:b w:val="0"/>
                <w:bCs/>
                <w:color w:val="000000" w:themeColor="text1"/>
                <w:lang w:eastAsia="zh-CN"/>
                <w14:textFill>
                  <w14:solidFill>
                    <w14:schemeClr w14:val="tx1"/>
                  </w14:solidFill>
                </w14:textFill>
              </w:rPr>
              <w:t>2</w:t>
            </w:r>
          </w:p>
        </w:tc>
        <w:tc>
          <w:tcPr>
            <w:tcW w:w="1504" w:type="dxa"/>
          </w:tcPr>
          <w:p>
            <w:pPr>
              <w:pStyle w:val="391"/>
              <w:autoSpaceDE w:val="0"/>
              <w:autoSpaceDN w:val="0"/>
              <w:spacing w:before="165" w:line="220" w:lineRule="auto"/>
              <w:jc w:val="center"/>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规划纵三路</w:t>
            </w:r>
          </w:p>
        </w:tc>
        <w:tc>
          <w:tcPr>
            <w:tcW w:w="1215" w:type="dxa"/>
          </w:tcPr>
          <w:p>
            <w:pPr>
              <w:pStyle w:val="391"/>
              <w:autoSpaceDE w:val="0"/>
              <w:autoSpaceDN w:val="0"/>
              <w:spacing w:before="203" w:line="183" w:lineRule="auto"/>
              <w:ind w:left="58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34</w:t>
            </w:r>
          </w:p>
        </w:tc>
        <w:tc>
          <w:tcPr>
            <w:tcW w:w="1350" w:type="dxa"/>
          </w:tcPr>
          <w:p>
            <w:pPr>
              <w:pStyle w:val="391"/>
              <w:autoSpaceDE w:val="0"/>
              <w:autoSpaceDN w:val="0"/>
              <w:spacing w:before="203" w:line="183" w:lineRule="auto"/>
              <w:ind w:left="56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40</w:t>
            </w:r>
          </w:p>
        </w:tc>
        <w:tc>
          <w:tcPr>
            <w:tcW w:w="1260" w:type="dxa"/>
          </w:tcPr>
          <w:p>
            <w:pPr>
              <w:pStyle w:val="391"/>
              <w:autoSpaceDE w:val="0"/>
              <w:autoSpaceDN w:val="0"/>
              <w:spacing w:before="165" w:line="219" w:lineRule="auto"/>
              <w:ind w:left="29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次干路</w:t>
            </w:r>
          </w:p>
        </w:tc>
        <w:tc>
          <w:tcPr>
            <w:tcW w:w="1155" w:type="dxa"/>
          </w:tcPr>
          <w:p>
            <w:pPr>
              <w:pStyle w:val="391"/>
              <w:autoSpaceDE w:val="0"/>
              <w:autoSpaceDN w:val="0"/>
              <w:spacing w:before="202" w:line="184" w:lineRule="auto"/>
              <w:jc w:val="center"/>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5"/>
                <w14:textFill>
                  <w14:solidFill>
                    <w14:schemeClr w14:val="tx1"/>
                  </w14:solidFill>
                </w14:textFill>
              </w:rPr>
              <w:t>1485m</w:t>
            </w:r>
          </w:p>
        </w:tc>
        <w:tc>
          <w:tcPr>
            <w:tcW w:w="1365" w:type="dxa"/>
          </w:tcPr>
          <w:p>
            <w:pPr>
              <w:pStyle w:val="391"/>
              <w:autoSpaceDE w:val="0"/>
              <w:autoSpaceDN w:val="0"/>
              <w:spacing w:before="202" w:line="184" w:lineRule="auto"/>
              <w:jc w:val="center"/>
              <w:rPr>
                <w:rFonts w:ascii="Times New Roman" w:hAnsi="Times New Roman" w:cs="Times New Roman" w:eastAsiaTheme="minorEastAsia"/>
                <w:b w:val="0"/>
                <w:bCs/>
                <w:color w:val="000000" w:themeColor="text1"/>
                <w:spacing w:val="-2"/>
                <w:lang w:eastAsia="zh-CN"/>
                <w14:textFill>
                  <w14:solidFill>
                    <w14:schemeClr w14:val="tx1"/>
                  </w14:solidFill>
                </w14:textFill>
              </w:rPr>
            </w:pPr>
            <w:r>
              <w:rPr>
                <w:rFonts w:ascii="Times New Roman" w:hAnsi="Times New Roman" w:cs="Times New Roman" w:eastAsiaTheme="minorEastAsia"/>
                <w:b w:val="0"/>
                <w:bCs/>
                <w:color w:val="000000" w:themeColor="text1"/>
                <w:spacing w:val="-5"/>
                <w:lang w:eastAsia="zh-CN"/>
                <w14:textFill>
                  <w14:solidFill>
                    <w14:schemeClr w14:val="tx1"/>
                  </w14:solidFill>
                </w14:textFill>
              </w:rPr>
              <w:t>56138</w:t>
            </w:r>
            <w:r>
              <w:rPr>
                <w:rFonts w:hint="eastAsia" w:ascii="Times New Roman" w:hAnsi="Times New Roman" w:cs="Times New Roman" w:eastAsiaTheme="minorEastAsia"/>
                <w:b w:val="0"/>
                <w:bCs/>
                <w:color w:val="000000" w:themeColor="text1"/>
                <w:spacing w:val="-5"/>
                <w:lang w:eastAsia="zh-CN"/>
                <w14:textFill>
                  <w14:solidFill>
                    <w14:schemeClr w14:val="tx1"/>
                  </w14:solidFill>
                </w14:textFill>
              </w:rPr>
              <w:t>.5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0" w:hRule="atLeast"/>
        </w:trPr>
        <w:tc>
          <w:tcPr>
            <w:tcW w:w="1119" w:type="dxa"/>
            <w:vMerge w:val="continue"/>
            <w:tcBorders>
              <w:top w:val="nil"/>
              <w:bottom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651" w:type="dxa"/>
          </w:tcPr>
          <w:p>
            <w:pPr>
              <w:pStyle w:val="391"/>
              <w:autoSpaceDE w:val="0"/>
              <w:autoSpaceDN w:val="0"/>
              <w:spacing w:before="204" w:line="183" w:lineRule="auto"/>
              <w:ind w:left="271"/>
              <w:rPr>
                <w:rFonts w:ascii="Times New Roman" w:hAnsi="Times New Roman" w:cs="Times New Roman" w:eastAsiaTheme="minorEastAsia"/>
                <w:b w:val="0"/>
                <w:bCs/>
                <w:color w:val="000000" w:themeColor="text1"/>
                <w:lang w:eastAsia="zh-CN"/>
                <w14:textFill>
                  <w14:solidFill>
                    <w14:schemeClr w14:val="tx1"/>
                  </w14:solidFill>
                </w14:textFill>
              </w:rPr>
            </w:pPr>
            <w:r>
              <w:rPr>
                <w:rFonts w:hint="eastAsia" w:ascii="Times New Roman" w:hAnsi="Times New Roman" w:cs="Times New Roman" w:eastAsiaTheme="minorEastAsia"/>
                <w:b w:val="0"/>
                <w:bCs/>
                <w:color w:val="000000" w:themeColor="text1"/>
                <w:lang w:eastAsia="zh-CN"/>
                <w14:textFill>
                  <w14:solidFill>
                    <w14:schemeClr w14:val="tx1"/>
                  </w14:solidFill>
                </w14:textFill>
              </w:rPr>
              <w:t>3</w:t>
            </w:r>
          </w:p>
        </w:tc>
        <w:tc>
          <w:tcPr>
            <w:tcW w:w="1504" w:type="dxa"/>
          </w:tcPr>
          <w:p>
            <w:pPr>
              <w:pStyle w:val="391"/>
              <w:autoSpaceDE w:val="0"/>
              <w:autoSpaceDN w:val="0"/>
              <w:spacing w:before="165" w:line="221" w:lineRule="auto"/>
              <w:jc w:val="center"/>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6"/>
                <w14:textFill>
                  <w14:solidFill>
                    <w14:schemeClr w14:val="tx1"/>
                  </w14:solidFill>
                </w14:textFill>
              </w:rPr>
              <w:t>合计</w:t>
            </w:r>
          </w:p>
        </w:tc>
        <w:tc>
          <w:tcPr>
            <w:tcW w:w="1215" w:type="dxa"/>
          </w:tcPr>
          <w:p>
            <w:pPr>
              <w:pStyle w:val="391"/>
              <w:autoSpaceDE w:val="0"/>
              <w:autoSpaceDN w:val="0"/>
              <w:spacing w:before="279" w:line="162" w:lineRule="exact"/>
              <w:ind w:left="57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position w:val="-4"/>
                <w14:textFill>
                  <w14:solidFill>
                    <w14:schemeClr w14:val="tx1"/>
                  </w14:solidFill>
                </w14:textFill>
              </w:rPr>
              <w:t>--</w:t>
            </w:r>
          </w:p>
        </w:tc>
        <w:tc>
          <w:tcPr>
            <w:tcW w:w="1350" w:type="dxa"/>
          </w:tcPr>
          <w:p>
            <w:pPr>
              <w:pStyle w:val="391"/>
              <w:autoSpaceDE w:val="0"/>
              <w:autoSpaceDN w:val="0"/>
              <w:spacing w:before="279" w:line="162" w:lineRule="exact"/>
              <w:ind w:left="56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position w:val="-4"/>
                <w14:textFill>
                  <w14:solidFill>
                    <w14:schemeClr w14:val="tx1"/>
                  </w14:solidFill>
                </w14:textFill>
              </w:rPr>
              <w:t>--</w:t>
            </w:r>
          </w:p>
        </w:tc>
        <w:tc>
          <w:tcPr>
            <w:tcW w:w="1260" w:type="dxa"/>
          </w:tcPr>
          <w:p>
            <w:pPr>
              <w:pStyle w:val="391"/>
              <w:autoSpaceDE w:val="0"/>
              <w:autoSpaceDN w:val="0"/>
              <w:spacing w:before="279" w:line="162" w:lineRule="exact"/>
              <w:ind w:left="52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position w:val="-4"/>
                <w14:textFill>
                  <w14:solidFill>
                    <w14:schemeClr w14:val="tx1"/>
                  </w14:solidFill>
                </w14:textFill>
              </w:rPr>
              <w:t>--</w:t>
            </w:r>
          </w:p>
        </w:tc>
        <w:tc>
          <w:tcPr>
            <w:tcW w:w="1155" w:type="dxa"/>
          </w:tcPr>
          <w:p>
            <w:pPr>
              <w:pStyle w:val="391"/>
              <w:autoSpaceDE w:val="0"/>
              <w:autoSpaceDN w:val="0"/>
              <w:spacing w:before="202" w:line="184" w:lineRule="auto"/>
              <w:jc w:val="center"/>
              <w:rPr>
                <w:rFonts w:ascii="Times New Roman" w:hAnsi="Times New Roman" w:cs="Times New Roman" w:eastAsiaTheme="minorEastAsia"/>
                <w:b w:val="0"/>
                <w:bCs/>
                <w:color w:val="000000" w:themeColor="text1"/>
                <w14:textFill>
                  <w14:solidFill>
                    <w14:schemeClr w14:val="tx1"/>
                  </w14:solidFill>
                </w14:textFill>
              </w:rPr>
            </w:pPr>
            <w:r>
              <w:rPr>
                <w:rFonts w:hint="eastAsia" w:ascii="Times New Roman" w:hAnsi="Times New Roman" w:cs="Times New Roman" w:eastAsiaTheme="minorEastAsia"/>
                <w:b w:val="0"/>
                <w:bCs/>
                <w:color w:val="000000" w:themeColor="text1"/>
                <w:spacing w:val="-4"/>
                <w:lang w:eastAsia="zh-CN"/>
                <w14:textFill>
                  <w14:solidFill>
                    <w14:schemeClr w14:val="tx1"/>
                  </w14:solidFill>
                </w14:textFill>
              </w:rPr>
              <w:t>3337</w:t>
            </w:r>
            <w:r>
              <w:rPr>
                <w:rFonts w:ascii="Times New Roman" w:hAnsi="Times New Roman" w:cs="Times New Roman" w:eastAsiaTheme="minorEastAsia"/>
                <w:b w:val="0"/>
                <w:bCs/>
                <w:color w:val="000000" w:themeColor="text1"/>
                <w:spacing w:val="-4"/>
                <w14:textFill>
                  <w14:solidFill>
                    <w14:schemeClr w14:val="tx1"/>
                  </w14:solidFill>
                </w14:textFill>
              </w:rPr>
              <w:t>m</w:t>
            </w:r>
          </w:p>
        </w:tc>
        <w:tc>
          <w:tcPr>
            <w:tcW w:w="1365" w:type="dxa"/>
          </w:tcPr>
          <w:p>
            <w:pPr>
              <w:pStyle w:val="391"/>
              <w:autoSpaceDE w:val="0"/>
              <w:autoSpaceDN w:val="0"/>
              <w:spacing w:before="202" w:line="184" w:lineRule="auto"/>
              <w:jc w:val="center"/>
              <w:rPr>
                <w:rFonts w:ascii="Times New Roman" w:hAnsi="Times New Roman" w:cs="Times New Roman" w:eastAsiaTheme="minorEastAsia"/>
                <w:b w:val="0"/>
                <w:bCs/>
                <w:color w:val="000000" w:themeColor="text1"/>
                <w:spacing w:val="-2"/>
                <w:lang w:eastAsia="zh-CN"/>
                <w14:textFill>
                  <w14:solidFill>
                    <w14:schemeClr w14:val="tx1"/>
                  </w14:solidFill>
                </w14:textFill>
              </w:rPr>
            </w:pPr>
            <w:r>
              <w:rPr>
                <w:rFonts w:hint="eastAsia" w:ascii="Times New Roman" w:hAnsi="Times New Roman" w:cs="Times New Roman" w:eastAsiaTheme="minorEastAsia"/>
                <w:b w:val="0"/>
                <w:bCs/>
                <w:color w:val="000000" w:themeColor="text1"/>
                <w:spacing w:val="-4"/>
                <w:lang w:eastAsia="zh-CN"/>
                <w14:textFill>
                  <w14:solidFill>
                    <w14:schemeClr w14:val="tx1"/>
                  </w14:solidFill>
                </w14:textFill>
              </w:rPr>
              <w:t>153557.5</w:t>
            </w:r>
          </w:p>
        </w:tc>
      </w:tr>
    </w:tbl>
    <w:p>
      <w:pPr>
        <w:pStyle w:val="16"/>
        <w:ind w:firstLine="480" w:firstLineChars="200"/>
        <w:rPr>
          <w:rFonts w:ascii="Times New Roman" w:hAnsi="Times New Roman"/>
        </w:rPr>
      </w:pPr>
      <w:r>
        <w:rPr>
          <w:rFonts w:ascii="Times New Roman" w:hAnsi="Times New Roman"/>
          <w:b w:val="0"/>
          <w:sz w:val="24"/>
          <w:szCs w:val="24"/>
        </w:rPr>
        <w:t>建设内容包括道路、桥涵、</w:t>
      </w:r>
      <w:r>
        <w:rPr>
          <w:rFonts w:hint="eastAsia" w:ascii="Times New Roman" w:hAnsi="Times New Roman"/>
          <w:b w:val="0"/>
          <w:sz w:val="24"/>
          <w:szCs w:val="24"/>
        </w:rPr>
        <w:t>排水</w:t>
      </w:r>
      <w:r>
        <w:rPr>
          <w:rFonts w:ascii="Times New Roman" w:hAnsi="Times New Roman"/>
          <w:b w:val="0"/>
          <w:sz w:val="24"/>
          <w:szCs w:val="24"/>
        </w:rPr>
        <w:t>、照明、交通、绿化、电力等工程。</w:t>
      </w:r>
    </w:p>
    <w:p>
      <w:pPr>
        <w:pStyle w:val="3"/>
        <w:ind w:firstLine="562" w:firstLineChars="200"/>
      </w:pPr>
      <w:bookmarkStart w:id="110" w:name="_Toc11397"/>
      <w:bookmarkStart w:id="111" w:name="_Toc6339"/>
      <w:r>
        <w:t>建设标准</w:t>
      </w:r>
      <w:bookmarkEnd w:id="110"/>
      <w:bookmarkEnd w:id="111"/>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根据本项目在路网中的定位，结合交通量预测结果和道路服务水平分析，依据《城市道路工程设计规范》（CJJ37-2012）（2016版）、《南沙新区市政基础设施技术指引》来分析推荐本项目的技术标准。综合考虑各方面因素，本项目均采用城市主干路和次干路技术标准，设计速度主干路60km/h，次干路40km/h，具体技术指标见下表。</w:t>
      </w:r>
    </w:p>
    <w:p>
      <w:pPr>
        <w:spacing w:before="183" w:line="219" w:lineRule="auto"/>
        <w:ind w:left="4218" w:firstLine="478" w:firstLineChars="200"/>
        <w:rPr>
          <w:rFonts w:ascii="Times New Roman" w:hAnsi="Times New Roman"/>
          <w:sz w:val="24"/>
          <w:szCs w:val="24"/>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主干路主要技术标准</w:t>
      </w:r>
    </w:p>
    <w:tbl>
      <w:tblPr>
        <w:tblStyle w:val="379"/>
        <w:tblW w:w="692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044"/>
        <w:gridCol w:w="807"/>
        <w:gridCol w:w="1366"/>
        <w:gridCol w:w="171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9" w:hRule="atLeast"/>
          <w:jc w:val="center"/>
        </w:trPr>
        <w:tc>
          <w:tcPr>
            <w:tcW w:w="3044" w:type="dxa"/>
            <w:vMerge w:val="restart"/>
            <w:tcBorders>
              <w:bottom w:val="nil"/>
            </w:tcBorders>
          </w:tcPr>
          <w:p>
            <w:pPr>
              <w:pStyle w:val="391"/>
              <w:autoSpaceDE w:val="0"/>
              <w:autoSpaceDN w:val="0"/>
              <w:spacing w:before="78" w:line="220" w:lineRule="auto"/>
              <w:ind w:left="130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项目</w:t>
            </w:r>
          </w:p>
        </w:tc>
        <w:tc>
          <w:tcPr>
            <w:tcW w:w="807" w:type="dxa"/>
            <w:vMerge w:val="restart"/>
            <w:tcBorders>
              <w:bottom w:val="nil"/>
            </w:tcBorders>
          </w:tcPr>
          <w:p>
            <w:pPr>
              <w:pStyle w:val="391"/>
              <w:autoSpaceDE w:val="0"/>
              <w:autoSpaceDN w:val="0"/>
              <w:spacing w:before="78" w:line="220" w:lineRule="auto"/>
              <w:ind w:left="17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单位</w:t>
            </w:r>
          </w:p>
        </w:tc>
        <w:tc>
          <w:tcPr>
            <w:tcW w:w="1366" w:type="dxa"/>
            <w:vMerge w:val="restart"/>
            <w:tcBorders>
              <w:bottom w:val="nil"/>
            </w:tcBorders>
          </w:tcPr>
          <w:p>
            <w:pPr>
              <w:pStyle w:val="391"/>
              <w:autoSpaceDE w:val="0"/>
              <w:autoSpaceDN w:val="0"/>
              <w:spacing w:before="78" w:line="220" w:lineRule="auto"/>
              <w:ind w:left="33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规范值</w:t>
            </w:r>
          </w:p>
        </w:tc>
        <w:tc>
          <w:tcPr>
            <w:tcW w:w="1710" w:type="dxa"/>
          </w:tcPr>
          <w:p>
            <w:pPr>
              <w:pStyle w:val="391"/>
              <w:autoSpaceDE w:val="0"/>
              <w:autoSpaceDN w:val="0"/>
              <w:spacing w:before="157" w:line="220" w:lineRule="auto"/>
              <w:jc w:val="center"/>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设计值</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3044"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807"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1366"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1710" w:type="dxa"/>
          </w:tcPr>
          <w:p>
            <w:pPr>
              <w:pStyle w:val="391"/>
              <w:autoSpaceDE w:val="0"/>
              <w:autoSpaceDN w:val="0"/>
              <w:spacing w:before="134" w:line="220" w:lineRule="auto"/>
              <w:ind w:left="26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二十涌北路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jc w:val="center"/>
        </w:trPr>
        <w:tc>
          <w:tcPr>
            <w:tcW w:w="3044" w:type="dxa"/>
          </w:tcPr>
          <w:p>
            <w:pPr>
              <w:pStyle w:val="391"/>
              <w:autoSpaceDE w:val="0"/>
              <w:autoSpaceDN w:val="0"/>
              <w:spacing w:before="134" w:line="220" w:lineRule="auto"/>
              <w:ind w:left="105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道路级别</w:t>
            </w:r>
          </w:p>
        </w:tc>
        <w:tc>
          <w:tcPr>
            <w:tcW w:w="807" w:type="dxa"/>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1366" w:type="dxa"/>
          </w:tcPr>
          <w:p>
            <w:pPr>
              <w:pStyle w:val="391"/>
              <w:autoSpaceDE w:val="0"/>
              <w:autoSpaceDN w:val="0"/>
              <w:spacing w:before="135" w:line="219" w:lineRule="auto"/>
              <w:ind w:left="33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主干路</w:t>
            </w:r>
          </w:p>
        </w:tc>
        <w:tc>
          <w:tcPr>
            <w:tcW w:w="1710" w:type="dxa"/>
          </w:tcPr>
          <w:p>
            <w:pPr>
              <w:pStyle w:val="391"/>
              <w:autoSpaceDE w:val="0"/>
              <w:autoSpaceDN w:val="0"/>
              <w:spacing w:before="135" w:line="219" w:lineRule="auto"/>
              <w:ind w:left="50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主干路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3044" w:type="dxa"/>
          </w:tcPr>
          <w:p>
            <w:pPr>
              <w:pStyle w:val="391"/>
              <w:autoSpaceDE w:val="0"/>
              <w:autoSpaceDN w:val="0"/>
              <w:spacing w:before="134" w:line="220" w:lineRule="auto"/>
              <w:ind w:left="106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设计速度</w:t>
            </w:r>
          </w:p>
        </w:tc>
        <w:tc>
          <w:tcPr>
            <w:tcW w:w="807" w:type="dxa"/>
          </w:tcPr>
          <w:p>
            <w:pPr>
              <w:pStyle w:val="391"/>
              <w:autoSpaceDE w:val="0"/>
              <w:autoSpaceDN w:val="0"/>
              <w:spacing w:before="135" w:line="225" w:lineRule="auto"/>
              <w:ind w:left="16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Km/h</w:t>
            </w:r>
          </w:p>
        </w:tc>
        <w:tc>
          <w:tcPr>
            <w:tcW w:w="1366" w:type="dxa"/>
          </w:tcPr>
          <w:p>
            <w:pPr>
              <w:pStyle w:val="391"/>
              <w:autoSpaceDE w:val="0"/>
              <w:autoSpaceDN w:val="0"/>
              <w:spacing w:before="173" w:line="183" w:lineRule="auto"/>
              <w:ind w:left="57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60</w:t>
            </w:r>
          </w:p>
        </w:tc>
        <w:tc>
          <w:tcPr>
            <w:tcW w:w="1710" w:type="dxa"/>
          </w:tcPr>
          <w:p>
            <w:pPr>
              <w:pStyle w:val="391"/>
              <w:autoSpaceDE w:val="0"/>
              <w:autoSpaceDN w:val="0"/>
              <w:spacing w:before="173" w:line="183" w:lineRule="auto"/>
              <w:ind w:left="74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60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3044" w:type="dxa"/>
          </w:tcPr>
          <w:p>
            <w:pPr>
              <w:pStyle w:val="391"/>
              <w:autoSpaceDE w:val="0"/>
              <w:autoSpaceDN w:val="0"/>
              <w:spacing w:before="134" w:line="220" w:lineRule="auto"/>
              <w:ind w:left="81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路面设计年限</w:t>
            </w:r>
          </w:p>
        </w:tc>
        <w:tc>
          <w:tcPr>
            <w:tcW w:w="807" w:type="dxa"/>
          </w:tcPr>
          <w:p>
            <w:pPr>
              <w:pStyle w:val="391"/>
              <w:autoSpaceDE w:val="0"/>
              <w:autoSpaceDN w:val="0"/>
              <w:spacing w:before="135" w:line="220" w:lineRule="auto"/>
              <w:ind w:left="29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年</w:t>
            </w:r>
          </w:p>
        </w:tc>
        <w:tc>
          <w:tcPr>
            <w:tcW w:w="1366" w:type="dxa"/>
          </w:tcPr>
          <w:p>
            <w:pPr>
              <w:pStyle w:val="391"/>
              <w:autoSpaceDE w:val="0"/>
              <w:autoSpaceDN w:val="0"/>
              <w:spacing w:before="172" w:line="184" w:lineRule="auto"/>
              <w:ind w:left="58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4"/>
                <w14:textFill>
                  <w14:solidFill>
                    <w14:schemeClr w14:val="tx1"/>
                  </w14:solidFill>
                </w14:textFill>
              </w:rPr>
              <w:t>15</w:t>
            </w:r>
          </w:p>
        </w:tc>
        <w:tc>
          <w:tcPr>
            <w:tcW w:w="1710" w:type="dxa"/>
          </w:tcPr>
          <w:p>
            <w:pPr>
              <w:pStyle w:val="391"/>
              <w:autoSpaceDE w:val="0"/>
              <w:autoSpaceDN w:val="0"/>
              <w:spacing w:before="172" w:line="184" w:lineRule="auto"/>
              <w:ind w:left="75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4"/>
                <w14:textFill>
                  <w14:solidFill>
                    <w14:schemeClr w14:val="tx1"/>
                  </w14:solidFill>
                </w14:textFill>
              </w:rPr>
              <w:t>15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jc w:val="center"/>
        </w:trPr>
        <w:tc>
          <w:tcPr>
            <w:tcW w:w="3044" w:type="dxa"/>
          </w:tcPr>
          <w:p>
            <w:pPr>
              <w:pStyle w:val="391"/>
              <w:autoSpaceDE w:val="0"/>
              <w:autoSpaceDN w:val="0"/>
              <w:spacing w:before="135" w:line="220" w:lineRule="auto"/>
              <w:ind w:left="81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路面设计载荷</w:t>
            </w:r>
          </w:p>
        </w:tc>
        <w:tc>
          <w:tcPr>
            <w:tcW w:w="807" w:type="dxa"/>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1366" w:type="dxa"/>
          </w:tcPr>
          <w:p>
            <w:pPr>
              <w:pStyle w:val="391"/>
              <w:autoSpaceDE w:val="0"/>
              <w:autoSpaceDN w:val="0"/>
              <w:spacing w:before="173" w:line="184" w:lineRule="auto"/>
              <w:ind w:left="26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BZZ-100</w:t>
            </w:r>
          </w:p>
        </w:tc>
        <w:tc>
          <w:tcPr>
            <w:tcW w:w="1710" w:type="dxa"/>
          </w:tcPr>
          <w:p>
            <w:pPr>
              <w:pStyle w:val="391"/>
              <w:autoSpaceDE w:val="0"/>
              <w:autoSpaceDN w:val="0"/>
              <w:spacing w:before="173" w:line="184" w:lineRule="auto"/>
              <w:ind w:left="43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BZZ-100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3044" w:type="dxa"/>
          </w:tcPr>
          <w:p>
            <w:pPr>
              <w:pStyle w:val="391"/>
              <w:autoSpaceDE w:val="0"/>
              <w:autoSpaceDN w:val="0"/>
              <w:spacing w:before="134" w:line="220" w:lineRule="auto"/>
              <w:ind w:left="106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行车净高</w:t>
            </w:r>
          </w:p>
        </w:tc>
        <w:tc>
          <w:tcPr>
            <w:tcW w:w="807" w:type="dxa"/>
          </w:tcPr>
          <w:p>
            <w:pPr>
              <w:pStyle w:val="391"/>
              <w:autoSpaceDE w:val="0"/>
              <w:autoSpaceDN w:val="0"/>
              <w:spacing w:before="136" w:line="241" w:lineRule="auto"/>
              <w:ind w:left="3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366" w:type="dxa"/>
          </w:tcPr>
          <w:p>
            <w:pPr>
              <w:pStyle w:val="391"/>
              <w:autoSpaceDE w:val="0"/>
              <w:autoSpaceDN w:val="0"/>
              <w:spacing w:before="174" w:line="183" w:lineRule="auto"/>
              <w:ind w:left="508"/>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3"/>
                <w:lang w:eastAsia="zh-CN"/>
                <w14:textFill>
                  <w14:solidFill>
                    <w14:schemeClr w14:val="tx1"/>
                  </w14:solidFill>
                </w14:textFill>
              </w:rPr>
              <w:t>4.5</w:t>
            </w:r>
          </w:p>
        </w:tc>
        <w:tc>
          <w:tcPr>
            <w:tcW w:w="1710" w:type="dxa"/>
          </w:tcPr>
          <w:p>
            <w:pPr>
              <w:pStyle w:val="391"/>
              <w:autoSpaceDE w:val="0"/>
              <w:autoSpaceDN w:val="0"/>
              <w:spacing w:before="174" w:line="183" w:lineRule="auto"/>
              <w:ind w:left="68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3"/>
                <w:lang w:eastAsia="zh-CN"/>
                <w14:textFill>
                  <w14:solidFill>
                    <w14:schemeClr w14:val="tx1"/>
                  </w14:solidFill>
                </w14:textFill>
              </w:rPr>
              <w:t>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3044" w:type="dxa"/>
          </w:tcPr>
          <w:p>
            <w:pPr>
              <w:pStyle w:val="391"/>
              <w:autoSpaceDE w:val="0"/>
              <w:autoSpaceDN w:val="0"/>
              <w:spacing w:before="135" w:line="220" w:lineRule="auto"/>
              <w:ind w:left="105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路面横坡</w:t>
            </w:r>
          </w:p>
        </w:tc>
        <w:tc>
          <w:tcPr>
            <w:tcW w:w="807" w:type="dxa"/>
          </w:tcPr>
          <w:p>
            <w:pPr>
              <w:pStyle w:val="391"/>
              <w:autoSpaceDE w:val="0"/>
              <w:autoSpaceDN w:val="0"/>
              <w:spacing w:before="136"/>
              <w:ind w:left="3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w:t>
            </w:r>
          </w:p>
        </w:tc>
        <w:tc>
          <w:tcPr>
            <w:tcW w:w="1366" w:type="dxa"/>
          </w:tcPr>
          <w:p>
            <w:pPr>
              <w:pStyle w:val="391"/>
              <w:autoSpaceDE w:val="0"/>
              <w:autoSpaceDN w:val="0"/>
              <w:spacing w:before="175" w:line="183" w:lineRule="auto"/>
              <w:ind w:left="63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2</w:t>
            </w:r>
          </w:p>
        </w:tc>
        <w:tc>
          <w:tcPr>
            <w:tcW w:w="1710" w:type="dxa"/>
          </w:tcPr>
          <w:p>
            <w:pPr>
              <w:pStyle w:val="391"/>
              <w:autoSpaceDE w:val="0"/>
              <w:autoSpaceDN w:val="0"/>
              <w:spacing w:before="175" w:line="183" w:lineRule="auto"/>
              <w:ind w:left="80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jc w:val="center"/>
        </w:trPr>
        <w:tc>
          <w:tcPr>
            <w:tcW w:w="3044" w:type="dxa"/>
          </w:tcPr>
          <w:p>
            <w:pPr>
              <w:pStyle w:val="391"/>
              <w:autoSpaceDE w:val="0"/>
              <w:autoSpaceDN w:val="0"/>
              <w:spacing w:before="136" w:line="220" w:lineRule="auto"/>
              <w:ind w:left="58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不设加宽最小半径</w:t>
            </w:r>
          </w:p>
        </w:tc>
        <w:tc>
          <w:tcPr>
            <w:tcW w:w="807" w:type="dxa"/>
          </w:tcPr>
          <w:p>
            <w:pPr>
              <w:pStyle w:val="391"/>
              <w:autoSpaceDE w:val="0"/>
              <w:autoSpaceDN w:val="0"/>
              <w:spacing w:before="138" w:line="241" w:lineRule="auto"/>
              <w:ind w:left="3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366" w:type="dxa"/>
          </w:tcPr>
          <w:p>
            <w:pPr>
              <w:pStyle w:val="391"/>
              <w:autoSpaceDE w:val="0"/>
              <w:autoSpaceDN w:val="0"/>
              <w:spacing w:before="175" w:line="183" w:lineRule="auto"/>
              <w:ind w:left="51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250</w:t>
            </w:r>
          </w:p>
        </w:tc>
        <w:tc>
          <w:tcPr>
            <w:tcW w:w="1710" w:type="dxa"/>
          </w:tcPr>
          <w:p>
            <w:pPr>
              <w:pStyle w:val="391"/>
              <w:autoSpaceDE w:val="0"/>
              <w:autoSpaceDN w:val="0"/>
              <w:spacing w:before="136" w:line="225" w:lineRule="auto"/>
              <w:ind w:left="8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3044" w:type="dxa"/>
          </w:tcPr>
          <w:p>
            <w:pPr>
              <w:pStyle w:val="391"/>
              <w:autoSpaceDE w:val="0"/>
              <w:autoSpaceDN w:val="0"/>
              <w:spacing w:before="135" w:line="220" w:lineRule="auto"/>
              <w:ind w:left="58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不设超高最小半径</w:t>
            </w:r>
          </w:p>
        </w:tc>
        <w:tc>
          <w:tcPr>
            <w:tcW w:w="807" w:type="dxa"/>
          </w:tcPr>
          <w:p>
            <w:pPr>
              <w:pStyle w:val="391"/>
              <w:autoSpaceDE w:val="0"/>
              <w:autoSpaceDN w:val="0"/>
              <w:spacing w:before="137" w:line="241" w:lineRule="auto"/>
              <w:ind w:left="3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366" w:type="dxa"/>
          </w:tcPr>
          <w:p>
            <w:pPr>
              <w:pStyle w:val="391"/>
              <w:autoSpaceDE w:val="0"/>
              <w:autoSpaceDN w:val="0"/>
              <w:spacing w:before="175" w:line="183" w:lineRule="auto"/>
              <w:ind w:left="51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600</w:t>
            </w:r>
          </w:p>
        </w:tc>
        <w:tc>
          <w:tcPr>
            <w:tcW w:w="1710" w:type="dxa"/>
          </w:tcPr>
          <w:p>
            <w:pPr>
              <w:pStyle w:val="391"/>
              <w:autoSpaceDE w:val="0"/>
              <w:autoSpaceDN w:val="0"/>
              <w:spacing w:before="135" w:line="225" w:lineRule="auto"/>
              <w:ind w:left="8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3044" w:type="dxa"/>
          </w:tcPr>
          <w:p>
            <w:pPr>
              <w:pStyle w:val="391"/>
              <w:autoSpaceDE w:val="0"/>
              <w:autoSpaceDN w:val="0"/>
              <w:spacing w:before="136" w:line="220" w:lineRule="auto"/>
              <w:ind w:left="341"/>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不设缓和曲线最小半径</w:t>
            </w:r>
          </w:p>
        </w:tc>
        <w:tc>
          <w:tcPr>
            <w:tcW w:w="807" w:type="dxa"/>
          </w:tcPr>
          <w:p>
            <w:pPr>
              <w:pStyle w:val="391"/>
              <w:autoSpaceDE w:val="0"/>
              <w:autoSpaceDN w:val="0"/>
              <w:spacing w:before="138" w:line="241" w:lineRule="auto"/>
              <w:ind w:left="3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366" w:type="dxa"/>
          </w:tcPr>
          <w:p>
            <w:pPr>
              <w:pStyle w:val="391"/>
              <w:autoSpaceDE w:val="0"/>
              <w:autoSpaceDN w:val="0"/>
              <w:spacing w:before="174" w:line="184" w:lineRule="auto"/>
              <w:ind w:left="46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6"/>
                <w14:textFill>
                  <w14:solidFill>
                    <w14:schemeClr w14:val="tx1"/>
                  </w14:solidFill>
                </w14:textFill>
              </w:rPr>
              <w:t>1000</w:t>
            </w:r>
          </w:p>
        </w:tc>
        <w:tc>
          <w:tcPr>
            <w:tcW w:w="1710" w:type="dxa"/>
          </w:tcPr>
          <w:p>
            <w:pPr>
              <w:pStyle w:val="391"/>
              <w:autoSpaceDE w:val="0"/>
              <w:autoSpaceDN w:val="0"/>
              <w:spacing w:before="136" w:line="225" w:lineRule="auto"/>
              <w:ind w:left="8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jc w:val="center"/>
        </w:trPr>
        <w:tc>
          <w:tcPr>
            <w:tcW w:w="3044" w:type="dxa"/>
          </w:tcPr>
          <w:p>
            <w:pPr>
              <w:pStyle w:val="391"/>
              <w:autoSpaceDE w:val="0"/>
              <w:autoSpaceDN w:val="0"/>
              <w:spacing w:before="137" w:line="220" w:lineRule="auto"/>
              <w:ind w:left="71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圆曲线最小长度</w:t>
            </w:r>
          </w:p>
        </w:tc>
        <w:tc>
          <w:tcPr>
            <w:tcW w:w="807" w:type="dxa"/>
          </w:tcPr>
          <w:p>
            <w:pPr>
              <w:pStyle w:val="391"/>
              <w:autoSpaceDE w:val="0"/>
              <w:autoSpaceDN w:val="0"/>
              <w:spacing w:before="139" w:line="241" w:lineRule="auto"/>
              <w:ind w:left="3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366" w:type="dxa"/>
          </w:tcPr>
          <w:p>
            <w:pPr>
              <w:pStyle w:val="391"/>
              <w:autoSpaceDE w:val="0"/>
              <w:autoSpaceDN w:val="0"/>
              <w:spacing w:before="176" w:line="183" w:lineRule="auto"/>
              <w:ind w:left="57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8"/>
                <w14:textFill>
                  <w14:solidFill>
                    <w14:schemeClr w14:val="tx1"/>
                  </w14:solidFill>
                </w14:textFill>
              </w:rPr>
              <w:t>50</w:t>
            </w:r>
          </w:p>
        </w:tc>
        <w:tc>
          <w:tcPr>
            <w:tcW w:w="1710" w:type="dxa"/>
          </w:tcPr>
          <w:p>
            <w:pPr>
              <w:pStyle w:val="391"/>
              <w:autoSpaceDE w:val="0"/>
              <w:autoSpaceDN w:val="0"/>
              <w:spacing w:before="137" w:line="225" w:lineRule="auto"/>
              <w:ind w:left="8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3044" w:type="dxa"/>
          </w:tcPr>
          <w:p>
            <w:pPr>
              <w:pStyle w:val="391"/>
              <w:autoSpaceDE w:val="0"/>
              <w:autoSpaceDN w:val="0"/>
              <w:spacing w:before="136" w:line="220" w:lineRule="auto"/>
              <w:ind w:left="474"/>
              <w:rPr>
                <w:rFonts w:ascii="Times New Roman" w:hAnsi="Times New Roman" w:cs="Times New Roman" w:eastAsiaTheme="minorEastAsia"/>
                <w:b w:val="0"/>
                <w:bCs/>
                <w:color w:val="000000" w:themeColor="text1"/>
                <w14:textFill>
                  <w14:solidFill>
                    <w14:schemeClr w14:val="tx1"/>
                  </w14:solidFill>
                </w14:textFill>
              </w:rPr>
            </w:pPr>
            <w:r>
              <w:rPr>
                <w:rFonts w:hint="eastAsia" w:ascii="Times New Roman" w:hAnsi="Times New Roman" w:cs="Times New Roman" w:eastAsiaTheme="minorEastAsia"/>
                <w:b w:val="0"/>
                <w:bCs/>
                <w:color w:val="000000" w:themeColor="text1"/>
                <w:spacing w:val="-3"/>
                <w:lang w:eastAsia="zh-CN"/>
                <w14:textFill>
                  <w14:solidFill>
                    <w14:schemeClr w14:val="tx1"/>
                  </w14:solidFill>
                </w14:textFill>
              </w:rPr>
              <w:t>凹形</w:t>
            </w:r>
            <w:r>
              <w:rPr>
                <w:rFonts w:ascii="Times New Roman" w:hAnsi="Times New Roman" w:cs="Times New Roman" w:eastAsiaTheme="minorEastAsia"/>
                <w:b w:val="0"/>
                <w:bCs/>
                <w:color w:val="000000" w:themeColor="text1"/>
                <w:spacing w:val="-3"/>
                <w14:textFill>
                  <w14:solidFill>
                    <w14:schemeClr w14:val="tx1"/>
                  </w14:solidFill>
                </w14:textFill>
              </w:rPr>
              <w:t>竖曲线最小半径</w:t>
            </w:r>
          </w:p>
        </w:tc>
        <w:tc>
          <w:tcPr>
            <w:tcW w:w="807" w:type="dxa"/>
          </w:tcPr>
          <w:p>
            <w:pPr>
              <w:pStyle w:val="391"/>
              <w:autoSpaceDE w:val="0"/>
              <w:autoSpaceDN w:val="0"/>
              <w:spacing w:before="138" w:line="241" w:lineRule="auto"/>
              <w:ind w:left="3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366" w:type="dxa"/>
          </w:tcPr>
          <w:p>
            <w:pPr>
              <w:pStyle w:val="391"/>
              <w:autoSpaceDE w:val="0"/>
              <w:autoSpaceDN w:val="0"/>
              <w:spacing w:before="175" w:line="184" w:lineRule="auto"/>
              <w:ind w:left="46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6"/>
                <w14:textFill>
                  <w14:solidFill>
                    <w14:schemeClr w14:val="tx1"/>
                  </w14:solidFill>
                </w14:textFill>
              </w:rPr>
              <w:t>1500</w:t>
            </w:r>
          </w:p>
        </w:tc>
        <w:tc>
          <w:tcPr>
            <w:tcW w:w="1710" w:type="dxa"/>
          </w:tcPr>
          <w:p>
            <w:pPr>
              <w:pStyle w:val="391"/>
              <w:autoSpaceDE w:val="0"/>
              <w:autoSpaceDN w:val="0"/>
              <w:spacing w:before="174" w:line="184" w:lineRule="auto"/>
              <w:ind w:left="57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5"/>
                <w14:textFill>
                  <w14:solidFill>
                    <w14:schemeClr w14:val="tx1"/>
                  </w14:solidFill>
                </w14:textFill>
              </w:rPr>
              <w:t>13000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3044" w:type="dxa"/>
          </w:tcPr>
          <w:p>
            <w:pPr>
              <w:pStyle w:val="391"/>
              <w:autoSpaceDE w:val="0"/>
              <w:autoSpaceDN w:val="0"/>
              <w:spacing w:before="137" w:line="220" w:lineRule="auto"/>
              <w:ind w:left="479"/>
              <w:rPr>
                <w:rFonts w:ascii="Times New Roman" w:hAnsi="Times New Roman" w:cs="Times New Roman" w:eastAsiaTheme="minorEastAsia"/>
                <w:b w:val="0"/>
                <w:bCs/>
                <w:color w:val="000000" w:themeColor="text1"/>
                <w14:textFill>
                  <w14:solidFill>
                    <w14:schemeClr w14:val="tx1"/>
                  </w14:solidFill>
                </w14:textFill>
              </w:rPr>
            </w:pPr>
            <w:r>
              <w:rPr>
                <w:rFonts w:hint="eastAsia" w:ascii="Times New Roman" w:hAnsi="Times New Roman" w:cs="Times New Roman" w:eastAsiaTheme="minorEastAsia"/>
                <w:b w:val="0"/>
                <w:bCs/>
                <w:color w:val="000000" w:themeColor="text1"/>
                <w:spacing w:val="-4"/>
                <w:lang w:eastAsia="zh-CN"/>
                <w14:textFill>
                  <w14:solidFill>
                    <w14:schemeClr w14:val="tx1"/>
                  </w14:solidFill>
                </w14:textFill>
              </w:rPr>
              <w:t>凸形</w:t>
            </w:r>
            <w:r>
              <w:rPr>
                <w:rFonts w:ascii="Times New Roman" w:hAnsi="Times New Roman" w:cs="Times New Roman" w:eastAsiaTheme="minorEastAsia"/>
                <w:b w:val="0"/>
                <w:bCs/>
                <w:color w:val="000000" w:themeColor="text1"/>
                <w:spacing w:val="-4"/>
                <w14:textFill>
                  <w14:solidFill>
                    <w14:schemeClr w14:val="tx1"/>
                  </w14:solidFill>
                </w14:textFill>
              </w:rPr>
              <w:t>竖曲线最小半径</w:t>
            </w:r>
          </w:p>
        </w:tc>
        <w:tc>
          <w:tcPr>
            <w:tcW w:w="807" w:type="dxa"/>
          </w:tcPr>
          <w:p>
            <w:pPr>
              <w:pStyle w:val="391"/>
              <w:autoSpaceDE w:val="0"/>
              <w:autoSpaceDN w:val="0"/>
              <w:spacing w:before="139" w:line="241" w:lineRule="auto"/>
              <w:ind w:left="3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366" w:type="dxa"/>
          </w:tcPr>
          <w:p>
            <w:pPr>
              <w:pStyle w:val="391"/>
              <w:autoSpaceDE w:val="0"/>
              <w:autoSpaceDN w:val="0"/>
              <w:spacing w:before="175" w:line="184" w:lineRule="auto"/>
              <w:ind w:left="46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6"/>
                <w14:textFill>
                  <w14:solidFill>
                    <w14:schemeClr w14:val="tx1"/>
                  </w14:solidFill>
                </w14:textFill>
              </w:rPr>
              <w:t>1800</w:t>
            </w:r>
          </w:p>
        </w:tc>
        <w:tc>
          <w:tcPr>
            <w:tcW w:w="1710" w:type="dxa"/>
          </w:tcPr>
          <w:p>
            <w:pPr>
              <w:pStyle w:val="391"/>
              <w:autoSpaceDE w:val="0"/>
              <w:autoSpaceDN w:val="0"/>
              <w:spacing w:before="174" w:line="184" w:lineRule="auto"/>
              <w:ind w:left="57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5"/>
                <w14:textFill>
                  <w14:solidFill>
                    <w14:schemeClr w14:val="tx1"/>
                  </w14:solidFill>
                </w14:textFill>
              </w:rPr>
              <w:t>11000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jc w:val="center"/>
        </w:trPr>
        <w:tc>
          <w:tcPr>
            <w:tcW w:w="3044" w:type="dxa"/>
          </w:tcPr>
          <w:p>
            <w:pPr>
              <w:pStyle w:val="391"/>
              <w:autoSpaceDE w:val="0"/>
              <w:autoSpaceDN w:val="0"/>
              <w:spacing w:before="138" w:line="220" w:lineRule="auto"/>
              <w:ind w:left="106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最大纵坡</w:t>
            </w:r>
          </w:p>
        </w:tc>
        <w:tc>
          <w:tcPr>
            <w:tcW w:w="807" w:type="dxa"/>
          </w:tcPr>
          <w:p>
            <w:pPr>
              <w:pStyle w:val="391"/>
              <w:autoSpaceDE w:val="0"/>
              <w:autoSpaceDN w:val="0"/>
              <w:spacing w:before="139"/>
              <w:ind w:left="3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w:t>
            </w:r>
          </w:p>
        </w:tc>
        <w:tc>
          <w:tcPr>
            <w:tcW w:w="1366" w:type="dxa"/>
          </w:tcPr>
          <w:p>
            <w:pPr>
              <w:pStyle w:val="391"/>
              <w:autoSpaceDE w:val="0"/>
              <w:autoSpaceDN w:val="0"/>
              <w:spacing w:before="179" w:line="182" w:lineRule="auto"/>
              <w:ind w:left="63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5</w:t>
            </w:r>
          </w:p>
        </w:tc>
        <w:tc>
          <w:tcPr>
            <w:tcW w:w="1710" w:type="dxa"/>
          </w:tcPr>
          <w:p>
            <w:pPr>
              <w:pStyle w:val="391"/>
              <w:autoSpaceDE w:val="0"/>
              <w:autoSpaceDN w:val="0"/>
              <w:spacing w:before="176" w:line="183" w:lineRule="auto"/>
              <w:ind w:left="62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0.63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8" w:hRule="atLeast"/>
          <w:jc w:val="center"/>
        </w:trPr>
        <w:tc>
          <w:tcPr>
            <w:tcW w:w="3044" w:type="dxa"/>
          </w:tcPr>
          <w:p>
            <w:pPr>
              <w:pStyle w:val="391"/>
              <w:autoSpaceDE w:val="0"/>
              <w:autoSpaceDN w:val="0"/>
              <w:spacing w:before="137" w:line="220" w:lineRule="auto"/>
              <w:ind w:left="106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最小坡长</w:t>
            </w:r>
          </w:p>
        </w:tc>
        <w:tc>
          <w:tcPr>
            <w:tcW w:w="807" w:type="dxa"/>
          </w:tcPr>
          <w:p>
            <w:pPr>
              <w:pStyle w:val="391"/>
              <w:autoSpaceDE w:val="0"/>
              <w:autoSpaceDN w:val="0"/>
              <w:spacing w:before="139" w:line="241" w:lineRule="auto"/>
              <w:ind w:left="3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366" w:type="dxa"/>
          </w:tcPr>
          <w:p>
            <w:pPr>
              <w:pStyle w:val="391"/>
              <w:autoSpaceDE w:val="0"/>
              <w:autoSpaceDN w:val="0"/>
              <w:spacing w:before="176" w:line="184" w:lineRule="auto"/>
              <w:ind w:left="52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150</w:t>
            </w:r>
          </w:p>
        </w:tc>
        <w:tc>
          <w:tcPr>
            <w:tcW w:w="1710" w:type="dxa"/>
          </w:tcPr>
          <w:p>
            <w:pPr>
              <w:pStyle w:val="391"/>
              <w:autoSpaceDE w:val="0"/>
              <w:autoSpaceDN w:val="0"/>
              <w:spacing w:before="176" w:line="183" w:lineRule="auto"/>
              <w:ind w:left="68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200</w:t>
            </w:r>
          </w:p>
        </w:tc>
      </w:tr>
    </w:tbl>
    <w:p>
      <w:pPr>
        <w:spacing w:before="113" w:line="219" w:lineRule="auto"/>
        <w:ind w:left="4211" w:firstLine="478" w:firstLineChars="200"/>
        <w:rPr>
          <w:rFonts w:ascii="Times New Roman" w:hAnsi="Times New Roman"/>
          <w:sz w:val="24"/>
          <w:szCs w:val="24"/>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次干路主要技术标准</w:t>
      </w:r>
    </w:p>
    <w:tbl>
      <w:tblPr>
        <w:tblStyle w:val="379"/>
        <w:tblW w:w="6002"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640"/>
        <w:gridCol w:w="702"/>
        <w:gridCol w:w="1181"/>
        <w:gridCol w:w="1479"/>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8" w:hRule="atLeast"/>
          <w:jc w:val="center"/>
        </w:trPr>
        <w:tc>
          <w:tcPr>
            <w:tcW w:w="2640" w:type="dxa"/>
            <w:vMerge w:val="restart"/>
            <w:tcBorders>
              <w:bottom w:val="nil"/>
            </w:tcBorders>
          </w:tcPr>
          <w:p>
            <w:pPr>
              <w:pStyle w:val="391"/>
              <w:autoSpaceDE w:val="0"/>
              <w:autoSpaceDN w:val="0"/>
              <w:spacing w:before="78" w:line="220" w:lineRule="auto"/>
              <w:ind w:left="11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项目</w:t>
            </w:r>
          </w:p>
        </w:tc>
        <w:tc>
          <w:tcPr>
            <w:tcW w:w="702" w:type="dxa"/>
            <w:vMerge w:val="restart"/>
            <w:tcBorders>
              <w:bottom w:val="nil"/>
            </w:tcBorders>
          </w:tcPr>
          <w:p>
            <w:pPr>
              <w:pStyle w:val="391"/>
              <w:autoSpaceDE w:val="0"/>
              <w:autoSpaceDN w:val="0"/>
              <w:spacing w:before="78" w:line="220" w:lineRule="auto"/>
              <w:ind w:left="11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单位</w:t>
            </w:r>
          </w:p>
        </w:tc>
        <w:tc>
          <w:tcPr>
            <w:tcW w:w="1181" w:type="dxa"/>
            <w:vMerge w:val="restart"/>
            <w:tcBorders>
              <w:bottom w:val="nil"/>
            </w:tcBorders>
          </w:tcPr>
          <w:p>
            <w:pPr>
              <w:pStyle w:val="391"/>
              <w:autoSpaceDE w:val="0"/>
              <w:autoSpaceDN w:val="0"/>
              <w:spacing w:before="78" w:line="220" w:lineRule="auto"/>
              <w:ind w:left="23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规范值</w:t>
            </w:r>
          </w:p>
        </w:tc>
        <w:tc>
          <w:tcPr>
            <w:tcW w:w="1479" w:type="dxa"/>
          </w:tcPr>
          <w:p>
            <w:pPr>
              <w:pStyle w:val="391"/>
              <w:autoSpaceDE w:val="0"/>
              <w:autoSpaceDN w:val="0"/>
              <w:spacing w:before="157" w:line="220" w:lineRule="auto"/>
              <w:jc w:val="center"/>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设计值</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jc w:val="center"/>
        </w:trPr>
        <w:tc>
          <w:tcPr>
            <w:tcW w:w="2640"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702"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1181"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1479" w:type="dxa"/>
          </w:tcPr>
          <w:p>
            <w:pPr>
              <w:pStyle w:val="391"/>
              <w:autoSpaceDE w:val="0"/>
              <w:autoSpaceDN w:val="0"/>
              <w:spacing w:before="192" w:line="220" w:lineRule="auto"/>
              <w:ind w:left="8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规划纵三路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6" w:line="220" w:lineRule="auto"/>
              <w:ind w:left="85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道路级别</w:t>
            </w:r>
          </w:p>
        </w:tc>
        <w:tc>
          <w:tcPr>
            <w:tcW w:w="702" w:type="dxa"/>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1181" w:type="dxa"/>
          </w:tcPr>
          <w:p>
            <w:pPr>
              <w:pStyle w:val="391"/>
              <w:autoSpaceDE w:val="0"/>
              <w:autoSpaceDN w:val="0"/>
              <w:spacing w:before="136" w:line="219" w:lineRule="auto"/>
              <w:ind w:left="2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次干路</w:t>
            </w:r>
          </w:p>
        </w:tc>
        <w:tc>
          <w:tcPr>
            <w:tcW w:w="1479" w:type="dxa"/>
          </w:tcPr>
          <w:p>
            <w:pPr>
              <w:pStyle w:val="391"/>
              <w:autoSpaceDE w:val="0"/>
              <w:autoSpaceDN w:val="0"/>
              <w:spacing w:before="136" w:line="219" w:lineRule="auto"/>
              <w:ind w:left="32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次干路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58" w:line="220" w:lineRule="auto"/>
              <w:ind w:left="860"/>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设计速度</w:t>
            </w:r>
          </w:p>
        </w:tc>
        <w:tc>
          <w:tcPr>
            <w:tcW w:w="702" w:type="dxa"/>
          </w:tcPr>
          <w:p>
            <w:pPr>
              <w:pStyle w:val="391"/>
              <w:autoSpaceDE w:val="0"/>
              <w:autoSpaceDN w:val="0"/>
              <w:spacing w:before="157" w:line="225" w:lineRule="auto"/>
              <w:ind w:left="112"/>
              <w:rPr>
                <w:rFonts w:ascii="Times New Roman" w:hAnsi="Times New Roman" w:cs="Times New Roman" w:eastAsiaTheme="minorEastAsia"/>
                <w:b w:val="0"/>
                <w:bCs/>
                <w:color w:val="000000" w:themeColor="text1"/>
                <w:sz w:val="2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Km/h</w:t>
            </w:r>
          </w:p>
        </w:tc>
        <w:tc>
          <w:tcPr>
            <w:tcW w:w="1181" w:type="dxa"/>
          </w:tcPr>
          <w:p>
            <w:pPr>
              <w:pStyle w:val="391"/>
              <w:autoSpaceDE w:val="0"/>
              <w:autoSpaceDN w:val="0"/>
              <w:spacing w:before="196" w:line="183" w:lineRule="auto"/>
              <w:ind w:left="474"/>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40</w:t>
            </w:r>
          </w:p>
        </w:tc>
        <w:tc>
          <w:tcPr>
            <w:tcW w:w="1479" w:type="dxa"/>
          </w:tcPr>
          <w:p>
            <w:pPr>
              <w:pStyle w:val="391"/>
              <w:autoSpaceDE w:val="0"/>
              <w:autoSpaceDN w:val="0"/>
              <w:spacing w:before="196" w:line="183" w:lineRule="auto"/>
              <w:ind w:left="558"/>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40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3" w:line="220" w:lineRule="auto"/>
              <w:ind w:left="618"/>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路面设计年限</w:t>
            </w:r>
          </w:p>
        </w:tc>
        <w:tc>
          <w:tcPr>
            <w:tcW w:w="702" w:type="dxa"/>
          </w:tcPr>
          <w:p>
            <w:pPr>
              <w:pStyle w:val="391"/>
              <w:autoSpaceDE w:val="0"/>
              <w:autoSpaceDN w:val="0"/>
              <w:spacing w:before="133" w:line="220" w:lineRule="auto"/>
              <w:ind w:left="236"/>
              <w:rPr>
                <w:rFonts w:ascii="Times New Roman" w:hAnsi="Times New Roman" w:cs="Times New Roman" w:eastAsiaTheme="minorEastAsia"/>
                <w:b w:val="0"/>
                <w:bCs/>
                <w:color w:val="000000" w:themeColor="text1"/>
                <w:sz w:val="2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年</w:t>
            </w:r>
          </w:p>
        </w:tc>
        <w:tc>
          <w:tcPr>
            <w:tcW w:w="1181" w:type="dxa"/>
          </w:tcPr>
          <w:p>
            <w:pPr>
              <w:pStyle w:val="391"/>
              <w:autoSpaceDE w:val="0"/>
              <w:autoSpaceDN w:val="0"/>
              <w:spacing w:before="170" w:line="184" w:lineRule="auto"/>
              <w:ind w:left="493"/>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14"/>
                <w14:textFill>
                  <w14:solidFill>
                    <w14:schemeClr w14:val="tx1"/>
                  </w14:solidFill>
                </w14:textFill>
              </w:rPr>
              <w:t>15</w:t>
            </w:r>
          </w:p>
        </w:tc>
        <w:tc>
          <w:tcPr>
            <w:tcW w:w="1479" w:type="dxa"/>
          </w:tcPr>
          <w:p>
            <w:pPr>
              <w:pStyle w:val="391"/>
              <w:autoSpaceDE w:val="0"/>
              <w:autoSpaceDN w:val="0"/>
              <w:spacing w:before="170" w:line="184" w:lineRule="auto"/>
              <w:ind w:left="577"/>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15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4" w:line="220" w:lineRule="auto"/>
              <w:ind w:left="618"/>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路面设计载荷</w:t>
            </w:r>
          </w:p>
        </w:tc>
        <w:tc>
          <w:tcPr>
            <w:tcW w:w="702" w:type="dxa"/>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1181" w:type="dxa"/>
          </w:tcPr>
          <w:p>
            <w:pPr>
              <w:pStyle w:val="391"/>
              <w:autoSpaceDE w:val="0"/>
              <w:autoSpaceDN w:val="0"/>
              <w:spacing w:before="171" w:line="184" w:lineRule="auto"/>
              <w:ind w:left="170"/>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BZZ-100</w:t>
            </w:r>
          </w:p>
        </w:tc>
        <w:tc>
          <w:tcPr>
            <w:tcW w:w="1479" w:type="dxa"/>
          </w:tcPr>
          <w:p>
            <w:pPr>
              <w:pStyle w:val="391"/>
              <w:autoSpaceDE w:val="0"/>
              <w:autoSpaceDN w:val="0"/>
              <w:spacing w:before="171" w:line="184" w:lineRule="auto"/>
              <w:ind w:left="254"/>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BZZ-100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4" w:line="220" w:lineRule="auto"/>
              <w:ind w:left="860"/>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行车净高</w:t>
            </w:r>
          </w:p>
        </w:tc>
        <w:tc>
          <w:tcPr>
            <w:tcW w:w="702" w:type="dxa"/>
          </w:tcPr>
          <w:p>
            <w:pPr>
              <w:pStyle w:val="391"/>
              <w:autoSpaceDE w:val="0"/>
              <w:autoSpaceDN w:val="0"/>
              <w:spacing w:before="135" w:line="241" w:lineRule="auto"/>
              <w:ind w:left="289"/>
              <w:rPr>
                <w:rFonts w:ascii="Times New Roman" w:hAnsi="Times New Roman" w:cs="Times New Roman" w:eastAsiaTheme="minorEastAsia"/>
                <w:b w:val="0"/>
                <w:bCs/>
                <w:color w:val="000000" w:themeColor="text1"/>
                <w:sz w:val="2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181" w:type="dxa"/>
          </w:tcPr>
          <w:p>
            <w:pPr>
              <w:pStyle w:val="391"/>
              <w:autoSpaceDE w:val="0"/>
              <w:autoSpaceDN w:val="0"/>
              <w:spacing w:before="173" w:line="183" w:lineRule="auto"/>
              <w:ind w:left="414"/>
              <w:rPr>
                <w:rFonts w:ascii="Times New Roman" w:hAnsi="Times New Roman" w:cs="Times New Roman" w:eastAsiaTheme="minorEastAsia"/>
                <w:b w:val="0"/>
                <w:bCs/>
                <w:color w:val="000000" w:themeColor="text1"/>
                <w:spacing w:val="-4"/>
                <w:lang w:eastAsia="zh-CN"/>
                <w14:textFill>
                  <w14:solidFill>
                    <w14:schemeClr w14:val="tx1"/>
                  </w14:solidFill>
                </w14:textFill>
              </w:rPr>
            </w:pPr>
            <w:r>
              <w:rPr>
                <w:rFonts w:ascii="Times New Roman" w:hAnsi="Times New Roman" w:cs="Times New Roman" w:eastAsiaTheme="minorEastAsia"/>
                <w:b w:val="0"/>
                <w:bCs/>
                <w:color w:val="000000" w:themeColor="text1"/>
                <w:spacing w:val="-3"/>
                <w:lang w:eastAsia="zh-CN"/>
                <w14:textFill>
                  <w14:solidFill>
                    <w14:schemeClr w14:val="tx1"/>
                  </w14:solidFill>
                </w14:textFill>
              </w:rPr>
              <w:t>4.5</w:t>
            </w:r>
          </w:p>
        </w:tc>
        <w:tc>
          <w:tcPr>
            <w:tcW w:w="1479" w:type="dxa"/>
          </w:tcPr>
          <w:p>
            <w:pPr>
              <w:pStyle w:val="391"/>
              <w:autoSpaceDE w:val="0"/>
              <w:autoSpaceDN w:val="0"/>
              <w:spacing w:before="174" w:line="183" w:lineRule="auto"/>
              <w:ind w:left="498"/>
              <w:rPr>
                <w:rFonts w:ascii="Times New Roman" w:hAnsi="Times New Roman" w:cs="Times New Roman" w:eastAsiaTheme="minorEastAsia"/>
                <w:b w:val="0"/>
                <w:bCs/>
                <w:color w:val="000000" w:themeColor="text1"/>
                <w:spacing w:val="-4"/>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5" w:line="220" w:lineRule="auto"/>
              <w:ind w:left="858"/>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路面横坡</w:t>
            </w:r>
          </w:p>
        </w:tc>
        <w:tc>
          <w:tcPr>
            <w:tcW w:w="702" w:type="dxa"/>
          </w:tcPr>
          <w:p>
            <w:pPr>
              <w:pStyle w:val="391"/>
              <w:autoSpaceDE w:val="0"/>
              <w:autoSpaceDN w:val="0"/>
              <w:spacing w:before="135"/>
              <w:ind w:left="289"/>
              <w:rPr>
                <w:rFonts w:ascii="Times New Roman" w:hAnsi="Times New Roman" w:cs="Times New Roman" w:eastAsiaTheme="minorEastAsia"/>
                <w:b w:val="0"/>
                <w:bCs/>
                <w:color w:val="000000" w:themeColor="text1"/>
                <w:sz w:val="2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w:t>
            </w:r>
          </w:p>
        </w:tc>
        <w:tc>
          <w:tcPr>
            <w:tcW w:w="1181" w:type="dxa"/>
          </w:tcPr>
          <w:p>
            <w:pPr>
              <w:pStyle w:val="391"/>
              <w:autoSpaceDE w:val="0"/>
              <w:autoSpaceDN w:val="0"/>
              <w:spacing w:before="173" w:line="183" w:lineRule="auto"/>
              <w:ind w:left="538"/>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2</w:t>
            </w:r>
          </w:p>
        </w:tc>
        <w:tc>
          <w:tcPr>
            <w:tcW w:w="1479" w:type="dxa"/>
          </w:tcPr>
          <w:p>
            <w:pPr>
              <w:pStyle w:val="391"/>
              <w:autoSpaceDE w:val="0"/>
              <w:autoSpaceDN w:val="0"/>
              <w:spacing w:before="173" w:line="183" w:lineRule="auto"/>
              <w:ind w:left="622"/>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6" w:line="220" w:lineRule="auto"/>
              <w:ind w:left="380"/>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不设加宽最小半径</w:t>
            </w:r>
          </w:p>
        </w:tc>
        <w:tc>
          <w:tcPr>
            <w:tcW w:w="702" w:type="dxa"/>
          </w:tcPr>
          <w:p>
            <w:pPr>
              <w:pStyle w:val="391"/>
              <w:autoSpaceDE w:val="0"/>
              <w:autoSpaceDN w:val="0"/>
              <w:spacing w:before="136" w:line="241" w:lineRule="auto"/>
              <w:ind w:left="289"/>
              <w:rPr>
                <w:rFonts w:ascii="Times New Roman" w:hAnsi="Times New Roman" w:cs="Times New Roman" w:eastAsiaTheme="minorEastAsia"/>
                <w:b w:val="0"/>
                <w:bCs/>
                <w:color w:val="000000" w:themeColor="text1"/>
                <w:sz w:val="2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181" w:type="dxa"/>
          </w:tcPr>
          <w:p>
            <w:pPr>
              <w:pStyle w:val="391"/>
              <w:autoSpaceDE w:val="0"/>
              <w:autoSpaceDN w:val="0"/>
              <w:spacing w:before="174" w:line="183" w:lineRule="auto"/>
              <w:ind w:left="418"/>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250</w:t>
            </w:r>
          </w:p>
        </w:tc>
        <w:tc>
          <w:tcPr>
            <w:tcW w:w="1479" w:type="dxa"/>
          </w:tcPr>
          <w:p>
            <w:pPr>
              <w:pStyle w:val="391"/>
              <w:autoSpaceDE w:val="0"/>
              <w:autoSpaceDN w:val="0"/>
              <w:spacing w:before="174" w:line="183" w:lineRule="auto"/>
              <w:ind w:left="504"/>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500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5" w:line="220" w:lineRule="auto"/>
              <w:ind w:left="380"/>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不设超高最小半径</w:t>
            </w:r>
          </w:p>
        </w:tc>
        <w:tc>
          <w:tcPr>
            <w:tcW w:w="702" w:type="dxa"/>
          </w:tcPr>
          <w:p>
            <w:pPr>
              <w:pStyle w:val="391"/>
              <w:autoSpaceDE w:val="0"/>
              <w:autoSpaceDN w:val="0"/>
              <w:spacing w:before="136" w:line="241" w:lineRule="auto"/>
              <w:ind w:left="289"/>
              <w:rPr>
                <w:rFonts w:ascii="Times New Roman" w:hAnsi="Times New Roman" w:cs="Times New Roman" w:eastAsiaTheme="minorEastAsia"/>
                <w:b w:val="0"/>
                <w:bCs/>
                <w:color w:val="000000" w:themeColor="text1"/>
                <w:sz w:val="2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181" w:type="dxa"/>
          </w:tcPr>
          <w:p>
            <w:pPr>
              <w:pStyle w:val="391"/>
              <w:autoSpaceDE w:val="0"/>
              <w:autoSpaceDN w:val="0"/>
              <w:spacing w:before="174" w:line="183" w:lineRule="auto"/>
              <w:ind w:left="420"/>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300</w:t>
            </w:r>
          </w:p>
        </w:tc>
        <w:tc>
          <w:tcPr>
            <w:tcW w:w="1479" w:type="dxa"/>
          </w:tcPr>
          <w:p>
            <w:pPr>
              <w:pStyle w:val="391"/>
              <w:autoSpaceDE w:val="0"/>
              <w:autoSpaceDN w:val="0"/>
              <w:spacing w:before="174" w:line="183" w:lineRule="auto"/>
              <w:ind w:left="504"/>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500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6" w:line="220" w:lineRule="auto"/>
              <w:ind w:left="140"/>
              <w:rPr>
                <w:rFonts w:ascii="Times New Roman" w:hAnsi="Times New Roman" w:cs="Times New Roman" w:eastAsiaTheme="minorEastAsia"/>
                <w:b w:val="0"/>
                <w:bCs/>
                <w:color w:val="000000" w:themeColor="text1"/>
                <w:spacing w:val="-2"/>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不设缓和曲线最小半径</w:t>
            </w:r>
          </w:p>
        </w:tc>
        <w:tc>
          <w:tcPr>
            <w:tcW w:w="702" w:type="dxa"/>
          </w:tcPr>
          <w:p>
            <w:pPr>
              <w:pStyle w:val="391"/>
              <w:autoSpaceDE w:val="0"/>
              <w:autoSpaceDN w:val="0"/>
              <w:spacing w:before="137" w:line="241" w:lineRule="auto"/>
              <w:ind w:left="289"/>
              <w:rPr>
                <w:rFonts w:ascii="Times New Roman" w:hAnsi="Times New Roman" w:cs="Times New Roman" w:eastAsiaTheme="minorEastAsia"/>
                <w:b w:val="0"/>
                <w:bCs/>
                <w:color w:val="000000" w:themeColor="text1"/>
                <w:sz w:val="2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181" w:type="dxa"/>
          </w:tcPr>
          <w:p>
            <w:pPr>
              <w:pStyle w:val="391"/>
              <w:autoSpaceDE w:val="0"/>
              <w:autoSpaceDN w:val="0"/>
              <w:spacing w:before="175" w:line="183" w:lineRule="auto"/>
              <w:ind w:left="420"/>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500</w:t>
            </w:r>
          </w:p>
        </w:tc>
        <w:tc>
          <w:tcPr>
            <w:tcW w:w="1479" w:type="dxa"/>
          </w:tcPr>
          <w:p>
            <w:pPr>
              <w:pStyle w:val="391"/>
              <w:autoSpaceDE w:val="0"/>
              <w:autoSpaceDN w:val="0"/>
              <w:spacing w:before="175" w:line="183" w:lineRule="auto"/>
              <w:ind w:left="504"/>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500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7" w:line="220" w:lineRule="auto"/>
              <w:ind w:left="516"/>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圆曲线最小长度</w:t>
            </w:r>
          </w:p>
        </w:tc>
        <w:tc>
          <w:tcPr>
            <w:tcW w:w="702" w:type="dxa"/>
          </w:tcPr>
          <w:p>
            <w:pPr>
              <w:pStyle w:val="391"/>
              <w:autoSpaceDE w:val="0"/>
              <w:autoSpaceDN w:val="0"/>
              <w:spacing w:before="137" w:line="241" w:lineRule="auto"/>
              <w:ind w:left="289"/>
              <w:rPr>
                <w:rFonts w:ascii="Times New Roman" w:hAnsi="Times New Roman" w:cs="Times New Roman" w:eastAsiaTheme="minorEastAsia"/>
                <w:b w:val="0"/>
                <w:bCs/>
                <w:color w:val="000000" w:themeColor="text1"/>
                <w:sz w:val="2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181" w:type="dxa"/>
          </w:tcPr>
          <w:p>
            <w:pPr>
              <w:pStyle w:val="391"/>
              <w:autoSpaceDE w:val="0"/>
              <w:autoSpaceDN w:val="0"/>
              <w:spacing w:before="175" w:line="183" w:lineRule="auto"/>
              <w:ind w:left="480"/>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8"/>
                <w14:textFill>
                  <w14:solidFill>
                    <w14:schemeClr w14:val="tx1"/>
                  </w14:solidFill>
                </w14:textFill>
              </w:rPr>
              <w:t>35</w:t>
            </w:r>
          </w:p>
        </w:tc>
        <w:tc>
          <w:tcPr>
            <w:tcW w:w="1479" w:type="dxa"/>
          </w:tcPr>
          <w:p>
            <w:pPr>
              <w:pStyle w:val="391"/>
              <w:autoSpaceDE w:val="0"/>
              <w:autoSpaceDN w:val="0"/>
              <w:spacing w:before="174" w:line="184" w:lineRule="auto"/>
              <w:ind w:left="337"/>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5"/>
                <w14:textFill>
                  <w14:solidFill>
                    <w14:schemeClr w14:val="tx1"/>
                  </w14:solidFill>
                </w14:textFill>
              </w:rPr>
              <w:t>114.45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6" w:line="220" w:lineRule="auto"/>
              <w:ind w:left="273"/>
              <w:rPr>
                <w:rFonts w:ascii="Times New Roman" w:hAnsi="Times New Roman" w:cs="Times New Roman" w:eastAsiaTheme="minorEastAsia"/>
                <w:b w:val="0"/>
                <w:bCs/>
                <w:color w:val="000000" w:themeColor="text1"/>
                <w:spacing w:val="-2"/>
                <w14:textFill>
                  <w14:solidFill>
                    <w14:schemeClr w14:val="tx1"/>
                  </w14:solidFill>
                </w14:textFill>
              </w:rPr>
            </w:pPr>
            <w:r>
              <w:rPr>
                <w:rFonts w:hint="eastAsia" w:ascii="Times New Roman" w:hAnsi="Times New Roman" w:cs="Times New Roman" w:eastAsiaTheme="minorEastAsia"/>
                <w:b w:val="0"/>
                <w:bCs/>
                <w:color w:val="000000" w:themeColor="text1"/>
                <w:spacing w:val="-3"/>
                <w:lang w:eastAsia="zh-CN"/>
                <w14:textFill>
                  <w14:solidFill>
                    <w14:schemeClr w14:val="tx1"/>
                  </w14:solidFill>
                </w14:textFill>
              </w:rPr>
              <w:t>凹形</w:t>
            </w:r>
            <w:r>
              <w:rPr>
                <w:rFonts w:ascii="Times New Roman" w:hAnsi="Times New Roman" w:cs="Times New Roman" w:eastAsiaTheme="minorEastAsia"/>
                <w:b w:val="0"/>
                <w:bCs/>
                <w:color w:val="000000" w:themeColor="text1"/>
                <w:spacing w:val="-3"/>
                <w14:textFill>
                  <w14:solidFill>
                    <w14:schemeClr w14:val="tx1"/>
                  </w14:solidFill>
                </w14:textFill>
              </w:rPr>
              <w:t>竖曲线最小半径</w:t>
            </w:r>
          </w:p>
        </w:tc>
        <w:tc>
          <w:tcPr>
            <w:tcW w:w="702" w:type="dxa"/>
          </w:tcPr>
          <w:p>
            <w:pPr>
              <w:pStyle w:val="391"/>
              <w:autoSpaceDE w:val="0"/>
              <w:autoSpaceDN w:val="0"/>
              <w:spacing w:before="137" w:line="241" w:lineRule="auto"/>
              <w:ind w:left="289"/>
              <w:rPr>
                <w:rFonts w:ascii="Times New Roman" w:hAnsi="Times New Roman" w:cs="Times New Roman" w:eastAsiaTheme="minorEastAsia"/>
                <w:b w:val="0"/>
                <w:bCs/>
                <w:color w:val="000000" w:themeColor="text1"/>
                <w:sz w:val="2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181" w:type="dxa"/>
          </w:tcPr>
          <w:p>
            <w:pPr>
              <w:pStyle w:val="391"/>
              <w:autoSpaceDE w:val="0"/>
              <w:autoSpaceDN w:val="0"/>
              <w:spacing w:before="175" w:line="183" w:lineRule="auto"/>
              <w:ind w:left="421"/>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700</w:t>
            </w:r>
          </w:p>
        </w:tc>
        <w:tc>
          <w:tcPr>
            <w:tcW w:w="1479" w:type="dxa"/>
          </w:tcPr>
          <w:p>
            <w:pPr>
              <w:pStyle w:val="391"/>
              <w:autoSpaceDE w:val="0"/>
              <w:autoSpaceDN w:val="0"/>
              <w:spacing w:before="175" w:line="183" w:lineRule="auto"/>
              <w:ind w:left="438"/>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4200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7" w:line="220" w:lineRule="auto"/>
              <w:ind w:left="277"/>
              <w:rPr>
                <w:rFonts w:ascii="Times New Roman" w:hAnsi="Times New Roman" w:cs="Times New Roman" w:eastAsiaTheme="minorEastAsia"/>
                <w:b w:val="0"/>
                <w:bCs/>
                <w:color w:val="000000" w:themeColor="text1"/>
                <w:spacing w:val="-2"/>
                <w14:textFill>
                  <w14:solidFill>
                    <w14:schemeClr w14:val="tx1"/>
                  </w14:solidFill>
                </w14:textFill>
              </w:rPr>
            </w:pPr>
            <w:r>
              <w:rPr>
                <w:rFonts w:hint="eastAsia" w:ascii="Times New Roman" w:hAnsi="Times New Roman" w:cs="Times New Roman" w:eastAsiaTheme="minorEastAsia"/>
                <w:b w:val="0"/>
                <w:bCs/>
                <w:color w:val="000000" w:themeColor="text1"/>
                <w:spacing w:val="-4"/>
                <w:lang w:eastAsia="zh-CN"/>
                <w14:textFill>
                  <w14:solidFill>
                    <w14:schemeClr w14:val="tx1"/>
                  </w14:solidFill>
                </w14:textFill>
              </w:rPr>
              <w:t>凸形</w:t>
            </w:r>
            <w:r>
              <w:rPr>
                <w:rFonts w:ascii="Times New Roman" w:hAnsi="Times New Roman" w:cs="Times New Roman" w:eastAsiaTheme="minorEastAsia"/>
                <w:b w:val="0"/>
                <w:bCs/>
                <w:color w:val="000000" w:themeColor="text1"/>
                <w:spacing w:val="-4"/>
                <w14:textFill>
                  <w14:solidFill>
                    <w14:schemeClr w14:val="tx1"/>
                  </w14:solidFill>
                </w14:textFill>
              </w:rPr>
              <w:t>竖曲线最小半径</w:t>
            </w:r>
          </w:p>
        </w:tc>
        <w:tc>
          <w:tcPr>
            <w:tcW w:w="702" w:type="dxa"/>
          </w:tcPr>
          <w:p>
            <w:pPr>
              <w:pStyle w:val="391"/>
              <w:autoSpaceDE w:val="0"/>
              <w:autoSpaceDN w:val="0"/>
              <w:spacing w:before="138" w:line="241" w:lineRule="auto"/>
              <w:ind w:left="289"/>
              <w:rPr>
                <w:rFonts w:ascii="Times New Roman" w:hAnsi="Times New Roman" w:cs="Times New Roman" w:eastAsiaTheme="minorEastAsia"/>
                <w:b w:val="0"/>
                <w:bCs/>
                <w:color w:val="000000" w:themeColor="text1"/>
                <w:sz w:val="2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181" w:type="dxa"/>
          </w:tcPr>
          <w:p>
            <w:pPr>
              <w:pStyle w:val="391"/>
              <w:autoSpaceDE w:val="0"/>
              <w:autoSpaceDN w:val="0"/>
              <w:spacing w:before="176" w:line="183" w:lineRule="auto"/>
              <w:ind w:left="417"/>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600</w:t>
            </w:r>
          </w:p>
        </w:tc>
        <w:tc>
          <w:tcPr>
            <w:tcW w:w="1479" w:type="dxa"/>
          </w:tcPr>
          <w:p>
            <w:pPr>
              <w:pStyle w:val="391"/>
              <w:autoSpaceDE w:val="0"/>
              <w:autoSpaceDN w:val="0"/>
              <w:spacing w:before="176" w:line="183" w:lineRule="auto"/>
              <w:ind w:left="442"/>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2000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8" w:line="220" w:lineRule="auto"/>
              <w:ind w:left="859"/>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最大纵坡</w:t>
            </w:r>
          </w:p>
        </w:tc>
        <w:tc>
          <w:tcPr>
            <w:tcW w:w="702" w:type="dxa"/>
          </w:tcPr>
          <w:p>
            <w:pPr>
              <w:pStyle w:val="391"/>
              <w:autoSpaceDE w:val="0"/>
              <w:autoSpaceDN w:val="0"/>
              <w:spacing w:before="138"/>
              <w:ind w:left="289"/>
              <w:rPr>
                <w:rFonts w:ascii="Times New Roman" w:hAnsi="Times New Roman" w:cs="Times New Roman" w:eastAsiaTheme="minorEastAsia"/>
                <w:b w:val="0"/>
                <w:bCs/>
                <w:color w:val="000000" w:themeColor="text1"/>
                <w:sz w:val="2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w:t>
            </w:r>
          </w:p>
        </w:tc>
        <w:tc>
          <w:tcPr>
            <w:tcW w:w="1181" w:type="dxa"/>
          </w:tcPr>
          <w:p>
            <w:pPr>
              <w:pStyle w:val="391"/>
              <w:autoSpaceDE w:val="0"/>
              <w:autoSpaceDN w:val="0"/>
              <w:spacing w:before="176" w:line="183" w:lineRule="auto"/>
              <w:ind w:left="537"/>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6</w:t>
            </w:r>
          </w:p>
        </w:tc>
        <w:tc>
          <w:tcPr>
            <w:tcW w:w="1479" w:type="dxa"/>
          </w:tcPr>
          <w:p>
            <w:pPr>
              <w:pStyle w:val="391"/>
              <w:autoSpaceDE w:val="0"/>
              <w:autoSpaceDN w:val="0"/>
              <w:spacing w:before="176" w:line="183" w:lineRule="auto"/>
              <w:ind w:left="502"/>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5"/>
                <w14:textFill>
                  <w14:solidFill>
                    <w14:schemeClr w14:val="tx1"/>
                  </w14:solidFill>
                </w14:textFill>
              </w:rPr>
              <w:t>2.5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7" w:line="220" w:lineRule="auto"/>
              <w:ind w:left="859"/>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最小坡长</w:t>
            </w:r>
          </w:p>
        </w:tc>
        <w:tc>
          <w:tcPr>
            <w:tcW w:w="702" w:type="dxa"/>
          </w:tcPr>
          <w:p>
            <w:pPr>
              <w:pStyle w:val="391"/>
              <w:autoSpaceDE w:val="0"/>
              <w:autoSpaceDN w:val="0"/>
              <w:spacing w:before="138" w:line="241" w:lineRule="auto"/>
              <w:ind w:left="289"/>
              <w:rPr>
                <w:rFonts w:ascii="Times New Roman" w:hAnsi="Times New Roman" w:cs="Times New Roman" w:eastAsiaTheme="minorEastAsia"/>
                <w:b w:val="0"/>
                <w:bCs/>
                <w:color w:val="000000" w:themeColor="text1"/>
                <w:sz w:val="2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181" w:type="dxa"/>
          </w:tcPr>
          <w:p>
            <w:pPr>
              <w:pStyle w:val="391"/>
              <w:autoSpaceDE w:val="0"/>
              <w:autoSpaceDN w:val="0"/>
              <w:spacing w:before="175" w:line="184" w:lineRule="auto"/>
              <w:ind w:left="433"/>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110</w:t>
            </w:r>
          </w:p>
        </w:tc>
        <w:tc>
          <w:tcPr>
            <w:tcW w:w="1479" w:type="dxa"/>
          </w:tcPr>
          <w:p>
            <w:pPr>
              <w:pStyle w:val="391"/>
              <w:autoSpaceDE w:val="0"/>
              <w:autoSpaceDN w:val="0"/>
              <w:spacing w:before="175" w:line="184" w:lineRule="auto"/>
              <w:ind w:left="517"/>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130</w:t>
            </w:r>
          </w:p>
        </w:tc>
      </w:tr>
    </w:tbl>
    <w:p>
      <w:pPr>
        <w:pStyle w:val="3"/>
        <w:ind w:firstLine="562" w:firstLineChars="200"/>
      </w:pPr>
      <w:bookmarkStart w:id="112" w:name="_Toc10953"/>
      <w:bookmarkStart w:id="113" w:name="_Toc23294"/>
      <w:r>
        <w:t>项目产出方案</w:t>
      </w:r>
      <w:bookmarkEnd w:id="112"/>
      <w:bookmarkEnd w:id="113"/>
    </w:p>
    <w:p>
      <w:pPr>
        <w:pStyle w:val="4"/>
        <w:ind w:firstLine="482" w:firstLineChars="200"/>
      </w:pPr>
      <w:bookmarkStart w:id="114" w:name="_Toc28657"/>
      <w:bookmarkStart w:id="115" w:name="_Toc14499"/>
      <w:r>
        <w:t>断面流量预测结果</w:t>
      </w:r>
      <w:bookmarkEnd w:id="114"/>
      <w:bookmarkEnd w:id="115"/>
    </w:p>
    <w:p>
      <w:pPr>
        <w:spacing w:line="360" w:lineRule="auto"/>
        <w:ind w:firstLine="476" w:firstLineChars="200"/>
        <w:rPr>
          <w:rFonts w:ascii="Times New Roman" w:hAnsi="Times New Roman"/>
          <w:b w:val="0"/>
          <w:bCs/>
          <w:color w:val="000000" w:themeColor="text1"/>
          <w:spacing w:val="-2"/>
          <w:sz w:val="24"/>
          <w:szCs w:val="24"/>
          <w14:textFill>
            <w14:solidFill>
              <w14:schemeClr w14:val="tx1"/>
            </w14:solidFill>
          </w14:textFill>
        </w:rPr>
      </w:pPr>
      <w:r>
        <w:rPr>
          <w:rFonts w:ascii="Times New Roman" w:hAnsi="Times New Roman"/>
          <w:b w:val="0"/>
          <w:bCs/>
          <w:color w:val="000000" w:themeColor="text1"/>
          <w:spacing w:val="-1"/>
          <w:sz w:val="24"/>
          <w:szCs w:val="24"/>
          <w14:textFill>
            <w14:solidFill>
              <w14:schemeClr w14:val="tx1"/>
            </w14:solidFill>
          </w14:textFill>
        </w:rPr>
        <w:t>根据模型测算，本项目各路段主要断面预测交通流量及车道</w:t>
      </w:r>
      <w:r>
        <w:rPr>
          <w:rFonts w:ascii="Times New Roman" w:hAnsi="Times New Roman"/>
          <w:b w:val="0"/>
          <w:bCs/>
          <w:color w:val="000000" w:themeColor="text1"/>
          <w:spacing w:val="-2"/>
          <w:sz w:val="24"/>
          <w:szCs w:val="24"/>
          <w14:textFill>
            <w14:solidFill>
              <w14:schemeClr w14:val="tx1"/>
            </w14:solidFill>
          </w14:textFill>
        </w:rPr>
        <w:t>数确定如下表所示。</w:t>
      </w:r>
    </w:p>
    <w:p>
      <w:pPr>
        <w:spacing w:before="48" w:line="214" w:lineRule="auto"/>
        <w:ind w:left="2678" w:firstLine="450" w:firstLineChars="200"/>
        <w:rPr>
          <w:rFonts w:ascii="Times New Roman" w:hAnsi="Times New Roman"/>
          <w:sz w:val="24"/>
          <w:szCs w:val="24"/>
        </w:rPr>
      </w:pPr>
      <w:r>
        <w:rPr>
          <w:rFonts w:ascii="Times New Roman" w:hAnsi="Times New Roman"/>
          <w:spacing w:val="-8"/>
          <w:sz w:val="24"/>
          <w:szCs w:val="24"/>
          <w14:textOutline w14:w="3048" w14:cap="flat" w14:cmpd="sng" w14:algn="ctr">
            <w14:solidFill>
              <w14:srgbClr w14:val="000000"/>
            </w14:solidFill>
            <w14:prstDash w14:val="solid"/>
            <w14:miter w14:val="0"/>
          </w14:textOutline>
        </w:rPr>
        <w:t>主干路高峰小时单向交通量预测表（单位：pcu/h）</w:t>
      </w:r>
    </w:p>
    <w:tbl>
      <w:tblPr>
        <w:tblStyle w:val="379"/>
        <w:tblW w:w="10189" w:type="dxa"/>
        <w:tblInd w:w="18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250"/>
        <w:gridCol w:w="1943"/>
        <w:gridCol w:w="2093"/>
        <w:gridCol w:w="1944"/>
        <w:gridCol w:w="1959"/>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8" w:hRule="atLeast"/>
        </w:trPr>
        <w:tc>
          <w:tcPr>
            <w:tcW w:w="2250" w:type="dxa"/>
          </w:tcPr>
          <w:p>
            <w:pPr>
              <w:pStyle w:val="391"/>
              <w:autoSpaceDE w:val="0"/>
              <w:autoSpaceDN w:val="0"/>
              <w:spacing w:before="173" w:line="220" w:lineRule="auto"/>
              <w:ind w:left="65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道路名称</w:t>
            </w:r>
          </w:p>
        </w:tc>
        <w:tc>
          <w:tcPr>
            <w:tcW w:w="1943" w:type="dxa"/>
          </w:tcPr>
          <w:p>
            <w:pPr>
              <w:pStyle w:val="391"/>
              <w:autoSpaceDE w:val="0"/>
              <w:autoSpaceDN w:val="0"/>
              <w:spacing w:before="173" w:line="220" w:lineRule="auto"/>
              <w:ind w:left="58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eastAsia="Calibri" w:cs="Times New Roman"/>
                <w:b w:val="0"/>
                <w:bCs/>
                <w:color w:val="000000" w:themeColor="text1"/>
                <w:spacing w:val="-3"/>
                <w14:textFill>
                  <w14:solidFill>
                    <w14:schemeClr w14:val="tx1"/>
                  </w14:solidFill>
                </w14:textFill>
              </w:rPr>
              <w:t>2025</w:t>
            </w:r>
            <w:r>
              <w:rPr>
                <w:rFonts w:ascii="Times New Roman" w:hAnsi="Times New Roman" w:cs="Times New Roman" w:eastAsiaTheme="minorEastAsia"/>
                <w:b w:val="0"/>
                <w:bCs/>
                <w:color w:val="000000" w:themeColor="text1"/>
                <w:spacing w:val="-3"/>
                <w14:textFill>
                  <w14:solidFill>
                    <w14:schemeClr w14:val="tx1"/>
                  </w14:solidFill>
                </w14:textFill>
              </w:rPr>
              <w:t>年</w:t>
            </w:r>
          </w:p>
        </w:tc>
        <w:tc>
          <w:tcPr>
            <w:tcW w:w="2093" w:type="dxa"/>
          </w:tcPr>
          <w:p>
            <w:pPr>
              <w:pStyle w:val="391"/>
              <w:autoSpaceDE w:val="0"/>
              <w:autoSpaceDN w:val="0"/>
              <w:spacing w:before="173" w:line="220" w:lineRule="auto"/>
              <w:ind w:left="66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eastAsia="Calibri" w:cs="Times New Roman"/>
                <w:b w:val="0"/>
                <w:bCs/>
                <w:color w:val="000000" w:themeColor="text1"/>
                <w:spacing w:val="-3"/>
                <w14:textFill>
                  <w14:solidFill>
                    <w14:schemeClr w14:val="tx1"/>
                  </w14:solidFill>
                </w14:textFill>
              </w:rPr>
              <w:t>2035</w:t>
            </w:r>
            <w:r>
              <w:rPr>
                <w:rFonts w:ascii="Times New Roman" w:hAnsi="Times New Roman" w:cs="Times New Roman" w:eastAsiaTheme="minorEastAsia"/>
                <w:b w:val="0"/>
                <w:bCs/>
                <w:color w:val="000000" w:themeColor="text1"/>
                <w:spacing w:val="-3"/>
                <w14:textFill>
                  <w14:solidFill>
                    <w14:schemeClr w14:val="tx1"/>
                  </w14:solidFill>
                </w14:textFill>
              </w:rPr>
              <w:t>年</w:t>
            </w:r>
          </w:p>
        </w:tc>
        <w:tc>
          <w:tcPr>
            <w:tcW w:w="1944" w:type="dxa"/>
          </w:tcPr>
          <w:p>
            <w:pPr>
              <w:pStyle w:val="391"/>
              <w:autoSpaceDE w:val="0"/>
              <w:autoSpaceDN w:val="0"/>
              <w:spacing w:before="173" w:line="220" w:lineRule="auto"/>
              <w:ind w:left="59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eastAsia="Calibri" w:cs="Times New Roman"/>
                <w:b w:val="0"/>
                <w:bCs/>
                <w:color w:val="000000" w:themeColor="text1"/>
                <w:spacing w:val="-4"/>
                <w14:textFill>
                  <w14:solidFill>
                    <w14:schemeClr w14:val="tx1"/>
                  </w14:solidFill>
                </w14:textFill>
              </w:rPr>
              <w:t>2040</w:t>
            </w:r>
            <w:r>
              <w:rPr>
                <w:rFonts w:ascii="Times New Roman" w:hAnsi="Times New Roman" w:cs="Times New Roman" w:eastAsiaTheme="minorEastAsia"/>
                <w:b w:val="0"/>
                <w:bCs/>
                <w:color w:val="000000" w:themeColor="text1"/>
                <w:spacing w:val="-4"/>
                <w14:textFill>
                  <w14:solidFill>
                    <w14:schemeClr w14:val="tx1"/>
                  </w14:solidFill>
                </w14:textFill>
              </w:rPr>
              <w:t>年</w:t>
            </w:r>
          </w:p>
        </w:tc>
        <w:tc>
          <w:tcPr>
            <w:tcW w:w="1959" w:type="dxa"/>
          </w:tcPr>
          <w:p>
            <w:pPr>
              <w:pStyle w:val="391"/>
              <w:autoSpaceDE w:val="0"/>
              <w:autoSpaceDN w:val="0"/>
              <w:spacing w:before="173" w:line="220" w:lineRule="auto"/>
              <w:ind w:left="59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eastAsia="Calibri" w:cs="Times New Roman"/>
                <w:b w:val="0"/>
                <w:bCs/>
                <w:color w:val="000000" w:themeColor="text1"/>
                <w:spacing w:val="-3"/>
                <w14:textFill>
                  <w14:solidFill>
                    <w14:schemeClr w14:val="tx1"/>
                  </w14:solidFill>
                </w14:textFill>
              </w:rPr>
              <w:t>2045</w:t>
            </w:r>
            <w:r>
              <w:rPr>
                <w:rFonts w:ascii="Times New Roman" w:hAnsi="Times New Roman" w:cs="Times New Roman" w:eastAsiaTheme="minorEastAsia"/>
                <w:b w:val="0"/>
                <w:bCs/>
                <w:color w:val="000000" w:themeColor="text1"/>
                <w:spacing w:val="-3"/>
                <w14:textFill>
                  <w14:solidFill>
                    <w14:schemeClr w14:val="tx1"/>
                  </w14:solidFill>
                </w14:textFill>
              </w:rPr>
              <w:t>年</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3" w:hRule="atLeast"/>
        </w:trPr>
        <w:tc>
          <w:tcPr>
            <w:tcW w:w="2250" w:type="dxa"/>
          </w:tcPr>
          <w:p>
            <w:pPr>
              <w:pStyle w:val="391"/>
              <w:autoSpaceDE w:val="0"/>
              <w:autoSpaceDN w:val="0"/>
              <w:spacing w:before="150" w:line="220" w:lineRule="auto"/>
              <w:ind w:left="53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二十涌北路</w:t>
            </w:r>
          </w:p>
        </w:tc>
        <w:tc>
          <w:tcPr>
            <w:tcW w:w="1943" w:type="dxa"/>
          </w:tcPr>
          <w:p>
            <w:pPr>
              <w:autoSpaceDE w:val="0"/>
              <w:autoSpaceDN w:val="0"/>
              <w:spacing w:before="187" w:line="193" w:lineRule="auto"/>
              <w:ind w:left="752"/>
              <w:rPr>
                <w:rFonts w:ascii="Times New Roman" w:hAnsi="Times New Roman" w:eastAsia="等线" w:cstheme="minorBidi"/>
                <w:b w:val="0"/>
                <w:bCs/>
                <w:color w:val="000000" w:themeColor="text1"/>
                <w:sz w:val="21"/>
                <w:szCs w:val="21"/>
                <w:lang w:eastAsia="en-US"/>
                <w14:textFill>
                  <w14:solidFill>
                    <w14:schemeClr w14:val="tx1"/>
                  </w14:solidFill>
                </w14:textFill>
              </w:rPr>
            </w:pPr>
            <w:r>
              <w:rPr>
                <w:rFonts w:ascii="Times New Roman" w:hAnsi="Times New Roman" w:eastAsia="等线" w:cstheme="minorBidi"/>
                <w:b w:val="0"/>
                <w:bCs/>
                <w:color w:val="000000" w:themeColor="text1"/>
                <w:sz w:val="21"/>
                <w:szCs w:val="21"/>
                <w:lang w:eastAsia="en-US"/>
                <w14:textFill>
                  <w14:solidFill>
                    <w14:schemeClr w14:val="tx1"/>
                  </w14:solidFill>
                </w14:textFill>
              </w:rPr>
              <w:t>1099</w:t>
            </w:r>
          </w:p>
        </w:tc>
        <w:tc>
          <w:tcPr>
            <w:tcW w:w="2093" w:type="dxa"/>
          </w:tcPr>
          <w:p>
            <w:pPr>
              <w:autoSpaceDE w:val="0"/>
              <w:autoSpaceDN w:val="0"/>
              <w:spacing w:before="187" w:line="193" w:lineRule="auto"/>
              <w:ind w:left="828"/>
              <w:rPr>
                <w:rFonts w:ascii="Times New Roman" w:hAnsi="Times New Roman" w:eastAsia="等线" w:cstheme="minorBidi"/>
                <w:b w:val="0"/>
                <w:bCs/>
                <w:color w:val="000000" w:themeColor="text1"/>
                <w:sz w:val="21"/>
                <w:szCs w:val="21"/>
                <w:lang w:eastAsia="en-US"/>
                <w14:textFill>
                  <w14:solidFill>
                    <w14:schemeClr w14:val="tx1"/>
                  </w14:solidFill>
                </w14:textFill>
              </w:rPr>
            </w:pPr>
            <w:r>
              <w:rPr>
                <w:rFonts w:ascii="Times New Roman" w:hAnsi="Times New Roman" w:eastAsia="等线" w:cstheme="minorBidi"/>
                <w:b w:val="0"/>
                <w:bCs/>
                <w:color w:val="000000" w:themeColor="text1"/>
                <w:sz w:val="21"/>
                <w:szCs w:val="21"/>
                <w:lang w:eastAsia="en-US"/>
                <w14:textFill>
                  <w14:solidFill>
                    <w14:schemeClr w14:val="tx1"/>
                  </w14:solidFill>
                </w14:textFill>
              </w:rPr>
              <w:t>1601</w:t>
            </w:r>
          </w:p>
        </w:tc>
        <w:tc>
          <w:tcPr>
            <w:tcW w:w="1944" w:type="dxa"/>
          </w:tcPr>
          <w:p>
            <w:pPr>
              <w:autoSpaceDE w:val="0"/>
              <w:autoSpaceDN w:val="0"/>
              <w:spacing w:before="187" w:line="193" w:lineRule="auto"/>
              <w:ind w:left="754"/>
              <w:rPr>
                <w:rFonts w:ascii="Times New Roman" w:hAnsi="Times New Roman" w:eastAsia="等线" w:cstheme="minorBidi"/>
                <w:b w:val="0"/>
                <w:bCs/>
                <w:color w:val="000000" w:themeColor="text1"/>
                <w:sz w:val="21"/>
                <w:szCs w:val="21"/>
                <w:lang w:eastAsia="en-US"/>
                <w14:textFill>
                  <w14:solidFill>
                    <w14:schemeClr w14:val="tx1"/>
                  </w14:solidFill>
                </w14:textFill>
              </w:rPr>
            </w:pPr>
            <w:r>
              <w:rPr>
                <w:rFonts w:ascii="Times New Roman" w:hAnsi="Times New Roman" w:eastAsia="等线" w:cstheme="minorBidi"/>
                <w:b w:val="0"/>
                <w:bCs/>
                <w:color w:val="000000" w:themeColor="text1"/>
                <w:sz w:val="21"/>
                <w:szCs w:val="21"/>
                <w:lang w:eastAsia="en-US"/>
                <w14:textFill>
                  <w14:solidFill>
                    <w14:schemeClr w14:val="tx1"/>
                  </w14:solidFill>
                </w14:textFill>
              </w:rPr>
              <w:t>1915</w:t>
            </w:r>
          </w:p>
        </w:tc>
        <w:tc>
          <w:tcPr>
            <w:tcW w:w="1959" w:type="dxa"/>
          </w:tcPr>
          <w:p>
            <w:pPr>
              <w:autoSpaceDE w:val="0"/>
              <w:autoSpaceDN w:val="0"/>
              <w:spacing w:before="187" w:line="193" w:lineRule="auto"/>
              <w:ind w:left="750"/>
              <w:rPr>
                <w:rFonts w:ascii="Times New Roman" w:hAnsi="Times New Roman" w:eastAsia="等线" w:cstheme="minorBidi"/>
                <w:b w:val="0"/>
                <w:bCs/>
                <w:color w:val="000000" w:themeColor="text1"/>
                <w:sz w:val="21"/>
                <w:szCs w:val="21"/>
                <w:lang w:eastAsia="en-US"/>
                <w14:textFill>
                  <w14:solidFill>
                    <w14:schemeClr w14:val="tx1"/>
                  </w14:solidFill>
                </w14:textFill>
              </w:rPr>
            </w:pPr>
            <w:r>
              <w:rPr>
                <w:rFonts w:ascii="Times New Roman" w:hAnsi="Times New Roman" w:eastAsia="等线" w:cstheme="minorBidi"/>
                <w:b w:val="0"/>
                <w:bCs/>
                <w:color w:val="000000" w:themeColor="text1"/>
                <w:spacing w:val="1"/>
                <w:sz w:val="21"/>
                <w:szCs w:val="21"/>
                <w:lang w:eastAsia="en-US"/>
                <w14:textFill>
                  <w14:solidFill>
                    <w14:schemeClr w14:val="tx1"/>
                  </w14:solidFill>
                </w14:textFill>
              </w:rPr>
              <w:t>2229</w:t>
            </w:r>
          </w:p>
        </w:tc>
      </w:tr>
    </w:tbl>
    <w:p>
      <w:pPr>
        <w:spacing w:before="147" w:line="214" w:lineRule="auto"/>
        <w:ind w:left="2683" w:firstLine="450" w:firstLineChars="200"/>
        <w:rPr>
          <w:rFonts w:ascii="Times New Roman" w:hAnsi="Times New Roman"/>
          <w:sz w:val="24"/>
          <w:szCs w:val="24"/>
        </w:rPr>
      </w:pPr>
      <w:r>
        <w:rPr>
          <w:rFonts w:ascii="Times New Roman" w:hAnsi="Times New Roman"/>
          <w:spacing w:val="-8"/>
          <w:sz w:val="24"/>
          <w:szCs w:val="24"/>
          <w14:textOutline w14:w="3048" w14:cap="flat" w14:cmpd="sng" w14:algn="ctr">
            <w14:solidFill>
              <w14:srgbClr w14:val="000000"/>
            </w14:solidFill>
            <w14:prstDash w14:val="solid"/>
            <w14:miter w14:val="0"/>
          </w14:textOutline>
        </w:rPr>
        <w:t>次干路高峰小时单向交通量预测表（单位：pcu/h）</w:t>
      </w:r>
    </w:p>
    <w:tbl>
      <w:tblPr>
        <w:tblStyle w:val="379"/>
        <w:tblW w:w="10189" w:type="dxa"/>
        <w:tblInd w:w="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250"/>
        <w:gridCol w:w="1943"/>
        <w:gridCol w:w="2093"/>
        <w:gridCol w:w="1944"/>
        <w:gridCol w:w="1959"/>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2" w:hRule="atLeast"/>
        </w:trPr>
        <w:tc>
          <w:tcPr>
            <w:tcW w:w="2250" w:type="dxa"/>
          </w:tcPr>
          <w:p>
            <w:pPr>
              <w:pStyle w:val="391"/>
              <w:autoSpaceDE w:val="0"/>
              <w:autoSpaceDN w:val="0"/>
              <w:spacing w:before="144" w:line="220" w:lineRule="auto"/>
              <w:ind w:left="65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道路名称</w:t>
            </w:r>
          </w:p>
        </w:tc>
        <w:tc>
          <w:tcPr>
            <w:tcW w:w="1943" w:type="dxa"/>
          </w:tcPr>
          <w:p>
            <w:pPr>
              <w:pStyle w:val="391"/>
              <w:autoSpaceDE w:val="0"/>
              <w:autoSpaceDN w:val="0"/>
              <w:spacing w:before="144" w:line="220" w:lineRule="auto"/>
              <w:ind w:left="58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eastAsia="Calibri" w:cs="Times New Roman"/>
                <w:b w:val="0"/>
                <w:bCs/>
                <w:color w:val="000000" w:themeColor="text1"/>
                <w:spacing w:val="-3"/>
                <w14:textFill>
                  <w14:solidFill>
                    <w14:schemeClr w14:val="tx1"/>
                  </w14:solidFill>
                </w14:textFill>
              </w:rPr>
              <w:t>2025</w:t>
            </w:r>
            <w:r>
              <w:rPr>
                <w:rFonts w:ascii="Times New Roman" w:hAnsi="Times New Roman" w:cs="Times New Roman" w:eastAsiaTheme="minorEastAsia"/>
                <w:b w:val="0"/>
                <w:bCs/>
                <w:color w:val="000000" w:themeColor="text1"/>
                <w:spacing w:val="-3"/>
                <w14:textFill>
                  <w14:solidFill>
                    <w14:schemeClr w14:val="tx1"/>
                  </w14:solidFill>
                </w14:textFill>
              </w:rPr>
              <w:t>年</w:t>
            </w:r>
          </w:p>
        </w:tc>
        <w:tc>
          <w:tcPr>
            <w:tcW w:w="2093" w:type="dxa"/>
          </w:tcPr>
          <w:p>
            <w:pPr>
              <w:pStyle w:val="391"/>
              <w:autoSpaceDE w:val="0"/>
              <w:autoSpaceDN w:val="0"/>
              <w:spacing w:before="144" w:line="220" w:lineRule="auto"/>
              <w:ind w:left="66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eastAsia="Calibri" w:cs="Times New Roman"/>
                <w:b w:val="0"/>
                <w:bCs/>
                <w:color w:val="000000" w:themeColor="text1"/>
                <w:spacing w:val="-3"/>
                <w14:textFill>
                  <w14:solidFill>
                    <w14:schemeClr w14:val="tx1"/>
                  </w14:solidFill>
                </w14:textFill>
              </w:rPr>
              <w:t>2035</w:t>
            </w:r>
            <w:r>
              <w:rPr>
                <w:rFonts w:ascii="Times New Roman" w:hAnsi="Times New Roman" w:cs="Times New Roman" w:eastAsiaTheme="minorEastAsia"/>
                <w:b w:val="0"/>
                <w:bCs/>
                <w:color w:val="000000" w:themeColor="text1"/>
                <w:spacing w:val="-3"/>
                <w14:textFill>
                  <w14:solidFill>
                    <w14:schemeClr w14:val="tx1"/>
                  </w14:solidFill>
                </w14:textFill>
              </w:rPr>
              <w:t>年</w:t>
            </w:r>
          </w:p>
        </w:tc>
        <w:tc>
          <w:tcPr>
            <w:tcW w:w="1944" w:type="dxa"/>
          </w:tcPr>
          <w:p>
            <w:pPr>
              <w:pStyle w:val="391"/>
              <w:autoSpaceDE w:val="0"/>
              <w:autoSpaceDN w:val="0"/>
              <w:spacing w:before="144" w:line="220" w:lineRule="auto"/>
              <w:ind w:left="59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eastAsia="Calibri" w:cs="Times New Roman"/>
                <w:b w:val="0"/>
                <w:bCs/>
                <w:color w:val="000000" w:themeColor="text1"/>
                <w:spacing w:val="-4"/>
                <w14:textFill>
                  <w14:solidFill>
                    <w14:schemeClr w14:val="tx1"/>
                  </w14:solidFill>
                </w14:textFill>
              </w:rPr>
              <w:t>2040</w:t>
            </w:r>
            <w:r>
              <w:rPr>
                <w:rFonts w:ascii="Times New Roman" w:hAnsi="Times New Roman" w:cs="Times New Roman" w:eastAsiaTheme="minorEastAsia"/>
                <w:b w:val="0"/>
                <w:bCs/>
                <w:color w:val="000000" w:themeColor="text1"/>
                <w:spacing w:val="-4"/>
                <w14:textFill>
                  <w14:solidFill>
                    <w14:schemeClr w14:val="tx1"/>
                  </w14:solidFill>
                </w14:textFill>
              </w:rPr>
              <w:t>年</w:t>
            </w:r>
          </w:p>
        </w:tc>
        <w:tc>
          <w:tcPr>
            <w:tcW w:w="1959" w:type="dxa"/>
          </w:tcPr>
          <w:p>
            <w:pPr>
              <w:pStyle w:val="391"/>
              <w:autoSpaceDE w:val="0"/>
              <w:autoSpaceDN w:val="0"/>
              <w:spacing w:before="73" w:line="220" w:lineRule="auto"/>
              <w:ind w:left="59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eastAsia="Calibri" w:cs="Times New Roman"/>
                <w:b w:val="0"/>
                <w:bCs/>
                <w:color w:val="000000" w:themeColor="text1"/>
                <w:spacing w:val="-3"/>
                <w14:textFill>
                  <w14:solidFill>
                    <w14:schemeClr w14:val="tx1"/>
                  </w14:solidFill>
                </w14:textFill>
              </w:rPr>
              <w:t>2045</w:t>
            </w:r>
            <w:r>
              <w:rPr>
                <w:rFonts w:ascii="Times New Roman" w:hAnsi="Times New Roman" w:cs="Times New Roman" w:eastAsiaTheme="minorEastAsia"/>
                <w:b w:val="0"/>
                <w:bCs/>
                <w:color w:val="000000" w:themeColor="text1"/>
                <w:spacing w:val="-3"/>
                <w14:textFill>
                  <w14:solidFill>
                    <w14:schemeClr w14:val="tx1"/>
                  </w14:solidFill>
                </w14:textFill>
              </w:rPr>
              <w:t>年</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7" w:hRule="atLeast"/>
        </w:trPr>
        <w:tc>
          <w:tcPr>
            <w:tcW w:w="2250" w:type="dxa"/>
          </w:tcPr>
          <w:p>
            <w:pPr>
              <w:pStyle w:val="391"/>
              <w:autoSpaceDE w:val="0"/>
              <w:autoSpaceDN w:val="0"/>
              <w:spacing w:before="123" w:line="220" w:lineRule="auto"/>
              <w:ind w:left="53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规划纵三路</w:t>
            </w:r>
          </w:p>
        </w:tc>
        <w:tc>
          <w:tcPr>
            <w:tcW w:w="1943" w:type="dxa"/>
          </w:tcPr>
          <w:p>
            <w:pPr>
              <w:autoSpaceDE w:val="0"/>
              <w:autoSpaceDN w:val="0"/>
              <w:spacing w:before="160" w:line="193" w:lineRule="auto"/>
              <w:ind w:left="752"/>
              <w:rPr>
                <w:rFonts w:ascii="Times New Roman" w:hAnsi="Times New Roman" w:eastAsia="等线" w:cstheme="minorBidi"/>
                <w:b w:val="0"/>
                <w:bCs/>
                <w:color w:val="000000" w:themeColor="text1"/>
                <w:sz w:val="21"/>
                <w:szCs w:val="21"/>
                <w:lang w:eastAsia="en-US"/>
                <w14:textFill>
                  <w14:solidFill>
                    <w14:schemeClr w14:val="tx1"/>
                  </w14:solidFill>
                </w14:textFill>
              </w:rPr>
            </w:pPr>
            <w:r>
              <w:rPr>
                <w:rFonts w:ascii="Times New Roman" w:hAnsi="Times New Roman" w:eastAsia="等线" w:cstheme="minorBidi"/>
                <w:b w:val="0"/>
                <w:bCs/>
                <w:color w:val="000000" w:themeColor="text1"/>
                <w:sz w:val="21"/>
                <w:szCs w:val="21"/>
                <w:lang w:eastAsia="en-US"/>
                <w14:textFill>
                  <w14:solidFill>
                    <w14:schemeClr w14:val="tx1"/>
                  </w14:solidFill>
                </w14:textFill>
              </w:rPr>
              <w:t>1094</w:t>
            </w:r>
          </w:p>
        </w:tc>
        <w:tc>
          <w:tcPr>
            <w:tcW w:w="2093" w:type="dxa"/>
          </w:tcPr>
          <w:p>
            <w:pPr>
              <w:autoSpaceDE w:val="0"/>
              <w:autoSpaceDN w:val="0"/>
              <w:spacing w:before="160" w:line="193" w:lineRule="auto"/>
              <w:ind w:left="828"/>
              <w:rPr>
                <w:rFonts w:ascii="Times New Roman" w:hAnsi="Times New Roman" w:eastAsia="等线" w:cstheme="minorBidi"/>
                <w:b w:val="0"/>
                <w:bCs/>
                <w:color w:val="000000" w:themeColor="text1"/>
                <w:sz w:val="21"/>
                <w:szCs w:val="21"/>
                <w:lang w:eastAsia="en-US"/>
                <w14:textFill>
                  <w14:solidFill>
                    <w14:schemeClr w14:val="tx1"/>
                  </w14:solidFill>
                </w14:textFill>
              </w:rPr>
            </w:pPr>
            <w:r>
              <w:rPr>
                <w:rFonts w:ascii="Times New Roman" w:hAnsi="Times New Roman" w:eastAsia="等线" w:cstheme="minorBidi"/>
                <w:b w:val="0"/>
                <w:bCs/>
                <w:color w:val="000000" w:themeColor="text1"/>
                <w:sz w:val="21"/>
                <w:szCs w:val="21"/>
                <w:lang w:eastAsia="en-US"/>
                <w14:textFill>
                  <w14:solidFill>
                    <w14:schemeClr w14:val="tx1"/>
                  </w14:solidFill>
                </w14:textFill>
              </w:rPr>
              <w:t>1583</w:t>
            </w:r>
          </w:p>
        </w:tc>
        <w:tc>
          <w:tcPr>
            <w:tcW w:w="1944" w:type="dxa"/>
          </w:tcPr>
          <w:p>
            <w:pPr>
              <w:autoSpaceDE w:val="0"/>
              <w:autoSpaceDN w:val="0"/>
              <w:spacing w:before="160" w:line="193" w:lineRule="auto"/>
              <w:ind w:left="754"/>
              <w:rPr>
                <w:rFonts w:ascii="Times New Roman" w:hAnsi="Times New Roman" w:eastAsia="等线" w:cstheme="minorBidi"/>
                <w:b w:val="0"/>
                <w:bCs/>
                <w:color w:val="000000" w:themeColor="text1"/>
                <w:sz w:val="21"/>
                <w:szCs w:val="21"/>
                <w:lang w:eastAsia="en-US"/>
                <w14:textFill>
                  <w14:solidFill>
                    <w14:schemeClr w14:val="tx1"/>
                  </w14:solidFill>
                </w14:textFill>
              </w:rPr>
            </w:pPr>
            <w:r>
              <w:rPr>
                <w:rFonts w:ascii="Times New Roman" w:hAnsi="Times New Roman" w:eastAsia="等线" w:cstheme="minorBidi"/>
                <w:b w:val="0"/>
                <w:bCs/>
                <w:color w:val="000000" w:themeColor="text1"/>
                <w:sz w:val="21"/>
                <w:szCs w:val="21"/>
                <w:lang w:eastAsia="en-US"/>
                <w14:textFill>
                  <w14:solidFill>
                    <w14:schemeClr w14:val="tx1"/>
                  </w14:solidFill>
                </w14:textFill>
              </w:rPr>
              <w:t>1842</w:t>
            </w:r>
          </w:p>
        </w:tc>
        <w:tc>
          <w:tcPr>
            <w:tcW w:w="1959" w:type="dxa"/>
          </w:tcPr>
          <w:p>
            <w:pPr>
              <w:autoSpaceDE w:val="0"/>
              <w:autoSpaceDN w:val="0"/>
              <w:spacing w:before="160" w:line="193" w:lineRule="auto"/>
              <w:ind w:left="750"/>
              <w:rPr>
                <w:rFonts w:ascii="Times New Roman" w:hAnsi="Times New Roman" w:eastAsia="等线" w:cstheme="minorBidi"/>
                <w:b w:val="0"/>
                <w:bCs/>
                <w:color w:val="000000" w:themeColor="text1"/>
                <w:sz w:val="21"/>
                <w:szCs w:val="21"/>
                <w:lang w:eastAsia="en-US"/>
                <w14:textFill>
                  <w14:solidFill>
                    <w14:schemeClr w14:val="tx1"/>
                  </w14:solidFill>
                </w14:textFill>
              </w:rPr>
            </w:pPr>
            <w:r>
              <w:rPr>
                <w:rFonts w:ascii="Times New Roman" w:hAnsi="Times New Roman" w:eastAsia="等线" w:cstheme="minorBidi"/>
                <w:b w:val="0"/>
                <w:bCs/>
                <w:color w:val="000000" w:themeColor="text1"/>
                <w:spacing w:val="1"/>
                <w:sz w:val="21"/>
                <w:szCs w:val="21"/>
                <w:lang w:eastAsia="en-US"/>
                <w14:textFill>
                  <w14:solidFill>
                    <w14:schemeClr w14:val="tx1"/>
                  </w14:solidFill>
                </w14:textFill>
              </w:rPr>
              <w:t>2130</w:t>
            </w:r>
          </w:p>
        </w:tc>
      </w:tr>
    </w:tbl>
    <w:p>
      <w:pPr>
        <w:pStyle w:val="110"/>
        <w:ind w:firstLine="480"/>
        <w:rPr>
          <w:rFonts w:ascii="Times New Roman" w:hAnsi="Times New Roman" w:cs="Times New Roman"/>
          <w:szCs w:val="28"/>
        </w:rPr>
      </w:pPr>
      <w:r>
        <w:rPr>
          <w:rFonts w:ascii="Times New Roman" w:hAnsi="Times New Roman" w:cs="Times New Roman"/>
          <w:szCs w:val="28"/>
        </w:rPr>
        <w:t>根据道路通行能力计算的相关资料，城市道路可按道路交通量的饱和度来确定服务水平，服务水平与道路饱和度（V/C）的关系如下表所示：</w:t>
      </w:r>
    </w:p>
    <w:p>
      <w:pPr>
        <w:spacing w:line="360" w:lineRule="auto"/>
        <w:ind w:firstLine="422" w:firstLineChars="200"/>
        <w:jc w:val="center"/>
        <w:rPr>
          <w:rFonts w:ascii="Times New Roman" w:hAnsi="Times New Roman"/>
          <w:color w:val="000000" w:themeColor="text1"/>
          <w:sz w:val="21"/>
          <w14:textFill>
            <w14:solidFill>
              <w14:schemeClr w14:val="tx1"/>
            </w14:solidFill>
          </w14:textFill>
        </w:rPr>
      </w:pPr>
      <w:r>
        <w:rPr>
          <w:rFonts w:ascii="Times New Roman" w:hAnsi="Times New Roman"/>
          <w:color w:val="000000" w:themeColor="text1"/>
          <w:sz w:val="21"/>
          <w14:textFill>
            <w14:solidFill>
              <w14:schemeClr w14:val="tx1"/>
            </w14:solidFill>
          </w14:textFill>
        </w:rPr>
        <w:t>服务水平与道路饱和度关系表</w:t>
      </w:r>
    </w:p>
    <w:tbl>
      <w:tblPr>
        <w:tblStyle w:val="32"/>
        <w:tblW w:w="5000" w:type="pct"/>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108" w:type="dxa"/>
          <w:bottom w:w="0" w:type="dxa"/>
          <w:right w:w="108" w:type="dxa"/>
        </w:tblCellMar>
      </w:tblPr>
      <w:tblGrid>
        <w:gridCol w:w="1437"/>
        <w:gridCol w:w="1219"/>
        <w:gridCol w:w="1684"/>
        <w:gridCol w:w="1684"/>
        <w:gridCol w:w="1684"/>
        <w:gridCol w:w="1566"/>
        <w:gridCol w:w="1201"/>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67" w:hRule="atLeast"/>
        </w:trPr>
        <w:tc>
          <w:tcPr>
            <w:tcW w:w="686" w:type="pct"/>
            <w:shd w:val="clear" w:color="auto" w:fill="FAD2B4"/>
            <w:vAlign w:val="center"/>
          </w:tcPr>
          <w:p>
            <w:pPr>
              <w:pStyle w:val="65"/>
              <w:jc w:val="center"/>
              <w:rPr>
                <w:rFonts w:ascii="Times New Roman" w:cs="Times New Roman"/>
                <w:color w:val="auto"/>
                <w:sz w:val="21"/>
                <w:szCs w:val="21"/>
              </w:rPr>
            </w:pPr>
            <w:r>
              <w:rPr>
                <w:rFonts w:ascii="Times New Roman" w:cs="Times New Roman"/>
                <w:color w:val="auto"/>
                <w:sz w:val="21"/>
                <w:szCs w:val="21"/>
              </w:rPr>
              <w:t>服务水平</w:t>
            </w:r>
          </w:p>
        </w:tc>
        <w:tc>
          <w:tcPr>
            <w:tcW w:w="582" w:type="pct"/>
            <w:shd w:val="clear" w:color="auto" w:fill="FAD2B4"/>
            <w:vAlign w:val="center"/>
          </w:tcPr>
          <w:p>
            <w:pPr>
              <w:pStyle w:val="65"/>
              <w:jc w:val="center"/>
              <w:rPr>
                <w:rFonts w:ascii="Times New Roman" w:cs="Times New Roman"/>
                <w:color w:val="auto"/>
                <w:sz w:val="21"/>
                <w:szCs w:val="21"/>
              </w:rPr>
            </w:pPr>
            <w:r>
              <w:rPr>
                <w:rFonts w:ascii="Times New Roman" w:cs="Times New Roman"/>
                <w:color w:val="auto"/>
                <w:sz w:val="21"/>
                <w:szCs w:val="21"/>
              </w:rPr>
              <w:t>A-畅通流</w:t>
            </w:r>
          </w:p>
        </w:tc>
        <w:tc>
          <w:tcPr>
            <w:tcW w:w="804" w:type="pct"/>
            <w:shd w:val="clear" w:color="auto" w:fill="FAD2B4"/>
            <w:vAlign w:val="center"/>
          </w:tcPr>
          <w:p>
            <w:pPr>
              <w:pStyle w:val="65"/>
              <w:jc w:val="center"/>
              <w:rPr>
                <w:rFonts w:ascii="Times New Roman" w:cs="Times New Roman"/>
                <w:color w:val="auto"/>
                <w:sz w:val="21"/>
                <w:szCs w:val="21"/>
              </w:rPr>
            </w:pPr>
            <w:r>
              <w:rPr>
                <w:rFonts w:ascii="Times New Roman" w:cs="Times New Roman"/>
                <w:color w:val="auto"/>
                <w:sz w:val="21"/>
                <w:szCs w:val="21"/>
              </w:rPr>
              <w:t>B-稳定流</w:t>
            </w:r>
          </w:p>
        </w:tc>
        <w:tc>
          <w:tcPr>
            <w:tcW w:w="804" w:type="pct"/>
            <w:shd w:val="clear" w:color="auto" w:fill="FAD2B4"/>
            <w:vAlign w:val="center"/>
          </w:tcPr>
          <w:p>
            <w:pPr>
              <w:pStyle w:val="65"/>
              <w:jc w:val="center"/>
              <w:rPr>
                <w:rFonts w:ascii="Times New Roman" w:cs="Times New Roman"/>
                <w:color w:val="auto"/>
                <w:sz w:val="21"/>
                <w:szCs w:val="21"/>
              </w:rPr>
            </w:pPr>
            <w:r>
              <w:rPr>
                <w:rFonts w:ascii="Times New Roman" w:cs="Times New Roman"/>
                <w:color w:val="auto"/>
                <w:sz w:val="21"/>
                <w:szCs w:val="21"/>
              </w:rPr>
              <w:t>C-限制流</w:t>
            </w:r>
          </w:p>
        </w:tc>
        <w:tc>
          <w:tcPr>
            <w:tcW w:w="804" w:type="pct"/>
            <w:shd w:val="clear" w:color="auto" w:fill="FAD2B4"/>
            <w:vAlign w:val="center"/>
          </w:tcPr>
          <w:p>
            <w:pPr>
              <w:pStyle w:val="65"/>
              <w:jc w:val="center"/>
              <w:rPr>
                <w:rFonts w:ascii="Times New Roman" w:cs="Times New Roman"/>
                <w:color w:val="auto"/>
                <w:sz w:val="21"/>
                <w:szCs w:val="21"/>
              </w:rPr>
            </w:pPr>
            <w:r>
              <w:rPr>
                <w:rFonts w:ascii="Times New Roman" w:cs="Times New Roman"/>
                <w:color w:val="auto"/>
                <w:sz w:val="21"/>
                <w:szCs w:val="21"/>
              </w:rPr>
              <w:t>D-高密度流</w:t>
            </w:r>
          </w:p>
        </w:tc>
        <w:tc>
          <w:tcPr>
            <w:tcW w:w="747" w:type="pct"/>
            <w:shd w:val="clear" w:color="auto" w:fill="FAD2B4"/>
            <w:vAlign w:val="center"/>
          </w:tcPr>
          <w:p>
            <w:pPr>
              <w:pStyle w:val="65"/>
              <w:jc w:val="center"/>
              <w:rPr>
                <w:rFonts w:ascii="Times New Roman" w:cs="Times New Roman"/>
                <w:color w:val="auto"/>
                <w:sz w:val="21"/>
                <w:szCs w:val="21"/>
              </w:rPr>
            </w:pPr>
            <w:r>
              <w:rPr>
                <w:rFonts w:ascii="Times New Roman" w:cs="Times New Roman"/>
                <w:color w:val="auto"/>
                <w:sz w:val="21"/>
                <w:szCs w:val="21"/>
              </w:rPr>
              <w:t>E-不稳定流</w:t>
            </w:r>
          </w:p>
        </w:tc>
        <w:tc>
          <w:tcPr>
            <w:tcW w:w="575" w:type="pct"/>
            <w:shd w:val="clear" w:color="auto" w:fill="FAD2B4"/>
            <w:vAlign w:val="center"/>
          </w:tcPr>
          <w:p>
            <w:pPr>
              <w:pStyle w:val="65"/>
              <w:jc w:val="center"/>
              <w:rPr>
                <w:rFonts w:ascii="Times New Roman" w:cs="Times New Roman"/>
                <w:color w:val="auto"/>
                <w:sz w:val="21"/>
                <w:szCs w:val="21"/>
              </w:rPr>
            </w:pPr>
            <w:r>
              <w:rPr>
                <w:rFonts w:ascii="Times New Roman" w:cs="Times New Roman"/>
                <w:color w:val="auto"/>
                <w:sz w:val="21"/>
                <w:szCs w:val="21"/>
              </w:rPr>
              <w:t>F-强制流</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67" w:hRule="atLeast"/>
        </w:trPr>
        <w:tc>
          <w:tcPr>
            <w:tcW w:w="686" w:type="pct"/>
            <w:shd w:val="clear" w:color="auto" w:fill="FAD2B4"/>
            <w:vAlign w:val="center"/>
          </w:tcPr>
          <w:p>
            <w:pPr>
              <w:pStyle w:val="65"/>
              <w:jc w:val="center"/>
              <w:rPr>
                <w:rFonts w:ascii="Times New Roman" w:cs="Times New Roman"/>
                <w:color w:val="auto"/>
                <w:sz w:val="21"/>
                <w:szCs w:val="21"/>
              </w:rPr>
            </w:pPr>
            <w:r>
              <w:rPr>
                <w:rFonts w:ascii="Times New Roman" w:cs="Times New Roman"/>
                <w:color w:val="auto"/>
                <w:sz w:val="21"/>
                <w:szCs w:val="21"/>
              </w:rPr>
              <w:t>V/C</w:t>
            </w:r>
          </w:p>
        </w:tc>
        <w:tc>
          <w:tcPr>
            <w:tcW w:w="582" w:type="pct"/>
            <w:vAlign w:val="center"/>
          </w:tcPr>
          <w:p>
            <w:pPr>
              <w:pStyle w:val="65"/>
              <w:jc w:val="center"/>
              <w:rPr>
                <w:rFonts w:ascii="Times New Roman" w:cs="Times New Roman"/>
                <w:color w:val="auto"/>
                <w:sz w:val="21"/>
                <w:szCs w:val="21"/>
              </w:rPr>
            </w:pPr>
            <w:r>
              <w:rPr>
                <w:rFonts w:ascii="Times New Roman" w:cs="Times New Roman"/>
                <w:color w:val="auto"/>
                <w:sz w:val="21"/>
                <w:szCs w:val="21"/>
              </w:rPr>
              <w:t>&lt;0.4</w:t>
            </w:r>
          </w:p>
        </w:tc>
        <w:tc>
          <w:tcPr>
            <w:tcW w:w="804" w:type="pct"/>
            <w:vAlign w:val="center"/>
          </w:tcPr>
          <w:p>
            <w:pPr>
              <w:pStyle w:val="65"/>
              <w:jc w:val="center"/>
              <w:rPr>
                <w:rFonts w:ascii="Times New Roman" w:cs="Times New Roman"/>
                <w:color w:val="auto"/>
                <w:sz w:val="21"/>
                <w:szCs w:val="21"/>
              </w:rPr>
            </w:pPr>
            <w:r>
              <w:rPr>
                <w:rFonts w:ascii="Times New Roman" w:cs="Times New Roman"/>
                <w:color w:val="auto"/>
                <w:sz w:val="21"/>
                <w:szCs w:val="21"/>
              </w:rPr>
              <w:t>0.4～0.6</w:t>
            </w:r>
          </w:p>
        </w:tc>
        <w:tc>
          <w:tcPr>
            <w:tcW w:w="804" w:type="pct"/>
            <w:vAlign w:val="center"/>
          </w:tcPr>
          <w:p>
            <w:pPr>
              <w:pStyle w:val="65"/>
              <w:jc w:val="center"/>
              <w:rPr>
                <w:rFonts w:ascii="Times New Roman" w:cs="Times New Roman"/>
                <w:color w:val="auto"/>
                <w:sz w:val="21"/>
                <w:szCs w:val="21"/>
              </w:rPr>
            </w:pPr>
            <w:r>
              <w:rPr>
                <w:rFonts w:ascii="Times New Roman" w:cs="Times New Roman"/>
                <w:color w:val="auto"/>
                <w:sz w:val="21"/>
                <w:szCs w:val="21"/>
              </w:rPr>
              <w:t>0.6～0.75</w:t>
            </w:r>
          </w:p>
        </w:tc>
        <w:tc>
          <w:tcPr>
            <w:tcW w:w="804" w:type="pct"/>
            <w:vAlign w:val="center"/>
          </w:tcPr>
          <w:p>
            <w:pPr>
              <w:pStyle w:val="65"/>
              <w:jc w:val="center"/>
              <w:rPr>
                <w:rFonts w:ascii="Times New Roman" w:cs="Times New Roman"/>
                <w:color w:val="auto"/>
                <w:sz w:val="21"/>
                <w:szCs w:val="21"/>
              </w:rPr>
            </w:pPr>
            <w:r>
              <w:rPr>
                <w:rFonts w:ascii="Times New Roman" w:cs="Times New Roman"/>
                <w:color w:val="auto"/>
                <w:sz w:val="21"/>
                <w:szCs w:val="21"/>
              </w:rPr>
              <w:t>0.75～0.9</w:t>
            </w:r>
          </w:p>
        </w:tc>
        <w:tc>
          <w:tcPr>
            <w:tcW w:w="747" w:type="pct"/>
            <w:vAlign w:val="center"/>
          </w:tcPr>
          <w:p>
            <w:pPr>
              <w:pStyle w:val="65"/>
              <w:jc w:val="center"/>
              <w:rPr>
                <w:rFonts w:ascii="Times New Roman" w:cs="Times New Roman"/>
                <w:color w:val="auto"/>
                <w:sz w:val="21"/>
                <w:szCs w:val="21"/>
              </w:rPr>
            </w:pPr>
            <w:r>
              <w:rPr>
                <w:rFonts w:ascii="Times New Roman" w:cs="Times New Roman"/>
                <w:color w:val="auto"/>
                <w:sz w:val="21"/>
                <w:szCs w:val="21"/>
              </w:rPr>
              <w:t>0.9～1.0</w:t>
            </w:r>
          </w:p>
        </w:tc>
        <w:tc>
          <w:tcPr>
            <w:tcW w:w="575" w:type="pct"/>
            <w:vAlign w:val="center"/>
          </w:tcPr>
          <w:p>
            <w:pPr>
              <w:pStyle w:val="65"/>
              <w:jc w:val="center"/>
              <w:rPr>
                <w:rFonts w:ascii="Times New Roman" w:cs="Times New Roman"/>
                <w:color w:val="auto"/>
                <w:sz w:val="21"/>
                <w:szCs w:val="21"/>
              </w:rPr>
            </w:pPr>
            <w:r>
              <w:rPr>
                <w:rFonts w:ascii="Times New Roman" w:cs="Times New Roman"/>
                <w:color w:val="auto"/>
                <w:sz w:val="21"/>
                <w:szCs w:val="21"/>
              </w:rPr>
              <w:t>&gt;1.0</w:t>
            </w:r>
          </w:p>
        </w:tc>
      </w:tr>
    </w:tbl>
    <w:p>
      <w:pPr>
        <w:spacing w:before="79" w:line="220" w:lineRule="auto"/>
        <w:ind w:left="4664" w:firstLine="478" w:firstLineChars="200"/>
        <w:rPr>
          <w:rFonts w:ascii="Times New Roman" w:hAnsi="Times New Roman"/>
          <w:sz w:val="24"/>
          <w:szCs w:val="24"/>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服务水平说明</w:t>
      </w:r>
    </w:p>
    <w:tbl>
      <w:tblPr>
        <w:tblStyle w:val="379"/>
        <w:tblW w:w="10369" w:type="dxa"/>
        <w:tblInd w:w="9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98"/>
        <w:gridCol w:w="8771"/>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1" w:hRule="atLeast"/>
        </w:trPr>
        <w:tc>
          <w:tcPr>
            <w:tcW w:w="1598" w:type="dxa"/>
          </w:tcPr>
          <w:p>
            <w:pPr>
              <w:pStyle w:val="391"/>
              <w:autoSpaceDE w:val="0"/>
              <w:autoSpaceDN w:val="0"/>
              <w:spacing w:before="179" w:line="220" w:lineRule="auto"/>
              <w:ind w:left="32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服务水平</w:t>
            </w:r>
          </w:p>
        </w:tc>
        <w:tc>
          <w:tcPr>
            <w:tcW w:w="8771" w:type="dxa"/>
          </w:tcPr>
          <w:p>
            <w:pPr>
              <w:pStyle w:val="391"/>
              <w:autoSpaceDE w:val="0"/>
              <w:autoSpaceDN w:val="0"/>
              <w:spacing w:before="179" w:line="220" w:lineRule="auto"/>
              <w:ind w:left="390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运行状况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6" w:hRule="atLeast"/>
        </w:trPr>
        <w:tc>
          <w:tcPr>
            <w:tcW w:w="1598" w:type="dxa"/>
          </w:tcPr>
          <w:p>
            <w:pPr>
              <w:pStyle w:val="391"/>
              <w:autoSpaceDE w:val="0"/>
              <w:autoSpaceDN w:val="0"/>
              <w:spacing w:before="192" w:line="184" w:lineRule="auto"/>
              <w:ind w:left="7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A</w:t>
            </w:r>
          </w:p>
        </w:tc>
        <w:tc>
          <w:tcPr>
            <w:tcW w:w="8771" w:type="dxa"/>
          </w:tcPr>
          <w:p>
            <w:pPr>
              <w:pStyle w:val="391"/>
              <w:autoSpaceDE w:val="0"/>
              <w:autoSpaceDN w:val="0"/>
              <w:spacing w:before="155" w:line="220" w:lineRule="auto"/>
              <w:ind w:left="1662"/>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自由流，车流的行驶性能得到充分发挥，舒畅、</w:t>
            </w:r>
            <w:r>
              <w:rPr>
                <w:rFonts w:ascii="Times New Roman" w:hAnsi="Times New Roman" w:cs="Times New Roman" w:eastAsiaTheme="minorEastAsia"/>
                <w:b w:val="0"/>
                <w:bCs/>
                <w:color w:val="000000" w:themeColor="text1"/>
                <w:spacing w:val="-3"/>
                <w:lang w:eastAsia="zh-CN"/>
                <w14:textFill>
                  <w14:solidFill>
                    <w14:schemeClr w14:val="tx1"/>
                  </w14:solidFill>
                </w14:textFill>
              </w:rPr>
              <w:t>舒适</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6" w:hRule="atLeast"/>
        </w:trPr>
        <w:tc>
          <w:tcPr>
            <w:tcW w:w="1598" w:type="dxa"/>
          </w:tcPr>
          <w:p>
            <w:pPr>
              <w:pStyle w:val="391"/>
              <w:autoSpaceDE w:val="0"/>
              <w:autoSpaceDN w:val="0"/>
              <w:spacing w:before="195" w:line="182" w:lineRule="auto"/>
              <w:ind w:left="74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B</w:t>
            </w:r>
          </w:p>
        </w:tc>
        <w:tc>
          <w:tcPr>
            <w:tcW w:w="8771" w:type="dxa"/>
          </w:tcPr>
          <w:p>
            <w:pPr>
              <w:pStyle w:val="391"/>
              <w:autoSpaceDE w:val="0"/>
              <w:autoSpaceDN w:val="0"/>
              <w:spacing w:before="155" w:line="220" w:lineRule="auto"/>
              <w:ind w:left="2464"/>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lang w:eastAsia="zh-CN"/>
                <w14:textFill>
                  <w14:solidFill>
                    <w14:schemeClr w14:val="tx1"/>
                  </w14:solidFill>
                </w14:textFill>
              </w:rPr>
              <w:t>稳定车流，稍有延误，驾驶比较舒适</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7" w:hRule="atLeast"/>
        </w:trPr>
        <w:tc>
          <w:tcPr>
            <w:tcW w:w="1598" w:type="dxa"/>
          </w:tcPr>
          <w:p>
            <w:pPr>
              <w:pStyle w:val="391"/>
              <w:autoSpaceDE w:val="0"/>
              <w:autoSpaceDN w:val="0"/>
              <w:spacing w:before="196" w:line="183" w:lineRule="auto"/>
              <w:ind w:left="74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C</w:t>
            </w:r>
          </w:p>
        </w:tc>
        <w:tc>
          <w:tcPr>
            <w:tcW w:w="8771" w:type="dxa"/>
          </w:tcPr>
          <w:p>
            <w:pPr>
              <w:pStyle w:val="391"/>
              <w:autoSpaceDE w:val="0"/>
              <w:autoSpaceDN w:val="0"/>
              <w:spacing w:before="157" w:line="220" w:lineRule="auto"/>
              <w:ind w:left="1744"/>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lang w:eastAsia="zh-CN"/>
                <w14:textFill>
                  <w14:solidFill>
                    <w14:schemeClr w14:val="tx1"/>
                  </w14:solidFill>
                </w14:textFill>
              </w:rPr>
              <w:t>稳定车流，能接受的延误，行车自由程度明显受限</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82" w:hRule="atLeast"/>
        </w:trPr>
        <w:tc>
          <w:tcPr>
            <w:tcW w:w="1598" w:type="dxa"/>
          </w:tcPr>
          <w:p>
            <w:pPr>
              <w:pStyle w:val="391"/>
              <w:autoSpaceDE w:val="0"/>
              <w:autoSpaceDN w:val="0"/>
              <w:spacing w:before="78" w:line="182" w:lineRule="auto"/>
              <w:ind w:left="74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D</w:t>
            </w:r>
          </w:p>
        </w:tc>
        <w:tc>
          <w:tcPr>
            <w:tcW w:w="8771" w:type="dxa"/>
          </w:tcPr>
          <w:p>
            <w:pPr>
              <w:pStyle w:val="391"/>
              <w:autoSpaceDE w:val="0"/>
              <w:autoSpaceDN w:val="0"/>
              <w:spacing w:before="165" w:line="229" w:lineRule="auto"/>
              <w:ind w:left="2824" w:right="1085" w:hanging="18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稳定车流的临界状态，能忍受的延误，行车</w:t>
            </w:r>
            <w:r>
              <w:rPr>
                <w:rFonts w:ascii="Times New Roman" w:hAnsi="Times New Roman" w:cs="Times New Roman" w:eastAsiaTheme="minorEastAsia"/>
                <w:b w:val="0"/>
                <w:bCs/>
                <w:color w:val="000000" w:themeColor="text1"/>
                <w:spacing w:val="-3"/>
                <w:lang w:eastAsia="zh-CN"/>
                <w14:textFill>
                  <w14:solidFill>
                    <w14:schemeClr w14:val="tx1"/>
                  </w14:solidFill>
                </w14:textFill>
              </w:rPr>
              <w:t>自由程度严重受限，</w:t>
            </w:r>
            <w:r>
              <w:rPr>
                <w:rFonts w:ascii="Times New Roman" w:hAnsi="Times New Roman" w:cs="Times New Roman" w:eastAsiaTheme="minorEastAsia"/>
                <w:b w:val="0"/>
                <w:bCs/>
                <w:color w:val="000000" w:themeColor="text1"/>
                <w:spacing w:val="-1"/>
                <w:lang w:eastAsia="zh-CN"/>
                <w14:textFill>
                  <w14:solidFill>
                    <w14:schemeClr w14:val="tx1"/>
                  </w14:solidFill>
                </w14:textFill>
              </w:rPr>
              <w:t>很小的事故也会造成持续排队</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7" w:hRule="atLeast"/>
        </w:trPr>
        <w:tc>
          <w:tcPr>
            <w:tcW w:w="1598" w:type="dxa"/>
          </w:tcPr>
          <w:p>
            <w:pPr>
              <w:pStyle w:val="391"/>
              <w:autoSpaceDE w:val="0"/>
              <w:autoSpaceDN w:val="0"/>
              <w:spacing w:before="199" w:line="182" w:lineRule="auto"/>
              <w:ind w:left="74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E</w:t>
            </w:r>
          </w:p>
        </w:tc>
        <w:tc>
          <w:tcPr>
            <w:tcW w:w="8771" w:type="dxa"/>
          </w:tcPr>
          <w:p>
            <w:pPr>
              <w:pStyle w:val="391"/>
              <w:autoSpaceDE w:val="0"/>
              <w:autoSpaceDN w:val="0"/>
              <w:spacing w:before="159" w:line="220" w:lineRule="auto"/>
              <w:ind w:left="1022"/>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lang w:eastAsia="zh-CN"/>
                <w14:textFill>
                  <w14:solidFill>
                    <w14:schemeClr w14:val="tx1"/>
                  </w14:solidFill>
                </w14:textFill>
              </w:rPr>
              <w:t>达到道路的通行能力，为不稳定交通流，拥挤，不能忍受的延误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1598" w:type="dxa"/>
          </w:tcPr>
          <w:p>
            <w:pPr>
              <w:pStyle w:val="391"/>
              <w:autoSpaceDE w:val="0"/>
              <w:autoSpaceDN w:val="0"/>
              <w:spacing w:before="217" w:line="182" w:lineRule="auto"/>
              <w:ind w:left="74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F</w:t>
            </w:r>
          </w:p>
        </w:tc>
        <w:tc>
          <w:tcPr>
            <w:tcW w:w="8771" w:type="dxa"/>
          </w:tcPr>
          <w:p>
            <w:pPr>
              <w:pStyle w:val="391"/>
              <w:autoSpaceDE w:val="0"/>
              <w:autoSpaceDN w:val="0"/>
              <w:spacing w:before="178" w:line="220" w:lineRule="auto"/>
              <w:ind w:left="330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强制性车流（阻塞）</w:t>
            </w:r>
          </w:p>
        </w:tc>
      </w:tr>
    </w:tbl>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根据交通量预测结果及服务水平划分情况，本工程在预测年限内的服务水平情况如下表所示：</w:t>
      </w:r>
    </w:p>
    <w:p>
      <w:pPr>
        <w:spacing w:before="78" w:line="220" w:lineRule="auto"/>
        <w:ind w:left="3659" w:firstLine="454" w:firstLineChars="200"/>
        <w:rPr>
          <w:rFonts w:ascii="Times New Roman" w:hAnsi="Times New Roman"/>
          <w:sz w:val="24"/>
          <w:szCs w:val="24"/>
        </w:rPr>
      </w:pPr>
      <w:r>
        <w:rPr>
          <w:rFonts w:ascii="Times New Roman" w:hAnsi="Times New Roman"/>
          <w:spacing w:val="-7"/>
          <w:sz w:val="24"/>
          <w:szCs w:val="24"/>
          <w14:textOutline w14:w="3048" w14:cap="flat" w14:cmpd="sng" w14:algn="ctr">
            <w14:solidFill>
              <w14:srgbClr w14:val="000000"/>
            </w14:solidFill>
            <w14:prstDash w14:val="solid"/>
            <w14:miter w14:val="0"/>
          </w14:textOutline>
        </w:rPr>
        <w:t>二十涌北路建设规模与相应服务水平</w:t>
      </w:r>
    </w:p>
    <w:tbl>
      <w:tblPr>
        <w:tblStyle w:val="379"/>
        <w:tblW w:w="10370" w:type="dxa"/>
        <w:tblInd w:w="9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082"/>
        <w:gridCol w:w="2068"/>
        <w:gridCol w:w="2068"/>
        <w:gridCol w:w="2069"/>
        <w:gridCol w:w="208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52" w:hRule="atLeast"/>
        </w:trPr>
        <w:tc>
          <w:tcPr>
            <w:tcW w:w="2082" w:type="dxa"/>
            <w:vMerge w:val="restart"/>
            <w:tcBorders>
              <w:bottom w:val="nil"/>
            </w:tcBorders>
          </w:tcPr>
          <w:p>
            <w:pPr>
              <w:pStyle w:val="391"/>
              <w:autoSpaceDE w:val="0"/>
              <w:autoSpaceDN w:val="0"/>
              <w:spacing w:before="79" w:line="220" w:lineRule="auto"/>
              <w:ind w:left="57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预测年限</w:t>
            </w:r>
          </w:p>
        </w:tc>
        <w:tc>
          <w:tcPr>
            <w:tcW w:w="8288" w:type="dxa"/>
            <w:gridSpan w:val="4"/>
          </w:tcPr>
          <w:p>
            <w:pPr>
              <w:pStyle w:val="391"/>
              <w:autoSpaceDE w:val="0"/>
              <w:autoSpaceDN w:val="0"/>
              <w:spacing w:before="114" w:line="220" w:lineRule="auto"/>
              <w:ind w:left="354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单向三车道</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7" w:hRule="atLeast"/>
        </w:trPr>
        <w:tc>
          <w:tcPr>
            <w:tcW w:w="2082"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2068" w:type="dxa"/>
          </w:tcPr>
          <w:p>
            <w:pPr>
              <w:pStyle w:val="391"/>
              <w:autoSpaceDE w:val="0"/>
              <w:autoSpaceDN w:val="0"/>
              <w:spacing w:before="101" w:line="220" w:lineRule="auto"/>
              <w:ind w:left="32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设计通行能力</w:t>
            </w:r>
          </w:p>
        </w:tc>
        <w:tc>
          <w:tcPr>
            <w:tcW w:w="2068" w:type="dxa"/>
          </w:tcPr>
          <w:p>
            <w:pPr>
              <w:pStyle w:val="391"/>
              <w:autoSpaceDE w:val="0"/>
              <w:autoSpaceDN w:val="0"/>
              <w:spacing w:before="102" w:line="214" w:lineRule="auto"/>
              <w:ind w:left="14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交通量（pcu/h）</w:t>
            </w:r>
          </w:p>
        </w:tc>
        <w:tc>
          <w:tcPr>
            <w:tcW w:w="2069" w:type="dxa"/>
          </w:tcPr>
          <w:p>
            <w:pPr>
              <w:pStyle w:val="391"/>
              <w:autoSpaceDE w:val="0"/>
              <w:autoSpaceDN w:val="0"/>
              <w:spacing w:before="101" w:line="220" w:lineRule="auto"/>
              <w:ind w:left="35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服务水平V/C</w:t>
            </w:r>
          </w:p>
        </w:tc>
        <w:tc>
          <w:tcPr>
            <w:tcW w:w="2083" w:type="dxa"/>
          </w:tcPr>
          <w:p>
            <w:pPr>
              <w:pStyle w:val="391"/>
              <w:autoSpaceDE w:val="0"/>
              <w:autoSpaceDN w:val="0"/>
              <w:spacing w:before="101" w:line="220" w:lineRule="auto"/>
              <w:ind w:left="56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服务水平</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9" w:hRule="atLeast"/>
        </w:trPr>
        <w:tc>
          <w:tcPr>
            <w:tcW w:w="2082" w:type="dxa"/>
          </w:tcPr>
          <w:p>
            <w:pPr>
              <w:pStyle w:val="391"/>
              <w:autoSpaceDE w:val="0"/>
              <w:autoSpaceDN w:val="0"/>
              <w:spacing w:before="105" w:line="220" w:lineRule="auto"/>
              <w:ind w:left="35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5"/>
                <w14:textFill>
                  <w14:solidFill>
                    <w14:schemeClr w14:val="tx1"/>
                  </w14:solidFill>
                </w14:textFill>
              </w:rPr>
              <w:t>中期（2035）</w:t>
            </w:r>
          </w:p>
        </w:tc>
        <w:tc>
          <w:tcPr>
            <w:tcW w:w="2068" w:type="dxa"/>
          </w:tcPr>
          <w:p>
            <w:pPr>
              <w:pStyle w:val="391"/>
              <w:autoSpaceDE w:val="0"/>
              <w:autoSpaceDN w:val="0"/>
              <w:spacing w:before="153" w:line="184" w:lineRule="auto"/>
              <w:ind w:left="80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3139</w:t>
            </w:r>
          </w:p>
        </w:tc>
        <w:tc>
          <w:tcPr>
            <w:tcW w:w="2068" w:type="dxa"/>
          </w:tcPr>
          <w:p>
            <w:pPr>
              <w:pStyle w:val="391"/>
              <w:autoSpaceDE w:val="0"/>
              <w:autoSpaceDN w:val="0"/>
              <w:spacing w:before="153" w:line="184" w:lineRule="auto"/>
              <w:ind w:left="81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6"/>
                <w14:textFill>
                  <w14:solidFill>
                    <w14:schemeClr w14:val="tx1"/>
                  </w14:solidFill>
                </w14:textFill>
              </w:rPr>
              <w:t>1601</w:t>
            </w:r>
          </w:p>
        </w:tc>
        <w:tc>
          <w:tcPr>
            <w:tcW w:w="2069" w:type="dxa"/>
          </w:tcPr>
          <w:p>
            <w:pPr>
              <w:pStyle w:val="391"/>
              <w:autoSpaceDE w:val="0"/>
              <w:autoSpaceDN w:val="0"/>
              <w:spacing w:before="153" w:line="184" w:lineRule="auto"/>
              <w:ind w:left="80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0.51</w:t>
            </w:r>
          </w:p>
        </w:tc>
        <w:tc>
          <w:tcPr>
            <w:tcW w:w="2083" w:type="dxa"/>
          </w:tcPr>
          <w:p>
            <w:pPr>
              <w:pStyle w:val="391"/>
              <w:autoSpaceDE w:val="0"/>
              <w:autoSpaceDN w:val="0"/>
              <w:spacing w:before="116" w:line="222" w:lineRule="auto"/>
              <w:ind w:left="82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B级</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082" w:type="dxa"/>
          </w:tcPr>
          <w:p>
            <w:pPr>
              <w:pStyle w:val="391"/>
              <w:autoSpaceDE w:val="0"/>
              <w:autoSpaceDN w:val="0"/>
              <w:spacing w:before="104" w:line="220" w:lineRule="auto"/>
              <w:ind w:left="33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远期（2045）</w:t>
            </w:r>
          </w:p>
        </w:tc>
        <w:tc>
          <w:tcPr>
            <w:tcW w:w="2068" w:type="dxa"/>
          </w:tcPr>
          <w:p>
            <w:pPr>
              <w:pStyle w:val="391"/>
              <w:autoSpaceDE w:val="0"/>
              <w:autoSpaceDN w:val="0"/>
              <w:spacing w:before="153" w:line="184" w:lineRule="auto"/>
              <w:ind w:left="80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3139</w:t>
            </w:r>
          </w:p>
        </w:tc>
        <w:tc>
          <w:tcPr>
            <w:tcW w:w="2068" w:type="dxa"/>
          </w:tcPr>
          <w:p>
            <w:pPr>
              <w:pStyle w:val="391"/>
              <w:autoSpaceDE w:val="0"/>
              <w:autoSpaceDN w:val="0"/>
              <w:spacing w:before="154" w:line="183" w:lineRule="auto"/>
              <w:ind w:left="80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2229</w:t>
            </w:r>
          </w:p>
        </w:tc>
        <w:tc>
          <w:tcPr>
            <w:tcW w:w="2069" w:type="dxa"/>
          </w:tcPr>
          <w:p>
            <w:pPr>
              <w:pStyle w:val="391"/>
              <w:autoSpaceDE w:val="0"/>
              <w:autoSpaceDN w:val="0"/>
              <w:spacing w:before="153" w:line="184" w:lineRule="auto"/>
              <w:ind w:left="80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0.71</w:t>
            </w:r>
          </w:p>
        </w:tc>
        <w:tc>
          <w:tcPr>
            <w:tcW w:w="2083" w:type="dxa"/>
          </w:tcPr>
          <w:p>
            <w:pPr>
              <w:pStyle w:val="391"/>
              <w:autoSpaceDE w:val="0"/>
              <w:autoSpaceDN w:val="0"/>
              <w:spacing w:before="116" w:line="222" w:lineRule="auto"/>
              <w:ind w:left="83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C级</w:t>
            </w:r>
          </w:p>
        </w:tc>
      </w:tr>
    </w:tbl>
    <w:p>
      <w:pPr>
        <w:spacing w:before="269" w:line="220" w:lineRule="auto"/>
        <w:ind w:left="3565" w:firstLine="454" w:firstLineChars="200"/>
        <w:rPr>
          <w:rFonts w:ascii="Times New Roman" w:hAnsi="Times New Roman"/>
          <w:sz w:val="24"/>
          <w:szCs w:val="24"/>
        </w:rPr>
      </w:pPr>
      <w:r>
        <w:rPr>
          <w:rFonts w:ascii="Times New Roman" w:hAnsi="Times New Roman"/>
          <w:spacing w:val="-7"/>
          <w:sz w:val="24"/>
          <w:szCs w:val="24"/>
          <w14:textOutline w14:w="3048" w14:cap="flat" w14:cmpd="sng" w14:algn="ctr">
            <w14:solidFill>
              <w14:srgbClr w14:val="000000"/>
            </w14:solidFill>
            <w14:prstDash w14:val="solid"/>
            <w14:miter w14:val="0"/>
          </w14:textOutline>
        </w:rPr>
        <w:t>规划纵三路建设规模与相应服务水平</w:t>
      </w:r>
    </w:p>
    <w:tbl>
      <w:tblPr>
        <w:tblStyle w:val="379"/>
        <w:tblW w:w="10369"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082"/>
        <w:gridCol w:w="2068"/>
        <w:gridCol w:w="2068"/>
        <w:gridCol w:w="2068"/>
        <w:gridCol w:w="208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3" w:hRule="atLeast"/>
        </w:trPr>
        <w:tc>
          <w:tcPr>
            <w:tcW w:w="2082" w:type="dxa"/>
            <w:vMerge w:val="restart"/>
            <w:tcBorders>
              <w:bottom w:val="nil"/>
            </w:tcBorders>
          </w:tcPr>
          <w:p>
            <w:pPr>
              <w:pStyle w:val="391"/>
              <w:autoSpaceDE w:val="0"/>
              <w:autoSpaceDN w:val="0"/>
              <w:spacing w:before="79" w:line="220" w:lineRule="auto"/>
              <w:ind w:left="57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预测年限</w:t>
            </w:r>
          </w:p>
        </w:tc>
        <w:tc>
          <w:tcPr>
            <w:tcW w:w="8287" w:type="dxa"/>
            <w:gridSpan w:val="4"/>
          </w:tcPr>
          <w:p>
            <w:pPr>
              <w:pStyle w:val="391"/>
              <w:autoSpaceDE w:val="0"/>
              <w:autoSpaceDN w:val="0"/>
              <w:spacing w:before="115" w:line="220" w:lineRule="auto"/>
              <w:ind w:left="354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单向三车道</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7" w:hRule="atLeast"/>
        </w:trPr>
        <w:tc>
          <w:tcPr>
            <w:tcW w:w="2082"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2068" w:type="dxa"/>
          </w:tcPr>
          <w:p>
            <w:pPr>
              <w:pStyle w:val="391"/>
              <w:autoSpaceDE w:val="0"/>
              <w:autoSpaceDN w:val="0"/>
              <w:spacing w:before="101" w:line="220" w:lineRule="auto"/>
              <w:ind w:left="32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设计通行能力</w:t>
            </w:r>
          </w:p>
        </w:tc>
        <w:tc>
          <w:tcPr>
            <w:tcW w:w="2068" w:type="dxa"/>
          </w:tcPr>
          <w:p>
            <w:pPr>
              <w:pStyle w:val="391"/>
              <w:autoSpaceDE w:val="0"/>
              <w:autoSpaceDN w:val="0"/>
              <w:spacing w:before="103" w:line="214" w:lineRule="auto"/>
              <w:ind w:left="14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交通量（pcu/h）</w:t>
            </w:r>
          </w:p>
        </w:tc>
        <w:tc>
          <w:tcPr>
            <w:tcW w:w="2068" w:type="dxa"/>
          </w:tcPr>
          <w:p>
            <w:pPr>
              <w:pStyle w:val="391"/>
              <w:autoSpaceDE w:val="0"/>
              <w:autoSpaceDN w:val="0"/>
              <w:spacing w:before="101" w:line="220" w:lineRule="auto"/>
              <w:ind w:left="35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服务水平V/C</w:t>
            </w:r>
          </w:p>
        </w:tc>
        <w:tc>
          <w:tcPr>
            <w:tcW w:w="2083" w:type="dxa"/>
          </w:tcPr>
          <w:p>
            <w:pPr>
              <w:pStyle w:val="391"/>
              <w:autoSpaceDE w:val="0"/>
              <w:autoSpaceDN w:val="0"/>
              <w:spacing w:before="101" w:line="220" w:lineRule="auto"/>
              <w:ind w:left="56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服务水平</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7" w:hRule="atLeast"/>
        </w:trPr>
        <w:tc>
          <w:tcPr>
            <w:tcW w:w="2082" w:type="dxa"/>
          </w:tcPr>
          <w:p>
            <w:pPr>
              <w:pStyle w:val="391"/>
              <w:autoSpaceDE w:val="0"/>
              <w:autoSpaceDN w:val="0"/>
              <w:spacing w:before="104" w:line="220" w:lineRule="auto"/>
              <w:ind w:left="35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5"/>
                <w14:textFill>
                  <w14:solidFill>
                    <w14:schemeClr w14:val="tx1"/>
                  </w14:solidFill>
                </w14:textFill>
              </w:rPr>
              <w:t>中期（2035）</w:t>
            </w:r>
          </w:p>
        </w:tc>
        <w:tc>
          <w:tcPr>
            <w:tcW w:w="2068" w:type="dxa"/>
          </w:tcPr>
          <w:p>
            <w:pPr>
              <w:pStyle w:val="391"/>
              <w:autoSpaceDE w:val="0"/>
              <w:autoSpaceDN w:val="0"/>
              <w:spacing w:before="154" w:line="183" w:lineRule="auto"/>
              <w:ind w:left="80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2878</w:t>
            </w:r>
          </w:p>
        </w:tc>
        <w:tc>
          <w:tcPr>
            <w:tcW w:w="2068" w:type="dxa"/>
          </w:tcPr>
          <w:p>
            <w:pPr>
              <w:pStyle w:val="391"/>
              <w:autoSpaceDE w:val="0"/>
              <w:autoSpaceDN w:val="0"/>
              <w:spacing w:before="152" w:line="184" w:lineRule="auto"/>
              <w:ind w:left="81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6"/>
                <w14:textFill>
                  <w14:solidFill>
                    <w14:schemeClr w14:val="tx1"/>
                  </w14:solidFill>
                </w14:textFill>
              </w:rPr>
              <w:t>1583</w:t>
            </w:r>
          </w:p>
        </w:tc>
        <w:tc>
          <w:tcPr>
            <w:tcW w:w="2068" w:type="dxa"/>
          </w:tcPr>
          <w:p>
            <w:pPr>
              <w:pStyle w:val="391"/>
              <w:autoSpaceDE w:val="0"/>
              <w:autoSpaceDN w:val="0"/>
              <w:spacing w:before="154" w:line="183" w:lineRule="auto"/>
              <w:ind w:left="80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0.55</w:t>
            </w:r>
          </w:p>
        </w:tc>
        <w:tc>
          <w:tcPr>
            <w:tcW w:w="2083" w:type="dxa"/>
          </w:tcPr>
          <w:p>
            <w:pPr>
              <w:pStyle w:val="391"/>
              <w:autoSpaceDE w:val="0"/>
              <w:autoSpaceDN w:val="0"/>
              <w:spacing w:before="115" w:line="222" w:lineRule="auto"/>
              <w:ind w:left="82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B级</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2082" w:type="dxa"/>
          </w:tcPr>
          <w:p>
            <w:pPr>
              <w:pStyle w:val="391"/>
              <w:autoSpaceDE w:val="0"/>
              <w:autoSpaceDN w:val="0"/>
              <w:spacing w:before="107" w:line="220" w:lineRule="auto"/>
              <w:ind w:left="33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远期（2045）</w:t>
            </w:r>
          </w:p>
        </w:tc>
        <w:tc>
          <w:tcPr>
            <w:tcW w:w="2068" w:type="dxa"/>
          </w:tcPr>
          <w:p>
            <w:pPr>
              <w:pStyle w:val="391"/>
              <w:autoSpaceDE w:val="0"/>
              <w:autoSpaceDN w:val="0"/>
              <w:spacing w:before="156" w:line="183" w:lineRule="auto"/>
              <w:ind w:left="80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2878</w:t>
            </w:r>
          </w:p>
        </w:tc>
        <w:tc>
          <w:tcPr>
            <w:tcW w:w="2068" w:type="dxa"/>
          </w:tcPr>
          <w:p>
            <w:pPr>
              <w:pStyle w:val="391"/>
              <w:autoSpaceDE w:val="0"/>
              <w:autoSpaceDN w:val="0"/>
              <w:spacing w:before="155" w:line="184" w:lineRule="auto"/>
              <w:ind w:left="80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2130</w:t>
            </w:r>
          </w:p>
        </w:tc>
        <w:tc>
          <w:tcPr>
            <w:tcW w:w="2068" w:type="dxa"/>
          </w:tcPr>
          <w:p>
            <w:pPr>
              <w:pStyle w:val="391"/>
              <w:autoSpaceDE w:val="0"/>
              <w:autoSpaceDN w:val="0"/>
              <w:spacing w:before="156" w:line="183" w:lineRule="auto"/>
              <w:ind w:left="80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0.74</w:t>
            </w:r>
          </w:p>
        </w:tc>
        <w:tc>
          <w:tcPr>
            <w:tcW w:w="2083" w:type="dxa"/>
          </w:tcPr>
          <w:p>
            <w:pPr>
              <w:pStyle w:val="391"/>
              <w:autoSpaceDE w:val="0"/>
              <w:autoSpaceDN w:val="0"/>
              <w:spacing w:before="118" w:line="222" w:lineRule="auto"/>
              <w:ind w:left="83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C级</w:t>
            </w:r>
          </w:p>
        </w:tc>
      </w:tr>
    </w:tbl>
    <w:p>
      <w:pPr>
        <w:spacing w:line="300" w:lineRule="auto"/>
        <w:ind w:firstLine="480" w:firstLineChars="200"/>
        <w:jc w:val="left"/>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以上表格可以得知，本项目涉及道路在预测中期服务水平均达到B级，远期年服务水平至少为C级，车流状态为稳定车流，能接受的延误，行车自由程度明显受限，行驶状况较好。故本项目规划的断面布置比较合理。</w:t>
      </w:r>
    </w:p>
    <w:p>
      <w:pPr>
        <w:pStyle w:val="4"/>
        <w:ind w:firstLine="482" w:firstLineChars="200"/>
      </w:pPr>
      <w:bookmarkStart w:id="116" w:name="_Toc400"/>
      <w:bookmarkStart w:id="117" w:name="_Toc29478"/>
      <w:r>
        <w:t>节点流量预测结果</w:t>
      </w:r>
      <w:bookmarkEnd w:id="116"/>
      <w:bookmarkEnd w:id="117"/>
    </w:p>
    <w:p>
      <w:pPr>
        <w:spacing w:before="164" w:line="4534" w:lineRule="exact"/>
        <w:ind w:firstLine="562" w:firstLineChars="200"/>
        <w:rPr>
          <w:rFonts w:ascii="Times New Roman" w:hAnsi="Times New Roman"/>
        </w:rPr>
      </w:pPr>
      <w:r>
        <w:rPr>
          <w:rFonts w:ascii="Times New Roman" w:hAnsi="Times New Roman"/>
          <w:position w:val="-90"/>
        </w:rPr>
        <w:drawing>
          <wp:inline distT="0" distB="0" distL="0" distR="0">
            <wp:extent cx="3074035" cy="2879090"/>
            <wp:effectExtent l="0" t="0" r="12065" b="16510"/>
            <wp:docPr id="368" name="IM 226"/>
            <wp:cNvGraphicFramePr/>
            <a:graphic xmlns:a="http://schemas.openxmlformats.org/drawingml/2006/main">
              <a:graphicData uri="http://schemas.openxmlformats.org/drawingml/2006/picture">
                <pic:pic xmlns:pic="http://schemas.openxmlformats.org/drawingml/2006/picture">
                  <pic:nvPicPr>
                    <pic:cNvPr id="368" name="IM 226"/>
                    <pic:cNvPicPr/>
                  </pic:nvPicPr>
                  <pic:blipFill>
                    <a:blip r:embed="rId100"/>
                    <a:stretch>
                      <a:fillRect/>
                    </a:stretch>
                  </pic:blipFill>
                  <pic:spPr>
                    <a:xfrm>
                      <a:off x="0" y="0"/>
                      <a:ext cx="3074669" cy="2879597"/>
                    </a:xfrm>
                    <a:prstGeom prst="rect">
                      <a:avLst/>
                    </a:prstGeom>
                  </pic:spPr>
                </pic:pic>
              </a:graphicData>
            </a:graphic>
          </wp:inline>
        </w:drawing>
      </w:r>
      <w:r>
        <w:rPr>
          <w:rFonts w:ascii="Times New Roman" w:hAnsi="Times New Roman"/>
          <w:position w:val="-90"/>
        </w:rPr>
        <w:drawing>
          <wp:inline distT="0" distB="0" distL="0" distR="0">
            <wp:extent cx="3059430" cy="2877820"/>
            <wp:effectExtent l="0" t="0" r="7620" b="17780"/>
            <wp:docPr id="369" name="IM 230"/>
            <wp:cNvGraphicFramePr/>
            <a:graphic xmlns:a="http://schemas.openxmlformats.org/drawingml/2006/main">
              <a:graphicData uri="http://schemas.openxmlformats.org/drawingml/2006/picture">
                <pic:pic xmlns:pic="http://schemas.openxmlformats.org/drawingml/2006/picture">
                  <pic:nvPicPr>
                    <pic:cNvPr id="369" name="IM 230"/>
                    <pic:cNvPicPr/>
                  </pic:nvPicPr>
                  <pic:blipFill>
                    <a:blip r:embed="rId101"/>
                    <a:stretch>
                      <a:fillRect/>
                    </a:stretch>
                  </pic:blipFill>
                  <pic:spPr>
                    <a:xfrm>
                      <a:off x="0" y="0"/>
                      <a:ext cx="3059430" cy="2878074"/>
                    </a:xfrm>
                    <a:prstGeom prst="rect">
                      <a:avLst/>
                    </a:prstGeom>
                  </pic:spPr>
                </pic:pic>
              </a:graphicData>
            </a:graphic>
          </wp:inline>
        </w:drawing>
      </w:r>
    </w:p>
    <w:p>
      <w:pPr>
        <w:spacing w:before="109" w:line="220" w:lineRule="auto"/>
        <w:ind w:left="827" w:firstLine="478" w:firstLineChars="200"/>
        <w:rPr>
          <w:rFonts w:ascii="Times New Roman" w:hAnsi="Times New Roman"/>
          <w:sz w:val="24"/>
          <w:szCs w:val="24"/>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二十涌北路—规划纵三路近期</w:t>
      </w:r>
      <w:r>
        <w:rPr>
          <w:rFonts w:hint="eastAsia" w:ascii="Times New Roman" w:hAnsi="Times New Roman"/>
          <w:spacing w:val="-1"/>
          <w:sz w:val="24"/>
          <w:szCs w:val="24"/>
          <w14:textOutline w14:w="3048" w14:cap="flat" w14:cmpd="sng" w14:algn="ctr">
            <w14:solidFill>
              <w14:srgbClr w14:val="000000"/>
            </w14:solidFill>
            <w14:prstDash w14:val="solid"/>
            <w14:miter w14:val="0"/>
          </w14:textOutline>
        </w:rPr>
        <w:t xml:space="preserve">    </w:t>
      </w:r>
      <w:r>
        <w:rPr>
          <w:rFonts w:ascii="Times New Roman" w:hAnsi="Times New Roman"/>
          <w:spacing w:val="-1"/>
          <w:sz w:val="24"/>
          <w:szCs w:val="24"/>
          <w14:textOutline w14:w="3048" w14:cap="flat" w14:cmpd="sng" w14:algn="ctr">
            <w14:solidFill>
              <w14:srgbClr w14:val="000000"/>
            </w14:solidFill>
            <w14:prstDash w14:val="solid"/>
            <w14:miter w14:val="0"/>
          </w14:textOutline>
        </w:rPr>
        <w:t>二十涌北路—规划纵三路远期</w:t>
      </w:r>
    </w:p>
    <w:p>
      <w:pPr>
        <w:spacing w:line="360" w:lineRule="auto"/>
        <w:ind w:firstLine="562" w:firstLineChars="200"/>
        <w:rPr>
          <w:rFonts w:ascii="Times New Roman" w:hAnsi="Times New Roman"/>
          <w:position w:val="-105"/>
        </w:rPr>
      </w:pPr>
      <w:r>
        <w:rPr>
          <w:rFonts w:ascii="Times New Roman" w:hAnsi="Times New Roman"/>
          <w:position w:val="-116"/>
        </w:rPr>
        <w:drawing>
          <wp:inline distT="0" distB="0" distL="0" distR="0">
            <wp:extent cx="3074035" cy="3705225"/>
            <wp:effectExtent l="0" t="0" r="12065" b="9525"/>
            <wp:docPr id="370" name="IM 228"/>
            <wp:cNvGraphicFramePr/>
            <a:graphic xmlns:a="http://schemas.openxmlformats.org/drawingml/2006/main">
              <a:graphicData uri="http://schemas.openxmlformats.org/drawingml/2006/picture">
                <pic:pic xmlns:pic="http://schemas.openxmlformats.org/drawingml/2006/picture">
                  <pic:nvPicPr>
                    <pic:cNvPr id="370" name="IM 228"/>
                    <pic:cNvPicPr/>
                  </pic:nvPicPr>
                  <pic:blipFill>
                    <a:blip r:embed="rId102"/>
                    <a:stretch>
                      <a:fillRect/>
                    </a:stretch>
                  </pic:blipFill>
                  <pic:spPr>
                    <a:xfrm>
                      <a:off x="0" y="0"/>
                      <a:ext cx="3074669" cy="3705605"/>
                    </a:xfrm>
                    <a:prstGeom prst="rect">
                      <a:avLst/>
                    </a:prstGeom>
                  </pic:spPr>
                </pic:pic>
              </a:graphicData>
            </a:graphic>
          </wp:inline>
        </w:drawing>
      </w:r>
      <w:r>
        <w:rPr>
          <w:rFonts w:ascii="Times New Roman" w:hAnsi="Times New Roman"/>
          <w:position w:val="-105"/>
        </w:rPr>
        <w:drawing>
          <wp:inline distT="0" distB="0" distL="0" distR="0">
            <wp:extent cx="2874010" cy="3345815"/>
            <wp:effectExtent l="0" t="0" r="2540" b="6985"/>
            <wp:docPr id="371" name="IM 232"/>
            <wp:cNvGraphicFramePr/>
            <a:graphic xmlns:a="http://schemas.openxmlformats.org/drawingml/2006/main">
              <a:graphicData uri="http://schemas.openxmlformats.org/drawingml/2006/picture">
                <pic:pic xmlns:pic="http://schemas.openxmlformats.org/drawingml/2006/picture">
                  <pic:nvPicPr>
                    <pic:cNvPr id="371" name="IM 232"/>
                    <pic:cNvPicPr/>
                  </pic:nvPicPr>
                  <pic:blipFill>
                    <a:blip r:embed="rId103"/>
                    <a:stretch>
                      <a:fillRect/>
                    </a:stretch>
                  </pic:blipFill>
                  <pic:spPr>
                    <a:xfrm>
                      <a:off x="0" y="0"/>
                      <a:ext cx="2874264" cy="3345941"/>
                    </a:xfrm>
                    <a:prstGeom prst="rect">
                      <a:avLst/>
                    </a:prstGeom>
                  </pic:spPr>
                </pic:pic>
              </a:graphicData>
            </a:graphic>
          </wp:inline>
        </w:drawing>
      </w:r>
    </w:p>
    <w:p>
      <w:pPr>
        <w:spacing w:before="79" w:line="185" w:lineRule="auto"/>
        <w:ind w:left="827" w:firstLine="478" w:firstLineChars="200"/>
        <w:rPr>
          <w:rFonts w:ascii="Times New Roman" w:hAnsi="Times New Roman"/>
          <w:sz w:val="24"/>
          <w:szCs w:val="24"/>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二十涌南路—规划纵三路近期</w:t>
      </w:r>
      <w:r>
        <w:rPr>
          <w:rFonts w:hint="eastAsia" w:ascii="Times New Roman" w:hAnsi="Times New Roman"/>
          <w:spacing w:val="-1"/>
          <w:sz w:val="24"/>
          <w:szCs w:val="24"/>
          <w14:textOutline w14:w="3048" w14:cap="flat" w14:cmpd="sng" w14:algn="ctr">
            <w14:solidFill>
              <w14:srgbClr w14:val="000000"/>
            </w14:solidFill>
            <w14:prstDash w14:val="solid"/>
            <w14:miter w14:val="0"/>
          </w14:textOutline>
        </w:rPr>
        <w:t xml:space="preserve">          </w:t>
      </w:r>
      <w:r>
        <w:rPr>
          <w:rFonts w:ascii="Times New Roman" w:hAnsi="Times New Roman"/>
          <w:spacing w:val="-1"/>
          <w:sz w:val="24"/>
          <w:szCs w:val="24"/>
          <w14:textOutline w14:w="3048" w14:cap="flat" w14:cmpd="sng" w14:algn="ctr">
            <w14:solidFill>
              <w14:srgbClr w14:val="000000"/>
            </w14:solidFill>
            <w14:prstDash w14:val="solid"/>
            <w14:miter w14:val="0"/>
          </w14:textOutline>
        </w:rPr>
        <w:t>二十涌南路—规划纵三路远期</w:t>
      </w:r>
    </w:p>
    <w:p>
      <w:pPr>
        <w:spacing w:line="360" w:lineRule="auto"/>
        <w:ind w:firstLine="562" w:firstLineChars="200"/>
        <w:rPr>
          <w:rFonts w:ascii="Times New Roman" w:hAnsi="Times New Roman"/>
          <w:position w:val="-105"/>
        </w:rPr>
      </w:pPr>
      <w:r>
        <w:rPr>
          <w:rFonts w:ascii="Times New Roman" w:hAnsi="Times New Roman"/>
          <w:position w:val="-79"/>
        </w:rPr>
        <w:drawing>
          <wp:inline distT="0" distB="0" distL="0" distR="0">
            <wp:extent cx="3073400" cy="2516505"/>
            <wp:effectExtent l="0" t="0" r="12700" b="17145"/>
            <wp:docPr id="372" name="IM 234"/>
            <wp:cNvGraphicFramePr/>
            <a:graphic xmlns:a="http://schemas.openxmlformats.org/drawingml/2006/main">
              <a:graphicData uri="http://schemas.openxmlformats.org/drawingml/2006/picture">
                <pic:pic xmlns:pic="http://schemas.openxmlformats.org/drawingml/2006/picture">
                  <pic:nvPicPr>
                    <pic:cNvPr id="372" name="IM 234"/>
                    <pic:cNvPicPr/>
                  </pic:nvPicPr>
                  <pic:blipFill>
                    <a:blip r:embed="rId104"/>
                    <a:stretch>
                      <a:fillRect/>
                    </a:stretch>
                  </pic:blipFill>
                  <pic:spPr>
                    <a:xfrm>
                      <a:off x="0" y="0"/>
                      <a:ext cx="3073908" cy="2516771"/>
                    </a:xfrm>
                    <a:prstGeom prst="rect">
                      <a:avLst/>
                    </a:prstGeom>
                  </pic:spPr>
                </pic:pic>
              </a:graphicData>
            </a:graphic>
          </wp:inline>
        </w:drawing>
      </w:r>
      <w:r>
        <w:rPr>
          <w:rFonts w:ascii="Times New Roman" w:hAnsi="Times New Roman"/>
          <w:position w:val="-78"/>
        </w:rPr>
        <w:drawing>
          <wp:inline distT="0" distB="0" distL="0" distR="0">
            <wp:extent cx="2997835" cy="2406650"/>
            <wp:effectExtent l="0" t="0" r="12065" b="12700"/>
            <wp:docPr id="373" name="IM 238"/>
            <wp:cNvGraphicFramePr/>
            <a:graphic xmlns:a="http://schemas.openxmlformats.org/drawingml/2006/main">
              <a:graphicData uri="http://schemas.openxmlformats.org/drawingml/2006/picture">
                <pic:pic xmlns:pic="http://schemas.openxmlformats.org/drawingml/2006/picture">
                  <pic:nvPicPr>
                    <pic:cNvPr id="373" name="IM 238"/>
                    <pic:cNvPicPr/>
                  </pic:nvPicPr>
                  <pic:blipFill>
                    <a:blip r:embed="rId105"/>
                    <a:stretch>
                      <a:fillRect/>
                    </a:stretch>
                  </pic:blipFill>
                  <pic:spPr>
                    <a:xfrm>
                      <a:off x="0" y="0"/>
                      <a:ext cx="2997835" cy="2406650"/>
                    </a:xfrm>
                    <a:prstGeom prst="rect">
                      <a:avLst/>
                    </a:prstGeom>
                  </pic:spPr>
                </pic:pic>
              </a:graphicData>
            </a:graphic>
          </wp:inline>
        </w:drawing>
      </w:r>
    </w:p>
    <w:p>
      <w:pPr>
        <w:spacing w:before="93" w:line="220" w:lineRule="auto"/>
        <w:ind w:left="705" w:firstLine="478" w:firstLineChars="200"/>
        <w:rPr>
          <w:rFonts w:ascii="Times New Roman" w:hAnsi="Times New Roman"/>
          <w:sz w:val="24"/>
          <w:szCs w:val="24"/>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二十涌南二路—规划纵三路近期</w:t>
      </w:r>
      <w:r>
        <w:rPr>
          <w:rFonts w:hint="eastAsia" w:ascii="Times New Roman" w:hAnsi="Times New Roman"/>
          <w:spacing w:val="-1"/>
          <w:sz w:val="24"/>
          <w:szCs w:val="24"/>
          <w14:textOutline w14:w="3048" w14:cap="flat" w14:cmpd="sng" w14:algn="ctr">
            <w14:solidFill>
              <w14:srgbClr w14:val="000000"/>
            </w14:solidFill>
            <w14:prstDash w14:val="solid"/>
            <w14:miter w14:val="0"/>
          </w14:textOutline>
        </w:rPr>
        <w:t xml:space="preserve">            </w:t>
      </w:r>
      <w:r>
        <w:rPr>
          <w:rFonts w:ascii="Times New Roman" w:hAnsi="Times New Roman"/>
          <w:spacing w:val="-1"/>
          <w:sz w:val="24"/>
          <w:szCs w:val="24"/>
          <w14:textOutline w14:w="3048" w14:cap="flat" w14:cmpd="sng" w14:algn="ctr">
            <w14:solidFill>
              <w14:srgbClr w14:val="000000"/>
            </w14:solidFill>
            <w14:prstDash w14:val="solid"/>
            <w14:miter w14:val="0"/>
          </w14:textOutline>
        </w:rPr>
        <w:t>二十涌南二路—规划纵三路远期</w:t>
      </w:r>
    </w:p>
    <w:p>
      <w:pPr>
        <w:pStyle w:val="16"/>
        <w:ind w:firstLine="422" w:firstLineChars="200"/>
        <w:rPr>
          <w:rFonts w:ascii="Times New Roman" w:hAnsi="Times New Roman"/>
        </w:rPr>
      </w:pPr>
      <w:r>
        <w:rPr>
          <w:rFonts w:ascii="Times New Roman" w:hAnsi="Times New Roman"/>
          <w:position w:val="-88"/>
        </w:rPr>
        <w:drawing>
          <wp:inline distT="0" distB="0" distL="0" distR="0">
            <wp:extent cx="3073400" cy="2806700"/>
            <wp:effectExtent l="0" t="0" r="12700" b="12700"/>
            <wp:docPr id="374" name="IM 236"/>
            <wp:cNvGraphicFramePr/>
            <a:graphic xmlns:a="http://schemas.openxmlformats.org/drawingml/2006/main">
              <a:graphicData uri="http://schemas.openxmlformats.org/drawingml/2006/picture">
                <pic:pic xmlns:pic="http://schemas.openxmlformats.org/drawingml/2006/picture">
                  <pic:nvPicPr>
                    <pic:cNvPr id="374" name="IM 236"/>
                    <pic:cNvPicPr/>
                  </pic:nvPicPr>
                  <pic:blipFill>
                    <a:blip r:embed="rId106"/>
                    <a:stretch>
                      <a:fillRect/>
                    </a:stretch>
                  </pic:blipFill>
                  <pic:spPr>
                    <a:xfrm>
                      <a:off x="0" y="0"/>
                      <a:ext cx="3073907" cy="2807206"/>
                    </a:xfrm>
                    <a:prstGeom prst="rect">
                      <a:avLst/>
                    </a:prstGeom>
                  </pic:spPr>
                </pic:pic>
              </a:graphicData>
            </a:graphic>
          </wp:inline>
        </w:drawing>
      </w:r>
      <w:r>
        <w:rPr>
          <w:rFonts w:ascii="Times New Roman" w:hAnsi="Times New Roman"/>
          <w:position w:val="-90"/>
        </w:rPr>
        <w:drawing>
          <wp:inline distT="0" distB="0" distL="0" distR="0">
            <wp:extent cx="3092450" cy="2879090"/>
            <wp:effectExtent l="0" t="0" r="12700" b="16510"/>
            <wp:docPr id="376" name="IM 240"/>
            <wp:cNvGraphicFramePr/>
            <a:graphic xmlns:a="http://schemas.openxmlformats.org/drawingml/2006/main">
              <a:graphicData uri="http://schemas.openxmlformats.org/drawingml/2006/picture">
                <pic:pic xmlns:pic="http://schemas.openxmlformats.org/drawingml/2006/picture">
                  <pic:nvPicPr>
                    <pic:cNvPr id="376" name="IM 240"/>
                    <pic:cNvPicPr/>
                  </pic:nvPicPr>
                  <pic:blipFill>
                    <a:blip r:embed="rId107"/>
                    <a:stretch>
                      <a:fillRect/>
                    </a:stretch>
                  </pic:blipFill>
                  <pic:spPr>
                    <a:xfrm>
                      <a:off x="0" y="0"/>
                      <a:ext cx="3092957" cy="2879597"/>
                    </a:xfrm>
                    <a:prstGeom prst="rect">
                      <a:avLst/>
                    </a:prstGeom>
                  </pic:spPr>
                </pic:pic>
              </a:graphicData>
            </a:graphic>
          </wp:inline>
        </w:drawing>
      </w:r>
    </w:p>
    <w:p>
      <w:pPr>
        <w:spacing w:before="174" w:line="220" w:lineRule="auto"/>
        <w:ind w:left="689" w:firstLine="478" w:firstLineChars="200"/>
        <w:rPr>
          <w:rFonts w:ascii="Times New Roman" w:hAnsi="Times New Roman"/>
          <w:sz w:val="24"/>
          <w:szCs w:val="24"/>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二十一涌北路—规划纵三路近期</w:t>
      </w:r>
      <w:r>
        <w:rPr>
          <w:rFonts w:hint="eastAsia" w:ascii="Times New Roman" w:hAnsi="Times New Roman"/>
          <w:spacing w:val="-1"/>
          <w:sz w:val="24"/>
          <w:szCs w:val="24"/>
          <w14:textOutline w14:w="3048" w14:cap="flat" w14:cmpd="sng" w14:algn="ctr">
            <w14:solidFill>
              <w14:srgbClr w14:val="000000"/>
            </w14:solidFill>
            <w14:prstDash w14:val="solid"/>
            <w14:miter w14:val="0"/>
          </w14:textOutline>
        </w:rPr>
        <w:t xml:space="preserve">             </w:t>
      </w:r>
      <w:r>
        <w:rPr>
          <w:rFonts w:ascii="Times New Roman" w:hAnsi="Times New Roman"/>
          <w:spacing w:val="-1"/>
          <w:sz w:val="24"/>
          <w:szCs w:val="24"/>
          <w14:textOutline w14:w="3048" w14:cap="flat" w14:cmpd="sng" w14:algn="ctr">
            <w14:solidFill>
              <w14:srgbClr w14:val="000000"/>
            </w14:solidFill>
            <w14:prstDash w14:val="solid"/>
            <w14:miter w14:val="0"/>
          </w14:textOutline>
        </w:rPr>
        <w:t>二十一涌北路—规划纵三路远期</w:t>
      </w:r>
    </w:p>
    <w:p>
      <w:r>
        <w:br w:type="page"/>
      </w:r>
    </w:p>
    <w:p>
      <w:pPr>
        <w:pStyle w:val="2"/>
        <w:keepNext/>
        <w:keepLines/>
        <w:numPr>
          <w:ilvl w:val="0"/>
          <w:numId w:val="2"/>
        </w:numPr>
        <w:spacing w:before="191" w:beforeLines="0" w:after="191" w:afterLines="0" w:line="360" w:lineRule="auto"/>
        <w:ind w:firstLine="643" w:firstLineChars="200"/>
        <w:jc w:val="center"/>
        <w:rPr>
          <w:rFonts w:ascii="Times New Roman" w:hAnsi="Times New Roman"/>
        </w:rPr>
      </w:pPr>
      <w:bookmarkStart w:id="118" w:name="_Toc18429"/>
      <w:r>
        <w:rPr>
          <w:rFonts w:ascii="Times New Roman" w:hAnsi="Times New Roman"/>
        </w:rPr>
        <w:t>项目场址与建设条件</w:t>
      </w:r>
      <w:bookmarkEnd w:id="118"/>
    </w:p>
    <w:p>
      <w:pPr>
        <w:pStyle w:val="3"/>
        <w:ind w:firstLine="562" w:firstLineChars="200"/>
      </w:pPr>
      <w:bookmarkStart w:id="119" w:name="_Toc69"/>
      <w:r>
        <w:t>项目建设条件</w:t>
      </w:r>
      <w:bookmarkEnd w:id="119"/>
    </w:p>
    <w:p>
      <w:pPr>
        <w:pStyle w:val="4"/>
        <w:ind w:firstLine="482" w:firstLineChars="200"/>
      </w:pPr>
      <w:bookmarkStart w:id="120" w:name="_Toc10033"/>
      <w:r>
        <w:t>自然条件概况</w:t>
      </w:r>
      <w:bookmarkEnd w:id="120"/>
    </w:p>
    <w:p>
      <w:pPr>
        <w:pStyle w:val="5"/>
        <w:ind w:firstLine="482" w:firstLineChars="200"/>
        <w:rPr>
          <w:rFonts w:ascii="Times New Roman" w:hAnsi="Times New Roman"/>
        </w:rPr>
      </w:pPr>
      <w:r>
        <w:rPr>
          <w:rFonts w:ascii="Times New Roman" w:hAnsi="Times New Roman"/>
        </w:rPr>
        <w:t>地形地貌</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万顷沙原始地貌单元属珠江三角洲冲海积平原地貌，地形较为平坦，存在较厚的软土，场地现状基本为河道、既有道路、水塘、施工场地，河道水深约1.0～5.0m。</w:t>
      </w:r>
    </w:p>
    <w:p>
      <w:pPr>
        <w:spacing w:before="97" w:line="3683" w:lineRule="exact"/>
        <w:ind w:firstLine="562" w:firstLineChars="200"/>
        <w:rPr>
          <w:rFonts w:ascii="Times New Roman" w:hAnsi="Times New Roman"/>
        </w:rPr>
      </w:pPr>
      <w:r>
        <w:rPr>
          <w:rFonts w:ascii="Times New Roman" w:hAnsi="Times New Roman"/>
          <w:position w:val="-73"/>
        </w:rPr>
        <w:drawing>
          <wp:inline distT="0" distB="0" distL="0" distR="0">
            <wp:extent cx="6242050" cy="2338070"/>
            <wp:effectExtent l="0" t="0" r="6350" b="5080"/>
            <wp:docPr id="377" name="IM 258"/>
            <wp:cNvGraphicFramePr/>
            <a:graphic xmlns:a="http://schemas.openxmlformats.org/drawingml/2006/main">
              <a:graphicData uri="http://schemas.openxmlformats.org/drawingml/2006/picture">
                <pic:pic xmlns:pic="http://schemas.openxmlformats.org/drawingml/2006/picture">
                  <pic:nvPicPr>
                    <pic:cNvPr id="377" name="IM 258"/>
                    <pic:cNvPicPr/>
                  </pic:nvPicPr>
                  <pic:blipFill>
                    <a:blip r:embed="rId108"/>
                    <a:stretch>
                      <a:fillRect/>
                    </a:stretch>
                  </pic:blipFill>
                  <pic:spPr>
                    <a:xfrm>
                      <a:off x="0" y="0"/>
                      <a:ext cx="6242303" cy="2338578"/>
                    </a:xfrm>
                    <a:prstGeom prst="rect">
                      <a:avLst/>
                    </a:prstGeom>
                  </pic:spPr>
                </pic:pic>
              </a:graphicData>
            </a:graphic>
          </wp:inline>
        </w:drawing>
      </w:r>
    </w:p>
    <w:p>
      <w:pPr>
        <w:spacing w:before="148" w:line="220" w:lineRule="auto"/>
        <w:ind w:left="4926" w:firstLine="474"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spacing w:val="-2"/>
          <w:sz w:val="24"/>
          <w:szCs w:val="24"/>
          <w14:textOutline w14:w="3048" w14:cap="flat" w14:cmpd="sng" w14:algn="ctr">
            <w14:solidFill>
              <w14:srgbClr w14:val="000000"/>
            </w14:solidFill>
            <w14:prstDash w14:val="solid"/>
            <w14:miter w14:val="0"/>
          </w14:textOutline>
        </w:rPr>
        <w:t>现状航拍图</w:t>
      </w:r>
    </w:p>
    <w:p>
      <w:pPr>
        <w:pStyle w:val="5"/>
        <w:ind w:firstLine="482" w:firstLineChars="200"/>
        <w:rPr>
          <w:rFonts w:ascii="Times New Roman" w:hAnsi="Times New Roman"/>
        </w:rPr>
      </w:pPr>
      <w:r>
        <w:rPr>
          <w:rFonts w:ascii="Times New Roman" w:hAnsi="Times New Roman"/>
        </w:rPr>
        <w:t>气候条件</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南沙地区属于南亚热带季风性海洋气候，地处北回归线以南，温暖、多雨、湿润，夏长冬短，夏季时段超过六个月。具有雨量充沛、光照充足、雨热同期的特点。南沙年平均气温21.8℃。年平均雨量1635毫米。年平均相对湿度为79%，年平均风速为2.2米/秒。夏半年盛吹偏东南风，冬半年多吹偏北风，全年大风日数少。夏秋季平均每年约有3~4个、最多有6个热带气旋影响我区；冬季会受强冷空气影响，平均每年约有1~2次强冷空气影响，极端最低气温0.7℃，年平均日照时数1807.6小时。</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项目建设场址所在地区处于北回归线以南，属亚热带海洋性季风气候区，气候温暖，夏季湿热，有台风，冬季干燥，有寒流。年平均气温在21.8℃,其中以7～8两月气温最高，月平均气温＞28℃,极端高温可达35～38.7℃,1、2月份气温最低，月平均气温在13℃,极端低温亦在0℃以上。</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受亚热带海洋性气候影响，区内雨量充沛，潮湿系数大于1，年降雨量在1600mm，最大可达2500mm，多集中在4～9月份，占全年降雨量80～90%。本区以季风为主，冬季多北风和西北风，风力2～4级，最大6～7级，阵风8级。夏季为东南风，风力1～2级。每年5月至11月时有台风发生，且多集中在7至9月份，风力6～9级，最大可达12级，风速最大可达34m/s，按《公路自然区划标准》，本区属华南沿海台风区(Ⅳ7)。台风、强热带风暴带来的灾害性暴雨最具破坏性，是本区的主要自然灾害。暴雨使地表</w:t>
      </w:r>
      <w:r>
        <w:rPr>
          <w:rFonts w:hint="eastAsia" w:ascii="Times New Roman" w:hAnsi="Times New Roman"/>
          <w:b w:val="0"/>
          <w:color w:val="000000" w:themeColor="text1"/>
          <w:sz w:val="24"/>
          <w:szCs w:val="24"/>
          <w14:textFill>
            <w14:solidFill>
              <w14:schemeClr w14:val="tx1"/>
            </w14:solidFill>
          </w14:textFill>
        </w:rPr>
        <w:t>径流</w:t>
      </w:r>
      <w:r>
        <w:rPr>
          <w:rFonts w:ascii="Times New Roman" w:hAnsi="Times New Roman"/>
          <w:b w:val="0"/>
          <w:color w:val="000000" w:themeColor="text1"/>
          <w:sz w:val="24"/>
          <w:szCs w:val="24"/>
          <w14:textFill>
            <w14:solidFill>
              <w14:schemeClr w14:val="tx1"/>
            </w14:solidFill>
          </w14:textFill>
        </w:rPr>
        <w:t>强劲、早春阴雨绵绵使水</w:t>
      </w:r>
      <w:r>
        <w:rPr>
          <w:rFonts w:hint="eastAsia" w:ascii="Times New Roman" w:hAnsi="Times New Roman"/>
          <w:b w:val="0"/>
          <w:color w:val="000000" w:themeColor="text1"/>
          <w:sz w:val="24"/>
          <w:szCs w:val="24"/>
          <w14:textFill>
            <w14:solidFill>
              <w14:schemeClr w14:val="tx1"/>
            </w14:solidFill>
          </w14:textFill>
        </w:rPr>
        <w:t>分</w:t>
      </w:r>
      <w:r>
        <w:rPr>
          <w:rFonts w:ascii="Times New Roman" w:hAnsi="Times New Roman"/>
          <w:b w:val="0"/>
          <w:color w:val="000000" w:themeColor="text1"/>
          <w:sz w:val="24"/>
          <w:szCs w:val="24"/>
          <w14:textFill>
            <w14:solidFill>
              <w14:schemeClr w14:val="tx1"/>
            </w14:solidFill>
          </w14:textFill>
        </w:rPr>
        <w:t>充分下渗地下，这些往往构成道路水害，常常诱发道路损毁。</w:t>
      </w:r>
    </w:p>
    <w:p>
      <w:pPr>
        <w:pStyle w:val="5"/>
        <w:ind w:firstLine="482" w:firstLineChars="200"/>
        <w:rPr>
          <w:rFonts w:ascii="Times New Roman" w:hAnsi="Times New Roman"/>
        </w:rPr>
      </w:pPr>
      <w:r>
        <w:rPr>
          <w:rFonts w:ascii="Times New Roman" w:hAnsi="Times New Roman"/>
        </w:rPr>
        <w:t>水文与工程地质条件</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场地地下水按赋存方式分为第四系孔隙水和基岩裂隙水两类。第四系孔隙水含水层主要为砂层（2-2层、2-6层），总体上其透水性良好，富水性较丰富，其他土层透水性弱，为相对的隔水层。场地属亚热带季风性气候，降水量大于蒸发量，大气降水是孔隙潜水的主要补给来源之一，每年4~9月份是地下水补给期，10月至次年3月为地下水消耗期和排泄期。地下水水位埋藏较浅，钻孔稳定水位埋深为0.00～1.60m。在浅部干湿交替条件下有中等腐蚀性，对钢结构有中等腐蚀性。</w:t>
      </w:r>
    </w:p>
    <w:p>
      <w:pPr>
        <w:spacing w:line="300" w:lineRule="auto"/>
        <w:ind w:firstLine="482"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sz w:val="24"/>
          <w:szCs w:val="24"/>
        </w:rPr>
        <w:t>该</w:t>
      </w:r>
      <w:r>
        <w:rPr>
          <w:rFonts w:ascii="Times New Roman" w:hAnsi="Times New Roman"/>
          <w:b w:val="0"/>
          <w:color w:val="000000" w:themeColor="text1"/>
          <w:sz w:val="24"/>
          <w:szCs w:val="24"/>
          <w14:textFill>
            <w14:solidFill>
              <w14:schemeClr w14:val="tx1"/>
            </w14:solidFill>
          </w14:textFill>
        </w:rPr>
        <w:t>项目所在区域属珠江三角洲入海流域。南沙区主要有虎门、蕉门、洪奇沥三条水道，径流量为4.82亿立方米，多年平均过境流量1377亿立方米。其中虎门水道603亿立方米、蕉门水道565亿立方米、洪奇沥水道209亿立方米，分别约占珠江年径流总量的18%、7%、6%左右。全区现有蕉东联围等九大联围外江堤防，总长236.3公里。</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项目场地两侧分布有蕉门和洪奇沥水道。</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蕉门水道上游由沙湾水道分流的榄核、西樵、骝岗等支流流入，至中游接洪奇沥的分支上、</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下横沥。干流从西樵口至南沙口门长29.49km，由南沙口门至万顷沙十五涌东为21.51m。其支流共长56.77km，平均河宽上游285m，到灵山为615m，亭角742m。南沙口门河宽1350m，平均水深6.42m，最深为12m。</w:t>
      </w:r>
    </w:p>
    <w:p>
      <w:pPr>
        <w:spacing w:line="300" w:lineRule="auto"/>
        <w:ind w:firstLine="562" w:firstLineChars="200"/>
        <w:jc w:val="center"/>
        <w:rPr>
          <w:rFonts w:ascii="Times New Roman" w:hAnsi="Times New Roman"/>
        </w:rPr>
      </w:pPr>
      <w:r>
        <w:rPr>
          <w:rFonts w:ascii="Times New Roman" w:hAnsi="Times New Roman"/>
        </w:rPr>
        <w:drawing>
          <wp:inline distT="0" distB="0" distL="114300" distR="114300">
            <wp:extent cx="4152900" cy="3933825"/>
            <wp:effectExtent l="0" t="0" r="0" b="9525"/>
            <wp:docPr id="23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38"/>
                    <pic:cNvPicPr>
                      <a:picLocks noChangeAspect="1"/>
                    </pic:cNvPicPr>
                  </pic:nvPicPr>
                  <pic:blipFill>
                    <a:blip r:embed="rId109"/>
                    <a:stretch>
                      <a:fillRect/>
                    </a:stretch>
                  </pic:blipFill>
                  <pic:spPr>
                    <a:xfrm>
                      <a:off x="0" y="0"/>
                      <a:ext cx="4152900" cy="3933825"/>
                    </a:xfrm>
                    <a:prstGeom prst="rect">
                      <a:avLst/>
                    </a:prstGeom>
                    <a:noFill/>
                    <a:ln>
                      <a:noFill/>
                    </a:ln>
                  </pic:spPr>
                </pic:pic>
              </a:graphicData>
            </a:graphic>
          </wp:inline>
        </w:drawing>
      </w:r>
    </w:p>
    <w:p>
      <w:pPr>
        <w:spacing w:before="148" w:line="220" w:lineRule="auto"/>
        <w:ind w:firstLine="474" w:firstLineChars="200"/>
        <w:jc w:val="center"/>
        <w:rPr>
          <w:rFonts w:ascii="Times New Roman" w:hAnsi="Times New Roman"/>
          <w:spacing w:val="-2"/>
          <w:sz w:val="24"/>
          <w:szCs w:val="24"/>
          <w14:textOutline w14:w="3048" w14:cap="flat" w14:cmpd="sng" w14:algn="ctr">
            <w14:solidFill>
              <w14:srgbClr w14:val="000000"/>
            </w14:solidFill>
            <w14:prstDash w14:val="solid"/>
            <w14:miter w14:val="0"/>
          </w14:textOutline>
        </w:rPr>
      </w:pPr>
      <w:r>
        <w:rPr>
          <w:rFonts w:ascii="Times New Roman" w:hAnsi="Times New Roman"/>
          <w:spacing w:val="-2"/>
          <w:sz w:val="24"/>
          <w:szCs w:val="24"/>
          <w14:textOutline w14:w="3048" w14:cap="flat" w14:cmpd="sng" w14:algn="ctr">
            <w14:solidFill>
              <w14:srgbClr w14:val="000000"/>
            </w14:solidFill>
            <w14:prstDash w14:val="solid"/>
            <w14:miter w14:val="0"/>
          </w14:textOutline>
        </w:rPr>
        <w:t>南沙区主要水系</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洪奇沥在工作区的西南边界，上接沙湾水道李家沙分流，以下陆续接容桂水道、眉蕉海、泥角、大奎沥、坵头沥和黄沙沥等西江支流。在义沙围头向东分上、下横沥两支出焦门水道。在沥心围头分一支西利河入横门。由李家沙起至万顷沙十五涌西干流长36.2km。河宽变化大，上游207m，容桂水道下778m，大奎沙下907m，坵头沥口970m，义沙头1161m，过了下横沥在冯马庙收窄为533m。平均河深5.38m，最深7m。洪奇沥口门淤积快，水道逐渐萎缩，逼使水沙从下横沥夺蕉门入海。除了以上三大口门外，还有一条很重要穿越区内的水道—沙湾水道，西北江流经县境的主要河道之一，长27.74km，其支流在境内有市桥河、骝岗河、西樵、浅海、榄核河、湾左支和濠滘8条。</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工作区内蕉门、洪奇门总体上为弱潮区混合型河口湾，水文要素分布受径流、冲淡岸海洋环流影响。</w:t>
      </w:r>
    </w:p>
    <w:p>
      <w:pPr>
        <w:pStyle w:val="4"/>
        <w:ind w:firstLine="482" w:firstLineChars="200"/>
      </w:pPr>
      <w:bookmarkStart w:id="121" w:name="_Toc9879"/>
      <w:r>
        <w:t>场地地质构造</w:t>
      </w:r>
      <w:bookmarkEnd w:id="121"/>
    </w:p>
    <w:p>
      <w:pPr>
        <w:pStyle w:val="5"/>
        <w:ind w:firstLine="482" w:firstLineChars="200"/>
        <w:rPr>
          <w:rFonts w:ascii="Times New Roman" w:hAnsi="Times New Roman"/>
        </w:rPr>
      </w:pPr>
      <w:r>
        <w:rPr>
          <w:rFonts w:ascii="Times New Roman" w:hAnsi="Times New Roman"/>
        </w:rPr>
        <w:t>岩土地层结构及其特征</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因本工程正在开展勘察工作，结合南沙地区的地质情况的特点，对本工程拟建场地的地质情况总结如下。</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上覆土层主要有：人工堆积成因的素填土（Qml），冲洪积成因的淤泥（淤泥质土）、下伏基岩为燕山期仿花岗岩(γ)。钻孔揭露的土（岩）层按其成因及工程特性由上而下综合描述如下：</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1）素填土：浅黄～浅褐色、灰褐色，欠压实，松散～稍密，主要填料为砂质粘性土，稍湿，</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可塑。</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2）淤泥（淤泥质土）：深灰色，饱和，流塑，含腐殖质，局部含有少量贝壳，具臭味。局部</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夹薄层粉砂，平均厚度约30~44m。</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3）中砂层：黄色，饱和；石英质砂为主，含少量粘性，级配一般。一般含较多淤泥质粘粒，平均厚度约5.60m。</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4）仿花岗岩强风化层：褐黄色；半岩半土状；矿物成分大部分风化成土状，岩芯手可捏碎，局部夹若风化岩块。</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5）仿花岗岩弱风化层：青灰色、褐黄色；岩质较硬，裂隙较发育，岩芯碎块状、短柱状，锤击声哑。</w:t>
      </w:r>
    </w:p>
    <w:p>
      <w:pPr>
        <w:pStyle w:val="5"/>
        <w:ind w:firstLine="482" w:firstLineChars="200"/>
        <w:rPr>
          <w:rFonts w:ascii="Times New Roman" w:hAnsi="Times New Roman"/>
        </w:rPr>
      </w:pPr>
      <w:r>
        <w:rPr>
          <w:rFonts w:ascii="Times New Roman" w:hAnsi="Times New Roman"/>
        </w:rPr>
        <w:t>水文地质</w:t>
      </w:r>
    </w:p>
    <w:p>
      <w:pPr>
        <w:spacing w:line="300" w:lineRule="auto"/>
        <w:ind w:firstLine="482" w:firstLineChars="20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1、地下水情况</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场区地貌主要属珠江三角洲冲积平原，是地表水和地下水的径流排泄区。场地地下水类型主要为上层滞水、孔隙承压水以及基岩孔隙裂隙水。</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（1）上层滞水：赋存于结构疏松的人工填土层中，含水量不大，其动态受季节性控制，主要接受大气降水和河涌水的渗入补给。</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（2）孔隙承压水：赋存于第四系冲积层之含水砂层中。孔隙水主要为承压水，局部地段为潜水，主要接受上覆含水层的越流补给和上游地下水</w:t>
      </w:r>
      <w:r>
        <w:rPr>
          <w:rFonts w:hint="eastAsia" w:ascii="Times New Roman" w:hAnsi="Times New Roman"/>
          <w:b w:val="0"/>
          <w:color w:val="000000" w:themeColor="text1"/>
          <w:sz w:val="24"/>
          <w:szCs w:val="24"/>
          <w14:textFill>
            <w14:solidFill>
              <w14:schemeClr w14:val="tx1"/>
            </w14:solidFill>
          </w14:textFill>
        </w:rPr>
        <w:t>径流</w:t>
      </w:r>
      <w:r>
        <w:rPr>
          <w:rFonts w:ascii="Times New Roman" w:hAnsi="Times New Roman"/>
          <w:b w:val="0"/>
          <w:color w:val="000000" w:themeColor="text1"/>
          <w:sz w:val="24"/>
          <w:szCs w:val="24"/>
          <w14:textFill>
            <w14:solidFill>
              <w14:schemeClr w14:val="tx1"/>
            </w14:solidFill>
          </w14:textFill>
        </w:rPr>
        <w:t>以及河涌水的侧向补给。</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（3）基岩孔隙裂隙承压水：基岩强、弱风化带孔隙裂隙发育，特别是断裂带及其附近岩石破碎，裂隙发育，含孔隙裂隙承压水。地下水主要靠上覆孔隙水的越流补给和上游地下水</w:t>
      </w:r>
      <w:r>
        <w:rPr>
          <w:rFonts w:hint="eastAsia" w:ascii="Times New Roman" w:hAnsi="Times New Roman"/>
          <w:b w:val="0"/>
          <w:color w:val="000000" w:themeColor="text1"/>
          <w:sz w:val="24"/>
          <w:szCs w:val="24"/>
          <w14:textFill>
            <w14:solidFill>
              <w14:schemeClr w14:val="tx1"/>
            </w14:solidFill>
          </w14:textFill>
        </w:rPr>
        <w:t>径流</w:t>
      </w:r>
      <w:r>
        <w:rPr>
          <w:rFonts w:ascii="Times New Roman" w:hAnsi="Times New Roman"/>
          <w:b w:val="0"/>
          <w:color w:val="000000" w:themeColor="text1"/>
          <w:sz w:val="24"/>
          <w:szCs w:val="24"/>
          <w14:textFill>
            <w14:solidFill>
              <w14:schemeClr w14:val="tx1"/>
            </w14:solidFill>
          </w14:textFill>
        </w:rPr>
        <w:t>的侧向补给。</w:t>
      </w:r>
    </w:p>
    <w:p>
      <w:pPr>
        <w:pStyle w:val="5"/>
        <w:ind w:firstLine="482" w:firstLineChars="200"/>
        <w:rPr>
          <w:rFonts w:ascii="Times New Roman" w:hAnsi="Times New Roman"/>
        </w:rPr>
      </w:pPr>
      <w:r>
        <w:rPr>
          <w:rFonts w:ascii="Times New Roman" w:hAnsi="Times New Roman"/>
        </w:rPr>
        <w:t>不良地质与特殊性岩土评价</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场地未见岩溶、土洞、采空区、滑坡、崩塌、泥石流等地质灾害分布，但饱和粉细砂层（2-2层）局部存在轻微液化问题，软土层（2-1和2-4层）具有震陷的可能，均不利于浅基础的稳定，但可以采用工程措施进行处理，因此综合评定本场地基本适宜于拟建工程的建设。</w:t>
      </w:r>
    </w:p>
    <w:p>
      <w:pPr>
        <w:pStyle w:val="5"/>
        <w:ind w:firstLine="482" w:firstLineChars="200"/>
        <w:rPr>
          <w:rFonts w:ascii="Times New Roman" w:hAnsi="Times New Roman"/>
        </w:rPr>
      </w:pPr>
      <w:r>
        <w:rPr>
          <w:rFonts w:ascii="Times New Roman" w:hAnsi="Times New Roman"/>
        </w:rPr>
        <w:t>场地稳定性评价</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根据区域地质资料和参考项目的钻孔揭露情况，场地范围内未发现明显的全新世活动断裂构造痕迹，场地的构造稳定性较好，场地所处区域近年属弱震区，发生强震的可能性小。场地地表地形总体较为平坦、开阔，场地除上部分布有较厚的软土层外，未发现有其它不良灾害地质现象。综合上述分析，场地地基对工程建设影响最大的主要是软土，当采取适当工程措施后，场地基本适宜本工程的建设。</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据《广东省地震烈度区划图》，场区地震基本烈度属VII度区。据《建筑抗震设计规范》（2016年版），场区的抗震设防烈度为7度，设计基本地震加速度值为0.10g，设计地震分组为第一组。</w:t>
      </w:r>
    </w:p>
    <w:p>
      <w:pPr>
        <w:pStyle w:val="5"/>
        <w:ind w:firstLine="482" w:firstLineChars="200"/>
        <w:rPr>
          <w:rFonts w:ascii="Times New Roman" w:hAnsi="Times New Roman"/>
        </w:rPr>
      </w:pPr>
      <w:r>
        <w:rPr>
          <w:rFonts w:ascii="Times New Roman" w:hAnsi="Times New Roman"/>
        </w:rPr>
        <w:t>地震效应</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场地位于三角洲冲积平原，场地软弱松散土层发育，场地总体应属于建筑抗震不利地段。</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据《公路工程抗震规范》（JTG B02-2013），场地土的类型为软弱土~中硬土，以软弱土为主，等效剪切波速0140m/s，覆盖土厚度一般大于15m，小于80m，场地类别应为III类场地，设计加速度反应谱特征周期为0.45s。</w:t>
      </w:r>
    </w:p>
    <w:p>
      <w:pPr>
        <w:pStyle w:val="4"/>
        <w:ind w:firstLine="482" w:firstLineChars="200"/>
      </w:pPr>
      <w:bookmarkStart w:id="122" w:name="_Toc24983"/>
      <w:r>
        <w:t>筑路材料与运输条件</w:t>
      </w:r>
      <w:bookmarkEnd w:id="122"/>
    </w:p>
    <w:p>
      <w:pPr>
        <w:pStyle w:val="5"/>
        <w:ind w:firstLine="482" w:firstLineChars="200"/>
        <w:rPr>
          <w:rFonts w:ascii="Times New Roman" w:hAnsi="Times New Roman"/>
        </w:rPr>
      </w:pPr>
      <w:r>
        <w:rPr>
          <w:rFonts w:ascii="Times New Roman" w:hAnsi="Times New Roman"/>
        </w:rPr>
        <w:t>筑路材料</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（1）建筑材料</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本项目规划区域周边天然筑路材料（砂、石、土料）较少。经异地调运可满足市政设施建设对天然筑路材料之需要。</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（2）填料：</w:t>
      </w:r>
    </w:p>
    <w:p>
      <w:pPr>
        <w:numPr>
          <w:ilvl w:val="0"/>
          <w:numId w:val="13"/>
        </w:num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填土：建设区域地势较低，项目以填方为主，区域内无可用填土，需要从外借土。</w:t>
      </w:r>
    </w:p>
    <w:p>
      <w:pPr>
        <w:numPr>
          <w:ilvl w:val="0"/>
          <w:numId w:val="13"/>
        </w:numPr>
        <w:spacing w:line="300" w:lineRule="auto"/>
        <w:ind w:left="0"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砂砾：项目周边能够为本项目提供河砂的河流较少，但本项目水运较发达，可由从外地采购砂砾料后，先由船只运送到附近码头后，再由汽车转运。</w:t>
      </w:r>
    </w:p>
    <w:p>
      <w:pPr>
        <w:numPr>
          <w:ilvl w:val="0"/>
          <w:numId w:val="13"/>
        </w:num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石砾：项目周边缺乏石料，建设所需石料需外借。</w:t>
      </w:r>
    </w:p>
    <w:p>
      <w:pPr>
        <w:numPr>
          <w:ilvl w:val="0"/>
          <w:numId w:val="13"/>
        </w:numPr>
        <w:spacing w:line="300" w:lineRule="auto"/>
        <w:ind w:left="0"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钢材、木材、沥青、水泥：向社会公开招标或邀请信誉好、质量过关的生产商通过议标购得。木材可以充分利用当地的林业资源，就地采购解决。</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（3）工程用水、用电</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本项目水道众多，工程用水较为方便，水质较好。施工期间的生活用水采用自来水，基本满足项目生活用水需要。沿线有城镇分布，电网分布较广，电力供应充足，工程用电可考虑就近接入。</w:t>
      </w:r>
    </w:p>
    <w:p>
      <w:pPr>
        <w:pStyle w:val="5"/>
        <w:ind w:firstLine="482" w:firstLineChars="200"/>
        <w:rPr>
          <w:rFonts w:ascii="Times New Roman" w:hAnsi="Times New Roman"/>
        </w:rPr>
      </w:pPr>
      <w:r>
        <w:rPr>
          <w:rFonts w:ascii="Times New Roman" w:hAnsi="Times New Roman"/>
        </w:rPr>
        <w:t>运输条件</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南沙新区公路密度大，公路等级较高，运输条件较好。项目区域紧邻灵新大道、万环西路等现状道路，周边现状水网密布，水运发达，工程所需外购材料及其他物资的运输极为便利。</w:t>
      </w:r>
    </w:p>
    <w:p>
      <w:pPr>
        <w:pStyle w:val="4"/>
        <w:ind w:firstLine="482" w:firstLineChars="200"/>
      </w:pPr>
      <w:bookmarkStart w:id="123" w:name="_Toc1006"/>
      <w:r>
        <w:t>项目场地现状调查分析</w:t>
      </w:r>
      <w:bookmarkEnd w:id="123"/>
    </w:p>
    <w:p>
      <w:pPr>
        <w:pStyle w:val="5"/>
        <w:ind w:firstLine="482" w:firstLineChars="200"/>
        <w:rPr>
          <w:rFonts w:ascii="Times New Roman" w:hAnsi="Times New Roman"/>
        </w:rPr>
      </w:pPr>
      <w:r>
        <w:rPr>
          <w:rFonts w:ascii="Times New Roman" w:hAnsi="Times New Roman"/>
        </w:rPr>
        <w:t>拟建项目沿线现状概况</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本项目位于南沙新区万顷沙镇，北至二十涌，南至二十一涌，道路设计共计</w:t>
      </w:r>
      <w:r>
        <w:rPr>
          <w:rFonts w:hint="eastAsia" w:ascii="Times New Roman" w:hAnsi="Times New Roman"/>
          <w:b w:val="0"/>
          <w:color w:val="000000" w:themeColor="text1"/>
          <w:sz w:val="24"/>
          <w14:textFill>
            <w14:solidFill>
              <w14:schemeClr w14:val="tx1"/>
            </w14:solidFill>
          </w14:textFill>
        </w:rPr>
        <w:t>2</w:t>
      </w:r>
      <w:r>
        <w:rPr>
          <w:rFonts w:ascii="Times New Roman" w:hAnsi="Times New Roman"/>
          <w:b w:val="0"/>
          <w:color w:val="000000" w:themeColor="text1"/>
          <w:sz w:val="24"/>
          <w14:textFill>
            <w14:solidFill>
              <w14:schemeClr w14:val="tx1"/>
            </w14:solidFill>
          </w14:textFill>
        </w:rPr>
        <w:t>条，均为规划道路。分别为二十涌北路</w:t>
      </w:r>
      <w:r>
        <w:rPr>
          <w:rFonts w:hint="eastAsia" w:ascii="Times New Roman" w:hAnsi="Times New Roman"/>
          <w:b w:val="0"/>
          <w:color w:val="000000" w:themeColor="text1"/>
          <w:sz w:val="24"/>
          <w14:textFill>
            <w14:solidFill>
              <w14:schemeClr w14:val="tx1"/>
            </w14:solidFill>
          </w14:textFill>
        </w:rPr>
        <w:t>、</w:t>
      </w:r>
      <w:r>
        <w:rPr>
          <w:rFonts w:ascii="Times New Roman" w:hAnsi="Times New Roman"/>
          <w:b w:val="0"/>
          <w:color w:val="000000" w:themeColor="text1"/>
          <w:sz w:val="24"/>
          <w14:textFill>
            <w14:solidFill>
              <w14:schemeClr w14:val="tx1"/>
            </w14:solidFill>
          </w14:textFill>
        </w:rPr>
        <w:t>规划纵三路。</w:t>
      </w:r>
    </w:p>
    <w:p>
      <w:pPr>
        <w:spacing w:line="300" w:lineRule="auto"/>
        <w:ind w:firstLine="562" w:firstLineChars="200"/>
        <w:jc w:val="center"/>
        <w:rPr>
          <w:rFonts w:ascii="Times New Roman" w:hAnsi="Times New Roman"/>
          <w:position w:val="-64"/>
        </w:rPr>
      </w:pPr>
      <w:r>
        <w:rPr>
          <w:rFonts w:ascii="Times New Roman" w:hAnsi="Times New Roman"/>
          <w:position w:val="-64"/>
        </w:rPr>
        <w:drawing>
          <wp:inline distT="0" distB="0" distL="0" distR="0">
            <wp:extent cx="5478780" cy="2051685"/>
            <wp:effectExtent l="0" t="0" r="7620" b="5715"/>
            <wp:docPr id="378" name="IM 278"/>
            <wp:cNvGraphicFramePr/>
            <a:graphic xmlns:a="http://schemas.openxmlformats.org/drawingml/2006/main">
              <a:graphicData uri="http://schemas.openxmlformats.org/drawingml/2006/picture">
                <pic:pic xmlns:pic="http://schemas.openxmlformats.org/drawingml/2006/picture">
                  <pic:nvPicPr>
                    <pic:cNvPr id="378" name="IM 278"/>
                    <pic:cNvPicPr/>
                  </pic:nvPicPr>
                  <pic:blipFill>
                    <a:blip r:embed="rId110"/>
                    <a:stretch>
                      <a:fillRect/>
                    </a:stretch>
                  </pic:blipFill>
                  <pic:spPr>
                    <a:xfrm>
                      <a:off x="0" y="0"/>
                      <a:ext cx="5478780" cy="2052066"/>
                    </a:xfrm>
                    <a:prstGeom prst="rect">
                      <a:avLst/>
                    </a:prstGeom>
                  </pic:spPr>
                </pic:pic>
              </a:graphicData>
            </a:graphic>
          </wp:inline>
        </w:drawing>
      </w:r>
    </w:p>
    <w:p>
      <w:pPr>
        <w:spacing w:line="300" w:lineRule="auto"/>
        <w:ind w:firstLine="562" w:firstLineChars="200"/>
        <w:jc w:val="center"/>
        <w:rPr>
          <w:rFonts w:ascii="Times New Roman" w:hAnsi="Times New Roman"/>
          <w:color w:val="333333"/>
          <w:sz w:val="21"/>
          <w:szCs w:val="21"/>
          <w:shd w:val="clear" w:color="auto" w:fill="FFFFFF"/>
        </w:rPr>
      </w:pPr>
      <w:r>
        <w:rPr>
          <w:rFonts w:ascii="Times New Roman" w:hAnsi="Times New Roman"/>
          <w:position w:val="-64"/>
        </w:rPr>
        <w:drawing>
          <wp:inline distT="0" distB="0" distL="0" distR="0">
            <wp:extent cx="5478145" cy="2051685"/>
            <wp:effectExtent l="0" t="0" r="8255" b="5715"/>
            <wp:docPr id="386" name="IM 284"/>
            <wp:cNvGraphicFramePr/>
            <a:graphic xmlns:a="http://schemas.openxmlformats.org/drawingml/2006/main">
              <a:graphicData uri="http://schemas.openxmlformats.org/drawingml/2006/picture">
                <pic:pic xmlns:pic="http://schemas.openxmlformats.org/drawingml/2006/picture">
                  <pic:nvPicPr>
                    <pic:cNvPr id="386" name="IM 284"/>
                    <pic:cNvPicPr/>
                  </pic:nvPicPr>
                  <pic:blipFill>
                    <a:blip r:embed="rId111"/>
                    <a:stretch>
                      <a:fillRect/>
                    </a:stretch>
                  </pic:blipFill>
                  <pic:spPr>
                    <a:xfrm>
                      <a:off x="0" y="0"/>
                      <a:ext cx="5478779" cy="2052066"/>
                    </a:xfrm>
                    <a:prstGeom prst="rect">
                      <a:avLst/>
                    </a:prstGeom>
                  </pic:spPr>
                </pic:pic>
              </a:graphicData>
            </a:graphic>
          </wp:inline>
        </w:drawing>
      </w:r>
    </w:p>
    <w:p>
      <w:pPr>
        <w:spacing w:line="300" w:lineRule="auto"/>
        <w:ind w:firstLine="422" w:firstLineChars="200"/>
        <w:jc w:val="center"/>
        <w:rPr>
          <w:rFonts w:ascii="Times New Roman" w:hAnsi="Times New Roman"/>
          <w:color w:val="333333"/>
          <w:sz w:val="21"/>
          <w:szCs w:val="21"/>
          <w:shd w:val="clear" w:color="auto" w:fill="FFFFFF"/>
        </w:rPr>
      </w:pPr>
      <w:r>
        <w:rPr>
          <w:rFonts w:ascii="Times New Roman" w:hAnsi="Times New Roman"/>
          <w:color w:val="333333"/>
          <w:sz w:val="21"/>
          <w:szCs w:val="21"/>
          <w:shd w:val="clear" w:color="auto" w:fill="FFFFFF"/>
        </w:rPr>
        <w:t>场地航拍图</w:t>
      </w:r>
    </w:p>
    <w:p>
      <w:pPr>
        <w:pStyle w:val="5"/>
        <w:ind w:firstLine="482" w:firstLineChars="200"/>
        <w:rPr>
          <w:rFonts w:ascii="Times New Roman" w:hAnsi="Times New Roman"/>
        </w:rPr>
      </w:pPr>
      <w:r>
        <w:rPr>
          <w:rFonts w:ascii="Times New Roman" w:hAnsi="Times New Roman"/>
        </w:rPr>
        <w:t>现状道路概况</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本项目位于南沙新区万顷沙镇，北至二十涌，南至二十一涌，道路设计共计</w:t>
      </w:r>
      <w:r>
        <w:rPr>
          <w:rFonts w:hint="eastAsia" w:ascii="Times New Roman" w:hAnsi="Times New Roman"/>
          <w:b w:val="0"/>
          <w:color w:val="000000" w:themeColor="text1"/>
          <w:sz w:val="24"/>
          <w14:textFill>
            <w14:solidFill>
              <w14:schemeClr w14:val="tx1"/>
            </w14:solidFill>
          </w14:textFill>
        </w:rPr>
        <w:t>2</w:t>
      </w:r>
      <w:r>
        <w:rPr>
          <w:rFonts w:ascii="Times New Roman" w:hAnsi="Times New Roman"/>
          <w:b w:val="0"/>
          <w:color w:val="000000" w:themeColor="text1"/>
          <w:sz w:val="24"/>
          <w14:textFill>
            <w14:solidFill>
              <w14:schemeClr w14:val="tx1"/>
            </w14:solidFill>
          </w14:textFill>
        </w:rPr>
        <w:t>条，均为规划道路。分别为二十涌北路、规划纵三路。</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本项目位于南沙区南部片区，区域现状路网尚未完善，交通不便，主要的交通主干线为现状万环西路、灵新大道，南中高速及其万顷沙支线为在建高速路。本项目的建设与万环西南延线、灵新大道南延线、南中高速及其万顷沙支线等组成的骨干交通路网，使南沙与广州中心城区乃至珠江三角洲地区的路网形成快速便捷的联系，充分发挥南沙作为珠三角交通枢纽的优势，同时积极引导产业落地，打造“湾区之芯”，立足南沙，面向世界，引领高质量发展。</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本项目共有</w:t>
      </w:r>
      <w:r>
        <w:rPr>
          <w:rFonts w:hint="eastAsia" w:ascii="Times New Roman" w:hAnsi="Times New Roman"/>
          <w:b w:val="0"/>
          <w:color w:val="000000" w:themeColor="text1"/>
          <w:sz w:val="24"/>
          <w14:textFill>
            <w14:solidFill>
              <w14:schemeClr w14:val="tx1"/>
            </w14:solidFill>
          </w14:textFill>
        </w:rPr>
        <w:t>2</w:t>
      </w:r>
      <w:r>
        <w:rPr>
          <w:rFonts w:ascii="Times New Roman" w:hAnsi="Times New Roman"/>
          <w:b w:val="0"/>
          <w:color w:val="000000" w:themeColor="text1"/>
          <w:sz w:val="24"/>
          <w14:textFill>
            <w14:solidFill>
              <w14:schemeClr w14:val="tx1"/>
            </w14:solidFill>
          </w14:textFill>
        </w:rPr>
        <w:t>条道路，为大型城市综合体内部道路，项目四周现状市政道路匮乏，有南沙区城市主干路通过，</w:t>
      </w:r>
      <w:r>
        <w:rPr>
          <w:rFonts w:hint="eastAsia" w:ascii="Times New Roman" w:hAnsi="Times New Roman"/>
          <w:b w:val="0"/>
          <w:color w:val="000000" w:themeColor="text1"/>
          <w:sz w:val="24"/>
          <w14:textFill>
            <w14:solidFill>
              <w14:schemeClr w14:val="tx1"/>
            </w14:solidFill>
          </w14:textFill>
        </w:rPr>
        <w:t>万环西路南延线（十六涌半至海堤段）</w:t>
      </w:r>
      <w:r>
        <w:rPr>
          <w:rFonts w:ascii="Times New Roman" w:hAnsi="Times New Roman"/>
          <w:b w:val="0"/>
          <w:color w:val="000000" w:themeColor="text1"/>
          <w:sz w:val="24"/>
          <w14:textFill>
            <w14:solidFill>
              <w14:schemeClr w14:val="tx1"/>
            </w14:solidFill>
          </w14:textFill>
        </w:rPr>
        <w:t>、</w:t>
      </w:r>
      <w:r>
        <w:rPr>
          <w:rFonts w:hint="eastAsia" w:ascii="Times New Roman" w:hAnsi="Times New Roman"/>
          <w:b w:val="0"/>
          <w:color w:val="000000" w:themeColor="text1"/>
          <w:sz w:val="24"/>
          <w14:textFill>
            <w14:solidFill>
              <w14:schemeClr w14:val="tx1"/>
            </w14:solidFill>
          </w14:textFill>
        </w:rPr>
        <w:t>南中高速</w:t>
      </w:r>
      <w:r>
        <w:rPr>
          <w:rFonts w:ascii="Times New Roman" w:hAnsi="Times New Roman"/>
          <w:b w:val="0"/>
          <w:color w:val="000000" w:themeColor="text1"/>
          <w:sz w:val="24"/>
          <w14:textFill>
            <w14:solidFill>
              <w14:schemeClr w14:val="tx1"/>
            </w14:solidFill>
          </w14:textFill>
        </w:rPr>
        <w:t>万顷沙支线为在建道路，其它为现状村道，现状路面为水泥路。场地周边交通均有现状水泥路连通，可作为施工运输线路利用。</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区域主要相交道路现状情况如下表所示：</w:t>
      </w:r>
    </w:p>
    <w:tbl>
      <w:tblPr>
        <w:tblStyle w:val="379"/>
        <w:tblW w:w="10369" w:type="dxa"/>
        <w:tblInd w:w="9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7"/>
        <w:gridCol w:w="1782"/>
        <w:gridCol w:w="1343"/>
        <w:gridCol w:w="1342"/>
        <w:gridCol w:w="1432"/>
        <w:gridCol w:w="1261"/>
        <w:gridCol w:w="1258"/>
        <w:gridCol w:w="127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2" w:hRule="atLeast"/>
        </w:trPr>
        <w:tc>
          <w:tcPr>
            <w:tcW w:w="677" w:type="dxa"/>
            <w:textDirection w:val="tbRlV"/>
          </w:tcPr>
          <w:p>
            <w:pPr>
              <w:pStyle w:val="391"/>
              <w:autoSpaceDE w:val="0"/>
              <w:autoSpaceDN w:val="0"/>
              <w:spacing w:before="212" w:line="210" w:lineRule="auto"/>
              <w:ind w:left="6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5"/>
                <w14:textFill>
                  <w14:solidFill>
                    <w14:schemeClr w14:val="tx1"/>
                  </w14:solidFill>
                </w14:textFill>
              </w:rPr>
              <w:t>序号</w:t>
            </w:r>
          </w:p>
        </w:tc>
        <w:tc>
          <w:tcPr>
            <w:tcW w:w="1782" w:type="dxa"/>
          </w:tcPr>
          <w:p>
            <w:pPr>
              <w:pStyle w:val="391"/>
              <w:autoSpaceDE w:val="0"/>
              <w:autoSpaceDN w:val="0"/>
              <w:spacing w:before="215" w:line="220" w:lineRule="auto"/>
              <w:ind w:left="65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路名</w:t>
            </w:r>
          </w:p>
        </w:tc>
        <w:tc>
          <w:tcPr>
            <w:tcW w:w="1343" w:type="dxa"/>
          </w:tcPr>
          <w:p>
            <w:pPr>
              <w:pStyle w:val="391"/>
              <w:autoSpaceDE w:val="0"/>
              <w:autoSpaceDN w:val="0"/>
              <w:spacing w:before="215" w:line="220" w:lineRule="auto"/>
              <w:ind w:left="43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等级</w:t>
            </w:r>
          </w:p>
        </w:tc>
        <w:tc>
          <w:tcPr>
            <w:tcW w:w="1342" w:type="dxa"/>
          </w:tcPr>
          <w:p>
            <w:pPr>
              <w:pStyle w:val="391"/>
              <w:autoSpaceDE w:val="0"/>
              <w:autoSpaceDN w:val="0"/>
              <w:spacing w:before="216" w:line="220" w:lineRule="auto"/>
              <w:ind w:left="20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红线宽度</w:t>
            </w:r>
          </w:p>
        </w:tc>
        <w:tc>
          <w:tcPr>
            <w:tcW w:w="1432" w:type="dxa"/>
          </w:tcPr>
          <w:p>
            <w:pPr>
              <w:pStyle w:val="391"/>
              <w:autoSpaceDE w:val="0"/>
              <w:autoSpaceDN w:val="0"/>
              <w:spacing w:before="215" w:line="220" w:lineRule="auto"/>
              <w:ind w:left="36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车道数</w:t>
            </w:r>
          </w:p>
        </w:tc>
        <w:tc>
          <w:tcPr>
            <w:tcW w:w="1261" w:type="dxa"/>
          </w:tcPr>
          <w:p>
            <w:pPr>
              <w:pStyle w:val="391"/>
              <w:autoSpaceDE w:val="0"/>
              <w:autoSpaceDN w:val="0"/>
              <w:spacing w:before="215" w:line="221" w:lineRule="auto"/>
              <w:ind w:left="4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走向</w:t>
            </w:r>
          </w:p>
        </w:tc>
        <w:tc>
          <w:tcPr>
            <w:tcW w:w="1258" w:type="dxa"/>
          </w:tcPr>
          <w:p>
            <w:pPr>
              <w:pStyle w:val="391"/>
              <w:autoSpaceDE w:val="0"/>
              <w:autoSpaceDN w:val="0"/>
              <w:spacing w:before="215" w:line="220" w:lineRule="auto"/>
              <w:ind w:left="15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路面情况</w:t>
            </w:r>
          </w:p>
        </w:tc>
        <w:tc>
          <w:tcPr>
            <w:tcW w:w="1274" w:type="dxa"/>
          </w:tcPr>
          <w:p>
            <w:pPr>
              <w:pStyle w:val="391"/>
              <w:autoSpaceDE w:val="0"/>
              <w:autoSpaceDN w:val="0"/>
              <w:spacing w:before="216" w:line="220" w:lineRule="auto"/>
              <w:ind w:left="20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1"/>
                <w14:textFill>
                  <w14:solidFill>
                    <w14:schemeClr w14:val="tx1"/>
                  </w14:solidFill>
                </w14:textFill>
              </w:rPr>
              <w:t>目前情况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677" w:type="dxa"/>
          </w:tcPr>
          <w:p>
            <w:pPr>
              <w:pStyle w:val="391"/>
              <w:autoSpaceDE w:val="0"/>
              <w:autoSpaceDN w:val="0"/>
              <w:spacing w:before="229" w:line="184" w:lineRule="auto"/>
              <w:ind w:left="30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1</w:t>
            </w:r>
          </w:p>
        </w:tc>
        <w:tc>
          <w:tcPr>
            <w:tcW w:w="1782" w:type="dxa"/>
          </w:tcPr>
          <w:p>
            <w:pPr>
              <w:pStyle w:val="391"/>
              <w:autoSpaceDE w:val="0"/>
              <w:autoSpaceDN w:val="0"/>
              <w:spacing w:before="192" w:line="220" w:lineRule="auto"/>
              <w:rPr>
                <w:rFonts w:ascii="Times New Roman" w:hAnsi="Times New Roman" w:cs="Times New Roman" w:eastAsiaTheme="minorEastAsia"/>
                <w:b w:val="0"/>
                <w:bCs/>
                <w:color w:val="000000" w:themeColor="text1"/>
                <w:lang w:eastAsia="zh-CN"/>
                <w14:textFill>
                  <w14:solidFill>
                    <w14:schemeClr w14:val="tx1"/>
                  </w14:solidFill>
                </w14:textFill>
              </w:rPr>
            </w:pPr>
            <w:r>
              <w:rPr>
                <w:rFonts w:hint="eastAsia" w:ascii="Times New Roman" w:hAnsi="Times New Roman" w:cs="Times New Roman" w:eastAsiaTheme="minorEastAsia"/>
                <w:b w:val="0"/>
                <w:bCs/>
                <w:color w:val="000000" w:themeColor="text1"/>
                <w:spacing w:val="-3"/>
                <w:lang w:eastAsia="zh-CN"/>
                <w14:textFill>
                  <w14:solidFill>
                    <w14:schemeClr w14:val="tx1"/>
                  </w14:solidFill>
                </w14:textFill>
              </w:rPr>
              <w:t>万环西路南延线（十六涌半至海堤段）</w:t>
            </w:r>
          </w:p>
        </w:tc>
        <w:tc>
          <w:tcPr>
            <w:tcW w:w="1343" w:type="dxa"/>
          </w:tcPr>
          <w:p>
            <w:pPr>
              <w:pStyle w:val="391"/>
              <w:autoSpaceDE w:val="0"/>
              <w:autoSpaceDN w:val="0"/>
              <w:spacing w:before="37" w:line="223" w:lineRule="auto"/>
              <w:ind w:left="558" w:right="190" w:hanging="36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城市主干</w:t>
            </w:r>
            <w:r>
              <w:rPr>
                <w:rFonts w:ascii="Times New Roman" w:hAnsi="Times New Roman" w:cs="Times New Roman" w:eastAsiaTheme="minorEastAsia"/>
                <w:b w:val="0"/>
                <w:bCs/>
                <w:color w:val="000000" w:themeColor="text1"/>
                <w14:textFill>
                  <w14:solidFill>
                    <w14:schemeClr w14:val="tx1"/>
                  </w14:solidFill>
                </w14:textFill>
              </w:rPr>
              <w:t>路</w:t>
            </w:r>
          </w:p>
        </w:tc>
        <w:tc>
          <w:tcPr>
            <w:tcW w:w="1342" w:type="dxa"/>
          </w:tcPr>
          <w:p>
            <w:pPr>
              <w:pStyle w:val="391"/>
              <w:autoSpaceDE w:val="0"/>
              <w:autoSpaceDN w:val="0"/>
              <w:spacing w:before="230" w:line="183" w:lineRule="auto"/>
              <w:jc w:val="center"/>
              <w:rPr>
                <w:rFonts w:ascii="Times New Roman" w:hAnsi="Times New Roman" w:cs="Times New Roman" w:eastAsiaTheme="minorEastAsia"/>
                <w:b w:val="0"/>
                <w:bCs/>
                <w:color w:val="000000" w:themeColor="text1"/>
                <w14:textFill>
                  <w14:solidFill>
                    <w14:schemeClr w14:val="tx1"/>
                  </w14:solidFill>
                </w14:textFill>
              </w:rPr>
            </w:pPr>
            <w:r>
              <w:rPr>
                <w:rFonts w:hint="eastAsia" w:ascii="Times New Roman" w:hAnsi="Times New Roman" w:cs="Times New Roman" w:eastAsiaTheme="minorEastAsia"/>
                <w:b w:val="0"/>
                <w:bCs/>
                <w:color w:val="000000" w:themeColor="text1"/>
                <w:spacing w:val="-3"/>
                <w:lang w:eastAsia="zh-CN"/>
                <w14:textFill>
                  <w14:solidFill>
                    <w14:schemeClr w14:val="tx1"/>
                  </w14:solidFill>
                </w14:textFill>
              </w:rPr>
              <w:t>33~42</w:t>
            </w:r>
            <w:r>
              <w:rPr>
                <w:rFonts w:ascii="Times New Roman" w:hAnsi="Times New Roman" w:cs="Times New Roman" w:eastAsiaTheme="minorEastAsia"/>
                <w:b w:val="0"/>
                <w:bCs/>
                <w:color w:val="000000" w:themeColor="text1"/>
                <w:spacing w:val="-3"/>
                <w14:textFill>
                  <w14:solidFill>
                    <w14:schemeClr w14:val="tx1"/>
                  </w14:solidFill>
                </w14:textFill>
              </w:rPr>
              <w:t>m</w:t>
            </w:r>
          </w:p>
        </w:tc>
        <w:tc>
          <w:tcPr>
            <w:tcW w:w="1432" w:type="dxa"/>
          </w:tcPr>
          <w:p>
            <w:pPr>
              <w:pStyle w:val="391"/>
              <w:autoSpaceDE w:val="0"/>
              <w:autoSpaceDN w:val="0"/>
              <w:spacing w:before="192" w:line="220" w:lineRule="auto"/>
              <w:ind w:left="12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双向</w:t>
            </w:r>
            <w:r>
              <w:rPr>
                <w:rFonts w:hint="eastAsia" w:ascii="Times New Roman" w:hAnsi="Times New Roman" w:cs="Times New Roman" w:eastAsiaTheme="minorEastAsia"/>
                <w:b w:val="0"/>
                <w:bCs/>
                <w:color w:val="000000" w:themeColor="text1"/>
                <w:spacing w:val="-7"/>
                <w:lang w:eastAsia="zh-CN"/>
                <w14:textFill>
                  <w14:solidFill>
                    <w14:schemeClr w14:val="tx1"/>
                  </w14:solidFill>
                </w14:textFill>
              </w:rPr>
              <w:t>6</w:t>
            </w:r>
            <w:r>
              <w:rPr>
                <w:rFonts w:ascii="Times New Roman" w:hAnsi="Times New Roman" w:cs="Times New Roman" w:eastAsiaTheme="minorEastAsia"/>
                <w:b w:val="0"/>
                <w:bCs/>
                <w:color w:val="000000" w:themeColor="text1"/>
                <w:spacing w:val="-7"/>
                <w14:textFill>
                  <w14:solidFill>
                    <w14:schemeClr w14:val="tx1"/>
                  </w14:solidFill>
                </w14:textFill>
              </w:rPr>
              <w:t>车道</w:t>
            </w:r>
          </w:p>
        </w:tc>
        <w:tc>
          <w:tcPr>
            <w:tcW w:w="1261" w:type="dxa"/>
          </w:tcPr>
          <w:p>
            <w:pPr>
              <w:pStyle w:val="391"/>
              <w:autoSpaceDE w:val="0"/>
              <w:autoSpaceDN w:val="0"/>
              <w:spacing w:before="192" w:line="222" w:lineRule="auto"/>
              <w:ind w:left="4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南北</w:t>
            </w:r>
          </w:p>
        </w:tc>
        <w:tc>
          <w:tcPr>
            <w:tcW w:w="1258" w:type="dxa"/>
          </w:tcPr>
          <w:p>
            <w:pPr>
              <w:pStyle w:val="391"/>
              <w:autoSpaceDE w:val="0"/>
              <w:autoSpaceDN w:val="0"/>
              <w:spacing w:before="192" w:line="219" w:lineRule="auto"/>
              <w:ind w:left="27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沥青砼</w:t>
            </w:r>
          </w:p>
        </w:tc>
        <w:tc>
          <w:tcPr>
            <w:tcW w:w="1274" w:type="dxa"/>
          </w:tcPr>
          <w:p>
            <w:pPr>
              <w:pStyle w:val="391"/>
              <w:autoSpaceDE w:val="0"/>
              <w:autoSpaceDN w:val="0"/>
              <w:spacing w:before="192" w:line="220" w:lineRule="auto"/>
              <w:jc w:val="center"/>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正在施工</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677" w:type="dxa"/>
          </w:tcPr>
          <w:p>
            <w:pPr>
              <w:pStyle w:val="391"/>
              <w:autoSpaceDE w:val="0"/>
              <w:autoSpaceDN w:val="0"/>
              <w:spacing w:before="229" w:line="184" w:lineRule="auto"/>
              <w:ind w:left="306"/>
              <w:rPr>
                <w:rFonts w:ascii="Times New Roman" w:hAnsi="Times New Roman" w:cs="Times New Roman" w:eastAsiaTheme="minorEastAsia"/>
                <w:b w:val="0"/>
                <w:bCs/>
                <w:color w:val="000000" w:themeColor="text1"/>
                <w:lang w:eastAsia="zh-CN"/>
                <w14:textFill>
                  <w14:solidFill>
                    <w14:schemeClr w14:val="tx1"/>
                  </w14:solidFill>
                </w14:textFill>
              </w:rPr>
            </w:pPr>
            <w:r>
              <w:rPr>
                <w:rFonts w:hint="eastAsia" w:ascii="Times New Roman" w:hAnsi="Times New Roman" w:cs="Times New Roman" w:eastAsiaTheme="minorEastAsia"/>
                <w:b w:val="0"/>
                <w:bCs/>
                <w:color w:val="000000" w:themeColor="text1"/>
                <w:lang w:eastAsia="zh-CN"/>
                <w14:textFill>
                  <w14:solidFill>
                    <w14:schemeClr w14:val="tx1"/>
                  </w14:solidFill>
                </w14:textFill>
              </w:rPr>
              <w:t>2</w:t>
            </w:r>
          </w:p>
        </w:tc>
        <w:tc>
          <w:tcPr>
            <w:tcW w:w="1782" w:type="dxa"/>
          </w:tcPr>
          <w:p>
            <w:pPr>
              <w:pStyle w:val="391"/>
              <w:autoSpaceDE w:val="0"/>
              <w:autoSpaceDN w:val="0"/>
              <w:spacing w:before="192" w:line="220" w:lineRule="auto"/>
              <w:rPr>
                <w:rFonts w:ascii="Times New Roman" w:hAnsi="Times New Roman" w:cs="Times New Roman" w:eastAsiaTheme="minorEastAsia"/>
                <w:b w:val="0"/>
                <w:bCs/>
                <w:color w:val="000000" w:themeColor="text1"/>
                <w:spacing w:val="-3"/>
                <w:lang w:eastAsia="zh-CN"/>
                <w14:textFill>
                  <w14:solidFill>
                    <w14:schemeClr w14:val="tx1"/>
                  </w14:solidFill>
                </w14:textFill>
              </w:rPr>
            </w:pPr>
            <w:r>
              <w:rPr>
                <w:rFonts w:hint="eastAsia" w:ascii="Times New Roman" w:hAnsi="Times New Roman" w:cs="Times New Roman" w:eastAsiaTheme="minorEastAsia"/>
                <w:b w:val="0"/>
                <w:bCs/>
                <w:color w:val="000000" w:themeColor="text1"/>
                <w:spacing w:val="-3"/>
                <w:lang w:eastAsia="zh-CN"/>
                <w14:textFill>
                  <w14:solidFill>
                    <w14:schemeClr w14:val="tx1"/>
                  </w14:solidFill>
                </w14:textFill>
              </w:rPr>
              <w:t>万环西路南延线（十六涌半至海堤段）扩建工程</w:t>
            </w:r>
          </w:p>
        </w:tc>
        <w:tc>
          <w:tcPr>
            <w:tcW w:w="1343" w:type="dxa"/>
          </w:tcPr>
          <w:p>
            <w:pPr>
              <w:pStyle w:val="391"/>
              <w:autoSpaceDE w:val="0"/>
              <w:autoSpaceDN w:val="0"/>
              <w:spacing w:before="37" w:line="223" w:lineRule="auto"/>
              <w:ind w:left="558" w:right="190" w:hanging="36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城市主干</w:t>
            </w:r>
            <w:r>
              <w:rPr>
                <w:rFonts w:ascii="Times New Roman" w:hAnsi="Times New Roman" w:cs="Times New Roman" w:eastAsiaTheme="minorEastAsia"/>
                <w:b w:val="0"/>
                <w:bCs/>
                <w:color w:val="000000" w:themeColor="text1"/>
                <w14:textFill>
                  <w14:solidFill>
                    <w14:schemeClr w14:val="tx1"/>
                  </w14:solidFill>
                </w14:textFill>
              </w:rPr>
              <w:t>路</w:t>
            </w:r>
          </w:p>
        </w:tc>
        <w:tc>
          <w:tcPr>
            <w:tcW w:w="1342" w:type="dxa"/>
          </w:tcPr>
          <w:p>
            <w:pPr>
              <w:pStyle w:val="391"/>
              <w:autoSpaceDE w:val="0"/>
              <w:autoSpaceDN w:val="0"/>
              <w:spacing w:before="230" w:line="183" w:lineRule="auto"/>
              <w:jc w:val="center"/>
              <w:rPr>
                <w:rFonts w:ascii="Times New Roman" w:hAnsi="Times New Roman" w:cs="Times New Roman" w:eastAsiaTheme="minorEastAsia"/>
                <w:b w:val="0"/>
                <w:bCs/>
                <w:color w:val="000000" w:themeColor="text1"/>
                <w14:textFill>
                  <w14:solidFill>
                    <w14:schemeClr w14:val="tx1"/>
                  </w14:solidFill>
                </w14:textFill>
              </w:rPr>
            </w:pPr>
            <w:r>
              <w:rPr>
                <w:rFonts w:hint="eastAsia" w:ascii="Times New Roman" w:hAnsi="Times New Roman" w:cs="Times New Roman" w:eastAsiaTheme="minorEastAsia"/>
                <w:b w:val="0"/>
                <w:bCs/>
                <w:color w:val="000000" w:themeColor="text1"/>
                <w:spacing w:val="-3"/>
                <w:lang w:eastAsia="zh-CN"/>
                <w14:textFill>
                  <w14:solidFill>
                    <w14:schemeClr w14:val="tx1"/>
                  </w14:solidFill>
                </w14:textFill>
              </w:rPr>
              <w:t>58~78</w:t>
            </w:r>
            <w:r>
              <w:rPr>
                <w:rFonts w:ascii="Times New Roman" w:hAnsi="Times New Roman" w:cs="Times New Roman" w:eastAsiaTheme="minorEastAsia"/>
                <w:b w:val="0"/>
                <w:bCs/>
                <w:color w:val="000000" w:themeColor="text1"/>
                <w:spacing w:val="-3"/>
                <w14:textFill>
                  <w14:solidFill>
                    <w14:schemeClr w14:val="tx1"/>
                  </w14:solidFill>
                </w14:textFill>
              </w:rPr>
              <w:t>m</w:t>
            </w:r>
          </w:p>
        </w:tc>
        <w:tc>
          <w:tcPr>
            <w:tcW w:w="1432" w:type="dxa"/>
          </w:tcPr>
          <w:p>
            <w:pPr>
              <w:pStyle w:val="391"/>
              <w:autoSpaceDE w:val="0"/>
              <w:autoSpaceDN w:val="0"/>
              <w:spacing w:before="192" w:line="220" w:lineRule="auto"/>
              <w:ind w:left="12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双向8车道</w:t>
            </w:r>
          </w:p>
        </w:tc>
        <w:tc>
          <w:tcPr>
            <w:tcW w:w="1261" w:type="dxa"/>
          </w:tcPr>
          <w:p>
            <w:pPr>
              <w:pStyle w:val="391"/>
              <w:autoSpaceDE w:val="0"/>
              <w:autoSpaceDN w:val="0"/>
              <w:spacing w:before="192" w:line="222" w:lineRule="auto"/>
              <w:ind w:left="4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南北</w:t>
            </w:r>
          </w:p>
        </w:tc>
        <w:tc>
          <w:tcPr>
            <w:tcW w:w="1258" w:type="dxa"/>
          </w:tcPr>
          <w:p>
            <w:pPr>
              <w:pStyle w:val="391"/>
              <w:autoSpaceDE w:val="0"/>
              <w:autoSpaceDN w:val="0"/>
              <w:spacing w:before="192" w:line="219" w:lineRule="auto"/>
              <w:ind w:left="27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沥青砼</w:t>
            </w:r>
          </w:p>
        </w:tc>
        <w:tc>
          <w:tcPr>
            <w:tcW w:w="1274" w:type="dxa"/>
          </w:tcPr>
          <w:p>
            <w:pPr>
              <w:pStyle w:val="391"/>
              <w:autoSpaceDE w:val="0"/>
              <w:autoSpaceDN w:val="0"/>
              <w:spacing w:before="192" w:line="220" w:lineRule="auto"/>
              <w:jc w:val="center"/>
              <w:rPr>
                <w:rFonts w:ascii="Times New Roman" w:hAnsi="Times New Roman" w:cs="Times New Roman" w:eastAsiaTheme="minorEastAsia"/>
                <w:b w:val="0"/>
                <w:bCs/>
                <w:color w:val="000000" w:themeColor="text1"/>
                <w:spacing w:val="-3"/>
                <w:lang w:eastAsia="zh-CN"/>
                <w14:textFill>
                  <w14:solidFill>
                    <w14:schemeClr w14:val="tx1"/>
                  </w14:solidFill>
                </w14:textFill>
              </w:rPr>
            </w:pPr>
            <w:r>
              <w:rPr>
                <w:rFonts w:hint="eastAsia" w:ascii="Times New Roman" w:hAnsi="Times New Roman" w:cs="Times New Roman" w:eastAsiaTheme="minorEastAsia"/>
                <w:b w:val="0"/>
                <w:bCs/>
                <w:color w:val="000000" w:themeColor="text1"/>
                <w:spacing w:val="-3"/>
                <w:lang w:eastAsia="zh-CN"/>
                <w14:textFill>
                  <w14:solidFill>
                    <w14:schemeClr w14:val="tx1"/>
                  </w14:solidFill>
                </w14:textFill>
              </w:rPr>
              <w:t>设计阶段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677" w:type="dxa"/>
          </w:tcPr>
          <w:p>
            <w:pPr>
              <w:pStyle w:val="391"/>
              <w:autoSpaceDE w:val="0"/>
              <w:autoSpaceDN w:val="0"/>
              <w:spacing w:before="233" w:line="183" w:lineRule="auto"/>
              <w:ind w:left="291"/>
              <w:rPr>
                <w:rFonts w:ascii="Times New Roman" w:hAnsi="Times New Roman" w:cs="Times New Roman" w:eastAsiaTheme="minorEastAsia"/>
                <w:b w:val="0"/>
                <w:bCs/>
                <w:color w:val="000000" w:themeColor="text1"/>
                <w:lang w:eastAsia="zh-CN"/>
                <w14:textFill>
                  <w14:solidFill>
                    <w14:schemeClr w14:val="tx1"/>
                  </w14:solidFill>
                </w14:textFill>
              </w:rPr>
            </w:pPr>
            <w:r>
              <w:rPr>
                <w:rFonts w:hint="eastAsia" w:ascii="Times New Roman" w:hAnsi="Times New Roman" w:cs="Times New Roman" w:eastAsiaTheme="minorEastAsia"/>
                <w:b w:val="0"/>
                <w:bCs/>
                <w:color w:val="000000" w:themeColor="text1"/>
                <w:lang w:eastAsia="zh-CN"/>
                <w14:textFill>
                  <w14:solidFill>
                    <w14:schemeClr w14:val="tx1"/>
                  </w14:solidFill>
                </w14:textFill>
              </w:rPr>
              <w:t>3</w:t>
            </w:r>
          </w:p>
        </w:tc>
        <w:tc>
          <w:tcPr>
            <w:tcW w:w="1782" w:type="dxa"/>
          </w:tcPr>
          <w:p>
            <w:pPr>
              <w:pStyle w:val="391"/>
              <w:autoSpaceDE w:val="0"/>
              <w:autoSpaceDN w:val="0"/>
              <w:spacing w:before="38" w:line="223" w:lineRule="auto"/>
              <w:ind w:left="536" w:right="171" w:hanging="35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南中高速万顷沙支线</w:t>
            </w:r>
          </w:p>
        </w:tc>
        <w:tc>
          <w:tcPr>
            <w:tcW w:w="1343" w:type="dxa"/>
          </w:tcPr>
          <w:p>
            <w:pPr>
              <w:pStyle w:val="391"/>
              <w:autoSpaceDE w:val="0"/>
              <w:autoSpaceDN w:val="0"/>
              <w:spacing w:before="194" w:line="220" w:lineRule="auto"/>
              <w:ind w:left="20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高速公路</w:t>
            </w:r>
          </w:p>
        </w:tc>
        <w:tc>
          <w:tcPr>
            <w:tcW w:w="1342" w:type="dxa"/>
          </w:tcPr>
          <w:p>
            <w:pPr>
              <w:pStyle w:val="391"/>
              <w:autoSpaceDE w:val="0"/>
              <w:autoSpaceDN w:val="0"/>
              <w:spacing w:before="233" w:line="183" w:lineRule="auto"/>
              <w:ind w:left="49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42m</w:t>
            </w:r>
          </w:p>
        </w:tc>
        <w:tc>
          <w:tcPr>
            <w:tcW w:w="1432" w:type="dxa"/>
          </w:tcPr>
          <w:p>
            <w:pPr>
              <w:pStyle w:val="391"/>
              <w:autoSpaceDE w:val="0"/>
              <w:autoSpaceDN w:val="0"/>
              <w:spacing w:before="194" w:line="220" w:lineRule="auto"/>
              <w:ind w:left="12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双向6车道</w:t>
            </w:r>
          </w:p>
        </w:tc>
        <w:tc>
          <w:tcPr>
            <w:tcW w:w="1261" w:type="dxa"/>
          </w:tcPr>
          <w:p>
            <w:pPr>
              <w:pStyle w:val="391"/>
              <w:autoSpaceDE w:val="0"/>
              <w:autoSpaceDN w:val="0"/>
              <w:spacing w:before="195" w:line="222" w:lineRule="auto"/>
              <w:ind w:left="4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南北</w:t>
            </w:r>
          </w:p>
        </w:tc>
        <w:tc>
          <w:tcPr>
            <w:tcW w:w="1258" w:type="dxa"/>
          </w:tcPr>
          <w:p>
            <w:pPr>
              <w:pStyle w:val="391"/>
              <w:autoSpaceDE w:val="0"/>
              <w:autoSpaceDN w:val="0"/>
              <w:spacing w:before="195" w:line="219" w:lineRule="auto"/>
              <w:ind w:left="27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沥青砼</w:t>
            </w:r>
          </w:p>
        </w:tc>
        <w:tc>
          <w:tcPr>
            <w:tcW w:w="1274" w:type="dxa"/>
          </w:tcPr>
          <w:p>
            <w:pPr>
              <w:pStyle w:val="391"/>
              <w:autoSpaceDE w:val="0"/>
              <w:autoSpaceDN w:val="0"/>
              <w:spacing w:before="195" w:line="222" w:lineRule="auto"/>
              <w:jc w:val="center"/>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正在施工</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1" w:hRule="atLeast"/>
        </w:trPr>
        <w:tc>
          <w:tcPr>
            <w:tcW w:w="677" w:type="dxa"/>
          </w:tcPr>
          <w:p>
            <w:pPr>
              <w:pStyle w:val="391"/>
              <w:autoSpaceDE w:val="0"/>
              <w:autoSpaceDN w:val="0"/>
              <w:spacing w:before="234" w:line="183" w:lineRule="auto"/>
              <w:ind w:left="293"/>
              <w:rPr>
                <w:rFonts w:ascii="Times New Roman" w:hAnsi="Times New Roman" w:cs="Times New Roman" w:eastAsiaTheme="minorEastAsia"/>
                <w:b w:val="0"/>
                <w:bCs/>
                <w:color w:val="000000" w:themeColor="text1"/>
                <w:lang w:eastAsia="zh-CN"/>
                <w14:textFill>
                  <w14:solidFill>
                    <w14:schemeClr w14:val="tx1"/>
                  </w14:solidFill>
                </w14:textFill>
              </w:rPr>
            </w:pPr>
            <w:r>
              <w:rPr>
                <w:rFonts w:hint="eastAsia" w:ascii="Times New Roman" w:hAnsi="Times New Roman" w:cs="Times New Roman" w:eastAsiaTheme="minorEastAsia"/>
                <w:b w:val="0"/>
                <w:bCs/>
                <w:color w:val="000000" w:themeColor="text1"/>
                <w:lang w:eastAsia="zh-CN"/>
                <w14:textFill>
                  <w14:solidFill>
                    <w14:schemeClr w14:val="tx1"/>
                  </w14:solidFill>
                </w14:textFill>
              </w:rPr>
              <w:t>4</w:t>
            </w:r>
          </w:p>
        </w:tc>
        <w:tc>
          <w:tcPr>
            <w:tcW w:w="1782" w:type="dxa"/>
          </w:tcPr>
          <w:p>
            <w:pPr>
              <w:pStyle w:val="391"/>
              <w:autoSpaceDE w:val="0"/>
              <w:autoSpaceDN w:val="0"/>
              <w:spacing w:before="40" w:line="230" w:lineRule="auto"/>
              <w:ind w:left="777" w:right="171" w:hanging="59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灵新大道南延</w:t>
            </w:r>
            <w:r>
              <w:rPr>
                <w:rFonts w:ascii="Times New Roman" w:hAnsi="Times New Roman" w:cs="Times New Roman" w:eastAsiaTheme="minorEastAsia"/>
                <w:b w:val="0"/>
                <w:bCs/>
                <w:color w:val="000000" w:themeColor="text1"/>
                <w14:textFill>
                  <w14:solidFill>
                    <w14:schemeClr w14:val="tx1"/>
                  </w14:solidFill>
                </w14:textFill>
              </w:rPr>
              <w:t>线</w:t>
            </w:r>
          </w:p>
        </w:tc>
        <w:tc>
          <w:tcPr>
            <w:tcW w:w="1343" w:type="dxa"/>
          </w:tcPr>
          <w:p>
            <w:pPr>
              <w:pStyle w:val="391"/>
              <w:autoSpaceDE w:val="0"/>
              <w:autoSpaceDN w:val="0"/>
              <w:spacing w:before="39" w:line="230" w:lineRule="auto"/>
              <w:ind w:left="558" w:right="190" w:hanging="36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城市主干</w:t>
            </w:r>
            <w:r>
              <w:rPr>
                <w:rFonts w:ascii="Times New Roman" w:hAnsi="Times New Roman" w:cs="Times New Roman" w:eastAsiaTheme="minorEastAsia"/>
                <w:b w:val="0"/>
                <w:bCs/>
                <w:color w:val="000000" w:themeColor="text1"/>
                <w14:textFill>
                  <w14:solidFill>
                    <w14:schemeClr w14:val="tx1"/>
                  </w14:solidFill>
                </w14:textFill>
              </w:rPr>
              <w:t>路</w:t>
            </w:r>
          </w:p>
        </w:tc>
        <w:tc>
          <w:tcPr>
            <w:tcW w:w="1342" w:type="dxa"/>
          </w:tcPr>
          <w:p>
            <w:pPr>
              <w:pStyle w:val="391"/>
              <w:autoSpaceDE w:val="0"/>
              <w:autoSpaceDN w:val="0"/>
              <w:spacing w:before="234" w:line="183" w:lineRule="auto"/>
              <w:ind w:left="49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60m</w:t>
            </w:r>
          </w:p>
        </w:tc>
        <w:tc>
          <w:tcPr>
            <w:tcW w:w="1432" w:type="dxa"/>
          </w:tcPr>
          <w:p>
            <w:pPr>
              <w:pStyle w:val="391"/>
              <w:autoSpaceDE w:val="0"/>
              <w:autoSpaceDN w:val="0"/>
              <w:spacing w:before="195" w:line="220" w:lineRule="auto"/>
              <w:ind w:left="12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双向8车道</w:t>
            </w:r>
          </w:p>
        </w:tc>
        <w:tc>
          <w:tcPr>
            <w:tcW w:w="1261" w:type="dxa"/>
          </w:tcPr>
          <w:p>
            <w:pPr>
              <w:pStyle w:val="391"/>
              <w:autoSpaceDE w:val="0"/>
              <w:autoSpaceDN w:val="0"/>
              <w:spacing w:before="195" w:line="222" w:lineRule="auto"/>
              <w:ind w:left="4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南北</w:t>
            </w:r>
          </w:p>
        </w:tc>
        <w:tc>
          <w:tcPr>
            <w:tcW w:w="1258" w:type="dxa"/>
          </w:tcPr>
          <w:p>
            <w:pPr>
              <w:pStyle w:val="391"/>
              <w:autoSpaceDE w:val="0"/>
              <w:autoSpaceDN w:val="0"/>
              <w:spacing w:before="195" w:line="219" w:lineRule="auto"/>
              <w:ind w:left="27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沥青砼</w:t>
            </w:r>
          </w:p>
        </w:tc>
        <w:tc>
          <w:tcPr>
            <w:tcW w:w="1274" w:type="dxa"/>
          </w:tcPr>
          <w:p>
            <w:pPr>
              <w:pStyle w:val="391"/>
              <w:autoSpaceDE w:val="0"/>
              <w:autoSpaceDN w:val="0"/>
              <w:spacing w:before="196" w:line="220" w:lineRule="auto"/>
              <w:jc w:val="center"/>
              <w:rPr>
                <w:rFonts w:ascii="Times New Roman" w:hAnsi="Times New Roman" w:cs="Times New Roman" w:eastAsiaTheme="minorEastAsia"/>
                <w:b w:val="0"/>
                <w:bCs/>
                <w:color w:val="000000" w:themeColor="text1"/>
                <w14:textFill>
                  <w14:solidFill>
                    <w14:schemeClr w14:val="tx1"/>
                  </w14:solidFill>
                </w14:textFill>
              </w:rPr>
            </w:pPr>
            <w:r>
              <w:rPr>
                <w:rFonts w:hint="eastAsia" w:ascii="Times New Roman" w:hAnsi="Times New Roman" w:cs="Times New Roman" w:eastAsiaTheme="minorEastAsia"/>
                <w:b w:val="0"/>
                <w:bCs/>
                <w:color w:val="000000" w:themeColor="text1"/>
                <w:spacing w:val="-3"/>
                <w:lang w:eastAsia="zh-CN"/>
                <w14:textFill>
                  <w14:solidFill>
                    <w14:schemeClr w14:val="tx1"/>
                  </w14:solidFill>
                </w14:textFill>
              </w:rPr>
              <w:t>设计阶段</w:t>
            </w:r>
          </w:p>
        </w:tc>
      </w:tr>
    </w:tbl>
    <w:p>
      <w:pPr>
        <w:spacing w:before="193" w:beforeLines="50" w:after="193" w:afterLines="50" w:line="2947" w:lineRule="exact"/>
        <w:ind w:firstLine="562" w:firstLineChars="200"/>
        <w:jc w:val="center"/>
        <w:rPr>
          <w:rFonts w:ascii="Times New Roman" w:hAnsi="Times New Roman"/>
        </w:rPr>
      </w:pPr>
      <w:r>
        <w:rPr>
          <w:rFonts w:ascii="Times New Roman" w:hAnsi="Times New Roman"/>
          <w:position w:val="-58"/>
        </w:rPr>
        <w:drawing>
          <wp:inline distT="0" distB="0" distL="0" distR="0">
            <wp:extent cx="6273800" cy="1871345"/>
            <wp:effectExtent l="0" t="0" r="0" b="0"/>
            <wp:docPr id="388" name="IM 286"/>
            <wp:cNvGraphicFramePr/>
            <a:graphic xmlns:a="http://schemas.openxmlformats.org/drawingml/2006/main">
              <a:graphicData uri="http://schemas.openxmlformats.org/drawingml/2006/picture">
                <pic:pic xmlns:pic="http://schemas.openxmlformats.org/drawingml/2006/picture">
                  <pic:nvPicPr>
                    <pic:cNvPr id="388" name="IM 286"/>
                    <pic:cNvPicPr/>
                  </pic:nvPicPr>
                  <pic:blipFill>
                    <a:blip r:embed="rId112"/>
                    <a:stretch>
                      <a:fillRect/>
                    </a:stretch>
                  </pic:blipFill>
                  <pic:spPr>
                    <a:xfrm>
                      <a:off x="0" y="0"/>
                      <a:ext cx="6274308" cy="1871357"/>
                    </a:xfrm>
                    <a:prstGeom prst="rect">
                      <a:avLst/>
                    </a:prstGeom>
                  </pic:spPr>
                </pic:pic>
              </a:graphicData>
            </a:graphic>
          </wp:inline>
        </w:drawing>
      </w:r>
    </w:p>
    <w:p>
      <w:pPr>
        <w:spacing w:before="209" w:line="220" w:lineRule="auto"/>
        <w:ind w:left="3934" w:firstLine="482" w:firstLineChars="200"/>
        <w:rPr>
          <w:rFonts w:ascii="Times New Roman" w:hAnsi="Times New Roman"/>
          <w:sz w:val="24"/>
          <w:szCs w:val="24"/>
          <w14:textOutline w14:w="3048" w14:cap="flat" w14:cmpd="sng" w14:algn="ctr">
            <w14:solidFill>
              <w14:srgbClr w14:val="000000"/>
            </w14:solidFill>
            <w14:prstDash w14:val="solid"/>
            <w14:miter w14:val="0"/>
          </w14:textOutline>
        </w:rPr>
      </w:pPr>
      <w:r>
        <w:rPr>
          <w:rFonts w:ascii="Times New Roman" w:hAnsi="Times New Roman"/>
          <w:sz w:val="24"/>
          <w:szCs w:val="24"/>
          <w14:textOutline w14:w="3048" w14:cap="flat" w14:cmpd="sng" w14:algn="ctr">
            <w14:solidFill>
              <w14:srgbClr w14:val="000000"/>
            </w14:solidFill>
            <w14:prstDash w14:val="solid"/>
            <w14:miter w14:val="0"/>
          </w14:textOutline>
        </w:rPr>
        <w:t>在建南中高速万顷沙支线</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hint="eastAsia" w:ascii="Times New Roman" w:hAnsi="Times New Roman"/>
          <w:b w:val="0"/>
          <w:color w:val="000000" w:themeColor="text1"/>
          <w:sz w:val="24"/>
          <w14:textFill>
            <w14:solidFill>
              <w14:schemeClr w14:val="tx1"/>
            </w14:solidFill>
          </w14:textFill>
        </w:rPr>
        <w:t>本项目将加强与周边道路的方案对接，待周边道路方案明确后进一步确定工程边界及衔接关系。</w:t>
      </w:r>
    </w:p>
    <w:p>
      <w:pPr>
        <w:pStyle w:val="5"/>
        <w:ind w:firstLine="482" w:firstLineChars="200"/>
        <w:rPr>
          <w:rFonts w:ascii="Times New Roman" w:hAnsi="Times New Roman"/>
        </w:rPr>
      </w:pPr>
      <w:r>
        <w:rPr>
          <w:rFonts w:ascii="Times New Roman" w:hAnsi="Times New Roman"/>
        </w:rPr>
        <w:t>现状水系调查分析</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南沙地区水网密布，河涌纵横，西、北江流经南沙地区的干支流16条，属于平原河流，水流平缓，潮汐明显，潮差平均2.4m。沙湾水道、蕉门水道、洪奇沥水道是南沙地区主要淡水资源，属四类(G93838-2002)水质，其中以沙湾水道较好，咸潮影响小，已划定为饮用水源保护区，水体受到较好保护。</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本项目地块分布于南沙区万顷沙镇，场地有河道贯通，规划二十涌北路紧邻二十涌，规划横二路紧邻二十一涌。其道路周边主要有龙穴南水道和洪奇怪沥水道。</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本项目所在区域的防洪标准：调控范围内现状地块整体地势较为平坦，地势较低区域具有一定程度的淹水风险，需抬升竖向标高，根据淹没水深计算结果、整体地块高程趋势、河涌管控水位、周边道路工程建设和外江200年一遇水位，地块外海海堤堤顶最低标高宜大于9.01m及以上，地块内场坪最低标高宜大于7.5m及以上，主要场馆标高按不低于8.0m及以上。</w:t>
      </w:r>
    </w:p>
    <w:p>
      <w:pPr>
        <w:spacing w:line="300" w:lineRule="auto"/>
        <w:ind w:firstLine="562" w:firstLineChars="200"/>
        <w:jc w:val="center"/>
        <w:rPr>
          <w:rFonts w:ascii="Times New Roman" w:hAnsi="Times New Roman"/>
          <w:position w:val="-64"/>
        </w:rPr>
      </w:pPr>
      <w:r>
        <w:rPr>
          <w:rFonts w:ascii="Times New Roman" w:hAnsi="Times New Roman"/>
          <w:position w:val="-64"/>
        </w:rPr>
        <w:drawing>
          <wp:inline distT="0" distB="0" distL="0" distR="0">
            <wp:extent cx="5478780" cy="2051685"/>
            <wp:effectExtent l="0" t="0" r="7620" b="5715"/>
            <wp:docPr id="389" name="IM 278"/>
            <wp:cNvGraphicFramePr/>
            <a:graphic xmlns:a="http://schemas.openxmlformats.org/drawingml/2006/main">
              <a:graphicData uri="http://schemas.openxmlformats.org/drawingml/2006/picture">
                <pic:pic xmlns:pic="http://schemas.openxmlformats.org/drawingml/2006/picture">
                  <pic:nvPicPr>
                    <pic:cNvPr id="389" name="IM 278"/>
                    <pic:cNvPicPr/>
                  </pic:nvPicPr>
                  <pic:blipFill>
                    <a:blip r:embed="rId110"/>
                    <a:stretch>
                      <a:fillRect/>
                    </a:stretch>
                  </pic:blipFill>
                  <pic:spPr>
                    <a:xfrm>
                      <a:off x="0" y="0"/>
                      <a:ext cx="5478780" cy="2052066"/>
                    </a:xfrm>
                    <a:prstGeom prst="rect">
                      <a:avLst/>
                    </a:prstGeom>
                  </pic:spPr>
                </pic:pic>
              </a:graphicData>
            </a:graphic>
          </wp:inline>
        </w:drawing>
      </w:r>
    </w:p>
    <w:p>
      <w:pPr>
        <w:spacing w:before="209" w:line="220" w:lineRule="auto"/>
        <w:ind w:left="3934" w:firstLine="482" w:firstLineChars="200"/>
        <w:rPr>
          <w:rFonts w:ascii="Times New Roman" w:hAnsi="Times New Roman"/>
          <w:sz w:val="24"/>
          <w:szCs w:val="24"/>
          <w14:textOutline w14:w="3048" w14:cap="flat" w14:cmpd="sng" w14:algn="ctr">
            <w14:solidFill>
              <w14:srgbClr w14:val="000000"/>
            </w14:solidFill>
            <w14:prstDash w14:val="solid"/>
            <w14:miter w14:val="0"/>
          </w14:textOutline>
        </w:rPr>
      </w:pPr>
      <w:r>
        <w:rPr>
          <w:rFonts w:ascii="Times New Roman" w:hAnsi="Times New Roman"/>
          <w:sz w:val="24"/>
          <w:szCs w:val="24"/>
          <w14:textOutline w14:w="3048" w14:cap="flat" w14:cmpd="sng" w14:algn="ctr">
            <w14:solidFill>
              <w14:srgbClr w14:val="000000"/>
            </w14:solidFill>
            <w14:prstDash w14:val="solid"/>
            <w14:miter w14:val="0"/>
          </w14:textOutline>
        </w:rPr>
        <w:t>现状二十涌</w:t>
      </w:r>
    </w:p>
    <w:p>
      <w:pPr>
        <w:spacing w:line="300" w:lineRule="auto"/>
        <w:ind w:firstLine="562" w:firstLineChars="200"/>
        <w:jc w:val="center"/>
        <w:rPr>
          <w:rFonts w:ascii="Times New Roman" w:hAnsi="Times New Roman"/>
          <w:color w:val="333333"/>
          <w:sz w:val="21"/>
          <w:szCs w:val="21"/>
          <w:shd w:val="clear" w:color="auto" w:fill="FFFFFF"/>
        </w:rPr>
      </w:pPr>
      <w:r>
        <w:rPr>
          <w:rFonts w:ascii="Times New Roman" w:hAnsi="Times New Roman"/>
          <w:position w:val="-64"/>
        </w:rPr>
        <w:drawing>
          <wp:inline distT="0" distB="0" distL="0" distR="0">
            <wp:extent cx="5478145" cy="2051685"/>
            <wp:effectExtent l="0" t="0" r="8255" b="5715"/>
            <wp:docPr id="390" name="IM 284"/>
            <wp:cNvGraphicFramePr/>
            <a:graphic xmlns:a="http://schemas.openxmlformats.org/drawingml/2006/main">
              <a:graphicData uri="http://schemas.openxmlformats.org/drawingml/2006/picture">
                <pic:pic xmlns:pic="http://schemas.openxmlformats.org/drawingml/2006/picture">
                  <pic:nvPicPr>
                    <pic:cNvPr id="390" name="IM 284"/>
                    <pic:cNvPicPr/>
                  </pic:nvPicPr>
                  <pic:blipFill>
                    <a:blip r:embed="rId111"/>
                    <a:stretch>
                      <a:fillRect/>
                    </a:stretch>
                  </pic:blipFill>
                  <pic:spPr>
                    <a:xfrm>
                      <a:off x="0" y="0"/>
                      <a:ext cx="5478779" cy="2052066"/>
                    </a:xfrm>
                    <a:prstGeom prst="rect">
                      <a:avLst/>
                    </a:prstGeom>
                  </pic:spPr>
                </pic:pic>
              </a:graphicData>
            </a:graphic>
          </wp:inline>
        </w:drawing>
      </w:r>
    </w:p>
    <w:p>
      <w:pPr>
        <w:spacing w:before="209" w:line="220" w:lineRule="auto"/>
        <w:ind w:left="3934" w:firstLine="482" w:firstLineChars="200"/>
        <w:rPr>
          <w:rFonts w:ascii="Times New Roman" w:hAnsi="Times New Roman"/>
          <w:sz w:val="24"/>
          <w:szCs w:val="24"/>
          <w14:textOutline w14:w="3048" w14:cap="flat" w14:cmpd="sng" w14:algn="ctr">
            <w14:solidFill>
              <w14:srgbClr w14:val="000000"/>
            </w14:solidFill>
            <w14:prstDash w14:val="solid"/>
            <w14:miter w14:val="0"/>
          </w14:textOutline>
        </w:rPr>
      </w:pPr>
      <w:r>
        <w:rPr>
          <w:rFonts w:ascii="Times New Roman" w:hAnsi="Times New Roman"/>
          <w:sz w:val="24"/>
          <w:szCs w:val="24"/>
          <w14:textOutline w14:w="3048" w14:cap="flat" w14:cmpd="sng" w14:algn="ctr">
            <w14:solidFill>
              <w14:srgbClr w14:val="000000"/>
            </w14:solidFill>
            <w14:prstDash w14:val="solid"/>
            <w14:miter w14:val="0"/>
          </w14:textOutline>
        </w:rPr>
        <w:t>现状二十一涌</w:t>
      </w:r>
    </w:p>
    <w:p>
      <w:pPr>
        <w:pStyle w:val="5"/>
        <w:ind w:firstLine="482" w:firstLineChars="200"/>
        <w:rPr>
          <w:rFonts w:ascii="Times New Roman" w:hAnsi="Times New Roman"/>
        </w:rPr>
      </w:pPr>
      <w:r>
        <w:rPr>
          <w:rFonts w:ascii="Times New Roman" w:hAnsi="Times New Roman"/>
        </w:rPr>
        <w:t>现状管线调查分析</w:t>
      </w:r>
    </w:p>
    <w:p>
      <w:pPr>
        <w:spacing w:line="36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根据现场调查，道路红线范围内局部存在施工生活区配套雨污水管道，高压电线、通信电缆等。</w:t>
      </w:r>
    </w:p>
    <w:p>
      <w:pPr>
        <w:spacing w:line="360" w:lineRule="auto"/>
        <w:ind w:firstLine="562" w:firstLineChars="200"/>
        <w:rPr>
          <w:rFonts w:ascii="Times New Roman" w:hAnsi="Times New Roman"/>
          <w:position w:val="-56"/>
        </w:rPr>
      </w:pPr>
      <w:r>
        <w:rPr>
          <w:rFonts w:ascii="Times New Roman" w:hAnsi="Times New Roman"/>
          <w:position w:val="-56"/>
        </w:rPr>
        <w:drawing>
          <wp:inline distT="0" distB="0" distL="0" distR="0">
            <wp:extent cx="6399530" cy="1800225"/>
            <wp:effectExtent l="0" t="0" r="1270" b="9525"/>
            <wp:docPr id="288" name="IM 288"/>
            <wp:cNvGraphicFramePr/>
            <a:graphic xmlns:a="http://schemas.openxmlformats.org/drawingml/2006/main">
              <a:graphicData uri="http://schemas.openxmlformats.org/drawingml/2006/picture">
                <pic:pic xmlns:pic="http://schemas.openxmlformats.org/drawingml/2006/picture">
                  <pic:nvPicPr>
                    <pic:cNvPr id="288" name="IM 288"/>
                    <pic:cNvPicPr/>
                  </pic:nvPicPr>
                  <pic:blipFill>
                    <a:blip r:embed="rId113"/>
                    <a:stretch>
                      <a:fillRect/>
                    </a:stretch>
                  </pic:blipFill>
                  <pic:spPr>
                    <a:xfrm>
                      <a:off x="0" y="0"/>
                      <a:ext cx="6400037" cy="1800605"/>
                    </a:xfrm>
                    <a:prstGeom prst="rect">
                      <a:avLst/>
                    </a:prstGeom>
                  </pic:spPr>
                </pic:pic>
              </a:graphicData>
            </a:graphic>
          </wp:inline>
        </w:drawing>
      </w:r>
    </w:p>
    <w:p>
      <w:pPr>
        <w:spacing w:before="209" w:line="220" w:lineRule="auto"/>
        <w:ind w:left="3934" w:firstLine="482" w:firstLineChars="200"/>
        <w:rPr>
          <w:rFonts w:ascii="Times New Roman" w:hAnsi="Times New Roman"/>
          <w:sz w:val="24"/>
          <w:szCs w:val="24"/>
          <w14:textOutline w14:w="3048" w14:cap="flat" w14:cmpd="sng" w14:algn="ctr">
            <w14:solidFill>
              <w14:srgbClr w14:val="000000"/>
            </w14:solidFill>
            <w14:prstDash w14:val="solid"/>
            <w14:miter w14:val="0"/>
          </w14:textOutline>
        </w:rPr>
      </w:pPr>
      <w:r>
        <w:rPr>
          <w:rFonts w:ascii="Times New Roman" w:hAnsi="Times New Roman"/>
          <w:sz w:val="24"/>
          <w:szCs w:val="24"/>
          <w14:textOutline w14:w="3048" w14:cap="flat" w14:cmpd="sng" w14:algn="ctr">
            <w14:solidFill>
              <w14:srgbClr w14:val="000000"/>
            </w14:solidFill>
            <w14:prstDash w14:val="solid"/>
            <w14:miter w14:val="0"/>
          </w14:textOutline>
        </w:rPr>
        <w:t>现状地铁及场馆施工生活区</w:t>
      </w:r>
    </w:p>
    <w:p>
      <w:pPr>
        <w:pStyle w:val="5"/>
        <w:ind w:firstLine="482" w:firstLineChars="200"/>
        <w:rPr>
          <w:rFonts w:ascii="Times New Roman" w:hAnsi="Times New Roman"/>
          <w:b w:val="0"/>
          <w:color w:val="000000" w:themeColor="text1"/>
          <w:highlight w:val="green"/>
          <w14:textFill>
            <w14:solidFill>
              <w14:schemeClr w14:val="tx1"/>
            </w14:solidFill>
          </w14:textFill>
        </w:rPr>
      </w:pPr>
      <w:r>
        <w:rPr>
          <w:rFonts w:ascii="Times New Roman" w:hAnsi="Times New Roman"/>
          <w:highlight w:val="green"/>
        </w:rPr>
        <w:t>现状树木调查分析</w:t>
      </w:r>
    </w:p>
    <w:p>
      <w:pPr>
        <w:wordWrap w:val="0"/>
        <w:spacing w:line="300" w:lineRule="auto"/>
        <w:ind w:firstLine="480" w:firstLineChars="200"/>
        <w:jc w:val="left"/>
        <w:rPr>
          <w:rFonts w:ascii="Times New Roman" w:hAnsi="Times New Roman"/>
          <w:b w:val="0"/>
          <w:color w:val="000000" w:themeColor="text1"/>
          <w:sz w:val="24"/>
          <w:szCs w:val="24"/>
          <w:highlight w:val="green"/>
          <w14:textFill>
            <w14:solidFill>
              <w14:schemeClr w14:val="tx1"/>
            </w14:solidFill>
          </w14:textFill>
        </w:rPr>
      </w:pPr>
      <w:r>
        <w:rPr>
          <w:rFonts w:ascii="Times New Roman" w:hAnsi="Times New Roman" w:eastAsiaTheme="minorEastAsia"/>
          <w:b w:val="0"/>
          <w:bCs/>
          <w:color w:val="auto"/>
          <w:sz w:val="24"/>
          <w:szCs w:val="24"/>
          <w:highlight w:val="green"/>
        </w:rPr>
        <w:t>本项目范围内共计树木（乔木）1株，由于道路（含边坡）、桥梁施工的原因，拟保留树木0株，迁移利用树木共</w:t>
      </w:r>
      <w:r>
        <w:rPr>
          <w:rFonts w:hint="eastAsia" w:ascii="Times New Roman" w:hAnsi="Times New Roman" w:eastAsiaTheme="minorEastAsia"/>
          <w:b w:val="0"/>
          <w:bCs/>
          <w:color w:val="auto"/>
          <w:sz w:val="24"/>
          <w:szCs w:val="24"/>
          <w:highlight w:val="green"/>
        </w:rPr>
        <w:t>1</w:t>
      </w:r>
      <w:r>
        <w:rPr>
          <w:rFonts w:ascii="Times New Roman" w:hAnsi="Times New Roman" w:eastAsiaTheme="minorEastAsia"/>
          <w:b w:val="0"/>
          <w:bCs/>
          <w:color w:val="auto"/>
          <w:sz w:val="24"/>
          <w:szCs w:val="24"/>
          <w:highlight w:val="green"/>
        </w:rPr>
        <w:t>株，其中由于项目范围内基本为经济树木，基本不能用作行道树，红线内回迁利用0株，红线外移植树木为</w:t>
      </w:r>
      <w:r>
        <w:rPr>
          <w:rFonts w:hint="eastAsia" w:ascii="Times New Roman" w:hAnsi="Times New Roman" w:eastAsiaTheme="minorEastAsia"/>
          <w:b w:val="0"/>
          <w:bCs/>
          <w:color w:val="auto"/>
          <w:sz w:val="24"/>
          <w:szCs w:val="24"/>
          <w:highlight w:val="green"/>
        </w:rPr>
        <w:t>1</w:t>
      </w:r>
      <w:r>
        <w:rPr>
          <w:rFonts w:ascii="Times New Roman" w:hAnsi="Times New Roman" w:eastAsiaTheme="minorEastAsia"/>
          <w:b w:val="0"/>
          <w:bCs/>
          <w:color w:val="auto"/>
          <w:sz w:val="24"/>
          <w:szCs w:val="24"/>
          <w:highlight w:val="green"/>
        </w:rPr>
        <w:t>株。另外无迁移利用价值树木为</w:t>
      </w:r>
      <w:r>
        <w:rPr>
          <w:rFonts w:hint="eastAsia" w:ascii="Times New Roman" w:hAnsi="Times New Roman" w:eastAsiaTheme="minorEastAsia"/>
          <w:b w:val="0"/>
          <w:bCs/>
          <w:color w:val="auto"/>
          <w:sz w:val="24"/>
          <w:szCs w:val="24"/>
          <w:highlight w:val="green"/>
        </w:rPr>
        <w:t>0</w:t>
      </w:r>
      <w:r>
        <w:rPr>
          <w:rFonts w:ascii="Times New Roman" w:hAnsi="Times New Roman" w:eastAsiaTheme="minorEastAsia"/>
          <w:b w:val="0"/>
          <w:bCs/>
          <w:color w:val="auto"/>
          <w:sz w:val="24"/>
          <w:szCs w:val="24"/>
          <w:highlight w:val="green"/>
        </w:rPr>
        <w:t>株。回迁移植利用率100%（不含无迁移利用价值树木），其中红线内树木回迁利用率0%，红线外树木移植利用率100%。不涉及移植古树资源和古树名木。</w:t>
      </w:r>
      <w:r>
        <w:rPr>
          <w:rFonts w:hint="eastAsia" w:ascii="Times New Roman" w:hAnsi="Times New Roman" w:eastAsiaTheme="minorEastAsia"/>
          <w:b w:val="0"/>
          <w:bCs/>
          <w:color w:val="auto"/>
          <w:sz w:val="24"/>
          <w:szCs w:val="24"/>
          <w:highlight w:val="green"/>
        </w:rPr>
        <w:t>具体详见树木保护专章</w:t>
      </w:r>
      <w:r>
        <w:rPr>
          <w:rFonts w:ascii="Times New Roman" w:hAnsi="Times New Roman"/>
          <w:b w:val="0"/>
          <w:color w:val="000000" w:themeColor="text1"/>
          <w:sz w:val="24"/>
          <w:szCs w:val="24"/>
          <w:highlight w:val="green"/>
          <w14:textFill>
            <w14:solidFill>
              <w14:schemeClr w14:val="tx1"/>
            </w14:solidFill>
          </w14:textFill>
        </w:rPr>
        <w:t>。</w:t>
      </w:r>
    </w:p>
    <w:p>
      <w:pPr>
        <w:pStyle w:val="5"/>
        <w:ind w:firstLine="482" w:firstLineChars="200"/>
        <w:rPr>
          <w:rFonts w:ascii="Times New Roman" w:hAnsi="Times New Roman"/>
          <w:b w:val="0"/>
          <w:color w:val="000000" w:themeColor="text1"/>
          <w:highlight w:val="green"/>
          <w14:textFill>
            <w14:solidFill>
              <w14:schemeClr w14:val="tx1"/>
            </w14:solidFill>
          </w14:textFill>
        </w:rPr>
      </w:pPr>
      <w:r>
        <w:rPr>
          <w:rFonts w:ascii="Times New Roman" w:hAnsi="Times New Roman"/>
          <w:highlight w:val="green"/>
        </w:rPr>
        <w:t>现状</w:t>
      </w:r>
      <w:r>
        <w:rPr>
          <w:rFonts w:hint="eastAsia" w:ascii="Times New Roman" w:hAnsi="Times New Roman"/>
          <w:highlight w:val="green"/>
        </w:rPr>
        <w:t>周边地块开发</w:t>
      </w:r>
      <w:r>
        <w:rPr>
          <w:rFonts w:ascii="Times New Roman" w:hAnsi="Times New Roman"/>
          <w:highlight w:val="green"/>
        </w:rPr>
        <w:t>建设情况</w:t>
      </w:r>
    </w:p>
    <w:p>
      <w:pPr>
        <w:pStyle w:val="421"/>
        <w:numPr>
          <w:ilvl w:val="0"/>
          <w:numId w:val="14"/>
        </w:numPr>
        <w:rPr>
          <w:highlight w:val="green"/>
        </w:rPr>
      </w:pPr>
      <w:r>
        <w:rPr>
          <w:rFonts w:hint="eastAsia"/>
          <w:bCs/>
          <w:color w:val="auto"/>
          <w:highlight w:val="green"/>
        </w:rPr>
        <w:t>南沙全民文化体育综合体“一场两馆”</w:t>
      </w:r>
    </w:p>
    <w:p>
      <w:pPr>
        <w:pStyle w:val="31"/>
        <w:spacing w:line="300" w:lineRule="auto"/>
        <w:ind w:firstLine="562" w:firstLineChars="200"/>
        <w:rPr>
          <w:color w:val="auto"/>
        </w:rPr>
      </w:pPr>
      <w:r>
        <w:rPr>
          <w:color w:val="auto"/>
        </w:rPr>
        <w:drawing>
          <wp:inline distT="0" distB="0" distL="0" distR="0">
            <wp:extent cx="5372735" cy="3675380"/>
            <wp:effectExtent l="0" t="0" r="18415" b="1270"/>
            <wp:docPr id="1082276402" name="图片 1082276402" descr="卡通人物&#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276402" name="图片 1082276402" descr="卡通人物&#10;&#10;低可信度描述已自动生成"/>
                    <pic:cNvPicPr>
                      <a:picLocks noChangeAspect="1"/>
                    </pic:cNvPicPr>
                  </pic:nvPicPr>
                  <pic:blipFill>
                    <a:blip r:embed="rId114" cstate="email"/>
                    <a:stretch>
                      <a:fillRect/>
                    </a:stretch>
                  </pic:blipFill>
                  <pic:spPr>
                    <a:xfrm>
                      <a:off x="0" y="0"/>
                      <a:ext cx="5372735" cy="3675380"/>
                    </a:xfrm>
                    <a:prstGeom prst="rect">
                      <a:avLst/>
                    </a:prstGeom>
                  </pic:spPr>
                </pic:pic>
              </a:graphicData>
            </a:graphic>
          </wp:inline>
        </w:drawing>
      </w:r>
    </w:p>
    <w:p>
      <w:pPr>
        <w:spacing w:before="209" w:line="220" w:lineRule="auto"/>
        <w:jc w:val="center"/>
        <w:rPr>
          <w:rFonts w:ascii="Times New Roman" w:hAnsi="Times New Roman"/>
          <w:sz w:val="24"/>
          <w:szCs w:val="24"/>
          <w14:textOutline w14:w="3048" w14:cap="flat" w14:cmpd="sng" w14:algn="ctr">
            <w14:solidFill>
              <w14:srgbClr w14:val="000000"/>
            </w14:solidFill>
            <w14:prstDash w14:val="solid"/>
            <w14:miter w14:val="0"/>
          </w14:textOutline>
        </w:rPr>
      </w:pPr>
      <w:r>
        <w:rPr>
          <w:rFonts w:hint="eastAsia" w:ascii="Times New Roman" w:hAnsi="Times New Roman"/>
          <w:sz w:val="24"/>
          <w:szCs w:val="24"/>
          <w14:textOutline w14:w="3048" w14:cap="flat" w14:cmpd="sng" w14:algn="ctr">
            <w14:solidFill>
              <w14:srgbClr w14:val="000000"/>
            </w14:solidFill>
            <w14:prstDash w14:val="solid"/>
            <w14:miter w14:val="0"/>
          </w14:textOutline>
        </w:rPr>
        <w:t>“一场两馆”平面图</w:t>
      </w:r>
    </w:p>
    <w:p>
      <w:pPr>
        <w:wordWrap w:val="0"/>
        <w:spacing w:line="300" w:lineRule="auto"/>
        <w:ind w:firstLine="480" w:firstLineChars="200"/>
        <w:jc w:val="left"/>
        <w:rPr>
          <w:rFonts w:ascii="Times New Roman" w:hAnsi="Times New Roman" w:eastAsiaTheme="minorEastAsia"/>
          <w:b w:val="0"/>
          <w:bCs/>
          <w:color w:val="auto"/>
          <w:sz w:val="24"/>
          <w:szCs w:val="24"/>
          <w:highlight w:val="green"/>
        </w:rPr>
      </w:pPr>
      <w:r>
        <w:rPr>
          <w:rFonts w:hint="eastAsia" w:ascii="Times New Roman" w:hAnsi="Times New Roman" w:eastAsiaTheme="minorEastAsia"/>
          <w:b w:val="0"/>
          <w:bCs/>
          <w:color w:val="auto"/>
          <w:sz w:val="24"/>
          <w:szCs w:val="24"/>
          <w:highlight w:val="green"/>
        </w:rPr>
        <w:t>项目占地约58.6公顷，总建筑面积约51.66万㎡，计容面积49.20万。</w:t>
      </w:r>
    </w:p>
    <w:p>
      <w:pPr>
        <w:wordWrap w:val="0"/>
        <w:spacing w:line="300" w:lineRule="auto"/>
        <w:ind w:firstLine="480" w:firstLineChars="200"/>
        <w:jc w:val="left"/>
        <w:rPr>
          <w:rFonts w:ascii="Times New Roman" w:hAnsi="Times New Roman" w:eastAsiaTheme="minorEastAsia"/>
          <w:b w:val="0"/>
          <w:bCs/>
          <w:color w:val="auto"/>
          <w:sz w:val="24"/>
          <w:szCs w:val="24"/>
          <w:highlight w:val="green"/>
        </w:rPr>
      </w:pPr>
      <w:r>
        <w:rPr>
          <w:rFonts w:hint="eastAsia" w:ascii="Times New Roman" w:hAnsi="Times New Roman" w:eastAsiaTheme="minorEastAsia"/>
          <w:b w:val="0"/>
          <w:bCs/>
          <w:color w:val="auto"/>
          <w:sz w:val="24"/>
          <w:szCs w:val="24"/>
          <w:highlight w:val="green"/>
        </w:rPr>
        <w:t>建设内容：包含一场两馆（即：一座6万座体育场，一座2万座体育馆，一座4000座游泳跳水馆）及运动员中心、停车楼等配套。</w:t>
      </w:r>
    </w:p>
    <w:p>
      <w:pPr>
        <w:wordWrap w:val="0"/>
        <w:spacing w:line="300" w:lineRule="auto"/>
        <w:ind w:firstLine="480" w:firstLineChars="200"/>
        <w:jc w:val="left"/>
        <w:rPr>
          <w:rFonts w:ascii="Times New Roman" w:hAnsi="Times New Roman" w:eastAsiaTheme="minorEastAsia"/>
          <w:b w:val="0"/>
          <w:bCs/>
          <w:color w:val="auto"/>
          <w:sz w:val="24"/>
          <w:szCs w:val="24"/>
          <w:highlight w:val="green"/>
        </w:rPr>
      </w:pPr>
      <w:r>
        <w:rPr>
          <w:rFonts w:hint="eastAsia" w:ascii="Times New Roman" w:hAnsi="Times New Roman" w:eastAsiaTheme="minorEastAsia"/>
          <w:b w:val="0"/>
          <w:bCs/>
          <w:color w:val="auto"/>
          <w:sz w:val="24"/>
          <w:szCs w:val="24"/>
          <w:highlight w:val="green"/>
        </w:rPr>
        <w:t>项目目前已完成场平工作。</w:t>
      </w:r>
    </w:p>
    <w:p>
      <w:pPr>
        <w:pStyle w:val="31"/>
        <w:spacing w:line="300" w:lineRule="auto"/>
        <w:ind w:firstLine="562"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rPr>
        <w:drawing>
          <wp:inline distT="0" distB="0" distL="0" distR="0">
            <wp:extent cx="5994400" cy="4495800"/>
            <wp:effectExtent l="0" t="0" r="635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115"/>
                    <a:stretch>
                      <a:fillRect/>
                    </a:stretch>
                  </pic:blipFill>
                  <pic:spPr>
                    <a:xfrm>
                      <a:off x="0" y="0"/>
                      <a:ext cx="5994400" cy="4495800"/>
                    </a:xfrm>
                    <a:prstGeom prst="rect">
                      <a:avLst/>
                    </a:prstGeom>
                  </pic:spPr>
                </pic:pic>
              </a:graphicData>
            </a:graphic>
          </wp:inline>
        </w:drawing>
      </w:r>
    </w:p>
    <w:p>
      <w:pPr>
        <w:spacing w:before="209" w:line="220" w:lineRule="auto"/>
        <w:ind w:left="3934" w:firstLine="482" w:firstLineChars="200"/>
        <w:rPr>
          <w:rFonts w:ascii="Times New Roman" w:hAnsi="Times New Roman"/>
          <w:sz w:val="24"/>
          <w:szCs w:val="24"/>
          <w14:textOutline w14:w="3048" w14:cap="flat" w14:cmpd="sng" w14:algn="ctr">
            <w14:solidFill>
              <w14:srgbClr w14:val="000000"/>
            </w14:solidFill>
            <w14:prstDash w14:val="solid"/>
            <w14:miter w14:val="0"/>
          </w14:textOutline>
        </w:rPr>
      </w:pPr>
      <w:r>
        <w:rPr>
          <w:rFonts w:ascii="Times New Roman" w:hAnsi="Times New Roman"/>
          <w:sz w:val="24"/>
          <w:szCs w:val="24"/>
          <w14:textOutline w14:w="3048" w14:cap="flat" w14:cmpd="sng" w14:algn="ctr">
            <w14:solidFill>
              <w14:srgbClr w14:val="000000"/>
            </w14:solidFill>
            <w14:prstDash w14:val="solid"/>
            <w14:miter w14:val="0"/>
          </w14:textOutline>
        </w:rPr>
        <w:t>现状体育馆场平地块</w:t>
      </w:r>
    </w:p>
    <w:p>
      <w:pPr>
        <w:spacing w:before="209" w:line="220" w:lineRule="auto"/>
      </w:pPr>
      <w:r>
        <w:drawing>
          <wp:inline distT="0" distB="0" distL="114300" distR="114300">
            <wp:extent cx="6507480" cy="5118100"/>
            <wp:effectExtent l="0" t="0" r="7620" b="6350"/>
            <wp:docPr id="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7"/>
                    <pic:cNvPicPr>
                      <a:picLocks noChangeAspect="1"/>
                    </pic:cNvPicPr>
                  </pic:nvPicPr>
                  <pic:blipFill>
                    <a:blip r:embed="rId116"/>
                    <a:stretch>
                      <a:fillRect/>
                    </a:stretch>
                  </pic:blipFill>
                  <pic:spPr>
                    <a:xfrm>
                      <a:off x="0" y="0"/>
                      <a:ext cx="6507480" cy="5118100"/>
                    </a:xfrm>
                    <a:prstGeom prst="rect">
                      <a:avLst/>
                    </a:prstGeom>
                    <a:noFill/>
                    <a:ln>
                      <a:noFill/>
                    </a:ln>
                  </pic:spPr>
                </pic:pic>
              </a:graphicData>
            </a:graphic>
          </wp:inline>
        </w:drawing>
      </w:r>
    </w:p>
    <w:p>
      <w:pPr>
        <w:spacing w:before="209" w:line="220" w:lineRule="auto"/>
        <w:jc w:val="center"/>
      </w:pPr>
      <w:r>
        <w:rPr>
          <w:rFonts w:hint="eastAsia" w:ascii="Times New Roman" w:hAnsi="Times New Roman"/>
          <w:sz w:val="24"/>
          <w:szCs w:val="24"/>
          <w14:textOutline w14:w="3048" w14:cap="flat" w14:cmpd="sng" w14:algn="ctr">
            <w14:solidFill>
              <w14:srgbClr w14:val="000000"/>
            </w14:solidFill>
            <w14:prstDash w14:val="solid"/>
            <w14:miter w14:val="0"/>
          </w14:textOutline>
        </w:rPr>
        <w:t>骨干道路与综合体位置关系图</w:t>
      </w:r>
    </w:p>
    <w:p>
      <w:pPr>
        <w:spacing w:before="209" w:line="220" w:lineRule="auto"/>
        <w:ind w:left="3934" w:firstLine="482" w:firstLineChars="200"/>
        <w:rPr>
          <w:rFonts w:ascii="Times New Roman" w:hAnsi="Times New Roman"/>
          <w:sz w:val="24"/>
          <w:szCs w:val="24"/>
          <w14:textOutline w14:w="3048" w14:cap="flat" w14:cmpd="sng" w14:algn="ctr">
            <w14:solidFill>
              <w14:srgbClr w14:val="000000"/>
            </w14:solidFill>
            <w14:prstDash w14:val="solid"/>
            <w14:miter w14:val="0"/>
          </w14:textOutline>
        </w:rPr>
      </w:pPr>
    </w:p>
    <w:p>
      <w:pPr>
        <w:pStyle w:val="5"/>
        <w:ind w:firstLine="482" w:firstLineChars="200"/>
        <w:rPr>
          <w:rFonts w:ascii="Times New Roman" w:hAnsi="Times New Roman"/>
          <w:b w:val="0"/>
          <w:color w:val="000000" w:themeColor="text1"/>
          <w14:textFill>
            <w14:solidFill>
              <w14:schemeClr w14:val="tx1"/>
            </w14:solidFill>
          </w14:textFill>
        </w:rPr>
      </w:pPr>
      <w:r>
        <w:rPr>
          <w:rFonts w:ascii="Times New Roman" w:hAnsi="Times New Roman"/>
        </w:rPr>
        <w:t>项目周边轨道交通</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拟建设道路周边目前无现状轨道交通，规划轨道有：南中珠城际（接广州18号线）、地铁31号线、地铁38号线。</w:t>
      </w:r>
    </w:p>
    <w:p>
      <w:pPr>
        <w:pStyle w:val="31"/>
        <w:spacing w:line="300" w:lineRule="auto"/>
        <w:ind w:firstLine="562" w:firstLineChars="200"/>
        <w:jc w:val="center"/>
        <w:rPr>
          <w:rFonts w:ascii="Times New Roman" w:hAnsi="Times New Roman"/>
        </w:rPr>
      </w:pPr>
      <w:r>
        <w:rPr>
          <w:rFonts w:ascii="Times New Roman" w:hAnsi="Times New Roman"/>
        </w:rPr>
        <w:drawing>
          <wp:inline distT="0" distB="0" distL="114300" distR="114300">
            <wp:extent cx="4578350" cy="4262120"/>
            <wp:effectExtent l="0" t="0" r="12700" b="5080"/>
            <wp:docPr id="15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26"/>
                    <pic:cNvPicPr>
                      <a:picLocks noChangeAspect="1"/>
                    </pic:cNvPicPr>
                  </pic:nvPicPr>
                  <pic:blipFill>
                    <a:blip r:embed="rId117"/>
                    <a:stretch>
                      <a:fillRect/>
                    </a:stretch>
                  </pic:blipFill>
                  <pic:spPr>
                    <a:xfrm>
                      <a:off x="0" y="0"/>
                      <a:ext cx="4578350" cy="4262120"/>
                    </a:xfrm>
                    <a:prstGeom prst="rect">
                      <a:avLst/>
                    </a:prstGeom>
                    <a:noFill/>
                    <a:ln>
                      <a:noFill/>
                    </a:ln>
                  </pic:spPr>
                </pic:pic>
              </a:graphicData>
            </a:graphic>
          </wp:inline>
        </w:drawing>
      </w:r>
    </w:p>
    <w:p>
      <w:pPr>
        <w:pStyle w:val="31"/>
        <w:spacing w:line="300" w:lineRule="auto"/>
        <w:ind w:firstLine="482" w:firstLineChars="200"/>
        <w:jc w:val="center"/>
        <w:rPr>
          <w:rFonts w:ascii="Times New Roman" w:hAnsi="Times New Roman"/>
        </w:rPr>
      </w:pPr>
      <w:r>
        <w:rPr>
          <w:rFonts w:ascii="Times New Roman" w:hAnsi="Times New Roman"/>
          <w:sz w:val="24"/>
          <w:szCs w:val="24"/>
          <w14:textOutline w14:w="3048" w14:cap="flat" w14:cmpd="sng" w14:algn="ctr">
            <w14:solidFill>
              <w14:srgbClr w14:val="000000"/>
            </w14:solidFill>
            <w14:prstDash w14:val="solid"/>
            <w14:miter w14:val="0"/>
          </w14:textOutline>
        </w:rPr>
        <w:t>轨道线路规划</w:t>
      </w:r>
      <w:r>
        <w:rPr>
          <w:rFonts w:ascii="Times New Roman" w:hAnsi="Times New Roman"/>
        </w:rPr>
        <w:t>图</w:t>
      </w:r>
    </w:p>
    <w:p>
      <w:pPr>
        <w:pStyle w:val="3"/>
        <w:ind w:firstLine="562" w:firstLineChars="200"/>
      </w:pPr>
      <w:bookmarkStart w:id="124" w:name="_Toc26131"/>
      <w:r>
        <w:t>要素保障分析</w:t>
      </w:r>
      <w:bookmarkEnd w:id="124"/>
    </w:p>
    <w:p>
      <w:pPr>
        <w:pStyle w:val="4"/>
        <w:ind w:firstLine="482" w:firstLineChars="200"/>
      </w:pPr>
      <w:bookmarkStart w:id="125" w:name="_Toc23187"/>
      <w:r>
        <w:t>土地要素保障</w:t>
      </w:r>
      <w:bookmarkEnd w:id="125"/>
    </w:p>
    <w:p>
      <w:pPr>
        <w:pStyle w:val="5"/>
        <w:ind w:firstLine="482" w:firstLineChars="200"/>
        <w:rPr>
          <w:rFonts w:ascii="Times New Roman" w:hAnsi="Times New Roman"/>
        </w:rPr>
      </w:pPr>
      <w:r>
        <w:rPr>
          <w:rFonts w:hint="eastAsia" w:ascii="Times New Roman" w:hAnsi="Times New Roman"/>
        </w:rPr>
        <w:t>规划符合性论证分析</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hint="eastAsia" w:ascii="Times New Roman" w:hAnsi="Times New Roman"/>
          <w:b w:val="0"/>
          <w:color w:val="000000" w:themeColor="text1"/>
          <w:sz w:val="24"/>
          <w:szCs w:val="24"/>
          <w14:textFill>
            <w14:solidFill>
              <w14:schemeClr w14:val="tx1"/>
            </w14:solidFill>
          </w14:textFill>
        </w:rPr>
        <w:t>根据附件15：广州市规划和自然资源局关于南沙全民文化体育综合体项目配套骨干道路项目协同会审征求意见的复函：</w:t>
      </w:r>
    </w:p>
    <w:p>
      <w:pPr>
        <w:pStyle w:val="31"/>
        <w:numPr>
          <w:ilvl w:val="0"/>
          <w:numId w:val="15"/>
        </w:numPr>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hint="eastAsia" w:ascii="Times New Roman" w:hAnsi="Times New Roman"/>
          <w:b w:val="0"/>
          <w:color w:val="000000" w:themeColor="text1"/>
          <w:sz w:val="24"/>
          <w:szCs w:val="24"/>
          <w14:textFill>
            <w14:solidFill>
              <w14:schemeClr w14:val="tx1"/>
            </w14:solidFill>
          </w14:textFill>
        </w:rPr>
        <w:t>用地位于总规限建区，涉及总规蓝线；</w:t>
      </w:r>
    </w:p>
    <w:p>
      <w:pPr>
        <w:pStyle w:val="31"/>
        <w:numPr>
          <w:ilvl w:val="0"/>
          <w:numId w:val="15"/>
        </w:numPr>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hint="eastAsia" w:ascii="Times New Roman" w:hAnsi="Times New Roman"/>
          <w:b w:val="0"/>
          <w:color w:val="000000" w:themeColor="text1"/>
          <w:sz w:val="24"/>
          <w:szCs w:val="24"/>
          <w14:textFill>
            <w14:solidFill>
              <w14:schemeClr w14:val="tx1"/>
            </w14:solidFill>
          </w14:textFill>
        </w:rPr>
        <w:t>用地位于南沙全民文化体育综合体范围，根据《南沙南部地区城市设计》、《南沙规划管理单元DW1005控制性详细规划调整》现阶段成果，用地涉及城市道路用地、公园绿地、居住用地、商业商务用地等。</w:t>
      </w:r>
    </w:p>
    <w:p>
      <w:pPr>
        <w:pStyle w:val="31"/>
        <w:numPr>
          <w:ilvl w:val="0"/>
          <w:numId w:val="15"/>
        </w:numPr>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hint="eastAsia" w:ascii="Times New Roman" w:hAnsi="Times New Roman"/>
          <w:b w:val="0"/>
          <w:color w:val="000000" w:themeColor="text1"/>
          <w:sz w:val="24"/>
          <w:szCs w:val="24"/>
          <w14:textFill>
            <w14:solidFill>
              <w14:schemeClr w14:val="tx1"/>
            </w14:solidFill>
          </w14:textFill>
        </w:rPr>
        <w:t>用地在南沙区土地利用总体规划中为城乡建设用地，不涉及基本农田。</w:t>
      </w:r>
    </w:p>
    <w:p>
      <w:pPr>
        <w:pStyle w:val="31"/>
        <w:numPr>
          <w:ilvl w:val="0"/>
          <w:numId w:val="15"/>
        </w:numPr>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hint="eastAsia" w:ascii="Times New Roman" w:hAnsi="Times New Roman"/>
          <w:b w:val="0"/>
          <w:color w:val="000000" w:themeColor="text1"/>
          <w:sz w:val="24"/>
          <w:szCs w:val="24"/>
          <w14:textFill>
            <w14:solidFill>
              <w14:schemeClr w14:val="tx1"/>
            </w14:solidFill>
          </w14:textFill>
        </w:rPr>
        <w:t>用地红线内不涉及地质公园、地质灾害隐患（风险）点，根据广州市地质灾害易发性分区图，该用地红线分布于地质灾害中易发区域，地质灾害类型为地面沉降，结合山边沿线地质灾害评价成果，不涉及危险性范围线。请按相关要求做好地质灾害危险性评估并按照评估结果落实各项地质灾害防治措施，落实地质灾害防治工程“三同时”制度，同时加强建设工程施工过程中地质灾害动态监测。</w:t>
      </w:r>
    </w:p>
    <w:p>
      <w:pPr>
        <w:pStyle w:val="31"/>
        <w:numPr>
          <w:ilvl w:val="0"/>
          <w:numId w:val="15"/>
        </w:numPr>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hint="eastAsia" w:ascii="Times New Roman" w:hAnsi="Times New Roman"/>
          <w:b w:val="0"/>
          <w:color w:val="000000" w:themeColor="text1"/>
          <w:sz w:val="24"/>
          <w:szCs w:val="24"/>
          <w14:textFill>
            <w14:solidFill>
              <w14:schemeClr w14:val="tx1"/>
            </w14:solidFill>
          </w14:textFill>
        </w:rPr>
        <w:t>南沙区为矿产禁采区，没有已上表的重要矿床分布，无广州市审批发证的现有矿业权分布。</w:t>
      </w:r>
    </w:p>
    <w:p>
      <w:pPr>
        <w:pStyle w:val="31"/>
        <w:numPr>
          <w:ilvl w:val="0"/>
          <w:numId w:val="15"/>
        </w:numPr>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hint="eastAsia" w:ascii="Times New Roman" w:hAnsi="Times New Roman"/>
          <w:b w:val="0"/>
          <w:color w:val="000000" w:themeColor="text1"/>
          <w:sz w:val="24"/>
          <w:szCs w:val="24"/>
          <w14:textFill>
            <w14:solidFill>
              <w14:schemeClr w14:val="tx1"/>
            </w14:solidFill>
          </w14:textFill>
        </w:rPr>
        <w:t>该项目用地位于新修测海岸线向陆地一侧，不涉及海域。该项目红线不涉及林业相关的自然保护区、风景名胜区、森林公园、湿地公园、生态公益林、林业生产基地、列入省级以上保护名录的野生动植物自然栖息地等区域。该项目红线不涉及“三调”红树林管理范围。</w:t>
      </w:r>
    </w:p>
    <w:p>
      <w:pPr>
        <w:pStyle w:val="31"/>
        <w:numPr>
          <w:ilvl w:val="0"/>
          <w:numId w:val="15"/>
        </w:numPr>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hint="eastAsia" w:ascii="Times New Roman" w:hAnsi="Times New Roman"/>
          <w:b w:val="0"/>
          <w:color w:val="000000" w:themeColor="text1"/>
          <w:sz w:val="24"/>
          <w:szCs w:val="24"/>
          <w14:textFill>
            <w14:solidFill>
              <w14:schemeClr w14:val="tx1"/>
            </w14:solidFill>
          </w14:textFill>
        </w:rPr>
        <w:t>用地不涉及已列入保护名录的传统村落、历史建筑、传统风貌建筑等名城保护内容。</w:t>
      </w:r>
    </w:p>
    <w:p>
      <w:pPr>
        <w:pStyle w:val="5"/>
        <w:ind w:firstLine="482" w:firstLineChars="200"/>
        <w:rPr>
          <w:rFonts w:ascii="Times New Roman" w:hAnsi="Times New Roman"/>
        </w:rPr>
      </w:pPr>
      <w:r>
        <w:rPr>
          <w:rFonts w:ascii="Times New Roman" w:hAnsi="Times New Roman"/>
        </w:rPr>
        <w:t>征地拆迁</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本项目拟占用土地(地上）总面积为</w:t>
      </w:r>
      <w:r>
        <w:rPr>
          <w:rFonts w:hint="eastAsia" w:ascii="Times New Roman" w:hAnsi="Times New Roman"/>
          <w:b w:val="0"/>
          <w:color w:val="000000" w:themeColor="text1"/>
          <w:sz w:val="24"/>
          <w:szCs w:val="24"/>
          <w:highlight w:val="magenta"/>
          <w14:textFill>
            <w14:solidFill>
              <w14:schemeClr w14:val="tx1"/>
            </w14:solidFill>
          </w14:textFill>
        </w:rPr>
        <w:t>149732.449</w:t>
      </w:r>
      <w:r>
        <w:rPr>
          <w:rFonts w:ascii="Times New Roman" w:hAnsi="Times New Roman"/>
          <w:b w:val="0"/>
          <w:color w:val="000000" w:themeColor="text1"/>
          <w:sz w:val="24"/>
          <w:szCs w:val="24"/>
          <w:highlight w:val="magenta"/>
          <w14:textFill>
            <w14:solidFill>
              <w14:schemeClr w14:val="tx1"/>
            </w14:solidFill>
          </w14:textFill>
        </w:rPr>
        <w:t>㎡</w:t>
      </w:r>
      <w:r>
        <w:rPr>
          <w:rFonts w:ascii="Times New Roman" w:hAnsi="Times New Roman"/>
          <w:b w:val="0"/>
          <w:color w:val="000000" w:themeColor="text1"/>
          <w:sz w:val="24"/>
          <w:szCs w:val="24"/>
          <w14:textFill>
            <w14:solidFill>
              <w14:schemeClr w14:val="tx1"/>
            </w14:solidFill>
          </w14:textFill>
        </w:rPr>
        <w:t>，</w:t>
      </w:r>
      <w:r>
        <w:rPr>
          <w:rFonts w:hint="eastAsia" w:ascii="Times New Roman" w:hAnsi="Times New Roman"/>
          <w:b w:val="0"/>
          <w:color w:val="000000" w:themeColor="text1"/>
          <w:sz w:val="24"/>
          <w:szCs w:val="24"/>
          <w14:textFill>
            <w14:solidFill>
              <w14:schemeClr w14:val="tx1"/>
            </w14:solidFill>
          </w14:textFill>
        </w:rPr>
        <w:t>包含项目建设范围内的桥梁面积，</w:t>
      </w:r>
      <w:r>
        <w:rPr>
          <w:rFonts w:ascii="Times New Roman" w:hAnsi="Times New Roman"/>
          <w:b w:val="0"/>
          <w:color w:val="000000" w:themeColor="text1"/>
          <w:sz w:val="24"/>
          <w:szCs w:val="24"/>
          <w14:textFill>
            <w14:solidFill>
              <w14:schemeClr w14:val="tx1"/>
            </w14:solidFill>
          </w14:textFill>
        </w:rPr>
        <w:t>占地主要以鱼塘及未开发用地为主。</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本项目房屋拆迁主要为场地内的简易棚房、工地临时板房为主，不涉及大规模拆建。</w:t>
      </w:r>
    </w:p>
    <w:p>
      <w:pPr>
        <w:pStyle w:val="31"/>
        <w:spacing w:line="300" w:lineRule="auto"/>
        <w:ind w:firstLine="562" w:firstLineChars="200"/>
        <w:jc w:val="center"/>
        <w:rPr>
          <w:rFonts w:ascii="Times New Roman" w:hAnsi="Times New Roman"/>
        </w:rPr>
      </w:pPr>
      <w:r>
        <w:rPr>
          <w:rFonts w:ascii="Times New Roman" w:hAnsi="Times New Roman"/>
        </w:rPr>
        <w:drawing>
          <wp:inline distT="0" distB="0" distL="0" distR="0">
            <wp:extent cx="3347720" cy="2618105"/>
            <wp:effectExtent l="0" t="0" r="5080" b="10795"/>
            <wp:docPr id="1270" name="IM 1270"/>
            <wp:cNvGraphicFramePr/>
            <a:graphic xmlns:a="http://schemas.openxmlformats.org/drawingml/2006/main">
              <a:graphicData uri="http://schemas.openxmlformats.org/drawingml/2006/picture">
                <pic:pic xmlns:pic="http://schemas.openxmlformats.org/drawingml/2006/picture">
                  <pic:nvPicPr>
                    <pic:cNvPr id="1270" name="IM 1270"/>
                    <pic:cNvPicPr/>
                  </pic:nvPicPr>
                  <pic:blipFill>
                    <a:blip r:embed="rId118"/>
                    <a:stretch>
                      <a:fillRect/>
                    </a:stretch>
                  </pic:blipFill>
                  <pic:spPr>
                    <a:xfrm>
                      <a:off x="0" y="0"/>
                      <a:ext cx="3347720" cy="2618105"/>
                    </a:xfrm>
                    <a:prstGeom prst="rect">
                      <a:avLst/>
                    </a:prstGeom>
                  </pic:spPr>
                </pic:pic>
              </a:graphicData>
            </a:graphic>
          </wp:inline>
        </w:drawing>
      </w:r>
    </w:p>
    <w:p>
      <w:pPr>
        <w:pStyle w:val="31"/>
        <w:spacing w:line="300" w:lineRule="auto"/>
        <w:ind w:firstLine="482" w:firstLineChars="200"/>
        <w:jc w:val="center"/>
        <w:rPr>
          <w:rFonts w:ascii="Times New Roman" w:hAnsi="Times New Roman"/>
          <w:sz w:val="24"/>
          <w:szCs w:val="24"/>
          <w14:textOutline w14:w="3048" w14:cap="flat" w14:cmpd="sng" w14:algn="ctr">
            <w14:solidFill>
              <w14:srgbClr w14:val="000000"/>
            </w14:solidFill>
            <w14:prstDash w14:val="solid"/>
            <w14:miter w14:val="0"/>
          </w14:textOutline>
        </w:rPr>
      </w:pPr>
      <w:r>
        <w:rPr>
          <w:rFonts w:ascii="Times New Roman" w:hAnsi="Times New Roman"/>
          <w:sz w:val="24"/>
          <w:szCs w:val="24"/>
          <w14:textOutline w14:w="3048" w14:cap="flat" w14:cmpd="sng" w14:algn="ctr">
            <w14:solidFill>
              <w14:srgbClr w14:val="000000"/>
            </w14:solidFill>
            <w14:prstDash w14:val="solid"/>
            <w14:miter w14:val="0"/>
          </w14:textOutline>
        </w:rPr>
        <w:t>现状航拍图</w:t>
      </w:r>
    </w:p>
    <w:p>
      <w:pPr>
        <w:pStyle w:val="4"/>
        <w:ind w:firstLine="482" w:firstLineChars="200"/>
      </w:pPr>
      <w:bookmarkStart w:id="126" w:name="_Toc2294"/>
      <w:r>
        <w:t>资源要素保障</w:t>
      </w:r>
      <w:bookmarkEnd w:id="126"/>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本项目不涉及禁建区、自然保护地、野生动物栖息地、饮用水源保护区、蓄滞洪区、生态保护红线。本项目属于城市市政设施建设项目，符合污水体水环境保护的要求，与大气环境功能区及相关要求、声环境功能区及相关要求不相矛盾。项目施工过程中严格控制污水排放，营运期地面雨水不会对水环境造成不良影响。项目周边各类资源能够承载项目的建设。</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项目建成后主要为配套公共设施增加用电。规划供电能力能满足项目的用电需求。</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本项目的节能工作重点包括建筑节能、供配电系统节能、照明系统节能、</w:t>
      </w:r>
      <w:r>
        <w:rPr>
          <w:rFonts w:hint="eastAsia" w:ascii="Times New Roman" w:hAnsi="Times New Roman"/>
          <w:b w:val="0"/>
          <w:color w:val="000000" w:themeColor="text1"/>
          <w:sz w:val="24"/>
          <w:szCs w:val="24"/>
          <w14:textFill>
            <w14:solidFill>
              <w14:schemeClr w14:val="tx1"/>
            </w14:solidFill>
          </w14:textFill>
        </w:rPr>
        <w:t>排水</w:t>
      </w:r>
      <w:r>
        <w:rPr>
          <w:rFonts w:ascii="Times New Roman" w:hAnsi="Times New Roman"/>
          <w:b w:val="0"/>
          <w:color w:val="000000" w:themeColor="text1"/>
          <w:sz w:val="24"/>
          <w:szCs w:val="24"/>
          <w14:textFill>
            <w14:solidFill>
              <w14:schemeClr w14:val="tx1"/>
            </w14:solidFill>
          </w14:textFill>
        </w:rPr>
        <w:t>系统节能等。项目的节能主要通过采用先进设备、被动节能设计及引导人们行为节能等综合节能措施加以实现。</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项目建成后经复核能够满足项目的用水需求。并提倡科学合理节水，依靠科技进步、技术创新节水。在工程建设期间，对使用不符合节水规定器材的工程不予验收，结合海绵城市进行雨水回用，提高水资源环境承载力。</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根据广州市生态环境局南沙分局意见，本项目选址不涉及饮用水水源保护区。经核《广州市“三线一单”生态环境分区管控方案》《广州市城市环境总体规划（2014-2030）》，未禁止本项目选址。</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项目实施后，产生的各项大气污染物经治理后均可达标排放，对周边大气环境影响不大。</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项目实施后，产生的污水按照污水排放的标准规定，严格执行污染治理措施，达到国家和地区现行排放标准，对所在地区的水环境质量不会造成影响。</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项目建设对于区域生态环境的影响处在可控范围内。但要注重对于候鸟等野生动物的监测，降低对于鸟类迁徙和日常活动的影响，在本项目规划建设及运营过程充分考虑野生动物及其栖息地保护需要，并做好相关舆情应对。</w:t>
      </w:r>
    </w:p>
    <w:p>
      <w:r>
        <w:br w:type="page"/>
      </w:r>
    </w:p>
    <w:p>
      <w:pPr>
        <w:pStyle w:val="2"/>
        <w:keepNext/>
        <w:keepLines/>
        <w:numPr>
          <w:ilvl w:val="0"/>
          <w:numId w:val="2"/>
        </w:numPr>
        <w:spacing w:before="191" w:beforeLines="0" w:after="191" w:afterLines="0" w:line="360" w:lineRule="auto"/>
        <w:ind w:firstLine="643" w:firstLineChars="200"/>
        <w:jc w:val="center"/>
        <w:rPr>
          <w:rFonts w:ascii="Times New Roman" w:hAnsi="Times New Roman"/>
        </w:rPr>
      </w:pPr>
      <w:bookmarkStart w:id="127" w:name="_Toc1049"/>
      <w:r>
        <w:rPr>
          <w:rFonts w:ascii="Times New Roman" w:hAnsi="Times New Roman"/>
        </w:rPr>
        <w:t>项目建设方案</w:t>
      </w:r>
      <w:bookmarkEnd w:id="127"/>
    </w:p>
    <w:p>
      <w:pPr>
        <w:pStyle w:val="3"/>
        <w:ind w:firstLine="562" w:firstLineChars="200"/>
      </w:pPr>
      <w:bookmarkStart w:id="128" w:name="_Toc16895"/>
      <w:r>
        <w:t>主要设计规范</w:t>
      </w:r>
      <w:bookmarkEnd w:id="128"/>
    </w:p>
    <w:p>
      <w:pPr>
        <w:spacing w:line="288" w:lineRule="auto"/>
        <w:ind w:firstLine="482"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一、通用规范</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《公路工程技术标准》（JTG B01-2014）</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《城市道路工程设计规范》（CJJ37-2012）（2016年版）</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《城市道路路线设计规范》（CJJ 193-2012）</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《城市地下道路工程设计规范》（CJJ 221-2015）</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《公路桥涵设计通用规范》（JTG D60-2015）</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《混凝土结构设计规范》（GB50010-2010）（2015年版）</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《混凝土结构耐久性设计与施工指南》（CCES 01-2004）</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《公路桥涵地基与基础设计规范》（JTG 3363-2019）</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《建筑地基处理技术规范》（JGJ 79-2012）</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《建筑桩基技术规范》（JGJ 94-2008）</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《公路工程抗震设计规范》（JTG B02-2013）</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《建筑抗震设计规范》（GB50011-2010）（2016年版）</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《建筑设计防火规范》（GB50016-2014）（2018年版）</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《工程勘察通用规范》（GB 55017-2021）</w:t>
      </w:r>
    </w:p>
    <w:p>
      <w:pPr>
        <w:spacing w:line="288" w:lineRule="auto"/>
        <w:ind w:firstLine="482"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二、总体、道路工程设计部分</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《城市道路交叉口设计规程》（CJJ 152-2010）</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《无障碍设计规范》（GB 50763-2012）</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《城市道路路基设计规范》（CJJ194-2013）</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《城镇道路路面设计规范》（CJJ169-2012）</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《公路软土地基路堤设计与施工技术细则》（JTG/T D31-02-2013）</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《公路路面基层施工技术细则》（JTG/T F20-2015）</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《城市道路交通工程项目规范》GB 55011-2021</w:t>
      </w:r>
    </w:p>
    <w:p>
      <w:pPr>
        <w:spacing w:line="288" w:lineRule="auto"/>
        <w:ind w:firstLine="482"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三、桥梁设计部分</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《城市桥梁设计规范》（CJJ 11-2011）（2019年版）</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《公路钢筋混凝土及预应力混凝土桥涵设计规范》（JTG 3362-2018）</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《公路钢结构桥梁设计规范》（JTG D64-2015）</w:t>
      </w:r>
    </w:p>
    <w:p>
      <w:pPr>
        <w:spacing w:line="288" w:lineRule="auto"/>
        <w:ind w:firstLine="482"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四、管线综合设计部分</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《城市工程管线综合规划规范》（GB 50289-2016）</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《室外排水设计标准》（GB 50014-2021）</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《城市排水工程规划规范》（GB 50318-2017）</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《室外给水设计标准》（GB 50013-2018）</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《消防给水及消火栓系统技术规范》（GB 50974-2014）</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《建筑设计防火规范》（GB 50016-2014）（2018年版）</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《城市电力规划规范》（GB/T 50293-2014）</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《电力工程电缆设计标准》（GB 50217-2018）</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《城镇燃气设计规范》（GB 50028-2006）（2020年版）</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《通信管道与通道工程设计规范》（GB50373-2019）</w:t>
      </w:r>
    </w:p>
    <w:p>
      <w:pPr>
        <w:spacing w:line="288" w:lineRule="auto"/>
        <w:ind w:firstLine="482"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五、</w:t>
      </w:r>
      <w:r>
        <w:rPr>
          <w:rFonts w:hint="eastAsia" w:ascii="Times New Roman" w:hAnsi="Times New Roman"/>
          <w:bCs/>
          <w:color w:val="000000" w:themeColor="text1"/>
          <w:sz w:val="24"/>
          <w:szCs w:val="24"/>
          <w14:textFill>
            <w14:solidFill>
              <w14:schemeClr w14:val="tx1"/>
            </w14:solidFill>
          </w14:textFill>
        </w:rPr>
        <w:t>排水</w:t>
      </w:r>
      <w:r>
        <w:rPr>
          <w:rFonts w:ascii="Times New Roman" w:hAnsi="Times New Roman"/>
          <w:bCs/>
          <w:color w:val="000000" w:themeColor="text1"/>
          <w:sz w:val="24"/>
          <w:szCs w:val="24"/>
          <w14:textFill>
            <w14:solidFill>
              <w14:schemeClr w14:val="tx1"/>
            </w14:solidFill>
          </w14:textFill>
        </w:rPr>
        <w:t>工程设计部分</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《室外排水设计标准》（GB 50014-2021）</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《城市给水工程规划规范》（GB 50282-2016）</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《城市排水工程规划规范》（GB 50318-2017）</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《室外给水设计标准》（GB 50013-2018）</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《给水排水工程管道结构设计规范》（GB 50332-2002）</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《给水排水工程埋地钢管管道结构设计规程》（CECS 141:2002）</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《生活饮用水卫生标准》（GB 5749-2022）</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《消防给水及消火栓系统技术规范》（GB 50974-2014）</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《城市工程管线综合规划规范》（GB 50289-2016）</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《混凝土和钢筋混凝土排水管》（GB/T 11836-2009）</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《给水排水管道工程施工及验收规范》（GB 50268-2008）</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《给水排水构筑物工程施工及验收规范》（GB 50141-2008）</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《广州市暴雨强度公式（新）》（广州水务局，2011）</w:t>
      </w:r>
    </w:p>
    <w:p>
      <w:pPr>
        <w:spacing w:line="288" w:lineRule="auto"/>
        <w:ind w:firstLine="482"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六、照明工程设计部分</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《城市道路照明设计标准》（CJJ 45-2015）；</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《低压配电设计规范》（GB 50054-2011）；</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《供配电系统设计规范》（GB 50052-2009）；</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《建筑物防雷设计规范》（GB50057-2010）；</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《电力工程电缆设计标准》（GB50217-2018）；</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《城市道路照明工程施工及验收规程》（CJJ 89-2012）；</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《广东省推广使用LED照明产品实施方案的通知》（粤府函〔2012〕113号）；</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《LED城市道路照明应用技术要求》（GB/T 31832-2015）；</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《公路隧道照明设计细则》（JTG/T D70/2-01-2014）；</w:t>
      </w:r>
    </w:p>
    <w:p>
      <w:pPr>
        <w:spacing w:line="288" w:lineRule="auto"/>
        <w:ind w:firstLine="482"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七、交通工程设计部分</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《城市道路交通标志和标线设置规范》（GB 51038-2015）</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《道路交通标志和标线第1部分：总则》（GB 5768.1-2009）</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《道路交通标志和标线第2部分：道路交通标志》（GB 5768.2-2009）</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《道路交通标志和标线第3部分：道路交通标线》（GB 5768.3-2009）</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《道路交通标志和标线第4部分：作业区》（GB 5768.4-2017）</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《道路交通标志和标线第5部分：限制速度》（GB 5768.5-2017）</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《道路交通反光膜》（GB/T 18833-2012）</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《路面标线涂料》（JT/T 280-2004）</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《道路交通信号灯》（GB 14887-2011）</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《道路交通信号控制机》（GB 25280-2016）</w:t>
      </w:r>
    </w:p>
    <w:p>
      <w:pPr>
        <w:spacing w:line="288" w:lineRule="auto"/>
        <w:ind w:firstLine="480" w:firstLineChars="200"/>
        <w:rPr>
          <w:rFonts w:ascii="Times New Roman" w:hAnsi="Times New Roman"/>
          <w:color w:val="auto"/>
        </w:rPr>
      </w:pPr>
      <w:r>
        <w:rPr>
          <w:rFonts w:ascii="Times New Roman" w:hAnsi="Times New Roman"/>
          <w:b w:val="0"/>
          <w:color w:val="auto"/>
          <w:sz w:val="24"/>
          <w:szCs w:val="24"/>
        </w:rPr>
        <w:t>《交通信号控制机与上位机间的数据通信协议》（GB/T 20999-2017）</w:t>
      </w:r>
    </w:p>
    <w:p>
      <w:pPr>
        <w:spacing w:line="288"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《道路交通信号灯设置与安装规范》（GB 14886-2016）</w:t>
      </w:r>
    </w:p>
    <w:p>
      <w:pPr>
        <w:spacing w:line="288"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《道路交通信号控制机安装规范》（GA/T489-2016）</w:t>
      </w:r>
    </w:p>
    <w:p>
      <w:pPr>
        <w:spacing w:line="288"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《道路交通信号控制机与车辆检测器间的通信协议》（GA/T920-2010）</w:t>
      </w:r>
    </w:p>
    <w:p>
      <w:pPr>
        <w:spacing w:line="288"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《道路交通信号倒计时显示器》（GA/T508-2014）</w:t>
      </w:r>
    </w:p>
    <w:p>
      <w:pPr>
        <w:spacing w:line="288"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《环形线圈车辆检测器检定规程》（JJG078-2007）</w:t>
      </w:r>
    </w:p>
    <w:p>
      <w:pPr>
        <w:spacing w:line="288" w:lineRule="auto"/>
        <w:ind w:firstLine="480" w:firstLineChars="200"/>
        <w:rPr>
          <w:rFonts w:ascii="Times New Roman" w:hAnsi="Times New Roman"/>
        </w:rPr>
      </w:pPr>
      <w:r>
        <w:rPr>
          <w:rFonts w:ascii="Times New Roman" w:hAnsi="Times New Roman"/>
          <w:b w:val="0"/>
          <w:color w:val="auto"/>
          <w:sz w:val="24"/>
          <w:szCs w:val="24"/>
        </w:rPr>
        <w:t>《广州市道路交通管理设施设计技术指引》（2014年）</w:t>
      </w:r>
    </w:p>
    <w:p>
      <w:pPr>
        <w:spacing w:line="288" w:lineRule="auto"/>
        <w:ind w:firstLine="482"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八、电力管沟工程设计部分</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《城市电力规划规范》（GB/T 50293-2014）</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《电力工程电缆设计标准》（GB 50217-2018）</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《城市电力电缆线路设计技术规定》（DL/T 5221-2016）</w:t>
      </w:r>
    </w:p>
    <w:p>
      <w:pPr>
        <w:spacing w:line="288" w:lineRule="auto"/>
        <w:ind w:firstLine="482"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九、绿化工程设计部分</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《城市绿地设计规范》（GB 50420-2007）（2016年版）</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《园林绿化工程项目规范》（GB55014-2021）</w:t>
      </w:r>
    </w:p>
    <w:p>
      <w:pPr>
        <w:spacing w:line="288"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《城市道路绿化规划与设计规范》（CJJ75-97）</w:t>
      </w:r>
    </w:p>
    <w:p>
      <w:pPr>
        <w:pStyle w:val="3"/>
        <w:ind w:firstLine="562" w:firstLineChars="200"/>
      </w:pPr>
      <w:bookmarkStart w:id="129" w:name="_Toc29644"/>
      <w:r>
        <w:t>总体设计</w:t>
      </w:r>
      <w:bookmarkStart w:id="130" w:name="_Toc29470"/>
      <w:r>
        <w:t>总体设计</w:t>
      </w:r>
      <w:bookmarkEnd w:id="129"/>
      <w:bookmarkEnd w:id="130"/>
    </w:p>
    <w:p>
      <w:pPr>
        <w:pStyle w:val="4"/>
        <w:ind w:firstLine="482" w:firstLineChars="200"/>
      </w:pPr>
      <w:bookmarkStart w:id="131" w:name="_Toc28562"/>
      <w:r>
        <w:t>总体设计理念</w:t>
      </w:r>
      <w:bookmarkEnd w:id="131"/>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市政道路是城市化建设的一部分，当前的城市道路已经不再局限于交通运输，而是要在交通运输的基础上支持城市科学布局与合理规划，可以说市政道路的布局规划水平从整体上影响着市容市貌。因此，必须做好市政道路的布局规划工作，明确道路设计的基本要素，科学设计、合理规划，在满足交通运输需求的基础上，营造一个安全、和谐的市容环境。</w:t>
      </w:r>
    </w:p>
    <w:p>
      <w:pPr>
        <w:ind w:firstLine="562" w:firstLineChars="200"/>
        <w:jc w:val="cente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drawing>
          <wp:anchor distT="0" distB="0" distL="114300" distR="114300" simplePos="0" relativeHeight="251660288" behindDoc="0" locked="0" layoutInCell="1" allowOverlap="1">
            <wp:simplePos x="0" y="0"/>
            <wp:positionH relativeFrom="column">
              <wp:posOffset>3481070</wp:posOffset>
            </wp:positionH>
            <wp:positionV relativeFrom="paragraph">
              <wp:posOffset>62230</wp:posOffset>
            </wp:positionV>
            <wp:extent cx="1397000" cy="1268095"/>
            <wp:effectExtent l="0" t="0" r="0" b="8255"/>
            <wp:wrapNone/>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1397000" cy="1268095"/>
                    </a:xfrm>
                    <a:prstGeom prst="rect">
                      <a:avLst/>
                    </a:prstGeom>
                    <a:noFill/>
                  </pic:spPr>
                </pic:pic>
              </a:graphicData>
            </a:graphic>
          </wp:anchor>
        </w:drawing>
      </w:r>
      <w:r>
        <w:rPr>
          <w:rFonts w:ascii="Times New Roman" w:hAnsi="Times New Roman"/>
          <w:color w:val="000000" w:themeColor="text1"/>
          <w14:textFill>
            <w14:solidFill>
              <w14:schemeClr w14:val="tx1"/>
            </w14:solidFill>
          </w14:textFill>
        </w:rPr>
        <mc:AlternateContent>
          <mc:Choice Requires="wpc">
            <w:drawing>
              <wp:inline distT="0" distB="0" distL="114300" distR="114300">
                <wp:extent cx="3387725" cy="1290320"/>
                <wp:effectExtent l="0" t="0" r="0" b="0"/>
                <wp:docPr id="251" name="画布 5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47" name="文本框 59"/>
                        <wps:cNvSpPr txBox="1"/>
                        <wps:spPr>
                          <a:xfrm>
                            <a:off x="501650" y="340995"/>
                            <a:ext cx="772795" cy="327025"/>
                          </a:xfrm>
                          <a:prstGeom prst="rect">
                            <a:avLst/>
                          </a:prstGeom>
                          <a:noFill/>
                          <a:ln w="9525" cap="flat" cmpd="sng">
                            <a:solidFill>
                              <a:srgbClr val="FFFFFF"/>
                            </a:solidFill>
                            <a:prstDash val="solid"/>
                            <a:miter/>
                            <a:headEnd type="none" w="med" len="med"/>
                            <a:tailEnd type="none" w="med" len="med"/>
                          </a:ln>
                        </wps:spPr>
                        <wps:txbx>
                          <w:txbxContent>
                            <w:p>
                              <w:pPr>
                                <w:rPr>
                                  <w:rFonts w:ascii="Times New Roman" w:hAnsi="Times New Roman"/>
                                  <w:b w:val="0"/>
                                  <w:color w:val="595959"/>
                                  <w:sz w:val="24"/>
                                </w:rPr>
                              </w:pPr>
                              <w:r>
                                <w:rPr>
                                  <w:rFonts w:ascii="Times New Roman" w:hAnsi="Times New Roman"/>
                                  <w:color w:val="595959"/>
                                  <w:sz w:val="24"/>
                                </w:rPr>
                                <w:t>和谐发展</w:t>
                              </w:r>
                            </w:p>
                          </w:txbxContent>
                        </wps:txbx>
                        <wps:bodyPr lIns="0" tIns="0" rIns="0" bIns="0" upright="1"/>
                      </wps:wsp>
                      <wps:wsp>
                        <wps:cNvPr id="248" name="文本框 60"/>
                        <wps:cNvSpPr txBox="1"/>
                        <wps:spPr>
                          <a:xfrm>
                            <a:off x="262255" y="597535"/>
                            <a:ext cx="1682750" cy="327025"/>
                          </a:xfrm>
                          <a:prstGeom prst="rect">
                            <a:avLst/>
                          </a:prstGeom>
                          <a:noFill/>
                          <a:ln w="9525" cap="flat" cmpd="sng">
                            <a:solidFill>
                              <a:srgbClr val="FFFFFF"/>
                            </a:solidFill>
                            <a:prstDash val="solid"/>
                            <a:miter/>
                            <a:headEnd type="none" w="med" len="med"/>
                            <a:tailEnd type="none" w="med" len="med"/>
                          </a:ln>
                        </wps:spPr>
                        <wps:txbx>
                          <w:txbxContent>
                            <w:p>
                              <w:pPr>
                                <w:rPr>
                                  <w:rFonts w:ascii="Times New Roman" w:hAnsi="Times New Roman"/>
                                  <w:b w:val="0"/>
                                  <w:color w:val="009900"/>
                                  <w:sz w:val="24"/>
                                </w:rPr>
                              </w:pPr>
                              <w:r>
                                <w:rPr>
                                  <w:rFonts w:ascii="Times New Roman" w:hAnsi="Times New Roman"/>
                                  <w:color w:val="009900"/>
                                  <w:sz w:val="24"/>
                                </w:rPr>
                                <w:t>Healthy &amp; Harmony</w:t>
                              </w:r>
                            </w:p>
                          </w:txbxContent>
                        </wps:txbx>
                        <wps:bodyPr lIns="0" tIns="0" rIns="0" bIns="0" upright="1"/>
                      </wps:wsp>
                      <wps:wsp>
                        <wps:cNvPr id="249" name="文本框 61"/>
                        <wps:cNvSpPr txBox="1"/>
                        <wps:spPr>
                          <a:xfrm>
                            <a:off x="85725" y="891540"/>
                            <a:ext cx="2114550" cy="325120"/>
                          </a:xfrm>
                          <a:prstGeom prst="rect">
                            <a:avLst/>
                          </a:prstGeom>
                          <a:noFill/>
                          <a:ln>
                            <a:noFill/>
                          </a:ln>
                        </wps:spPr>
                        <wps:txbx>
                          <w:txbxContent>
                            <w:p>
                              <w:pPr>
                                <w:rPr>
                                  <w:rFonts w:ascii="Times New Roman" w:hAnsi="Times New Roman"/>
                                  <w:b w:val="0"/>
                                  <w:color w:val="595959"/>
                                  <w:sz w:val="24"/>
                                </w:rPr>
                              </w:pPr>
                              <w:r>
                                <w:rPr>
                                  <w:rFonts w:ascii="Times New Roman" w:hAnsi="Times New Roman"/>
                                  <w:color w:val="595959"/>
                                  <w:sz w:val="24"/>
                                </w:rPr>
                                <w:t>Sustainable Development</w:t>
                              </w:r>
                            </w:p>
                          </w:txbxContent>
                        </wps:txbx>
                        <wps:bodyPr lIns="0" tIns="0" rIns="0" bIns="0" upright="1"/>
                      </wps:wsp>
                      <wps:wsp>
                        <wps:cNvPr id="250" name="文本框 62"/>
                        <wps:cNvSpPr txBox="1"/>
                        <wps:spPr>
                          <a:xfrm>
                            <a:off x="345440" y="75565"/>
                            <a:ext cx="1324610" cy="265430"/>
                          </a:xfrm>
                          <a:prstGeom prst="rect">
                            <a:avLst/>
                          </a:prstGeom>
                          <a:noFill/>
                          <a:ln w="9525" cap="flat" cmpd="sng">
                            <a:solidFill>
                              <a:srgbClr val="FFFFFF"/>
                            </a:solidFill>
                            <a:prstDash val="solid"/>
                            <a:miter/>
                            <a:headEnd type="none" w="med" len="med"/>
                            <a:tailEnd type="none" w="med" len="med"/>
                          </a:ln>
                        </wps:spPr>
                        <wps:txbx>
                          <w:txbxContent>
                            <w:p>
                              <w:pPr>
                                <w:rPr>
                                  <w:rFonts w:ascii="Times New Roman" w:hAnsi="Times New Roman"/>
                                  <w:b w:val="0"/>
                                  <w:color w:val="0000FF"/>
                                  <w:sz w:val="24"/>
                                </w:rPr>
                              </w:pPr>
                              <w:r>
                                <w:rPr>
                                  <w:rFonts w:ascii="Times New Roman" w:hAnsi="Times New Roman"/>
                                  <w:color w:val="0000FF"/>
                                  <w:sz w:val="24"/>
                                </w:rPr>
                                <w:t>交通·人·环境</w:t>
                              </w:r>
                            </w:p>
                          </w:txbxContent>
                        </wps:txbx>
                        <wps:bodyPr lIns="0" tIns="0" rIns="0" bIns="0" upright="1"/>
                      </wps:wsp>
                    </wpc:wpc>
                  </a:graphicData>
                </a:graphic>
              </wp:inline>
            </w:drawing>
          </mc:Choice>
          <mc:Fallback>
            <w:pict>
              <v:group id="画布 58" o:spid="_x0000_s1026" o:spt="203" style="height:101.6pt;width:266.75pt;" coordsize="3387725,1290320" editas="canvas" o:gfxdata="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">
                <o:lock v:ext="edit" aspectratio="f"/>
                <v:shape id="画布 58" o:spid="_x0000_s1026" style="position:absolute;left:0;top:0;height:1290320;width:3387725;" filled="f" stroked="f" coordsize="21600,21600" o:gfxdata="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">
                  <v:fill on="f" focussize="0,0"/>
                  <v:stroke on="f"/>
                  <v:imagedata o:title=""/>
                  <o:lock v:ext="edit" aspectratio="t"/>
                </v:shape>
                <v:shape id="文本框 59" o:spid="_x0000_s1026" o:spt="202" type="#_x0000_t202" style="position:absolute;left:501650;top:340995;height:327025;width:772795;" filled="f" stroked="t" coordsize="21600,21600" o:gfxdata="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mII3QtcA&#10;AAAFAQAADwAAAAAAAAABACAAAAAiAAAAZHJzL2Rvd25yZXYueG1sUEsBAhQAFAAAAAgAh07iQDqY&#10;cTQgAgAAPQQAAA4AAAAAAAAAAQAgAAAAJgEAAGRycy9lMm9Eb2MueG1sUEsFBgAAAAAGAAYAWQEA&#10;ALgFAAAAAA==&#10;">
                  <v:fill on="f" focussize="0,0"/>
                  <v:stroke color="#FFFFFF" joinstyle="miter"/>
                  <v:imagedata o:title=""/>
                  <o:lock v:ext="edit" aspectratio="f"/>
                  <v:textbox inset="0mm,0mm,0mm,0mm">
                    <w:txbxContent>
                      <w:p>
                        <w:pPr>
                          <w:rPr>
                            <w:rFonts w:ascii="Times New Roman" w:hAnsi="Times New Roman"/>
                            <w:b w:val="0"/>
                            <w:color w:val="595959"/>
                            <w:sz w:val="24"/>
                          </w:rPr>
                        </w:pPr>
                        <w:r>
                          <w:rPr>
                            <w:rFonts w:ascii="Times New Roman" w:hAnsi="Times New Roman"/>
                            <w:color w:val="595959"/>
                            <w:sz w:val="24"/>
                          </w:rPr>
                          <w:t>和谐发展</w:t>
                        </w:r>
                      </w:p>
                    </w:txbxContent>
                  </v:textbox>
                </v:shape>
                <v:shape id="文本框 60" o:spid="_x0000_s1026" o:spt="202" type="#_x0000_t202" style="position:absolute;left:262255;top:597535;height:327025;width:1682750;" filled="f" stroked="t" coordsize="21600,21600" o:gfxdata="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iCN0LX&#10;AAAABQEAAA8AAAAAAAAAAQAgAAAAIgAAAGRycy9kb3ducmV2LnhtbFBLAQIUABQAAAAIAIdO4kD+&#10;x7naIQIAAD4EAAAOAAAAAAAAAAEAIAAAACYBAABkcnMvZTJvRG9jLnhtbFBLBQYAAAAABgAGAFkB&#10;AAC5BQAAAAA=&#10;">
                  <v:fill on="f" focussize="0,0"/>
                  <v:stroke color="#FFFFFF" joinstyle="miter"/>
                  <v:imagedata o:title=""/>
                  <o:lock v:ext="edit" aspectratio="f"/>
                  <v:textbox inset="0mm,0mm,0mm,0mm">
                    <w:txbxContent>
                      <w:p>
                        <w:pPr>
                          <w:rPr>
                            <w:rFonts w:ascii="Times New Roman" w:hAnsi="Times New Roman"/>
                            <w:b w:val="0"/>
                            <w:color w:val="009900"/>
                            <w:sz w:val="24"/>
                          </w:rPr>
                        </w:pPr>
                        <w:r>
                          <w:rPr>
                            <w:rFonts w:ascii="Times New Roman" w:hAnsi="Times New Roman"/>
                            <w:color w:val="009900"/>
                            <w:sz w:val="24"/>
                          </w:rPr>
                          <w:t>Healthy &amp; Harmony</w:t>
                        </w:r>
                      </w:p>
                    </w:txbxContent>
                  </v:textbox>
                </v:shape>
                <v:shape id="文本框 61" o:spid="_x0000_s1026" o:spt="202" type="#_x0000_t202" style="position:absolute;left:85725;top:891540;height:325120;width:2114550;" filled="f" stroked="f" coordsize="21600,21600" o:gfxdata="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LzYUe9UAAAAFAQAADwAAAAAAAAABACAAAAAiAAAAZHJzL2Rvd25yZXYu&#10;eG1sUEsBAhQAFAAAAAgAh07iQF9V1pTFAQAAfgMAAA4AAAAAAAAAAQAgAAAAJAEAAGRycy9lMm9E&#10;b2MueG1sUEsFBgAAAAAGAAYAWQEAAFsFAAAAAA==&#10;">
                  <v:fill on="f" focussize="0,0"/>
                  <v:stroke on="f"/>
                  <v:imagedata o:title=""/>
                  <o:lock v:ext="edit" aspectratio="f"/>
                  <v:textbox inset="0mm,0mm,0mm,0mm">
                    <w:txbxContent>
                      <w:p>
                        <w:pPr>
                          <w:rPr>
                            <w:rFonts w:ascii="Times New Roman" w:hAnsi="Times New Roman"/>
                            <w:b w:val="0"/>
                            <w:color w:val="595959"/>
                            <w:sz w:val="24"/>
                          </w:rPr>
                        </w:pPr>
                        <w:r>
                          <w:rPr>
                            <w:rFonts w:ascii="Times New Roman" w:hAnsi="Times New Roman"/>
                            <w:color w:val="595959"/>
                            <w:sz w:val="24"/>
                          </w:rPr>
                          <w:t>Sustainable Development</w:t>
                        </w:r>
                      </w:p>
                    </w:txbxContent>
                  </v:textbox>
                </v:shape>
                <v:shape id="文本框 62" o:spid="_x0000_s1026" o:spt="202" type="#_x0000_t202" style="position:absolute;left:345440;top:75565;height:265430;width:1324610;" filled="f" stroked="t" coordsize="21600,21600" o:gfxdata="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mII3QtcA&#10;AAAFAQAADwAAAAAAAAABACAAAAAiAAAAZHJzL2Rvd25yZXYueG1sUEsBAhQAFAAAAAgAh07iQHoD&#10;2xQgAgAAPQQAAA4AAAAAAAAAAQAgAAAAJgEAAGRycy9lMm9Eb2MueG1sUEsFBgAAAAAGAAYAWQEA&#10;ALgFAAAAAA==&#10;">
                  <v:fill on="f" focussize="0,0"/>
                  <v:stroke color="#FFFFFF" joinstyle="miter"/>
                  <v:imagedata o:title=""/>
                  <o:lock v:ext="edit" aspectratio="f"/>
                  <v:textbox inset="0mm,0mm,0mm,0mm">
                    <w:txbxContent>
                      <w:p>
                        <w:pPr>
                          <w:rPr>
                            <w:rFonts w:ascii="Times New Roman" w:hAnsi="Times New Roman"/>
                            <w:b w:val="0"/>
                            <w:color w:val="0000FF"/>
                            <w:sz w:val="24"/>
                          </w:rPr>
                        </w:pPr>
                        <w:r>
                          <w:rPr>
                            <w:rFonts w:ascii="Times New Roman" w:hAnsi="Times New Roman"/>
                            <w:color w:val="0000FF"/>
                            <w:sz w:val="24"/>
                          </w:rPr>
                          <w:t>交通·人·环境</w:t>
                        </w:r>
                      </w:p>
                    </w:txbxContent>
                  </v:textbox>
                </v:shape>
                <w10:wrap type="none"/>
                <w10:anchorlock/>
              </v:group>
            </w:pict>
          </mc:Fallback>
        </mc:AlternateContent>
      </w:r>
    </w:p>
    <w:p>
      <w:pPr>
        <w:spacing w:line="300" w:lineRule="auto"/>
        <w:ind w:firstLine="422" w:firstLineChars="200"/>
        <w:jc w:val="center"/>
        <w:rPr>
          <w:rFonts w:ascii="Times New Roman" w:hAnsi="Times New Roman"/>
          <w:color w:val="000000" w:themeColor="text1"/>
          <w:sz w:val="21"/>
          <w14:textFill>
            <w14:solidFill>
              <w14:schemeClr w14:val="tx1"/>
            </w14:solidFill>
          </w14:textFill>
        </w:rPr>
      </w:pPr>
      <w:r>
        <w:rPr>
          <w:rFonts w:ascii="Times New Roman" w:hAnsi="Times New Roman"/>
          <w:color w:val="000000" w:themeColor="text1"/>
          <w:sz w:val="21"/>
          <w14:textFill>
            <w14:solidFill>
              <w14:schemeClr w14:val="tx1"/>
            </w14:solidFill>
          </w14:textFill>
        </w:rPr>
        <w:t>人•交通•环境关系图</w:t>
      </w:r>
    </w:p>
    <w:p>
      <w:pPr>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本工程设计中应充分吸收国内外城市道路及配套设施工程建设的经验和教训，以人为本，交通功能优先，妥善处理好道路建设与城市环境、居民日常出行的关系；在符合南沙新区城市路网布局、交通和经济协调发展的前期下，重点研究路网衔接、交通适应性，使本工程的建设方案有利于城市交通的集散和疏解，有利于均衡路网流量，有利于发挥路网整体运行效率，有利于地区规划的开发和协调，注重环境与交通的协调，坚持可持续发展战略方针，为社会经济发展提供有利保障。</w:t>
      </w:r>
      <w:r>
        <w:rPr>
          <w:rFonts w:ascii="Times New Roman" w:hAnsi="Times New Roman"/>
          <w:b w:val="0"/>
          <w:color w:val="000000" w:themeColor="text1"/>
          <w:sz w:val="24"/>
          <w:szCs w:val="24"/>
          <w14:textFill>
            <w14:solidFill>
              <w14:schemeClr w14:val="tx1"/>
            </w14:solidFill>
          </w14:textFill>
        </w:rPr>
        <w:t>通过本工程的建设，希望创建一条“人•交通•环境”和谐发展的城市道路，在设计中强调“人•交通•环境”三者相的和谐统一，实现以人为本、功能完善、环境友好、节能环保的四大发展目标。</w:t>
      </w:r>
    </w:p>
    <w:p>
      <w:pPr>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通过立体叠合的交通组织、主次分明的功能定位、层次丰富的景观空间、生态宜人的环境品质的综合整合设计，实现了以人为本、功能完善、环境友好，实现了与南沙城市总规、城市路网、人文地理的有机融合，它将成为促进南沙飞跃发展的希望之路、景观之路、和谐之路。</w:t>
      </w:r>
    </w:p>
    <w:p>
      <w:pPr>
        <w:spacing w:line="360" w:lineRule="auto"/>
        <w:ind w:firstLine="562" w:firstLineChars="200"/>
        <w:jc w:val="cente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mc:AlternateContent>
          <mc:Choice Requires="wpc">
            <w:drawing>
              <wp:inline distT="0" distB="0" distL="114300" distR="114300">
                <wp:extent cx="5899150" cy="3864610"/>
                <wp:effectExtent l="0" t="0" r="25400" b="21590"/>
                <wp:docPr id="276" name="画布 6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259" name="图片 64"/>
                          <pic:cNvPicPr>
                            <a:picLocks noChangeAspect="1"/>
                          </pic:cNvPicPr>
                        </pic:nvPicPr>
                        <pic:blipFill>
                          <a:blip r:embed="rId119"/>
                          <a:stretch>
                            <a:fillRect/>
                          </a:stretch>
                        </pic:blipFill>
                        <pic:spPr>
                          <a:xfrm>
                            <a:off x="2287270" y="1389380"/>
                            <a:ext cx="1396365" cy="1268730"/>
                          </a:xfrm>
                          <a:prstGeom prst="rect">
                            <a:avLst/>
                          </a:prstGeom>
                          <a:noFill/>
                          <a:ln>
                            <a:noFill/>
                          </a:ln>
                        </pic:spPr>
                      </pic:pic>
                      <wps:wsp>
                        <wps:cNvPr id="260" name="自选图形 65"/>
                        <wps:cNvSpPr/>
                        <wps:spPr>
                          <a:xfrm>
                            <a:off x="1411605" y="1569085"/>
                            <a:ext cx="829310" cy="812800"/>
                          </a:xfrm>
                          <a:prstGeom prst="flowChartConnector">
                            <a:avLst/>
                          </a:prstGeom>
                          <a:noFill/>
                          <a:ln w="25400" cap="flat" cmpd="sng">
                            <a:solidFill>
                              <a:srgbClr val="0000FF"/>
                            </a:solidFill>
                            <a:prstDash val="solid"/>
                            <a:headEnd type="none" w="med" len="med"/>
                            <a:tailEnd type="none" w="med" len="med"/>
                          </a:ln>
                        </wps:spPr>
                        <wps:txbx>
                          <w:txbxContent>
                            <w:p>
                              <w:pPr>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功能</w:t>
                              </w:r>
                            </w:p>
                            <w:p>
                              <w:pPr>
                                <w:jc w:val="center"/>
                                <w:rPr>
                                  <w:b w:val="0"/>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完善</w:t>
                              </w:r>
                            </w:p>
                          </w:txbxContent>
                        </wps:txbx>
                        <wps:bodyPr lIns="0" tIns="0" rIns="0" bIns="0" upright="1"/>
                      </wps:wsp>
                      <wps:wsp>
                        <wps:cNvPr id="264" name="自选图形 66"/>
                        <wps:cNvSpPr/>
                        <wps:spPr>
                          <a:xfrm>
                            <a:off x="3723005" y="1568450"/>
                            <a:ext cx="828675" cy="813435"/>
                          </a:xfrm>
                          <a:prstGeom prst="flowChartConnector">
                            <a:avLst/>
                          </a:prstGeom>
                          <a:noFill/>
                          <a:ln w="25400" cap="flat" cmpd="sng">
                            <a:solidFill>
                              <a:srgbClr val="009900"/>
                            </a:solidFill>
                            <a:prstDash val="solid"/>
                            <a:headEnd type="none" w="med" len="med"/>
                            <a:tailEnd type="none" w="med" len="med"/>
                          </a:ln>
                        </wps:spPr>
                        <wps:txbx>
                          <w:txbxContent>
                            <w:p>
                              <w:pPr>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环境</w:t>
                              </w:r>
                            </w:p>
                            <w:p>
                              <w:pPr>
                                <w:jc w:val="center"/>
                                <w:rPr>
                                  <w:b w:val="0"/>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友好</w:t>
                              </w:r>
                            </w:p>
                          </w:txbxContent>
                        </wps:txbx>
                        <wps:bodyPr lIns="0" tIns="0" rIns="0" bIns="0" upright="1"/>
                      </wps:wsp>
                      <wps:wsp>
                        <wps:cNvPr id="265" name="自选图形 67"/>
                        <wps:cNvSpPr/>
                        <wps:spPr>
                          <a:xfrm>
                            <a:off x="2537460" y="445770"/>
                            <a:ext cx="828675" cy="812165"/>
                          </a:xfrm>
                          <a:prstGeom prst="flowChartConnector">
                            <a:avLst/>
                          </a:prstGeom>
                          <a:noFill/>
                          <a:ln w="25400" cap="flat" cmpd="sng">
                            <a:solidFill>
                              <a:srgbClr val="31849B"/>
                            </a:solidFill>
                            <a:prstDash val="solid"/>
                            <a:headEnd type="none" w="med" len="med"/>
                            <a:tailEnd type="none" w="med" len="med"/>
                          </a:ln>
                        </wps:spPr>
                        <wps:txbx>
                          <w:txbxContent>
                            <w:p>
                              <w:pPr>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以人</w:t>
                              </w:r>
                            </w:p>
                            <w:p>
                              <w:pPr>
                                <w:jc w:val="center"/>
                                <w:rPr>
                                  <w:b w:val="0"/>
                                  <w:sz w:val="24"/>
                                </w:rPr>
                              </w:pPr>
                              <w:r>
                                <w:rPr>
                                  <w:rFonts w:hint="eastAsia"/>
                                  <w:color w:val="000000" w:themeColor="text1"/>
                                  <w:sz w:val="24"/>
                                  <w14:textFill>
                                    <w14:solidFill>
                                      <w14:schemeClr w14:val="tx1"/>
                                    </w14:solidFill>
                                  </w14:textFill>
                                </w:rPr>
                                <w:t>为本</w:t>
                              </w:r>
                            </w:p>
                          </w:txbxContent>
                        </wps:txbx>
                        <wps:bodyPr lIns="0" tIns="0" rIns="0" bIns="0" upright="1"/>
                      </wps:wsp>
                      <wps:wsp>
                        <wps:cNvPr id="266" name="自选图形 68"/>
                        <wps:cNvSpPr/>
                        <wps:spPr>
                          <a:xfrm>
                            <a:off x="2555240" y="2694305"/>
                            <a:ext cx="828675" cy="813435"/>
                          </a:xfrm>
                          <a:prstGeom prst="flowChartConnector">
                            <a:avLst/>
                          </a:prstGeom>
                          <a:noFill/>
                          <a:ln w="25400" cap="flat" cmpd="sng">
                            <a:solidFill>
                              <a:srgbClr val="FF00FF"/>
                            </a:solidFill>
                            <a:prstDash val="solid"/>
                            <a:headEnd type="none" w="med" len="med"/>
                            <a:tailEnd type="none" w="med" len="med"/>
                          </a:ln>
                        </wps:spPr>
                        <wps:txbx>
                          <w:txbxContent>
                            <w:p>
                              <w:pPr>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节能</w:t>
                              </w:r>
                            </w:p>
                            <w:p>
                              <w:pPr>
                                <w:jc w:val="center"/>
                                <w:rPr>
                                  <w:b w:val="0"/>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环保</w:t>
                              </w:r>
                            </w:p>
                          </w:txbxContent>
                        </wps:txbx>
                        <wps:bodyPr lIns="0" tIns="0" rIns="0" bIns="0" upright="1"/>
                      </wps:wsp>
                      <wps:wsp>
                        <wps:cNvPr id="268" name="自选图形 69"/>
                        <wps:cNvSpPr/>
                        <wps:spPr>
                          <a:xfrm>
                            <a:off x="2406650" y="97155"/>
                            <a:ext cx="1149985" cy="319405"/>
                          </a:xfrm>
                          <a:prstGeom prst="flowChartProcess">
                            <a:avLst/>
                          </a:prstGeom>
                          <a:noFill/>
                          <a:ln w="25400" cap="flat" cmpd="sng">
                            <a:solidFill>
                              <a:srgbClr val="31849B"/>
                            </a:solidFill>
                            <a:prstDash val="sysDot"/>
                            <a:miter/>
                            <a:headEnd type="none" w="med" len="med"/>
                            <a:tailEnd type="none" w="med" len="med"/>
                          </a:ln>
                        </wps:spPr>
                        <wps:txbx>
                          <w:txbxContent>
                            <w:p>
                              <w:pPr>
                                <w:jc w:val="center"/>
                                <w:rPr>
                                  <w:b w:val="0"/>
                                  <w:szCs w:val="21"/>
                                </w:rPr>
                              </w:pPr>
                              <w:r>
                                <w:rPr>
                                  <w:rFonts w:hint="eastAsia"/>
                                  <w:color w:val="000000" w:themeColor="text1"/>
                                  <w:sz w:val="24"/>
                                  <w:szCs w:val="21"/>
                                  <w14:textFill>
                                    <w14:solidFill>
                                      <w14:schemeClr w14:val="tx1"/>
                                    </w14:solidFill>
                                  </w14:textFill>
                                </w:rPr>
                                <w:t>立体叠合的交通</w:t>
                              </w:r>
                              <w:r>
                                <w:rPr>
                                  <w:rFonts w:hint="eastAsia"/>
                                  <w:szCs w:val="21"/>
                                </w:rPr>
                                <w:t>织</w:t>
                              </w:r>
                            </w:p>
                          </w:txbxContent>
                        </wps:txbx>
                        <wps:bodyPr lIns="0" tIns="36000" rIns="0" bIns="0" upright="1"/>
                      </wps:wsp>
                      <wps:wsp>
                        <wps:cNvPr id="269" name="自选图形 70"/>
                        <wps:cNvSpPr/>
                        <wps:spPr>
                          <a:xfrm>
                            <a:off x="2341880" y="3545205"/>
                            <a:ext cx="1267460" cy="319405"/>
                          </a:xfrm>
                          <a:prstGeom prst="flowChartProcess">
                            <a:avLst/>
                          </a:prstGeom>
                          <a:noFill/>
                          <a:ln w="25400" cap="flat" cmpd="sng">
                            <a:solidFill>
                              <a:srgbClr val="FF00FF"/>
                            </a:solidFill>
                            <a:prstDash val="sysDot"/>
                            <a:miter/>
                            <a:headEnd type="none" w="med" len="med"/>
                            <a:tailEnd type="none" w="med" len="med"/>
                          </a:ln>
                        </wps:spPr>
                        <wps:txbx>
                          <w:txbxContent>
                            <w:p>
                              <w:pPr>
                                <w:jc w:val="center"/>
                                <w:rPr>
                                  <w:b w:val="0"/>
                                  <w:szCs w:val="21"/>
                                </w:rPr>
                              </w:pPr>
                              <w:r>
                                <w:rPr>
                                  <w:rFonts w:hint="eastAsia"/>
                                  <w:color w:val="000000" w:themeColor="text1"/>
                                  <w:sz w:val="24"/>
                                  <w:szCs w:val="21"/>
                                  <w14:textFill>
                                    <w14:solidFill>
                                      <w14:schemeClr w14:val="tx1"/>
                                    </w14:solidFill>
                                  </w14:textFill>
                                </w:rPr>
                                <w:t>生态节能的环保</w:t>
                              </w:r>
                              <w:r>
                                <w:rPr>
                                  <w:rFonts w:hint="eastAsia"/>
                                  <w:szCs w:val="21"/>
                                </w:rPr>
                                <w:t>设计</w:t>
                              </w:r>
                            </w:p>
                          </w:txbxContent>
                        </wps:txbx>
                        <wps:bodyPr lIns="0" tIns="36000" rIns="0" bIns="0" upright="1"/>
                      </wps:wsp>
                      <wps:wsp>
                        <wps:cNvPr id="270" name="自选图形 71"/>
                        <wps:cNvSpPr/>
                        <wps:spPr>
                          <a:xfrm>
                            <a:off x="63500" y="1837055"/>
                            <a:ext cx="1216025" cy="319405"/>
                          </a:xfrm>
                          <a:prstGeom prst="flowChartProcess">
                            <a:avLst/>
                          </a:prstGeom>
                          <a:noFill/>
                          <a:ln w="25400" cap="flat" cmpd="sng">
                            <a:solidFill>
                              <a:srgbClr val="0000FF"/>
                            </a:solidFill>
                            <a:prstDash val="sysDot"/>
                            <a:miter/>
                            <a:headEnd type="none" w="med" len="med"/>
                            <a:tailEnd type="none" w="med" len="med"/>
                          </a:ln>
                        </wps:spPr>
                        <wps:txbx>
                          <w:txbxContent>
                            <w:p>
                              <w:pPr>
                                <w:jc w:val="center"/>
                                <w:rPr>
                                  <w:b w:val="0"/>
                                  <w:szCs w:val="21"/>
                                </w:rPr>
                              </w:pPr>
                              <w:r>
                                <w:rPr>
                                  <w:rFonts w:hint="eastAsia"/>
                                  <w:color w:val="000000" w:themeColor="text1"/>
                                  <w:sz w:val="24"/>
                                  <w:szCs w:val="21"/>
                                  <w14:textFill>
                                    <w14:solidFill>
                                      <w14:schemeClr w14:val="tx1"/>
                                    </w14:solidFill>
                                  </w14:textFill>
                                </w:rPr>
                                <w:t>主次分明的功能</w:t>
                              </w:r>
                              <w:r>
                                <w:rPr>
                                  <w:rFonts w:hint="eastAsia"/>
                                  <w:szCs w:val="21"/>
                                </w:rPr>
                                <w:t>定位</w:t>
                              </w:r>
                            </w:p>
                          </w:txbxContent>
                        </wps:txbx>
                        <wps:bodyPr lIns="0" tIns="36000" rIns="0" bIns="0" upright="1"/>
                      </wps:wsp>
                      <wps:wsp>
                        <wps:cNvPr id="271" name="自选图形 72"/>
                        <wps:cNvSpPr/>
                        <wps:spPr>
                          <a:xfrm>
                            <a:off x="4690110" y="1838960"/>
                            <a:ext cx="1209040" cy="319405"/>
                          </a:xfrm>
                          <a:prstGeom prst="flowChartProcess">
                            <a:avLst/>
                          </a:prstGeom>
                          <a:noFill/>
                          <a:ln w="25400" cap="flat" cmpd="sng">
                            <a:solidFill>
                              <a:srgbClr val="009900"/>
                            </a:solidFill>
                            <a:prstDash val="sysDot"/>
                            <a:miter/>
                            <a:headEnd type="none" w="med" len="med"/>
                            <a:tailEnd type="none" w="med" len="med"/>
                          </a:ln>
                        </wps:spPr>
                        <wps:txbx>
                          <w:txbxContent>
                            <w:p>
                              <w:pPr>
                                <w:jc w:val="center"/>
                                <w:rPr>
                                  <w:b w:val="0"/>
                                  <w:sz w:val="24"/>
                                  <w:szCs w:val="21"/>
                                </w:rPr>
                              </w:pPr>
                              <w:r>
                                <w:rPr>
                                  <w:rFonts w:hint="eastAsia"/>
                                  <w:color w:val="000000" w:themeColor="text1"/>
                                  <w:sz w:val="24"/>
                                  <w:szCs w:val="21"/>
                                  <w14:textFill>
                                    <w14:solidFill>
                                      <w14:schemeClr w14:val="tx1"/>
                                    </w14:solidFill>
                                  </w14:textFill>
                                </w:rPr>
                                <w:t>层次丰富的景观</w:t>
                              </w:r>
                              <w:r>
                                <w:rPr>
                                  <w:rFonts w:hint="eastAsia"/>
                                  <w:sz w:val="24"/>
                                  <w:szCs w:val="21"/>
                                </w:rPr>
                                <w:t>空间</w:t>
                              </w:r>
                            </w:p>
                          </w:txbxContent>
                        </wps:txbx>
                        <wps:bodyPr lIns="0" tIns="36000" rIns="0" bIns="0" upright="1"/>
                      </wps:wsp>
                      <wps:wsp>
                        <wps:cNvPr id="272" name="自选图形 73"/>
                        <wps:cNvCnPr/>
                        <wps:spPr>
                          <a:xfrm>
                            <a:off x="2240915" y="2028825"/>
                            <a:ext cx="189230" cy="635"/>
                          </a:xfrm>
                          <a:prstGeom prst="straightConnector1">
                            <a:avLst/>
                          </a:prstGeom>
                          <a:ln w="25400" cap="flat" cmpd="sng">
                            <a:solidFill>
                              <a:srgbClr val="0000FF"/>
                            </a:solidFill>
                            <a:prstDash val="solid"/>
                            <a:headEnd type="none" w="med" len="med"/>
                            <a:tailEnd type="none" w="med" len="med"/>
                          </a:ln>
                        </wps:spPr>
                        <wps:bodyPr/>
                      </wps:wsp>
                      <wps:wsp>
                        <wps:cNvPr id="273" name="自选图形 74"/>
                        <wps:cNvCnPr/>
                        <wps:spPr>
                          <a:xfrm>
                            <a:off x="3533775" y="2028190"/>
                            <a:ext cx="189230" cy="635"/>
                          </a:xfrm>
                          <a:prstGeom prst="straightConnector1">
                            <a:avLst/>
                          </a:prstGeom>
                          <a:ln w="25400" cap="flat" cmpd="sng">
                            <a:solidFill>
                              <a:srgbClr val="009900"/>
                            </a:solidFill>
                            <a:prstDash val="solid"/>
                            <a:headEnd type="none" w="med" len="med"/>
                            <a:tailEnd type="none" w="med" len="med"/>
                          </a:ln>
                        </wps:spPr>
                        <wps:bodyPr/>
                      </wps:wsp>
                      <wps:wsp>
                        <wps:cNvPr id="274" name="自选图形 75"/>
                        <wps:cNvCnPr/>
                        <wps:spPr>
                          <a:xfrm>
                            <a:off x="2957195" y="1257935"/>
                            <a:ext cx="635" cy="175260"/>
                          </a:xfrm>
                          <a:prstGeom prst="straightConnector1">
                            <a:avLst/>
                          </a:prstGeom>
                          <a:ln w="25400" cap="flat" cmpd="sng">
                            <a:solidFill>
                              <a:srgbClr val="0070C0"/>
                            </a:solidFill>
                            <a:prstDash val="solid"/>
                            <a:headEnd type="none" w="med" len="med"/>
                            <a:tailEnd type="none" w="med" len="med"/>
                          </a:ln>
                        </wps:spPr>
                        <wps:bodyPr/>
                      </wps:wsp>
                      <wps:wsp>
                        <wps:cNvPr id="275" name="自选图形 76"/>
                        <wps:cNvCnPr/>
                        <wps:spPr>
                          <a:xfrm>
                            <a:off x="2956560" y="2509520"/>
                            <a:ext cx="635" cy="175260"/>
                          </a:xfrm>
                          <a:prstGeom prst="straightConnector1">
                            <a:avLst/>
                          </a:prstGeom>
                          <a:ln w="25400" cap="flat" cmpd="sng">
                            <a:solidFill>
                              <a:srgbClr val="FF00FF"/>
                            </a:solidFill>
                            <a:prstDash val="solid"/>
                            <a:headEnd type="none" w="med" len="med"/>
                            <a:tailEnd type="none" w="med" len="med"/>
                          </a:ln>
                        </wps:spPr>
                        <wps:bodyPr/>
                      </wps:wsp>
                    </wpc:wpc>
                  </a:graphicData>
                </a:graphic>
              </wp:inline>
            </w:drawing>
          </mc:Choice>
          <mc:Fallback>
            <w:pict>
              <v:group id="画布 63" o:spid="_x0000_s1026" o:spt="203" style="height:304.3pt;width:464.5pt;" coordsize="5899150,3864610" editas="canvas" o:gfxdata="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">
                <o:lock v:ext="edit" aspectratio="f"/>
                <v:shape id="画布 63" o:spid="_x0000_s1026" style="position:absolute;left:0;top:0;height:3864610;width:5899150;" filled="f" stroked="f" coordsize="21600,21600" o:gfxdata="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">
                  <v:fill on="f" focussize="0,0"/>
                  <v:stroke on="f"/>
                  <v:imagedata o:title=""/>
                  <o:lock v:ext="edit" aspectratio="t"/>
                </v:shape>
                <v:shape id="图片 64" o:spid="_x0000_s1026" o:spt="75" type="#_x0000_t75" style="position:absolute;left:2287270;top:1389380;height:1268730;width:1396365;" filled="f" o:preferrelative="t" stroked="f" coordsize="21600,21600" o:gfxdata="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">
                  <v:fill on="f" focussize="0,0"/>
                  <v:stroke on="f"/>
                  <v:imagedata r:id="rId119" o:title=""/>
                  <o:lock v:ext="edit" aspectratio="t"/>
                </v:shape>
                <v:shape id="自选图形 65" o:spid="_x0000_s1026" o:spt="120" type="#_x0000_t120" style="position:absolute;left:1411605;top:1569085;height:812800;width:829310;" filled="f" stroked="t" coordsize="21600,21600" o:gfxdata="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8S5xstUAAAAFAQAADwAAAAAAAAABACAAAAAiAAAAZHJzL2Rvd25yZXYueG1sUEsBAhQAFAAA&#10;AAgAh07iQOEFGd8rAgAAPQQAAA4AAAAAAAAAAQAgAAAAJAEAAGRycy9lMm9Eb2MueG1sUEsFBgAA&#10;AAAGAAYAWQEAAMEFAAAAAA==&#10;">
                  <v:fill on="f" focussize="0,0"/>
                  <v:stroke weight="2pt" color="#0000FF" joinstyle="round"/>
                  <v:imagedata o:title=""/>
                  <o:lock v:ext="edit" aspectratio="f"/>
                  <v:textbox inset="0mm,0mm,0mm,0mm">
                    <w:txbxContent>
                      <w:p>
                        <w:pPr>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功能</w:t>
                        </w:r>
                      </w:p>
                      <w:p>
                        <w:pPr>
                          <w:jc w:val="center"/>
                          <w:rPr>
                            <w:b w:val="0"/>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完善</w:t>
                        </w:r>
                      </w:p>
                    </w:txbxContent>
                  </v:textbox>
                </v:shape>
                <v:shape id="自选图形 66" o:spid="_x0000_s1026" o:spt="120" type="#_x0000_t120" style="position:absolute;left:3723005;top:1568450;height:813435;width:828675;" filled="f" stroked="t" coordsize="21600,21600" o:gfxdata="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PSup9jUAAAABQEAAA8AAAAAAAAAAQAgAAAAIgAAAGRycy9kb3ducmV2LnhtbFBLAQIUABQA&#10;AAAIAIdO4kDcKek6LQIAAD0EAAAOAAAAAAAAAAEAIAAAACMBAABkcnMvZTJvRG9jLnhtbFBLBQYA&#10;AAAABgAGAFkBAADCBQAAAAA=&#10;">
                  <v:fill on="f" focussize="0,0"/>
                  <v:stroke weight="2pt" color="#009900" joinstyle="round"/>
                  <v:imagedata o:title=""/>
                  <o:lock v:ext="edit" aspectratio="f"/>
                  <v:textbox inset="0mm,0mm,0mm,0mm">
                    <w:txbxContent>
                      <w:p>
                        <w:pPr>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环境</w:t>
                        </w:r>
                      </w:p>
                      <w:p>
                        <w:pPr>
                          <w:jc w:val="center"/>
                          <w:rPr>
                            <w:b w:val="0"/>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友好</w:t>
                        </w:r>
                      </w:p>
                    </w:txbxContent>
                  </v:textbox>
                </v:shape>
                <v:shape id="自选图形 67" o:spid="_x0000_s1026" o:spt="120" type="#_x0000_t120" style="position:absolute;left:2537460;top:445770;height:812165;width:828675;" filled="f" stroked="t" coordsize="21600,21600" o:gfxdata="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PVqsOTSAAAABQEAAA8AAAAAAAAAAQAgAAAAIgAAAGRycy9kb3ducmV2LnhtbFBLAQIUABQAAAAI&#10;AIdO4kAWpQtmLAIAADwEAAAOAAAAAAAAAAEAIAAAACEBAABkcnMvZTJvRG9jLnhtbFBLBQYAAAAA&#10;BgAGAFkBAAC/BQAAAAA=&#10;">
                  <v:fill on="f" focussize="0,0"/>
                  <v:stroke weight="2pt" color="#31849B" joinstyle="round"/>
                  <v:imagedata o:title=""/>
                  <o:lock v:ext="edit" aspectratio="f"/>
                  <v:textbox inset="0mm,0mm,0mm,0mm">
                    <w:txbxContent>
                      <w:p>
                        <w:pPr>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以人</w:t>
                        </w:r>
                      </w:p>
                      <w:p>
                        <w:pPr>
                          <w:jc w:val="center"/>
                          <w:rPr>
                            <w:b w:val="0"/>
                            <w:sz w:val="24"/>
                          </w:rPr>
                        </w:pPr>
                        <w:r>
                          <w:rPr>
                            <w:rFonts w:hint="eastAsia"/>
                            <w:color w:val="000000" w:themeColor="text1"/>
                            <w:sz w:val="24"/>
                            <w14:textFill>
                              <w14:solidFill>
                                <w14:schemeClr w14:val="tx1"/>
                              </w14:solidFill>
                            </w14:textFill>
                          </w:rPr>
                          <w:t>为本</w:t>
                        </w:r>
                      </w:p>
                    </w:txbxContent>
                  </v:textbox>
                </v:shape>
                <v:shape id="自选图形 68" o:spid="_x0000_s1026" o:spt="120" type="#_x0000_t120" style="position:absolute;left:2555240;top:2694305;height:813435;width:828675;" filled="f" stroked="t" coordsize="21600,21600" o:gfxdata="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NqaxlHUAAAABQEAAA8AAAAAAAAAAQAgAAAAIgAAAGRycy9kb3ducmV2LnhtbFBLAQIUABQAAAAI&#10;AIdO4kAlQN3kKgIAAD0EAAAOAAAAAAAAAAEAIAAAACMBAABkcnMvZTJvRG9jLnhtbFBLBQYAAAAA&#10;BgAGAFkBAAC/BQAAAAA=&#10;">
                  <v:fill on="f" focussize="0,0"/>
                  <v:stroke weight="2pt" color="#FF00FF" joinstyle="round"/>
                  <v:imagedata o:title=""/>
                  <o:lock v:ext="edit" aspectratio="f"/>
                  <v:textbox inset="0mm,0mm,0mm,0mm">
                    <w:txbxContent>
                      <w:p>
                        <w:pPr>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节能</w:t>
                        </w:r>
                      </w:p>
                      <w:p>
                        <w:pPr>
                          <w:jc w:val="center"/>
                          <w:rPr>
                            <w:b w:val="0"/>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环保</w:t>
                        </w:r>
                      </w:p>
                    </w:txbxContent>
                  </v:textbox>
                </v:shape>
                <v:shape id="自选图形 69" o:spid="_x0000_s1026" o:spt="109" type="#_x0000_t109" style="position:absolute;left:2406650;top:97155;height:319405;width:1149985;" filled="f" stroked="t" coordsize="21600,21600" o:gfxdata="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SxLtdtQAAAAFAQAADwAAAAAAAAABACAAAAAiAAAAZHJzL2Rvd25yZXYu&#10;eG1sUEsBAhQAFAAAAAgAh07iQH66fS84AgAASQQAAA4AAAAAAAAAAQAgAAAAIwEAAGRycy9lMm9E&#10;b2MueG1sUEsFBgAAAAAGAAYAWQEAAM0FAAAAAA==&#10;">
                  <v:fill on="f" focussize="0,0"/>
                  <v:stroke weight="2pt" color="#31849B" joinstyle="miter" dashstyle="1 1"/>
                  <v:imagedata o:title=""/>
                  <o:lock v:ext="edit" aspectratio="f"/>
                  <v:textbox inset="0mm,1mm,0mm,0mm">
                    <w:txbxContent>
                      <w:p>
                        <w:pPr>
                          <w:jc w:val="center"/>
                          <w:rPr>
                            <w:b w:val="0"/>
                            <w:szCs w:val="21"/>
                          </w:rPr>
                        </w:pPr>
                        <w:r>
                          <w:rPr>
                            <w:rFonts w:hint="eastAsia"/>
                            <w:color w:val="000000" w:themeColor="text1"/>
                            <w:sz w:val="24"/>
                            <w:szCs w:val="21"/>
                            <w14:textFill>
                              <w14:solidFill>
                                <w14:schemeClr w14:val="tx1"/>
                              </w14:solidFill>
                            </w14:textFill>
                          </w:rPr>
                          <w:t>立体叠合的交通</w:t>
                        </w:r>
                        <w:r>
                          <w:rPr>
                            <w:rFonts w:hint="eastAsia"/>
                            <w:szCs w:val="21"/>
                          </w:rPr>
                          <w:t>织</w:t>
                        </w:r>
                      </w:p>
                    </w:txbxContent>
                  </v:textbox>
                </v:shape>
                <v:shape id="自选图形 70" o:spid="_x0000_s1026" o:spt="109" type="#_x0000_t109" style="position:absolute;left:2341880;top:3545205;height:319405;width:1267460;" filled="f" stroked="t" coordsize="21600,21600" o:gfxdata="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CSLS/vSAAAABQEAAA8AAAAAAAAAAQAgAAAAIgAAAGRycy9kb3ducmV2LnhtbFBL&#10;AQIUABQAAAAIAIdO4kBveCsNNQIAAEsEAAAOAAAAAAAAAAEAIAAAACEBAABkcnMvZTJvRG9jLnht&#10;bFBLBQYAAAAABgAGAFkBAADIBQAAAAA=&#10;">
                  <v:fill on="f" focussize="0,0"/>
                  <v:stroke weight="2pt" color="#FF00FF" joinstyle="miter" dashstyle="1 1"/>
                  <v:imagedata o:title=""/>
                  <o:lock v:ext="edit" aspectratio="f"/>
                  <v:textbox inset="0mm,1mm,0mm,0mm">
                    <w:txbxContent>
                      <w:p>
                        <w:pPr>
                          <w:jc w:val="center"/>
                          <w:rPr>
                            <w:b w:val="0"/>
                            <w:szCs w:val="21"/>
                          </w:rPr>
                        </w:pPr>
                        <w:r>
                          <w:rPr>
                            <w:rFonts w:hint="eastAsia"/>
                            <w:color w:val="000000" w:themeColor="text1"/>
                            <w:sz w:val="24"/>
                            <w:szCs w:val="21"/>
                            <w14:textFill>
                              <w14:solidFill>
                                <w14:schemeClr w14:val="tx1"/>
                              </w14:solidFill>
                            </w14:textFill>
                          </w:rPr>
                          <w:t>生态节能的环保</w:t>
                        </w:r>
                        <w:r>
                          <w:rPr>
                            <w:rFonts w:hint="eastAsia"/>
                            <w:szCs w:val="21"/>
                          </w:rPr>
                          <w:t>设计</w:t>
                        </w:r>
                      </w:p>
                    </w:txbxContent>
                  </v:textbox>
                </v:shape>
                <v:shape id="自选图形 71" o:spid="_x0000_s1026" o:spt="109" type="#_x0000_t109" style="position:absolute;left:63500;top:1837055;height:319405;width:1216025;" filled="f" stroked="t" coordsize="21600,21600" o:gfxdata="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EvWSSHUAAAABQEAAA8AAAAAAAAAAQAgAAAAIgAAAGRycy9kb3ducmV2Lnht&#10;bFBLAQIUABQAAAAIAIdO4kDV7AXdNgIAAEkEAAAOAAAAAAAAAAEAIAAAACMBAABkcnMvZTJvRG9j&#10;LnhtbFBLBQYAAAAABgAGAFkBAADLBQAAAAA=&#10;">
                  <v:fill on="f" focussize="0,0"/>
                  <v:stroke weight="2pt" color="#0000FF" joinstyle="miter" dashstyle="1 1"/>
                  <v:imagedata o:title=""/>
                  <o:lock v:ext="edit" aspectratio="f"/>
                  <v:textbox inset="0mm,1mm,0mm,0mm">
                    <w:txbxContent>
                      <w:p>
                        <w:pPr>
                          <w:jc w:val="center"/>
                          <w:rPr>
                            <w:b w:val="0"/>
                            <w:szCs w:val="21"/>
                          </w:rPr>
                        </w:pPr>
                        <w:r>
                          <w:rPr>
                            <w:rFonts w:hint="eastAsia"/>
                            <w:color w:val="000000" w:themeColor="text1"/>
                            <w:sz w:val="24"/>
                            <w:szCs w:val="21"/>
                            <w14:textFill>
                              <w14:solidFill>
                                <w14:schemeClr w14:val="tx1"/>
                              </w14:solidFill>
                            </w14:textFill>
                          </w:rPr>
                          <w:t>主次分明的功能</w:t>
                        </w:r>
                        <w:r>
                          <w:rPr>
                            <w:rFonts w:hint="eastAsia"/>
                            <w:szCs w:val="21"/>
                          </w:rPr>
                          <w:t>定位</w:t>
                        </w:r>
                      </w:p>
                    </w:txbxContent>
                  </v:textbox>
                </v:shape>
                <v:shape id="自选图形 72" o:spid="_x0000_s1026" o:spt="109" type="#_x0000_t109" style="position:absolute;left:4690110;top:1838960;height:319405;width:1209040;" filled="f" stroked="t" coordsize="21600,21600" o:gfxdata="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OvDMAfWAAAABQEAAA8AAAAAAAAAAQAgAAAAIgAAAGRycy9kb3ducmV2&#10;LnhtbFBLAQIUABQAAAAIAIdO4kCeJbESNwIAAEsEAAAOAAAAAAAAAAEAIAAAACUBAABkcnMvZTJv&#10;RG9jLnhtbFBLBQYAAAAABgAGAFkBAADOBQAAAAA=&#10;">
                  <v:fill on="f" focussize="0,0"/>
                  <v:stroke weight="2pt" color="#009900" joinstyle="miter" dashstyle="1 1"/>
                  <v:imagedata o:title=""/>
                  <o:lock v:ext="edit" aspectratio="f"/>
                  <v:textbox inset="0mm,1mm,0mm,0mm">
                    <w:txbxContent>
                      <w:p>
                        <w:pPr>
                          <w:jc w:val="center"/>
                          <w:rPr>
                            <w:b w:val="0"/>
                            <w:sz w:val="24"/>
                            <w:szCs w:val="21"/>
                          </w:rPr>
                        </w:pPr>
                        <w:r>
                          <w:rPr>
                            <w:rFonts w:hint="eastAsia"/>
                            <w:color w:val="000000" w:themeColor="text1"/>
                            <w:sz w:val="24"/>
                            <w:szCs w:val="21"/>
                            <w14:textFill>
                              <w14:solidFill>
                                <w14:schemeClr w14:val="tx1"/>
                              </w14:solidFill>
                            </w14:textFill>
                          </w:rPr>
                          <w:t>层次丰富的景观</w:t>
                        </w:r>
                        <w:r>
                          <w:rPr>
                            <w:rFonts w:hint="eastAsia"/>
                            <w:sz w:val="24"/>
                            <w:szCs w:val="21"/>
                          </w:rPr>
                          <w:t>空间</w:t>
                        </w:r>
                      </w:p>
                    </w:txbxContent>
                  </v:textbox>
                </v:shape>
                <v:shape id="自选图形 73" o:spid="_x0000_s1026" o:spt="32" type="#_x0000_t32" style="position:absolute;left:2240915;top:2028825;height:635;width:189230;" filled="f" stroked="t" coordsize="21600,21600" o:gfxdata="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NnnY0wAAAAUBAAAPAAAAAAAAAAEAIAAAACIAAABkcnMv&#10;ZG93bnJldi54bWxQSwECFAAUAAAACACHTuJATDZTnggCAAD0AwAADgAAAAAAAAABACAAAAAiAQAA&#10;ZHJzL2Uyb0RvYy54bWxQSwUGAAAAAAYABgBZAQAAnAUAAAAA&#10;">
                  <v:fill on="f" focussize="0,0"/>
                  <v:stroke weight="2pt" color="#0000FF" joinstyle="round"/>
                  <v:imagedata o:title=""/>
                  <o:lock v:ext="edit" aspectratio="f"/>
                </v:shape>
                <v:shape id="自选图形 74" o:spid="_x0000_s1026" o:spt="32" type="#_x0000_t32" style="position:absolute;left:3533775;top:2028190;height:635;width:189230;" filled="f" stroked="t" coordsize="21600,21600" o:gfxdata="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7EHZH9cAAAAFAQAADwAAAAAAAAABACAAAAAiAAAA&#10;ZHJzL2Rvd25yZXYueG1sUEsBAhQAFAAAAAgAh07iQAB3CZUIAgAA9AMAAA4AAAAAAAAAAQAgAAAA&#10;JgEAAGRycy9lMm9Eb2MueG1sUEsFBgAAAAAGAAYAWQEAAKAFAAAAAA==&#10;">
                  <v:fill on="f" focussize="0,0"/>
                  <v:stroke weight="2pt" color="#009900" joinstyle="round"/>
                  <v:imagedata o:title=""/>
                  <o:lock v:ext="edit" aspectratio="f"/>
                </v:shape>
                <v:shape id="自选图形 75" o:spid="_x0000_s1026" o:spt="32" type="#_x0000_t32" style="position:absolute;left:2957195;top:1257935;height:175260;width:635;" filled="f" stroked="t" coordsize="21600,21600" o:gfxdata="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pImczdIAAAAFAQAADwAAAAAAAAABACAAAAAiAAAAZHJzL2Rv&#10;d25yZXYueG1sUEsBAhQAFAAAAAgAh07iQGgeFFcHAgAA9AMAAA4AAAAAAAAAAQAgAAAAIQEAAGRy&#10;cy9lMm9Eb2MueG1sUEsFBgAAAAAGAAYAWQEAAJoFAAAAAA==&#10;">
                  <v:fill on="f" focussize="0,0"/>
                  <v:stroke weight="2pt" color="#0070C0" joinstyle="round"/>
                  <v:imagedata o:title=""/>
                  <o:lock v:ext="edit" aspectratio="f"/>
                </v:shape>
                <v:shape id="自选图形 76" o:spid="_x0000_s1026" o:spt="32" type="#_x0000_t32" style="position:absolute;left:2956560;top:2509520;height:175260;width:635;" filled="f" stroked="t" coordsize="21600,21600" o:gfxdata="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l/X8hdcAAAAFAQAADwAAAAAAAAABACAAAAAiAAAAZHJz&#10;L2Rvd25yZXYueG1sUEsBAhQAFAAAAAgAh07iQODjMNAFAgAA9AMAAA4AAAAAAAAAAQAgAAAAJgEA&#10;AGRycy9lMm9Eb2MueG1sUEsFBgAAAAAGAAYAWQEAAJ0FAAAAAA==&#10;">
                  <v:fill on="f" focussize="0,0"/>
                  <v:stroke weight="2pt" color="#FF00FF" joinstyle="round"/>
                  <v:imagedata o:title=""/>
                  <o:lock v:ext="edit" aspectratio="f"/>
                </v:shape>
                <w10:wrap type="none"/>
                <w10:anchorlock/>
              </v:group>
            </w:pict>
          </mc:Fallback>
        </mc:AlternateContent>
      </w:r>
    </w:p>
    <w:p>
      <w:pPr>
        <w:spacing w:line="300" w:lineRule="auto"/>
        <w:ind w:firstLine="422" w:firstLineChars="200"/>
        <w:jc w:val="center"/>
        <w:rPr>
          <w:rFonts w:ascii="Times New Roman" w:hAnsi="Times New Roman"/>
          <w:color w:val="000000" w:themeColor="text1"/>
          <w:sz w:val="21"/>
          <w14:textFill>
            <w14:solidFill>
              <w14:schemeClr w14:val="tx1"/>
            </w14:solidFill>
          </w14:textFill>
        </w:rPr>
      </w:pPr>
      <w:r>
        <w:rPr>
          <w:rFonts w:ascii="Times New Roman" w:hAnsi="Times New Roman"/>
          <w:color w:val="000000" w:themeColor="text1"/>
          <w:sz w:val="21"/>
          <w14:textFill>
            <w14:solidFill>
              <w14:schemeClr w14:val="tx1"/>
            </w14:solidFill>
          </w14:textFill>
        </w:rPr>
        <w:t>全要素设计理念图</w:t>
      </w:r>
    </w:p>
    <w:p>
      <w:pPr>
        <w:pStyle w:val="4"/>
        <w:ind w:firstLine="482" w:firstLineChars="200"/>
      </w:pPr>
      <w:bookmarkStart w:id="132" w:name="_Toc3500"/>
      <w:r>
        <w:t>总体设计原则</w:t>
      </w:r>
      <w:bookmarkEnd w:id="132"/>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（1）遵照安全适用、服务社会、尊重现实、整体协调、经济美观、自然和谐、生态环保等原则，结合本项目特点精心做好方案设计。</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（2）充分认识本项目在区域路网中的地位和作用，保证设计道路具备应有的通行能力和服务水平，充分发挥其功能作用；</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（3）工程设计应符合城市总体规划，满足有关法律、法规的规定，满足工程建设强制性标准、规范的规定和要求；</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4）处理好本项目与区域道路网及其他规划道路的关系，合理选择交通流集散点位置，为沿线区域经济建设服务，促进区域经济的发展；处理好与沿线村镇规划的关系，在既不限制其发展又方便其使用的前提下，合理确定路线与重要控制点的距离，尽量减少拆迁量</w:t>
      </w:r>
      <w:r>
        <w:rPr>
          <w:rFonts w:hint="eastAsia" w:ascii="Times New Roman" w:hAnsi="Times New Roman"/>
          <w:b w:val="0"/>
          <w:color w:val="000000" w:themeColor="text1"/>
          <w:sz w:val="24"/>
          <w14:textFill>
            <w14:solidFill>
              <w14:schemeClr w14:val="tx1"/>
            </w14:solidFill>
          </w14:textFill>
        </w:rPr>
        <w:t>，</w:t>
      </w:r>
      <w:r>
        <w:rPr>
          <w:rFonts w:ascii="Times New Roman" w:hAnsi="Times New Roman"/>
          <w:b w:val="0"/>
          <w:color w:val="000000" w:themeColor="text1"/>
          <w:sz w:val="24"/>
          <w14:textFill>
            <w14:solidFill>
              <w14:schemeClr w14:val="tx1"/>
            </w14:solidFill>
          </w14:textFill>
        </w:rPr>
        <w:t>减低实施难度；</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（5）在满足“安全、适用、耐久、经济、美观”前提下，充分考虑施工条件、施工工期；</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（6）充分考虑本项目与周边高等级道路的连接，处理好与区域外围主要道路的衔接，使整个区域路网融为一体；</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7）积极协调与其它工程建设的关系，使地下管网、防洪河道、相交道路等总体系统协调、配套，形成完整的综合体系；综合考虑二十涌轨道站与二十涌南二路共建，确保二十涌轨道站与二十涌南二路在平面上有效衔接，避免道路路口与地铁车站出入口冲突，避免人行道、非机动车道、机动车道与地铁通风井等结构冲突，并合理设置公交站点位置。</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8）重视湿地生态建设和水资源环境保护工作，对道路沿线区域内自然地貌、河流等生态环境进行有效保护，重视水土保持和生态景观设计，防止污染水源和水土流失，使道路与周围环境景观和谐统一，融入自然；重视路堤防洪、树木保护等问题。</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（9）注重设计与施工的协调性，做好施工期间的交通疏解方案设计与措施，减少项目建设期间对沿线区域居民的出行及生活影响，减少对社会的负面影响；</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（10）积极采用新技术、新结构、新材料、新工艺，提高项目的科技含量，充分发挥项目的经济效益。</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bookmarkStart w:id="133" w:name="_Toc98235879"/>
      <w:r>
        <w:rPr>
          <w:rFonts w:ascii="Times New Roman" w:hAnsi="Times New Roman" w:eastAsiaTheme="minorEastAsia"/>
          <w:b w:val="0"/>
          <w:color w:val="000000" w:themeColor="text1"/>
          <w:sz w:val="24"/>
          <w14:textFill>
            <w14:solidFill>
              <w14:schemeClr w14:val="tx1"/>
            </w14:solidFill>
          </w14:textFill>
        </w:rPr>
        <w:t>（11）对取土、弃土的要求做好边坡防护和稳定，绿化保护，合理选择弃土场位置，弃土后作好清理、平整和复垦工作，疏通排水渠道，尽可能防止水土流失，恢复土地再生能力。</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ascii="Times New Roman" w:hAnsi="Times New Roman" w:eastAsiaTheme="minorEastAsia"/>
          <w:b w:val="0"/>
          <w:color w:val="000000" w:themeColor="text1"/>
          <w:sz w:val="24"/>
          <w14:textFill>
            <w14:solidFill>
              <w14:schemeClr w14:val="tx1"/>
            </w14:solidFill>
          </w14:textFill>
        </w:rPr>
        <w:t>（12）对于可绿化区域的取土场，经过削坡、平整及覆土后，对取土坑底、边坡和平台采取绿化措施，通过采取撒草籽、植灌木的绿化方式，并进行浇水、施肥、保水保墒等养护管理措施，保证苗木成活率，使得植被防护措施在短时间内能够尽快的发挥水土保持效益，防治水土流失。</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ascii="Times New Roman" w:hAnsi="Times New Roman" w:eastAsiaTheme="minorEastAsia"/>
          <w:b w:val="0"/>
          <w:color w:val="000000" w:themeColor="text1"/>
          <w:sz w:val="24"/>
          <w14:textFill>
            <w14:solidFill>
              <w14:schemeClr w14:val="tx1"/>
            </w14:solidFill>
          </w14:textFill>
        </w:rPr>
        <w:t>(13)弃土弃碴完成后，对弃土碴顶部进行平整。为有利于植被恢复，平整后土体、碴体顶部应覆盖一定厚度的熟土，覆土来源为弃土、弃碴时剥离的表土。</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ascii="Times New Roman" w:hAnsi="Times New Roman" w:eastAsiaTheme="minorEastAsia"/>
          <w:b w:val="0"/>
          <w:color w:val="000000" w:themeColor="text1"/>
          <w:sz w:val="24"/>
          <w14:textFill>
            <w14:solidFill>
              <w14:schemeClr w14:val="tx1"/>
            </w14:solidFill>
          </w14:textFill>
        </w:rPr>
        <w:t>(14)以挖作填，尽量利用。开挖的弃土，首先做土工试验，若能够满足路基材料要球，尽量就近利用。方便有效的利用弃土，减少了对环境的污染、又降低的运输成本，实现经济与环境保护的双赢。</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ascii="Times New Roman" w:hAnsi="Times New Roman" w:eastAsiaTheme="minorEastAsia"/>
          <w:b w:val="0"/>
          <w:color w:val="000000" w:themeColor="text1"/>
          <w:sz w:val="24"/>
          <w14:textFill>
            <w14:solidFill>
              <w14:schemeClr w14:val="tx1"/>
            </w14:solidFill>
          </w14:textFill>
        </w:rPr>
        <w:t>(15)按批准的规划设置弃土场，在弃土场中应有序堆放，及时平整。为确保弃土的稳定，弃土坡脚应增设挡墙，避免泥石流等危害的发生。弃土填平后，先填30㎝厚的腐殖土，再将以前开挖存放的草皮回植，或撒播草籽，保护坡面，防止水土流失。</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ascii="Times New Roman" w:hAnsi="Times New Roman" w:eastAsiaTheme="minorEastAsia"/>
          <w:b w:val="0"/>
          <w:color w:val="000000" w:themeColor="text1"/>
          <w:sz w:val="24"/>
          <w14:textFill>
            <w14:solidFill>
              <w14:schemeClr w14:val="tx1"/>
            </w14:solidFill>
          </w14:textFill>
        </w:rPr>
        <w:t>（16）实施阶段严禁施工废水、弃渣进入渔业生态。施工过程中产生的废水含有大量的悬浮物、颗粒物和有机物，这些物质会直接流入鱼塘，对鱼塘的水体造成严重污染，影响鱼的生长和健康。其中，悬浮物和颗粒物会使鱼塘水体混浊，影响鱼的视觉和觅食能力；有机物的大量堆积会消耗水中氧气，使水体缺氧，导致鱼缺氧、窒息甚至死亡。施工废水中含有的有机物和重金属元素都具有很强的毒性，对鱼危害严重。有机物能够引起鱼类中毒，重金属元素会蓄积在鱼体内，最终导致食用鱼类的人产生重大健康隐患。</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ascii="Times New Roman" w:hAnsi="Times New Roman" w:eastAsiaTheme="minorEastAsia"/>
          <w:b w:val="0"/>
          <w:color w:val="000000" w:themeColor="text1"/>
          <w:sz w:val="24"/>
          <w14:textFill>
            <w14:solidFill>
              <w14:schemeClr w14:val="tx1"/>
            </w14:solidFill>
          </w14:textFill>
        </w:rPr>
        <w:t>（17）环境污染具有显著的累积效应，这种效应是不可逆的。因此，一个时期内的污染冲击可能会使该地区永久性地进一步落后。基于此，在污染控制的后续过程中，我们应该充分考虑个人应对能力的异质性。在促进工业废水减排的同时，要强调加强城市生活污水处理战略，统筹考虑生态环境治理和区域协调发展。</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ascii="Times New Roman" w:hAnsi="Times New Roman" w:eastAsiaTheme="minorEastAsia"/>
          <w:b w:val="0"/>
          <w:color w:val="000000" w:themeColor="text1"/>
          <w:sz w:val="24"/>
          <w14:textFill>
            <w14:solidFill>
              <w14:schemeClr w14:val="tx1"/>
            </w14:solidFill>
          </w14:textFill>
        </w:rPr>
        <w:t>（18）污水本身含有多种污染源，包括病原体（表2）、有机物质、重金属和微量元素（表3）等，对生态系统和生物造成直接和间接影响。污水本质上主要是有机的，因此会受到细菌的腐蚀。由于这种细菌活性，水中的氧浓度降低。</w:t>
      </w:r>
    </w:p>
    <w:p>
      <w:pPr>
        <w:pStyle w:val="4"/>
        <w:ind w:firstLine="482" w:firstLineChars="200"/>
      </w:pPr>
      <w:bookmarkStart w:id="134" w:name="_Toc28749"/>
      <w:r>
        <w:t>节约用地措施</w:t>
      </w:r>
      <w:bookmarkEnd w:id="134"/>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1、按照节约集约用地原则，强化土地利用总体规划的整体控制作用</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2、根据实际地形、交通量情况、地块建设情况，合理设置边坡、护坡道、碎落台等断面要素，尽可能减少占地。</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3、桥梁应结合地形、地质、水文、工程造价综合考虑，有条件时尽量采用桥梁形式，有效减少对周围环境的破坏，减少占用土地。</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4、除注重节约工程永久占地外，还应节约临时性用地，细化临时工程设计，以减少临时占地。</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5、人行道功能建议与建筑退缩带合并建设，局部路口展宽段进行规划红线宽度调整。</w:t>
      </w:r>
    </w:p>
    <w:p>
      <w:pPr>
        <w:pStyle w:val="4"/>
        <w:ind w:firstLine="482" w:firstLineChars="200"/>
      </w:pPr>
      <w:bookmarkStart w:id="135" w:name="_Toc32265"/>
      <w:r>
        <w:rPr>
          <w:rFonts w:hint="eastAsia"/>
        </w:rPr>
        <w:t>总体方案与规划控制红线的</w:t>
      </w:r>
      <w:r>
        <w:t>控制因素</w:t>
      </w:r>
      <w:bookmarkEnd w:id="135"/>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本工程为市政道路工程，主要控制因素有以下内容：</w:t>
      </w:r>
    </w:p>
    <w:p>
      <w:pPr>
        <w:numPr>
          <w:ilvl w:val="0"/>
          <w:numId w:val="16"/>
        </w:numPr>
        <w:spacing w:line="300" w:lineRule="auto"/>
        <w:ind w:firstLine="480" w:firstLineChars="200"/>
        <w:jc w:val="center"/>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片区内市政各种规划：平面规划、竖向规划、断面规划、各种管线规划等；</w:t>
      </w:r>
      <w:r>
        <w:rPr>
          <w:rFonts w:ascii="Times New Roman" w:hAnsi="Times New Roman"/>
        </w:rPr>
        <w:drawing>
          <wp:inline distT="0" distB="0" distL="0" distR="0">
            <wp:extent cx="4693920" cy="3193415"/>
            <wp:effectExtent l="0" t="0" r="11430" b="6985"/>
            <wp:docPr id="6" name="图片 6" descr="https://p7.itc.cn/q_70/images03/20230806/d54b01dc740f43f993377852eeb9f7b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https://p7.itc.cn/q_70/images03/20230806/d54b01dc740f43f993377852eeb9f7ba.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693920" cy="3193415"/>
                    </a:xfrm>
                    <a:prstGeom prst="rect">
                      <a:avLst/>
                    </a:prstGeom>
                    <a:noFill/>
                    <a:ln>
                      <a:noFill/>
                    </a:ln>
                  </pic:spPr>
                </pic:pic>
              </a:graphicData>
            </a:graphic>
          </wp:inline>
        </w:drawing>
      </w:r>
    </w:p>
    <w:p>
      <w:pPr>
        <w:spacing w:line="300" w:lineRule="auto"/>
        <w:ind w:firstLine="422" w:firstLineChars="200"/>
        <w:jc w:val="center"/>
        <w:rPr>
          <w:rFonts w:ascii="Times New Roman" w:hAnsi="Times New Roman"/>
          <w:b w:val="0"/>
          <w:color w:val="000000" w:themeColor="text1"/>
          <w:sz w:val="24"/>
          <w14:textFill>
            <w14:solidFill>
              <w14:schemeClr w14:val="tx1"/>
            </w14:solidFill>
          </w14:textFill>
        </w:rPr>
      </w:pPr>
      <w:r>
        <w:rPr>
          <w:rFonts w:ascii="Times New Roman" w:hAnsi="Times New Roman"/>
          <w:color w:val="000000" w:themeColor="text1"/>
          <w:sz w:val="21"/>
          <w14:textFill>
            <w14:solidFill>
              <w14:schemeClr w14:val="tx1"/>
            </w14:solidFill>
          </w14:textFill>
        </w:rPr>
        <w:t>规划平面图</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2、现状道路</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本项目共有</w:t>
      </w:r>
      <w:r>
        <w:rPr>
          <w:rFonts w:hint="eastAsia" w:ascii="Times New Roman" w:hAnsi="Times New Roman"/>
          <w:b w:val="0"/>
          <w:color w:val="000000" w:themeColor="text1"/>
          <w:sz w:val="24"/>
          <w14:textFill>
            <w14:solidFill>
              <w14:schemeClr w14:val="tx1"/>
            </w14:solidFill>
          </w14:textFill>
        </w:rPr>
        <w:t>2</w:t>
      </w:r>
      <w:r>
        <w:rPr>
          <w:rFonts w:ascii="Times New Roman" w:hAnsi="Times New Roman"/>
          <w:b w:val="0"/>
          <w:color w:val="000000" w:themeColor="text1"/>
          <w:sz w:val="24"/>
          <w14:textFill>
            <w14:solidFill>
              <w14:schemeClr w14:val="tx1"/>
            </w14:solidFill>
          </w14:textFill>
        </w:rPr>
        <w:t>条道路，为大型城市综合体内部道路，项目四周现状市政道路匮乏，有南沙区城市主干路通过，</w:t>
      </w:r>
      <w:r>
        <w:rPr>
          <w:rFonts w:hint="eastAsia" w:ascii="Times New Roman" w:hAnsi="Times New Roman"/>
          <w:b w:val="0"/>
          <w:color w:val="000000" w:themeColor="text1"/>
          <w:sz w:val="24"/>
          <w14:textFill>
            <w14:solidFill>
              <w14:schemeClr w14:val="tx1"/>
            </w14:solidFill>
          </w14:textFill>
        </w:rPr>
        <w:t>万环西路南延线（十六涌半至海堤段）</w:t>
      </w:r>
      <w:r>
        <w:rPr>
          <w:rFonts w:ascii="Times New Roman" w:hAnsi="Times New Roman"/>
          <w:b w:val="0"/>
          <w:color w:val="000000" w:themeColor="text1"/>
          <w:sz w:val="24"/>
          <w14:textFill>
            <w14:solidFill>
              <w14:schemeClr w14:val="tx1"/>
            </w14:solidFill>
          </w14:textFill>
        </w:rPr>
        <w:t>、</w:t>
      </w:r>
      <w:r>
        <w:rPr>
          <w:rFonts w:hint="eastAsia" w:ascii="Times New Roman" w:hAnsi="Times New Roman"/>
          <w:b w:val="0"/>
          <w:color w:val="000000" w:themeColor="text1"/>
          <w:sz w:val="24"/>
          <w14:textFill>
            <w14:solidFill>
              <w14:schemeClr w14:val="tx1"/>
            </w14:solidFill>
          </w14:textFill>
        </w:rPr>
        <w:t>南中高速</w:t>
      </w:r>
      <w:r>
        <w:rPr>
          <w:rFonts w:ascii="Times New Roman" w:hAnsi="Times New Roman"/>
          <w:b w:val="0"/>
          <w:color w:val="000000" w:themeColor="text1"/>
          <w:sz w:val="24"/>
          <w14:textFill>
            <w14:solidFill>
              <w14:schemeClr w14:val="tx1"/>
            </w14:solidFill>
          </w14:textFill>
        </w:rPr>
        <w:t>万顷沙支线为在建道路，其它为现状村道，现状路面为水泥路。场地周边交通均有现状水泥路连通，可作为施工运输线路利用。</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区域主要相交道路现状情况如下表所示：</w:t>
      </w:r>
    </w:p>
    <w:tbl>
      <w:tblPr>
        <w:tblStyle w:val="379"/>
        <w:tblW w:w="10369" w:type="dxa"/>
        <w:tblInd w:w="9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7"/>
        <w:gridCol w:w="1782"/>
        <w:gridCol w:w="1343"/>
        <w:gridCol w:w="1342"/>
        <w:gridCol w:w="1432"/>
        <w:gridCol w:w="1261"/>
        <w:gridCol w:w="1258"/>
        <w:gridCol w:w="127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2" w:hRule="atLeast"/>
        </w:trPr>
        <w:tc>
          <w:tcPr>
            <w:tcW w:w="677" w:type="dxa"/>
            <w:textDirection w:val="tbRlV"/>
          </w:tcPr>
          <w:p>
            <w:pPr>
              <w:pStyle w:val="391"/>
              <w:autoSpaceDE w:val="0"/>
              <w:autoSpaceDN w:val="0"/>
              <w:spacing w:before="212" w:line="210" w:lineRule="auto"/>
              <w:ind w:left="6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5"/>
                <w14:textFill>
                  <w14:solidFill>
                    <w14:schemeClr w14:val="tx1"/>
                  </w14:solidFill>
                </w14:textFill>
              </w:rPr>
              <w:t>序号</w:t>
            </w:r>
          </w:p>
        </w:tc>
        <w:tc>
          <w:tcPr>
            <w:tcW w:w="1782" w:type="dxa"/>
          </w:tcPr>
          <w:p>
            <w:pPr>
              <w:pStyle w:val="391"/>
              <w:autoSpaceDE w:val="0"/>
              <w:autoSpaceDN w:val="0"/>
              <w:spacing w:before="215" w:line="220" w:lineRule="auto"/>
              <w:ind w:left="65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路名</w:t>
            </w:r>
          </w:p>
        </w:tc>
        <w:tc>
          <w:tcPr>
            <w:tcW w:w="1343" w:type="dxa"/>
          </w:tcPr>
          <w:p>
            <w:pPr>
              <w:pStyle w:val="391"/>
              <w:autoSpaceDE w:val="0"/>
              <w:autoSpaceDN w:val="0"/>
              <w:spacing w:before="215" w:line="220" w:lineRule="auto"/>
              <w:ind w:left="43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等级</w:t>
            </w:r>
          </w:p>
        </w:tc>
        <w:tc>
          <w:tcPr>
            <w:tcW w:w="1342" w:type="dxa"/>
          </w:tcPr>
          <w:p>
            <w:pPr>
              <w:pStyle w:val="391"/>
              <w:autoSpaceDE w:val="0"/>
              <w:autoSpaceDN w:val="0"/>
              <w:spacing w:before="216" w:line="220" w:lineRule="auto"/>
              <w:ind w:left="20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红线宽度</w:t>
            </w:r>
          </w:p>
        </w:tc>
        <w:tc>
          <w:tcPr>
            <w:tcW w:w="1432" w:type="dxa"/>
          </w:tcPr>
          <w:p>
            <w:pPr>
              <w:pStyle w:val="391"/>
              <w:autoSpaceDE w:val="0"/>
              <w:autoSpaceDN w:val="0"/>
              <w:spacing w:before="215" w:line="220" w:lineRule="auto"/>
              <w:ind w:left="36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车道数</w:t>
            </w:r>
          </w:p>
        </w:tc>
        <w:tc>
          <w:tcPr>
            <w:tcW w:w="1261" w:type="dxa"/>
          </w:tcPr>
          <w:p>
            <w:pPr>
              <w:pStyle w:val="391"/>
              <w:autoSpaceDE w:val="0"/>
              <w:autoSpaceDN w:val="0"/>
              <w:spacing w:before="215" w:line="221" w:lineRule="auto"/>
              <w:ind w:left="4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走向</w:t>
            </w:r>
          </w:p>
        </w:tc>
        <w:tc>
          <w:tcPr>
            <w:tcW w:w="1258" w:type="dxa"/>
          </w:tcPr>
          <w:p>
            <w:pPr>
              <w:pStyle w:val="391"/>
              <w:autoSpaceDE w:val="0"/>
              <w:autoSpaceDN w:val="0"/>
              <w:spacing w:before="215" w:line="220" w:lineRule="auto"/>
              <w:ind w:left="15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路面情况</w:t>
            </w:r>
          </w:p>
        </w:tc>
        <w:tc>
          <w:tcPr>
            <w:tcW w:w="1274" w:type="dxa"/>
          </w:tcPr>
          <w:p>
            <w:pPr>
              <w:pStyle w:val="391"/>
              <w:autoSpaceDE w:val="0"/>
              <w:autoSpaceDN w:val="0"/>
              <w:spacing w:before="216" w:line="220" w:lineRule="auto"/>
              <w:ind w:left="20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1"/>
                <w14:textFill>
                  <w14:solidFill>
                    <w14:schemeClr w14:val="tx1"/>
                  </w14:solidFill>
                </w14:textFill>
              </w:rPr>
              <w:t>目前情况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677" w:type="dxa"/>
          </w:tcPr>
          <w:p>
            <w:pPr>
              <w:pStyle w:val="391"/>
              <w:autoSpaceDE w:val="0"/>
              <w:autoSpaceDN w:val="0"/>
              <w:spacing w:before="229" w:line="184" w:lineRule="auto"/>
              <w:ind w:left="30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1</w:t>
            </w:r>
          </w:p>
        </w:tc>
        <w:tc>
          <w:tcPr>
            <w:tcW w:w="1782" w:type="dxa"/>
          </w:tcPr>
          <w:p>
            <w:pPr>
              <w:pStyle w:val="391"/>
              <w:autoSpaceDE w:val="0"/>
              <w:autoSpaceDN w:val="0"/>
              <w:spacing w:before="192" w:line="220" w:lineRule="auto"/>
              <w:rPr>
                <w:rFonts w:ascii="Times New Roman" w:hAnsi="Times New Roman" w:cs="Times New Roman" w:eastAsiaTheme="minorEastAsia"/>
                <w:b w:val="0"/>
                <w:bCs/>
                <w:color w:val="000000" w:themeColor="text1"/>
                <w:lang w:eastAsia="zh-CN"/>
                <w14:textFill>
                  <w14:solidFill>
                    <w14:schemeClr w14:val="tx1"/>
                  </w14:solidFill>
                </w14:textFill>
              </w:rPr>
            </w:pPr>
            <w:r>
              <w:rPr>
                <w:rFonts w:hint="eastAsia" w:ascii="Times New Roman" w:hAnsi="Times New Roman" w:cs="Times New Roman" w:eastAsiaTheme="minorEastAsia"/>
                <w:b w:val="0"/>
                <w:bCs/>
                <w:color w:val="000000" w:themeColor="text1"/>
                <w:spacing w:val="-3"/>
                <w:lang w:eastAsia="zh-CN"/>
                <w14:textFill>
                  <w14:solidFill>
                    <w14:schemeClr w14:val="tx1"/>
                  </w14:solidFill>
                </w14:textFill>
              </w:rPr>
              <w:t>万环西路南延线（十六涌半至海堤段）</w:t>
            </w:r>
          </w:p>
        </w:tc>
        <w:tc>
          <w:tcPr>
            <w:tcW w:w="1343" w:type="dxa"/>
          </w:tcPr>
          <w:p>
            <w:pPr>
              <w:pStyle w:val="391"/>
              <w:autoSpaceDE w:val="0"/>
              <w:autoSpaceDN w:val="0"/>
              <w:spacing w:before="37" w:line="223" w:lineRule="auto"/>
              <w:ind w:left="558" w:right="190" w:hanging="36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城市主干</w:t>
            </w:r>
            <w:r>
              <w:rPr>
                <w:rFonts w:ascii="Times New Roman" w:hAnsi="Times New Roman" w:cs="Times New Roman" w:eastAsiaTheme="minorEastAsia"/>
                <w:b w:val="0"/>
                <w:bCs/>
                <w:color w:val="000000" w:themeColor="text1"/>
                <w14:textFill>
                  <w14:solidFill>
                    <w14:schemeClr w14:val="tx1"/>
                  </w14:solidFill>
                </w14:textFill>
              </w:rPr>
              <w:t>路</w:t>
            </w:r>
          </w:p>
        </w:tc>
        <w:tc>
          <w:tcPr>
            <w:tcW w:w="1342" w:type="dxa"/>
          </w:tcPr>
          <w:p>
            <w:pPr>
              <w:pStyle w:val="391"/>
              <w:autoSpaceDE w:val="0"/>
              <w:autoSpaceDN w:val="0"/>
              <w:spacing w:before="230" w:line="183" w:lineRule="auto"/>
              <w:jc w:val="center"/>
              <w:rPr>
                <w:rFonts w:ascii="Times New Roman" w:hAnsi="Times New Roman" w:cs="Times New Roman" w:eastAsiaTheme="minorEastAsia"/>
                <w:b w:val="0"/>
                <w:bCs/>
                <w:color w:val="000000" w:themeColor="text1"/>
                <w14:textFill>
                  <w14:solidFill>
                    <w14:schemeClr w14:val="tx1"/>
                  </w14:solidFill>
                </w14:textFill>
              </w:rPr>
            </w:pPr>
            <w:r>
              <w:rPr>
                <w:rFonts w:hint="eastAsia" w:ascii="Times New Roman" w:hAnsi="Times New Roman" w:cs="Times New Roman" w:eastAsiaTheme="minorEastAsia"/>
                <w:b w:val="0"/>
                <w:bCs/>
                <w:color w:val="000000" w:themeColor="text1"/>
                <w:spacing w:val="-3"/>
                <w:lang w:eastAsia="zh-CN"/>
                <w14:textFill>
                  <w14:solidFill>
                    <w14:schemeClr w14:val="tx1"/>
                  </w14:solidFill>
                </w14:textFill>
              </w:rPr>
              <w:t>33~42</w:t>
            </w:r>
            <w:r>
              <w:rPr>
                <w:rFonts w:ascii="Times New Roman" w:hAnsi="Times New Roman" w:cs="Times New Roman" w:eastAsiaTheme="minorEastAsia"/>
                <w:b w:val="0"/>
                <w:bCs/>
                <w:color w:val="000000" w:themeColor="text1"/>
                <w:spacing w:val="-3"/>
                <w14:textFill>
                  <w14:solidFill>
                    <w14:schemeClr w14:val="tx1"/>
                  </w14:solidFill>
                </w14:textFill>
              </w:rPr>
              <w:t>m</w:t>
            </w:r>
          </w:p>
        </w:tc>
        <w:tc>
          <w:tcPr>
            <w:tcW w:w="1432" w:type="dxa"/>
          </w:tcPr>
          <w:p>
            <w:pPr>
              <w:pStyle w:val="391"/>
              <w:autoSpaceDE w:val="0"/>
              <w:autoSpaceDN w:val="0"/>
              <w:spacing w:before="192" w:line="220" w:lineRule="auto"/>
              <w:ind w:left="12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双向</w:t>
            </w:r>
            <w:r>
              <w:rPr>
                <w:rFonts w:hint="eastAsia" w:ascii="Times New Roman" w:hAnsi="Times New Roman" w:cs="Times New Roman" w:eastAsiaTheme="minorEastAsia"/>
                <w:b w:val="0"/>
                <w:bCs/>
                <w:color w:val="000000" w:themeColor="text1"/>
                <w:spacing w:val="-7"/>
                <w:lang w:eastAsia="zh-CN"/>
                <w14:textFill>
                  <w14:solidFill>
                    <w14:schemeClr w14:val="tx1"/>
                  </w14:solidFill>
                </w14:textFill>
              </w:rPr>
              <w:t>6</w:t>
            </w:r>
            <w:r>
              <w:rPr>
                <w:rFonts w:ascii="Times New Roman" w:hAnsi="Times New Roman" w:cs="Times New Roman" w:eastAsiaTheme="minorEastAsia"/>
                <w:b w:val="0"/>
                <w:bCs/>
                <w:color w:val="000000" w:themeColor="text1"/>
                <w:spacing w:val="-7"/>
                <w14:textFill>
                  <w14:solidFill>
                    <w14:schemeClr w14:val="tx1"/>
                  </w14:solidFill>
                </w14:textFill>
              </w:rPr>
              <w:t>车道</w:t>
            </w:r>
          </w:p>
        </w:tc>
        <w:tc>
          <w:tcPr>
            <w:tcW w:w="1261" w:type="dxa"/>
          </w:tcPr>
          <w:p>
            <w:pPr>
              <w:pStyle w:val="391"/>
              <w:autoSpaceDE w:val="0"/>
              <w:autoSpaceDN w:val="0"/>
              <w:spacing w:before="192" w:line="222" w:lineRule="auto"/>
              <w:ind w:left="4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南北</w:t>
            </w:r>
          </w:p>
        </w:tc>
        <w:tc>
          <w:tcPr>
            <w:tcW w:w="1258" w:type="dxa"/>
          </w:tcPr>
          <w:p>
            <w:pPr>
              <w:pStyle w:val="391"/>
              <w:autoSpaceDE w:val="0"/>
              <w:autoSpaceDN w:val="0"/>
              <w:spacing w:before="192" w:line="219" w:lineRule="auto"/>
              <w:ind w:left="27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沥青砼</w:t>
            </w:r>
          </w:p>
        </w:tc>
        <w:tc>
          <w:tcPr>
            <w:tcW w:w="1274" w:type="dxa"/>
          </w:tcPr>
          <w:p>
            <w:pPr>
              <w:pStyle w:val="391"/>
              <w:autoSpaceDE w:val="0"/>
              <w:autoSpaceDN w:val="0"/>
              <w:spacing w:before="192" w:line="220" w:lineRule="auto"/>
              <w:jc w:val="center"/>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正在施工</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677" w:type="dxa"/>
          </w:tcPr>
          <w:p>
            <w:pPr>
              <w:pStyle w:val="391"/>
              <w:autoSpaceDE w:val="0"/>
              <w:autoSpaceDN w:val="0"/>
              <w:spacing w:before="229" w:line="184" w:lineRule="auto"/>
              <w:ind w:left="306"/>
              <w:rPr>
                <w:rFonts w:ascii="Times New Roman" w:hAnsi="Times New Roman" w:cs="Times New Roman" w:eastAsiaTheme="minorEastAsia"/>
                <w:b w:val="0"/>
                <w:bCs/>
                <w:color w:val="000000" w:themeColor="text1"/>
                <w:lang w:eastAsia="zh-CN"/>
                <w14:textFill>
                  <w14:solidFill>
                    <w14:schemeClr w14:val="tx1"/>
                  </w14:solidFill>
                </w14:textFill>
              </w:rPr>
            </w:pPr>
            <w:r>
              <w:rPr>
                <w:rFonts w:hint="eastAsia" w:ascii="Times New Roman" w:hAnsi="Times New Roman" w:cs="Times New Roman" w:eastAsiaTheme="minorEastAsia"/>
                <w:b w:val="0"/>
                <w:bCs/>
                <w:color w:val="000000" w:themeColor="text1"/>
                <w:lang w:eastAsia="zh-CN"/>
                <w14:textFill>
                  <w14:solidFill>
                    <w14:schemeClr w14:val="tx1"/>
                  </w14:solidFill>
                </w14:textFill>
              </w:rPr>
              <w:t>2</w:t>
            </w:r>
          </w:p>
        </w:tc>
        <w:tc>
          <w:tcPr>
            <w:tcW w:w="1782" w:type="dxa"/>
          </w:tcPr>
          <w:p>
            <w:pPr>
              <w:pStyle w:val="391"/>
              <w:autoSpaceDE w:val="0"/>
              <w:autoSpaceDN w:val="0"/>
              <w:spacing w:before="192" w:line="220" w:lineRule="auto"/>
              <w:rPr>
                <w:rFonts w:ascii="Times New Roman" w:hAnsi="Times New Roman" w:cs="Times New Roman" w:eastAsiaTheme="minorEastAsia"/>
                <w:b w:val="0"/>
                <w:bCs/>
                <w:color w:val="000000" w:themeColor="text1"/>
                <w:spacing w:val="-3"/>
                <w:lang w:eastAsia="zh-CN"/>
                <w14:textFill>
                  <w14:solidFill>
                    <w14:schemeClr w14:val="tx1"/>
                  </w14:solidFill>
                </w14:textFill>
              </w:rPr>
            </w:pPr>
            <w:r>
              <w:rPr>
                <w:rFonts w:hint="eastAsia" w:ascii="Times New Roman" w:hAnsi="Times New Roman" w:cs="Times New Roman" w:eastAsiaTheme="minorEastAsia"/>
                <w:b w:val="0"/>
                <w:bCs/>
                <w:color w:val="000000" w:themeColor="text1"/>
                <w:spacing w:val="-3"/>
                <w:lang w:eastAsia="zh-CN"/>
                <w14:textFill>
                  <w14:solidFill>
                    <w14:schemeClr w14:val="tx1"/>
                  </w14:solidFill>
                </w14:textFill>
              </w:rPr>
              <w:t>万环西路南延线（十六涌半至海堤段）扩建工程</w:t>
            </w:r>
          </w:p>
        </w:tc>
        <w:tc>
          <w:tcPr>
            <w:tcW w:w="1343" w:type="dxa"/>
          </w:tcPr>
          <w:p>
            <w:pPr>
              <w:pStyle w:val="391"/>
              <w:autoSpaceDE w:val="0"/>
              <w:autoSpaceDN w:val="0"/>
              <w:spacing w:before="37" w:line="223" w:lineRule="auto"/>
              <w:ind w:left="558" w:right="190" w:hanging="36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城市主干</w:t>
            </w:r>
            <w:r>
              <w:rPr>
                <w:rFonts w:ascii="Times New Roman" w:hAnsi="Times New Roman" w:cs="Times New Roman" w:eastAsiaTheme="minorEastAsia"/>
                <w:b w:val="0"/>
                <w:bCs/>
                <w:color w:val="000000" w:themeColor="text1"/>
                <w14:textFill>
                  <w14:solidFill>
                    <w14:schemeClr w14:val="tx1"/>
                  </w14:solidFill>
                </w14:textFill>
              </w:rPr>
              <w:t>路</w:t>
            </w:r>
          </w:p>
        </w:tc>
        <w:tc>
          <w:tcPr>
            <w:tcW w:w="1342" w:type="dxa"/>
          </w:tcPr>
          <w:p>
            <w:pPr>
              <w:pStyle w:val="391"/>
              <w:autoSpaceDE w:val="0"/>
              <w:autoSpaceDN w:val="0"/>
              <w:spacing w:before="230" w:line="183" w:lineRule="auto"/>
              <w:jc w:val="center"/>
              <w:rPr>
                <w:rFonts w:ascii="Times New Roman" w:hAnsi="Times New Roman" w:cs="Times New Roman" w:eastAsiaTheme="minorEastAsia"/>
                <w:b w:val="0"/>
                <w:bCs/>
                <w:color w:val="000000" w:themeColor="text1"/>
                <w14:textFill>
                  <w14:solidFill>
                    <w14:schemeClr w14:val="tx1"/>
                  </w14:solidFill>
                </w14:textFill>
              </w:rPr>
            </w:pPr>
            <w:r>
              <w:rPr>
                <w:rFonts w:hint="eastAsia" w:ascii="Times New Roman" w:hAnsi="Times New Roman" w:cs="Times New Roman" w:eastAsiaTheme="minorEastAsia"/>
                <w:b w:val="0"/>
                <w:bCs/>
                <w:color w:val="000000" w:themeColor="text1"/>
                <w:spacing w:val="-3"/>
                <w:lang w:eastAsia="zh-CN"/>
                <w14:textFill>
                  <w14:solidFill>
                    <w14:schemeClr w14:val="tx1"/>
                  </w14:solidFill>
                </w14:textFill>
              </w:rPr>
              <w:t>58~78</w:t>
            </w:r>
            <w:r>
              <w:rPr>
                <w:rFonts w:ascii="Times New Roman" w:hAnsi="Times New Roman" w:cs="Times New Roman" w:eastAsiaTheme="minorEastAsia"/>
                <w:b w:val="0"/>
                <w:bCs/>
                <w:color w:val="000000" w:themeColor="text1"/>
                <w:spacing w:val="-3"/>
                <w14:textFill>
                  <w14:solidFill>
                    <w14:schemeClr w14:val="tx1"/>
                  </w14:solidFill>
                </w14:textFill>
              </w:rPr>
              <w:t>m</w:t>
            </w:r>
          </w:p>
        </w:tc>
        <w:tc>
          <w:tcPr>
            <w:tcW w:w="1432" w:type="dxa"/>
          </w:tcPr>
          <w:p>
            <w:pPr>
              <w:pStyle w:val="391"/>
              <w:autoSpaceDE w:val="0"/>
              <w:autoSpaceDN w:val="0"/>
              <w:spacing w:before="192" w:line="220" w:lineRule="auto"/>
              <w:ind w:left="12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双向8车道</w:t>
            </w:r>
          </w:p>
        </w:tc>
        <w:tc>
          <w:tcPr>
            <w:tcW w:w="1261" w:type="dxa"/>
          </w:tcPr>
          <w:p>
            <w:pPr>
              <w:pStyle w:val="391"/>
              <w:autoSpaceDE w:val="0"/>
              <w:autoSpaceDN w:val="0"/>
              <w:spacing w:before="192" w:line="222" w:lineRule="auto"/>
              <w:ind w:left="4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南北</w:t>
            </w:r>
          </w:p>
        </w:tc>
        <w:tc>
          <w:tcPr>
            <w:tcW w:w="1258" w:type="dxa"/>
          </w:tcPr>
          <w:p>
            <w:pPr>
              <w:pStyle w:val="391"/>
              <w:autoSpaceDE w:val="0"/>
              <w:autoSpaceDN w:val="0"/>
              <w:spacing w:before="192" w:line="219" w:lineRule="auto"/>
              <w:ind w:left="27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沥青砼</w:t>
            </w:r>
          </w:p>
        </w:tc>
        <w:tc>
          <w:tcPr>
            <w:tcW w:w="1274" w:type="dxa"/>
          </w:tcPr>
          <w:p>
            <w:pPr>
              <w:pStyle w:val="391"/>
              <w:autoSpaceDE w:val="0"/>
              <w:autoSpaceDN w:val="0"/>
              <w:spacing w:before="192" w:line="220" w:lineRule="auto"/>
              <w:jc w:val="center"/>
              <w:rPr>
                <w:rFonts w:ascii="Times New Roman" w:hAnsi="Times New Roman" w:cs="Times New Roman" w:eastAsiaTheme="minorEastAsia"/>
                <w:b w:val="0"/>
                <w:bCs/>
                <w:color w:val="000000" w:themeColor="text1"/>
                <w:spacing w:val="-3"/>
                <w:lang w:eastAsia="zh-CN"/>
                <w14:textFill>
                  <w14:solidFill>
                    <w14:schemeClr w14:val="tx1"/>
                  </w14:solidFill>
                </w14:textFill>
              </w:rPr>
            </w:pPr>
            <w:r>
              <w:rPr>
                <w:rFonts w:hint="eastAsia" w:ascii="Times New Roman" w:hAnsi="Times New Roman" w:cs="Times New Roman" w:eastAsiaTheme="minorEastAsia"/>
                <w:b w:val="0"/>
                <w:bCs/>
                <w:color w:val="000000" w:themeColor="text1"/>
                <w:spacing w:val="-3"/>
                <w:lang w:eastAsia="zh-CN"/>
                <w14:textFill>
                  <w14:solidFill>
                    <w14:schemeClr w14:val="tx1"/>
                  </w14:solidFill>
                </w14:textFill>
              </w:rPr>
              <w:t>设计阶段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677" w:type="dxa"/>
          </w:tcPr>
          <w:p>
            <w:pPr>
              <w:pStyle w:val="391"/>
              <w:autoSpaceDE w:val="0"/>
              <w:autoSpaceDN w:val="0"/>
              <w:spacing w:before="233" w:line="183" w:lineRule="auto"/>
              <w:ind w:left="291"/>
              <w:rPr>
                <w:rFonts w:ascii="Times New Roman" w:hAnsi="Times New Roman" w:cs="Times New Roman" w:eastAsiaTheme="minorEastAsia"/>
                <w:b w:val="0"/>
                <w:bCs/>
                <w:color w:val="000000" w:themeColor="text1"/>
                <w:lang w:eastAsia="zh-CN"/>
                <w14:textFill>
                  <w14:solidFill>
                    <w14:schemeClr w14:val="tx1"/>
                  </w14:solidFill>
                </w14:textFill>
              </w:rPr>
            </w:pPr>
            <w:r>
              <w:rPr>
                <w:rFonts w:hint="eastAsia" w:ascii="Times New Roman" w:hAnsi="Times New Roman" w:cs="Times New Roman" w:eastAsiaTheme="minorEastAsia"/>
                <w:b w:val="0"/>
                <w:bCs/>
                <w:color w:val="000000" w:themeColor="text1"/>
                <w:lang w:eastAsia="zh-CN"/>
                <w14:textFill>
                  <w14:solidFill>
                    <w14:schemeClr w14:val="tx1"/>
                  </w14:solidFill>
                </w14:textFill>
              </w:rPr>
              <w:t>3</w:t>
            </w:r>
          </w:p>
        </w:tc>
        <w:tc>
          <w:tcPr>
            <w:tcW w:w="1782" w:type="dxa"/>
          </w:tcPr>
          <w:p>
            <w:pPr>
              <w:pStyle w:val="391"/>
              <w:autoSpaceDE w:val="0"/>
              <w:autoSpaceDN w:val="0"/>
              <w:spacing w:before="38" w:line="223" w:lineRule="auto"/>
              <w:ind w:left="536" w:right="171" w:hanging="35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南中高速万顷沙支线</w:t>
            </w:r>
          </w:p>
        </w:tc>
        <w:tc>
          <w:tcPr>
            <w:tcW w:w="1343" w:type="dxa"/>
          </w:tcPr>
          <w:p>
            <w:pPr>
              <w:pStyle w:val="391"/>
              <w:autoSpaceDE w:val="0"/>
              <w:autoSpaceDN w:val="0"/>
              <w:spacing w:before="194" w:line="220" w:lineRule="auto"/>
              <w:ind w:left="20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高速公路</w:t>
            </w:r>
          </w:p>
        </w:tc>
        <w:tc>
          <w:tcPr>
            <w:tcW w:w="1342" w:type="dxa"/>
          </w:tcPr>
          <w:p>
            <w:pPr>
              <w:pStyle w:val="391"/>
              <w:autoSpaceDE w:val="0"/>
              <w:autoSpaceDN w:val="0"/>
              <w:spacing w:before="233" w:line="183" w:lineRule="auto"/>
              <w:ind w:left="49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42m</w:t>
            </w:r>
          </w:p>
        </w:tc>
        <w:tc>
          <w:tcPr>
            <w:tcW w:w="1432" w:type="dxa"/>
          </w:tcPr>
          <w:p>
            <w:pPr>
              <w:pStyle w:val="391"/>
              <w:autoSpaceDE w:val="0"/>
              <w:autoSpaceDN w:val="0"/>
              <w:spacing w:before="194" w:line="220" w:lineRule="auto"/>
              <w:ind w:left="12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双向6车道</w:t>
            </w:r>
          </w:p>
        </w:tc>
        <w:tc>
          <w:tcPr>
            <w:tcW w:w="1261" w:type="dxa"/>
          </w:tcPr>
          <w:p>
            <w:pPr>
              <w:pStyle w:val="391"/>
              <w:autoSpaceDE w:val="0"/>
              <w:autoSpaceDN w:val="0"/>
              <w:spacing w:before="195" w:line="222" w:lineRule="auto"/>
              <w:ind w:left="4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南北</w:t>
            </w:r>
          </w:p>
        </w:tc>
        <w:tc>
          <w:tcPr>
            <w:tcW w:w="1258" w:type="dxa"/>
          </w:tcPr>
          <w:p>
            <w:pPr>
              <w:pStyle w:val="391"/>
              <w:autoSpaceDE w:val="0"/>
              <w:autoSpaceDN w:val="0"/>
              <w:spacing w:before="195" w:line="219" w:lineRule="auto"/>
              <w:ind w:left="27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沥青砼</w:t>
            </w:r>
          </w:p>
        </w:tc>
        <w:tc>
          <w:tcPr>
            <w:tcW w:w="1274" w:type="dxa"/>
          </w:tcPr>
          <w:p>
            <w:pPr>
              <w:pStyle w:val="391"/>
              <w:autoSpaceDE w:val="0"/>
              <w:autoSpaceDN w:val="0"/>
              <w:spacing w:before="195" w:line="222" w:lineRule="auto"/>
              <w:jc w:val="center"/>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正在施工</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1" w:hRule="atLeast"/>
        </w:trPr>
        <w:tc>
          <w:tcPr>
            <w:tcW w:w="677" w:type="dxa"/>
          </w:tcPr>
          <w:p>
            <w:pPr>
              <w:pStyle w:val="391"/>
              <w:autoSpaceDE w:val="0"/>
              <w:autoSpaceDN w:val="0"/>
              <w:spacing w:before="234" w:line="183" w:lineRule="auto"/>
              <w:ind w:left="293"/>
              <w:rPr>
                <w:rFonts w:ascii="Times New Roman" w:hAnsi="Times New Roman" w:cs="Times New Roman" w:eastAsiaTheme="minorEastAsia"/>
                <w:b w:val="0"/>
                <w:bCs/>
                <w:color w:val="000000" w:themeColor="text1"/>
                <w:lang w:eastAsia="zh-CN"/>
                <w14:textFill>
                  <w14:solidFill>
                    <w14:schemeClr w14:val="tx1"/>
                  </w14:solidFill>
                </w14:textFill>
              </w:rPr>
            </w:pPr>
            <w:r>
              <w:rPr>
                <w:rFonts w:hint="eastAsia" w:ascii="Times New Roman" w:hAnsi="Times New Roman" w:cs="Times New Roman" w:eastAsiaTheme="minorEastAsia"/>
                <w:b w:val="0"/>
                <w:bCs/>
                <w:color w:val="000000" w:themeColor="text1"/>
                <w:lang w:eastAsia="zh-CN"/>
                <w14:textFill>
                  <w14:solidFill>
                    <w14:schemeClr w14:val="tx1"/>
                  </w14:solidFill>
                </w14:textFill>
              </w:rPr>
              <w:t>4</w:t>
            </w:r>
          </w:p>
        </w:tc>
        <w:tc>
          <w:tcPr>
            <w:tcW w:w="1782" w:type="dxa"/>
          </w:tcPr>
          <w:p>
            <w:pPr>
              <w:pStyle w:val="391"/>
              <w:autoSpaceDE w:val="0"/>
              <w:autoSpaceDN w:val="0"/>
              <w:spacing w:before="40" w:line="230" w:lineRule="auto"/>
              <w:ind w:left="777" w:right="171" w:hanging="59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灵新大道南延</w:t>
            </w:r>
            <w:r>
              <w:rPr>
                <w:rFonts w:ascii="Times New Roman" w:hAnsi="Times New Roman" w:cs="Times New Roman" w:eastAsiaTheme="minorEastAsia"/>
                <w:b w:val="0"/>
                <w:bCs/>
                <w:color w:val="000000" w:themeColor="text1"/>
                <w14:textFill>
                  <w14:solidFill>
                    <w14:schemeClr w14:val="tx1"/>
                  </w14:solidFill>
                </w14:textFill>
              </w:rPr>
              <w:t>线</w:t>
            </w:r>
          </w:p>
        </w:tc>
        <w:tc>
          <w:tcPr>
            <w:tcW w:w="1343" w:type="dxa"/>
          </w:tcPr>
          <w:p>
            <w:pPr>
              <w:pStyle w:val="391"/>
              <w:autoSpaceDE w:val="0"/>
              <w:autoSpaceDN w:val="0"/>
              <w:spacing w:before="39" w:line="230" w:lineRule="auto"/>
              <w:ind w:left="558" w:right="190" w:hanging="36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城市主干</w:t>
            </w:r>
            <w:r>
              <w:rPr>
                <w:rFonts w:ascii="Times New Roman" w:hAnsi="Times New Roman" w:cs="Times New Roman" w:eastAsiaTheme="minorEastAsia"/>
                <w:b w:val="0"/>
                <w:bCs/>
                <w:color w:val="000000" w:themeColor="text1"/>
                <w14:textFill>
                  <w14:solidFill>
                    <w14:schemeClr w14:val="tx1"/>
                  </w14:solidFill>
                </w14:textFill>
              </w:rPr>
              <w:t>路</w:t>
            </w:r>
          </w:p>
        </w:tc>
        <w:tc>
          <w:tcPr>
            <w:tcW w:w="1342" w:type="dxa"/>
          </w:tcPr>
          <w:p>
            <w:pPr>
              <w:pStyle w:val="391"/>
              <w:autoSpaceDE w:val="0"/>
              <w:autoSpaceDN w:val="0"/>
              <w:spacing w:before="234" w:line="183" w:lineRule="auto"/>
              <w:ind w:left="49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60m</w:t>
            </w:r>
          </w:p>
        </w:tc>
        <w:tc>
          <w:tcPr>
            <w:tcW w:w="1432" w:type="dxa"/>
          </w:tcPr>
          <w:p>
            <w:pPr>
              <w:pStyle w:val="391"/>
              <w:autoSpaceDE w:val="0"/>
              <w:autoSpaceDN w:val="0"/>
              <w:spacing w:before="195" w:line="220" w:lineRule="auto"/>
              <w:ind w:left="12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双向8车道</w:t>
            </w:r>
          </w:p>
        </w:tc>
        <w:tc>
          <w:tcPr>
            <w:tcW w:w="1261" w:type="dxa"/>
          </w:tcPr>
          <w:p>
            <w:pPr>
              <w:pStyle w:val="391"/>
              <w:autoSpaceDE w:val="0"/>
              <w:autoSpaceDN w:val="0"/>
              <w:spacing w:before="195" w:line="222" w:lineRule="auto"/>
              <w:ind w:left="4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南北</w:t>
            </w:r>
          </w:p>
        </w:tc>
        <w:tc>
          <w:tcPr>
            <w:tcW w:w="1258" w:type="dxa"/>
          </w:tcPr>
          <w:p>
            <w:pPr>
              <w:pStyle w:val="391"/>
              <w:autoSpaceDE w:val="0"/>
              <w:autoSpaceDN w:val="0"/>
              <w:spacing w:before="195" w:line="219" w:lineRule="auto"/>
              <w:ind w:left="27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沥青砼</w:t>
            </w:r>
          </w:p>
        </w:tc>
        <w:tc>
          <w:tcPr>
            <w:tcW w:w="1274" w:type="dxa"/>
          </w:tcPr>
          <w:p>
            <w:pPr>
              <w:pStyle w:val="391"/>
              <w:autoSpaceDE w:val="0"/>
              <w:autoSpaceDN w:val="0"/>
              <w:spacing w:before="196" w:line="220" w:lineRule="auto"/>
              <w:jc w:val="center"/>
              <w:rPr>
                <w:rFonts w:ascii="Times New Roman" w:hAnsi="Times New Roman" w:cs="Times New Roman" w:eastAsiaTheme="minorEastAsia"/>
                <w:b w:val="0"/>
                <w:bCs/>
                <w:color w:val="000000" w:themeColor="text1"/>
                <w14:textFill>
                  <w14:solidFill>
                    <w14:schemeClr w14:val="tx1"/>
                  </w14:solidFill>
                </w14:textFill>
              </w:rPr>
            </w:pPr>
            <w:r>
              <w:rPr>
                <w:rFonts w:hint="eastAsia" w:ascii="Times New Roman" w:hAnsi="Times New Roman" w:cs="Times New Roman" w:eastAsiaTheme="minorEastAsia"/>
                <w:b w:val="0"/>
                <w:bCs/>
                <w:color w:val="000000" w:themeColor="text1"/>
                <w:spacing w:val="-3"/>
                <w:lang w:eastAsia="zh-CN"/>
                <w14:textFill>
                  <w14:solidFill>
                    <w14:schemeClr w14:val="tx1"/>
                  </w14:solidFill>
                </w14:textFill>
              </w:rPr>
              <w:t>设计阶段</w:t>
            </w:r>
          </w:p>
        </w:tc>
      </w:tr>
    </w:tbl>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hint="eastAsia" w:ascii="Times New Roman" w:hAnsi="Times New Roman"/>
          <w:b w:val="0"/>
          <w:color w:val="000000" w:themeColor="text1"/>
          <w:sz w:val="24"/>
          <w14:textFill>
            <w14:solidFill>
              <w14:schemeClr w14:val="tx1"/>
            </w14:solidFill>
          </w14:textFill>
        </w:rPr>
        <w:t>本项目将加强与周边道路的方案对接，待周边道路方案明确后进一步确定工程边界及衔接关系。3、</w:t>
      </w:r>
      <w:r>
        <w:rPr>
          <w:rFonts w:ascii="Times New Roman" w:hAnsi="Times New Roman"/>
          <w:b w:val="0"/>
          <w:color w:val="000000" w:themeColor="text1"/>
          <w:sz w:val="24"/>
          <w14:textFill>
            <w14:solidFill>
              <w14:schemeClr w14:val="tx1"/>
            </w14:solidFill>
          </w14:textFill>
        </w:rPr>
        <w:t>现状水系：二十涌、二十一涌、景观水系等；</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本项目地块分布于南沙区万顷沙镇，场地有河道贯通，规划二十涌北路紧邻二十涌，规划横二路紧邻二十一涌。其道路周边主要有龙穴南水道和洪奇怪沥水道。</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本项目所在区域的防洪标准：调控范围内现状地块整体地势较为平坦，地势较低区域具有一定程度的淹水风险，需抬升竖向标高，根据淹没水深计算结果、整体地块高程趋势、河涌管控水位、周边道路工程建设和外江200年一遇水位，地块外海海堤堤顶最低标高宜大于9.01m及以上，地块内场坪最低标高宜大于7.5m及以上，主要场馆标高按不低于8.0m及以上。</w:t>
      </w:r>
    </w:p>
    <w:p>
      <w:pPr>
        <w:spacing w:line="300" w:lineRule="auto"/>
        <w:ind w:firstLine="562" w:firstLineChars="200"/>
        <w:jc w:val="center"/>
        <w:rPr>
          <w:rFonts w:ascii="Times New Roman" w:hAnsi="Times New Roman"/>
          <w:position w:val="-64"/>
        </w:rPr>
      </w:pPr>
      <w:r>
        <w:rPr>
          <w:rFonts w:ascii="Times New Roman" w:hAnsi="Times New Roman"/>
          <w:position w:val="-64"/>
        </w:rPr>
        <w:drawing>
          <wp:inline distT="0" distB="0" distL="0" distR="0">
            <wp:extent cx="5478780" cy="2051685"/>
            <wp:effectExtent l="0" t="0" r="7620" b="5715"/>
            <wp:docPr id="254" name="IM 278"/>
            <wp:cNvGraphicFramePr/>
            <a:graphic xmlns:a="http://schemas.openxmlformats.org/drawingml/2006/main">
              <a:graphicData uri="http://schemas.openxmlformats.org/drawingml/2006/picture">
                <pic:pic xmlns:pic="http://schemas.openxmlformats.org/drawingml/2006/picture">
                  <pic:nvPicPr>
                    <pic:cNvPr id="254" name="IM 278"/>
                    <pic:cNvPicPr/>
                  </pic:nvPicPr>
                  <pic:blipFill>
                    <a:blip r:embed="rId110"/>
                    <a:stretch>
                      <a:fillRect/>
                    </a:stretch>
                  </pic:blipFill>
                  <pic:spPr>
                    <a:xfrm>
                      <a:off x="0" y="0"/>
                      <a:ext cx="5478780" cy="2052066"/>
                    </a:xfrm>
                    <a:prstGeom prst="rect">
                      <a:avLst/>
                    </a:prstGeom>
                  </pic:spPr>
                </pic:pic>
              </a:graphicData>
            </a:graphic>
          </wp:inline>
        </w:drawing>
      </w:r>
    </w:p>
    <w:p>
      <w:pPr>
        <w:spacing w:before="209" w:line="220" w:lineRule="auto"/>
        <w:ind w:left="3934" w:firstLine="480" w:firstLineChars="200"/>
        <w:rPr>
          <w:rFonts w:ascii="Times New Roman" w:hAnsi="Times New Roman"/>
          <w:b w:val="0"/>
          <w:bCs/>
          <w:sz w:val="24"/>
          <w:szCs w:val="24"/>
          <w14:textOutline w14:w="3048" w14:cap="flat" w14:cmpd="sng" w14:algn="ctr">
            <w14:solidFill>
              <w14:srgbClr w14:val="000000"/>
            </w14:solidFill>
            <w14:prstDash w14:val="solid"/>
            <w14:miter w14:val="0"/>
          </w14:textOutline>
        </w:rPr>
      </w:pPr>
      <w:r>
        <w:rPr>
          <w:rFonts w:ascii="Times New Roman" w:hAnsi="Times New Roman"/>
          <w:b w:val="0"/>
          <w:bCs/>
          <w:sz w:val="24"/>
          <w:szCs w:val="24"/>
          <w14:textOutline w14:w="3048" w14:cap="flat" w14:cmpd="sng" w14:algn="ctr">
            <w14:solidFill>
              <w14:srgbClr w14:val="000000"/>
            </w14:solidFill>
            <w14:prstDash w14:val="solid"/>
            <w14:miter w14:val="0"/>
          </w14:textOutline>
        </w:rPr>
        <w:t>现状二十涌</w:t>
      </w:r>
    </w:p>
    <w:p>
      <w:pPr>
        <w:spacing w:line="300" w:lineRule="auto"/>
        <w:ind w:firstLine="562" w:firstLineChars="200"/>
        <w:jc w:val="center"/>
        <w:rPr>
          <w:rFonts w:ascii="Times New Roman" w:hAnsi="Times New Roman"/>
          <w:color w:val="333333"/>
          <w:sz w:val="21"/>
          <w:szCs w:val="21"/>
          <w:shd w:val="clear" w:color="auto" w:fill="FFFFFF"/>
        </w:rPr>
      </w:pPr>
      <w:r>
        <w:rPr>
          <w:rFonts w:ascii="Times New Roman" w:hAnsi="Times New Roman"/>
          <w:position w:val="-64"/>
        </w:rPr>
        <w:drawing>
          <wp:inline distT="0" distB="0" distL="0" distR="0">
            <wp:extent cx="5478145" cy="2051685"/>
            <wp:effectExtent l="0" t="0" r="8255" b="5715"/>
            <wp:docPr id="255" name="IM 284"/>
            <wp:cNvGraphicFramePr/>
            <a:graphic xmlns:a="http://schemas.openxmlformats.org/drawingml/2006/main">
              <a:graphicData uri="http://schemas.openxmlformats.org/drawingml/2006/picture">
                <pic:pic xmlns:pic="http://schemas.openxmlformats.org/drawingml/2006/picture">
                  <pic:nvPicPr>
                    <pic:cNvPr id="255" name="IM 284"/>
                    <pic:cNvPicPr/>
                  </pic:nvPicPr>
                  <pic:blipFill>
                    <a:blip r:embed="rId111"/>
                    <a:stretch>
                      <a:fillRect/>
                    </a:stretch>
                  </pic:blipFill>
                  <pic:spPr>
                    <a:xfrm>
                      <a:off x="0" y="0"/>
                      <a:ext cx="5478779" cy="2052066"/>
                    </a:xfrm>
                    <a:prstGeom prst="rect">
                      <a:avLst/>
                    </a:prstGeom>
                  </pic:spPr>
                </pic:pic>
              </a:graphicData>
            </a:graphic>
          </wp:inline>
        </w:drawing>
      </w:r>
    </w:p>
    <w:p>
      <w:pPr>
        <w:spacing w:before="209" w:line="220" w:lineRule="auto"/>
        <w:ind w:left="3934" w:firstLine="480" w:firstLineChars="200"/>
        <w:rPr>
          <w:rFonts w:ascii="Times New Roman" w:hAnsi="Times New Roman"/>
          <w:b w:val="0"/>
          <w:bCs/>
          <w:sz w:val="24"/>
          <w:szCs w:val="24"/>
          <w14:textOutline w14:w="3048" w14:cap="flat" w14:cmpd="sng" w14:algn="ctr">
            <w14:solidFill>
              <w14:srgbClr w14:val="000000"/>
            </w14:solidFill>
            <w14:prstDash w14:val="solid"/>
            <w14:miter w14:val="0"/>
          </w14:textOutline>
        </w:rPr>
      </w:pPr>
      <w:r>
        <w:rPr>
          <w:rFonts w:ascii="Times New Roman" w:hAnsi="Times New Roman"/>
          <w:b w:val="0"/>
          <w:bCs/>
          <w:sz w:val="24"/>
          <w:szCs w:val="24"/>
          <w14:textOutline w14:w="3048" w14:cap="flat" w14:cmpd="sng" w14:algn="ctr">
            <w14:solidFill>
              <w14:srgbClr w14:val="000000"/>
            </w14:solidFill>
            <w14:prstDash w14:val="solid"/>
            <w14:miter w14:val="0"/>
          </w14:textOutline>
        </w:rPr>
        <w:t>现状二十一涌</w:t>
      </w:r>
    </w:p>
    <w:p>
      <w:pPr>
        <w:spacing w:before="209" w:line="220" w:lineRule="auto"/>
        <w:rPr>
          <w:rFonts w:hint="eastAsia" w:ascii="Times New Roman" w:hAnsi="Times New Roman" w:eastAsia="宋体"/>
          <w:b w:val="0"/>
          <w:color w:val="000000" w:themeColor="text1"/>
          <w:sz w:val="24"/>
          <w:lang w:eastAsia="zh-CN"/>
          <w14:textFill>
            <w14:solidFill>
              <w14:schemeClr w14:val="tx1"/>
            </w14:solidFill>
          </w14:textFill>
        </w:rPr>
      </w:pPr>
      <w:r>
        <w:rPr>
          <w:rFonts w:hint="eastAsia" w:ascii="Times New Roman" w:hAnsi="Times New Roman"/>
          <w:b w:val="0"/>
          <w:color w:val="000000" w:themeColor="text1"/>
          <w:sz w:val="24"/>
          <w14:textFill>
            <w14:solidFill>
              <w14:schemeClr w14:val="tx1"/>
            </w14:solidFill>
          </w14:textFill>
        </w:rPr>
        <w:t>4、</w:t>
      </w:r>
      <w:r>
        <w:rPr>
          <w:rFonts w:ascii="Times New Roman" w:hAnsi="Times New Roman"/>
          <w:b w:val="0"/>
          <w:color w:val="000000" w:themeColor="text1"/>
          <w:sz w:val="24"/>
          <w14:textFill>
            <w14:solidFill>
              <w14:schemeClr w14:val="tx1"/>
            </w14:solidFill>
          </w14:textFill>
        </w:rPr>
        <w:t>现状</w:t>
      </w:r>
      <w:r>
        <w:rPr>
          <w:rFonts w:hint="eastAsia" w:ascii="Times New Roman" w:hAnsi="Times New Roman"/>
          <w:b w:val="0"/>
          <w:color w:val="000000" w:themeColor="text1"/>
          <w:sz w:val="24"/>
          <w14:textFill>
            <w14:solidFill>
              <w14:schemeClr w14:val="tx1"/>
            </w14:solidFill>
          </w14:textFill>
        </w:rPr>
        <w:t>管线</w:t>
      </w:r>
      <w:r>
        <w:rPr>
          <w:rFonts w:hint="eastAsia" w:ascii="Times New Roman" w:hAnsi="Times New Roman"/>
          <w:b w:val="0"/>
          <w:color w:val="000000" w:themeColor="text1"/>
          <w:sz w:val="24"/>
          <w:lang w:eastAsia="zh-CN"/>
          <w14:textFill>
            <w14:solidFill>
              <w14:schemeClr w14:val="tx1"/>
            </w14:solidFill>
          </w14:textFill>
        </w:rPr>
        <w:t>：</w:t>
      </w:r>
    </w:p>
    <w:p>
      <w:pPr>
        <w:pStyle w:val="31"/>
        <w:spacing w:line="300" w:lineRule="auto"/>
        <w:ind w:firstLine="720" w:firstLineChars="300"/>
        <w:rPr>
          <w:rFonts w:ascii="Times New Roman" w:hAnsi="Times New Roman" w:cs="Times New Roman"/>
          <w:b w:val="0"/>
          <w:color w:val="000000" w:themeColor="text1"/>
          <w:sz w:val="24"/>
          <w:szCs w:val="24"/>
          <w14:textFill>
            <w14:solidFill>
              <w14:schemeClr w14:val="tx1"/>
            </w14:solidFill>
          </w14:textFill>
        </w:rPr>
      </w:pPr>
      <w:r>
        <w:rPr>
          <w:rFonts w:ascii="Times New Roman" w:hAnsi="Times New Roman" w:cs="Times New Roman"/>
          <w:b w:val="0"/>
          <w:color w:val="000000" w:themeColor="text1"/>
          <w:sz w:val="24"/>
          <w:szCs w:val="24"/>
          <w14:textFill>
            <w14:solidFill>
              <w14:schemeClr w14:val="tx1"/>
            </w14:solidFill>
          </w14:textFill>
        </w:rPr>
        <w:t>根据现场调查，道路红线范围内局部存在施工生活区配套雨污水管道，高压电线、通信电缆等</w:t>
      </w:r>
      <w:r>
        <w:rPr>
          <w:rFonts w:hint="eastAsia" w:ascii="Times New Roman" w:hAnsi="Times New Roman" w:cs="Times New Roman"/>
          <w:b w:val="0"/>
          <w:color w:val="000000" w:themeColor="text1"/>
          <w:sz w:val="24"/>
          <w:szCs w:val="24"/>
          <w14:textFill>
            <w14:solidFill>
              <w14:schemeClr w14:val="tx1"/>
            </w14:solidFill>
          </w14:textFill>
        </w:rPr>
        <w:t>，无在建规划管线。</w:t>
      </w:r>
      <w:r>
        <w:rPr>
          <w:rFonts w:ascii="Times New Roman" w:hAnsi="Times New Roman" w:cs="Times New Roman"/>
          <w:b w:val="0"/>
          <w:color w:val="000000" w:themeColor="text1"/>
          <w:sz w:val="24"/>
          <w:szCs w:val="24"/>
          <w14:textFill>
            <w14:solidFill>
              <w14:schemeClr w14:val="tx1"/>
            </w14:solidFill>
          </w14:textFill>
        </w:rPr>
        <w:t>现阶段暂无道路周边地块相关雨污水管线接驳条件，后期将进一步对接道路周边拟建及在建地块，做好地块雨污水管线与市政雨污水管线的接驳。</w:t>
      </w:r>
      <w:r>
        <w:rPr>
          <w:rFonts w:hint="eastAsia" w:ascii="Times New Roman" w:hAnsi="Times New Roman" w:cs="Times New Roman"/>
          <w:b w:val="0"/>
          <w:color w:val="000000" w:themeColor="text1"/>
          <w:sz w:val="24"/>
          <w:szCs w:val="24"/>
          <w14:textFill>
            <w14:solidFill>
              <w14:schemeClr w14:val="tx1"/>
            </w14:solidFill>
          </w14:textFill>
        </w:rPr>
        <w:t>5、</w:t>
      </w:r>
      <w:r>
        <w:rPr>
          <w:rFonts w:ascii="Times New Roman" w:hAnsi="Times New Roman" w:cs="Times New Roman"/>
          <w:b w:val="0"/>
          <w:color w:val="000000" w:themeColor="text1"/>
          <w:sz w:val="24"/>
          <w:szCs w:val="24"/>
          <w14:textFill>
            <w14:solidFill>
              <w14:schemeClr w14:val="tx1"/>
            </w14:solidFill>
          </w14:textFill>
        </w:rPr>
        <w:t>现状</w:t>
      </w:r>
      <w:r>
        <w:rPr>
          <w:rFonts w:hint="eastAsia" w:ascii="Times New Roman" w:hAnsi="Times New Roman" w:cs="Times New Roman"/>
          <w:b w:val="0"/>
          <w:color w:val="000000" w:themeColor="text1"/>
          <w:sz w:val="24"/>
          <w:szCs w:val="24"/>
          <w14:textFill>
            <w14:solidFill>
              <w14:schemeClr w14:val="tx1"/>
            </w14:solidFill>
          </w14:textFill>
        </w:rPr>
        <w:t>轨道交通18号线</w:t>
      </w:r>
      <w:r>
        <w:rPr>
          <w:rFonts w:ascii="Times New Roman" w:hAnsi="Times New Roman" w:cs="Times New Roman"/>
          <w:b w:val="0"/>
          <w:color w:val="000000" w:themeColor="text1"/>
          <w:sz w:val="24"/>
          <w:szCs w:val="24"/>
          <w14:textFill>
            <w14:solidFill>
              <w14:schemeClr w14:val="tx1"/>
            </w14:solidFill>
          </w14:textFill>
        </w:rPr>
        <w:t>；</w:t>
      </w:r>
    </w:p>
    <w:p>
      <w:pPr>
        <w:pStyle w:val="31"/>
        <w:spacing w:line="300" w:lineRule="auto"/>
        <w:ind w:firstLine="720" w:firstLineChars="3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规划二十涌南二路范围内设有</w:t>
      </w:r>
      <w:r>
        <w:rPr>
          <w:rFonts w:hint="eastAsia" w:ascii="Times New Roman" w:hAnsi="Times New Roman"/>
          <w:b w:val="0"/>
          <w:color w:val="000000" w:themeColor="text1"/>
          <w:sz w:val="24"/>
          <w14:textFill>
            <w14:solidFill>
              <w14:schemeClr w14:val="tx1"/>
            </w14:solidFill>
          </w14:textFill>
        </w:rPr>
        <w:t>轨道交通18号线</w:t>
      </w:r>
      <w:r>
        <w:rPr>
          <w:rFonts w:ascii="Times New Roman" w:hAnsi="Times New Roman"/>
          <w:b w:val="0"/>
          <w:color w:val="000000" w:themeColor="text1"/>
          <w:sz w:val="24"/>
          <w:szCs w:val="24"/>
          <w14:textFill>
            <w14:solidFill>
              <w14:schemeClr w14:val="tx1"/>
            </w14:solidFill>
          </w14:textFill>
        </w:rPr>
        <w:t>二十涌地铁站，</w:t>
      </w:r>
      <w:r>
        <w:rPr>
          <w:rFonts w:hint="eastAsia" w:ascii="Times New Roman" w:hAnsi="Times New Roman"/>
          <w:b w:val="0"/>
          <w:color w:val="000000" w:themeColor="text1"/>
          <w:sz w:val="24"/>
          <w:szCs w:val="24"/>
          <w14:textFill>
            <w14:solidFill>
              <w14:schemeClr w14:val="tx1"/>
            </w14:solidFill>
          </w14:textFill>
        </w:rPr>
        <w:t>需</w:t>
      </w:r>
      <w:r>
        <w:rPr>
          <w:rFonts w:ascii="Times New Roman" w:hAnsi="Times New Roman"/>
          <w:b w:val="0"/>
          <w:color w:val="000000" w:themeColor="text1"/>
          <w:sz w:val="24"/>
          <w:szCs w:val="24"/>
          <w14:textFill>
            <w14:solidFill>
              <w14:schemeClr w14:val="tx1"/>
            </w14:solidFill>
          </w14:textFill>
        </w:rPr>
        <w:t>从平面设计、纵断面设计、软基处理等多方面综合考虑二十涌轨道站与二十涌南二路共建。</w:t>
      </w:r>
    </w:p>
    <w:p>
      <w:pPr>
        <w:spacing w:line="300" w:lineRule="auto"/>
        <w:ind w:firstLine="562" w:firstLineChars="200"/>
        <w:rPr>
          <w:rFonts w:ascii="Times New Roman" w:hAnsi="Times New Roman"/>
          <w:b w:val="0"/>
          <w:color w:val="000000" w:themeColor="text1"/>
          <w:sz w:val="24"/>
          <w14:textFill>
            <w14:solidFill>
              <w14:schemeClr w14:val="tx1"/>
            </w14:solidFill>
          </w14:textFill>
        </w:rPr>
      </w:pPr>
      <w:r>
        <w:rPr>
          <w:rFonts w:ascii="Times New Roman" w:hAnsi="Times New Roman"/>
        </w:rPr>
        <w:drawing>
          <wp:inline distT="0" distB="0" distL="0" distR="0">
            <wp:extent cx="6514465" cy="4431030"/>
            <wp:effectExtent l="0" t="0" r="635" b="7620"/>
            <wp:docPr id="236" name="图片 236" descr="https://p7.itc.cn/q_70/images03/20230806/d54b01dc740f43f993377852eeb9f7b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descr="https://p7.itc.cn/q_70/images03/20230806/d54b01dc740f43f993377852eeb9f7ba.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6514465" cy="4431030"/>
                    </a:xfrm>
                    <a:prstGeom prst="rect">
                      <a:avLst/>
                    </a:prstGeom>
                    <a:noFill/>
                    <a:ln>
                      <a:noFill/>
                    </a:ln>
                  </pic:spPr>
                </pic:pic>
              </a:graphicData>
            </a:graphic>
          </wp:inline>
        </w:drawing>
      </w:r>
    </w:p>
    <w:p>
      <w:pPr>
        <w:spacing w:line="300" w:lineRule="auto"/>
        <w:ind w:firstLine="422" w:firstLineChars="200"/>
        <w:jc w:val="center"/>
        <w:rPr>
          <w:rFonts w:ascii="Times New Roman" w:hAnsi="Times New Roman"/>
          <w:b w:val="0"/>
          <w:color w:val="000000" w:themeColor="text1"/>
          <w:sz w:val="24"/>
          <w14:textFill>
            <w14:solidFill>
              <w14:schemeClr w14:val="tx1"/>
            </w14:solidFill>
          </w14:textFill>
        </w:rPr>
      </w:pPr>
      <w:r>
        <w:rPr>
          <w:rFonts w:ascii="Times New Roman" w:hAnsi="Times New Roman"/>
          <w:color w:val="000000" w:themeColor="text1"/>
          <w:sz w:val="21"/>
          <w14:textFill>
            <w14:solidFill>
              <w14:schemeClr w14:val="tx1"/>
            </w14:solidFill>
          </w14:textFill>
        </w:rPr>
        <w:t>规划平面图</w:t>
      </w:r>
    </w:p>
    <w:bookmarkEnd w:id="133"/>
    <w:p>
      <w:pPr>
        <w:pStyle w:val="4"/>
        <w:ind w:firstLine="482" w:firstLineChars="200"/>
      </w:pPr>
      <w:bookmarkStart w:id="136" w:name="_Toc98235880"/>
      <w:bookmarkStart w:id="137" w:name="_Toc11946"/>
      <w:r>
        <w:t>工程采用的技术标准和要求</w:t>
      </w:r>
      <w:bookmarkEnd w:id="136"/>
      <w:bookmarkEnd w:id="137"/>
    </w:p>
    <w:p>
      <w:pPr>
        <w:spacing w:line="300" w:lineRule="auto"/>
        <w:ind w:firstLine="480" w:firstLineChars="200"/>
        <w:rPr>
          <w:rFonts w:ascii="Times New Roman" w:hAnsi="Times New Roman"/>
          <w:b w:val="0"/>
          <w:color w:val="auto"/>
          <w:sz w:val="24"/>
          <w:szCs w:val="24"/>
        </w:rPr>
      </w:pPr>
      <w:r>
        <w:rPr>
          <w:rFonts w:ascii="Times New Roman" w:hAnsi="Times New Roman"/>
          <w:b w:val="0"/>
          <w:color w:val="000000" w:themeColor="text1"/>
          <w:sz w:val="24"/>
          <w:szCs w:val="24"/>
          <w14:textFill>
            <w14:solidFill>
              <w14:schemeClr w14:val="tx1"/>
            </w14:solidFill>
          </w14:textFill>
        </w:rPr>
        <w:t>本项目位于南沙新区万顷沙镇，北至二十涌，南至二十一涌，现状以海域和鱼塘为主，项目周边有南沙湿地、百万葵园、水鸟世界生态园等景观湿地，生态基底条件出色。建设内容主要为市政基础配套设施。</w:t>
      </w:r>
      <w:r>
        <w:rPr>
          <w:rFonts w:ascii="Times New Roman" w:hAnsi="Times New Roman"/>
          <w:b w:val="0"/>
          <w:color w:val="auto"/>
          <w:sz w:val="24"/>
          <w:szCs w:val="24"/>
        </w:rPr>
        <w:t>本项目包含</w:t>
      </w:r>
      <w:r>
        <w:rPr>
          <w:rFonts w:hint="eastAsia" w:ascii="Times New Roman" w:hAnsi="Times New Roman"/>
          <w:b w:val="0"/>
          <w:color w:val="auto"/>
          <w:sz w:val="24"/>
          <w:szCs w:val="24"/>
        </w:rPr>
        <w:t>2</w:t>
      </w:r>
      <w:r>
        <w:rPr>
          <w:rFonts w:ascii="Times New Roman" w:hAnsi="Times New Roman"/>
          <w:b w:val="0"/>
          <w:color w:val="auto"/>
          <w:sz w:val="24"/>
          <w:szCs w:val="24"/>
        </w:rPr>
        <w:t>条新建市政道路，其中城市主干路</w:t>
      </w:r>
      <w:r>
        <w:rPr>
          <w:rFonts w:hint="eastAsia" w:ascii="Times New Roman" w:hAnsi="Times New Roman"/>
          <w:b w:val="0"/>
          <w:color w:val="auto"/>
          <w:sz w:val="24"/>
          <w:szCs w:val="24"/>
        </w:rPr>
        <w:t>1</w:t>
      </w:r>
      <w:r>
        <w:rPr>
          <w:rFonts w:ascii="Times New Roman" w:hAnsi="Times New Roman"/>
          <w:b w:val="0"/>
          <w:color w:val="auto"/>
          <w:sz w:val="24"/>
          <w:szCs w:val="24"/>
        </w:rPr>
        <w:t>条，设计速度60km/h，为二十涌北路，全长约</w:t>
      </w:r>
      <w:r>
        <w:rPr>
          <w:rFonts w:hint="eastAsia" w:ascii="Times New Roman" w:hAnsi="Times New Roman"/>
          <w:b w:val="0"/>
          <w:color w:val="auto"/>
          <w:sz w:val="24"/>
          <w:szCs w:val="24"/>
        </w:rPr>
        <w:t>1852</w:t>
      </w:r>
      <w:r>
        <w:rPr>
          <w:rFonts w:ascii="Times New Roman" w:hAnsi="Times New Roman"/>
          <w:b w:val="0"/>
          <w:color w:val="auto"/>
          <w:sz w:val="24"/>
          <w:szCs w:val="24"/>
        </w:rPr>
        <w:t>m；城市次干路</w:t>
      </w:r>
      <w:r>
        <w:rPr>
          <w:rFonts w:hint="eastAsia" w:ascii="Times New Roman" w:hAnsi="Times New Roman"/>
          <w:b w:val="0"/>
          <w:color w:val="auto"/>
          <w:sz w:val="24"/>
          <w:szCs w:val="24"/>
        </w:rPr>
        <w:t>1</w:t>
      </w:r>
      <w:r>
        <w:rPr>
          <w:rFonts w:ascii="Times New Roman" w:hAnsi="Times New Roman"/>
          <w:b w:val="0"/>
          <w:color w:val="auto"/>
          <w:sz w:val="24"/>
          <w:szCs w:val="24"/>
        </w:rPr>
        <w:t>条，设计速度40km/h，分别为规划纵三路，次干路全长约</w:t>
      </w:r>
      <w:r>
        <w:rPr>
          <w:rFonts w:hint="eastAsia" w:ascii="Times New Roman" w:hAnsi="Times New Roman"/>
          <w:b w:val="0"/>
          <w:color w:val="auto"/>
          <w:sz w:val="24"/>
          <w:szCs w:val="24"/>
        </w:rPr>
        <w:t>1485</w:t>
      </w:r>
      <w:r>
        <w:rPr>
          <w:rFonts w:ascii="Times New Roman" w:hAnsi="Times New Roman"/>
          <w:b w:val="0"/>
          <w:color w:val="auto"/>
          <w:sz w:val="24"/>
          <w:szCs w:val="24"/>
        </w:rPr>
        <w:t>m；新建桥涵</w:t>
      </w:r>
      <w:r>
        <w:rPr>
          <w:rFonts w:hint="eastAsia" w:ascii="Times New Roman" w:hAnsi="Times New Roman"/>
          <w:b w:val="0"/>
          <w:color w:val="auto"/>
          <w:sz w:val="24"/>
          <w:szCs w:val="24"/>
        </w:rPr>
        <w:t>2</w:t>
      </w:r>
      <w:r>
        <w:rPr>
          <w:rFonts w:ascii="Times New Roman" w:hAnsi="Times New Roman"/>
          <w:b w:val="0"/>
          <w:color w:val="auto"/>
          <w:sz w:val="24"/>
          <w:szCs w:val="24"/>
        </w:rPr>
        <w:t>座，涵洞1座。</w:t>
      </w:r>
    </w:p>
    <w:p>
      <w:pPr>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项目设计内容包括：道路、桥涵、交通、</w:t>
      </w:r>
      <w:r>
        <w:rPr>
          <w:rFonts w:hint="eastAsia" w:ascii="Times New Roman" w:hAnsi="Times New Roman"/>
          <w:b w:val="0"/>
          <w:color w:val="000000" w:themeColor="text1"/>
          <w:sz w:val="24"/>
          <w:szCs w:val="24"/>
          <w14:textFill>
            <w14:solidFill>
              <w14:schemeClr w14:val="tx1"/>
            </w14:solidFill>
          </w14:textFill>
        </w:rPr>
        <w:t>排水</w:t>
      </w:r>
      <w:r>
        <w:rPr>
          <w:rFonts w:ascii="Times New Roman" w:hAnsi="Times New Roman"/>
          <w:b w:val="0"/>
          <w:color w:val="000000" w:themeColor="text1"/>
          <w:sz w:val="24"/>
          <w:szCs w:val="24"/>
          <w14:textFill>
            <w14:solidFill>
              <w14:schemeClr w14:val="tx1"/>
            </w14:solidFill>
          </w14:textFill>
        </w:rPr>
        <w:t>、照明、电力管沟、绿化等工程。</w:t>
      </w:r>
    </w:p>
    <w:p>
      <w:pPr>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道路的主要技术标准和要求详见下表。</w:t>
      </w:r>
    </w:p>
    <w:p>
      <w:pPr>
        <w:pStyle w:val="4"/>
        <w:ind w:firstLine="482" w:firstLineChars="200"/>
      </w:pPr>
      <w:bookmarkStart w:id="138" w:name="_Toc24382"/>
      <w:r>
        <w:t>工程设计标准及采用的技术指标</w:t>
      </w:r>
      <w:bookmarkEnd w:id="138"/>
    </w:p>
    <w:p>
      <w:pPr>
        <w:spacing w:before="183" w:line="219" w:lineRule="auto"/>
        <w:ind w:left="4218" w:firstLine="478" w:firstLineChars="200"/>
        <w:rPr>
          <w:rFonts w:ascii="Times New Roman" w:hAnsi="Times New Roman"/>
          <w:sz w:val="24"/>
          <w:szCs w:val="24"/>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主干路主要技术标准</w:t>
      </w:r>
    </w:p>
    <w:tbl>
      <w:tblPr>
        <w:tblStyle w:val="379"/>
        <w:tblW w:w="692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044"/>
        <w:gridCol w:w="807"/>
        <w:gridCol w:w="1366"/>
        <w:gridCol w:w="171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9" w:hRule="atLeast"/>
          <w:jc w:val="center"/>
        </w:trPr>
        <w:tc>
          <w:tcPr>
            <w:tcW w:w="3044" w:type="dxa"/>
            <w:vMerge w:val="restart"/>
            <w:tcBorders>
              <w:bottom w:val="nil"/>
            </w:tcBorders>
          </w:tcPr>
          <w:p>
            <w:pPr>
              <w:pStyle w:val="391"/>
              <w:autoSpaceDE w:val="0"/>
              <w:autoSpaceDN w:val="0"/>
              <w:spacing w:before="78" w:line="220" w:lineRule="auto"/>
              <w:ind w:left="130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项目</w:t>
            </w:r>
          </w:p>
        </w:tc>
        <w:tc>
          <w:tcPr>
            <w:tcW w:w="807" w:type="dxa"/>
            <w:vMerge w:val="restart"/>
            <w:tcBorders>
              <w:bottom w:val="nil"/>
            </w:tcBorders>
          </w:tcPr>
          <w:p>
            <w:pPr>
              <w:pStyle w:val="391"/>
              <w:autoSpaceDE w:val="0"/>
              <w:autoSpaceDN w:val="0"/>
              <w:spacing w:before="78" w:line="220" w:lineRule="auto"/>
              <w:ind w:left="17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单位</w:t>
            </w:r>
          </w:p>
        </w:tc>
        <w:tc>
          <w:tcPr>
            <w:tcW w:w="1366" w:type="dxa"/>
            <w:vMerge w:val="restart"/>
            <w:tcBorders>
              <w:bottom w:val="nil"/>
            </w:tcBorders>
          </w:tcPr>
          <w:p>
            <w:pPr>
              <w:pStyle w:val="391"/>
              <w:autoSpaceDE w:val="0"/>
              <w:autoSpaceDN w:val="0"/>
              <w:spacing w:before="78" w:line="220" w:lineRule="auto"/>
              <w:ind w:left="33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规范值</w:t>
            </w:r>
          </w:p>
        </w:tc>
        <w:tc>
          <w:tcPr>
            <w:tcW w:w="1710" w:type="dxa"/>
          </w:tcPr>
          <w:p>
            <w:pPr>
              <w:pStyle w:val="391"/>
              <w:autoSpaceDE w:val="0"/>
              <w:autoSpaceDN w:val="0"/>
              <w:spacing w:before="157" w:line="220" w:lineRule="auto"/>
              <w:jc w:val="center"/>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设计值</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3044"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807"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1366"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1710" w:type="dxa"/>
          </w:tcPr>
          <w:p>
            <w:pPr>
              <w:pStyle w:val="391"/>
              <w:autoSpaceDE w:val="0"/>
              <w:autoSpaceDN w:val="0"/>
              <w:spacing w:before="134" w:line="220" w:lineRule="auto"/>
              <w:ind w:left="26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二十涌北路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jc w:val="center"/>
        </w:trPr>
        <w:tc>
          <w:tcPr>
            <w:tcW w:w="3044" w:type="dxa"/>
          </w:tcPr>
          <w:p>
            <w:pPr>
              <w:pStyle w:val="391"/>
              <w:autoSpaceDE w:val="0"/>
              <w:autoSpaceDN w:val="0"/>
              <w:spacing w:before="134" w:line="220" w:lineRule="auto"/>
              <w:ind w:left="105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道路级别</w:t>
            </w:r>
          </w:p>
        </w:tc>
        <w:tc>
          <w:tcPr>
            <w:tcW w:w="807" w:type="dxa"/>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1366" w:type="dxa"/>
          </w:tcPr>
          <w:p>
            <w:pPr>
              <w:pStyle w:val="391"/>
              <w:autoSpaceDE w:val="0"/>
              <w:autoSpaceDN w:val="0"/>
              <w:spacing w:before="135" w:line="219" w:lineRule="auto"/>
              <w:ind w:left="33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主干路</w:t>
            </w:r>
          </w:p>
        </w:tc>
        <w:tc>
          <w:tcPr>
            <w:tcW w:w="1710" w:type="dxa"/>
          </w:tcPr>
          <w:p>
            <w:pPr>
              <w:pStyle w:val="391"/>
              <w:autoSpaceDE w:val="0"/>
              <w:autoSpaceDN w:val="0"/>
              <w:spacing w:before="135" w:line="219" w:lineRule="auto"/>
              <w:ind w:left="50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主干路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3044" w:type="dxa"/>
          </w:tcPr>
          <w:p>
            <w:pPr>
              <w:pStyle w:val="391"/>
              <w:autoSpaceDE w:val="0"/>
              <w:autoSpaceDN w:val="0"/>
              <w:spacing w:before="134" w:line="220" w:lineRule="auto"/>
              <w:ind w:left="106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设计速度</w:t>
            </w:r>
          </w:p>
        </w:tc>
        <w:tc>
          <w:tcPr>
            <w:tcW w:w="807" w:type="dxa"/>
          </w:tcPr>
          <w:p>
            <w:pPr>
              <w:pStyle w:val="391"/>
              <w:autoSpaceDE w:val="0"/>
              <w:autoSpaceDN w:val="0"/>
              <w:spacing w:before="135" w:line="225" w:lineRule="auto"/>
              <w:ind w:left="16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Km/h</w:t>
            </w:r>
          </w:p>
        </w:tc>
        <w:tc>
          <w:tcPr>
            <w:tcW w:w="1366" w:type="dxa"/>
          </w:tcPr>
          <w:p>
            <w:pPr>
              <w:pStyle w:val="391"/>
              <w:autoSpaceDE w:val="0"/>
              <w:autoSpaceDN w:val="0"/>
              <w:spacing w:before="173" w:line="183" w:lineRule="auto"/>
              <w:ind w:left="57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60</w:t>
            </w:r>
          </w:p>
        </w:tc>
        <w:tc>
          <w:tcPr>
            <w:tcW w:w="1710" w:type="dxa"/>
          </w:tcPr>
          <w:p>
            <w:pPr>
              <w:pStyle w:val="391"/>
              <w:autoSpaceDE w:val="0"/>
              <w:autoSpaceDN w:val="0"/>
              <w:spacing w:before="173" w:line="183" w:lineRule="auto"/>
              <w:ind w:left="74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60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3044" w:type="dxa"/>
          </w:tcPr>
          <w:p>
            <w:pPr>
              <w:pStyle w:val="391"/>
              <w:autoSpaceDE w:val="0"/>
              <w:autoSpaceDN w:val="0"/>
              <w:spacing w:before="134" w:line="220" w:lineRule="auto"/>
              <w:ind w:left="81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路面设计年限</w:t>
            </w:r>
          </w:p>
        </w:tc>
        <w:tc>
          <w:tcPr>
            <w:tcW w:w="807" w:type="dxa"/>
          </w:tcPr>
          <w:p>
            <w:pPr>
              <w:pStyle w:val="391"/>
              <w:autoSpaceDE w:val="0"/>
              <w:autoSpaceDN w:val="0"/>
              <w:spacing w:before="135" w:line="220" w:lineRule="auto"/>
              <w:ind w:left="29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年</w:t>
            </w:r>
          </w:p>
        </w:tc>
        <w:tc>
          <w:tcPr>
            <w:tcW w:w="1366" w:type="dxa"/>
          </w:tcPr>
          <w:p>
            <w:pPr>
              <w:pStyle w:val="391"/>
              <w:autoSpaceDE w:val="0"/>
              <w:autoSpaceDN w:val="0"/>
              <w:spacing w:before="172" w:line="184" w:lineRule="auto"/>
              <w:ind w:left="58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4"/>
                <w14:textFill>
                  <w14:solidFill>
                    <w14:schemeClr w14:val="tx1"/>
                  </w14:solidFill>
                </w14:textFill>
              </w:rPr>
              <w:t>15</w:t>
            </w:r>
          </w:p>
        </w:tc>
        <w:tc>
          <w:tcPr>
            <w:tcW w:w="1710" w:type="dxa"/>
          </w:tcPr>
          <w:p>
            <w:pPr>
              <w:pStyle w:val="391"/>
              <w:autoSpaceDE w:val="0"/>
              <w:autoSpaceDN w:val="0"/>
              <w:spacing w:before="172" w:line="184" w:lineRule="auto"/>
              <w:ind w:left="75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4"/>
                <w14:textFill>
                  <w14:solidFill>
                    <w14:schemeClr w14:val="tx1"/>
                  </w14:solidFill>
                </w14:textFill>
              </w:rPr>
              <w:t>15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jc w:val="center"/>
        </w:trPr>
        <w:tc>
          <w:tcPr>
            <w:tcW w:w="3044" w:type="dxa"/>
          </w:tcPr>
          <w:p>
            <w:pPr>
              <w:pStyle w:val="391"/>
              <w:autoSpaceDE w:val="0"/>
              <w:autoSpaceDN w:val="0"/>
              <w:spacing w:before="135" w:line="220" w:lineRule="auto"/>
              <w:ind w:left="81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路面设计载荷</w:t>
            </w:r>
          </w:p>
        </w:tc>
        <w:tc>
          <w:tcPr>
            <w:tcW w:w="807" w:type="dxa"/>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1366" w:type="dxa"/>
          </w:tcPr>
          <w:p>
            <w:pPr>
              <w:pStyle w:val="391"/>
              <w:autoSpaceDE w:val="0"/>
              <w:autoSpaceDN w:val="0"/>
              <w:spacing w:before="173" w:line="184" w:lineRule="auto"/>
              <w:ind w:left="26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BZZ-100</w:t>
            </w:r>
          </w:p>
        </w:tc>
        <w:tc>
          <w:tcPr>
            <w:tcW w:w="1710" w:type="dxa"/>
          </w:tcPr>
          <w:p>
            <w:pPr>
              <w:pStyle w:val="391"/>
              <w:autoSpaceDE w:val="0"/>
              <w:autoSpaceDN w:val="0"/>
              <w:spacing w:before="173" w:line="184" w:lineRule="auto"/>
              <w:ind w:left="43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BZZ-100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3044" w:type="dxa"/>
          </w:tcPr>
          <w:p>
            <w:pPr>
              <w:pStyle w:val="391"/>
              <w:autoSpaceDE w:val="0"/>
              <w:autoSpaceDN w:val="0"/>
              <w:spacing w:before="134" w:line="220" w:lineRule="auto"/>
              <w:ind w:left="106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行车净高</w:t>
            </w:r>
          </w:p>
        </w:tc>
        <w:tc>
          <w:tcPr>
            <w:tcW w:w="807" w:type="dxa"/>
          </w:tcPr>
          <w:p>
            <w:pPr>
              <w:pStyle w:val="391"/>
              <w:autoSpaceDE w:val="0"/>
              <w:autoSpaceDN w:val="0"/>
              <w:spacing w:before="136" w:line="241" w:lineRule="auto"/>
              <w:ind w:left="3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366" w:type="dxa"/>
          </w:tcPr>
          <w:p>
            <w:pPr>
              <w:pStyle w:val="391"/>
              <w:autoSpaceDE w:val="0"/>
              <w:autoSpaceDN w:val="0"/>
              <w:spacing w:before="174" w:line="183" w:lineRule="auto"/>
              <w:ind w:left="508"/>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3"/>
                <w:lang w:eastAsia="zh-CN"/>
                <w14:textFill>
                  <w14:solidFill>
                    <w14:schemeClr w14:val="tx1"/>
                  </w14:solidFill>
                </w14:textFill>
              </w:rPr>
              <w:t>4.5</w:t>
            </w:r>
          </w:p>
        </w:tc>
        <w:tc>
          <w:tcPr>
            <w:tcW w:w="1710" w:type="dxa"/>
          </w:tcPr>
          <w:p>
            <w:pPr>
              <w:pStyle w:val="391"/>
              <w:autoSpaceDE w:val="0"/>
              <w:autoSpaceDN w:val="0"/>
              <w:spacing w:before="174" w:line="183" w:lineRule="auto"/>
              <w:ind w:left="68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3"/>
                <w:lang w:eastAsia="zh-CN"/>
                <w14:textFill>
                  <w14:solidFill>
                    <w14:schemeClr w14:val="tx1"/>
                  </w14:solidFill>
                </w14:textFill>
              </w:rPr>
              <w:t>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3044" w:type="dxa"/>
          </w:tcPr>
          <w:p>
            <w:pPr>
              <w:pStyle w:val="391"/>
              <w:autoSpaceDE w:val="0"/>
              <w:autoSpaceDN w:val="0"/>
              <w:spacing w:before="135" w:line="220" w:lineRule="auto"/>
              <w:ind w:left="105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路面横坡</w:t>
            </w:r>
          </w:p>
        </w:tc>
        <w:tc>
          <w:tcPr>
            <w:tcW w:w="807" w:type="dxa"/>
          </w:tcPr>
          <w:p>
            <w:pPr>
              <w:pStyle w:val="391"/>
              <w:autoSpaceDE w:val="0"/>
              <w:autoSpaceDN w:val="0"/>
              <w:spacing w:before="136"/>
              <w:ind w:left="3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w:t>
            </w:r>
          </w:p>
        </w:tc>
        <w:tc>
          <w:tcPr>
            <w:tcW w:w="1366" w:type="dxa"/>
          </w:tcPr>
          <w:p>
            <w:pPr>
              <w:pStyle w:val="391"/>
              <w:autoSpaceDE w:val="0"/>
              <w:autoSpaceDN w:val="0"/>
              <w:spacing w:before="175" w:line="183" w:lineRule="auto"/>
              <w:ind w:left="63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2</w:t>
            </w:r>
          </w:p>
        </w:tc>
        <w:tc>
          <w:tcPr>
            <w:tcW w:w="1710" w:type="dxa"/>
          </w:tcPr>
          <w:p>
            <w:pPr>
              <w:pStyle w:val="391"/>
              <w:autoSpaceDE w:val="0"/>
              <w:autoSpaceDN w:val="0"/>
              <w:spacing w:before="175" w:line="183" w:lineRule="auto"/>
              <w:ind w:left="80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jc w:val="center"/>
        </w:trPr>
        <w:tc>
          <w:tcPr>
            <w:tcW w:w="3044" w:type="dxa"/>
          </w:tcPr>
          <w:p>
            <w:pPr>
              <w:pStyle w:val="391"/>
              <w:autoSpaceDE w:val="0"/>
              <w:autoSpaceDN w:val="0"/>
              <w:spacing w:before="136" w:line="220" w:lineRule="auto"/>
              <w:ind w:left="58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不设加宽最小半径</w:t>
            </w:r>
          </w:p>
        </w:tc>
        <w:tc>
          <w:tcPr>
            <w:tcW w:w="807" w:type="dxa"/>
          </w:tcPr>
          <w:p>
            <w:pPr>
              <w:pStyle w:val="391"/>
              <w:autoSpaceDE w:val="0"/>
              <w:autoSpaceDN w:val="0"/>
              <w:spacing w:before="138" w:line="241" w:lineRule="auto"/>
              <w:ind w:left="3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366" w:type="dxa"/>
          </w:tcPr>
          <w:p>
            <w:pPr>
              <w:pStyle w:val="391"/>
              <w:autoSpaceDE w:val="0"/>
              <w:autoSpaceDN w:val="0"/>
              <w:spacing w:before="175" w:line="183" w:lineRule="auto"/>
              <w:ind w:left="51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250</w:t>
            </w:r>
          </w:p>
        </w:tc>
        <w:tc>
          <w:tcPr>
            <w:tcW w:w="1710" w:type="dxa"/>
          </w:tcPr>
          <w:p>
            <w:pPr>
              <w:pStyle w:val="391"/>
              <w:autoSpaceDE w:val="0"/>
              <w:autoSpaceDN w:val="0"/>
              <w:spacing w:before="136" w:line="225" w:lineRule="auto"/>
              <w:ind w:left="8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3044" w:type="dxa"/>
          </w:tcPr>
          <w:p>
            <w:pPr>
              <w:pStyle w:val="391"/>
              <w:autoSpaceDE w:val="0"/>
              <w:autoSpaceDN w:val="0"/>
              <w:spacing w:before="135" w:line="220" w:lineRule="auto"/>
              <w:ind w:left="58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不设超高最小半径</w:t>
            </w:r>
          </w:p>
        </w:tc>
        <w:tc>
          <w:tcPr>
            <w:tcW w:w="807" w:type="dxa"/>
          </w:tcPr>
          <w:p>
            <w:pPr>
              <w:pStyle w:val="391"/>
              <w:autoSpaceDE w:val="0"/>
              <w:autoSpaceDN w:val="0"/>
              <w:spacing w:before="137" w:line="241" w:lineRule="auto"/>
              <w:ind w:left="3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366" w:type="dxa"/>
          </w:tcPr>
          <w:p>
            <w:pPr>
              <w:pStyle w:val="391"/>
              <w:autoSpaceDE w:val="0"/>
              <w:autoSpaceDN w:val="0"/>
              <w:spacing w:before="175" w:line="183" w:lineRule="auto"/>
              <w:ind w:left="51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600</w:t>
            </w:r>
          </w:p>
        </w:tc>
        <w:tc>
          <w:tcPr>
            <w:tcW w:w="1710" w:type="dxa"/>
          </w:tcPr>
          <w:p>
            <w:pPr>
              <w:pStyle w:val="391"/>
              <w:autoSpaceDE w:val="0"/>
              <w:autoSpaceDN w:val="0"/>
              <w:spacing w:before="135" w:line="225" w:lineRule="auto"/>
              <w:ind w:left="8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3044" w:type="dxa"/>
          </w:tcPr>
          <w:p>
            <w:pPr>
              <w:pStyle w:val="391"/>
              <w:autoSpaceDE w:val="0"/>
              <w:autoSpaceDN w:val="0"/>
              <w:spacing w:before="136" w:line="220" w:lineRule="auto"/>
              <w:ind w:left="341"/>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不设缓和曲线最小半径</w:t>
            </w:r>
          </w:p>
        </w:tc>
        <w:tc>
          <w:tcPr>
            <w:tcW w:w="807" w:type="dxa"/>
          </w:tcPr>
          <w:p>
            <w:pPr>
              <w:pStyle w:val="391"/>
              <w:autoSpaceDE w:val="0"/>
              <w:autoSpaceDN w:val="0"/>
              <w:spacing w:before="138" w:line="241" w:lineRule="auto"/>
              <w:ind w:left="3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366" w:type="dxa"/>
          </w:tcPr>
          <w:p>
            <w:pPr>
              <w:pStyle w:val="391"/>
              <w:autoSpaceDE w:val="0"/>
              <w:autoSpaceDN w:val="0"/>
              <w:spacing w:before="174" w:line="184" w:lineRule="auto"/>
              <w:ind w:left="46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6"/>
                <w14:textFill>
                  <w14:solidFill>
                    <w14:schemeClr w14:val="tx1"/>
                  </w14:solidFill>
                </w14:textFill>
              </w:rPr>
              <w:t>1000</w:t>
            </w:r>
          </w:p>
        </w:tc>
        <w:tc>
          <w:tcPr>
            <w:tcW w:w="1710" w:type="dxa"/>
          </w:tcPr>
          <w:p>
            <w:pPr>
              <w:pStyle w:val="391"/>
              <w:autoSpaceDE w:val="0"/>
              <w:autoSpaceDN w:val="0"/>
              <w:spacing w:before="136" w:line="225" w:lineRule="auto"/>
              <w:ind w:left="8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jc w:val="center"/>
        </w:trPr>
        <w:tc>
          <w:tcPr>
            <w:tcW w:w="3044" w:type="dxa"/>
          </w:tcPr>
          <w:p>
            <w:pPr>
              <w:pStyle w:val="391"/>
              <w:autoSpaceDE w:val="0"/>
              <w:autoSpaceDN w:val="0"/>
              <w:spacing w:before="137" w:line="220" w:lineRule="auto"/>
              <w:ind w:left="71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圆曲线最小长度</w:t>
            </w:r>
          </w:p>
        </w:tc>
        <w:tc>
          <w:tcPr>
            <w:tcW w:w="807" w:type="dxa"/>
          </w:tcPr>
          <w:p>
            <w:pPr>
              <w:pStyle w:val="391"/>
              <w:autoSpaceDE w:val="0"/>
              <w:autoSpaceDN w:val="0"/>
              <w:spacing w:before="139" w:line="241" w:lineRule="auto"/>
              <w:ind w:left="3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366" w:type="dxa"/>
          </w:tcPr>
          <w:p>
            <w:pPr>
              <w:pStyle w:val="391"/>
              <w:autoSpaceDE w:val="0"/>
              <w:autoSpaceDN w:val="0"/>
              <w:spacing w:before="176" w:line="183" w:lineRule="auto"/>
              <w:ind w:left="57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8"/>
                <w14:textFill>
                  <w14:solidFill>
                    <w14:schemeClr w14:val="tx1"/>
                  </w14:solidFill>
                </w14:textFill>
              </w:rPr>
              <w:t>50</w:t>
            </w:r>
          </w:p>
        </w:tc>
        <w:tc>
          <w:tcPr>
            <w:tcW w:w="1710" w:type="dxa"/>
          </w:tcPr>
          <w:p>
            <w:pPr>
              <w:pStyle w:val="391"/>
              <w:autoSpaceDE w:val="0"/>
              <w:autoSpaceDN w:val="0"/>
              <w:spacing w:before="137" w:line="225" w:lineRule="auto"/>
              <w:ind w:left="8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3044" w:type="dxa"/>
          </w:tcPr>
          <w:p>
            <w:pPr>
              <w:pStyle w:val="391"/>
              <w:autoSpaceDE w:val="0"/>
              <w:autoSpaceDN w:val="0"/>
              <w:spacing w:before="136" w:line="220" w:lineRule="auto"/>
              <w:ind w:left="474"/>
              <w:rPr>
                <w:rFonts w:ascii="Times New Roman" w:hAnsi="Times New Roman" w:cs="Times New Roman" w:eastAsiaTheme="minorEastAsia"/>
                <w:b w:val="0"/>
                <w:bCs/>
                <w:color w:val="000000" w:themeColor="text1"/>
                <w14:textFill>
                  <w14:solidFill>
                    <w14:schemeClr w14:val="tx1"/>
                  </w14:solidFill>
                </w14:textFill>
              </w:rPr>
            </w:pPr>
            <w:r>
              <w:rPr>
                <w:rFonts w:hint="eastAsia" w:ascii="Times New Roman" w:hAnsi="Times New Roman" w:cs="Times New Roman" w:eastAsiaTheme="minorEastAsia"/>
                <w:b w:val="0"/>
                <w:bCs/>
                <w:color w:val="000000" w:themeColor="text1"/>
                <w:spacing w:val="-3"/>
                <w:lang w:eastAsia="zh-CN"/>
                <w14:textFill>
                  <w14:solidFill>
                    <w14:schemeClr w14:val="tx1"/>
                  </w14:solidFill>
                </w14:textFill>
              </w:rPr>
              <w:t>凹形</w:t>
            </w:r>
            <w:r>
              <w:rPr>
                <w:rFonts w:ascii="Times New Roman" w:hAnsi="Times New Roman" w:cs="Times New Roman" w:eastAsiaTheme="minorEastAsia"/>
                <w:b w:val="0"/>
                <w:bCs/>
                <w:color w:val="000000" w:themeColor="text1"/>
                <w:spacing w:val="-3"/>
                <w14:textFill>
                  <w14:solidFill>
                    <w14:schemeClr w14:val="tx1"/>
                  </w14:solidFill>
                </w14:textFill>
              </w:rPr>
              <w:t>竖曲线最小半径</w:t>
            </w:r>
          </w:p>
        </w:tc>
        <w:tc>
          <w:tcPr>
            <w:tcW w:w="807" w:type="dxa"/>
          </w:tcPr>
          <w:p>
            <w:pPr>
              <w:pStyle w:val="391"/>
              <w:autoSpaceDE w:val="0"/>
              <w:autoSpaceDN w:val="0"/>
              <w:spacing w:before="138" w:line="241" w:lineRule="auto"/>
              <w:ind w:left="3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366" w:type="dxa"/>
          </w:tcPr>
          <w:p>
            <w:pPr>
              <w:pStyle w:val="391"/>
              <w:autoSpaceDE w:val="0"/>
              <w:autoSpaceDN w:val="0"/>
              <w:spacing w:before="175" w:line="184" w:lineRule="auto"/>
              <w:ind w:left="46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6"/>
                <w14:textFill>
                  <w14:solidFill>
                    <w14:schemeClr w14:val="tx1"/>
                  </w14:solidFill>
                </w14:textFill>
              </w:rPr>
              <w:t>1500</w:t>
            </w:r>
          </w:p>
        </w:tc>
        <w:tc>
          <w:tcPr>
            <w:tcW w:w="1710" w:type="dxa"/>
          </w:tcPr>
          <w:p>
            <w:pPr>
              <w:pStyle w:val="391"/>
              <w:autoSpaceDE w:val="0"/>
              <w:autoSpaceDN w:val="0"/>
              <w:spacing w:before="174" w:line="184" w:lineRule="auto"/>
              <w:ind w:left="57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5"/>
                <w14:textFill>
                  <w14:solidFill>
                    <w14:schemeClr w14:val="tx1"/>
                  </w14:solidFill>
                </w14:textFill>
              </w:rPr>
              <w:t>13000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3044" w:type="dxa"/>
          </w:tcPr>
          <w:p>
            <w:pPr>
              <w:pStyle w:val="391"/>
              <w:autoSpaceDE w:val="0"/>
              <w:autoSpaceDN w:val="0"/>
              <w:spacing w:before="137" w:line="220" w:lineRule="auto"/>
              <w:ind w:left="479"/>
              <w:rPr>
                <w:rFonts w:ascii="Times New Roman" w:hAnsi="Times New Roman" w:cs="Times New Roman" w:eastAsiaTheme="minorEastAsia"/>
                <w:b w:val="0"/>
                <w:bCs/>
                <w:color w:val="000000" w:themeColor="text1"/>
                <w14:textFill>
                  <w14:solidFill>
                    <w14:schemeClr w14:val="tx1"/>
                  </w14:solidFill>
                </w14:textFill>
              </w:rPr>
            </w:pPr>
            <w:r>
              <w:rPr>
                <w:rFonts w:hint="eastAsia" w:ascii="Times New Roman" w:hAnsi="Times New Roman" w:cs="Times New Roman" w:eastAsiaTheme="minorEastAsia"/>
                <w:b w:val="0"/>
                <w:bCs/>
                <w:color w:val="000000" w:themeColor="text1"/>
                <w:spacing w:val="-4"/>
                <w:lang w:eastAsia="zh-CN"/>
                <w14:textFill>
                  <w14:solidFill>
                    <w14:schemeClr w14:val="tx1"/>
                  </w14:solidFill>
                </w14:textFill>
              </w:rPr>
              <w:t>凸形</w:t>
            </w:r>
            <w:r>
              <w:rPr>
                <w:rFonts w:ascii="Times New Roman" w:hAnsi="Times New Roman" w:cs="Times New Roman" w:eastAsiaTheme="minorEastAsia"/>
                <w:b w:val="0"/>
                <w:bCs/>
                <w:color w:val="000000" w:themeColor="text1"/>
                <w:spacing w:val="-4"/>
                <w14:textFill>
                  <w14:solidFill>
                    <w14:schemeClr w14:val="tx1"/>
                  </w14:solidFill>
                </w14:textFill>
              </w:rPr>
              <w:t>竖曲线最小半径</w:t>
            </w:r>
          </w:p>
        </w:tc>
        <w:tc>
          <w:tcPr>
            <w:tcW w:w="807" w:type="dxa"/>
          </w:tcPr>
          <w:p>
            <w:pPr>
              <w:pStyle w:val="391"/>
              <w:autoSpaceDE w:val="0"/>
              <w:autoSpaceDN w:val="0"/>
              <w:spacing w:before="139" w:line="241" w:lineRule="auto"/>
              <w:ind w:left="3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366" w:type="dxa"/>
          </w:tcPr>
          <w:p>
            <w:pPr>
              <w:pStyle w:val="391"/>
              <w:autoSpaceDE w:val="0"/>
              <w:autoSpaceDN w:val="0"/>
              <w:spacing w:before="175" w:line="184" w:lineRule="auto"/>
              <w:ind w:left="46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6"/>
                <w14:textFill>
                  <w14:solidFill>
                    <w14:schemeClr w14:val="tx1"/>
                  </w14:solidFill>
                </w14:textFill>
              </w:rPr>
              <w:t>1800</w:t>
            </w:r>
          </w:p>
        </w:tc>
        <w:tc>
          <w:tcPr>
            <w:tcW w:w="1710" w:type="dxa"/>
          </w:tcPr>
          <w:p>
            <w:pPr>
              <w:pStyle w:val="391"/>
              <w:autoSpaceDE w:val="0"/>
              <w:autoSpaceDN w:val="0"/>
              <w:spacing w:before="174" w:line="184" w:lineRule="auto"/>
              <w:ind w:left="57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5"/>
                <w14:textFill>
                  <w14:solidFill>
                    <w14:schemeClr w14:val="tx1"/>
                  </w14:solidFill>
                </w14:textFill>
              </w:rPr>
              <w:t>11000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jc w:val="center"/>
        </w:trPr>
        <w:tc>
          <w:tcPr>
            <w:tcW w:w="3044" w:type="dxa"/>
          </w:tcPr>
          <w:p>
            <w:pPr>
              <w:pStyle w:val="391"/>
              <w:autoSpaceDE w:val="0"/>
              <w:autoSpaceDN w:val="0"/>
              <w:spacing w:before="138" w:line="220" w:lineRule="auto"/>
              <w:ind w:left="106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最大纵坡</w:t>
            </w:r>
          </w:p>
        </w:tc>
        <w:tc>
          <w:tcPr>
            <w:tcW w:w="807" w:type="dxa"/>
          </w:tcPr>
          <w:p>
            <w:pPr>
              <w:pStyle w:val="391"/>
              <w:autoSpaceDE w:val="0"/>
              <w:autoSpaceDN w:val="0"/>
              <w:spacing w:before="139"/>
              <w:ind w:left="3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w:t>
            </w:r>
          </w:p>
        </w:tc>
        <w:tc>
          <w:tcPr>
            <w:tcW w:w="1366" w:type="dxa"/>
          </w:tcPr>
          <w:p>
            <w:pPr>
              <w:pStyle w:val="391"/>
              <w:autoSpaceDE w:val="0"/>
              <w:autoSpaceDN w:val="0"/>
              <w:spacing w:before="179" w:line="182" w:lineRule="auto"/>
              <w:ind w:left="63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5</w:t>
            </w:r>
          </w:p>
        </w:tc>
        <w:tc>
          <w:tcPr>
            <w:tcW w:w="1710" w:type="dxa"/>
          </w:tcPr>
          <w:p>
            <w:pPr>
              <w:pStyle w:val="391"/>
              <w:autoSpaceDE w:val="0"/>
              <w:autoSpaceDN w:val="0"/>
              <w:spacing w:before="176" w:line="183" w:lineRule="auto"/>
              <w:ind w:left="62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0.63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8" w:hRule="atLeast"/>
          <w:jc w:val="center"/>
        </w:trPr>
        <w:tc>
          <w:tcPr>
            <w:tcW w:w="3044" w:type="dxa"/>
          </w:tcPr>
          <w:p>
            <w:pPr>
              <w:pStyle w:val="391"/>
              <w:autoSpaceDE w:val="0"/>
              <w:autoSpaceDN w:val="0"/>
              <w:spacing w:before="137" w:line="220" w:lineRule="auto"/>
              <w:ind w:left="106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最小坡长</w:t>
            </w:r>
          </w:p>
        </w:tc>
        <w:tc>
          <w:tcPr>
            <w:tcW w:w="807" w:type="dxa"/>
          </w:tcPr>
          <w:p>
            <w:pPr>
              <w:pStyle w:val="391"/>
              <w:autoSpaceDE w:val="0"/>
              <w:autoSpaceDN w:val="0"/>
              <w:spacing w:before="139" w:line="241" w:lineRule="auto"/>
              <w:ind w:left="3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366" w:type="dxa"/>
          </w:tcPr>
          <w:p>
            <w:pPr>
              <w:pStyle w:val="391"/>
              <w:autoSpaceDE w:val="0"/>
              <w:autoSpaceDN w:val="0"/>
              <w:spacing w:before="176" w:line="184" w:lineRule="auto"/>
              <w:ind w:left="52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150</w:t>
            </w:r>
          </w:p>
        </w:tc>
        <w:tc>
          <w:tcPr>
            <w:tcW w:w="1710" w:type="dxa"/>
          </w:tcPr>
          <w:p>
            <w:pPr>
              <w:pStyle w:val="391"/>
              <w:autoSpaceDE w:val="0"/>
              <w:autoSpaceDN w:val="0"/>
              <w:spacing w:before="176" w:line="183" w:lineRule="auto"/>
              <w:ind w:left="68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200</w:t>
            </w:r>
          </w:p>
        </w:tc>
      </w:tr>
    </w:tbl>
    <w:p>
      <w:pPr>
        <w:spacing w:before="113" w:line="219" w:lineRule="auto"/>
        <w:ind w:left="4211" w:firstLine="478" w:firstLineChars="200"/>
        <w:rPr>
          <w:rFonts w:ascii="Times New Roman" w:hAnsi="Times New Roman"/>
          <w:sz w:val="24"/>
          <w:szCs w:val="24"/>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次干路主要技术标准</w:t>
      </w:r>
    </w:p>
    <w:tbl>
      <w:tblPr>
        <w:tblStyle w:val="379"/>
        <w:tblW w:w="6002"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640"/>
        <w:gridCol w:w="702"/>
        <w:gridCol w:w="1181"/>
        <w:gridCol w:w="1479"/>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8" w:hRule="atLeast"/>
          <w:jc w:val="center"/>
        </w:trPr>
        <w:tc>
          <w:tcPr>
            <w:tcW w:w="2640" w:type="dxa"/>
            <w:vMerge w:val="restart"/>
            <w:tcBorders>
              <w:bottom w:val="nil"/>
            </w:tcBorders>
          </w:tcPr>
          <w:p>
            <w:pPr>
              <w:pStyle w:val="391"/>
              <w:autoSpaceDE w:val="0"/>
              <w:autoSpaceDN w:val="0"/>
              <w:spacing w:before="78" w:line="220" w:lineRule="auto"/>
              <w:ind w:left="11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项目</w:t>
            </w:r>
          </w:p>
        </w:tc>
        <w:tc>
          <w:tcPr>
            <w:tcW w:w="702" w:type="dxa"/>
            <w:vMerge w:val="restart"/>
            <w:tcBorders>
              <w:bottom w:val="nil"/>
            </w:tcBorders>
          </w:tcPr>
          <w:p>
            <w:pPr>
              <w:pStyle w:val="391"/>
              <w:autoSpaceDE w:val="0"/>
              <w:autoSpaceDN w:val="0"/>
              <w:spacing w:before="78" w:line="220" w:lineRule="auto"/>
              <w:ind w:left="11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单位</w:t>
            </w:r>
          </w:p>
        </w:tc>
        <w:tc>
          <w:tcPr>
            <w:tcW w:w="1181" w:type="dxa"/>
            <w:vMerge w:val="restart"/>
            <w:tcBorders>
              <w:bottom w:val="nil"/>
            </w:tcBorders>
          </w:tcPr>
          <w:p>
            <w:pPr>
              <w:pStyle w:val="391"/>
              <w:autoSpaceDE w:val="0"/>
              <w:autoSpaceDN w:val="0"/>
              <w:spacing w:before="78" w:line="220" w:lineRule="auto"/>
              <w:ind w:left="23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规范值</w:t>
            </w:r>
          </w:p>
        </w:tc>
        <w:tc>
          <w:tcPr>
            <w:tcW w:w="1479" w:type="dxa"/>
          </w:tcPr>
          <w:p>
            <w:pPr>
              <w:pStyle w:val="391"/>
              <w:autoSpaceDE w:val="0"/>
              <w:autoSpaceDN w:val="0"/>
              <w:spacing w:before="157" w:line="220" w:lineRule="auto"/>
              <w:jc w:val="center"/>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设计值</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jc w:val="center"/>
        </w:trPr>
        <w:tc>
          <w:tcPr>
            <w:tcW w:w="2640"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702"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1181"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1479" w:type="dxa"/>
          </w:tcPr>
          <w:p>
            <w:pPr>
              <w:pStyle w:val="391"/>
              <w:autoSpaceDE w:val="0"/>
              <w:autoSpaceDN w:val="0"/>
              <w:spacing w:before="192" w:line="220" w:lineRule="auto"/>
              <w:ind w:left="8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规划纵三路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6" w:line="220" w:lineRule="auto"/>
              <w:ind w:left="85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道路级别</w:t>
            </w:r>
          </w:p>
        </w:tc>
        <w:tc>
          <w:tcPr>
            <w:tcW w:w="702" w:type="dxa"/>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1181" w:type="dxa"/>
          </w:tcPr>
          <w:p>
            <w:pPr>
              <w:pStyle w:val="391"/>
              <w:autoSpaceDE w:val="0"/>
              <w:autoSpaceDN w:val="0"/>
              <w:spacing w:before="136" w:line="219" w:lineRule="auto"/>
              <w:ind w:left="2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次干路</w:t>
            </w:r>
          </w:p>
        </w:tc>
        <w:tc>
          <w:tcPr>
            <w:tcW w:w="1479" w:type="dxa"/>
          </w:tcPr>
          <w:p>
            <w:pPr>
              <w:pStyle w:val="391"/>
              <w:autoSpaceDE w:val="0"/>
              <w:autoSpaceDN w:val="0"/>
              <w:spacing w:before="136" w:line="219" w:lineRule="auto"/>
              <w:ind w:left="32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次干路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58" w:line="220" w:lineRule="auto"/>
              <w:ind w:left="860"/>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设计速度</w:t>
            </w:r>
          </w:p>
        </w:tc>
        <w:tc>
          <w:tcPr>
            <w:tcW w:w="702" w:type="dxa"/>
          </w:tcPr>
          <w:p>
            <w:pPr>
              <w:pStyle w:val="391"/>
              <w:autoSpaceDE w:val="0"/>
              <w:autoSpaceDN w:val="0"/>
              <w:spacing w:before="157" w:line="225" w:lineRule="auto"/>
              <w:ind w:left="112"/>
              <w:rPr>
                <w:rFonts w:ascii="Times New Roman" w:hAnsi="Times New Roman" w:cs="Times New Roman" w:eastAsiaTheme="minorEastAsia"/>
                <w:b w:val="0"/>
                <w:bCs/>
                <w:color w:val="000000" w:themeColor="text1"/>
                <w:sz w:val="2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Km/h</w:t>
            </w:r>
          </w:p>
        </w:tc>
        <w:tc>
          <w:tcPr>
            <w:tcW w:w="1181" w:type="dxa"/>
          </w:tcPr>
          <w:p>
            <w:pPr>
              <w:pStyle w:val="391"/>
              <w:autoSpaceDE w:val="0"/>
              <w:autoSpaceDN w:val="0"/>
              <w:spacing w:before="196" w:line="183" w:lineRule="auto"/>
              <w:ind w:left="474"/>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40</w:t>
            </w:r>
          </w:p>
        </w:tc>
        <w:tc>
          <w:tcPr>
            <w:tcW w:w="1479" w:type="dxa"/>
          </w:tcPr>
          <w:p>
            <w:pPr>
              <w:pStyle w:val="391"/>
              <w:autoSpaceDE w:val="0"/>
              <w:autoSpaceDN w:val="0"/>
              <w:spacing w:before="196" w:line="183" w:lineRule="auto"/>
              <w:ind w:left="558"/>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40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3" w:line="220" w:lineRule="auto"/>
              <w:ind w:left="618"/>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路面设计年限</w:t>
            </w:r>
          </w:p>
        </w:tc>
        <w:tc>
          <w:tcPr>
            <w:tcW w:w="702" w:type="dxa"/>
          </w:tcPr>
          <w:p>
            <w:pPr>
              <w:pStyle w:val="391"/>
              <w:autoSpaceDE w:val="0"/>
              <w:autoSpaceDN w:val="0"/>
              <w:spacing w:before="133" w:line="220" w:lineRule="auto"/>
              <w:ind w:left="236"/>
              <w:rPr>
                <w:rFonts w:ascii="Times New Roman" w:hAnsi="Times New Roman" w:cs="Times New Roman" w:eastAsiaTheme="minorEastAsia"/>
                <w:b w:val="0"/>
                <w:bCs/>
                <w:color w:val="000000" w:themeColor="text1"/>
                <w:sz w:val="2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年</w:t>
            </w:r>
          </w:p>
        </w:tc>
        <w:tc>
          <w:tcPr>
            <w:tcW w:w="1181" w:type="dxa"/>
          </w:tcPr>
          <w:p>
            <w:pPr>
              <w:pStyle w:val="391"/>
              <w:autoSpaceDE w:val="0"/>
              <w:autoSpaceDN w:val="0"/>
              <w:spacing w:before="170" w:line="184" w:lineRule="auto"/>
              <w:ind w:left="493"/>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14"/>
                <w14:textFill>
                  <w14:solidFill>
                    <w14:schemeClr w14:val="tx1"/>
                  </w14:solidFill>
                </w14:textFill>
              </w:rPr>
              <w:t>15</w:t>
            </w:r>
          </w:p>
        </w:tc>
        <w:tc>
          <w:tcPr>
            <w:tcW w:w="1479" w:type="dxa"/>
          </w:tcPr>
          <w:p>
            <w:pPr>
              <w:pStyle w:val="391"/>
              <w:autoSpaceDE w:val="0"/>
              <w:autoSpaceDN w:val="0"/>
              <w:spacing w:before="170" w:line="184" w:lineRule="auto"/>
              <w:ind w:left="577"/>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15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4" w:line="220" w:lineRule="auto"/>
              <w:ind w:left="618"/>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路面设计载荷</w:t>
            </w:r>
          </w:p>
        </w:tc>
        <w:tc>
          <w:tcPr>
            <w:tcW w:w="702" w:type="dxa"/>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1181" w:type="dxa"/>
          </w:tcPr>
          <w:p>
            <w:pPr>
              <w:pStyle w:val="391"/>
              <w:autoSpaceDE w:val="0"/>
              <w:autoSpaceDN w:val="0"/>
              <w:spacing w:before="171" w:line="184" w:lineRule="auto"/>
              <w:ind w:left="170"/>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BZZ-100</w:t>
            </w:r>
          </w:p>
        </w:tc>
        <w:tc>
          <w:tcPr>
            <w:tcW w:w="1479" w:type="dxa"/>
          </w:tcPr>
          <w:p>
            <w:pPr>
              <w:pStyle w:val="391"/>
              <w:autoSpaceDE w:val="0"/>
              <w:autoSpaceDN w:val="0"/>
              <w:spacing w:before="171" w:line="184" w:lineRule="auto"/>
              <w:ind w:left="254"/>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BZZ-100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4" w:line="220" w:lineRule="auto"/>
              <w:ind w:left="860"/>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行车净高</w:t>
            </w:r>
          </w:p>
        </w:tc>
        <w:tc>
          <w:tcPr>
            <w:tcW w:w="702" w:type="dxa"/>
          </w:tcPr>
          <w:p>
            <w:pPr>
              <w:pStyle w:val="391"/>
              <w:autoSpaceDE w:val="0"/>
              <w:autoSpaceDN w:val="0"/>
              <w:spacing w:before="135" w:line="241" w:lineRule="auto"/>
              <w:ind w:left="289"/>
              <w:rPr>
                <w:rFonts w:ascii="Times New Roman" w:hAnsi="Times New Roman" w:cs="Times New Roman" w:eastAsiaTheme="minorEastAsia"/>
                <w:b w:val="0"/>
                <w:bCs/>
                <w:color w:val="000000" w:themeColor="text1"/>
                <w:sz w:val="2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181" w:type="dxa"/>
          </w:tcPr>
          <w:p>
            <w:pPr>
              <w:pStyle w:val="391"/>
              <w:autoSpaceDE w:val="0"/>
              <w:autoSpaceDN w:val="0"/>
              <w:spacing w:before="173" w:line="183" w:lineRule="auto"/>
              <w:ind w:left="414"/>
              <w:rPr>
                <w:rFonts w:ascii="Times New Roman" w:hAnsi="Times New Roman" w:cs="Times New Roman" w:eastAsiaTheme="minorEastAsia"/>
                <w:b w:val="0"/>
                <w:bCs/>
                <w:color w:val="000000" w:themeColor="text1"/>
                <w:spacing w:val="-4"/>
                <w:lang w:eastAsia="zh-CN"/>
                <w14:textFill>
                  <w14:solidFill>
                    <w14:schemeClr w14:val="tx1"/>
                  </w14:solidFill>
                </w14:textFill>
              </w:rPr>
            </w:pPr>
            <w:r>
              <w:rPr>
                <w:rFonts w:ascii="Times New Roman" w:hAnsi="Times New Roman" w:cs="Times New Roman" w:eastAsiaTheme="minorEastAsia"/>
                <w:b w:val="0"/>
                <w:bCs/>
                <w:color w:val="000000" w:themeColor="text1"/>
                <w:spacing w:val="-3"/>
                <w:lang w:eastAsia="zh-CN"/>
                <w14:textFill>
                  <w14:solidFill>
                    <w14:schemeClr w14:val="tx1"/>
                  </w14:solidFill>
                </w14:textFill>
              </w:rPr>
              <w:t>4.5</w:t>
            </w:r>
          </w:p>
        </w:tc>
        <w:tc>
          <w:tcPr>
            <w:tcW w:w="1479" w:type="dxa"/>
          </w:tcPr>
          <w:p>
            <w:pPr>
              <w:pStyle w:val="391"/>
              <w:autoSpaceDE w:val="0"/>
              <w:autoSpaceDN w:val="0"/>
              <w:spacing w:before="174" w:line="183" w:lineRule="auto"/>
              <w:ind w:left="498"/>
              <w:rPr>
                <w:rFonts w:ascii="Times New Roman" w:hAnsi="Times New Roman" w:cs="Times New Roman" w:eastAsiaTheme="minorEastAsia"/>
                <w:b w:val="0"/>
                <w:bCs/>
                <w:color w:val="000000" w:themeColor="text1"/>
                <w:spacing w:val="-4"/>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5" w:line="220" w:lineRule="auto"/>
              <w:ind w:left="858"/>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路面横坡</w:t>
            </w:r>
          </w:p>
        </w:tc>
        <w:tc>
          <w:tcPr>
            <w:tcW w:w="702" w:type="dxa"/>
          </w:tcPr>
          <w:p>
            <w:pPr>
              <w:pStyle w:val="391"/>
              <w:autoSpaceDE w:val="0"/>
              <w:autoSpaceDN w:val="0"/>
              <w:spacing w:before="135"/>
              <w:ind w:left="289"/>
              <w:rPr>
                <w:rFonts w:ascii="Times New Roman" w:hAnsi="Times New Roman" w:cs="Times New Roman" w:eastAsiaTheme="minorEastAsia"/>
                <w:b w:val="0"/>
                <w:bCs/>
                <w:color w:val="000000" w:themeColor="text1"/>
                <w:sz w:val="2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w:t>
            </w:r>
          </w:p>
        </w:tc>
        <w:tc>
          <w:tcPr>
            <w:tcW w:w="1181" w:type="dxa"/>
          </w:tcPr>
          <w:p>
            <w:pPr>
              <w:pStyle w:val="391"/>
              <w:autoSpaceDE w:val="0"/>
              <w:autoSpaceDN w:val="0"/>
              <w:spacing w:before="173" w:line="183" w:lineRule="auto"/>
              <w:ind w:left="538"/>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2</w:t>
            </w:r>
          </w:p>
        </w:tc>
        <w:tc>
          <w:tcPr>
            <w:tcW w:w="1479" w:type="dxa"/>
          </w:tcPr>
          <w:p>
            <w:pPr>
              <w:pStyle w:val="391"/>
              <w:autoSpaceDE w:val="0"/>
              <w:autoSpaceDN w:val="0"/>
              <w:spacing w:before="173" w:line="183" w:lineRule="auto"/>
              <w:ind w:left="622"/>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6" w:line="220" w:lineRule="auto"/>
              <w:ind w:left="380"/>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不设加宽最小半径</w:t>
            </w:r>
          </w:p>
        </w:tc>
        <w:tc>
          <w:tcPr>
            <w:tcW w:w="702" w:type="dxa"/>
          </w:tcPr>
          <w:p>
            <w:pPr>
              <w:pStyle w:val="391"/>
              <w:autoSpaceDE w:val="0"/>
              <w:autoSpaceDN w:val="0"/>
              <w:spacing w:before="136" w:line="241" w:lineRule="auto"/>
              <w:ind w:left="289"/>
              <w:rPr>
                <w:rFonts w:ascii="Times New Roman" w:hAnsi="Times New Roman" w:cs="Times New Roman" w:eastAsiaTheme="minorEastAsia"/>
                <w:b w:val="0"/>
                <w:bCs/>
                <w:color w:val="000000" w:themeColor="text1"/>
                <w:sz w:val="2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181" w:type="dxa"/>
          </w:tcPr>
          <w:p>
            <w:pPr>
              <w:pStyle w:val="391"/>
              <w:autoSpaceDE w:val="0"/>
              <w:autoSpaceDN w:val="0"/>
              <w:spacing w:before="174" w:line="183" w:lineRule="auto"/>
              <w:ind w:left="418"/>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250</w:t>
            </w:r>
          </w:p>
        </w:tc>
        <w:tc>
          <w:tcPr>
            <w:tcW w:w="1479" w:type="dxa"/>
          </w:tcPr>
          <w:p>
            <w:pPr>
              <w:pStyle w:val="391"/>
              <w:autoSpaceDE w:val="0"/>
              <w:autoSpaceDN w:val="0"/>
              <w:spacing w:before="174" w:line="183" w:lineRule="auto"/>
              <w:ind w:left="504"/>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500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5" w:line="220" w:lineRule="auto"/>
              <w:ind w:left="380"/>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不设超高最小半径</w:t>
            </w:r>
          </w:p>
        </w:tc>
        <w:tc>
          <w:tcPr>
            <w:tcW w:w="702" w:type="dxa"/>
          </w:tcPr>
          <w:p>
            <w:pPr>
              <w:pStyle w:val="391"/>
              <w:autoSpaceDE w:val="0"/>
              <w:autoSpaceDN w:val="0"/>
              <w:spacing w:before="136" w:line="241" w:lineRule="auto"/>
              <w:ind w:left="289"/>
              <w:rPr>
                <w:rFonts w:ascii="Times New Roman" w:hAnsi="Times New Roman" w:cs="Times New Roman" w:eastAsiaTheme="minorEastAsia"/>
                <w:b w:val="0"/>
                <w:bCs/>
                <w:color w:val="000000" w:themeColor="text1"/>
                <w:sz w:val="2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181" w:type="dxa"/>
          </w:tcPr>
          <w:p>
            <w:pPr>
              <w:pStyle w:val="391"/>
              <w:autoSpaceDE w:val="0"/>
              <w:autoSpaceDN w:val="0"/>
              <w:spacing w:before="174" w:line="183" w:lineRule="auto"/>
              <w:ind w:left="420"/>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300</w:t>
            </w:r>
          </w:p>
        </w:tc>
        <w:tc>
          <w:tcPr>
            <w:tcW w:w="1479" w:type="dxa"/>
          </w:tcPr>
          <w:p>
            <w:pPr>
              <w:pStyle w:val="391"/>
              <w:autoSpaceDE w:val="0"/>
              <w:autoSpaceDN w:val="0"/>
              <w:spacing w:before="174" w:line="183" w:lineRule="auto"/>
              <w:ind w:left="504"/>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500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6" w:line="220" w:lineRule="auto"/>
              <w:ind w:left="140"/>
              <w:rPr>
                <w:rFonts w:ascii="Times New Roman" w:hAnsi="Times New Roman" w:cs="Times New Roman" w:eastAsiaTheme="minorEastAsia"/>
                <w:b w:val="0"/>
                <w:bCs/>
                <w:color w:val="000000" w:themeColor="text1"/>
                <w:spacing w:val="-2"/>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不设缓和曲线最小半径</w:t>
            </w:r>
          </w:p>
        </w:tc>
        <w:tc>
          <w:tcPr>
            <w:tcW w:w="702" w:type="dxa"/>
          </w:tcPr>
          <w:p>
            <w:pPr>
              <w:pStyle w:val="391"/>
              <w:autoSpaceDE w:val="0"/>
              <w:autoSpaceDN w:val="0"/>
              <w:spacing w:before="137" w:line="241" w:lineRule="auto"/>
              <w:ind w:left="289"/>
              <w:rPr>
                <w:rFonts w:ascii="Times New Roman" w:hAnsi="Times New Roman" w:cs="Times New Roman" w:eastAsiaTheme="minorEastAsia"/>
                <w:b w:val="0"/>
                <w:bCs/>
                <w:color w:val="000000" w:themeColor="text1"/>
                <w:sz w:val="2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181" w:type="dxa"/>
          </w:tcPr>
          <w:p>
            <w:pPr>
              <w:pStyle w:val="391"/>
              <w:autoSpaceDE w:val="0"/>
              <w:autoSpaceDN w:val="0"/>
              <w:spacing w:before="175" w:line="183" w:lineRule="auto"/>
              <w:ind w:left="420"/>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500</w:t>
            </w:r>
          </w:p>
        </w:tc>
        <w:tc>
          <w:tcPr>
            <w:tcW w:w="1479" w:type="dxa"/>
          </w:tcPr>
          <w:p>
            <w:pPr>
              <w:pStyle w:val="391"/>
              <w:autoSpaceDE w:val="0"/>
              <w:autoSpaceDN w:val="0"/>
              <w:spacing w:before="175" w:line="183" w:lineRule="auto"/>
              <w:ind w:left="504"/>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500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7" w:line="220" w:lineRule="auto"/>
              <w:ind w:left="516"/>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圆曲线最小长度</w:t>
            </w:r>
          </w:p>
        </w:tc>
        <w:tc>
          <w:tcPr>
            <w:tcW w:w="702" w:type="dxa"/>
          </w:tcPr>
          <w:p>
            <w:pPr>
              <w:pStyle w:val="391"/>
              <w:autoSpaceDE w:val="0"/>
              <w:autoSpaceDN w:val="0"/>
              <w:spacing w:before="137" w:line="241" w:lineRule="auto"/>
              <w:ind w:left="289"/>
              <w:rPr>
                <w:rFonts w:ascii="Times New Roman" w:hAnsi="Times New Roman" w:cs="Times New Roman" w:eastAsiaTheme="minorEastAsia"/>
                <w:b w:val="0"/>
                <w:bCs/>
                <w:color w:val="000000" w:themeColor="text1"/>
                <w:sz w:val="2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181" w:type="dxa"/>
          </w:tcPr>
          <w:p>
            <w:pPr>
              <w:pStyle w:val="391"/>
              <w:autoSpaceDE w:val="0"/>
              <w:autoSpaceDN w:val="0"/>
              <w:spacing w:before="175" w:line="183" w:lineRule="auto"/>
              <w:ind w:left="480"/>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8"/>
                <w14:textFill>
                  <w14:solidFill>
                    <w14:schemeClr w14:val="tx1"/>
                  </w14:solidFill>
                </w14:textFill>
              </w:rPr>
              <w:t>35</w:t>
            </w:r>
          </w:p>
        </w:tc>
        <w:tc>
          <w:tcPr>
            <w:tcW w:w="1479" w:type="dxa"/>
          </w:tcPr>
          <w:p>
            <w:pPr>
              <w:pStyle w:val="391"/>
              <w:autoSpaceDE w:val="0"/>
              <w:autoSpaceDN w:val="0"/>
              <w:spacing w:before="174" w:line="184" w:lineRule="auto"/>
              <w:ind w:left="337"/>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5"/>
                <w14:textFill>
                  <w14:solidFill>
                    <w14:schemeClr w14:val="tx1"/>
                  </w14:solidFill>
                </w14:textFill>
              </w:rPr>
              <w:t>114.45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6" w:line="220" w:lineRule="auto"/>
              <w:ind w:left="273"/>
              <w:rPr>
                <w:rFonts w:ascii="Times New Roman" w:hAnsi="Times New Roman" w:cs="Times New Roman" w:eastAsiaTheme="minorEastAsia"/>
                <w:b w:val="0"/>
                <w:bCs/>
                <w:color w:val="000000" w:themeColor="text1"/>
                <w:spacing w:val="-2"/>
                <w14:textFill>
                  <w14:solidFill>
                    <w14:schemeClr w14:val="tx1"/>
                  </w14:solidFill>
                </w14:textFill>
              </w:rPr>
            </w:pPr>
            <w:r>
              <w:rPr>
                <w:rFonts w:hint="eastAsia" w:ascii="Times New Roman" w:hAnsi="Times New Roman" w:cs="Times New Roman" w:eastAsiaTheme="minorEastAsia"/>
                <w:b w:val="0"/>
                <w:bCs/>
                <w:color w:val="000000" w:themeColor="text1"/>
                <w:spacing w:val="-3"/>
                <w:lang w:eastAsia="zh-CN"/>
                <w14:textFill>
                  <w14:solidFill>
                    <w14:schemeClr w14:val="tx1"/>
                  </w14:solidFill>
                </w14:textFill>
              </w:rPr>
              <w:t>凹形</w:t>
            </w:r>
            <w:r>
              <w:rPr>
                <w:rFonts w:ascii="Times New Roman" w:hAnsi="Times New Roman" w:cs="Times New Roman" w:eastAsiaTheme="minorEastAsia"/>
                <w:b w:val="0"/>
                <w:bCs/>
                <w:color w:val="000000" w:themeColor="text1"/>
                <w:spacing w:val="-3"/>
                <w14:textFill>
                  <w14:solidFill>
                    <w14:schemeClr w14:val="tx1"/>
                  </w14:solidFill>
                </w14:textFill>
              </w:rPr>
              <w:t>竖曲线最小半径</w:t>
            </w:r>
          </w:p>
        </w:tc>
        <w:tc>
          <w:tcPr>
            <w:tcW w:w="702" w:type="dxa"/>
          </w:tcPr>
          <w:p>
            <w:pPr>
              <w:pStyle w:val="391"/>
              <w:autoSpaceDE w:val="0"/>
              <w:autoSpaceDN w:val="0"/>
              <w:spacing w:before="137" w:line="241" w:lineRule="auto"/>
              <w:ind w:left="289"/>
              <w:rPr>
                <w:rFonts w:ascii="Times New Roman" w:hAnsi="Times New Roman" w:cs="Times New Roman" w:eastAsiaTheme="minorEastAsia"/>
                <w:b w:val="0"/>
                <w:bCs/>
                <w:color w:val="000000" w:themeColor="text1"/>
                <w:sz w:val="2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181" w:type="dxa"/>
          </w:tcPr>
          <w:p>
            <w:pPr>
              <w:pStyle w:val="391"/>
              <w:autoSpaceDE w:val="0"/>
              <w:autoSpaceDN w:val="0"/>
              <w:spacing w:before="175" w:line="183" w:lineRule="auto"/>
              <w:ind w:left="421"/>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700</w:t>
            </w:r>
          </w:p>
        </w:tc>
        <w:tc>
          <w:tcPr>
            <w:tcW w:w="1479" w:type="dxa"/>
          </w:tcPr>
          <w:p>
            <w:pPr>
              <w:pStyle w:val="391"/>
              <w:autoSpaceDE w:val="0"/>
              <w:autoSpaceDN w:val="0"/>
              <w:spacing w:before="175" w:line="183" w:lineRule="auto"/>
              <w:ind w:left="438"/>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4200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7" w:line="220" w:lineRule="auto"/>
              <w:ind w:left="277"/>
              <w:rPr>
                <w:rFonts w:ascii="Times New Roman" w:hAnsi="Times New Roman" w:cs="Times New Roman" w:eastAsiaTheme="minorEastAsia"/>
                <w:b w:val="0"/>
                <w:bCs/>
                <w:color w:val="000000" w:themeColor="text1"/>
                <w:spacing w:val="-2"/>
                <w14:textFill>
                  <w14:solidFill>
                    <w14:schemeClr w14:val="tx1"/>
                  </w14:solidFill>
                </w14:textFill>
              </w:rPr>
            </w:pPr>
            <w:r>
              <w:rPr>
                <w:rFonts w:hint="eastAsia" w:ascii="Times New Roman" w:hAnsi="Times New Roman" w:cs="Times New Roman" w:eastAsiaTheme="minorEastAsia"/>
                <w:b w:val="0"/>
                <w:bCs/>
                <w:color w:val="000000" w:themeColor="text1"/>
                <w:spacing w:val="-4"/>
                <w:lang w:eastAsia="zh-CN"/>
                <w14:textFill>
                  <w14:solidFill>
                    <w14:schemeClr w14:val="tx1"/>
                  </w14:solidFill>
                </w14:textFill>
              </w:rPr>
              <w:t>凸形</w:t>
            </w:r>
            <w:r>
              <w:rPr>
                <w:rFonts w:ascii="Times New Roman" w:hAnsi="Times New Roman" w:cs="Times New Roman" w:eastAsiaTheme="minorEastAsia"/>
                <w:b w:val="0"/>
                <w:bCs/>
                <w:color w:val="000000" w:themeColor="text1"/>
                <w:spacing w:val="-4"/>
                <w14:textFill>
                  <w14:solidFill>
                    <w14:schemeClr w14:val="tx1"/>
                  </w14:solidFill>
                </w14:textFill>
              </w:rPr>
              <w:t>竖曲线最小半径</w:t>
            </w:r>
          </w:p>
        </w:tc>
        <w:tc>
          <w:tcPr>
            <w:tcW w:w="702" w:type="dxa"/>
          </w:tcPr>
          <w:p>
            <w:pPr>
              <w:pStyle w:val="391"/>
              <w:autoSpaceDE w:val="0"/>
              <w:autoSpaceDN w:val="0"/>
              <w:spacing w:before="138" w:line="241" w:lineRule="auto"/>
              <w:ind w:left="289"/>
              <w:rPr>
                <w:rFonts w:ascii="Times New Roman" w:hAnsi="Times New Roman" w:cs="Times New Roman" w:eastAsiaTheme="minorEastAsia"/>
                <w:b w:val="0"/>
                <w:bCs/>
                <w:color w:val="000000" w:themeColor="text1"/>
                <w:sz w:val="2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181" w:type="dxa"/>
          </w:tcPr>
          <w:p>
            <w:pPr>
              <w:pStyle w:val="391"/>
              <w:autoSpaceDE w:val="0"/>
              <w:autoSpaceDN w:val="0"/>
              <w:spacing w:before="176" w:line="183" w:lineRule="auto"/>
              <w:ind w:left="417"/>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600</w:t>
            </w:r>
          </w:p>
        </w:tc>
        <w:tc>
          <w:tcPr>
            <w:tcW w:w="1479" w:type="dxa"/>
          </w:tcPr>
          <w:p>
            <w:pPr>
              <w:pStyle w:val="391"/>
              <w:autoSpaceDE w:val="0"/>
              <w:autoSpaceDN w:val="0"/>
              <w:spacing w:before="176" w:line="183" w:lineRule="auto"/>
              <w:ind w:left="442"/>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2000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8" w:line="220" w:lineRule="auto"/>
              <w:ind w:left="859"/>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最大纵坡</w:t>
            </w:r>
          </w:p>
        </w:tc>
        <w:tc>
          <w:tcPr>
            <w:tcW w:w="702" w:type="dxa"/>
          </w:tcPr>
          <w:p>
            <w:pPr>
              <w:pStyle w:val="391"/>
              <w:autoSpaceDE w:val="0"/>
              <w:autoSpaceDN w:val="0"/>
              <w:spacing w:before="138"/>
              <w:ind w:left="289"/>
              <w:rPr>
                <w:rFonts w:ascii="Times New Roman" w:hAnsi="Times New Roman" w:cs="Times New Roman" w:eastAsiaTheme="minorEastAsia"/>
                <w:b w:val="0"/>
                <w:bCs/>
                <w:color w:val="000000" w:themeColor="text1"/>
                <w:sz w:val="2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w:t>
            </w:r>
          </w:p>
        </w:tc>
        <w:tc>
          <w:tcPr>
            <w:tcW w:w="1181" w:type="dxa"/>
          </w:tcPr>
          <w:p>
            <w:pPr>
              <w:pStyle w:val="391"/>
              <w:autoSpaceDE w:val="0"/>
              <w:autoSpaceDN w:val="0"/>
              <w:spacing w:before="176" w:line="183" w:lineRule="auto"/>
              <w:ind w:left="537"/>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6</w:t>
            </w:r>
          </w:p>
        </w:tc>
        <w:tc>
          <w:tcPr>
            <w:tcW w:w="1479" w:type="dxa"/>
          </w:tcPr>
          <w:p>
            <w:pPr>
              <w:pStyle w:val="391"/>
              <w:autoSpaceDE w:val="0"/>
              <w:autoSpaceDN w:val="0"/>
              <w:spacing w:before="176" w:line="183" w:lineRule="auto"/>
              <w:ind w:left="502"/>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5"/>
                <w14:textFill>
                  <w14:solidFill>
                    <w14:schemeClr w14:val="tx1"/>
                  </w14:solidFill>
                </w14:textFill>
              </w:rPr>
              <w:t>2.5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640" w:type="dxa"/>
          </w:tcPr>
          <w:p>
            <w:pPr>
              <w:pStyle w:val="391"/>
              <w:autoSpaceDE w:val="0"/>
              <w:autoSpaceDN w:val="0"/>
              <w:spacing w:before="137" w:line="220" w:lineRule="auto"/>
              <w:ind w:left="859"/>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最小坡长</w:t>
            </w:r>
          </w:p>
        </w:tc>
        <w:tc>
          <w:tcPr>
            <w:tcW w:w="702" w:type="dxa"/>
          </w:tcPr>
          <w:p>
            <w:pPr>
              <w:pStyle w:val="391"/>
              <w:autoSpaceDE w:val="0"/>
              <w:autoSpaceDN w:val="0"/>
              <w:spacing w:before="138" w:line="241" w:lineRule="auto"/>
              <w:ind w:left="289"/>
              <w:rPr>
                <w:rFonts w:ascii="Times New Roman" w:hAnsi="Times New Roman" w:cs="Times New Roman" w:eastAsiaTheme="minorEastAsia"/>
                <w:b w:val="0"/>
                <w:bCs/>
                <w:color w:val="000000" w:themeColor="text1"/>
                <w:sz w:val="2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181" w:type="dxa"/>
          </w:tcPr>
          <w:p>
            <w:pPr>
              <w:pStyle w:val="391"/>
              <w:autoSpaceDE w:val="0"/>
              <w:autoSpaceDN w:val="0"/>
              <w:spacing w:before="175" w:line="184" w:lineRule="auto"/>
              <w:ind w:left="433"/>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110</w:t>
            </w:r>
          </w:p>
        </w:tc>
        <w:tc>
          <w:tcPr>
            <w:tcW w:w="1479" w:type="dxa"/>
          </w:tcPr>
          <w:p>
            <w:pPr>
              <w:pStyle w:val="391"/>
              <w:autoSpaceDE w:val="0"/>
              <w:autoSpaceDN w:val="0"/>
              <w:spacing w:before="175" w:line="184" w:lineRule="auto"/>
              <w:ind w:left="517"/>
              <w:rPr>
                <w:rFonts w:ascii="Times New Roman" w:hAnsi="Times New Roman" w:cs="Times New Roman" w:eastAsiaTheme="minorEastAsia"/>
                <w:b w:val="0"/>
                <w:bCs/>
                <w:color w:val="000000" w:themeColor="text1"/>
                <w:spacing w:val="-4"/>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130</w:t>
            </w:r>
          </w:p>
        </w:tc>
      </w:tr>
    </w:tbl>
    <w:p>
      <w:pPr>
        <w:pStyle w:val="4"/>
        <w:ind w:firstLine="482" w:firstLineChars="200"/>
      </w:pPr>
      <w:bookmarkStart w:id="139" w:name="_Toc22094"/>
      <w:r>
        <w:t>平面线位设计</w:t>
      </w:r>
      <w:bookmarkEnd w:id="139"/>
    </w:p>
    <w:p>
      <w:pPr>
        <w:pStyle w:val="5"/>
        <w:ind w:firstLine="482" w:firstLineChars="200"/>
        <w:rPr>
          <w:rFonts w:ascii="Times New Roman" w:hAnsi="Times New Roman"/>
        </w:rPr>
      </w:pPr>
      <w:r>
        <w:rPr>
          <w:rFonts w:ascii="Times New Roman" w:hAnsi="Times New Roman"/>
        </w:rPr>
        <w:t>项目概况</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本项目位于南沙区万顷沙镇，道路设计共计</w:t>
      </w:r>
      <w:r>
        <w:rPr>
          <w:rFonts w:hint="eastAsia" w:ascii="Times New Roman" w:hAnsi="Times New Roman"/>
          <w:b w:val="0"/>
          <w:color w:val="000000" w:themeColor="text1"/>
          <w:sz w:val="24"/>
          <w:szCs w:val="24"/>
          <w14:textFill>
            <w14:solidFill>
              <w14:schemeClr w14:val="tx1"/>
            </w14:solidFill>
          </w14:textFill>
        </w:rPr>
        <w:t>2</w:t>
      </w:r>
      <w:r>
        <w:rPr>
          <w:rFonts w:ascii="Times New Roman" w:hAnsi="Times New Roman"/>
          <w:b w:val="0"/>
          <w:color w:val="000000" w:themeColor="text1"/>
          <w:sz w:val="24"/>
          <w:szCs w:val="24"/>
          <w14:textFill>
            <w14:solidFill>
              <w14:schemeClr w14:val="tx1"/>
            </w14:solidFill>
          </w14:textFill>
        </w:rPr>
        <w:t>条，均为规划道路，道路设计中线基与规划中线拟合，部分路段根据相关规范和现状进行局部微调，严格按照规划红线进行设计。其中</w:t>
      </w:r>
      <w:r>
        <w:rPr>
          <w:rFonts w:hint="eastAsia" w:ascii="Times New Roman" w:hAnsi="Times New Roman"/>
          <w:b w:val="0"/>
          <w:color w:val="000000" w:themeColor="text1"/>
          <w:sz w:val="24"/>
          <w:szCs w:val="24"/>
          <w14:textFill>
            <w14:solidFill>
              <w14:schemeClr w14:val="tx1"/>
            </w14:solidFill>
          </w14:textFill>
        </w:rPr>
        <w:t>1</w:t>
      </w:r>
      <w:r>
        <w:rPr>
          <w:rFonts w:ascii="Times New Roman" w:hAnsi="Times New Roman"/>
          <w:b w:val="0"/>
          <w:color w:val="000000" w:themeColor="text1"/>
          <w:sz w:val="24"/>
          <w:szCs w:val="24"/>
          <w14:textFill>
            <w14:solidFill>
              <w14:schemeClr w14:val="tx1"/>
            </w14:solidFill>
          </w14:textFill>
        </w:rPr>
        <w:t>条主干路（二十涌北路），</w:t>
      </w:r>
      <w:r>
        <w:rPr>
          <w:rFonts w:hint="eastAsia" w:ascii="Times New Roman" w:hAnsi="Times New Roman"/>
          <w:b w:val="0"/>
          <w:color w:val="000000" w:themeColor="text1"/>
          <w:sz w:val="24"/>
          <w:szCs w:val="24"/>
          <w14:textFill>
            <w14:solidFill>
              <w14:schemeClr w14:val="tx1"/>
            </w14:solidFill>
          </w14:textFill>
        </w:rPr>
        <w:t>1</w:t>
      </w:r>
      <w:r>
        <w:rPr>
          <w:rFonts w:ascii="Times New Roman" w:hAnsi="Times New Roman"/>
          <w:b w:val="0"/>
          <w:color w:val="000000" w:themeColor="text1"/>
          <w:sz w:val="24"/>
          <w:szCs w:val="24"/>
          <w14:textFill>
            <w14:solidFill>
              <w14:schemeClr w14:val="tx1"/>
            </w14:solidFill>
          </w14:textFill>
        </w:rPr>
        <w:t>条次干路（规划纵三路），道路总长约</w:t>
      </w:r>
      <w:r>
        <w:rPr>
          <w:rFonts w:hint="eastAsia" w:ascii="Times New Roman" w:hAnsi="Times New Roman"/>
          <w:b w:val="0"/>
          <w:color w:val="000000" w:themeColor="text1"/>
          <w:sz w:val="24"/>
          <w:szCs w:val="24"/>
          <w14:textFill>
            <w14:solidFill>
              <w14:schemeClr w14:val="tx1"/>
            </w14:solidFill>
          </w14:textFill>
        </w:rPr>
        <w:t>3337</w:t>
      </w:r>
      <w:r>
        <w:rPr>
          <w:rFonts w:ascii="Times New Roman" w:hAnsi="Times New Roman"/>
          <w:b w:val="0"/>
          <w:color w:val="000000" w:themeColor="text1"/>
          <w:sz w:val="24"/>
          <w:szCs w:val="24"/>
          <w14:textFill>
            <w14:solidFill>
              <w14:schemeClr w14:val="tx1"/>
            </w14:solidFill>
          </w14:textFill>
        </w:rPr>
        <w:t>m。</w:t>
      </w:r>
    </w:p>
    <w:p>
      <w:pPr>
        <w:pStyle w:val="5"/>
        <w:ind w:firstLine="482" w:firstLineChars="200"/>
        <w:rPr>
          <w:rFonts w:ascii="Times New Roman" w:hAnsi="Times New Roman"/>
          <w:b w:val="0"/>
          <w:color w:val="000000" w:themeColor="text1"/>
          <w14:textFill>
            <w14:solidFill>
              <w14:schemeClr w14:val="tx1"/>
            </w14:solidFill>
          </w14:textFill>
        </w:rPr>
      </w:pPr>
      <w:r>
        <w:rPr>
          <w:rFonts w:ascii="Times New Roman" w:hAnsi="Times New Roman"/>
        </w:rPr>
        <w:t>主要控制点</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本项目路线主要控制点为：①万环西南延线交叉口；②灵新大道南延线交叉口；③周边地块标高；④规划二十涌及联络涌；⑤在建南中高速的桥墩位置；⑥场馆内部场平标高。</w:t>
      </w:r>
    </w:p>
    <w:p>
      <w:pPr>
        <w:pStyle w:val="5"/>
        <w:ind w:firstLine="482" w:firstLineChars="200"/>
        <w:rPr>
          <w:rFonts w:ascii="Times New Roman" w:hAnsi="Times New Roman"/>
          <w:b w:val="0"/>
          <w:color w:val="000000" w:themeColor="text1"/>
          <w14:textFill>
            <w14:solidFill>
              <w14:schemeClr w14:val="tx1"/>
            </w14:solidFill>
          </w14:textFill>
        </w:rPr>
      </w:pPr>
      <w:r>
        <w:rPr>
          <w:rFonts w:ascii="Times New Roman" w:hAnsi="Times New Roman"/>
        </w:rPr>
        <w:t>道路的线型设计</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1、道路平面</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二十涌北路（万环西南延线至灵新大道南延线）道路等级为城市主干路，设计速度为60km/h，双向6车道，红线宽度为50m，路线走向为由西向东。道路起于万环西南延线，终于灵新大道南延线，路线长度为1852m，道路全线为直线未设置平曲线。</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规划纵三路（二十涌北路至滨海路）道路等级为城市次干路，设计速度为40km/h，红线宽度为34m，双向6车道。路线走向为由北向南，道路起点为二十涌北路，终于滨海路，道路全长约为1485m，道路设置1处圆曲线，半径为500m，不设置缓和曲线。</w:t>
      </w:r>
    </w:p>
    <w:p>
      <w:pPr>
        <w:pStyle w:val="4"/>
        <w:ind w:firstLine="482" w:firstLineChars="200"/>
      </w:pPr>
      <w:bookmarkStart w:id="140" w:name="_Toc98235885"/>
      <w:bookmarkStart w:id="141" w:name="_Toc9766"/>
      <w:r>
        <w:t>纵断面设计</w:t>
      </w:r>
      <w:bookmarkEnd w:id="140"/>
      <w:bookmarkEnd w:id="141"/>
    </w:p>
    <w:p>
      <w:pPr>
        <w:pStyle w:val="5"/>
        <w:ind w:firstLine="482" w:firstLineChars="200"/>
        <w:rPr>
          <w:rFonts w:ascii="Times New Roman" w:hAnsi="Times New Roman"/>
        </w:rPr>
      </w:pPr>
      <w:bookmarkStart w:id="142" w:name="_Toc98235886"/>
      <w:r>
        <w:rPr>
          <w:rFonts w:ascii="Times New Roman" w:hAnsi="Times New Roman"/>
        </w:rPr>
        <w:t>纵断面设计原则</w:t>
      </w:r>
      <w:bookmarkEnd w:id="142"/>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①本项目周边竖向规划尚未稳定，本项目纵断面设计应参照水务局管控水位标高控制并做好与现状周</w:t>
      </w:r>
      <w:r>
        <w:rPr>
          <w:rFonts w:hint="eastAsia" w:ascii="Times New Roman" w:hAnsi="Times New Roman"/>
          <w:b w:val="0"/>
          <w:color w:val="000000" w:themeColor="text1"/>
          <w:sz w:val="24"/>
          <w:szCs w:val="24"/>
          <w14:textFill>
            <w14:solidFill>
              <w14:schemeClr w14:val="tx1"/>
            </w14:solidFill>
          </w14:textFill>
        </w:rPr>
        <w:t>边</w:t>
      </w:r>
      <w:r>
        <w:rPr>
          <w:rFonts w:ascii="Times New Roman" w:hAnsi="Times New Roman"/>
          <w:b w:val="0"/>
          <w:color w:val="000000" w:themeColor="text1"/>
          <w:sz w:val="24"/>
          <w:szCs w:val="24"/>
          <w14:textFill>
            <w14:solidFill>
              <w14:schemeClr w14:val="tx1"/>
            </w14:solidFill>
          </w14:textFill>
        </w:rPr>
        <w:t>道路的顺接、未来场地平整的顺接。</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②以地块整平标高、节省投资为主要控制因素，在不超现行专业规范前提下适当选用技术指标，合理的选取坡长，便于道路两侧的土地利用和开发。</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③机动车与非机动车辆混合行驶的车行道，应按非机动车爬坡能力设计纵坡度。</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④根据规范及设计原则的要求，在进行纵断面设计时，充分考虑满足技术标准、行车平顺、路基稳定、排水顺畅、地下管线、防洪标高、通航要求及节省投资等方面进行设计。</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本项目纵断面设计的控制因素主要归纳为以下几点：</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①与万环西路南延线、灵新大道南延线、万顷沙支线等在建或现状道路的标高衔接。</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②项目沿线各河涌，需满足通航净空要求；</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③满足水务局关于防控水位6.3m+0.5m的要求，并参照周边地块场平标高的要求顺接；</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④满足规范要求，在综合考虑土方平衡及工程造价的情况下，尽量采用较高的设计指标；</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⑤项目桥涵最大纵坡控制在4%以内，桥涵路段务必满足通航标高及通航净空要求。</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⑥交叉口纵坡控制在3%以内。</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根据广州市规划和自然资源局南沙区分局《关于提供南沙全民文化体育综合体部分配套道路规划意见的复函》，“一场两馆”区域的标高按不低于8.0m控制，具体可结合滨海景观需求、生态堤建设实际情况确定；“一场两馆”周边区域的标高按不低于7.0m控制，道路标高按不低于6.8m控制。</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以纵断面设计原则为指导，遵循纵断面设计理念，综合考虑各种控制因素，本方案纵断面主要技术指标如下所示。</w:t>
      </w:r>
    </w:p>
    <w:p>
      <w:pPr>
        <w:pStyle w:val="5"/>
        <w:ind w:firstLine="482" w:firstLineChars="200"/>
        <w:rPr>
          <w:rFonts w:ascii="Times New Roman" w:hAnsi="Times New Roman"/>
        </w:rPr>
      </w:pPr>
      <w:bookmarkStart w:id="143" w:name="_Toc98235887"/>
      <w:r>
        <w:rPr>
          <w:rFonts w:ascii="Times New Roman" w:hAnsi="Times New Roman"/>
        </w:rPr>
        <w:t>纵断面设计</w:t>
      </w:r>
      <w:bookmarkEnd w:id="143"/>
    </w:p>
    <w:p>
      <w:pPr>
        <w:numPr>
          <w:ilvl w:val="0"/>
          <w:numId w:val="17"/>
        </w:num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二十涌北路（万环西南延线至灵新大道南延线）道路等级城市主干路、设计速度60km/h。起点接顺《万环西路快速化(十六涌半至海堤段)工程》标高为7.5m，终点接顺灵新大道南延线标高为9.0m，在ESCBK0+630处上跨联络涌标高为8.42，在ESCBK0+703.271处接顺规划纵三路标高为8.6。全线共设置6个变坡点（不包含起终点），最大纵坡为0.63%，最小纵坡为0.3%，最小坡长为200m，最大坡长为400m，最小</w:t>
      </w:r>
      <w:r>
        <w:rPr>
          <w:rFonts w:hint="eastAsia" w:ascii="Times New Roman" w:hAnsi="Times New Roman"/>
          <w:b w:val="0"/>
          <w:color w:val="000000" w:themeColor="text1"/>
          <w:sz w:val="24"/>
          <w:szCs w:val="24"/>
          <w14:textFill>
            <w14:solidFill>
              <w14:schemeClr w14:val="tx1"/>
            </w14:solidFill>
          </w14:textFill>
        </w:rPr>
        <w:t>凸形</w:t>
      </w:r>
      <w:r>
        <w:rPr>
          <w:rFonts w:ascii="Times New Roman" w:hAnsi="Times New Roman"/>
          <w:b w:val="0"/>
          <w:color w:val="000000" w:themeColor="text1"/>
          <w:sz w:val="24"/>
          <w:szCs w:val="24"/>
          <w14:textFill>
            <w14:solidFill>
              <w14:schemeClr w14:val="tx1"/>
            </w14:solidFill>
          </w14:textFill>
        </w:rPr>
        <w:t>竖曲线半径为11000m，最小</w:t>
      </w:r>
      <w:r>
        <w:rPr>
          <w:rFonts w:hint="eastAsia" w:ascii="Times New Roman" w:hAnsi="Times New Roman"/>
          <w:b w:val="0"/>
          <w:color w:val="000000" w:themeColor="text1"/>
          <w:sz w:val="24"/>
          <w:szCs w:val="24"/>
          <w14:textFill>
            <w14:solidFill>
              <w14:schemeClr w14:val="tx1"/>
            </w14:solidFill>
          </w14:textFill>
        </w:rPr>
        <w:t>凹形</w:t>
      </w:r>
      <w:r>
        <w:rPr>
          <w:rFonts w:ascii="Times New Roman" w:hAnsi="Times New Roman"/>
          <w:b w:val="0"/>
          <w:color w:val="000000" w:themeColor="text1"/>
          <w:sz w:val="24"/>
          <w:szCs w:val="24"/>
          <w14:textFill>
            <w14:solidFill>
              <w14:schemeClr w14:val="tx1"/>
            </w14:solidFill>
          </w14:textFill>
        </w:rPr>
        <w:t>竖曲线半径为13000m，纵断面各项指标满足对应道路等级规范要求。</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二十涌北路主要控制点标高如下表：</w:t>
      </w:r>
    </w:p>
    <w:tbl>
      <w:tblPr>
        <w:tblStyle w:val="379"/>
        <w:tblW w:w="9720" w:type="dxa"/>
        <w:tblInd w:w="269"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915"/>
        <w:gridCol w:w="480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7" w:hRule="atLeast"/>
        </w:trPr>
        <w:tc>
          <w:tcPr>
            <w:tcW w:w="4915" w:type="dxa"/>
          </w:tcPr>
          <w:p>
            <w:pPr>
              <w:pStyle w:val="391"/>
              <w:autoSpaceDE w:val="0"/>
              <w:autoSpaceDN w:val="0"/>
              <w:spacing w:before="138" w:line="220" w:lineRule="auto"/>
              <w:ind w:left="210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控制点</w:t>
            </w:r>
          </w:p>
        </w:tc>
        <w:tc>
          <w:tcPr>
            <w:tcW w:w="4805" w:type="dxa"/>
          </w:tcPr>
          <w:p>
            <w:pPr>
              <w:pStyle w:val="391"/>
              <w:autoSpaceDE w:val="0"/>
              <w:autoSpaceDN w:val="0"/>
              <w:spacing w:before="137" w:line="220" w:lineRule="auto"/>
              <w:ind w:left="162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控制标高（m）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4915" w:type="dxa"/>
          </w:tcPr>
          <w:p>
            <w:pPr>
              <w:pStyle w:val="391"/>
              <w:autoSpaceDE w:val="0"/>
              <w:autoSpaceDN w:val="0"/>
              <w:spacing w:before="113" w:line="220" w:lineRule="auto"/>
              <w:ind w:left="517"/>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lang w:eastAsia="zh-CN"/>
                <w14:textFill>
                  <w14:solidFill>
                    <w14:schemeClr w14:val="tx1"/>
                  </w14:solidFill>
                </w14:textFill>
              </w:rPr>
              <w:t>ESCBK0+000与万环西南延线平面交叉</w:t>
            </w:r>
          </w:p>
        </w:tc>
        <w:tc>
          <w:tcPr>
            <w:tcW w:w="4805" w:type="dxa"/>
          </w:tcPr>
          <w:p>
            <w:pPr>
              <w:pStyle w:val="391"/>
              <w:autoSpaceDE w:val="0"/>
              <w:autoSpaceDN w:val="0"/>
              <w:spacing w:before="152" w:line="182" w:lineRule="auto"/>
              <w:ind w:left="222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6"/>
                <w14:textFill>
                  <w14:solidFill>
                    <w14:schemeClr w14:val="tx1"/>
                  </w14:solidFill>
                </w14:textFill>
              </w:rPr>
              <w:t>7.5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4915" w:type="dxa"/>
          </w:tcPr>
          <w:p>
            <w:pPr>
              <w:pStyle w:val="391"/>
              <w:autoSpaceDE w:val="0"/>
              <w:autoSpaceDN w:val="0"/>
              <w:spacing w:before="116" w:line="220" w:lineRule="auto"/>
              <w:ind w:left="135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ESCBK0+630跨联络涌</w:t>
            </w:r>
          </w:p>
        </w:tc>
        <w:tc>
          <w:tcPr>
            <w:tcW w:w="4805" w:type="dxa"/>
          </w:tcPr>
          <w:p>
            <w:pPr>
              <w:pStyle w:val="391"/>
              <w:autoSpaceDE w:val="0"/>
              <w:autoSpaceDN w:val="0"/>
              <w:spacing w:before="154" w:line="183" w:lineRule="auto"/>
              <w:ind w:left="216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8.42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4915" w:type="dxa"/>
          </w:tcPr>
          <w:p>
            <w:pPr>
              <w:pStyle w:val="391"/>
              <w:autoSpaceDE w:val="0"/>
              <w:autoSpaceDN w:val="0"/>
              <w:spacing w:before="115" w:line="220" w:lineRule="auto"/>
              <w:ind w:left="397"/>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lang w:eastAsia="zh-CN"/>
                <w14:textFill>
                  <w14:solidFill>
                    <w14:schemeClr w14:val="tx1"/>
                  </w14:solidFill>
                </w14:textFill>
              </w:rPr>
              <w:t>ESCBK0+703.271与规划纵三路平面交叉</w:t>
            </w:r>
          </w:p>
        </w:tc>
        <w:tc>
          <w:tcPr>
            <w:tcW w:w="4805" w:type="dxa"/>
          </w:tcPr>
          <w:p>
            <w:pPr>
              <w:pStyle w:val="391"/>
              <w:autoSpaceDE w:val="0"/>
              <w:autoSpaceDN w:val="0"/>
              <w:spacing w:before="154" w:line="183" w:lineRule="auto"/>
              <w:ind w:left="222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8.6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4915" w:type="dxa"/>
          </w:tcPr>
          <w:p>
            <w:pPr>
              <w:pStyle w:val="391"/>
              <w:autoSpaceDE w:val="0"/>
              <w:autoSpaceDN w:val="0"/>
              <w:spacing w:before="116" w:line="220" w:lineRule="auto"/>
              <w:ind w:left="87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ESCBK1+210与规划路平面交叉</w:t>
            </w:r>
          </w:p>
        </w:tc>
        <w:tc>
          <w:tcPr>
            <w:tcW w:w="4805" w:type="dxa"/>
          </w:tcPr>
          <w:p>
            <w:pPr>
              <w:pStyle w:val="391"/>
              <w:autoSpaceDE w:val="0"/>
              <w:autoSpaceDN w:val="0"/>
              <w:spacing w:before="154" w:line="183" w:lineRule="auto"/>
              <w:ind w:left="222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8.5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7" w:hRule="atLeast"/>
        </w:trPr>
        <w:tc>
          <w:tcPr>
            <w:tcW w:w="4915" w:type="dxa"/>
          </w:tcPr>
          <w:p>
            <w:pPr>
              <w:pStyle w:val="391"/>
              <w:autoSpaceDE w:val="0"/>
              <w:autoSpaceDN w:val="0"/>
              <w:spacing w:before="118" w:line="220" w:lineRule="auto"/>
              <w:ind w:left="157"/>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lang w:eastAsia="zh-CN"/>
                <w14:textFill>
                  <w14:solidFill>
                    <w14:schemeClr w14:val="tx1"/>
                  </w14:solidFill>
                </w14:textFill>
              </w:rPr>
              <w:t>ESCBK1+185.412与灵新大道南延线平面交叉</w:t>
            </w:r>
          </w:p>
        </w:tc>
        <w:tc>
          <w:tcPr>
            <w:tcW w:w="4805" w:type="dxa"/>
          </w:tcPr>
          <w:p>
            <w:pPr>
              <w:pStyle w:val="391"/>
              <w:autoSpaceDE w:val="0"/>
              <w:autoSpaceDN w:val="0"/>
              <w:spacing w:before="156" w:line="183" w:lineRule="auto"/>
              <w:ind w:left="222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9.0</w:t>
            </w:r>
          </w:p>
        </w:tc>
      </w:tr>
    </w:tbl>
    <w:p>
      <w:pPr>
        <w:numPr>
          <w:ilvl w:val="0"/>
          <w:numId w:val="17"/>
        </w:num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规划纵三路（二十涌北路至滨海路路）道路等级城市次干路，设计速度40km/h，起点标高为8.5m，终点标高8.6m。ZSK0+000处接顺二十涌北路，标高为8.5m；ZSK0+123处上跨二十涌，标高为11.11m；ZSK0+265.649处接顺二十涌南路，标高为8.7m；ZSK0+604.287处接顺二十涌南二路，标高为8.7m；ZSK0+904.287处接顺二十一涌北路，标高为8.6m。全线共设置8个变坡点（不包含起终点），最大纵坡为2.5%，最小纵坡为0.3%，最小坡长为130m，最大坡长为260m，最小</w:t>
      </w:r>
      <w:r>
        <w:rPr>
          <w:rFonts w:hint="eastAsia" w:ascii="Times New Roman" w:hAnsi="Times New Roman"/>
          <w:b w:val="0"/>
          <w:color w:val="000000" w:themeColor="text1"/>
          <w:sz w:val="24"/>
          <w:szCs w:val="24"/>
          <w14:textFill>
            <w14:solidFill>
              <w14:schemeClr w14:val="tx1"/>
            </w14:solidFill>
          </w14:textFill>
        </w:rPr>
        <w:t>凸形</w:t>
      </w:r>
      <w:r>
        <w:rPr>
          <w:rFonts w:ascii="Times New Roman" w:hAnsi="Times New Roman"/>
          <w:b w:val="0"/>
          <w:color w:val="000000" w:themeColor="text1"/>
          <w:sz w:val="24"/>
          <w:szCs w:val="24"/>
          <w14:textFill>
            <w14:solidFill>
              <w14:schemeClr w14:val="tx1"/>
            </w14:solidFill>
          </w14:textFill>
        </w:rPr>
        <w:t>竖曲线半径为2000m，最小</w:t>
      </w:r>
      <w:r>
        <w:rPr>
          <w:rFonts w:hint="eastAsia" w:ascii="Times New Roman" w:hAnsi="Times New Roman"/>
          <w:b w:val="0"/>
          <w:color w:val="000000" w:themeColor="text1"/>
          <w:sz w:val="24"/>
          <w:szCs w:val="24"/>
          <w14:textFill>
            <w14:solidFill>
              <w14:schemeClr w14:val="tx1"/>
            </w14:solidFill>
          </w14:textFill>
        </w:rPr>
        <w:t>凹形</w:t>
      </w:r>
      <w:r>
        <w:rPr>
          <w:rFonts w:ascii="Times New Roman" w:hAnsi="Times New Roman"/>
          <w:b w:val="0"/>
          <w:color w:val="000000" w:themeColor="text1"/>
          <w:sz w:val="24"/>
          <w:szCs w:val="24"/>
          <w14:textFill>
            <w14:solidFill>
              <w14:schemeClr w14:val="tx1"/>
            </w14:solidFill>
          </w14:textFill>
        </w:rPr>
        <w:t>竖曲线半径为4200m，纵断面各项指标满足规范要求。</w:t>
      </w:r>
    </w:p>
    <w:p>
      <w:pPr>
        <w:spacing w:line="300" w:lineRule="auto"/>
        <w:ind w:left="560" w:leftChars="200"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规划纵三路主要控制点标高如下表：</w:t>
      </w:r>
    </w:p>
    <w:tbl>
      <w:tblPr>
        <w:tblStyle w:val="379"/>
        <w:tblW w:w="9720" w:type="dxa"/>
        <w:tblInd w:w="26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903"/>
        <w:gridCol w:w="4817"/>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7" w:hRule="atLeast"/>
        </w:trPr>
        <w:tc>
          <w:tcPr>
            <w:tcW w:w="4903" w:type="dxa"/>
          </w:tcPr>
          <w:p>
            <w:pPr>
              <w:pStyle w:val="391"/>
              <w:autoSpaceDE w:val="0"/>
              <w:autoSpaceDN w:val="0"/>
              <w:spacing w:before="138" w:line="220" w:lineRule="auto"/>
              <w:ind w:left="210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控制点</w:t>
            </w:r>
          </w:p>
        </w:tc>
        <w:tc>
          <w:tcPr>
            <w:tcW w:w="4817" w:type="dxa"/>
          </w:tcPr>
          <w:p>
            <w:pPr>
              <w:pStyle w:val="391"/>
              <w:autoSpaceDE w:val="0"/>
              <w:autoSpaceDN w:val="0"/>
              <w:spacing w:before="137" w:line="220" w:lineRule="auto"/>
              <w:ind w:left="162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控制标高（m）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4903" w:type="dxa"/>
          </w:tcPr>
          <w:p>
            <w:pPr>
              <w:pStyle w:val="391"/>
              <w:autoSpaceDE w:val="0"/>
              <w:autoSpaceDN w:val="0"/>
              <w:spacing w:before="113" w:line="220" w:lineRule="auto"/>
              <w:ind w:left="72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ZSK0+000与二十涌北路平面交叉</w:t>
            </w:r>
          </w:p>
        </w:tc>
        <w:tc>
          <w:tcPr>
            <w:tcW w:w="4817" w:type="dxa"/>
          </w:tcPr>
          <w:p>
            <w:pPr>
              <w:pStyle w:val="391"/>
              <w:autoSpaceDE w:val="0"/>
              <w:autoSpaceDN w:val="0"/>
              <w:spacing w:before="151" w:line="183" w:lineRule="auto"/>
              <w:ind w:left="223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9.3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4903" w:type="dxa"/>
          </w:tcPr>
          <w:p>
            <w:pPr>
              <w:pStyle w:val="391"/>
              <w:autoSpaceDE w:val="0"/>
              <w:autoSpaceDN w:val="0"/>
              <w:spacing w:before="116" w:line="220" w:lineRule="auto"/>
              <w:ind w:left="483"/>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lang w:eastAsia="zh-CN"/>
                <w14:textFill>
                  <w14:solidFill>
                    <w14:schemeClr w14:val="tx1"/>
                  </w14:solidFill>
                </w14:textFill>
              </w:rPr>
              <w:t>ZSK0+123上跨规划二十涌，八级航道</w:t>
            </w:r>
          </w:p>
        </w:tc>
        <w:tc>
          <w:tcPr>
            <w:tcW w:w="4817" w:type="dxa"/>
          </w:tcPr>
          <w:p>
            <w:pPr>
              <w:pStyle w:val="391"/>
              <w:autoSpaceDE w:val="0"/>
              <w:autoSpaceDN w:val="0"/>
              <w:spacing w:before="153" w:line="184" w:lineRule="auto"/>
              <w:ind w:left="230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12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4903" w:type="dxa"/>
          </w:tcPr>
          <w:p>
            <w:pPr>
              <w:pStyle w:val="391"/>
              <w:autoSpaceDE w:val="0"/>
              <w:autoSpaceDN w:val="0"/>
              <w:spacing w:before="115" w:line="220" w:lineRule="auto"/>
              <w:ind w:left="51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ZSK0+265.649与二十涌南路平面交叉</w:t>
            </w:r>
          </w:p>
        </w:tc>
        <w:tc>
          <w:tcPr>
            <w:tcW w:w="4817" w:type="dxa"/>
          </w:tcPr>
          <w:p>
            <w:pPr>
              <w:pStyle w:val="391"/>
              <w:autoSpaceDE w:val="0"/>
              <w:autoSpaceDN w:val="0"/>
              <w:spacing w:before="154" w:line="183" w:lineRule="auto"/>
              <w:ind w:left="223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8.7</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5" w:hRule="atLeast"/>
        </w:trPr>
        <w:tc>
          <w:tcPr>
            <w:tcW w:w="4903" w:type="dxa"/>
          </w:tcPr>
          <w:p>
            <w:pPr>
              <w:pStyle w:val="391"/>
              <w:autoSpaceDE w:val="0"/>
              <w:autoSpaceDN w:val="0"/>
              <w:spacing w:before="116" w:line="220" w:lineRule="auto"/>
              <w:ind w:left="39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ZSK0+904.287与二十一涌北路平面交叉</w:t>
            </w:r>
          </w:p>
        </w:tc>
        <w:tc>
          <w:tcPr>
            <w:tcW w:w="4817" w:type="dxa"/>
          </w:tcPr>
          <w:p>
            <w:pPr>
              <w:pStyle w:val="391"/>
              <w:autoSpaceDE w:val="0"/>
              <w:autoSpaceDN w:val="0"/>
              <w:spacing w:before="154" w:line="183" w:lineRule="auto"/>
              <w:ind w:left="223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8.6</w:t>
            </w:r>
          </w:p>
        </w:tc>
      </w:tr>
    </w:tbl>
    <w:p>
      <w:pPr>
        <w:spacing w:line="300" w:lineRule="auto"/>
        <w:ind w:firstLine="478" w:firstLineChars="200"/>
        <w:jc w:val="center"/>
        <w:rPr>
          <w:rFonts w:ascii="Times New Roman" w:hAnsi="Times New Roman"/>
          <w:spacing w:val="-1"/>
          <w:sz w:val="24"/>
          <w:szCs w:val="24"/>
          <w14:textOutline w14:w="3048" w14:cap="flat" w14:cmpd="sng" w14:algn="ctr">
            <w14:solidFill>
              <w14:srgbClr w14:val="000000"/>
            </w14:solidFill>
            <w14:prstDash w14:val="solid"/>
            <w14:miter w14:val="0"/>
          </w14:textOutline>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主干路纵断面主要技术标准</w:t>
      </w:r>
    </w:p>
    <w:tbl>
      <w:tblPr>
        <w:tblStyle w:val="379"/>
        <w:tblW w:w="6582"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892"/>
        <w:gridCol w:w="767"/>
        <w:gridCol w:w="1298"/>
        <w:gridCol w:w="162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9" w:hRule="atLeast"/>
          <w:jc w:val="center"/>
        </w:trPr>
        <w:tc>
          <w:tcPr>
            <w:tcW w:w="2892" w:type="dxa"/>
            <w:vMerge w:val="restart"/>
            <w:tcBorders>
              <w:bottom w:val="nil"/>
            </w:tcBorders>
          </w:tcPr>
          <w:p>
            <w:pPr>
              <w:pStyle w:val="391"/>
              <w:autoSpaceDE w:val="0"/>
              <w:autoSpaceDN w:val="0"/>
              <w:spacing w:before="78" w:line="220" w:lineRule="auto"/>
              <w:ind w:left="1226"/>
              <w:jc w:val="left"/>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项目</w:t>
            </w:r>
          </w:p>
        </w:tc>
        <w:tc>
          <w:tcPr>
            <w:tcW w:w="767" w:type="dxa"/>
            <w:vMerge w:val="restart"/>
            <w:tcBorders>
              <w:bottom w:val="nil"/>
            </w:tcBorders>
          </w:tcPr>
          <w:p>
            <w:pPr>
              <w:pStyle w:val="391"/>
              <w:autoSpaceDE w:val="0"/>
              <w:autoSpaceDN w:val="0"/>
              <w:spacing w:before="78" w:line="220" w:lineRule="auto"/>
              <w:ind w:left="150"/>
              <w:jc w:val="left"/>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单位</w:t>
            </w:r>
          </w:p>
        </w:tc>
        <w:tc>
          <w:tcPr>
            <w:tcW w:w="1298" w:type="dxa"/>
            <w:vMerge w:val="restart"/>
            <w:tcBorders>
              <w:bottom w:val="nil"/>
            </w:tcBorders>
          </w:tcPr>
          <w:p>
            <w:pPr>
              <w:pStyle w:val="391"/>
              <w:autoSpaceDE w:val="0"/>
              <w:autoSpaceDN w:val="0"/>
              <w:spacing w:before="78" w:line="220" w:lineRule="auto"/>
              <w:ind w:left="295"/>
              <w:jc w:val="left"/>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规范值</w:t>
            </w:r>
          </w:p>
        </w:tc>
        <w:tc>
          <w:tcPr>
            <w:tcW w:w="1625" w:type="dxa"/>
          </w:tcPr>
          <w:p>
            <w:pPr>
              <w:pStyle w:val="391"/>
              <w:autoSpaceDE w:val="0"/>
              <w:autoSpaceDN w:val="0"/>
              <w:spacing w:before="156" w:line="220" w:lineRule="auto"/>
              <w:jc w:val="center"/>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设计值</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2892" w:type="dxa"/>
            <w:vMerge w:val="continue"/>
            <w:tcBorders>
              <w:top w:val="nil"/>
            </w:tcBorders>
          </w:tcPr>
          <w:p>
            <w:pPr>
              <w:autoSpaceDE w:val="0"/>
              <w:autoSpaceDN w:val="0"/>
              <w:jc w:val="left"/>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767" w:type="dxa"/>
            <w:vMerge w:val="continue"/>
            <w:tcBorders>
              <w:top w:val="nil"/>
            </w:tcBorders>
          </w:tcPr>
          <w:p>
            <w:pPr>
              <w:autoSpaceDE w:val="0"/>
              <w:autoSpaceDN w:val="0"/>
              <w:jc w:val="left"/>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1298" w:type="dxa"/>
            <w:vMerge w:val="continue"/>
            <w:tcBorders>
              <w:top w:val="nil"/>
            </w:tcBorders>
          </w:tcPr>
          <w:p>
            <w:pPr>
              <w:autoSpaceDE w:val="0"/>
              <w:autoSpaceDN w:val="0"/>
              <w:jc w:val="left"/>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1625" w:type="dxa"/>
          </w:tcPr>
          <w:p>
            <w:pPr>
              <w:pStyle w:val="391"/>
              <w:autoSpaceDE w:val="0"/>
              <w:autoSpaceDN w:val="0"/>
              <w:spacing w:before="134" w:line="220" w:lineRule="auto"/>
              <w:ind w:left="223"/>
              <w:jc w:val="left"/>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二十涌北路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2892" w:type="dxa"/>
          </w:tcPr>
          <w:p>
            <w:pPr>
              <w:pStyle w:val="391"/>
              <w:autoSpaceDE w:val="0"/>
              <w:autoSpaceDN w:val="0"/>
              <w:spacing w:before="134" w:line="220" w:lineRule="auto"/>
              <w:ind w:left="981"/>
              <w:jc w:val="left"/>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道路级别</w:t>
            </w:r>
          </w:p>
        </w:tc>
        <w:tc>
          <w:tcPr>
            <w:tcW w:w="767" w:type="dxa"/>
          </w:tcPr>
          <w:p>
            <w:pPr>
              <w:autoSpaceDE w:val="0"/>
              <w:autoSpaceDN w:val="0"/>
              <w:jc w:val="left"/>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1298" w:type="dxa"/>
          </w:tcPr>
          <w:p>
            <w:pPr>
              <w:pStyle w:val="391"/>
              <w:autoSpaceDE w:val="0"/>
              <w:autoSpaceDN w:val="0"/>
              <w:spacing w:before="135" w:line="219" w:lineRule="auto"/>
              <w:ind w:left="296"/>
              <w:jc w:val="left"/>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主干路</w:t>
            </w:r>
          </w:p>
        </w:tc>
        <w:tc>
          <w:tcPr>
            <w:tcW w:w="1625" w:type="dxa"/>
          </w:tcPr>
          <w:p>
            <w:pPr>
              <w:pStyle w:val="391"/>
              <w:autoSpaceDE w:val="0"/>
              <w:autoSpaceDN w:val="0"/>
              <w:spacing w:before="135" w:line="219" w:lineRule="auto"/>
              <w:ind w:left="461"/>
              <w:jc w:val="left"/>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主干路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5" w:hRule="atLeast"/>
          <w:jc w:val="center"/>
        </w:trPr>
        <w:tc>
          <w:tcPr>
            <w:tcW w:w="2892" w:type="dxa"/>
          </w:tcPr>
          <w:p>
            <w:pPr>
              <w:pStyle w:val="391"/>
              <w:autoSpaceDE w:val="0"/>
              <w:autoSpaceDN w:val="0"/>
              <w:spacing w:before="135" w:line="220" w:lineRule="auto"/>
              <w:ind w:left="986"/>
              <w:jc w:val="left"/>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设计速度</w:t>
            </w:r>
          </w:p>
        </w:tc>
        <w:tc>
          <w:tcPr>
            <w:tcW w:w="767" w:type="dxa"/>
          </w:tcPr>
          <w:p>
            <w:pPr>
              <w:pStyle w:val="391"/>
              <w:autoSpaceDE w:val="0"/>
              <w:autoSpaceDN w:val="0"/>
              <w:spacing w:before="135" w:line="225" w:lineRule="auto"/>
              <w:ind w:left="144"/>
              <w:jc w:val="left"/>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Km/h</w:t>
            </w:r>
          </w:p>
        </w:tc>
        <w:tc>
          <w:tcPr>
            <w:tcW w:w="1298" w:type="dxa"/>
          </w:tcPr>
          <w:p>
            <w:pPr>
              <w:pStyle w:val="391"/>
              <w:autoSpaceDE w:val="0"/>
              <w:autoSpaceDN w:val="0"/>
              <w:spacing w:before="174" w:line="183" w:lineRule="auto"/>
              <w:ind w:left="536"/>
              <w:jc w:val="left"/>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60</w:t>
            </w:r>
          </w:p>
        </w:tc>
        <w:tc>
          <w:tcPr>
            <w:tcW w:w="1625" w:type="dxa"/>
          </w:tcPr>
          <w:p>
            <w:pPr>
              <w:pStyle w:val="391"/>
              <w:autoSpaceDE w:val="0"/>
              <w:autoSpaceDN w:val="0"/>
              <w:spacing w:before="174" w:line="183" w:lineRule="auto"/>
              <w:ind w:left="701"/>
              <w:jc w:val="left"/>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60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2892" w:type="dxa"/>
          </w:tcPr>
          <w:p>
            <w:pPr>
              <w:pStyle w:val="391"/>
              <w:autoSpaceDE w:val="0"/>
              <w:autoSpaceDN w:val="0"/>
              <w:spacing w:before="135" w:line="220" w:lineRule="auto"/>
              <w:ind w:left="399"/>
              <w:jc w:val="left"/>
              <w:rPr>
                <w:rFonts w:ascii="Times New Roman" w:hAnsi="Times New Roman" w:cs="Times New Roman" w:eastAsiaTheme="minorEastAsia"/>
                <w:b w:val="0"/>
                <w:bCs/>
                <w:color w:val="000000" w:themeColor="text1"/>
                <w14:textFill>
                  <w14:solidFill>
                    <w14:schemeClr w14:val="tx1"/>
                  </w14:solidFill>
                </w14:textFill>
              </w:rPr>
            </w:pPr>
            <w:r>
              <w:rPr>
                <w:rFonts w:hint="eastAsia" w:ascii="Times New Roman" w:hAnsi="Times New Roman" w:cs="Times New Roman" w:eastAsiaTheme="minorEastAsia"/>
                <w:b w:val="0"/>
                <w:bCs/>
                <w:color w:val="000000" w:themeColor="text1"/>
                <w:spacing w:val="-3"/>
                <w:lang w:eastAsia="zh-CN"/>
                <w14:textFill>
                  <w14:solidFill>
                    <w14:schemeClr w14:val="tx1"/>
                  </w14:solidFill>
                </w14:textFill>
              </w:rPr>
              <w:t>凹形</w:t>
            </w:r>
            <w:r>
              <w:rPr>
                <w:rFonts w:ascii="Times New Roman" w:hAnsi="Times New Roman" w:cs="Times New Roman" w:eastAsiaTheme="minorEastAsia"/>
                <w:b w:val="0"/>
                <w:bCs/>
                <w:color w:val="000000" w:themeColor="text1"/>
                <w:spacing w:val="-3"/>
                <w14:textFill>
                  <w14:solidFill>
                    <w14:schemeClr w14:val="tx1"/>
                  </w14:solidFill>
                </w14:textFill>
              </w:rPr>
              <w:t>竖曲线最小半径</w:t>
            </w:r>
          </w:p>
        </w:tc>
        <w:tc>
          <w:tcPr>
            <w:tcW w:w="767" w:type="dxa"/>
          </w:tcPr>
          <w:p>
            <w:pPr>
              <w:pStyle w:val="391"/>
              <w:autoSpaceDE w:val="0"/>
              <w:autoSpaceDN w:val="0"/>
              <w:spacing w:before="137" w:line="241" w:lineRule="auto"/>
              <w:ind w:left="321"/>
              <w:jc w:val="left"/>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298" w:type="dxa"/>
          </w:tcPr>
          <w:p>
            <w:pPr>
              <w:pStyle w:val="391"/>
              <w:autoSpaceDE w:val="0"/>
              <w:autoSpaceDN w:val="0"/>
              <w:spacing w:before="173" w:line="184" w:lineRule="auto"/>
              <w:ind w:left="432"/>
              <w:jc w:val="left"/>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6"/>
                <w14:textFill>
                  <w14:solidFill>
                    <w14:schemeClr w14:val="tx1"/>
                  </w14:solidFill>
                </w14:textFill>
              </w:rPr>
              <w:t>1500</w:t>
            </w:r>
          </w:p>
        </w:tc>
        <w:tc>
          <w:tcPr>
            <w:tcW w:w="1625" w:type="dxa"/>
          </w:tcPr>
          <w:p>
            <w:pPr>
              <w:pStyle w:val="391"/>
              <w:autoSpaceDE w:val="0"/>
              <w:autoSpaceDN w:val="0"/>
              <w:spacing w:before="172" w:line="184" w:lineRule="auto"/>
              <w:ind w:left="537"/>
              <w:jc w:val="left"/>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5"/>
                <w14:textFill>
                  <w14:solidFill>
                    <w14:schemeClr w14:val="tx1"/>
                  </w14:solidFill>
                </w14:textFill>
              </w:rPr>
              <w:t>13000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2892" w:type="dxa"/>
          </w:tcPr>
          <w:p>
            <w:pPr>
              <w:pStyle w:val="391"/>
              <w:autoSpaceDE w:val="0"/>
              <w:autoSpaceDN w:val="0"/>
              <w:spacing w:before="136" w:line="220" w:lineRule="auto"/>
              <w:ind w:left="403"/>
              <w:jc w:val="left"/>
              <w:rPr>
                <w:rFonts w:ascii="Times New Roman" w:hAnsi="Times New Roman" w:cs="Times New Roman" w:eastAsiaTheme="minorEastAsia"/>
                <w:b w:val="0"/>
                <w:bCs/>
                <w:color w:val="000000" w:themeColor="text1"/>
                <w14:textFill>
                  <w14:solidFill>
                    <w14:schemeClr w14:val="tx1"/>
                  </w14:solidFill>
                </w14:textFill>
              </w:rPr>
            </w:pPr>
            <w:r>
              <w:rPr>
                <w:rFonts w:hint="eastAsia" w:ascii="Times New Roman" w:hAnsi="Times New Roman" w:cs="Times New Roman" w:eastAsiaTheme="minorEastAsia"/>
                <w:b w:val="0"/>
                <w:bCs/>
                <w:color w:val="000000" w:themeColor="text1"/>
                <w:spacing w:val="-4"/>
                <w:lang w:eastAsia="zh-CN"/>
                <w14:textFill>
                  <w14:solidFill>
                    <w14:schemeClr w14:val="tx1"/>
                  </w14:solidFill>
                </w14:textFill>
              </w:rPr>
              <w:t>凸形</w:t>
            </w:r>
            <w:r>
              <w:rPr>
                <w:rFonts w:ascii="Times New Roman" w:hAnsi="Times New Roman" w:cs="Times New Roman" w:eastAsiaTheme="minorEastAsia"/>
                <w:b w:val="0"/>
                <w:bCs/>
                <w:color w:val="000000" w:themeColor="text1"/>
                <w:spacing w:val="-4"/>
                <w14:textFill>
                  <w14:solidFill>
                    <w14:schemeClr w14:val="tx1"/>
                  </w14:solidFill>
                </w14:textFill>
              </w:rPr>
              <w:t>竖曲线最小半径</w:t>
            </w:r>
          </w:p>
        </w:tc>
        <w:tc>
          <w:tcPr>
            <w:tcW w:w="767" w:type="dxa"/>
          </w:tcPr>
          <w:p>
            <w:pPr>
              <w:pStyle w:val="391"/>
              <w:autoSpaceDE w:val="0"/>
              <w:autoSpaceDN w:val="0"/>
              <w:spacing w:before="138" w:line="241" w:lineRule="auto"/>
              <w:ind w:left="321"/>
              <w:jc w:val="left"/>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298" w:type="dxa"/>
          </w:tcPr>
          <w:p>
            <w:pPr>
              <w:pStyle w:val="391"/>
              <w:autoSpaceDE w:val="0"/>
              <w:autoSpaceDN w:val="0"/>
              <w:spacing w:before="174" w:line="184" w:lineRule="auto"/>
              <w:ind w:left="432"/>
              <w:jc w:val="left"/>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6"/>
                <w14:textFill>
                  <w14:solidFill>
                    <w14:schemeClr w14:val="tx1"/>
                  </w14:solidFill>
                </w14:textFill>
              </w:rPr>
              <w:t>1800</w:t>
            </w:r>
          </w:p>
        </w:tc>
        <w:tc>
          <w:tcPr>
            <w:tcW w:w="1625" w:type="dxa"/>
          </w:tcPr>
          <w:p>
            <w:pPr>
              <w:pStyle w:val="391"/>
              <w:autoSpaceDE w:val="0"/>
              <w:autoSpaceDN w:val="0"/>
              <w:spacing w:before="173" w:line="184" w:lineRule="auto"/>
              <w:ind w:left="537"/>
              <w:jc w:val="left"/>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5"/>
                <w14:textFill>
                  <w14:solidFill>
                    <w14:schemeClr w14:val="tx1"/>
                  </w14:solidFill>
                </w14:textFill>
              </w:rPr>
              <w:t>11000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5" w:hRule="atLeast"/>
          <w:jc w:val="center"/>
        </w:trPr>
        <w:tc>
          <w:tcPr>
            <w:tcW w:w="2892" w:type="dxa"/>
          </w:tcPr>
          <w:p>
            <w:pPr>
              <w:pStyle w:val="391"/>
              <w:autoSpaceDE w:val="0"/>
              <w:autoSpaceDN w:val="0"/>
              <w:spacing w:before="136" w:line="220" w:lineRule="auto"/>
              <w:ind w:left="985"/>
              <w:jc w:val="left"/>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最大纵坡</w:t>
            </w:r>
          </w:p>
        </w:tc>
        <w:tc>
          <w:tcPr>
            <w:tcW w:w="767" w:type="dxa"/>
          </w:tcPr>
          <w:p>
            <w:pPr>
              <w:pStyle w:val="391"/>
              <w:autoSpaceDE w:val="0"/>
              <w:autoSpaceDN w:val="0"/>
              <w:spacing w:before="138"/>
              <w:ind w:left="321"/>
              <w:jc w:val="left"/>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w:t>
            </w:r>
          </w:p>
        </w:tc>
        <w:tc>
          <w:tcPr>
            <w:tcW w:w="1298" w:type="dxa"/>
          </w:tcPr>
          <w:p>
            <w:pPr>
              <w:pStyle w:val="391"/>
              <w:autoSpaceDE w:val="0"/>
              <w:autoSpaceDN w:val="0"/>
              <w:spacing w:before="177" w:line="182" w:lineRule="auto"/>
              <w:ind w:left="599"/>
              <w:jc w:val="left"/>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5</w:t>
            </w:r>
          </w:p>
        </w:tc>
        <w:tc>
          <w:tcPr>
            <w:tcW w:w="1625" w:type="dxa"/>
          </w:tcPr>
          <w:p>
            <w:pPr>
              <w:pStyle w:val="391"/>
              <w:autoSpaceDE w:val="0"/>
              <w:autoSpaceDN w:val="0"/>
              <w:spacing w:before="175" w:line="183" w:lineRule="auto"/>
              <w:ind w:left="581"/>
              <w:jc w:val="left"/>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0.63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8" w:hRule="atLeast"/>
          <w:jc w:val="center"/>
        </w:trPr>
        <w:tc>
          <w:tcPr>
            <w:tcW w:w="2892" w:type="dxa"/>
          </w:tcPr>
          <w:p>
            <w:pPr>
              <w:pStyle w:val="391"/>
              <w:autoSpaceDE w:val="0"/>
              <w:autoSpaceDN w:val="0"/>
              <w:spacing w:before="137" w:line="220" w:lineRule="auto"/>
              <w:ind w:left="985"/>
              <w:jc w:val="left"/>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最小坡长</w:t>
            </w:r>
          </w:p>
        </w:tc>
        <w:tc>
          <w:tcPr>
            <w:tcW w:w="767" w:type="dxa"/>
          </w:tcPr>
          <w:p>
            <w:pPr>
              <w:pStyle w:val="391"/>
              <w:autoSpaceDE w:val="0"/>
              <w:autoSpaceDN w:val="0"/>
              <w:spacing w:before="139" w:line="241" w:lineRule="auto"/>
              <w:ind w:left="321"/>
              <w:jc w:val="left"/>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298" w:type="dxa"/>
          </w:tcPr>
          <w:p>
            <w:pPr>
              <w:pStyle w:val="391"/>
              <w:autoSpaceDE w:val="0"/>
              <w:autoSpaceDN w:val="0"/>
              <w:spacing w:before="175" w:line="184" w:lineRule="auto"/>
              <w:ind w:left="492"/>
              <w:jc w:val="left"/>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150</w:t>
            </w:r>
          </w:p>
        </w:tc>
        <w:tc>
          <w:tcPr>
            <w:tcW w:w="1625" w:type="dxa"/>
          </w:tcPr>
          <w:p>
            <w:pPr>
              <w:pStyle w:val="391"/>
              <w:autoSpaceDE w:val="0"/>
              <w:autoSpaceDN w:val="0"/>
              <w:spacing w:before="176" w:line="183" w:lineRule="auto"/>
              <w:ind w:left="642"/>
              <w:jc w:val="left"/>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200</w:t>
            </w:r>
          </w:p>
        </w:tc>
      </w:tr>
    </w:tbl>
    <w:p>
      <w:pPr>
        <w:spacing w:before="79" w:line="219" w:lineRule="auto"/>
        <w:ind w:left="3848" w:firstLine="478" w:firstLineChars="200"/>
        <w:rPr>
          <w:rFonts w:ascii="Times New Roman" w:hAnsi="Times New Roman"/>
          <w:sz w:val="24"/>
          <w:szCs w:val="24"/>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次干路纵断面主要技术标准</w:t>
      </w:r>
    </w:p>
    <w:tbl>
      <w:tblPr>
        <w:tblStyle w:val="379"/>
        <w:tblW w:w="5751"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532"/>
        <w:gridCol w:w="670"/>
        <w:gridCol w:w="1131"/>
        <w:gridCol w:w="1418"/>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9" w:hRule="atLeast"/>
          <w:jc w:val="center"/>
        </w:trPr>
        <w:tc>
          <w:tcPr>
            <w:tcW w:w="2532" w:type="dxa"/>
            <w:vMerge w:val="restart"/>
            <w:tcBorders>
              <w:bottom w:val="nil"/>
            </w:tcBorders>
          </w:tcPr>
          <w:p>
            <w:pPr>
              <w:pStyle w:val="391"/>
              <w:autoSpaceDE w:val="0"/>
              <w:autoSpaceDN w:val="0"/>
              <w:spacing w:before="78" w:line="220" w:lineRule="auto"/>
              <w:ind w:left="104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项目</w:t>
            </w:r>
          </w:p>
        </w:tc>
        <w:tc>
          <w:tcPr>
            <w:tcW w:w="670" w:type="dxa"/>
            <w:vMerge w:val="restart"/>
            <w:tcBorders>
              <w:bottom w:val="nil"/>
            </w:tcBorders>
          </w:tcPr>
          <w:p>
            <w:pPr>
              <w:pStyle w:val="391"/>
              <w:autoSpaceDE w:val="0"/>
              <w:autoSpaceDN w:val="0"/>
              <w:spacing w:before="78" w:line="220" w:lineRule="auto"/>
              <w:ind w:left="10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单位</w:t>
            </w:r>
          </w:p>
        </w:tc>
        <w:tc>
          <w:tcPr>
            <w:tcW w:w="1131" w:type="dxa"/>
            <w:vMerge w:val="restart"/>
            <w:tcBorders>
              <w:bottom w:val="nil"/>
            </w:tcBorders>
          </w:tcPr>
          <w:p>
            <w:pPr>
              <w:pStyle w:val="391"/>
              <w:autoSpaceDE w:val="0"/>
              <w:autoSpaceDN w:val="0"/>
              <w:spacing w:before="78" w:line="220" w:lineRule="auto"/>
              <w:ind w:left="21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规范值</w:t>
            </w:r>
          </w:p>
        </w:tc>
        <w:tc>
          <w:tcPr>
            <w:tcW w:w="1418" w:type="dxa"/>
          </w:tcPr>
          <w:p>
            <w:pPr>
              <w:pStyle w:val="391"/>
              <w:autoSpaceDE w:val="0"/>
              <w:autoSpaceDN w:val="0"/>
              <w:spacing w:before="157" w:line="220" w:lineRule="auto"/>
              <w:jc w:val="center"/>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设计值</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2532"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670"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1131"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1418" w:type="dxa"/>
          </w:tcPr>
          <w:p>
            <w:pPr>
              <w:pStyle w:val="391"/>
              <w:autoSpaceDE w:val="0"/>
              <w:autoSpaceDN w:val="0"/>
              <w:spacing w:before="191" w:line="220" w:lineRule="auto"/>
              <w:ind w:left="5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规划纵三路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5" w:hRule="atLeast"/>
          <w:jc w:val="center"/>
        </w:trPr>
        <w:tc>
          <w:tcPr>
            <w:tcW w:w="2532" w:type="dxa"/>
          </w:tcPr>
          <w:p>
            <w:pPr>
              <w:pStyle w:val="391"/>
              <w:autoSpaceDE w:val="0"/>
              <w:autoSpaceDN w:val="0"/>
              <w:spacing w:before="134" w:line="220" w:lineRule="auto"/>
              <w:ind w:left="80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道路级别</w:t>
            </w:r>
          </w:p>
        </w:tc>
        <w:tc>
          <w:tcPr>
            <w:tcW w:w="670" w:type="dxa"/>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1131" w:type="dxa"/>
          </w:tcPr>
          <w:p>
            <w:pPr>
              <w:pStyle w:val="391"/>
              <w:autoSpaceDE w:val="0"/>
              <w:autoSpaceDN w:val="0"/>
              <w:spacing w:before="134" w:line="219" w:lineRule="auto"/>
              <w:ind w:left="21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次干路</w:t>
            </w:r>
          </w:p>
        </w:tc>
        <w:tc>
          <w:tcPr>
            <w:tcW w:w="1418" w:type="dxa"/>
          </w:tcPr>
          <w:p>
            <w:pPr>
              <w:pStyle w:val="391"/>
              <w:autoSpaceDE w:val="0"/>
              <w:autoSpaceDN w:val="0"/>
              <w:spacing w:before="134" w:line="219" w:lineRule="auto"/>
              <w:ind w:left="29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次干路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2532" w:type="dxa"/>
          </w:tcPr>
          <w:p>
            <w:pPr>
              <w:pStyle w:val="391"/>
              <w:autoSpaceDE w:val="0"/>
              <w:autoSpaceDN w:val="0"/>
              <w:spacing w:before="135" w:line="220" w:lineRule="auto"/>
              <w:ind w:left="80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设计速度</w:t>
            </w:r>
          </w:p>
        </w:tc>
        <w:tc>
          <w:tcPr>
            <w:tcW w:w="670" w:type="dxa"/>
          </w:tcPr>
          <w:p>
            <w:pPr>
              <w:pStyle w:val="391"/>
              <w:autoSpaceDE w:val="0"/>
              <w:autoSpaceDN w:val="0"/>
              <w:spacing w:before="134" w:line="225" w:lineRule="auto"/>
              <w:ind w:left="9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Km/h</w:t>
            </w:r>
          </w:p>
        </w:tc>
        <w:tc>
          <w:tcPr>
            <w:tcW w:w="1131" w:type="dxa"/>
          </w:tcPr>
          <w:p>
            <w:pPr>
              <w:pStyle w:val="391"/>
              <w:autoSpaceDE w:val="0"/>
              <w:autoSpaceDN w:val="0"/>
              <w:spacing w:before="173" w:line="183" w:lineRule="auto"/>
              <w:ind w:left="44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40</w:t>
            </w:r>
          </w:p>
        </w:tc>
        <w:tc>
          <w:tcPr>
            <w:tcW w:w="1418" w:type="dxa"/>
          </w:tcPr>
          <w:p>
            <w:pPr>
              <w:pStyle w:val="391"/>
              <w:autoSpaceDE w:val="0"/>
              <w:autoSpaceDN w:val="0"/>
              <w:spacing w:before="173" w:line="183" w:lineRule="auto"/>
              <w:ind w:left="52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40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2532" w:type="dxa"/>
          </w:tcPr>
          <w:p>
            <w:pPr>
              <w:pStyle w:val="391"/>
              <w:autoSpaceDE w:val="0"/>
              <w:autoSpaceDN w:val="0"/>
              <w:spacing w:before="135" w:line="220" w:lineRule="auto"/>
              <w:ind w:left="219"/>
              <w:rPr>
                <w:rFonts w:ascii="Times New Roman" w:hAnsi="Times New Roman" w:cs="Times New Roman" w:eastAsiaTheme="minorEastAsia"/>
                <w:b w:val="0"/>
                <w:bCs/>
                <w:color w:val="000000" w:themeColor="text1"/>
                <w14:textFill>
                  <w14:solidFill>
                    <w14:schemeClr w14:val="tx1"/>
                  </w14:solidFill>
                </w14:textFill>
              </w:rPr>
            </w:pPr>
            <w:r>
              <w:rPr>
                <w:rFonts w:hint="eastAsia" w:ascii="Times New Roman" w:hAnsi="Times New Roman" w:cs="Times New Roman" w:eastAsiaTheme="minorEastAsia"/>
                <w:b w:val="0"/>
                <w:bCs/>
                <w:color w:val="000000" w:themeColor="text1"/>
                <w:spacing w:val="-3"/>
                <w:lang w:eastAsia="zh-CN"/>
                <w14:textFill>
                  <w14:solidFill>
                    <w14:schemeClr w14:val="tx1"/>
                  </w14:solidFill>
                </w14:textFill>
              </w:rPr>
              <w:t>凹形</w:t>
            </w:r>
            <w:r>
              <w:rPr>
                <w:rFonts w:ascii="Times New Roman" w:hAnsi="Times New Roman" w:cs="Times New Roman" w:eastAsiaTheme="minorEastAsia"/>
                <w:b w:val="0"/>
                <w:bCs/>
                <w:color w:val="000000" w:themeColor="text1"/>
                <w:spacing w:val="-3"/>
                <w14:textFill>
                  <w14:solidFill>
                    <w14:schemeClr w14:val="tx1"/>
                  </w14:solidFill>
                </w14:textFill>
              </w:rPr>
              <w:t>竖曲线最小半径</w:t>
            </w:r>
          </w:p>
        </w:tc>
        <w:tc>
          <w:tcPr>
            <w:tcW w:w="670" w:type="dxa"/>
          </w:tcPr>
          <w:p>
            <w:pPr>
              <w:pStyle w:val="391"/>
              <w:autoSpaceDE w:val="0"/>
              <w:autoSpaceDN w:val="0"/>
              <w:spacing w:before="136" w:line="241" w:lineRule="auto"/>
              <w:ind w:left="27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131" w:type="dxa"/>
          </w:tcPr>
          <w:p>
            <w:pPr>
              <w:pStyle w:val="391"/>
              <w:autoSpaceDE w:val="0"/>
              <w:autoSpaceDN w:val="0"/>
              <w:spacing w:before="174" w:line="183" w:lineRule="auto"/>
              <w:ind w:left="39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700</w:t>
            </w:r>
          </w:p>
        </w:tc>
        <w:tc>
          <w:tcPr>
            <w:tcW w:w="1418" w:type="dxa"/>
          </w:tcPr>
          <w:p>
            <w:pPr>
              <w:pStyle w:val="391"/>
              <w:autoSpaceDE w:val="0"/>
              <w:autoSpaceDN w:val="0"/>
              <w:spacing w:before="174" w:line="183" w:lineRule="auto"/>
              <w:ind w:left="40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4200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5" w:hRule="atLeast"/>
          <w:jc w:val="center"/>
        </w:trPr>
        <w:tc>
          <w:tcPr>
            <w:tcW w:w="2532" w:type="dxa"/>
          </w:tcPr>
          <w:p>
            <w:pPr>
              <w:pStyle w:val="391"/>
              <w:autoSpaceDE w:val="0"/>
              <w:autoSpaceDN w:val="0"/>
              <w:spacing w:before="136" w:line="220" w:lineRule="auto"/>
              <w:ind w:left="223"/>
              <w:rPr>
                <w:rFonts w:ascii="Times New Roman" w:hAnsi="Times New Roman" w:cs="Times New Roman" w:eastAsiaTheme="minorEastAsia"/>
                <w:b w:val="0"/>
                <w:bCs/>
                <w:color w:val="000000" w:themeColor="text1"/>
                <w14:textFill>
                  <w14:solidFill>
                    <w14:schemeClr w14:val="tx1"/>
                  </w14:solidFill>
                </w14:textFill>
              </w:rPr>
            </w:pPr>
            <w:r>
              <w:rPr>
                <w:rFonts w:hint="eastAsia" w:ascii="Times New Roman" w:hAnsi="Times New Roman" w:cs="Times New Roman" w:eastAsiaTheme="minorEastAsia"/>
                <w:b w:val="0"/>
                <w:bCs/>
                <w:color w:val="000000" w:themeColor="text1"/>
                <w:spacing w:val="-4"/>
                <w:lang w:eastAsia="zh-CN"/>
                <w14:textFill>
                  <w14:solidFill>
                    <w14:schemeClr w14:val="tx1"/>
                  </w14:solidFill>
                </w14:textFill>
              </w:rPr>
              <w:t>凸形</w:t>
            </w:r>
            <w:r>
              <w:rPr>
                <w:rFonts w:ascii="Times New Roman" w:hAnsi="Times New Roman" w:cs="Times New Roman" w:eastAsiaTheme="minorEastAsia"/>
                <w:b w:val="0"/>
                <w:bCs/>
                <w:color w:val="000000" w:themeColor="text1"/>
                <w:spacing w:val="-4"/>
                <w14:textFill>
                  <w14:solidFill>
                    <w14:schemeClr w14:val="tx1"/>
                  </w14:solidFill>
                </w14:textFill>
              </w:rPr>
              <w:t>竖曲线最小半径</w:t>
            </w:r>
          </w:p>
        </w:tc>
        <w:tc>
          <w:tcPr>
            <w:tcW w:w="670" w:type="dxa"/>
          </w:tcPr>
          <w:p>
            <w:pPr>
              <w:pStyle w:val="391"/>
              <w:autoSpaceDE w:val="0"/>
              <w:autoSpaceDN w:val="0"/>
              <w:spacing w:before="136" w:line="241" w:lineRule="auto"/>
              <w:ind w:left="27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131" w:type="dxa"/>
          </w:tcPr>
          <w:p>
            <w:pPr>
              <w:pStyle w:val="391"/>
              <w:autoSpaceDE w:val="0"/>
              <w:autoSpaceDN w:val="0"/>
              <w:spacing w:before="174" w:line="183" w:lineRule="auto"/>
              <w:ind w:left="39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600</w:t>
            </w:r>
          </w:p>
        </w:tc>
        <w:tc>
          <w:tcPr>
            <w:tcW w:w="1418" w:type="dxa"/>
          </w:tcPr>
          <w:p>
            <w:pPr>
              <w:pStyle w:val="391"/>
              <w:autoSpaceDE w:val="0"/>
              <w:autoSpaceDN w:val="0"/>
              <w:spacing w:before="174" w:line="183" w:lineRule="auto"/>
              <w:ind w:left="41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2000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2532" w:type="dxa"/>
          </w:tcPr>
          <w:p>
            <w:pPr>
              <w:pStyle w:val="391"/>
              <w:autoSpaceDE w:val="0"/>
              <w:autoSpaceDN w:val="0"/>
              <w:spacing w:before="136" w:line="220" w:lineRule="auto"/>
              <w:ind w:left="80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最大纵坡</w:t>
            </w:r>
          </w:p>
        </w:tc>
        <w:tc>
          <w:tcPr>
            <w:tcW w:w="670" w:type="dxa"/>
          </w:tcPr>
          <w:p>
            <w:pPr>
              <w:pStyle w:val="391"/>
              <w:autoSpaceDE w:val="0"/>
              <w:autoSpaceDN w:val="0"/>
              <w:spacing w:before="137"/>
              <w:ind w:left="27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w:t>
            </w:r>
          </w:p>
        </w:tc>
        <w:tc>
          <w:tcPr>
            <w:tcW w:w="1131" w:type="dxa"/>
          </w:tcPr>
          <w:p>
            <w:pPr>
              <w:pStyle w:val="391"/>
              <w:autoSpaceDE w:val="0"/>
              <w:autoSpaceDN w:val="0"/>
              <w:spacing w:before="175" w:line="183" w:lineRule="auto"/>
              <w:ind w:left="51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6</w:t>
            </w:r>
          </w:p>
        </w:tc>
        <w:tc>
          <w:tcPr>
            <w:tcW w:w="1418" w:type="dxa"/>
          </w:tcPr>
          <w:p>
            <w:pPr>
              <w:pStyle w:val="391"/>
              <w:autoSpaceDE w:val="0"/>
              <w:autoSpaceDN w:val="0"/>
              <w:spacing w:before="175" w:line="183" w:lineRule="auto"/>
              <w:ind w:left="47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5"/>
                <w14:textFill>
                  <w14:solidFill>
                    <w14:schemeClr w14:val="tx1"/>
                  </w14:solidFill>
                </w14:textFill>
              </w:rPr>
              <w:t>2.5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8" w:hRule="atLeast"/>
          <w:jc w:val="center"/>
        </w:trPr>
        <w:tc>
          <w:tcPr>
            <w:tcW w:w="2532" w:type="dxa"/>
          </w:tcPr>
          <w:p>
            <w:pPr>
              <w:pStyle w:val="391"/>
              <w:autoSpaceDE w:val="0"/>
              <w:autoSpaceDN w:val="0"/>
              <w:spacing w:before="137" w:line="220" w:lineRule="auto"/>
              <w:ind w:left="80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最小坡长</w:t>
            </w:r>
          </w:p>
        </w:tc>
        <w:tc>
          <w:tcPr>
            <w:tcW w:w="670" w:type="dxa"/>
          </w:tcPr>
          <w:p>
            <w:pPr>
              <w:pStyle w:val="391"/>
              <w:autoSpaceDE w:val="0"/>
              <w:autoSpaceDN w:val="0"/>
              <w:spacing w:before="138" w:line="241" w:lineRule="auto"/>
              <w:ind w:left="27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c>
          <w:tcPr>
            <w:tcW w:w="1131" w:type="dxa"/>
          </w:tcPr>
          <w:p>
            <w:pPr>
              <w:pStyle w:val="391"/>
              <w:autoSpaceDE w:val="0"/>
              <w:autoSpaceDN w:val="0"/>
              <w:spacing w:before="174" w:line="184" w:lineRule="auto"/>
              <w:ind w:left="40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110</w:t>
            </w:r>
          </w:p>
        </w:tc>
        <w:tc>
          <w:tcPr>
            <w:tcW w:w="1418" w:type="dxa"/>
          </w:tcPr>
          <w:p>
            <w:pPr>
              <w:pStyle w:val="391"/>
              <w:autoSpaceDE w:val="0"/>
              <w:autoSpaceDN w:val="0"/>
              <w:spacing w:before="174" w:line="184" w:lineRule="auto"/>
              <w:ind w:left="48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130</w:t>
            </w:r>
          </w:p>
        </w:tc>
      </w:tr>
    </w:tbl>
    <w:p>
      <w:pPr>
        <w:pStyle w:val="4"/>
        <w:ind w:firstLine="482" w:firstLineChars="200"/>
      </w:pPr>
      <w:bookmarkStart w:id="144" w:name="_Toc98235888"/>
      <w:bookmarkStart w:id="145" w:name="_Toc26934"/>
      <w:r>
        <w:t>横断面设计</w:t>
      </w:r>
      <w:bookmarkEnd w:id="144"/>
      <w:bookmarkEnd w:id="145"/>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城市道路的横断面是由车行道、人行道、绿化带以及分车带等部分组成的。横断面设计的主要任务是根据道路的等级、性质和红线宽度以及有关交通资料，确定各组成部分的宽度，并给予合理的布置。道路的规划红线宽度、道路功能、交通组织方式和交通资料的分析，是城市道路横断面设计的主要依据。</w:t>
      </w:r>
    </w:p>
    <w:p>
      <w:pPr>
        <w:pStyle w:val="5"/>
        <w:ind w:firstLine="482" w:firstLineChars="200"/>
        <w:rPr>
          <w:rFonts w:ascii="Times New Roman" w:hAnsi="Times New Roman"/>
        </w:rPr>
      </w:pPr>
      <w:bookmarkStart w:id="146" w:name="_Toc98235889"/>
      <w:r>
        <w:rPr>
          <w:rFonts w:ascii="Times New Roman" w:hAnsi="Times New Roman"/>
        </w:rPr>
        <w:t>横断面设计原则</w:t>
      </w:r>
      <w:bookmarkEnd w:id="146"/>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（1）根据规划资料以及交通量预测，道路横断面布置应确保道路等级和车道数量要求。</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（2）采用人车分离，加强人、车之间的安全性，减小相互干扰，提高机动车的行车速度，保障行人及非机动车的需求。</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（3）增加道路绿化率，合理布置绿化带，以人为本，强调人与绿化（植物）的亲和力，使行人与骑（自行）车人直接感受道路景观，提高行人的舒适度。</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（4）保证沿路管线的布设，根据发展需要确定管线走廊的合理宽度，方便管线维修，减小管线改造对机动车的影响，减少对行人、非机动车的影响，降低管线维护成本。</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总之，通过科学合理地进行道路横断面设计，减少交通拥挤、提高运作效率，加强环境保护，美化道路景观，改善市民生活空间，保障行人安全，促进经济和社会环境的可持续发展。</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城市道路的横断面是由车行道、人行道、绿化带以及分车带等部分组成的。横断面设计的主要任务是根据道路的等级、性质和红线宽度以及有关交通资料，确定各组成部分的宽度，并给予合理的布置。道路的规划红线宽度、道路功能、交通组织方式和交通资料的分析，是城市道路横断面设计的主要依据。</w:t>
      </w:r>
    </w:p>
    <w:p>
      <w:pPr>
        <w:pStyle w:val="5"/>
        <w:ind w:firstLine="482" w:firstLineChars="200"/>
        <w:rPr>
          <w:rFonts w:ascii="Times New Roman" w:hAnsi="Times New Roman"/>
        </w:rPr>
      </w:pPr>
      <w:r>
        <w:rPr>
          <w:rFonts w:ascii="Times New Roman" w:hAnsi="Times New Roman"/>
        </w:rPr>
        <w:t>横断面</w:t>
      </w:r>
      <w:r>
        <w:rPr>
          <w:rFonts w:ascii="Times New Roman" w:hAnsi="Times New Roman"/>
          <w:spacing w:val="-1"/>
        </w:rPr>
        <w:t>设计方案</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(1)50m断面推荐方案（适用于二十涌北路）：双向6车道，行车道与非机动车不共板。</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标准横断面(50m)布置如下：3.75m(人行道)+1.5m（树穴）+4.5m（非机动车道）+2m(侧绿化带)+11.25m(机动车道)+4m(中央绿化带)＋11.25m(机动车道)+2m(侧绿化带)+4.5m（非机动车道）</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+1.5m（树穴）+3.75m(人行道)=50m</w:t>
      </w:r>
    </w:p>
    <w:p>
      <w:pPr>
        <w:ind w:firstLine="562" w:firstLineChars="200"/>
        <w:rPr>
          <w:rFonts w:ascii="Times New Roman" w:hAnsi="Times New Roman"/>
        </w:rPr>
      </w:pPr>
      <w:r>
        <w:rPr>
          <w:rFonts w:ascii="Times New Roman" w:hAnsi="Times New Roman"/>
        </w:rPr>
        <w:drawing>
          <wp:inline distT="0" distB="0" distL="114300" distR="114300">
            <wp:extent cx="6513830" cy="1873250"/>
            <wp:effectExtent l="0" t="0" r="1270" b="12700"/>
            <wp:docPr id="402"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图片 51"/>
                    <pic:cNvPicPr>
                      <a:picLocks noChangeAspect="1"/>
                    </pic:cNvPicPr>
                  </pic:nvPicPr>
                  <pic:blipFill>
                    <a:blip r:embed="rId120"/>
                    <a:stretch>
                      <a:fillRect/>
                    </a:stretch>
                  </pic:blipFill>
                  <pic:spPr>
                    <a:xfrm>
                      <a:off x="0" y="0"/>
                      <a:ext cx="6513830" cy="1873250"/>
                    </a:xfrm>
                    <a:prstGeom prst="rect">
                      <a:avLst/>
                    </a:prstGeom>
                    <a:noFill/>
                    <a:ln>
                      <a:noFill/>
                    </a:ln>
                  </pic:spPr>
                </pic:pic>
              </a:graphicData>
            </a:graphic>
          </wp:inline>
        </w:drawing>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(2)50m断面比选方案（适用于二十涌北路）：双向6车道，人行道与非机动车共板。</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标准横断面(50m)布置如下：3.75m(人行道)+1.5m（树穴）+2.5m（非机动车道）+2m(侧绿化带)+11.25m(机动车道)+8m(中央绿化带)＋11.25m(机动车道)+2m(侧绿化带)+2.5m（非机动车道）</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+1.5m（树穴）+3.75m(人行道)=50m</w:t>
      </w:r>
    </w:p>
    <w:p>
      <w:pPr>
        <w:spacing w:line="300" w:lineRule="auto"/>
        <w:ind w:firstLine="562"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rPr>
        <w:drawing>
          <wp:inline distT="0" distB="0" distL="114300" distR="114300">
            <wp:extent cx="6644005" cy="1940560"/>
            <wp:effectExtent l="0" t="0" r="4445" b="2540"/>
            <wp:docPr id="56"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8"/>
                    <pic:cNvPicPr>
                      <a:picLocks noChangeAspect="1"/>
                    </pic:cNvPicPr>
                  </pic:nvPicPr>
                  <pic:blipFill>
                    <a:blip r:embed="rId121"/>
                    <a:srcRect l="4521" t="18035" r="6943" b="20740"/>
                    <a:stretch>
                      <a:fillRect/>
                    </a:stretch>
                  </pic:blipFill>
                  <pic:spPr>
                    <a:xfrm>
                      <a:off x="0" y="0"/>
                      <a:ext cx="6644005" cy="1940560"/>
                    </a:xfrm>
                    <a:prstGeom prst="rect">
                      <a:avLst/>
                    </a:prstGeom>
                    <a:noFill/>
                    <a:ln>
                      <a:noFill/>
                    </a:ln>
                  </pic:spPr>
                </pic:pic>
              </a:graphicData>
            </a:graphic>
          </wp:inline>
        </w:drawing>
      </w:r>
    </w:p>
    <w:p>
      <w:pPr>
        <w:spacing w:before="209" w:line="220" w:lineRule="auto"/>
        <w:ind w:left="4024" w:firstLine="474" w:firstLineChars="200"/>
        <w:rPr>
          <w:rFonts w:ascii="Times New Roman" w:hAnsi="Times New Roman"/>
          <w:sz w:val="24"/>
          <w:szCs w:val="24"/>
        </w:rPr>
      </w:pPr>
      <w:r>
        <w:rPr>
          <w:rFonts w:ascii="Times New Roman" w:hAnsi="Times New Roman"/>
          <w:spacing w:val="-2"/>
          <w:sz w:val="24"/>
          <w:szCs w:val="24"/>
          <w14:textOutline w14:w="3048" w14:cap="flat" w14:cmpd="sng" w14:algn="ctr">
            <w14:solidFill>
              <w14:srgbClr w14:val="000000"/>
            </w14:solidFill>
            <w14:prstDash w14:val="solid"/>
            <w14:miter w14:val="0"/>
          </w14:textOutline>
        </w:rPr>
        <w:t>50m横断面方案比选表</w:t>
      </w:r>
    </w:p>
    <w:tbl>
      <w:tblPr>
        <w:tblStyle w:val="379"/>
        <w:tblW w:w="10367"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03"/>
        <w:gridCol w:w="4691"/>
        <w:gridCol w:w="467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95" w:hRule="atLeast"/>
        </w:trPr>
        <w:tc>
          <w:tcPr>
            <w:tcW w:w="1003" w:type="dxa"/>
          </w:tcPr>
          <w:p>
            <w:pPr>
              <w:pStyle w:val="391"/>
              <w:autoSpaceDE w:val="0"/>
              <w:autoSpaceDN w:val="0"/>
              <w:spacing w:before="187" w:line="220" w:lineRule="auto"/>
              <w:ind w:left="274"/>
              <w:rPr>
                <w:rFonts w:ascii="Times New Roman" w:hAnsi="Times New Roman" w:cs="Times New Roman" w:eastAsiaTheme="minorEastAsia"/>
                <w:b w:val="0"/>
                <w:bCs/>
                <w:color w:val="000000" w:themeColor="text1"/>
                <w:sz w:val="21"/>
                <w:szCs w:val="21"/>
                <w14:textFill>
                  <w14:solidFill>
                    <w14:schemeClr w14:val="tx1"/>
                  </w14:solidFill>
                </w14:textFill>
              </w:rPr>
            </w:pPr>
            <w:r>
              <w:rPr>
                <w:rFonts w:ascii="Times New Roman" w:hAnsi="Times New Roman" w:cs="Times New Roman" w:eastAsiaTheme="minorEastAsia"/>
                <w:b w:val="0"/>
                <w:bCs/>
                <w:color w:val="000000" w:themeColor="text1"/>
                <w:spacing w:val="-3"/>
                <w:sz w:val="21"/>
                <w:szCs w:val="21"/>
                <w14:textFill>
                  <w14:solidFill>
                    <w14:schemeClr w14:val="tx1"/>
                  </w14:solidFill>
                </w14:textFill>
              </w:rPr>
              <w:t>方案</w:t>
            </w:r>
          </w:p>
        </w:tc>
        <w:tc>
          <w:tcPr>
            <w:tcW w:w="4691" w:type="dxa"/>
          </w:tcPr>
          <w:p>
            <w:pPr>
              <w:pStyle w:val="391"/>
              <w:autoSpaceDE w:val="0"/>
              <w:autoSpaceDN w:val="0"/>
              <w:spacing w:before="186" w:line="219" w:lineRule="auto"/>
              <w:ind w:left="1871"/>
              <w:rPr>
                <w:rFonts w:ascii="Times New Roman" w:hAnsi="Times New Roman" w:cs="Times New Roman" w:eastAsiaTheme="minorEastAsia"/>
                <w:b w:val="0"/>
                <w:bCs/>
                <w:color w:val="000000" w:themeColor="text1"/>
                <w:sz w:val="21"/>
                <w:szCs w:val="21"/>
                <w14:textFill>
                  <w14:solidFill>
                    <w14:schemeClr w14:val="tx1"/>
                  </w14:solidFill>
                </w14:textFill>
              </w:rPr>
            </w:pPr>
            <w:r>
              <w:rPr>
                <w:rFonts w:ascii="Times New Roman" w:hAnsi="Times New Roman" w:cs="Times New Roman" w:eastAsiaTheme="minorEastAsia"/>
                <w:b w:val="0"/>
                <w:bCs/>
                <w:color w:val="000000" w:themeColor="text1"/>
                <w:spacing w:val="-2"/>
                <w:sz w:val="21"/>
                <w:szCs w:val="21"/>
                <w14:textFill>
                  <w14:solidFill>
                    <w14:schemeClr w14:val="tx1"/>
                  </w14:solidFill>
                </w14:textFill>
              </w:rPr>
              <w:t>推荐方案</w:t>
            </w:r>
          </w:p>
        </w:tc>
        <w:tc>
          <w:tcPr>
            <w:tcW w:w="4673" w:type="dxa"/>
          </w:tcPr>
          <w:p>
            <w:pPr>
              <w:pStyle w:val="391"/>
              <w:autoSpaceDE w:val="0"/>
              <w:autoSpaceDN w:val="0"/>
              <w:spacing w:before="187" w:line="220" w:lineRule="auto"/>
              <w:ind w:left="1883"/>
              <w:rPr>
                <w:rFonts w:ascii="Times New Roman" w:hAnsi="Times New Roman" w:cs="Times New Roman" w:eastAsiaTheme="minorEastAsia"/>
                <w:b w:val="0"/>
                <w:bCs/>
                <w:color w:val="000000" w:themeColor="text1"/>
                <w:sz w:val="21"/>
                <w:szCs w:val="21"/>
                <w14:textFill>
                  <w14:solidFill>
                    <w14:schemeClr w14:val="tx1"/>
                  </w14:solidFill>
                </w14:textFill>
              </w:rPr>
            </w:pPr>
            <w:r>
              <w:rPr>
                <w:rFonts w:ascii="Times New Roman" w:hAnsi="Times New Roman" w:cs="Times New Roman" w:eastAsiaTheme="minorEastAsia"/>
                <w:b w:val="0"/>
                <w:bCs/>
                <w:color w:val="000000" w:themeColor="text1"/>
                <w:spacing w:val="-7"/>
                <w:sz w:val="21"/>
                <w:szCs w:val="21"/>
                <w14:textFill>
                  <w14:solidFill>
                    <w14:schemeClr w14:val="tx1"/>
                  </w14:solidFill>
                </w14:textFill>
              </w:rPr>
              <w:t>比选方案</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01" w:hRule="atLeast"/>
        </w:trPr>
        <w:tc>
          <w:tcPr>
            <w:tcW w:w="1003" w:type="dxa"/>
          </w:tcPr>
          <w:p>
            <w:pPr>
              <w:pStyle w:val="391"/>
              <w:autoSpaceDE w:val="0"/>
              <w:autoSpaceDN w:val="0"/>
              <w:spacing w:before="78" w:line="220" w:lineRule="auto"/>
              <w:ind w:left="272"/>
              <w:rPr>
                <w:rFonts w:ascii="Times New Roman" w:hAnsi="Times New Roman" w:cs="Times New Roman" w:eastAsiaTheme="minorEastAsia"/>
                <w:b w:val="0"/>
                <w:bCs/>
                <w:color w:val="000000" w:themeColor="text1"/>
                <w:sz w:val="21"/>
                <w:szCs w:val="21"/>
                <w14:textFill>
                  <w14:solidFill>
                    <w14:schemeClr w14:val="tx1"/>
                  </w14:solidFill>
                </w14:textFill>
              </w:rPr>
            </w:pPr>
            <w:r>
              <w:rPr>
                <w:rFonts w:ascii="Times New Roman" w:hAnsi="Times New Roman" w:cs="Times New Roman" w:eastAsiaTheme="minorEastAsia"/>
                <w:b w:val="0"/>
                <w:bCs/>
                <w:color w:val="000000" w:themeColor="text1"/>
                <w:spacing w:val="-3"/>
                <w:sz w:val="21"/>
                <w:szCs w:val="21"/>
                <w14:textFill>
                  <w14:solidFill>
                    <w14:schemeClr w14:val="tx1"/>
                  </w14:solidFill>
                </w14:textFill>
              </w:rPr>
              <w:t>优点</w:t>
            </w:r>
          </w:p>
        </w:tc>
        <w:tc>
          <w:tcPr>
            <w:tcW w:w="4691" w:type="dxa"/>
          </w:tcPr>
          <w:p>
            <w:pPr>
              <w:pStyle w:val="391"/>
              <w:autoSpaceDE w:val="0"/>
              <w:autoSpaceDN w:val="0"/>
              <w:spacing w:before="66" w:line="271" w:lineRule="auto"/>
              <w:ind w:left="116" w:right="77" w:firstLine="14"/>
              <w:rPr>
                <w:rFonts w:ascii="Times New Roman" w:hAnsi="Times New Roman" w:cs="Times New Roman" w:eastAsiaTheme="minorEastAsia"/>
                <w:b w:val="0"/>
                <w:bCs/>
                <w:color w:val="000000" w:themeColor="text1"/>
                <w:sz w:val="21"/>
                <w:szCs w:val="21"/>
                <w:lang w:eastAsia="zh-CN"/>
                <w14:textFill>
                  <w14:solidFill>
                    <w14:schemeClr w14:val="tx1"/>
                  </w14:solidFill>
                </w14:textFill>
              </w:rPr>
            </w:pPr>
            <w:r>
              <w:rPr>
                <w:rFonts w:ascii="Times New Roman" w:hAnsi="Times New Roman" w:cs="Times New Roman" w:eastAsiaTheme="minorEastAsia"/>
                <w:b w:val="0"/>
                <w:bCs/>
                <w:color w:val="000000" w:themeColor="text1"/>
                <w:spacing w:val="-2"/>
                <w:sz w:val="21"/>
                <w:szCs w:val="21"/>
                <w:lang w:eastAsia="zh-CN"/>
                <w14:textFill>
                  <w14:solidFill>
                    <w14:schemeClr w14:val="tx1"/>
                  </w14:solidFill>
                </w14:textFill>
              </w:rPr>
              <w:t>1.机动车、非机动车及行人完全分离，功</w:t>
            </w:r>
            <w:r>
              <w:rPr>
                <w:rFonts w:ascii="Times New Roman" w:hAnsi="Times New Roman" w:cs="Times New Roman" w:eastAsiaTheme="minorEastAsia"/>
                <w:b w:val="0"/>
                <w:bCs/>
                <w:color w:val="000000" w:themeColor="text1"/>
                <w:spacing w:val="-4"/>
                <w:sz w:val="21"/>
                <w:szCs w:val="21"/>
                <w:lang w:eastAsia="zh-CN"/>
                <w14:textFill>
                  <w14:solidFill>
                    <w14:schemeClr w14:val="tx1"/>
                  </w14:solidFill>
                </w14:textFill>
              </w:rPr>
              <w:t>能分区明确，且满足各个出行方式的需求；</w:t>
            </w:r>
            <w:r>
              <w:rPr>
                <w:rFonts w:ascii="Times New Roman" w:hAnsi="Times New Roman" w:cs="Times New Roman" w:eastAsiaTheme="minorEastAsia"/>
                <w:b w:val="0"/>
                <w:bCs/>
                <w:color w:val="000000" w:themeColor="text1"/>
                <w:spacing w:val="-5"/>
                <w:sz w:val="21"/>
                <w:szCs w:val="21"/>
                <w:lang w:eastAsia="zh-CN"/>
                <w14:textFill>
                  <w14:solidFill>
                    <w14:schemeClr w14:val="tx1"/>
                  </w14:solidFill>
                </w14:textFill>
              </w:rPr>
              <w:t>2.车道与规划一致，断面组成更加合理；</w:t>
            </w:r>
          </w:p>
        </w:tc>
        <w:tc>
          <w:tcPr>
            <w:tcW w:w="4673" w:type="dxa"/>
          </w:tcPr>
          <w:p>
            <w:pPr>
              <w:pStyle w:val="391"/>
              <w:autoSpaceDE w:val="0"/>
              <w:autoSpaceDN w:val="0"/>
              <w:spacing w:before="78" w:line="220" w:lineRule="auto"/>
              <w:ind w:firstLine="412" w:firstLineChars="200"/>
              <w:rPr>
                <w:rFonts w:ascii="Times New Roman" w:hAnsi="Times New Roman" w:cs="Times New Roman" w:eastAsiaTheme="minorEastAsia"/>
                <w:b w:val="0"/>
                <w:bCs/>
                <w:color w:val="000000" w:themeColor="text1"/>
                <w:sz w:val="21"/>
                <w:szCs w:val="21"/>
                <w:lang w:eastAsia="zh-CN"/>
                <w14:textFill>
                  <w14:solidFill>
                    <w14:schemeClr w14:val="tx1"/>
                  </w14:solidFill>
                </w14:textFill>
              </w:rPr>
            </w:pPr>
            <w:r>
              <w:rPr>
                <w:rFonts w:ascii="Times New Roman" w:hAnsi="Times New Roman" w:cs="Times New Roman" w:eastAsiaTheme="minorEastAsia"/>
                <w:b w:val="0"/>
                <w:bCs/>
                <w:color w:val="000000" w:themeColor="text1"/>
                <w:spacing w:val="-2"/>
                <w:sz w:val="21"/>
                <w:szCs w:val="21"/>
                <w:lang w:eastAsia="zh-CN"/>
                <w14:textFill>
                  <w14:solidFill>
                    <w14:schemeClr w14:val="tx1"/>
                  </w14:solidFill>
                </w14:textFill>
              </w:rPr>
              <w:t>中央绿化带较宽，便于绿植搭配，景观效果好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52" w:hRule="atLeast"/>
        </w:trPr>
        <w:tc>
          <w:tcPr>
            <w:tcW w:w="1003" w:type="dxa"/>
          </w:tcPr>
          <w:p>
            <w:pPr>
              <w:pStyle w:val="391"/>
              <w:autoSpaceDE w:val="0"/>
              <w:autoSpaceDN w:val="0"/>
              <w:spacing w:before="255" w:line="220" w:lineRule="auto"/>
              <w:ind w:left="273"/>
              <w:rPr>
                <w:rFonts w:ascii="Times New Roman" w:hAnsi="Times New Roman" w:cs="Times New Roman" w:eastAsiaTheme="minorEastAsia"/>
                <w:b w:val="0"/>
                <w:bCs/>
                <w:color w:val="000000" w:themeColor="text1"/>
                <w:sz w:val="21"/>
                <w:szCs w:val="21"/>
                <w14:textFill>
                  <w14:solidFill>
                    <w14:schemeClr w14:val="tx1"/>
                  </w14:solidFill>
                </w14:textFill>
              </w:rPr>
            </w:pPr>
            <w:r>
              <w:rPr>
                <w:rFonts w:ascii="Times New Roman" w:hAnsi="Times New Roman" w:cs="Times New Roman" w:eastAsiaTheme="minorEastAsia"/>
                <w:b w:val="0"/>
                <w:bCs/>
                <w:color w:val="000000" w:themeColor="text1"/>
                <w:spacing w:val="-3"/>
                <w:sz w:val="21"/>
                <w:szCs w:val="21"/>
                <w14:textFill>
                  <w14:solidFill>
                    <w14:schemeClr w14:val="tx1"/>
                  </w14:solidFill>
                </w14:textFill>
              </w:rPr>
              <w:t>缺点</w:t>
            </w:r>
          </w:p>
        </w:tc>
        <w:tc>
          <w:tcPr>
            <w:tcW w:w="4691" w:type="dxa"/>
          </w:tcPr>
          <w:p>
            <w:pPr>
              <w:pStyle w:val="391"/>
              <w:autoSpaceDE w:val="0"/>
              <w:autoSpaceDN w:val="0"/>
              <w:spacing w:before="255" w:line="220" w:lineRule="auto"/>
              <w:rPr>
                <w:rFonts w:ascii="Times New Roman" w:hAnsi="Times New Roman" w:cs="Times New Roman" w:eastAsiaTheme="minorEastAsia"/>
                <w:b w:val="0"/>
                <w:bCs/>
                <w:color w:val="000000" w:themeColor="text1"/>
                <w:sz w:val="21"/>
                <w:szCs w:val="21"/>
                <w:lang w:eastAsia="zh-CN"/>
                <w14:textFill>
                  <w14:solidFill>
                    <w14:schemeClr w14:val="tx1"/>
                  </w14:solidFill>
                </w14:textFill>
              </w:rPr>
            </w:pPr>
            <w:r>
              <w:rPr>
                <w:rFonts w:ascii="Times New Roman" w:hAnsi="Times New Roman" w:cs="Times New Roman" w:eastAsiaTheme="minorEastAsia"/>
                <w:b w:val="0"/>
                <w:bCs/>
                <w:color w:val="000000" w:themeColor="text1"/>
                <w:spacing w:val="-2"/>
                <w:sz w:val="21"/>
                <w:szCs w:val="21"/>
                <w:lang w:eastAsia="zh-CN"/>
                <w14:textFill>
                  <w14:solidFill>
                    <w14:schemeClr w14:val="tx1"/>
                  </w14:solidFill>
                </w14:textFill>
              </w:rPr>
              <w:t>中央绿化带无比选方案宽，景观效果欠佳</w:t>
            </w:r>
          </w:p>
        </w:tc>
        <w:tc>
          <w:tcPr>
            <w:tcW w:w="4673" w:type="dxa"/>
          </w:tcPr>
          <w:p>
            <w:pPr>
              <w:pStyle w:val="391"/>
              <w:autoSpaceDE w:val="0"/>
              <w:autoSpaceDN w:val="0"/>
              <w:spacing w:before="70" w:line="253" w:lineRule="auto"/>
              <w:ind w:left="1389" w:right="180" w:hanging="1213"/>
              <w:rPr>
                <w:rFonts w:ascii="Times New Roman" w:hAnsi="Times New Roman" w:cs="Times New Roman" w:eastAsiaTheme="minorEastAsia"/>
                <w:b w:val="0"/>
                <w:bCs/>
                <w:color w:val="000000" w:themeColor="text1"/>
                <w:sz w:val="21"/>
                <w:szCs w:val="21"/>
                <w:lang w:eastAsia="zh-CN"/>
                <w14:textFill>
                  <w14:solidFill>
                    <w14:schemeClr w14:val="tx1"/>
                  </w14:solidFill>
                </w14:textFill>
              </w:rPr>
            </w:pPr>
            <w:r>
              <w:rPr>
                <w:rFonts w:ascii="Times New Roman" w:hAnsi="Times New Roman" w:cs="Times New Roman" w:eastAsiaTheme="minorEastAsia"/>
                <w:b w:val="0"/>
                <w:bCs/>
                <w:color w:val="000000" w:themeColor="text1"/>
                <w:spacing w:val="-1"/>
                <w:sz w:val="21"/>
                <w:szCs w:val="21"/>
                <w:lang w:eastAsia="zh-CN"/>
                <w14:textFill>
                  <w14:solidFill>
                    <w14:schemeClr w14:val="tx1"/>
                  </w14:solidFill>
                </w14:textFill>
              </w:rPr>
              <w:t>人非共板，人行受非机动车道影</w:t>
            </w:r>
            <w:r>
              <w:rPr>
                <w:rFonts w:ascii="Times New Roman" w:hAnsi="Times New Roman" w:cs="Times New Roman" w:eastAsiaTheme="minorEastAsia"/>
                <w:b w:val="0"/>
                <w:bCs/>
                <w:color w:val="000000" w:themeColor="text1"/>
                <w:spacing w:val="-7"/>
                <w:sz w:val="21"/>
                <w:szCs w:val="21"/>
                <w:lang w:eastAsia="zh-CN"/>
                <w14:textFill>
                  <w14:solidFill>
                    <w14:schemeClr w14:val="tx1"/>
                  </w14:solidFill>
                </w14:textFill>
              </w:rPr>
              <w:t>响。</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6" w:hRule="atLeast"/>
        </w:trPr>
        <w:tc>
          <w:tcPr>
            <w:tcW w:w="1003" w:type="dxa"/>
          </w:tcPr>
          <w:p>
            <w:pPr>
              <w:pStyle w:val="391"/>
              <w:autoSpaceDE w:val="0"/>
              <w:autoSpaceDN w:val="0"/>
              <w:spacing w:before="166" w:line="221" w:lineRule="auto"/>
              <w:ind w:left="278"/>
              <w:rPr>
                <w:rFonts w:ascii="Times New Roman" w:hAnsi="Times New Roman" w:cs="Times New Roman" w:eastAsiaTheme="minorEastAsia"/>
                <w:b w:val="0"/>
                <w:bCs/>
                <w:color w:val="000000" w:themeColor="text1"/>
                <w:sz w:val="21"/>
                <w:szCs w:val="21"/>
                <w14:textFill>
                  <w14:solidFill>
                    <w14:schemeClr w14:val="tx1"/>
                  </w14:solidFill>
                </w14:textFill>
              </w:rPr>
            </w:pPr>
            <w:r>
              <w:rPr>
                <w:rFonts w:ascii="Times New Roman" w:hAnsi="Times New Roman" w:cs="Times New Roman" w:eastAsiaTheme="minorEastAsia"/>
                <w:b w:val="0"/>
                <w:bCs/>
                <w:color w:val="000000" w:themeColor="text1"/>
                <w:spacing w:val="-4"/>
                <w:sz w:val="21"/>
                <w:szCs w:val="21"/>
                <w14:textFill>
                  <w14:solidFill>
                    <w14:schemeClr w14:val="tx1"/>
                  </w14:solidFill>
                </w14:textFill>
              </w:rPr>
              <w:t>结论</w:t>
            </w:r>
          </w:p>
        </w:tc>
        <w:tc>
          <w:tcPr>
            <w:tcW w:w="9364" w:type="dxa"/>
            <w:gridSpan w:val="2"/>
          </w:tcPr>
          <w:p>
            <w:pPr>
              <w:pStyle w:val="391"/>
              <w:autoSpaceDE w:val="0"/>
              <w:autoSpaceDN w:val="0"/>
              <w:spacing w:before="166" w:line="219" w:lineRule="auto"/>
              <w:ind w:left="116"/>
              <w:rPr>
                <w:rFonts w:ascii="Times New Roman" w:hAnsi="Times New Roman" w:cs="Times New Roman" w:eastAsiaTheme="minorEastAsia"/>
                <w:b w:val="0"/>
                <w:bCs/>
                <w:color w:val="000000" w:themeColor="text1"/>
                <w:sz w:val="21"/>
                <w:szCs w:val="21"/>
                <w:lang w:eastAsia="zh-CN"/>
                <w14:textFill>
                  <w14:solidFill>
                    <w14:schemeClr w14:val="tx1"/>
                  </w14:solidFill>
                </w14:textFill>
              </w:rPr>
            </w:pPr>
            <w:r>
              <w:rPr>
                <w:rFonts w:ascii="Times New Roman" w:hAnsi="Times New Roman" w:cs="Times New Roman" w:eastAsiaTheme="minorEastAsia"/>
                <w:b w:val="0"/>
                <w:bCs/>
                <w:color w:val="000000" w:themeColor="text1"/>
                <w:spacing w:val="-11"/>
                <w:sz w:val="21"/>
                <w:szCs w:val="21"/>
                <w:lang w:eastAsia="zh-CN"/>
                <w14:textFill>
                  <w14:solidFill>
                    <w14:schemeClr w14:val="tx1"/>
                  </w14:solidFill>
                </w14:textFill>
              </w:rPr>
              <w:t>综合考虑机动车、非机动车及行人的需求，结</w:t>
            </w:r>
            <w:r>
              <w:rPr>
                <w:rFonts w:ascii="Times New Roman" w:hAnsi="Times New Roman" w:cs="Times New Roman" w:eastAsiaTheme="minorEastAsia"/>
                <w:b w:val="0"/>
                <w:bCs/>
                <w:color w:val="000000" w:themeColor="text1"/>
                <w:spacing w:val="-12"/>
                <w:sz w:val="21"/>
                <w:szCs w:val="21"/>
                <w:lang w:eastAsia="zh-CN"/>
                <w14:textFill>
                  <w14:solidFill>
                    <w14:schemeClr w14:val="tx1"/>
                  </w14:solidFill>
                </w14:textFill>
              </w:rPr>
              <w:t>合本路段周边规划，横断面采用推荐方案。</w:t>
            </w:r>
          </w:p>
        </w:tc>
      </w:tr>
    </w:tbl>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w:t>
      </w:r>
      <w:r>
        <w:rPr>
          <w:rFonts w:hint="eastAsia" w:ascii="Times New Roman" w:hAnsi="Times New Roman"/>
          <w:b w:val="0"/>
          <w:color w:val="000000" w:themeColor="text1"/>
          <w:sz w:val="24"/>
          <w:szCs w:val="24"/>
          <w14:textFill>
            <w14:solidFill>
              <w14:schemeClr w14:val="tx1"/>
            </w14:solidFill>
          </w14:textFill>
        </w:rPr>
        <w:t>3</w:t>
      </w:r>
      <w:r>
        <w:rPr>
          <w:rFonts w:ascii="Times New Roman" w:hAnsi="Times New Roman"/>
          <w:b w:val="0"/>
          <w:color w:val="000000" w:themeColor="text1"/>
          <w:sz w:val="24"/>
          <w:szCs w:val="24"/>
          <w14:textFill>
            <w14:solidFill>
              <w14:schemeClr w14:val="tx1"/>
            </w14:solidFill>
          </w14:textFill>
        </w:rPr>
        <w:t>）34m断面推荐方案（适用于规划纵三路）：双向6车道，行车道与非机动车共板（机非共板）。</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标准横断面(34m)布置如下：2m(人行道)+1.5m（树池）+1.5m(非机动车道)＋0.5m（分隔栏）</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+10.75m(机动车道)+1.5m(中央绿化带）+10.75m（机动车道）+0.5m（分隔栏）+1.5m(非机动车道)+1.5m（树池）+2m(人行道)=34m</w:t>
      </w:r>
    </w:p>
    <w:p>
      <w:pPr>
        <w:spacing w:line="300" w:lineRule="auto"/>
        <w:ind w:firstLine="562" w:firstLineChars="200"/>
        <w:jc w:val="left"/>
        <w:rPr>
          <w:rFonts w:ascii="Times New Roman" w:hAnsi="Times New Roman"/>
          <w:b w:val="0"/>
          <w:color w:val="000000" w:themeColor="text1"/>
          <w:sz w:val="24"/>
          <w:szCs w:val="24"/>
          <w14:textFill>
            <w14:solidFill>
              <w14:schemeClr w14:val="tx1"/>
            </w14:solidFill>
          </w14:textFill>
        </w:rPr>
      </w:pPr>
      <w:r>
        <w:drawing>
          <wp:inline distT="0" distB="0" distL="114300" distR="114300">
            <wp:extent cx="5866130" cy="4009390"/>
            <wp:effectExtent l="0" t="0" r="0" b="0"/>
            <wp:docPr id="2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8"/>
                    <pic:cNvPicPr>
                      <a:picLocks noChangeAspect="1"/>
                    </pic:cNvPicPr>
                  </pic:nvPicPr>
                  <pic:blipFill>
                    <a:blip r:embed="rId122"/>
                    <a:srcRect l="7083" r="6248" b="19655"/>
                    <a:stretch>
                      <a:fillRect/>
                    </a:stretch>
                  </pic:blipFill>
                  <pic:spPr>
                    <a:xfrm>
                      <a:off x="0" y="0"/>
                      <a:ext cx="5866130" cy="4009390"/>
                    </a:xfrm>
                    <a:prstGeom prst="rect">
                      <a:avLst/>
                    </a:prstGeom>
                  </pic:spPr>
                </pic:pic>
              </a:graphicData>
            </a:graphic>
          </wp:inline>
        </w:drawing>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w:t>
      </w:r>
      <w:r>
        <w:rPr>
          <w:rFonts w:hint="eastAsia" w:ascii="Times New Roman" w:hAnsi="Times New Roman"/>
          <w:b w:val="0"/>
          <w:color w:val="000000" w:themeColor="text1"/>
          <w:sz w:val="24"/>
          <w:szCs w:val="24"/>
          <w14:textFill>
            <w14:solidFill>
              <w14:schemeClr w14:val="tx1"/>
            </w14:solidFill>
          </w14:textFill>
        </w:rPr>
        <w:t>4</w:t>
      </w:r>
      <w:r>
        <w:rPr>
          <w:rFonts w:ascii="Times New Roman" w:hAnsi="Times New Roman"/>
          <w:b w:val="0"/>
          <w:color w:val="000000" w:themeColor="text1"/>
          <w:sz w:val="24"/>
          <w:szCs w:val="24"/>
          <w14:textFill>
            <w14:solidFill>
              <w14:schemeClr w14:val="tx1"/>
            </w14:solidFill>
          </w14:textFill>
        </w:rPr>
        <w:t>）34m断面比选方案（适用于规划纵三路）：双向6车道，人非共板。</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标准横断面(34m)布置如下：3.25m(人行道+非机动车道)+2m（树池）+10.75m(机动车道)+2.0m</w:t>
      </w:r>
    </w:p>
    <w:p>
      <w:pPr>
        <w:spacing w:line="300" w:lineRule="auto"/>
        <w:ind w:firstLine="480"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（中央绿化带）+10.75m（机动车道）+2m（树池）+3.25m(人行道+非机动车道)=34m</w:t>
      </w:r>
    </w:p>
    <w:p>
      <w:pPr>
        <w:spacing w:line="300" w:lineRule="auto"/>
        <w:ind w:firstLine="562" w:firstLineChars="200"/>
        <w:jc w:val="left"/>
        <w:rPr>
          <w:rFonts w:ascii="Times New Roman" w:hAnsi="Times New Roman"/>
          <w:b w:val="0"/>
          <w:color w:val="000000" w:themeColor="text1"/>
          <w:sz w:val="24"/>
          <w:szCs w:val="24"/>
          <w14:textFill>
            <w14:solidFill>
              <w14:schemeClr w14:val="tx1"/>
            </w14:solidFill>
          </w14:textFill>
        </w:rPr>
      </w:pPr>
      <w:r>
        <w:rPr>
          <w:rFonts w:ascii="Times New Roman" w:hAnsi="Times New Roman"/>
        </w:rPr>
        <w:drawing>
          <wp:inline distT="0" distB="0" distL="114300" distR="114300">
            <wp:extent cx="6511290" cy="2672080"/>
            <wp:effectExtent l="0" t="0" r="3810" b="13970"/>
            <wp:docPr id="40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图片 58"/>
                    <pic:cNvPicPr>
                      <a:picLocks noChangeAspect="1"/>
                    </pic:cNvPicPr>
                  </pic:nvPicPr>
                  <pic:blipFill>
                    <a:blip r:embed="rId123"/>
                    <a:stretch>
                      <a:fillRect/>
                    </a:stretch>
                  </pic:blipFill>
                  <pic:spPr>
                    <a:xfrm>
                      <a:off x="0" y="0"/>
                      <a:ext cx="6511290" cy="2672080"/>
                    </a:xfrm>
                    <a:prstGeom prst="rect">
                      <a:avLst/>
                    </a:prstGeom>
                    <a:noFill/>
                    <a:ln>
                      <a:noFill/>
                    </a:ln>
                  </pic:spPr>
                </pic:pic>
              </a:graphicData>
            </a:graphic>
          </wp:inline>
        </w:drawing>
      </w:r>
    </w:p>
    <w:p>
      <w:pPr>
        <w:spacing w:before="239" w:line="220" w:lineRule="auto"/>
        <w:ind w:left="4024" w:firstLine="474" w:firstLineChars="200"/>
        <w:rPr>
          <w:rFonts w:ascii="Times New Roman" w:hAnsi="Times New Roman"/>
          <w:sz w:val="24"/>
          <w:szCs w:val="24"/>
        </w:rPr>
      </w:pPr>
      <w:r>
        <w:rPr>
          <w:rFonts w:ascii="Times New Roman" w:hAnsi="Times New Roman"/>
          <w:spacing w:val="-2"/>
          <w:sz w:val="24"/>
          <w:szCs w:val="24"/>
          <w14:textOutline w14:w="3048" w14:cap="flat" w14:cmpd="sng" w14:algn="ctr">
            <w14:solidFill>
              <w14:srgbClr w14:val="000000"/>
            </w14:solidFill>
            <w14:prstDash w14:val="solid"/>
            <w14:miter w14:val="0"/>
          </w14:textOutline>
        </w:rPr>
        <w:t>34m横断面方案比选表</w:t>
      </w:r>
    </w:p>
    <w:tbl>
      <w:tblPr>
        <w:tblStyle w:val="379"/>
        <w:tblW w:w="10367" w:type="dxa"/>
        <w:tblInd w:w="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81"/>
        <w:gridCol w:w="4474"/>
        <w:gridCol w:w="5012"/>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3" w:hRule="atLeast"/>
        </w:trPr>
        <w:tc>
          <w:tcPr>
            <w:tcW w:w="881" w:type="dxa"/>
          </w:tcPr>
          <w:p>
            <w:pPr>
              <w:pStyle w:val="391"/>
              <w:autoSpaceDE w:val="0"/>
              <w:autoSpaceDN w:val="0"/>
              <w:spacing w:before="216" w:line="220" w:lineRule="auto"/>
              <w:ind w:left="212"/>
              <w:rPr>
                <w:rFonts w:ascii="Times New Roman" w:hAnsi="Times New Roman" w:cs="Times New Roman" w:eastAsiaTheme="minorEastAsia"/>
                <w:b w:val="0"/>
                <w:bCs/>
                <w:color w:val="000000" w:themeColor="text1"/>
                <w:sz w:val="21"/>
                <w:szCs w:val="21"/>
                <w14:textFill>
                  <w14:solidFill>
                    <w14:schemeClr w14:val="tx1"/>
                  </w14:solidFill>
                </w14:textFill>
              </w:rPr>
            </w:pPr>
            <w:r>
              <w:rPr>
                <w:rFonts w:ascii="Times New Roman" w:hAnsi="Times New Roman" w:cs="Times New Roman" w:eastAsiaTheme="minorEastAsia"/>
                <w:b w:val="0"/>
                <w:bCs/>
                <w:color w:val="000000" w:themeColor="text1"/>
                <w:spacing w:val="-3"/>
                <w:sz w:val="21"/>
                <w:szCs w:val="21"/>
                <w14:textFill>
                  <w14:solidFill>
                    <w14:schemeClr w14:val="tx1"/>
                  </w14:solidFill>
                </w14:textFill>
              </w:rPr>
              <w:t>方案</w:t>
            </w:r>
          </w:p>
        </w:tc>
        <w:tc>
          <w:tcPr>
            <w:tcW w:w="4474" w:type="dxa"/>
          </w:tcPr>
          <w:p>
            <w:pPr>
              <w:pStyle w:val="391"/>
              <w:autoSpaceDE w:val="0"/>
              <w:autoSpaceDN w:val="0"/>
              <w:spacing w:before="215" w:line="219" w:lineRule="auto"/>
              <w:ind w:left="1762"/>
              <w:rPr>
                <w:rFonts w:ascii="Times New Roman" w:hAnsi="Times New Roman" w:cs="Times New Roman" w:eastAsiaTheme="minorEastAsia"/>
                <w:b w:val="0"/>
                <w:bCs/>
                <w:color w:val="000000" w:themeColor="text1"/>
                <w:sz w:val="21"/>
                <w:szCs w:val="21"/>
                <w14:textFill>
                  <w14:solidFill>
                    <w14:schemeClr w14:val="tx1"/>
                  </w14:solidFill>
                </w14:textFill>
              </w:rPr>
            </w:pPr>
            <w:r>
              <w:rPr>
                <w:rFonts w:ascii="Times New Roman" w:hAnsi="Times New Roman" w:cs="Times New Roman" w:eastAsiaTheme="minorEastAsia"/>
                <w:b w:val="0"/>
                <w:bCs/>
                <w:color w:val="000000" w:themeColor="text1"/>
                <w:spacing w:val="-2"/>
                <w:sz w:val="21"/>
                <w:szCs w:val="21"/>
                <w14:textFill>
                  <w14:solidFill>
                    <w14:schemeClr w14:val="tx1"/>
                  </w14:solidFill>
                </w14:textFill>
              </w:rPr>
              <w:t>推荐方案</w:t>
            </w:r>
          </w:p>
        </w:tc>
        <w:tc>
          <w:tcPr>
            <w:tcW w:w="5012" w:type="dxa"/>
          </w:tcPr>
          <w:p>
            <w:pPr>
              <w:pStyle w:val="391"/>
              <w:autoSpaceDE w:val="0"/>
              <w:autoSpaceDN w:val="0"/>
              <w:spacing w:before="216" w:line="220" w:lineRule="auto"/>
              <w:ind w:left="2053"/>
              <w:rPr>
                <w:rFonts w:ascii="Times New Roman" w:hAnsi="Times New Roman" w:cs="Times New Roman" w:eastAsiaTheme="minorEastAsia"/>
                <w:b w:val="0"/>
                <w:bCs/>
                <w:color w:val="000000" w:themeColor="text1"/>
                <w:sz w:val="21"/>
                <w:szCs w:val="21"/>
                <w14:textFill>
                  <w14:solidFill>
                    <w14:schemeClr w14:val="tx1"/>
                  </w14:solidFill>
                </w14:textFill>
              </w:rPr>
            </w:pPr>
            <w:r>
              <w:rPr>
                <w:rFonts w:ascii="Times New Roman" w:hAnsi="Times New Roman" w:cs="Times New Roman" w:eastAsiaTheme="minorEastAsia"/>
                <w:b w:val="0"/>
                <w:bCs/>
                <w:color w:val="000000" w:themeColor="text1"/>
                <w:spacing w:val="-7"/>
                <w:sz w:val="21"/>
                <w:szCs w:val="21"/>
                <w14:textFill>
                  <w14:solidFill>
                    <w14:schemeClr w14:val="tx1"/>
                  </w14:solidFill>
                </w14:textFill>
              </w:rPr>
              <w:t>比选方案</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34" w:hRule="atLeast"/>
        </w:trPr>
        <w:tc>
          <w:tcPr>
            <w:tcW w:w="881" w:type="dxa"/>
          </w:tcPr>
          <w:p>
            <w:pPr>
              <w:pStyle w:val="391"/>
              <w:autoSpaceDE w:val="0"/>
              <w:autoSpaceDN w:val="0"/>
              <w:spacing w:before="78" w:line="220" w:lineRule="auto"/>
              <w:ind w:left="210"/>
              <w:rPr>
                <w:rFonts w:ascii="Times New Roman" w:hAnsi="Times New Roman" w:cs="Times New Roman" w:eastAsiaTheme="minorEastAsia"/>
                <w:b w:val="0"/>
                <w:bCs/>
                <w:color w:val="000000" w:themeColor="text1"/>
                <w:sz w:val="21"/>
                <w:szCs w:val="21"/>
                <w14:textFill>
                  <w14:solidFill>
                    <w14:schemeClr w14:val="tx1"/>
                  </w14:solidFill>
                </w14:textFill>
              </w:rPr>
            </w:pPr>
            <w:r>
              <w:rPr>
                <w:rFonts w:ascii="Times New Roman" w:hAnsi="Times New Roman" w:cs="Times New Roman" w:eastAsiaTheme="minorEastAsia"/>
                <w:b w:val="0"/>
                <w:bCs/>
                <w:color w:val="000000" w:themeColor="text1"/>
                <w:spacing w:val="-3"/>
                <w:sz w:val="21"/>
                <w:szCs w:val="21"/>
                <w14:textFill>
                  <w14:solidFill>
                    <w14:schemeClr w14:val="tx1"/>
                  </w14:solidFill>
                </w14:textFill>
              </w:rPr>
              <w:t>优点</w:t>
            </w:r>
          </w:p>
        </w:tc>
        <w:tc>
          <w:tcPr>
            <w:tcW w:w="4474" w:type="dxa"/>
          </w:tcPr>
          <w:p>
            <w:pPr>
              <w:pStyle w:val="391"/>
              <w:autoSpaceDE w:val="0"/>
              <w:autoSpaceDN w:val="0"/>
              <w:spacing w:before="50" w:line="220" w:lineRule="auto"/>
              <w:ind w:left="129" w:firstLine="392" w:firstLineChars="200"/>
              <w:rPr>
                <w:rFonts w:ascii="Times New Roman" w:hAnsi="Times New Roman" w:cs="Times New Roman" w:eastAsiaTheme="minorEastAsia"/>
                <w:b w:val="0"/>
                <w:bCs/>
                <w:color w:val="000000" w:themeColor="text1"/>
                <w:sz w:val="21"/>
                <w:szCs w:val="21"/>
                <w:lang w:eastAsia="zh-CN"/>
                <w14:textFill>
                  <w14:solidFill>
                    <w14:schemeClr w14:val="tx1"/>
                  </w14:solidFill>
                </w14:textFill>
              </w:rPr>
            </w:pPr>
            <w:r>
              <w:rPr>
                <w:rFonts w:ascii="Times New Roman" w:hAnsi="Times New Roman" w:cs="Times New Roman" w:eastAsiaTheme="minorEastAsia"/>
                <w:b w:val="0"/>
                <w:bCs/>
                <w:color w:val="000000" w:themeColor="text1"/>
                <w:spacing w:val="-7"/>
                <w:sz w:val="21"/>
                <w:szCs w:val="21"/>
                <w:lang w:eastAsia="zh-CN"/>
                <w14:textFill>
                  <w14:solidFill>
                    <w14:schemeClr w14:val="tx1"/>
                  </w14:solidFill>
                </w14:textFill>
              </w:rPr>
              <w:t>1.车道数与规划一致；</w:t>
            </w:r>
          </w:p>
          <w:p>
            <w:pPr>
              <w:pStyle w:val="391"/>
              <w:autoSpaceDE w:val="0"/>
              <w:autoSpaceDN w:val="0"/>
              <w:spacing w:before="58" w:line="242" w:lineRule="auto"/>
              <w:ind w:left="115" w:right="109" w:firstLine="436" w:firstLineChars="200"/>
              <w:rPr>
                <w:rFonts w:ascii="Times New Roman" w:hAnsi="Times New Roman" w:cs="Times New Roman" w:eastAsiaTheme="minorEastAsia"/>
                <w:b w:val="0"/>
                <w:bCs/>
                <w:color w:val="000000" w:themeColor="text1"/>
                <w:sz w:val="21"/>
                <w:szCs w:val="21"/>
                <w:lang w:eastAsia="zh-CN"/>
                <w14:textFill>
                  <w14:solidFill>
                    <w14:schemeClr w14:val="tx1"/>
                  </w14:solidFill>
                </w14:textFill>
              </w:rPr>
            </w:pPr>
            <w:r>
              <w:rPr>
                <w:rFonts w:ascii="Times New Roman" w:hAnsi="Times New Roman" w:cs="Times New Roman" w:eastAsiaTheme="minorEastAsia"/>
                <w:b w:val="0"/>
                <w:bCs/>
                <w:color w:val="000000" w:themeColor="text1"/>
                <w:spacing w:val="4"/>
                <w:sz w:val="21"/>
                <w:szCs w:val="21"/>
                <w:lang w:eastAsia="zh-CN"/>
                <w14:textFill>
                  <w14:solidFill>
                    <w14:schemeClr w14:val="tx1"/>
                  </w14:solidFill>
                </w14:textFill>
              </w:rPr>
              <w:t>2.满足市住建局推进的机非共板形式及</w:t>
            </w:r>
            <w:r>
              <w:rPr>
                <w:rFonts w:ascii="Times New Roman" w:hAnsi="Times New Roman" w:cs="Times New Roman" w:eastAsiaTheme="minorEastAsia"/>
                <w:b w:val="0"/>
                <w:bCs/>
                <w:color w:val="000000" w:themeColor="text1"/>
                <w:spacing w:val="-2"/>
                <w:sz w:val="21"/>
                <w:szCs w:val="21"/>
                <w:lang w:eastAsia="zh-CN"/>
                <w14:textFill>
                  <w14:solidFill>
                    <w14:schemeClr w14:val="tx1"/>
                  </w14:solidFill>
                </w14:textFill>
              </w:rPr>
              <w:t>南沙设计指引</w:t>
            </w:r>
          </w:p>
        </w:tc>
        <w:tc>
          <w:tcPr>
            <w:tcW w:w="5012" w:type="dxa"/>
          </w:tcPr>
          <w:p>
            <w:pPr>
              <w:pStyle w:val="391"/>
              <w:autoSpaceDE w:val="0"/>
              <w:autoSpaceDN w:val="0"/>
              <w:spacing w:before="78" w:line="219" w:lineRule="auto"/>
              <w:ind w:left="115"/>
              <w:rPr>
                <w:rFonts w:ascii="Times New Roman" w:hAnsi="Times New Roman" w:cs="Times New Roman" w:eastAsiaTheme="minorEastAsia"/>
                <w:b w:val="0"/>
                <w:bCs/>
                <w:color w:val="000000" w:themeColor="text1"/>
                <w:sz w:val="21"/>
                <w:szCs w:val="21"/>
                <w:lang w:eastAsia="zh-CN"/>
                <w14:textFill>
                  <w14:solidFill>
                    <w14:schemeClr w14:val="tx1"/>
                  </w14:solidFill>
                </w14:textFill>
              </w:rPr>
            </w:pPr>
            <w:r>
              <w:rPr>
                <w:rFonts w:ascii="Times New Roman" w:hAnsi="Times New Roman" w:cs="Times New Roman" w:eastAsiaTheme="minorEastAsia"/>
                <w:b w:val="0"/>
                <w:bCs/>
                <w:color w:val="000000" w:themeColor="text1"/>
                <w:spacing w:val="-3"/>
                <w:sz w:val="21"/>
                <w:szCs w:val="21"/>
                <w:lang w:eastAsia="zh-CN"/>
                <w14:textFill>
                  <w14:solidFill>
                    <w14:schemeClr w14:val="tx1"/>
                  </w14:solidFill>
                </w14:textFill>
              </w:rPr>
              <w:t>利于机动车道的交通，不受非机动车影响。</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881" w:type="dxa"/>
          </w:tcPr>
          <w:p>
            <w:pPr>
              <w:pStyle w:val="391"/>
              <w:autoSpaceDE w:val="0"/>
              <w:autoSpaceDN w:val="0"/>
              <w:spacing w:before="78" w:line="220" w:lineRule="auto"/>
              <w:ind w:left="211"/>
              <w:rPr>
                <w:rFonts w:ascii="Times New Roman" w:hAnsi="Times New Roman" w:cs="Times New Roman" w:eastAsiaTheme="minorEastAsia"/>
                <w:b w:val="0"/>
                <w:bCs/>
                <w:color w:val="000000" w:themeColor="text1"/>
                <w:sz w:val="21"/>
                <w:szCs w:val="21"/>
                <w14:textFill>
                  <w14:solidFill>
                    <w14:schemeClr w14:val="tx1"/>
                  </w14:solidFill>
                </w14:textFill>
              </w:rPr>
            </w:pPr>
            <w:r>
              <w:rPr>
                <w:rFonts w:ascii="Times New Roman" w:hAnsi="Times New Roman" w:cs="Times New Roman" w:eastAsiaTheme="minorEastAsia"/>
                <w:b w:val="0"/>
                <w:bCs/>
                <w:color w:val="000000" w:themeColor="text1"/>
                <w:spacing w:val="-3"/>
                <w:sz w:val="21"/>
                <w:szCs w:val="21"/>
                <w14:textFill>
                  <w14:solidFill>
                    <w14:schemeClr w14:val="tx1"/>
                  </w14:solidFill>
                </w14:textFill>
              </w:rPr>
              <w:t>缺点</w:t>
            </w:r>
          </w:p>
        </w:tc>
        <w:tc>
          <w:tcPr>
            <w:tcW w:w="4474" w:type="dxa"/>
          </w:tcPr>
          <w:p>
            <w:pPr>
              <w:pStyle w:val="391"/>
              <w:autoSpaceDE w:val="0"/>
              <w:autoSpaceDN w:val="0"/>
              <w:spacing w:before="35" w:line="220" w:lineRule="auto"/>
              <w:ind w:left="129" w:firstLine="400" w:firstLineChars="200"/>
              <w:rPr>
                <w:rFonts w:ascii="Times New Roman" w:hAnsi="Times New Roman" w:cs="Times New Roman" w:eastAsiaTheme="minorEastAsia"/>
                <w:b w:val="0"/>
                <w:bCs/>
                <w:color w:val="000000" w:themeColor="text1"/>
                <w:sz w:val="21"/>
                <w:szCs w:val="21"/>
                <w:lang w:eastAsia="zh-CN"/>
                <w14:textFill>
                  <w14:solidFill>
                    <w14:schemeClr w14:val="tx1"/>
                  </w14:solidFill>
                </w14:textFill>
              </w:rPr>
            </w:pPr>
            <w:r>
              <w:rPr>
                <w:rFonts w:ascii="Times New Roman" w:hAnsi="Times New Roman" w:cs="Times New Roman" w:eastAsiaTheme="minorEastAsia"/>
                <w:b w:val="0"/>
                <w:bCs/>
                <w:color w:val="000000" w:themeColor="text1"/>
                <w:spacing w:val="-5"/>
                <w:sz w:val="21"/>
                <w:szCs w:val="21"/>
                <w:lang w:eastAsia="zh-CN"/>
                <w14:textFill>
                  <w14:solidFill>
                    <w14:schemeClr w14:val="tx1"/>
                  </w14:solidFill>
                </w14:textFill>
              </w:rPr>
              <w:t>1.人行道较窄，慢行系统舒适性不足；</w:t>
            </w:r>
          </w:p>
          <w:p>
            <w:pPr>
              <w:pStyle w:val="391"/>
              <w:autoSpaceDE w:val="0"/>
              <w:autoSpaceDN w:val="0"/>
              <w:spacing w:before="26" w:line="224" w:lineRule="auto"/>
              <w:ind w:left="115" w:right="106" w:firstLine="368" w:firstLineChars="200"/>
              <w:rPr>
                <w:rFonts w:ascii="Times New Roman" w:hAnsi="Times New Roman" w:cs="Times New Roman" w:eastAsiaTheme="minorEastAsia"/>
                <w:b w:val="0"/>
                <w:bCs/>
                <w:color w:val="000000" w:themeColor="text1"/>
                <w:sz w:val="21"/>
                <w:szCs w:val="21"/>
                <w:lang w:eastAsia="zh-CN"/>
                <w14:textFill>
                  <w14:solidFill>
                    <w14:schemeClr w14:val="tx1"/>
                  </w14:solidFill>
                </w14:textFill>
              </w:rPr>
            </w:pPr>
            <w:r>
              <w:rPr>
                <w:rFonts w:ascii="Times New Roman" w:hAnsi="Times New Roman" w:cs="Times New Roman" w:eastAsiaTheme="minorEastAsia"/>
                <w:b w:val="0"/>
                <w:bCs/>
                <w:color w:val="000000" w:themeColor="text1"/>
                <w:spacing w:val="-13"/>
                <w:sz w:val="21"/>
                <w:szCs w:val="21"/>
                <w:lang w:eastAsia="zh-CN"/>
                <w14:textFill>
                  <w14:solidFill>
                    <w14:schemeClr w14:val="tx1"/>
                  </w14:solidFill>
                </w14:textFill>
              </w:rPr>
              <w:t>2.采用护栏分离机动车、非机动车，安全性较低；</w:t>
            </w:r>
          </w:p>
        </w:tc>
        <w:tc>
          <w:tcPr>
            <w:tcW w:w="5012" w:type="dxa"/>
          </w:tcPr>
          <w:p>
            <w:pPr>
              <w:pStyle w:val="391"/>
              <w:autoSpaceDE w:val="0"/>
              <w:autoSpaceDN w:val="0"/>
              <w:spacing w:before="78" w:line="219" w:lineRule="auto"/>
              <w:ind w:left="230"/>
              <w:rPr>
                <w:rFonts w:ascii="Times New Roman" w:hAnsi="Times New Roman" w:cs="Times New Roman" w:eastAsiaTheme="minorEastAsia"/>
                <w:b w:val="0"/>
                <w:bCs/>
                <w:color w:val="000000" w:themeColor="text1"/>
                <w:sz w:val="21"/>
                <w:szCs w:val="21"/>
                <w:lang w:eastAsia="zh-CN"/>
                <w14:textFill>
                  <w14:solidFill>
                    <w14:schemeClr w14:val="tx1"/>
                  </w14:solidFill>
                </w14:textFill>
              </w:rPr>
            </w:pPr>
            <w:r>
              <w:rPr>
                <w:rFonts w:ascii="Times New Roman" w:hAnsi="Times New Roman" w:cs="Times New Roman" w:eastAsiaTheme="minorEastAsia"/>
                <w:b w:val="0"/>
                <w:bCs/>
                <w:color w:val="000000" w:themeColor="text1"/>
                <w:spacing w:val="-3"/>
                <w:sz w:val="21"/>
                <w:szCs w:val="21"/>
                <w:lang w:eastAsia="zh-CN"/>
                <w14:textFill>
                  <w14:solidFill>
                    <w14:schemeClr w14:val="tx1"/>
                  </w14:solidFill>
                </w14:textFill>
              </w:rPr>
              <w:t>行人与非机动车混行，不利于两者的安全。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4" w:hRule="atLeast"/>
        </w:trPr>
        <w:tc>
          <w:tcPr>
            <w:tcW w:w="881" w:type="dxa"/>
          </w:tcPr>
          <w:p>
            <w:pPr>
              <w:pStyle w:val="391"/>
              <w:autoSpaceDE w:val="0"/>
              <w:autoSpaceDN w:val="0"/>
              <w:spacing w:before="78" w:line="221" w:lineRule="auto"/>
              <w:ind w:left="217"/>
              <w:rPr>
                <w:rFonts w:ascii="Times New Roman" w:hAnsi="Times New Roman" w:cs="Times New Roman" w:eastAsiaTheme="minorEastAsia"/>
                <w:b w:val="0"/>
                <w:bCs/>
                <w:color w:val="000000" w:themeColor="text1"/>
                <w:sz w:val="21"/>
                <w:szCs w:val="21"/>
                <w14:textFill>
                  <w14:solidFill>
                    <w14:schemeClr w14:val="tx1"/>
                  </w14:solidFill>
                </w14:textFill>
              </w:rPr>
            </w:pPr>
            <w:r>
              <w:rPr>
                <w:rFonts w:ascii="Times New Roman" w:hAnsi="Times New Roman" w:cs="Times New Roman" w:eastAsiaTheme="minorEastAsia"/>
                <w:b w:val="0"/>
                <w:bCs/>
                <w:color w:val="000000" w:themeColor="text1"/>
                <w:spacing w:val="-4"/>
                <w:sz w:val="21"/>
                <w:szCs w:val="21"/>
                <w14:textFill>
                  <w14:solidFill>
                    <w14:schemeClr w14:val="tx1"/>
                  </w14:solidFill>
                </w14:textFill>
              </w:rPr>
              <w:t>结论</w:t>
            </w:r>
          </w:p>
        </w:tc>
        <w:tc>
          <w:tcPr>
            <w:tcW w:w="9486" w:type="dxa"/>
            <w:gridSpan w:val="2"/>
          </w:tcPr>
          <w:p>
            <w:pPr>
              <w:pStyle w:val="391"/>
              <w:autoSpaceDE w:val="0"/>
              <w:autoSpaceDN w:val="0"/>
              <w:spacing w:before="78" w:line="219" w:lineRule="auto"/>
              <w:ind w:left="115"/>
              <w:rPr>
                <w:rFonts w:ascii="Times New Roman" w:hAnsi="Times New Roman" w:cs="Times New Roman" w:eastAsiaTheme="minorEastAsia"/>
                <w:b w:val="0"/>
                <w:bCs/>
                <w:color w:val="000000" w:themeColor="text1"/>
                <w:sz w:val="21"/>
                <w:szCs w:val="21"/>
                <w:lang w:eastAsia="zh-CN"/>
                <w14:textFill>
                  <w14:solidFill>
                    <w14:schemeClr w14:val="tx1"/>
                  </w14:solidFill>
                </w14:textFill>
              </w:rPr>
            </w:pPr>
            <w:r>
              <w:rPr>
                <w:rFonts w:ascii="Times New Roman" w:hAnsi="Times New Roman" w:cs="Times New Roman" w:eastAsiaTheme="minorEastAsia"/>
                <w:b w:val="0"/>
                <w:bCs/>
                <w:color w:val="000000" w:themeColor="text1"/>
                <w:spacing w:val="-1"/>
                <w:sz w:val="21"/>
                <w:szCs w:val="21"/>
                <w:lang w:eastAsia="zh-CN"/>
                <w14:textFill>
                  <w14:solidFill>
                    <w14:schemeClr w14:val="tx1"/>
                  </w14:solidFill>
                </w14:textFill>
              </w:rPr>
              <w:t>综合考虑机动车、非机动车及行人的需求，结合本路段周边规划，横断</w:t>
            </w:r>
            <w:r>
              <w:rPr>
                <w:rFonts w:ascii="Times New Roman" w:hAnsi="Times New Roman" w:cs="Times New Roman" w:eastAsiaTheme="minorEastAsia"/>
                <w:b w:val="0"/>
                <w:bCs/>
                <w:color w:val="000000" w:themeColor="text1"/>
                <w:spacing w:val="-2"/>
                <w:sz w:val="21"/>
                <w:szCs w:val="21"/>
                <w:lang w:eastAsia="zh-CN"/>
                <w14:textFill>
                  <w14:solidFill>
                    <w14:schemeClr w14:val="tx1"/>
                  </w14:solidFill>
                </w14:textFill>
              </w:rPr>
              <w:t>面采用推荐方案。</w:t>
            </w:r>
          </w:p>
        </w:tc>
      </w:tr>
    </w:tbl>
    <w:p>
      <w:pPr>
        <w:pStyle w:val="4"/>
        <w:ind w:firstLine="482" w:firstLineChars="200"/>
      </w:pPr>
      <w:bookmarkStart w:id="147" w:name="_Toc98235891"/>
      <w:bookmarkStart w:id="148" w:name="_Toc21300"/>
      <w:r>
        <w:t>路线交叉设计</w:t>
      </w:r>
      <w:bookmarkEnd w:id="147"/>
      <w:bookmarkEnd w:id="148"/>
    </w:p>
    <w:p>
      <w:pPr>
        <w:pStyle w:val="5"/>
        <w:ind w:firstLine="482" w:firstLineChars="200"/>
        <w:rPr>
          <w:rFonts w:ascii="Times New Roman" w:hAnsi="Times New Roman"/>
        </w:rPr>
      </w:pPr>
      <w:r>
        <w:rPr>
          <w:rFonts w:ascii="Times New Roman" w:hAnsi="Times New Roman"/>
        </w:rPr>
        <w:t>交叉节点设计原则</w:t>
      </w:r>
    </w:p>
    <w:p>
      <w:pPr>
        <w:pStyle w:val="110"/>
        <w:spacing w:line="300" w:lineRule="auto"/>
        <w:ind w:firstLine="480"/>
        <w:rPr>
          <w:rFonts w:ascii="Times New Roman" w:hAnsi="Times New Roman" w:cs="Times New Roman"/>
        </w:rPr>
      </w:pPr>
      <w:r>
        <w:rPr>
          <w:rFonts w:ascii="Times New Roman" w:hAnsi="Times New Roman" w:cs="Times New Roman"/>
        </w:rPr>
        <w:t>本项目拟建区域为南沙万顷沙片区，片区内市政道路大部分均未实施，大范围的道路网络尚未形成。依据相关规划，</w:t>
      </w:r>
      <w:r>
        <w:rPr>
          <w:rFonts w:hint="eastAsia" w:ascii="Times New Roman" w:hAnsi="Times New Roman" w:cs="Times New Roman"/>
        </w:rPr>
        <w:t>本工程道路等级多，且存在多处交叉</w:t>
      </w:r>
      <w:r>
        <w:rPr>
          <w:rFonts w:ascii="Times New Roman" w:hAnsi="Times New Roman" w:cs="Times New Roman"/>
        </w:rPr>
        <w:t>。道路交叉口是制约道路通行能力的咽喉，道路交叉形式的选择是能否发挥路网交通功能的关键所在。结合本项目拟建道路的规划定位，设计提出道路总体交叉布置的主要原则：</w:t>
      </w:r>
    </w:p>
    <w:p>
      <w:pPr>
        <w:pStyle w:val="110"/>
        <w:spacing w:line="300" w:lineRule="auto"/>
        <w:ind w:firstLine="480"/>
        <w:rPr>
          <w:rFonts w:ascii="Times New Roman" w:hAnsi="Times New Roman" w:cs="Times New Roman"/>
        </w:rPr>
      </w:pPr>
      <w:r>
        <w:rPr>
          <w:rFonts w:ascii="Times New Roman" w:hAnsi="Times New Roman" w:cs="Times New Roman"/>
        </w:rPr>
        <w:t>（1）“便捷快速”：</w:t>
      </w:r>
    </w:p>
    <w:p>
      <w:pPr>
        <w:pStyle w:val="110"/>
        <w:spacing w:line="300" w:lineRule="auto"/>
        <w:ind w:firstLine="480"/>
        <w:rPr>
          <w:rFonts w:ascii="Times New Roman" w:hAnsi="Times New Roman" w:cs="Times New Roman"/>
        </w:rPr>
      </w:pPr>
      <w:r>
        <w:rPr>
          <w:rFonts w:ascii="Times New Roman" w:hAnsi="Times New Roman" w:cs="Times New Roman"/>
        </w:rPr>
        <w:t>将根据规划资料，对本次招标范围的道路进行交通功能梳理，进行科学合理的交通量预测，设计通过对沿线交叉节点的设计，充分实现各道路的便捷交通功能，提供较高的道路通行能力及服务水平。</w:t>
      </w:r>
    </w:p>
    <w:p>
      <w:pPr>
        <w:pStyle w:val="110"/>
        <w:spacing w:line="300" w:lineRule="auto"/>
        <w:ind w:firstLine="480"/>
        <w:rPr>
          <w:rFonts w:ascii="Times New Roman" w:hAnsi="Times New Roman" w:cs="Times New Roman"/>
        </w:rPr>
      </w:pPr>
      <w:r>
        <w:rPr>
          <w:rFonts w:ascii="Times New Roman" w:hAnsi="Times New Roman" w:cs="Times New Roman"/>
        </w:rPr>
        <w:t>（2）交通组织“主次分明”：</w:t>
      </w:r>
    </w:p>
    <w:p>
      <w:pPr>
        <w:pStyle w:val="110"/>
        <w:spacing w:line="300" w:lineRule="auto"/>
        <w:ind w:firstLine="480"/>
        <w:rPr>
          <w:rFonts w:ascii="Times New Roman" w:hAnsi="Times New Roman" w:cs="Times New Roman"/>
        </w:rPr>
      </w:pPr>
      <w:r>
        <w:rPr>
          <w:rFonts w:ascii="Times New Roman" w:hAnsi="Times New Roman" w:cs="Times New Roman"/>
        </w:rPr>
        <w:t>设计过程中，依据相关规划，明确区分相交道路的主次交通关系，尽量简化交叉口形式，避免对交叉节点大型化，造成对城市土地资源和财政资金的浪费。</w:t>
      </w:r>
    </w:p>
    <w:p>
      <w:pPr>
        <w:pStyle w:val="110"/>
        <w:spacing w:line="300" w:lineRule="auto"/>
        <w:ind w:firstLine="480"/>
        <w:rPr>
          <w:rFonts w:ascii="Times New Roman" w:hAnsi="Times New Roman" w:cs="Times New Roman"/>
        </w:rPr>
      </w:pPr>
      <w:r>
        <w:rPr>
          <w:rFonts w:ascii="Times New Roman" w:hAnsi="Times New Roman" w:cs="Times New Roman"/>
        </w:rPr>
        <w:t>（3）设计理念“以人为本”：</w:t>
      </w:r>
    </w:p>
    <w:p>
      <w:pPr>
        <w:pStyle w:val="5"/>
        <w:ind w:firstLine="482" w:firstLineChars="200"/>
        <w:rPr>
          <w:rFonts w:ascii="Times New Roman" w:hAnsi="Times New Roman"/>
        </w:rPr>
      </w:pPr>
      <w:bookmarkStart w:id="149" w:name="_Toc7015091"/>
      <w:r>
        <w:rPr>
          <w:rFonts w:ascii="Times New Roman" w:hAnsi="Times New Roman"/>
        </w:rPr>
        <w:t>交叉口设计原则</w:t>
      </w:r>
      <w:bookmarkEnd w:id="149"/>
    </w:p>
    <w:p>
      <w:pPr>
        <w:pStyle w:val="110"/>
        <w:spacing w:line="300" w:lineRule="auto"/>
        <w:ind w:firstLine="480"/>
        <w:rPr>
          <w:rFonts w:ascii="Times New Roman" w:hAnsi="Times New Roman" w:cs="Times New Roman"/>
        </w:rPr>
      </w:pPr>
      <w:r>
        <w:rPr>
          <w:rFonts w:ascii="Times New Roman" w:hAnsi="Times New Roman" w:cs="Times New Roman"/>
        </w:rPr>
        <w:t>由于平面交叉口通行能力小于正常路段，为了满足交通的需求，根据交通分析情况，对交叉口进行必要的渠化设计，并实行交通控制，以减少车辆交汇区域，交叉口渠化设计原则如下：</w:t>
      </w:r>
    </w:p>
    <w:p>
      <w:pPr>
        <w:pStyle w:val="110"/>
        <w:spacing w:line="300" w:lineRule="auto"/>
        <w:ind w:firstLine="480"/>
        <w:rPr>
          <w:rFonts w:ascii="Times New Roman" w:hAnsi="Times New Roman" w:cs="Times New Roman"/>
        </w:rPr>
      </w:pPr>
      <w:r>
        <w:rPr>
          <w:rFonts w:ascii="Times New Roman" w:hAnsi="Times New Roman" w:cs="Times New Roman"/>
        </w:rPr>
        <w:t>主干道与主干道相交采取平面交叉，对外拓宽一个车道作右转专用道，对内压缩中央绿化带设置左转专用道，中央绿化带提前开口以便车辆掉头。</w:t>
      </w:r>
    </w:p>
    <w:p>
      <w:pPr>
        <w:pStyle w:val="110"/>
        <w:spacing w:line="300" w:lineRule="auto"/>
        <w:ind w:firstLine="480"/>
        <w:rPr>
          <w:rFonts w:ascii="Times New Roman" w:hAnsi="Times New Roman" w:cs="Times New Roman"/>
        </w:rPr>
      </w:pPr>
      <w:r>
        <w:rPr>
          <w:rFonts w:ascii="Times New Roman" w:hAnsi="Times New Roman" w:cs="Times New Roman"/>
        </w:rPr>
        <w:t>主干道与次干道相交采取平面交叉，有条件的位置对外拓宽一个车道作右转专用道。</w:t>
      </w:r>
    </w:p>
    <w:p>
      <w:pPr>
        <w:pStyle w:val="110"/>
        <w:spacing w:line="300" w:lineRule="auto"/>
        <w:ind w:firstLine="480"/>
        <w:rPr>
          <w:rFonts w:ascii="Times New Roman" w:hAnsi="Times New Roman" w:cs="Times New Roman"/>
        </w:rPr>
      </w:pPr>
      <w:r>
        <w:rPr>
          <w:rFonts w:ascii="Times New Roman" w:hAnsi="Times New Roman" w:cs="Times New Roman"/>
        </w:rPr>
        <w:t>主干道与支路相交采用右进右出的形式。</w:t>
      </w:r>
    </w:p>
    <w:p>
      <w:pPr>
        <w:pStyle w:val="110"/>
        <w:spacing w:line="300" w:lineRule="auto"/>
        <w:ind w:firstLine="480"/>
        <w:rPr>
          <w:rFonts w:ascii="Times New Roman" w:hAnsi="Times New Roman" w:cs="Times New Roman"/>
        </w:rPr>
      </w:pPr>
      <w:r>
        <w:rPr>
          <w:rFonts w:ascii="Times New Roman" w:hAnsi="Times New Roman" w:cs="Times New Roman"/>
        </w:rPr>
        <w:t>为解决车辆因为在一些路口限制了左转而不能到达某些区域，需要合理设置掉头车道。减少无谓的绕行，以满足调头车道需求，尽量减少对交通造成影响，所以通过综合考虑合适的路口设置了掉头车道。</w:t>
      </w:r>
    </w:p>
    <w:p>
      <w:pPr>
        <w:pStyle w:val="110"/>
        <w:spacing w:line="300" w:lineRule="auto"/>
        <w:ind w:firstLine="480"/>
        <w:rPr>
          <w:rFonts w:ascii="Times New Roman" w:hAnsi="Times New Roman" w:cs="Times New Roman"/>
        </w:rPr>
      </w:pPr>
      <w:r>
        <w:rPr>
          <w:rFonts w:ascii="Times New Roman" w:hAnsi="Times New Roman" w:cs="Times New Roman"/>
        </w:rPr>
        <w:t>根据《城市道路交叉口设计规程》CJJ152-2010，结合项目区域拟建、现状在建的交叉口，道</w:t>
      </w:r>
    </w:p>
    <w:p>
      <w:pPr>
        <w:pStyle w:val="110"/>
        <w:spacing w:line="300" w:lineRule="auto"/>
        <w:ind w:firstLine="480"/>
        <w:rPr>
          <w:rFonts w:ascii="Times New Roman" w:hAnsi="Times New Roman" w:cs="Times New Roman"/>
        </w:rPr>
      </w:pPr>
      <w:r>
        <w:rPr>
          <w:rFonts w:ascii="Times New Roman" w:hAnsi="Times New Roman" w:cs="Times New Roman"/>
        </w:rPr>
        <w:t>路平面交叉口按交通组织方式分类的规定，如下表所示：</w:t>
      </w:r>
    </w:p>
    <w:p>
      <w:pPr>
        <w:spacing w:before="260" w:line="220" w:lineRule="auto"/>
        <w:ind w:left="4173" w:firstLine="478" w:firstLineChars="200"/>
        <w:rPr>
          <w:rFonts w:ascii="Times New Roman" w:hAnsi="Times New Roman"/>
          <w:sz w:val="24"/>
          <w:szCs w:val="24"/>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平面交叉口分类表</w:t>
      </w:r>
    </w:p>
    <w:tbl>
      <w:tblPr>
        <w:tblStyle w:val="379"/>
        <w:tblW w:w="10214" w:type="dxa"/>
        <w:tblInd w:w="9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875"/>
        <w:gridCol w:w="3946"/>
        <w:gridCol w:w="339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7" w:hRule="atLeast"/>
        </w:trPr>
        <w:tc>
          <w:tcPr>
            <w:tcW w:w="2875" w:type="dxa"/>
            <w:vMerge w:val="restart"/>
            <w:tcBorders>
              <w:bottom w:val="nil"/>
            </w:tcBorders>
          </w:tcPr>
          <w:p>
            <w:pPr>
              <w:pStyle w:val="391"/>
              <w:autoSpaceDE w:val="0"/>
              <w:autoSpaceDN w:val="0"/>
              <w:spacing w:before="78" w:line="220" w:lineRule="auto"/>
              <w:ind w:left="60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平面交叉口类型</w:t>
            </w:r>
          </w:p>
        </w:tc>
        <w:tc>
          <w:tcPr>
            <w:tcW w:w="7339" w:type="dxa"/>
            <w:gridSpan w:val="2"/>
          </w:tcPr>
          <w:p>
            <w:pPr>
              <w:pStyle w:val="391"/>
              <w:autoSpaceDE w:val="0"/>
              <w:autoSpaceDN w:val="0"/>
              <w:spacing w:before="137" w:line="225" w:lineRule="auto"/>
              <w:ind w:left="342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选型</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2875"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3946" w:type="dxa"/>
          </w:tcPr>
          <w:p>
            <w:pPr>
              <w:pStyle w:val="391"/>
              <w:autoSpaceDE w:val="0"/>
              <w:autoSpaceDN w:val="0"/>
              <w:spacing w:before="113" w:line="219" w:lineRule="auto"/>
              <w:ind w:left="149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推荐形式</w:t>
            </w:r>
          </w:p>
        </w:tc>
        <w:tc>
          <w:tcPr>
            <w:tcW w:w="3393" w:type="dxa"/>
          </w:tcPr>
          <w:p>
            <w:pPr>
              <w:pStyle w:val="391"/>
              <w:autoSpaceDE w:val="0"/>
              <w:autoSpaceDN w:val="0"/>
              <w:spacing w:before="113" w:line="221" w:lineRule="auto"/>
              <w:ind w:left="121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可选形式</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875" w:type="dxa"/>
          </w:tcPr>
          <w:p>
            <w:pPr>
              <w:pStyle w:val="391"/>
              <w:autoSpaceDE w:val="0"/>
              <w:autoSpaceDN w:val="0"/>
              <w:spacing w:before="112" w:line="219" w:lineRule="auto"/>
              <w:ind w:left="61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主干路－主干路</w:t>
            </w:r>
          </w:p>
        </w:tc>
        <w:tc>
          <w:tcPr>
            <w:tcW w:w="3946" w:type="dxa"/>
          </w:tcPr>
          <w:p>
            <w:pPr>
              <w:pStyle w:val="391"/>
              <w:autoSpaceDE w:val="0"/>
              <w:autoSpaceDN w:val="0"/>
              <w:spacing w:before="112" w:line="220" w:lineRule="auto"/>
              <w:ind w:left="155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平A1类</w:t>
            </w:r>
          </w:p>
        </w:tc>
        <w:tc>
          <w:tcPr>
            <w:tcW w:w="3393" w:type="dxa"/>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875" w:type="dxa"/>
          </w:tcPr>
          <w:p>
            <w:pPr>
              <w:pStyle w:val="391"/>
              <w:autoSpaceDE w:val="0"/>
              <w:autoSpaceDN w:val="0"/>
              <w:spacing w:before="114" w:line="219" w:lineRule="auto"/>
              <w:ind w:left="67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主干路-次干路</w:t>
            </w:r>
          </w:p>
        </w:tc>
        <w:tc>
          <w:tcPr>
            <w:tcW w:w="3946" w:type="dxa"/>
          </w:tcPr>
          <w:p>
            <w:pPr>
              <w:pStyle w:val="391"/>
              <w:autoSpaceDE w:val="0"/>
              <w:autoSpaceDN w:val="0"/>
              <w:spacing w:before="114" w:line="220" w:lineRule="auto"/>
              <w:ind w:left="155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平A1类</w:t>
            </w:r>
          </w:p>
        </w:tc>
        <w:tc>
          <w:tcPr>
            <w:tcW w:w="3393" w:type="dxa"/>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2875" w:type="dxa"/>
          </w:tcPr>
          <w:p>
            <w:pPr>
              <w:pStyle w:val="391"/>
              <w:autoSpaceDE w:val="0"/>
              <w:autoSpaceDN w:val="0"/>
              <w:spacing w:before="115" w:line="219" w:lineRule="auto"/>
              <w:ind w:left="79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主干路-支路</w:t>
            </w:r>
          </w:p>
        </w:tc>
        <w:tc>
          <w:tcPr>
            <w:tcW w:w="3946" w:type="dxa"/>
          </w:tcPr>
          <w:p>
            <w:pPr>
              <w:pStyle w:val="391"/>
              <w:autoSpaceDE w:val="0"/>
              <w:autoSpaceDN w:val="0"/>
              <w:spacing w:before="115" w:line="220" w:lineRule="auto"/>
              <w:ind w:left="155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平B1类</w:t>
            </w:r>
          </w:p>
        </w:tc>
        <w:tc>
          <w:tcPr>
            <w:tcW w:w="3393" w:type="dxa"/>
          </w:tcPr>
          <w:p>
            <w:pPr>
              <w:pStyle w:val="391"/>
              <w:autoSpaceDE w:val="0"/>
              <w:autoSpaceDN w:val="0"/>
              <w:spacing w:before="115" w:line="220" w:lineRule="auto"/>
              <w:ind w:left="127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平A1类</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875" w:type="dxa"/>
          </w:tcPr>
          <w:p>
            <w:pPr>
              <w:pStyle w:val="391"/>
              <w:autoSpaceDE w:val="0"/>
              <w:autoSpaceDN w:val="0"/>
              <w:spacing w:before="114" w:line="219" w:lineRule="auto"/>
              <w:ind w:left="67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次干路-次干路</w:t>
            </w:r>
          </w:p>
        </w:tc>
        <w:tc>
          <w:tcPr>
            <w:tcW w:w="3946" w:type="dxa"/>
          </w:tcPr>
          <w:p>
            <w:pPr>
              <w:pStyle w:val="391"/>
              <w:autoSpaceDE w:val="0"/>
              <w:autoSpaceDN w:val="0"/>
              <w:spacing w:before="114" w:line="220" w:lineRule="auto"/>
              <w:ind w:left="155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平A1类</w:t>
            </w:r>
          </w:p>
        </w:tc>
        <w:tc>
          <w:tcPr>
            <w:tcW w:w="3393" w:type="dxa"/>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875" w:type="dxa"/>
          </w:tcPr>
          <w:p>
            <w:pPr>
              <w:pStyle w:val="391"/>
              <w:autoSpaceDE w:val="0"/>
              <w:autoSpaceDN w:val="0"/>
              <w:spacing w:before="116" w:line="219" w:lineRule="auto"/>
              <w:ind w:left="79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次干路-支路</w:t>
            </w:r>
          </w:p>
        </w:tc>
        <w:tc>
          <w:tcPr>
            <w:tcW w:w="3946" w:type="dxa"/>
          </w:tcPr>
          <w:p>
            <w:pPr>
              <w:pStyle w:val="391"/>
              <w:autoSpaceDE w:val="0"/>
              <w:autoSpaceDN w:val="0"/>
              <w:spacing w:before="116" w:line="220" w:lineRule="auto"/>
              <w:ind w:left="155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平B2类</w:t>
            </w:r>
          </w:p>
        </w:tc>
        <w:tc>
          <w:tcPr>
            <w:tcW w:w="3393" w:type="dxa"/>
          </w:tcPr>
          <w:p>
            <w:pPr>
              <w:pStyle w:val="391"/>
              <w:autoSpaceDE w:val="0"/>
              <w:autoSpaceDN w:val="0"/>
              <w:spacing w:before="116" w:line="220" w:lineRule="auto"/>
              <w:ind w:left="73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平A1类或平B1类</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7" w:hRule="atLeast"/>
        </w:trPr>
        <w:tc>
          <w:tcPr>
            <w:tcW w:w="2875" w:type="dxa"/>
          </w:tcPr>
          <w:p>
            <w:pPr>
              <w:pStyle w:val="391"/>
              <w:autoSpaceDE w:val="0"/>
              <w:autoSpaceDN w:val="0"/>
              <w:spacing w:before="117" w:line="220" w:lineRule="auto"/>
              <w:ind w:left="91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支路-支路</w:t>
            </w:r>
          </w:p>
        </w:tc>
        <w:tc>
          <w:tcPr>
            <w:tcW w:w="3946" w:type="dxa"/>
          </w:tcPr>
          <w:p>
            <w:pPr>
              <w:pStyle w:val="391"/>
              <w:autoSpaceDE w:val="0"/>
              <w:autoSpaceDN w:val="0"/>
              <w:spacing w:before="117" w:line="220" w:lineRule="auto"/>
              <w:ind w:left="101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平B2类或平B3类</w:t>
            </w:r>
          </w:p>
        </w:tc>
        <w:tc>
          <w:tcPr>
            <w:tcW w:w="3393" w:type="dxa"/>
          </w:tcPr>
          <w:p>
            <w:pPr>
              <w:pStyle w:val="391"/>
              <w:autoSpaceDE w:val="0"/>
              <w:autoSpaceDN w:val="0"/>
              <w:spacing w:before="117" w:line="220" w:lineRule="auto"/>
              <w:ind w:left="79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平C类或平A2类</w:t>
            </w:r>
          </w:p>
        </w:tc>
      </w:tr>
    </w:tbl>
    <w:p>
      <w:pPr>
        <w:spacing w:before="58" w:line="226" w:lineRule="auto"/>
        <w:ind w:firstLine="448" w:firstLineChars="200"/>
        <w:rPr>
          <w:rFonts w:ascii="Times New Roman" w:hAnsi="Times New Roman"/>
          <w:b w:val="0"/>
          <w:bCs/>
          <w:color w:val="000000" w:themeColor="text1"/>
          <w:spacing w:val="7"/>
          <w:sz w:val="21"/>
          <w:szCs w:val="21"/>
          <w14:textFill>
            <w14:solidFill>
              <w14:schemeClr w14:val="tx1"/>
            </w14:solidFill>
          </w14:textFill>
        </w:rPr>
      </w:pPr>
      <w:r>
        <w:rPr>
          <w:rFonts w:ascii="Times New Roman" w:hAnsi="Times New Roman"/>
          <w:b w:val="0"/>
          <w:bCs/>
          <w:color w:val="000000" w:themeColor="text1"/>
          <w:spacing w:val="7"/>
          <w:sz w:val="21"/>
          <w:szCs w:val="21"/>
          <w14:textFill>
            <w14:solidFill>
              <w14:schemeClr w14:val="tx1"/>
            </w14:solidFill>
          </w14:textFill>
        </w:rPr>
        <w:t>注：①A类：信号控制交叉口</w:t>
      </w:r>
    </w:p>
    <w:p>
      <w:pPr>
        <w:spacing w:before="58" w:line="226" w:lineRule="auto"/>
        <w:ind w:firstLine="448" w:firstLineChars="200"/>
        <w:rPr>
          <w:rFonts w:ascii="Times New Roman" w:hAnsi="Times New Roman"/>
          <w:b w:val="0"/>
          <w:bCs/>
          <w:color w:val="000000" w:themeColor="text1"/>
          <w:spacing w:val="7"/>
          <w:sz w:val="21"/>
          <w:szCs w:val="21"/>
          <w14:textFill>
            <w14:solidFill>
              <w14:schemeClr w14:val="tx1"/>
            </w14:solidFill>
          </w14:textFill>
        </w:rPr>
      </w:pPr>
      <w:r>
        <w:rPr>
          <w:rFonts w:ascii="Times New Roman" w:hAnsi="Times New Roman"/>
          <w:b w:val="0"/>
          <w:bCs/>
          <w:color w:val="000000" w:themeColor="text1"/>
          <w:spacing w:val="7"/>
          <w:sz w:val="21"/>
          <w:szCs w:val="21"/>
          <w14:textFill>
            <w14:solidFill>
              <w14:schemeClr w14:val="tx1"/>
            </w14:solidFill>
          </w14:textFill>
        </w:rPr>
        <w:t>平A1类：交通信号控制，进口道展宽交叉口；平A2类：交通信号控制，进口道不展宽交叉口。</w:t>
      </w:r>
    </w:p>
    <w:p>
      <w:pPr>
        <w:spacing w:before="58" w:line="226" w:lineRule="auto"/>
        <w:ind w:firstLine="448" w:firstLineChars="200"/>
        <w:rPr>
          <w:rFonts w:ascii="Times New Roman" w:hAnsi="Times New Roman"/>
          <w:b w:val="0"/>
          <w:bCs/>
          <w:color w:val="000000" w:themeColor="text1"/>
          <w:spacing w:val="7"/>
          <w:sz w:val="21"/>
          <w:szCs w:val="21"/>
          <w14:textFill>
            <w14:solidFill>
              <w14:schemeClr w14:val="tx1"/>
            </w14:solidFill>
          </w14:textFill>
        </w:rPr>
      </w:pPr>
      <w:r>
        <w:rPr>
          <w:rFonts w:ascii="Times New Roman" w:hAnsi="Times New Roman"/>
          <w:b w:val="0"/>
          <w:bCs/>
          <w:color w:val="000000" w:themeColor="text1"/>
          <w:spacing w:val="7"/>
          <w:sz w:val="21"/>
          <w:szCs w:val="21"/>
          <w14:textFill>
            <w14:solidFill>
              <w14:schemeClr w14:val="tx1"/>
            </w14:solidFill>
          </w14:textFill>
        </w:rPr>
        <w:t>②无信号控制交叉口</w:t>
      </w:r>
    </w:p>
    <w:p>
      <w:pPr>
        <w:spacing w:before="58" w:line="226" w:lineRule="auto"/>
        <w:ind w:firstLine="448" w:firstLineChars="200"/>
        <w:rPr>
          <w:rFonts w:ascii="Times New Roman" w:hAnsi="Times New Roman"/>
          <w:b w:val="0"/>
          <w:bCs/>
          <w:color w:val="000000" w:themeColor="text1"/>
          <w:spacing w:val="7"/>
          <w:sz w:val="21"/>
          <w:szCs w:val="21"/>
          <w14:textFill>
            <w14:solidFill>
              <w14:schemeClr w14:val="tx1"/>
            </w14:solidFill>
          </w14:textFill>
        </w:rPr>
      </w:pPr>
      <w:r>
        <w:rPr>
          <w:rFonts w:ascii="Times New Roman" w:hAnsi="Times New Roman"/>
          <w:b w:val="0"/>
          <w:bCs/>
          <w:color w:val="000000" w:themeColor="text1"/>
          <w:spacing w:val="7"/>
          <w:sz w:val="21"/>
          <w:szCs w:val="21"/>
          <w14:textFill>
            <w14:solidFill>
              <w14:schemeClr w14:val="tx1"/>
            </w14:solidFill>
          </w14:textFill>
        </w:rPr>
        <w:t>平B1类：右转交叉口；平B2类：让行交叉口；平B3类：全无管制交叉口。</w:t>
      </w:r>
    </w:p>
    <w:p>
      <w:pPr>
        <w:spacing w:before="58" w:line="226" w:lineRule="auto"/>
        <w:ind w:firstLine="448" w:firstLineChars="200"/>
        <w:rPr>
          <w:rFonts w:ascii="Times New Roman" w:hAnsi="Times New Roman"/>
          <w:b w:val="0"/>
          <w:bCs/>
          <w:color w:val="000000" w:themeColor="text1"/>
          <w:spacing w:val="7"/>
          <w:sz w:val="21"/>
          <w:szCs w:val="21"/>
          <w14:textFill>
            <w14:solidFill>
              <w14:schemeClr w14:val="tx1"/>
            </w14:solidFill>
          </w14:textFill>
        </w:rPr>
      </w:pPr>
      <w:r>
        <w:rPr>
          <w:rFonts w:ascii="Times New Roman" w:hAnsi="Times New Roman"/>
          <w:b w:val="0"/>
          <w:bCs/>
          <w:color w:val="000000" w:themeColor="text1"/>
          <w:spacing w:val="7"/>
          <w:sz w:val="21"/>
          <w:szCs w:val="21"/>
          <w14:textFill>
            <w14:solidFill>
              <w14:schemeClr w14:val="tx1"/>
            </w14:solidFill>
          </w14:textFill>
        </w:rPr>
        <w:t>③C类：平C类，环形交叉口</w:t>
      </w:r>
    </w:p>
    <w:p>
      <w:pPr>
        <w:pStyle w:val="110"/>
        <w:spacing w:line="300" w:lineRule="auto"/>
        <w:ind w:firstLine="468"/>
        <w:rPr>
          <w:rFonts w:ascii="Times New Roman" w:hAnsi="Times New Roman" w:cs="Times New Roman"/>
          <w:spacing w:val="-3"/>
        </w:rPr>
      </w:pPr>
      <w:r>
        <w:rPr>
          <w:rFonts w:ascii="Times New Roman" w:hAnsi="Times New Roman" w:cs="Times New Roman"/>
          <w:spacing w:val="-3"/>
        </w:rPr>
        <w:t>本项目根据以上规定和项目特点，本项目交叉口设置如下：</w:t>
      </w:r>
    </w:p>
    <w:p>
      <w:pPr>
        <w:spacing w:before="260" w:line="223" w:lineRule="auto"/>
        <w:ind w:left="3964" w:firstLine="478" w:firstLineChars="200"/>
        <w:rPr>
          <w:rFonts w:ascii="Times New Roman" w:hAnsi="Times New Roman"/>
          <w:sz w:val="24"/>
          <w:szCs w:val="24"/>
        </w:rPr>
      </w:pPr>
      <w:r>
        <w:rPr>
          <w:rFonts w:ascii="Times New Roman" w:hAnsi="Times New Roman" w:eastAsia="黑体"/>
          <w:spacing w:val="-1"/>
          <w:sz w:val="24"/>
          <w:szCs w:val="24"/>
          <w14:textOutline w14:w="3048" w14:cap="flat" w14:cmpd="sng" w14:algn="ctr">
            <w14:solidFill>
              <w14:srgbClr w14:val="000000"/>
            </w14:solidFill>
            <w14:prstDash w14:val="solid"/>
            <w14:miter w14:val="0"/>
          </w14:textOutline>
        </w:rPr>
        <w:t>本</w:t>
      </w:r>
      <w:r>
        <w:rPr>
          <w:rFonts w:ascii="Times New Roman" w:hAnsi="Times New Roman"/>
          <w:spacing w:val="-1"/>
          <w:sz w:val="24"/>
          <w:szCs w:val="24"/>
          <w14:textOutline w14:w="3048" w14:cap="flat" w14:cmpd="sng" w14:algn="ctr">
            <w14:solidFill>
              <w14:srgbClr w14:val="000000"/>
            </w14:solidFill>
            <w14:prstDash w14:val="solid"/>
            <w14:miter w14:val="0"/>
          </w14:textOutline>
        </w:rPr>
        <w:t>项目交叉口设置一览表</w:t>
      </w:r>
    </w:p>
    <w:tbl>
      <w:tblPr>
        <w:tblStyle w:val="379"/>
        <w:tblW w:w="10366" w:type="dxa"/>
        <w:tblInd w:w="31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26"/>
        <w:gridCol w:w="2719"/>
        <w:gridCol w:w="2642"/>
        <w:gridCol w:w="1428"/>
        <w:gridCol w:w="2951"/>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78" w:hRule="atLeast"/>
        </w:trPr>
        <w:tc>
          <w:tcPr>
            <w:tcW w:w="626" w:type="dxa"/>
            <w:textDirection w:val="tbRlV"/>
          </w:tcPr>
          <w:p>
            <w:pPr>
              <w:pStyle w:val="391"/>
              <w:autoSpaceDE w:val="0"/>
              <w:autoSpaceDN w:val="0"/>
              <w:spacing w:before="186" w:line="210" w:lineRule="auto"/>
              <w:ind w:left="9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序号</w:t>
            </w:r>
          </w:p>
        </w:tc>
        <w:tc>
          <w:tcPr>
            <w:tcW w:w="2719" w:type="dxa"/>
          </w:tcPr>
          <w:p>
            <w:pPr>
              <w:pStyle w:val="391"/>
              <w:autoSpaceDE w:val="0"/>
              <w:autoSpaceDN w:val="0"/>
              <w:spacing w:before="275" w:line="221" w:lineRule="auto"/>
              <w:ind w:left="76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交叉口名称</w:t>
            </w:r>
          </w:p>
        </w:tc>
        <w:tc>
          <w:tcPr>
            <w:tcW w:w="2642" w:type="dxa"/>
          </w:tcPr>
          <w:p>
            <w:pPr>
              <w:pStyle w:val="391"/>
              <w:autoSpaceDE w:val="0"/>
              <w:autoSpaceDN w:val="0"/>
              <w:spacing w:before="275" w:line="220" w:lineRule="auto"/>
              <w:ind w:left="84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道路等级</w:t>
            </w:r>
          </w:p>
        </w:tc>
        <w:tc>
          <w:tcPr>
            <w:tcW w:w="1428" w:type="dxa"/>
          </w:tcPr>
          <w:p>
            <w:pPr>
              <w:pStyle w:val="391"/>
              <w:autoSpaceDE w:val="0"/>
              <w:autoSpaceDN w:val="0"/>
              <w:spacing w:before="90" w:line="256" w:lineRule="auto"/>
              <w:ind w:left="247" w:right="230" w:hanging="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设计速度（km/h）</w:t>
            </w:r>
          </w:p>
        </w:tc>
        <w:tc>
          <w:tcPr>
            <w:tcW w:w="2951" w:type="dxa"/>
          </w:tcPr>
          <w:p>
            <w:pPr>
              <w:pStyle w:val="391"/>
              <w:autoSpaceDE w:val="0"/>
              <w:autoSpaceDN w:val="0"/>
              <w:spacing w:before="275" w:line="220" w:lineRule="auto"/>
              <w:ind w:left="100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交叉类型</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53" w:hRule="atLeast"/>
        </w:trPr>
        <w:tc>
          <w:tcPr>
            <w:tcW w:w="626" w:type="dxa"/>
          </w:tcPr>
          <w:p>
            <w:pPr>
              <w:pStyle w:val="391"/>
              <w:autoSpaceDE w:val="0"/>
              <w:autoSpaceDN w:val="0"/>
              <w:spacing w:before="289" w:line="184" w:lineRule="auto"/>
              <w:ind w:left="28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1</w:t>
            </w:r>
          </w:p>
        </w:tc>
        <w:tc>
          <w:tcPr>
            <w:tcW w:w="2719" w:type="dxa"/>
          </w:tcPr>
          <w:p>
            <w:pPr>
              <w:pStyle w:val="391"/>
              <w:autoSpaceDE w:val="0"/>
              <w:autoSpaceDN w:val="0"/>
              <w:spacing w:before="65" w:line="254" w:lineRule="auto"/>
              <w:ind w:left="1123" w:right="220" w:hanging="897"/>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二十涌北路-万环西南</w:t>
            </w:r>
            <w:r>
              <w:rPr>
                <w:rFonts w:ascii="Times New Roman" w:hAnsi="Times New Roman" w:cs="Times New Roman" w:eastAsiaTheme="minorEastAsia"/>
                <w:b w:val="0"/>
                <w:bCs/>
                <w:color w:val="000000" w:themeColor="text1"/>
                <w:spacing w:val="-3"/>
                <w:lang w:eastAsia="zh-CN"/>
                <w14:textFill>
                  <w14:solidFill>
                    <w14:schemeClr w14:val="tx1"/>
                  </w14:solidFill>
                </w14:textFill>
              </w:rPr>
              <w:t>延线</w:t>
            </w:r>
          </w:p>
        </w:tc>
        <w:tc>
          <w:tcPr>
            <w:tcW w:w="2642" w:type="dxa"/>
          </w:tcPr>
          <w:p>
            <w:pPr>
              <w:pStyle w:val="391"/>
              <w:autoSpaceDE w:val="0"/>
              <w:autoSpaceDN w:val="0"/>
              <w:spacing w:before="67" w:line="253" w:lineRule="auto"/>
              <w:ind w:left="1208" w:right="179" w:hanging="102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城市主干路-城市主干</w:t>
            </w:r>
            <w:r>
              <w:rPr>
                <w:rFonts w:ascii="Times New Roman" w:hAnsi="Times New Roman" w:cs="Times New Roman" w:eastAsiaTheme="minorEastAsia"/>
                <w:b w:val="0"/>
                <w:bCs/>
                <w:color w:val="000000" w:themeColor="text1"/>
                <w14:textFill>
                  <w14:solidFill>
                    <w14:schemeClr w14:val="tx1"/>
                  </w14:solidFill>
                </w14:textFill>
              </w:rPr>
              <w:t>路</w:t>
            </w:r>
          </w:p>
        </w:tc>
        <w:tc>
          <w:tcPr>
            <w:tcW w:w="1428" w:type="dxa"/>
          </w:tcPr>
          <w:p>
            <w:pPr>
              <w:pStyle w:val="391"/>
              <w:autoSpaceDE w:val="0"/>
              <w:autoSpaceDN w:val="0"/>
              <w:spacing w:before="290" w:line="183" w:lineRule="auto"/>
              <w:ind w:left="42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60-60</w:t>
            </w:r>
          </w:p>
        </w:tc>
        <w:tc>
          <w:tcPr>
            <w:tcW w:w="2951" w:type="dxa"/>
          </w:tcPr>
          <w:p>
            <w:pPr>
              <w:pStyle w:val="391"/>
              <w:autoSpaceDE w:val="0"/>
              <w:autoSpaceDN w:val="0"/>
              <w:spacing w:before="65" w:line="254" w:lineRule="auto"/>
              <w:ind w:left="873" w:right="131" w:hanging="757"/>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6"/>
                <w:lang w:eastAsia="zh-CN"/>
                <w14:textFill>
                  <w14:solidFill>
                    <w14:schemeClr w14:val="tx1"/>
                  </w14:solidFill>
                </w14:textFill>
              </w:rPr>
              <w:t>信号控制“T”字平交口，</w:t>
            </w:r>
            <w:r>
              <w:rPr>
                <w:rFonts w:ascii="Times New Roman" w:hAnsi="Times New Roman" w:cs="Times New Roman" w:eastAsiaTheme="minorEastAsia"/>
                <w:b w:val="0"/>
                <w:bCs/>
                <w:color w:val="000000" w:themeColor="text1"/>
                <w:spacing w:val="-2"/>
                <w:lang w:eastAsia="zh-CN"/>
                <w14:textFill>
                  <w14:solidFill>
                    <w14:schemeClr w14:val="tx1"/>
                  </w14:solidFill>
                </w14:textFill>
              </w:rPr>
              <w:t>进口道展宽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53" w:hRule="atLeast"/>
        </w:trPr>
        <w:tc>
          <w:tcPr>
            <w:tcW w:w="626" w:type="dxa"/>
          </w:tcPr>
          <w:p>
            <w:pPr>
              <w:pStyle w:val="391"/>
              <w:autoSpaceDE w:val="0"/>
              <w:autoSpaceDN w:val="0"/>
              <w:spacing w:before="290" w:line="183" w:lineRule="auto"/>
              <w:ind w:left="26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2</w:t>
            </w:r>
          </w:p>
        </w:tc>
        <w:tc>
          <w:tcPr>
            <w:tcW w:w="2719" w:type="dxa"/>
          </w:tcPr>
          <w:p>
            <w:pPr>
              <w:pStyle w:val="391"/>
              <w:autoSpaceDE w:val="0"/>
              <w:autoSpaceDN w:val="0"/>
              <w:spacing w:before="66" w:line="254" w:lineRule="auto"/>
              <w:ind w:left="1244" w:right="220" w:hanging="1018"/>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二十涌北路-规划纵三</w:t>
            </w:r>
            <w:r>
              <w:rPr>
                <w:rFonts w:ascii="Times New Roman" w:hAnsi="Times New Roman" w:cs="Times New Roman" w:eastAsiaTheme="minorEastAsia"/>
                <w:b w:val="0"/>
                <w:bCs/>
                <w:color w:val="000000" w:themeColor="text1"/>
                <w:lang w:eastAsia="zh-CN"/>
                <w14:textFill>
                  <w14:solidFill>
                    <w14:schemeClr w14:val="tx1"/>
                  </w14:solidFill>
                </w14:textFill>
              </w:rPr>
              <w:t>路</w:t>
            </w:r>
          </w:p>
        </w:tc>
        <w:tc>
          <w:tcPr>
            <w:tcW w:w="2642" w:type="dxa"/>
          </w:tcPr>
          <w:p>
            <w:pPr>
              <w:pStyle w:val="391"/>
              <w:autoSpaceDE w:val="0"/>
              <w:autoSpaceDN w:val="0"/>
              <w:spacing w:before="66" w:line="254" w:lineRule="auto"/>
              <w:ind w:left="1208" w:right="179" w:hanging="102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城市主干路-城市次干</w:t>
            </w:r>
            <w:r>
              <w:rPr>
                <w:rFonts w:ascii="Times New Roman" w:hAnsi="Times New Roman" w:cs="Times New Roman" w:eastAsiaTheme="minorEastAsia"/>
                <w:b w:val="0"/>
                <w:bCs/>
                <w:color w:val="000000" w:themeColor="text1"/>
                <w14:textFill>
                  <w14:solidFill>
                    <w14:schemeClr w14:val="tx1"/>
                  </w14:solidFill>
                </w14:textFill>
              </w:rPr>
              <w:t>路</w:t>
            </w:r>
          </w:p>
        </w:tc>
        <w:tc>
          <w:tcPr>
            <w:tcW w:w="1428" w:type="dxa"/>
          </w:tcPr>
          <w:p>
            <w:pPr>
              <w:pStyle w:val="391"/>
              <w:autoSpaceDE w:val="0"/>
              <w:autoSpaceDN w:val="0"/>
              <w:spacing w:before="291" w:line="183" w:lineRule="auto"/>
              <w:ind w:left="42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60-40</w:t>
            </w:r>
          </w:p>
        </w:tc>
        <w:tc>
          <w:tcPr>
            <w:tcW w:w="2951" w:type="dxa"/>
          </w:tcPr>
          <w:p>
            <w:pPr>
              <w:pStyle w:val="391"/>
              <w:autoSpaceDE w:val="0"/>
              <w:autoSpaceDN w:val="0"/>
              <w:spacing w:before="67" w:line="254" w:lineRule="auto"/>
              <w:ind w:left="873" w:right="131" w:hanging="757"/>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6"/>
                <w:lang w:eastAsia="zh-CN"/>
                <w14:textFill>
                  <w14:solidFill>
                    <w14:schemeClr w14:val="tx1"/>
                  </w14:solidFill>
                </w14:textFill>
              </w:rPr>
              <w:t>信号控制“T”字平交口，</w:t>
            </w:r>
            <w:r>
              <w:rPr>
                <w:rFonts w:ascii="Times New Roman" w:hAnsi="Times New Roman" w:cs="Times New Roman" w:eastAsiaTheme="minorEastAsia"/>
                <w:b w:val="0"/>
                <w:bCs/>
                <w:color w:val="000000" w:themeColor="text1"/>
                <w:spacing w:val="-2"/>
                <w:lang w:eastAsia="zh-CN"/>
                <w14:textFill>
                  <w14:solidFill>
                    <w14:schemeClr w14:val="tx1"/>
                  </w14:solidFill>
                </w14:textFill>
              </w:rPr>
              <w:t>进口道展宽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54" w:hRule="atLeast"/>
        </w:trPr>
        <w:tc>
          <w:tcPr>
            <w:tcW w:w="626" w:type="dxa"/>
          </w:tcPr>
          <w:p>
            <w:pPr>
              <w:pStyle w:val="391"/>
              <w:autoSpaceDE w:val="0"/>
              <w:autoSpaceDN w:val="0"/>
              <w:spacing w:before="292" w:line="182" w:lineRule="auto"/>
              <w:ind w:left="268"/>
              <w:rPr>
                <w:rFonts w:ascii="Times New Roman" w:hAnsi="Times New Roman" w:cs="Times New Roman" w:eastAsiaTheme="minorEastAsia"/>
                <w:b w:val="0"/>
                <w:bCs/>
                <w:color w:val="000000" w:themeColor="text1"/>
                <w:lang w:eastAsia="zh-CN"/>
                <w14:textFill>
                  <w14:solidFill>
                    <w14:schemeClr w14:val="tx1"/>
                  </w14:solidFill>
                </w14:textFill>
              </w:rPr>
            </w:pPr>
            <w:r>
              <w:rPr>
                <w:rFonts w:hint="eastAsia" w:ascii="Times New Roman" w:hAnsi="Times New Roman" w:cs="Times New Roman" w:eastAsiaTheme="minorEastAsia"/>
                <w:b w:val="0"/>
                <w:bCs/>
                <w:color w:val="000000" w:themeColor="text1"/>
                <w:lang w:eastAsia="zh-CN"/>
                <w14:textFill>
                  <w14:solidFill>
                    <w14:schemeClr w14:val="tx1"/>
                  </w14:solidFill>
                </w14:textFill>
              </w:rPr>
              <w:t>3</w:t>
            </w:r>
          </w:p>
        </w:tc>
        <w:tc>
          <w:tcPr>
            <w:tcW w:w="2719" w:type="dxa"/>
          </w:tcPr>
          <w:p>
            <w:pPr>
              <w:pStyle w:val="391"/>
              <w:autoSpaceDE w:val="0"/>
              <w:autoSpaceDN w:val="0"/>
              <w:spacing w:before="66" w:line="254" w:lineRule="auto"/>
              <w:ind w:left="1244" w:right="220" w:hanging="1018"/>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二十涌南路-规划纵三</w:t>
            </w:r>
            <w:r>
              <w:rPr>
                <w:rFonts w:ascii="Times New Roman" w:hAnsi="Times New Roman" w:cs="Times New Roman" w:eastAsiaTheme="minorEastAsia"/>
                <w:b w:val="0"/>
                <w:bCs/>
                <w:color w:val="000000" w:themeColor="text1"/>
                <w:lang w:eastAsia="zh-CN"/>
                <w14:textFill>
                  <w14:solidFill>
                    <w14:schemeClr w14:val="tx1"/>
                  </w14:solidFill>
                </w14:textFill>
              </w:rPr>
              <w:t>路</w:t>
            </w:r>
          </w:p>
        </w:tc>
        <w:tc>
          <w:tcPr>
            <w:tcW w:w="2642" w:type="dxa"/>
          </w:tcPr>
          <w:p>
            <w:pPr>
              <w:pStyle w:val="391"/>
              <w:autoSpaceDE w:val="0"/>
              <w:autoSpaceDN w:val="0"/>
              <w:spacing w:before="66" w:line="254" w:lineRule="auto"/>
              <w:ind w:left="1208" w:right="179" w:hanging="102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城市次干路-城市次干</w:t>
            </w:r>
            <w:r>
              <w:rPr>
                <w:rFonts w:ascii="Times New Roman" w:hAnsi="Times New Roman" w:cs="Times New Roman" w:eastAsiaTheme="minorEastAsia"/>
                <w:b w:val="0"/>
                <w:bCs/>
                <w:color w:val="000000" w:themeColor="text1"/>
                <w14:textFill>
                  <w14:solidFill>
                    <w14:schemeClr w14:val="tx1"/>
                  </w14:solidFill>
                </w14:textFill>
              </w:rPr>
              <w:t>路</w:t>
            </w:r>
          </w:p>
        </w:tc>
        <w:tc>
          <w:tcPr>
            <w:tcW w:w="1428" w:type="dxa"/>
          </w:tcPr>
          <w:p>
            <w:pPr>
              <w:pStyle w:val="391"/>
              <w:autoSpaceDE w:val="0"/>
              <w:autoSpaceDN w:val="0"/>
              <w:spacing w:before="291" w:line="183" w:lineRule="auto"/>
              <w:ind w:left="42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40-40</w:t>
            </w:r>
          </w:p>
        </w:tc>
        <w:tc>
          <w:tcPr>
            <w:tcW w:w="2951" w:type="dxa"/>
          </w:tcPr>
          <w:p>
            <w:pPr>
              <w:pStyle w:val="391"/>
              <w:autoSpaceDE w:val="0"/>
              <w:autoSpaceDN w:val="0"/>
              <w:spacing w:before="67" w:line="254" w:lineRule="auto"/>
              <w:ind w:left="873" w:right="51" w:hanging="757"/>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9"/>
                <w:lang w:eastAsia="zh-CN"/>
                <w14:textFill>
                  <w14:solidFill>
                    <w14:schemeClr w14:val="tx1"/>
                  </w14:solidFill>
                </w14:textFill>
              </w:rPr>
              <w:t>信号控制“十”字平交口，</w:t>
            </w:r>
            <w:r>
              <w:rPr>
                <w:rFonts w:ascii="Times New Roman" w:hAnsi="Times New Roman" w:cs="Times New Roman" w:eastAsiaTheme="minorEastAsia"/>
                <w:b w:val="0"/>
                <w:bCs/>
                <w:color w:val="000000" w:themeColor="text1"/>
                <w:spacing w:val="-2"/>
                <w:lang w:eastAsia="zh-CN"/>
                <w14:textFill>
                  <w14:solidFill>
                    <w14:schemeClr w14:val="tx1"/>
                  </w14:solidFill>
                </w14:textFill>
              </w:rPr>
              <w:t>进口道展宽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53" w:hRule="atLeast"/>
        </w:trPr>
        <w:tc>
          <w:tcPr>
            <w:tcW w:w="626" w:type="dxa"/>
          </w:tcPr>
          <w:p>
            <w:pPr>
              <w:pStyle w:val="391"/>
              <w:autoSpaceDE w:val="0"/>
              <w:autoSpaceDN w:val="0"/>
              <w:spacing w:before="293" w:line="182" w:lineRule="auto"/>
              <w:ind w:left="269"/>
              <w:rPr>
                <w:rFonts w:ascii="Times New Roman" w:hAnsi="Times New Roman" w:cs="Times New Roman" w:eastAsiaTheme="minorEastAsia"/>
                <w:b w:val="0"/>
                <w:bCs/>
                <w:color w:val="000000" w:themeColor="text1"/>
                <w:lang w:eastAsia="zh-CN"/>
                <w14:textFill>
                  <w14:solidFill>
                    <w14:schemeClr w14:val="tx1"/>
                  </w14:solidFill>
                </w14:textFill>
              </w:rPr>
            </w:pPr>
            <w:r>
              <w:rPr>
                <w:rFonts w:hint="eastAsia" w:ascii="Times New Roman" w:hAnsi="Times New Roman" w:cs="Times New Roman" w:eastAsiaTheme="minorEastAsia"/>
                <w:b w:val="0"/>
                <w:bCs/>
                <w:color w:val="000000" w:themeColor="text1"/>
                <w:lang w:eastAsia="zh-CN"/>
                <w14:textFill>
                  <w14:solidFill>
                    <w14:schemeClr w14:val="tx1"/>
                  </w14:solidFill>
                </w14:textFill>
              </w:rPr>
              <w:t>4</w:t>
            </w:r>
          </w:p>
        </w:tc>
        <w:tc>
          <w:tcPr>
            <w:tcW w:w="2719" w:type="dxa"/>
          </w:tcPr>
          <w:p>
            <w:pPr>
              <w:pStyle w:val="391"/>
              <w:autoSpaceDE w:val="0"/>
              <w:autoSpaceDN w:val="0"/>
              <w:spacing w:before="67" w:line="254" w:lineRule="auto"/>
              <w:ind w:left="1122" w:right="220" w:hanging="896"/>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二十涌南二路-规划纵</w:t>
            </w:r>
            <w:r>
              <w:rPr>
                <w:rFonts w:ascii="Times New Roman" w:hAnsi="Times New Roman" w:cs="Times New Roman" w:eastAsiaTheme="minorEastAsia"/>
                <w:b w:val="0"/>
                <w:bCs/>
                <w:color w:val="000000" w:themeColor="text1"/>
                <w:spacing w:val="-3"/>
                <w:lang w:eastAsia="zh-CN"/>
                <w14:textFill>
                  <w14:solidFill>
                    <w14:schemeClr w14:val="tx1"/>
                  </w14:solidFill>
                </w14:textFill>
              </w:rPr>
              <w:t>三路</w:t>
            </w:r>
          </w:p>
        </w:tc>
        <w:tc>
          <w:tcPr>
            <w:tcW w:w="2642" w:type="dxa"/>
          </w:tcPr>
          <w:p>
            <w:pPr>
              <w:pStyle w:val="391"/>
              <w:autoSpaceDE w:val="0"/>
              <w:autoSpaceDN w:val="0"/>
              <w:spacing w:before="67" w:line="254" w:lineRule="auto"/>
              <w:ind w:left="1208" w:right="179" w:hanging="102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城市主干路-城市次干</w:t>
            </w:r>
            <w:r>
              <w:rPr>
                <w:rFonts w:ascii="Times New Roman" w:hAnsi="Times New Roman" w:cs="Times New Roman" w:eastAsiaTheme="minorEastAsia"/>
                <w:b w:val="0"/>
                <w:bCs/>
                <w:color w:val="000000" w:themeColor="text1"/>
                <w14:textFill>
                  <w14:solidFill>
                    <w14:schemeClr w14:val="tx1"/>
                  </w14:solidFill>
                </w14:textFill>
              </w:rPr>
              <w:t>路</w:t>
            </w:r>
          </w:p>
        </w:tc>
        <w:tc>
          <w:tcPr>
            <w:tcW w:w="1428" w:type="dxa"/>
          </w:tcPr>
          <w:p>
            <w:pPr>
              <w:pStyle w:val="391"/>
              <w:autoSpaceDE w:val="0"/>
              <w:autoSpaceDN w:val="0"/>
              <w:spacing w:before="292" w:line="183" w:lineRule="auto"/>
              <w:ind w:left="42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60-40</w:t>
            </w:r>
          </w:p>
        </w:tc>
        <w:tc>
          <w:tcPr>
            <w:tcW w:w="2951" w:type="dxa"/>
          </w:tcPr>
          <w:p>
            <w:pPr>
              <w:pStyle w:val="391"/>
              <w:autoSpaceDE w:val="0"/>
              <w:autoSpaceDN w:val="0"/>
              <w:spacing w:before="68" w:line="254" w:lineRule="auto"/>
              <w:ind w:left="873" w:right="131" w:hanging="757"/>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6"/>
                <w:lang w:eastAsia="zh-CN"/>
                <w14:textFill>
                  <w14:solidFill>
                    <w14:schemeClr w14:val="tx1"/>
                  </w14:solidFill>
                </w14:textFill>
              </w:rPr>
              <w:t>信号控制“T”字平交口，</w:t>
            </w:r>
            <w:r>
              <w:rPr>
                <w:rFonts w:ascii="Times New Roman" w:hAnsi="Times New Roman" w:cs="Times New Roman" w:eastAsiaTheme="minorEastAsia"/>
                <w:b w:val="0"/>
                <w:bCs/>
                <w:color w:val="000000" w:themeColor="text1"/>
                <w:spacing w:val="-2"/>
                <w:lang w:eastAsia="zh-CN"/>
                <w14:textFill>
                  <w14:solidFill>
                    <w14:schemeClr w14:val="tx1"/>
                  </w14:solidFill>
                </w14:textFill>
              </w:rPr>
              <w:t>进口道展宽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54" w:hRule="atLeast"/>
        </w:trPr>
        <w:tc>
          <w:tcPr>
            <w:tcW w:w="626" w:type="dxa"/>
          </w:tcPr>
          <w:p>
            <w:pPr>
              <w:pStyle w:val="391"/>
              <w:autoSpaceDE w:val="0"/>
              <w:autoSpaceDN w:val="0"/>
              <w:spacing w:before="292" w:line="184" w:lineRule="auto"/>
              <w:ind w:left="221"/>
              <w:rPr>
                <w:rFonts w:ascii="Times New Roman" w:hAnsi="Times New Roman" w:cs="Times New Roman" w:eastAsiaTheme="minorEastAsia"/>
                <w:b w:val="0"/>
                <w:bCs/>
                <w:color w:val="000000" w:themeColor="text1"/>
                <w:lang w:eastAsia="zh-CN"/>
                <w14:textFill>
                  <w14:solidFill>
                    <w14:schemeClr w14:val="tx1"/>
                  </w14:solidFill>
                </w14:textFill>
              </w:rPr>
            </w:pPr>
            <w:r>
              <w:rPr>
                <w:rFonts w:hint="eastAsia" w:ascii="Times New Roman" w:hAnsi="Times New Roman" w:cs="Times New Roman" w:eastAsiaTheme="minorEastAsia"/>
                <w:b w:val="0"/>
                <w:bCs/>
                <w:color w:val="000000" w:themeColor="text1"/>
                <w:spacing w:val="-7"/>
                <w:lang w:eastAsia="zh-CN"/>
                <w14:textFill>
                  <w14:solidFill>
                    <w14:schemeClr w14:val="tx1"/>
                  </w14:solidFill>
                </w14:textFill>
              </w:rPr>
              <w:t>5</w:t>
            </w:r>
          </w:p>
        </w:tc>
        <w:tc>
          <w:tcPr>
            <w:tcW w:w="2719" w:type="dxa"/>
          </w:tcPr>
          <w:p>
            <w:pPr>
              <w:pStyle w:val="391"/>
              <w:autoSpaceDE w:val="0"/>
              <w:autoSpaceDN w:val="0"/>
              <w:spacing w:before="70" w:line="253" w:lineRule="auto"/>
              <w:ind w:left="1122" w:right="220" w:hanging="896"/>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二十一涌北路-规划纵</w:t>
            </w:r>
            <w:r>
              <w:rPr>
                <w:rFonts w:ascii="Times New Roman" w:hAnsi="Times New Roman" w:cs="Times New Roman" w:eastAsiaTheme="minorEastAsia"/>
                <w:b w:val="0"/>
                <w:bCs/>
                <w:color w:val="000000" w:themeColor="text1"/>
                <w:spacing w:val="-3"/>
                <w:lang w:eastAsia="zh-CN"/>
                <w14:textFill>
                  <w14:solidFill>
                    <w14:schemeClr w14:val="tx1"/>
                  </w14:solidFill>
                </w14:textFill>
              </w:rPr>
              <w:t>三路</w:t>
            </w:r>
          </w:p>
        </w:tc>
        <w:tc>
          <w:tcPr>
            <w:tcW w:w="2642" w:type="dxa"/>
          </w:tcPr>
          <w:p>
            <w:pPr>
              <w:pStyle w:val="391"/>
              <w:autoSpaceDE w:val="0"/>
              <w:autoSpaceDN w:val="0"/>
              <w:spacing w:before="70" w:line="253" w:lineRule="auto"/>
              <w:ind w:left="1208" w:right="179" w:hanging="102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城市次干路-城市次干</w:t>
            </w:r>
            <w:r>
              <w:rPr>
                <w:rFonts w:ascii="Times New Roman" w:hAnsi="Times New Roman" w:cs="Times New Roman" w:eastAsiaTheme="minorEastAsia"/>
                <w:b w:val="0"/>
                <w:bCs/>
                <w:color w:val="000000" w:themeColor="text1"/>
                <w14:textFill>
                  <w14:solidFill>
                    <w14:schemeClr w14:val="tx1"/>
                  </w14:solidFill>
                </w14:textFill>
              </w:rPr>
              <w:t>路</w:t>
            </w:r>
          </w:p>
        </w:tc>
        <w:tc>
          <w:tcPr>
            <w:tcW w:w="1428" w:type="dxa"/>
          </w:tcPr>
          <w:p>
            <w:pPr>
              <w:pStyle w:val="391"/>
              <w:autoSpaceDE w:val="0"/>
              <w:autoSpaceDN w:val="0"/>
              <w:spacing w:before="293" w:line="183" w:lineRule="auto"/>
              <w:ind w:left="42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40-40</w:t>
            </w:r>
          </w:p>
        </w:tc>
        <w:tc>
          <w:tcPr>
            <w:tcW w:w="2951" w:type="dxa"/>
          </w:tcPr>
          <w:p>
            <w:pPr>
              <w:pStyle w:val="391"/>
              <w:autoSpaceDE w:val="0"/>
              <w:autoSpaceDN w:val="0"/>
              <w:spacing w:before="68" w:line="254" w:lineRule="auto"/>
              <w:ind w:left="873" w:right="51" w:hanging="757"/>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9"/>
                <w:lang w:eastAsia="zh-CN"/>
                <w14:textFill>
                  <w14:solidFill>
                    <w14:schemeClr w14:val="tx1"/>
                  </w14:solidFill>
                </w14:textFill>
              </w:rPr>
              <w:t>信号控制“十”字平交口，</w:t>
            </w:r>
            <w:r>
              <w:rPr>
                <w:rFonts w:ascii="Times New Roman" w:hAnsi="Times New Roman" w:cs="Times New Roman" w:eastAsiaTheme="minorEastAsia"/>
                <w:b w:val="0"/>
                <w:bCs/>
                <w:color w:val="000000" w:themeColor="text1"/>
                <w:spacing w:val="-2"/>
                <w:lang w:eastAsia="zh-CN"/>
                <w14:textFill>
                  <w14:solidFill>
                    <w14:schemeClr w14:val="tx1"/>
                  </w14:solidFill>
                </w14:textFill>
              </w:rPr>
              <w:t>进口道展宽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78" w:hRule="atLeast"/>
        </w:trPr>
        <w:tc>
          <w:tcPr>
            <w:tcW w:w="626" w:type="dxa"/>
          </w:tcPr>
          <w:p>
            <w:pPr>
              <w:pStyle w:val="391"/>
              <w:autoSpaceDE w:val="0"/>
              <w:autoSpaceDN w:val="0"/>
              <w:spacing w:before="294" w:line="184" w:lineRule="auto"/>
              <w:ind w:left="221"/>
              <w:rPr>
                <w:rFonts w:ascii="Times New Roman" w:hAnsi="Times New Roman" w:cs="Times New Roman" w:eastAsiaTheme="minorEastAsia"/>
                <w:b w:val="0"/>
                <w:bCs/>
                <w:color w:val="000000" w:themeColor="text1"/>
                <w:lang w:eastAsia="zh-CN"/>
                <w14:textFill>
                  <w14:solidFill>
                    <w14:schemeClr w14:val="tx1"/>
                  </w14:solidFill>
                </w14:textFill>
              </w:rPr>
            </w:pPr>
            <w:r>
              <w:rPr>
                <w:rFonts w:hint="eastAsia" w:ascii="Times New Roman" w:hAnsi="Times New Roman" w:cs="Times New Roman" w:eastAsiaTheme="minorEastAsia"/>
                <w:b w:val="0"/>
                <w:bCs/>
                <w:color w:val="000000" w:themeColor="text1"/>
                <w:spacing w:val="-7"/>
                <w:lang w:eastAsia="zh-CN"/>
                <w14:textFill>
                  <w14:solidFill>
                    <w14:schemeClr w14:val="tx1"/>
                  </w14:solidFill>
                </w14:textFill>
              </w:rPr>
              <w:t>6</w:t>
            </w:r>
          </w:p>
        </w:tc>
        <w:tc>
          <w:tcPr>
            <w:tcW w:w="2719" w:type="dxa"/>
          </w:tcPr>
          <w:p>
            <w:pPr>
              <w:pStyle w:val="391"/>
              <w:autoSpaceDE w:val="0"/>
              <w:autoSpaceDN w:val="0"/>
              <w:spacing w:before="257" w:line="220" w:lineRule="auto"/>
              <w:ind w:left="3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滨海路-规划纵三路</w:t>
            </w:r>
          </w:p>
        </w:tc>
        <w:tc>
          <w:tcPr>
            <w:tcW w:w="2642" w:type="dxa"/>
          </w:tcPr>
          <w:p>
            <w:pPr>
              <w:pStyle w:val="391"/>
              <w:autoSpaceDE w:val="0"/>
              <w:autoSpaceDN w:val="0"/>
              <w:spacing w:before="72" w:line="253" w:lineRule="auto"/>
              <w:ind w:left="1208" w:right="179" w:hanging="102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城市次干路-城市次干</w:t>
            </w:r>
            <w:r>
              <w:rPr>
                <w:rFonts w:ascii="Times New Roman" w:hAnsi="Times New Roman" w:cs="Times New Roman" w:eastAsiaTheme="minorEastAsia"/>
                <w:b w:val="0"/>
                <w:bCs/>
                <w:color w:val="000000" w:themeColor="text1"/>
                <w14:textFill>
                  <w14:solidFill>
                    <w14:schemeClr w14:val="tx1"/>
                  </w14:solidFill>
                </w14:textFill>
              </w:rPr>
              <w:t>路</w:t>
            </w:r>
          </w:p>
        </w:tc>
        <w:tc>
          <w:tcPr>
            <w:tcW w:w="1428" w:type="dxa"/>
          </w:tcPr>
          <w:p>
            <w:pPr>
              <w:pStyle w:val="391"/>
              <w:autoSpaceDE w:val="0"/>
              <w:autoSpaceDN w:val="0"/>
              <w:spacing w:before="295" w:line="183" w:lineRule="auto"/>
              <w:ind w:left="42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40-40</w:t>
            </w:r>
          </w:p>
        </w:tc>
        <w:tc>
          <w:tcPr>
            <w:tcW w:w="2951" w:type="dxa"/>
          </w:tcPr>
          <w:p>
            <w:pPr>
              <w:pStyle w:val="391"/>
              <w:autoSpaceDE w:val="0"/>
              <w:autoSpaceDN w:val="0"/>
              <w:spacing w:before="70" w:line="254" w:lineRule="auto"/>
              <w:ind w:left="873" w:right="131" w:hanging="757"/>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6"/>
                <w:lang w:eastAsia="zh-CN"/>
                <w14:textFill>
                  <w14:solidFill>
                    <w14:schemeClr w14:val="tx1"/>
                  </w14:solidFill>
                </w14:textFill>
              </w:rPr>
              <w:t>信号控制“L”字平交口，</w:t>
            </w:r>
            <w:r>
              <w:rPr>
                <w:rFonts w:ascii="Times New Roman" w:hAnsi="Times New Roman" w:cs="Times New Roman" w:eastAsiaTheme="minorEastAsia"/>
                <w:b w:val="0"/>
                <w:bCs/>
                <w:color w:val="000000" w:themeColor="text1"/>
                <w:spacing w:val="-2"/>
                <w:lang w:eastAsia="zh-CN"/>
                <w14:textFill>
                  <w14:solidFill>
                    <w14:schemeClr w14:val="tx1"/>
                  </w14:solidFill>
                </w14:textFill>
              </w:rPr>
              <w:t>进口道展宽</w:t>
            </w:r>
          </w:p>
        </w:tc>
      </w:tr>
    </w:tbl>
    <w:p>
      <w:pPr>
        <w:pStyle w:val="5"/>
        <w:ind w:firstLine="482" w:firstLineChars="200"/>
        <w:rPr>
          <w:rFonts w:ascii="Times New Roman" w:hAnsi="Times New Roman"/>
        </w:rPr>
      </w:pPr>
      <w:r>
        <w:rPr>
          <w:rFonts w:ascii="Times New Roman" w:hAnsi="Times New Roman"/>
        </w:rPr>
        <w:t>总体设计重难点</w:t>
      </w:r>
    </w:p>
    <w:p>
      <w:pPr>
        <w:pStyle w:val="110"/>
        <w:spacing w:line="288" w:lineRule="auto"/>
        <w:ind w:firstLine="480"/>
        <w:rPr>
          <w:rFonts w:ascii="Times New Roman" w:hAnsi="Times New Roman" w:cs="Times New Roman"/>
        </w:rPr>
      </w:pPr>
      <w:r>
        <w:rPr>
          <w:rFonts w:ascii="Times New Roman" w:hAnsi="Times New Roman" w:cs="Times New Roman"/>
        </w:rPr>
        <w:t>1、二十涌北路与现状南中高速万顷沙支线桥墩冲突</w:t>
      </w:r>
    </w:p>
    <w:p>
      <w:pPr>
        <w:pStyle w:val="110"/>
        <w:spacing w:line="288" w:lineRule="auto"/>
        <w:ind w:firstLine="480"/>
        <w:rPr>
          <w:rFonts w:ascii="Times New Roman" w:hAnsi="Times New Roman" w:cs="Times New Roman"/>
        </w:rPr>
      </w:pPr>
      <w:r>
        <w:rPr>
          <w:rFonts w:ascii="Times New Roman" w:hAnsi="Times New Roman" w:cs="Times New Roman"/>
        </w:rPr>
        <w:t>根据规划线位，道路中线与现状万顷沙支线桥墩相交，局部左转车道与直行车道与桥墩存在冲突的情况，需结合现场及规划相关情况，对存在这种情况的交叉口进行优化。</w:t>
      </w:r>
    </w:p>
    <w:p>
      <w:pPr>
        <w:pStyle w:val="110"/>
        <w:spacing w:line="288" w:lineRule="auto"/>
        <w:ind w:firstLine="480"/>
        <w:rPr>
          <w:rFonts w:ascii="Times New Roman" w:hAnsi="Times New Roman" w:cs="Times New Roman"/>
        </w:rPr>
      </w:pPr>
      <w:r>
        <w:rPr>
          <w:rFonts w:ascii="Times New Roman" w:hAnsi="Times New Roman" w:cs="Times New Roman"/>
        </w:rPr>
        <w:t>鉴于本阶段路网尚未稳定情况下，以上道路左转车道和直线车道与桥墩有冲突位置采用绕行方式进行避让，待下阶段规划路网稳定后进行优化设计。</w:t>
      </w:r>
    </w:p>
    <w:p>
      <w:pPr>
        <w:pStyle w:val="110"/>
        <w:spacing w:line="288" w:lineRule="auto"/>
        <w:ind w:firstLine="480"/>
        <w:rPr>
          <w:rFonts w:ascii="Times New Roman" w:hAnsi="Times New Roman" w:cs="Times New Roman"/>
        </w:rPr>
      </w:pPr>
      <w:r>
        <w:rPr>
          <w:rFonts w:ascii="Times New Roman" w:hAnsi="Times New Roman" w:cs="Times New Roman"/>
        </w:rPr>
        <w:drawing>
          <wp:inline distT="0" distB="0" distL="114300" distR="114300">
            <wp:extent cx="2660650" cy="1898015"/>
            <wp:effectExtent l="0" t="0" r="6350" b="6985"/>
            <wp:docPr id="41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图片 61"/>
                    <pic:cNvPicPr>
                      <a:picLocks noChangeAspect="1"/>
                    </pic:cNvPicPr>
                  </pic:nvPicPr>
                  <pic:blipFill>
                    <a:blip r:embed="rId124"/>
                    <a:stretch>
                      <a:fillRect/>
                    </a:stretch>
                  </pic:blipFill>
                  <pic:spPr>
                    <a:xfrm>
                      <a:off x="0" y="0"/>
                      <a:ext cx="2660650" cy="1898015"/>
                    </a:xfrm>
                    <a:prstGeom prst="rect">
                      <a:avLst/>
                    </a:prstGeom>
                    <a:noFill/>
                    <a:ln>
                      <a:noFill/>
                    </a:ln>
                  </pic:spPr>
                </pic:pic>
              </a:graphicData>
            </a:graphic>
          </wp:inline>
        </w:drawing>
      </w:r>
      <w:r>
        <w:rPr>
          <w:rFonts w:ascii="Times New Roman" w:hAnsi="Times New Roman" w:cs="Times New Roman"/>
        </w:rPr>
        <w:drawing>
          <wp:inline distT="0" distB="0" distL="114300" distR="114300">
            <wp:extent cx="2718435" cy="1955165"/>
            <wp:effectExtent l="0" t="0" r="5715" b="6985"/>
            <wp:docPr id="413"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图片 62"/>
                    <pic:cNvPicPr>
                      <a:picLocks noChangeAspect="1"/>
                    </pic:cNvPicPr>
                  </pic:nvPicPr>
                  <pic:blipFill>
                    <a:blip r:embed="rId125"/>
                    <a:stretch>
                      <a:fillRect/>
                    </a:stretch>
                  </pic:blipFill>
                  <pic:spPr>
                    <a:xfrm>
                      <a:off x="0" y="0"/>
                      <a:ext cx="2718435" cy="1955165"/>
                    </a:xfrm>
                    <a:prstGeom prst="rect">
                      <a:avLst/>
                    </a:prstGeom>
                    <a:noFill/>
                    <a:ln>
                      <a:noFill/>
                    </a:ln>
                  </pic:spPr>
                </pic:pic>
              </a:graphicData>
            </a:graphic>
          </wp:inline>
        </w:drawing>
      </w:r>
    </w:p>
    <w:p>
      <w:pPr>
        <w:spacing w:before="260" w:line="223" w:lineRule="auto"/>
        <w:jc w:val="center"/>
        <w:rPr>
          <w:rFonts w:ascii="Times New Roman" w:hAnsi="Times New Roman"/>
          <w:spacing w:val="-1"/>
          <w:sz w:val="24"/>
          <w:szCs w:val="24"/>
          <w14:textOutline w14:w="3048" w14:cap="flat" w14:cmpd="sng" w14:algn="ctr">
            <w14:solidFill>
              <w14:srgbClr w14:val="000000"/>
            </w14:solidFill>
            <w14:prstDash w14:val="solid"/>
            <w14:miter w14:val="0"/>
          </w14:textOutline>
        </w:rPr>
      </w:pPr>
      <w:bookmarkStart w:id="150" w:name="_Toc144667803"/>
      <w:bookmarkStart w:id="151" w:name="_Toc25032"/>
      <w:bookmarkStart w:id="152" w:name="_Toc32456"/>
      <w:bookmarkStart w:id="153" w:name="_Toc23766"/>
      <w:bookmarkStart w:id="154" w:name="_Toc30586"/>
      <w:bookmarkStart w:id="155" w:name="_Toc4830"/>
      <w:r>
        <w:rPr>
          <w:rFonts w:ascii="Times New Roman" w:hAnsi="Times New Roman"/>
          <w:spacing w:val="-1"/>
          <w:sz w:val="24"/>
          <w:szCs w:val="24"/>
          <w14:textOutline w14:w="3048" w14:cap="flat" w14:cmpd="sng" w14:algn="ctr">
            <w14:solidFill>
              <w14:srgbClr w14:val="000000"/>
            </w14:solidFill>
            <w14:prstDash w14:val="solid"/>
            <w14:miter w14:val="0"/>
          </w14:textOutline>
        </w:rPr>
        <w:t>二十涌北路与南中高速现状桥墩平面示意图</w:t>
      </w:r>
      <w:bookmarkEnd w:id="150"/>
      <w:bookmarkEnd w:id="151"/>
      <w:bookmarkEnd w:id="152"/>
      <w:bookmarkEnd w:id="153"/>
      <w:bookmarkEnd w:id="154"/>
      <w:bookmarkEnd w:id="155"/>
    </w:p>
    <w:p>
      <w:pPr>
        <w:pStyle w:val="3"/>
        <w:ind w:firstLine="562" w:firstLineChars="200"/>
      </w:pPr>
      <w:bookmarkStart w:id="156" w:name="_Toc23263"/>
      <w:r>
        <w:t>道路工程设计方案</w:t>
      </w:r>
      <w:bookmarkEnd w:id="156"/>
    </w:p>
    <w:p>
      <w:pPr>
        <w:pStyle w:val="4"/>
        <w:ind w:firstLine="482" w:firstLineChars="200"/>
      </w:pPr>
      <w:bookmarkStart w:id="157" w:name="_Toc5467"/>
      <w:r>
        <w:t>路基设计</w:t>
      </w:r>
      <w:bookmarkEnd w:id="157"/>
    </w:p>
    <w:p>
      <w:pPr>
        <w:spacing w:line="300" w:lineRule="auto"/>
        <w:ind w:firstLine="480" w:firstLineChars="200"/>
        <w:rPr>
          <w:rFonts w:ascii="Times New Roman" w:hAnsi="Times New Roman"/>
        </w:rPr>
      </w:pPr>
      <w:r>
        <w:rPr>
          <w:rFonts w:ascii="Times New Roman" w:hAnsi="Times New Roman"/>
          <w:b w:val="0"/>
          <w:color w:val="000000" w:themeColor="text1"/>
          <w:sz w:val="24"/>
          <w14:textFill>
            <w14:solidFill>
              <w14:schemeClr w14:val="tx1"/>
            </w14:solidFill>
          </w14:textFill>
        </w:rPr>
        <w:t>本项目所在区域的防洪标准：调控范围内现状地块整体地势较为平坦，地势较低区域具有一定程度的淹水风险，需抬升竖向标高，根据淹没水深计算结果、整体地块高程趋势、河涌管控水位、周边道路工程建设和外江200年一遇水位，地块外海海堤堤顶最低标高宜大于9.01m，“一场两馆”区域的标高按不低于8.0m控制，“一场两馆”周边区域的标高按不低于7.0m控制，道路标高按不低于6.8m控制。</w:t>
      </w:r>
    </w:p>
    <w:p>
      <w:pPr>
        <w:pStyle w:val="5"/>
        <w:ind w:firstLine="482" w:firstLineChars="200"/>
        <w:rPr>
          <w:rFonts w:ascii="Times New Roman" w:hAnsi="Times New Roman"/>
        </w:rPr>
      </w:pPr>
      <w:r>
        <w:rPr>
          <w:rFonts w:ascii="Times New Roman" w:hAnsi="Times New Roman"/>
        </w:rPr>
        <w:t>一般路基设计</w:t>
      </w:r>
    </w:p>
    <w:p>
      <w:pPr>
        <w:ind w:firstLine="482" w:firstLineChars="200"/>
        <w:rPr>
          <w:rFonts w:ascii="Times New Roman" w:hAnsi="Times New Roman"/>
          <w:color w:val="000000" w:themeColor="text1"/>
          <w:sz w:val="24"/>
          <w14:textFill>
            <w14:solidFill>
              <w14:schemeClr w14:val="tx1"/>
            </w14:solidFill>
          </w14:textFill>
        </w:rPr>
      </w:pPr>
      <w:r>
        <w:rPr>
          <w:rFonts w:ascii="Times New Roman" w:hAnsi="Times New Roman"/>
          <w:color w:val="000000" w:themeColor="text1"/>
          <w:sz w:val="24"/>
          <w14:textFill>
            <w14:solidFill>
              <w14:schemeClr w14:val="tx1"/>
            </w14:solidFill>
          </w14:textFill>
        </w:rPr>
        <w:t>（一）路基填料强度压实标准</w:t>
      </w:r>
    </w:p>
    <w:p>
      <w:pPr>
        <w:ind w:firstLine="422" w:firstLineChars="200"/>
        <w:jc w:val="center"/>
        <w:rPr>
          <w:rFonts w:ascii="Times New Roman" w:hAnsi="Times New Roman"/>
          <w:color w:val="000000" w:themeColor="text1"/>
          <w:sz w:val="21"/>
          <w14:textFill>
            <w14:solidFill>
              <w14:schemeClr w14:val="tx1"/>
            </w14:solidFill>
          </w14:textFill>
        </w:rPr>
      </w:pPr>
      <w:r>
        <w:rPr>
          <w:rFonts w:ascii="Times New Roman" w:hAnsi="Times New Roman"/>
          <w:color w:val="000000" w:themeColor="text1"/>
          <w:sz w:val="21"/>
          <w14:textFill>
            <w14:solidFill>
              <w14:schemeClr w14:val="tx1"/>
            </w14:solidFill>
          </w14:textFill>
        </w:rPr>
        <w:t>路基填料强度压实标准</w:t>
      </w:r>
    </w:p>
    <w:tbl>
      <w:tblPr>
        <w:tblStyle w:val="32"/>
        <w:tblW w:w="4999" w:type="pct"/>
        <w:jc w:val="center"/>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24"/>
        <w:gridCol w:w="1126"/>
        <w:gridCol w:w="1436"/>
        <w:gridCol w:w="1534"/>
        <w:gridCol w:w="1635"/>
        <w:gridCol w:w="1539"/>
        <w:gridCol w:w="1481"/>
        <w:gridCol w:w="1298"/>
      </w:tblGrid>
      <w:tr>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221" w:hRule="atLeast"/>
          <w:jc w:val="center"/>
        </w:trPr>
        <w:tc>
          <w:tcPr>
            <w:tcW w:w="739" w:type="pct"/>
            <w:gridSpan w:val="2"/>
            <w:vMerge w:val="restart"/>
            <w:shd w:val="clear" w:color="auto" w:fill="FABF8F"/>
            <w:vAlign w:val="center"/>
          </w:tcPr>
          <w:p>
            <w:pPr>
              <w:jc w:val="center"/>
              <w:rPr>
                <w:rFonts w:ascii="Times New Roman" w:hAnsi="Times New Roman"/>
                <w:b w:val="0"/>
                <w:bCs/>
                <w:color w:val="0000FF"/>
                <w:sz w:val="21"/>
                <w:szCs w:val="21"/>
              </w:rPr>
            </w:pPr>
            <w:r>
              <w:rPr>
                <w:rFonts w:ascii="Times New Roman" w:hAnsi="Times New Roman"/>
                <w:b w:val="0"/>
                <w:bCs/>
                <w:color w:val="0000FF"/>
                <w:sz w:val="21"/>
                <w:szCs w:val="21"/>
              </w:rPr>
              <w:t>项目分类</w:t>
            </w:r>
          </w:p>
        </w:tc>
        <w:tc>
          <w:tcPr>
            <w:tcW w:w="685" w:type="pct"/>
            <w:vMerge w:val="restart"/>
            <w:shd w:val="clear" w:color="auto" w:fill="FABF8F"/>
            <w:vAlign w:val="center"/>
          </w:tcPr>
          <w:p>
            <w:pPr>
              <w:keepNext/>
              <w:keepLines/>
              <w:suppressLineNumbers/>
              <w:suppressAutoHyphens/>
              <w:ind w:firstLine="57"/>
              <w:jc w:val="center"/>
              <w:rPr>
                <w:rFonts w:ascii="Times New Roman" w:hAnsi="Times New Roman"/>
                <w:b w:val="0"/>
                <w:bCs/>
                <w:color w:val="0000FF"/>
                <w:sz w:val="21"/>
                <w:szCs w:val="21"/>
              </w:rPr>
            </w:pPr>
            <w:r>
              <w:rPr>
                <w:rFonts w:ascii="Times New Roman" w:hAnsi="Times New Roman"/>
                <w:b w:val="0"/>
                <w:bCs/>
                <w:color w:val="0000FF"/>
                <w:sz w:val="21"/>
                <w:szCs w:val="21"/>
              </w:rPr>
              <w:t>路面底面以下深度(cm)</w:t>
            </w:r>
          </w:p>
        </w:tc>
        <w:tc>
          <w:tcPr>
            <w:tcW w:w="1512" w:type="pct"/>
            <w:gridSpan w:val="2"/>
            <w:shd w:val="clear" w:color="auto" w:fill="FABF8F"/>
            <w:vAlign w:val="center"/>
          </w:tcPr>
          <w:p>
            <w:pPr>
              <w:keepNext/>
              <w:keepLines/>
              <w:suppressLineNumbers/>
              <w:suppressAutoHyphens/>
              <w:jc w:val="center"/>
              <w:rPr>
                <w:rFonts w:ascii="Times New Roman" w:hAnsi="Times New Roman"/>
                <w:b w:val="0"/>
                <w:bCs/>
                <w:color w:val="0000FF"/>
                <w:sz w:val="21"/>
                <w:szCs w:val="21"/>
              </w:rPr>
            </w:pPr>
            <w:r>
              <w:rPr>
                <w:rFonts w:ascii="Times New Roman" w:hAnsi="Times New Roman"/>
                <w:b w:val="0"/>
                <w:bCs/>
                <w:color w:val="0000FF"/>
                <w:sz w:val="21"/>
                <w:szCs w:val="21"/>
              </w:rPr>
              <w:t>压实度(%)</w:t>
            </w:r>
          </w:p>
        </w:tc>
        <w:tc>
          <w:tcPr>
            <w:tcW w:w="1441" w:type="pct"/>
            <w:gridSpan w:val="2"/>
            <w:shd w:val="clear" w:color="auto" w:fill="FABF8F"/>
            <w:vAlign w:val="center"/>
          </w:tcPr>
          <w:p>
            <w:pPr>
              <w:keepNext/>
              <w:keepLines/>
              <w:suppressLineNumbers/>
              <w:suppressAutoHyphens/>
              <w:jc w:val="center"/>
              <w:rPr>
                <w:rFonts w:ascii="Times New Roman" w:hAnsi="Times New Roman"/>
                <w:b w:val="0"/>
                <w:bCs/>
                <w:color w:val="0000FF"/>
                <w:sz w:val="21"/>
                <w:szCs w:val="21"/>
              </w:rPr>
            </w:pPr>
            <w:r>
              <w:rPr>
                <w:rFonts w:ascii="Times New Roman" w:hAnsi="Times New Roman"/>
                <w:b w:val="0"/>
                <w:bCs/>
                <w:color w:val="0000FF"/>
                <w:sz w:val="21"/>
                <w:szCs w:val="21"/>
              </w:rPr>
              <w:t>填料最小强度（CBR）(%)</w:t>
            </w:r>
          </w:p>
        </w:tc>
        <w:tc>
          <w:tcPr>
            <w:tcW w:w="620" w:type="pct"/>
            <w:vMerge w:val="restart"/>
            <w:shd w:val="clear" w:color="auto" w:fill="FABF8F"/>
            <w:vAlign w:val="center"/>
          </w:tcPr>
          <w:p>
            <w:pPr>
              <w:keepNext/>
              <w:keepLines/>
              <w:suppressLineNumbers/>
              <w:suppressAutoHyphens/>
              <w:jc w:val="center"/>
              <w:rPr>
                <w:rFonts w:ascii="Times New Roman" w:hAnsi="Times New Roman"/>
                <w:b w:val="0"/>
                <w:bCs/>
                <w:color w:val="0000FF"/>
                <w:sz w:val="21"/>
                <w:szCs w:val="21"/>
              </w:rPr>
            </w:pPr>
            <w:r>
              <w:rPr>
                <w:rFonts w:ascii="Times New Roman" w:hAnsi="Times New Roman"/>
                <w:b w:val="0"/>
                <w:bCs/>
                <w:color w:val="0000FF"/>
                <w:sz w:val="21"/>
                <w:szCs w:val="21"/>
              </w:rPr>
              <w:t>填料最大粒径(cm)</w:t>
            </w:r>
          </w:p>
        </w:tc>
      </w:tr>
      <w:tr>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739" w:type="pct"/>
            <w:gridSpan w:val="2"/>
            <w:vMerge w:val="continue"/>
            <w:shd w:val="clear" w:color="auto" w:fill="FABF8F"/>
            <w:vAlign w:val="center"/>
          </w:tcPr>
          <w:p>
            <w:pPr>
              <w:jc w:val="center"/>
              <w:rPr>
                <w:rFonts w:ascii="Times New Roman" w:hAnsi="Times New Roman"/>
                <w:b w:val="0"/>
                <w:bCs/>
                <w:color w:val="0000FF"/>
                <w:sz w:val="21"/>
                <w:szCs w:val="21"/>
              </w:rPr>
            </w:pPr>
          </w:p>
        </w:tc>
        <w:tc>
          <w:tcPr>
            <w:tcW w:w="685" w:type="pct"/>
            <w:vMerge w:val="continue"/>
            <w:shd w:val="clear" w:color="auto" w:fill="FABF8F"/>
            <w:vAlign w:val="center"/>
          </w:tcPr>
          <w:p>
            <w:pPr>
              <w:keepNext/>
              <w:keepLines/>
              <w:suppressLineNumbers/>
              <w:suppressAutoHyphens/>
              <w:ind w:firstLine="57"/>
              <w:jc w:val="center"/>
              <w:rPr>
                <w:rFonts w:ascii="Times New Roman" w:hAnsi="Times New Roman"/>
                <w:b w:val="0"/>
                <w:bCs/>
                <w:color w:val="0000FF"/>
                <w:sz w:val="21"/>
                <w:szCs w:val="21"/>
              </w:rPr>
            </w:pPr>
          </w:p>
        </w:tc>
        <w:tc>
          <w:tcPr>
            <w:tcW w:w="732" w:type="pct"/>
            <w:shd w:val="clear" w:color="auto" w:fill="FABF8F"/>
            <w:vAlign w:val="center"/>
          </w:tcPr>
          <w:p>
            <w:pPr>
              <w:keepNext/>
              <w:keepLines/>
              <w:suppressLineNumbers/>
              <w:suppressAutoHyphens/>
              <w:jc w:val="center"/>
              <w:rPr>
                <w:rFonts w:ascii="Times New Roman" w:hAnsi="Times New Roman"/>
                <w:b w:val="0"/>
                <w:bCs/>
                <w:color w:val="0000FF"/>
                <w:sz w:val="21"/>
                <w:szCs w:val="21"/>
              </w:rPr>
            </w:pPr>
            <w:r>
              <w:rPr>
                <w:rFonts w:ascii="Times New Roman" w:hAnsi="Times New Roman"/>
                <w:b w:val="0"/>
                <w:bCs/>
                <w:color w:val="0000FF"/>
                <w:sz w:val="21"/>
                <w:szCs w:val="21"/>
              </w:rPr>
              <w:t>主干路</w:t>
            </w:r>
          </w:p>
        </w:tc>
        <w:tc>
          <w:tcPr>
            <w:tcW w:w="779" w:type="pct"/>
            <w:shd w:val="clear" w:color="auto" w:fill="FABF8F"/>
            <w:vAlign w:val="center"/>
          </w:tcPr>
          <w:p>
            <w:pPr>
              <w:keepNext/>
              <w:keepLines/>
              <w:suppressLineNumbers/>
              <w:suppressAutoHyphens/>
              <w:jc w:val="center"/>
              <w:rPr>
                <w:rFonts w:ascii="Times New Roman" w:hAnsi="Times New Roman"/>
                <w:b w:val="0"/>
                <w:bCs/>
                <w:color w:val="0000FF"/>
                <w:sz w:val="21"/>
                <w:szCs w:val="21"/>
              </w:rPr>
            </w:pPr>
            <w:r>
              <w:rPr>
                <w:rFonts w:ascii="Times New Roman" w:hAnsi="Times New Roman"/>
                <w:b w:val="0"/>
                <w:bCs/>
                <w:color w:val="0000FF"/>
                <w:sz w:val="21"/>
                <w:szCs w:val="21"/>
              </w:rPr>
              <w:t>次干路</w:t>
            </w:r>
          </w:p>
        </w:tc>
        <w:tc>
          <w:tcPr>
            <w:tcW w:w="734" w:type="pct"/>
            <w:shd w:val="clear" w:color="auto" w:fill="FABF8F"/>
            <w:vAlign w:val="center"/>
          </w:tcPr>
          <w:p>
            <w:pPr>
              <w:keepNext/>
              <w:keepLines/>
              <w:suppressLineNumbers/>
              <w:suppressAutoHyphens/>
              <w:jc w:val="center"/>
              <w:rPr>
                <w:rFonts w:ascii="Times New Roman" w:hAnsi="Times New Roman"/>
                <w:b w:val="0"/>
                <w:bCs/>
                <w:color w:val="0000FF"/>
                <w:sz w:val="21"/>
                <w:szCs w:val="21"/>
              </w:rPr>
            </w:pPr>
            <w:r>
              <w:rPr>
                <w:rFonts w:ascii="Times New Roman" w:hAnsi="Times New Roman"/>
                <w:b w:val="0"/>
                <w:bCs/>
                <w:color w:val="0000FF"/>
                <w:sz w:val="21"/>
                <w:szCs w:val="21"/>
              </w:rPr>
              <w:t>主干路</w:t>
            </w:r>
          </w:p>
        </w:tc>
        <w:tc>
          <w:tcPr>
            <w:tcW w:w="707" w:type="pct"/>
            <w:shd w:val="clear" w:color="auto" w:fill="FABF8F"/>
            <w:vAlign w:val="center"/>
          </w:tcPr>
          <w:p>
            <w:pPr>
              <w:keepNext/>
              <w:keepLines/>
              <w:suppressLineNumbers/>
              <w:suppressAutoHyphens/>
              <w:jc w:val="center"/>
              <w:rPr>
                <w:rFonts w:ascii="Times New Roman" w:hAnsi="Times New Roman"/>
                <w:b w:val="0"/>
                <w:bCs/>
                <w:color w:val="0000FF"/>
                <w:sz w:val="21"/>
                <w:szCs w:val="21"/>
              </w:rPr>
            </w:pPr>
            <w:r>
              <w:rPr>
                <w:rFonts w:ascii="Times New Roman" w:hAnsi="Times New Roman"/>
                <w:b w:val="0"/>
                <w:bCs/>
                <w:color w:val="0000FF"/>
                <w:sz w:val="21"/>
                <w:szCs w:val="21"/>
              </w:rPr>
              <w:t>次干路</w:t>
            </w:r>
          </w:p>
        </w:tc>
        <w:tc>
          <w:tcPr>
            <w:tcW w:w="620" w:type="pct"/>
            <w:vMerge w:val="continue"/>
            <w:shd w:val="clear" w:color="auto" w:fill="FABF8F"/>
            <w:vAlign w:val="center"/>
          </w:tcPr>
          <w:p>
            <w:pPr>
              <w:keepNext/>
              <w:keepLines/>
              <w:suppressLineNumbers/>
              <w:suppressAutoHyphens/>
              <w:jc w:val="center"/>
              <w:rPr>
                <w:rFonts w:ascii="Times New Roman" w:hAnsi="Times New Roman"/>
                <w:b w:val="0"/>
                <w:bCs/>
                <w:color w:val="0000FF"/>
                <w:sz w:val="21"/>
                <w:szCs w:val="21"/>
              </w:rPr>
            </w:pPr>
          </w:p>
        </w:tc>
      </w:tr>
      <w:tr>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cantSplit/>
          <w:trHeight w:val="133" w:hRule="atLeast"/>
          <w:jc w:val="center"/>
        </w:trPr>
        <w:tc>
          <w:tcPr>
            <w:tcW w:w="202" w:type="pct"/>
            <w:vMerge w:val="restart"/>
            <w:shd w:val="clear" w:color="auto" w:fill="FABF8F"/>
            <w:vAlign w:val="center"/>
          </w:tcPr>
          <w:p>
            <w:pPr>
              <w:jc w:val="center"/>
              <w:rPr>
                <w:rFonts w:ascii="Times New Roman" w:hAnsi="Times New Roman"/>
                <w:b w:val="0"/>
                <w:bCs/>
                <w:color w:val="0000FF"/>
                <w:sz w:val="21"/>
                <w:szCs w:val="21"/>
              </w:rPr>
            </w:pPr>
            <w:r>
              <w:rPr>
                <w:rFonts w:ascii="Times New Roman" w:hAnsi="Times New Roman"/>
                <w:b w:val="0"/>
                <w:bCs/>
                <w:color w:val="0000FF"/>
                <w:sz w:val="21"/>
                <w:szCs w:val="21"/>
              </w:rPr>
              <w:t>填方路基</w:t>
            </w:r>
          </w:p>
        </w:tc>
        <w:tc>
          <w:tcPr>
            <w:tcW w:w="537" w:type="pct"/>
            <w:shd w:val="clear" w:color="auto" w:fill="FABF8F"/>
            <w:vAlign w:val="center"/>
          </w:tcPr>
          <w:p>
            <w:pPr>
              <w:jc w:val="center"/>
              <w:rPr>
                <w:rFonts w:ascii="Times New Roman" w:hAnsi="Times New Roman"/>
                <w:b w:val="0"/>
                <w:bCs/>
                <w:color w:val="0000FF"/>
                <w:sz w:val="21"/>
                <w:szCs w:val="21"/>
              </w:rPr>
            </w:pPr>
            <w:r>
              <w:rPr>
                <w:rFonts w:ascii="Times New Roman" w:hAnsi="Times New Roman"/>
                <w:b w:val="0"/>
                <w:bCs/>
                <w:color w:val="0000FF"/>
                <w:sz w:val="21"/>
                <w:szCs w:val="21"/>
              </w:rPr>
              <w:t>上路床</w:t>
            </w:r>
          </w:p>
        </w:tc>
        <w:tc>
          <w:tcPr>
            <w:tcW w:w="685"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0～30</w:t>
            </w:r>
          </w:p>
        </w:tc>
        <w:tc>
          <w:tcPr>
            <w:tcW w:w="732"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95</w:t>
            </w:r>
          </w:p>
        </w:tc>
        <w:tc>
          <w:tcPr>
            <w:tcW w:w="779"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94</w:t>
            </w:r>
          </w:p>
        </w:tc>
        <w:tc>
          <w:tcPr>
            <w:tcW w:w="734"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8</w:t>
            </w:r>
          </w:p>
        </w:tc>
        <w:tc>
          <w:tcPr>
            <w:tcW w:w="707"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6</w:t>
            </w:r>
          </w:p>
        </w:tc>
        <w:tc>
          <w:tcPr>
            <w:tcW w:w="620"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10</w:t>
            </w:r>
          </w:p>
        </w:tc>
      </w:tr>
      <w:tr>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cantSplit/>
          <w:trHeight w:val="90" w:hRule="atLeast"/>
          <w:jc w:val="center"/>
        </w:trPr>
        <w:tc>
          <w:tcPr>
            <w:tcW w:w="202" w:type="pct"/>
            <w:vMerge w:val="continue"/>
            <w:shd w:val="clear" w:color="auto" w:fill="FABF8F"/>
            <w:vAlign w:val="center"/>
          </w:tcPr>
          <w:p>
            <w:pPr>
              <w:jc w:val="center"/>
              <w:rPr>
                <w:rFonts w:ascii="Times New Roman" w:hAnsi="Times New Roman"/>
                <w:b w:val="0"/>
                <w:bCs/>
                <w:color w:val="0000FF"/>
                <w:sz w:val="21"/>
                <w:szCs w:val="21"/>
              </w:rPr>
            </w:pPr>
          </w:p>
        </w:tc>
        <w:tc>
          <w:tcPr>
            <w:tcW w:w="537" w:type="pct"/>
            <w:shd w:val="clear" w:color="auto" w:fill="FABF8F"/>
            <w:vAlign w:val="center"/>
          </w:tcPr>
          <w:p>
            <w:pPr>
              <w:jc w:val="center"/>
              <w:rPr>
                <w:rFonts w:ascii="Times New Roman" w:hAnsi="Times New Roman"/>
                <w:b w:val="0"/>
                <w:bCs/>
                <w:color w:val="0000FF"/>
                <w:sz w:val="21"/>
                <w:szCs w:val="21"/>
              </w:rPr>
            </w:pPr>
            <w:r>
              <w:rPr>
                <w:rFonts w:ascii="Times New Roman" w:hAnsi="Times New Roman"/>
                <w:b w:val="0"/>
                <w:bCs/>
                <w:color w:val="0000FF"/>
                <w:sz w:val="21"/>
                <w:szCs w:val="21"/>
              </w:rPr>
              <w:t>下路床</w:t>
            </w:r>
          </w:p>
        </w:tc>
        <w:tc>
          <w:tcPr>
            <w:tcW w:w="685"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30～80</w:t>
            </w:r>
          </w:p>
        </w:tc>
        <w:tc>
          <w:tcPr>
            <w:tcW w:w="732"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95</w:t>
            </w:r>
          </w:p>
        </w:tc>
        <w:tc>
          <w:tcPr>
            <w:tcW w:w="779"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94</w:t>
            </w:r>
          </w:p>
        </w:tc>
        <w:tc>
          <w:tcPr>
            <w:tcW w:w="734"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5</w:t>
            </w:r>
          </w:p>
        </w:tc>
        <w:tc>
          <w:tcPr>
            <w:tcW w:w="707"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4</w:t>
            </w:r>
          </w:p>
        </w:tc>
        <w:tc>
          <w:tcPr>
            <w:tcW w:w="620"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10</w:t>
            </w:r>
          </w:p>
        </w:tc>
      </w:tr>
      <w:tr>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cantSplit/>
          <w:trHeight w:val="90" w:hRule="atLeast"/>
          <w:jc w:val="center"/>
        </w:trPr>
        <w:tc>
          <w:tcPr>
            <w:tcW w:w="202" w:type="pct"/>
            <w:vMerge w:val="continue"/>
            <w:shd w:val="clear" w:color="auto" w:fill="FABF8F"/>
            <w:vAlign w:val="center"/>
          </w:tcPr>
          <w:p>
            <w:pPr>
              <w:jc w:val="center"/>
              <w:rPr>
                <w:rFonts w:ascii="Times New Roman" w:hAnsi="Times New Roman"/>
                <w:b w:val="0"/>
                <w:bCs/>
                <w:color w:val="0000FF"/>
                <w:sz w:val="21"/>
                <w:szCs w:val="21"/>
              </w:rPr>
            </w:pPr>
          </w:p>
        </w:tc>
        <w:tc>
          <w:tcPr>
            <w:tcW w:w="537" w:type="pct"/>
            <w:shd w:val="clear" w:color="auto" w:fill="FABF8F"/>
            <w:vAlign w:val="center"/>
          </w:tcPr>
          <w:p>
            <w:pPr>
              <w:jc w:val="center"/>
              <w:rPr>
                <w:rFonts w:ascii="Times New Roman" w:hAnsi="Times New Roman"/>
                <w:b w:val="0"/>
                <w:bCs/>
                <w:color w:val="0000FF"/>
                <w:sz w:val="21"/>
                <w:szCs w:val="21"/>
              </w:rPr>
            </w:pPr>
            <w:r>
              <w:rPr>
                <w:rFonts w:ascii="Times New Roman" w:hAnsi="Times New Roman"/>
                <w:b w:val="0"/>
                <w:bCs/>
                <w:color w:val="0000FF"/>
                <w:sz w:val="21"/>
                <w:szCs w:val="21"/>
              </w:rPr>
              <w:t>上路堤</w:t>
            </w:r>
          </w:p>
        </w:tc>
        <w:tc>
          <w:tcPr>
            <w:tcW w:w="685"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80～150</w:t>
            </w:r>
          </w:p>
        </w:tc>
        <w:tc>
          <w:tcPr>
            <w:tcW w:w="732"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93</w:t>
            </w:r>
          </w:p>
        </w:tc>
        <w:tc>
          <w:tcPr>
            <w:tcW w:w="779"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92</w:t>
            </w:r>
          </w:p>
        </w:tc>
        <w:tc>
          <w:tcPr>
            <w:tcW w:w="734"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4</w:t>
            </w:r>
          </w:p>
        </w:tc>
        <w:tc>
          <w:tcPr>
            <w:tcW w:w="707"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3</w:t>
            </w:r>
          </w:p>
        </w:tc>
        <w:tc>
          <w:tcPr>
            <w:tcW w:w="620"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15</w:t>
            </w:r>
          </w:p>
        </w:tc>
      </w:tr>
      <w:tr>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cantSplit/>
          <w:trHeight w:val="90" w:hRule="atLeast"/>
          <w:jc w:val="center"/>
        </w:trPr>
        <w:tc>
          <w:tcPr>
            <w:tcW w:w="202" w:type="pct"/>
            <w:vMerge w:val="continue"/>
            <w:shd w:val="clear" w:color="auto" w:fill="FABF8F"/>
            <w:vAlign w:val="center"/>
          </w:tcPr>
          <w:p>
            <w:pPr>
              <w:jc w:val="center"/>
              <w:rPr>
                <w:rFonts w:ascii="Times New Roman" w:hAnsi="Times New Roman"/>
                <w:b w:val="0"/>
                <w:bCs/>
                <w:color w:val="0000FF"/>
                <w:sz w:val="21"/>
                <w:szCs w:val="21"/>
              </w:rPr>
            </w:pPr>
          </w:p>
        </w:tc>
        <w:tc>
          <w:tcPr>
            <w:tcW w:w="537" w:type="pct"/>
            <w:shd w:val="clear" w:color="auto" w:fill="FABF8F"/>
            <w:vAlign w:val="center"/>
          </w:tcPr>
          <w:p>
            <w:pPr>
              <w:jc w:val="center"/>
              <w:rPr>
                <w:rFonts w:ascii="Times New Roman" w:hAnsi="Times New Roman"/>
                <w:b w:val="0"/>
                <w:bCs/>
                <w:color w:val="0000FF"/>
                <w:sz w:val="21"/>
                <w:szCs w:val="21"/>
              </w:rPr>
            </w:pPr>
            <w:r>
              <w:rPr>
                <w:rFonts w:ascii="Times New Roman" w:hAnsi="Times New Roman"/>
                <w:b w:val="0"/>
                <w:bCs/>
                <w:color w:val="0000FF"/>
                <w:sz w:val="21"/>
                <w:szCs w:val="21"/>
              </w:rPr>
              <w:t>下路堤</w:t>
            </w:r>
          </w:p>
        </w:tc>
        <w:tc>
          <w:tcPr>
            <w:tcW w:w="685"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＞150</w:t>
            </w:r>
          </w:p>
        </w:tc>
        <w:tc>
          <w:tcPr>
            <w:tcW w:w="732"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92</w:t>
            </w:r>
          </w:p>
        </w:tc>
        <w:tc>
          <w:tcPr>
            <w:tcW w:w="779"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91</w:t>
            </w:r>
          </w:p>
        </w:tc>
        <w:tc>
          <w:tcPr>
            <w:tcW w:w="734"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3</w:t>
            </w:r>
          </w:p>
        </w:tc>
        <w:tc>
          <w:tcPr>
            <w:tcW w:w="707"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2</w:t>
            </w:r>
          </w:p>
        </w:tc>
        <w:tc>
          <w:tcPr>
            <w:tcW w:w="620"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15</w:t>
            </w:r>
          </w:p>
        </w:tc>
      </w:tr>
      <w:tr>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cantSplit/>
          <w:trHeight w:val="90" w:hRule="atLeast"/>
          <w:jc w:val="center"/>
        </w:trPr>
        <w:tc>
          <w:tcPr>
            <w:tcW w:w="739" w:type="pct"/>
            <w:gridSpan w:val="2"/>
            <w:vMerge w:val="restart"/>
            <w:shd w:val="clear" w:color="auto" w:fill="FABF8F"/>
            <w:vAlign w:val="center"/>
          </w:tcPr>
          <w:p>
            <w:pPr>
              <w:jc w:val="center"/>
              <w:rPr>
                <w:rFonts w:ascii="Times New Roman" w:hAnsi="Times New Roman"/>
                <w:b w:val="0"/>
                <w:bCs/>
                <w:color w:val="0000FF"/>
                <w:sz w:val="21"/>
                <w:szCs w:val="21"/>
              </w:rPr>
            </w:pPr>
            <w:r>
              <w:rPr>
                <w:rFonts w:ascii="Times New Roman" w:hAnsi="Times New Roman"/>
                <w:b w:val="0"/>
                <w:bCs/>
                <w:color w:val="0000FF"/>
                <w:sz w:val="21"/>
                <w:szCs w:val="21"/>
              </w:rPr>
              <w:t>零填及挖方路堑</w:t>
            </w:r>
          </w:p>
        </w:tc>
        <w:tc>
          <w:tcPr>
            <w:tcW w:w="685"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0～30</w:t>
            </w:r>
          </w:p>
        </w:tc>
        <w:tc>
          <w:tcPr>
            <w:tcW w:w="732"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95</w:t>
            </w:r>
          </w:p>
        </w:tc>
        <w:tc>
          <w:tcPr>
            <w:tcW w:w="779"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94</w:t>
            </w:r>
          </w:p>
        </w:tc>
        <w:tc>
          <w:tcPr>
            <w:tcW w:w="734"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8</w:t>
            </w:r>
          </w:p>
        </w:tc>
        <w:tc>
          <w:tcPr>
            <w:tcW w:w="707"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6</w:t>
            </w:r>
          </w:p>
        </w:tc>
        <w:tc>
          <w:tcPr>
            <w:tcW w:w="620"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10</w:t>
            </w:r>
          </w:p>
        </w:tc>
      </w:tr>
      <w:tr>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cantSplit/>
          <w:trHeight w:val="90" w:hRule="atLeast"/>
          <w:jc w:val="center"/>
        </w:trPr>
        <w:tc>
          <w:tcPr>
            <w:tcW w:w="739" w:type="pct"/>
            <w:gridSpan w:val="2"/>
            <w:vMerge w:val="continue"/>
            <w:shd w:val="clear" w:color="auto" w:fill="FABF8F"/>
            <w:vAlign w:val="center"/>
          </w:tcPr>
          <w:p>
            <w:pPr>
              <w:jc w:val="center"/>
              <w:rPr>
                <w:rFonts w:ascii="Times New Roman" w:hAnsi="Times New Roman"/>
                <w:b w:val="0"/>
                <w:bCs/>
                <w:color w:val="0000FF"/>
                <w:sz w:val="21"/>
                <w:szCs w:val="21"/>
              </w:rPr>
            </w:pPr>
          </w:p>
        </w:tc>
        <w:tc>
          <w:tcPr>
            <w:tcW w:w="685"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30～80</w:t>
            </w:r>
          </w:p>
        </w:tc>
        <w:tc>
          <w:tcPr>
            <w:tcW w:w="732"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93</w:t>
            </w:r>
          </w:p>
        </w:tc>
        <w:tc>
          <w:tcPr>
            <w:tcW w:w="779"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w:t>
            </w:r>
          </w:p>
        </w:tc>
        <w:tc>
          <w:tcPr>
            <w:tcW w:w="734"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5</w:t>
            </w:r>
          </w:p>
        </w:tc>
        <w:tc>
          <w:tcPr>
            <w:tcW w:w="707"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4</w:t>
            </w:r>
          </w:p>
        </w:tc>
        <w:tc>
          <w:tcPr>
            <w:tcW w:w="620" w:type="pct"/>
            <w:shd w:val="clear" w:color="auto" w:fill="CCFFFF"/>
            <w:vAlign w:val="center"/>
          </w:tcPr>
          <w:p>
            <w:pPr>
              <w:keepNext/>
              <w:keepLines/>
              <w:suppressLineNumbers/>
              <w:suppressAutoHyphens/>
              <w:ind w:firstLine="36"/>
              <w:jc w:val="center"/>
              <w:rPr>
                <w:rFonts w:ascii="Times New Roman" w:hAnsi="Times New Roman"/>
                <w:b w:val="0"/>
                <w:bCs/>
                <w:color w:val="0000FF"/>
                <w:sz w:val="21"/>
                <w:szCs w:val="21"/>
              </w:rPr>
            </w:pPr>
            <w:r>
              <w:rPr>
                <w:rFonts w:ascii="Times New Roman" w:hAnsi="Times New Roman"/>
                <w:b w:val="0"/>
                <w:bCs/>
                <w:color w:val="0000FF"/>
                <w:sz w:val="21"/>
                <w:szCs w:val="21"/>
              </w:rPr>
              <w:t>10</w:t>
            </w:r>
          </w:p>
        </w:tc>
      </w:tr>
    </w:tbl>
    <w:p>
      <w:pPr>
        <w:ind w:firstLine="420" w:firstLineChars="200"/>
        <w:rPr>
          <w:rFonts w:ascii="Times New Roman" w:hAnsi="Times New Roman"/>
          <w:b w:val="0"/>
          <w:color w:val="auto"/>
          <w:sz w:val="21"/>
          <w:szCs w:val="21"/>
        </w:rPr>
      </w:pPr>
      <w:r>
        <w:rPr>
          <w:rFonts w:ascii="Times New Roman" w:hAnsi="Times New Roman"/>
          <w:b w:val="0"/>
          <w:color w:val="auto"/>
          <w:sz w:val="21"/>
          <w:szCs w:val="21"/>
        </w:rPr>
        <w:t>注：①表列压实度数值系指按《公路土工试验规程》重型击实试验法求得的最大干密度的压实度。</w:t>
      </w:r>
    </w:p>
    <w:p>
      <w:pPr>
        <w:ind w:firstLine="420" w:firstLineChars="200"/>
        <w:rPr>
          <w:rFonts w:ascii="Times New Roman" w:hAnsi="Times New Roman"/>
          <w:b w:val="0"/>
          <w:color w:val="auto"/>
          <w:sz w:val="21"/>
          <w:szCs w:val="21"/>
        </w:rPr>
      </w:pPr>
      <w:r>
        <w:rPr>
          <w:rFonts w:ascii="Times New Roman" w:hAnsi="Times New Roman"/>
          <w:b w:val="0"/>
          <w:color w:val="auto"/>
          <w:sz w:val="21"/>
          <w:szCs w:val="21"/>
        </w:rPr>
        <w:t>②粗粒土填料的最大粒径，不应超过压实层厚度的2/3。</w:t>
      </w:r>
    </w:p>
    <w:p>
      <w:pPr>
        <w:spacing w:line="300" w:lineRule="auto"/>
        <w:ind w:firstLine="482" w:firstLineChars="200"/>
        <w:rPr>
          <w:rFonts w:ascii="Times New Roman" w:hAnsi="Times New Roman"/>
          <w:color w:val="000000" w:themeColor="text1"/>
          <w:sz w:val="24"/>
          <w14:textFill>
            <w14:solidFill>
              <w14:schemeClr w14:val="tx1"/>
            </w14:solidFill>
          </w14:textFill>
        </w:rPr>
      </w:pPr>
      <w:r>
        <w:rPr>
          <w:rFonts w:ascii="Times New Roman" w:hAnsi="Times New Roman"/>
          <w:color w:val="000000" w:themeColor="text1"/>
          <w:sz w:val="24"/>
          <w14:textFill>
            <w14:solidFill>
              <w14:schemeClr w14:val="tx1"/>
            </w14:solidFill>
          </w14:textFill>
        </w:rPr>
        <w:t>（二）一般填方路段</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对于填方路段，填土前应先将原地表进行清理，整平压实，有草去草，清表按30cm计。鱼塘范围应排干水并清淤，考虑本项目全线需进行软基处理，清淤按清除表层50cm浮泥计，为软基处理提供作业平台。路基处理后，再回填路基土。</w:t>
      </w:r>
    </w:p>
    <w:p>
      <w:pPr>
        <w:spacing w:line="300" w:lineRule="auto"/>
        <w:ind w:firstLine="482" w:firstLineChars="200"/>
        <w:rPr>
          <w:rFonts w:ascii="Times New Roman" w:hAnsi="Times New Roman"/>
          <w:color w:val="000000" w:themeColor="text1"/>
          <w:sz w:val="24"/>
          <w14:textFill>
            <w14:solidFill>
              <w14:schemeClr w14:val="tx1"/>
            </w14:solidFill>
          </w14:textFill>
        </w:rPr>
      </w:pPr>
      <w:r>
        <w:rPr>
          <w:rFonts w:ascii="Times New Roman" w:hAnsi="Times New Roman"/>
          <w:color w:val="000000" w:themeColor="text1"/>
          <w:sz w:val="24"/>
          <w14:textFill>
            <w14:solidFill>
              <w14:schemeClr w14:val="tx1"/>
            </w14:solidFill>
          </w14:textFill>
        </w:rPr>
        <w:t>（三）桥涵过渡段路基</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为减少路基在构造物两侧产生不均匀沉降，减轻桥头跳车现象，提高车辆行驶的舒适性，对桥头路基填筑进行特殊处理。台背过渡段设置在桥台与路基连接处，过渡段均采用石屑填筑、分层压实，石屑材料应均匀、密实,压实度满足最小96%的压实度要求。路床填料最大粒径应小于100mm,其中小于0.05mm的细粒料含量不应小于30%。机械无法施工的角落，采用小型打夯机进行夯击。台背回填部分的路床宜与路堤路床同步填筑。每一压实层均应检验压实度，经检验合格后方可填筑其上一层。压实度的检验方法按《公路工程质量检验评定标准JTGF80/1-2017》附录B检查。</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当桥台位于软基路段时,应结合桥台软基一起处理，详见软土路基设计方案章节。</w:t>
      </w:r>
    </w:p>
    <w:p>
      <w:pPr>
        <w:spacing w:line="300" w:lineRule="auto"/>
        <w:ind w:firstLine="482" w:firstLineChars="200"/>
        <w:rPr>
          <w:rFonts w:ascii="Times New Roman" w:hAnsi="Times New Roman"/>
          <w:color w:val="000000" w:themeColor="text1"/>
          <w:sz w:val="24"/>
          <w14:textFill>
            <w14:solidFill>
              <w14:schemeClr w14:val="tx1"/>
            </w14:solidFill>
          </w14:textFill>
        </w:rPr>
      </w:pPr>
      <w:r>
        <w:rPr>
          <w:rFonts w:ascii="Times New Roman" w:hAnsi="Times New Roman"/>
          <w:color w:val="000000" w:themeColor="text1"/>
          <w:sz w:val="24"/>
          <w14:textFill>
            <w14:solidFill>
              <w14:schemeClr w14:val="tx1"/>
            </w14:solidFill>
          </w14:textFill>
        </w:rPr>
        <w:t>（四）新旧路基衔接处理</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1）开挖台阶。对旧路边坡先拆除坡面排水圬工并平整场地后，以1:1.5的坡率开始削坡并开挖台阶，自上而下，逐层开挖，开挖一阶及时填筑一阶，台阶设倾向内侧4%的横向坡度，台阶一般按宽度200cm控制。</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2）铺设土工格栅。一般填土路段，为了减少路基拼接的差异沉降，在上下路床底面设置一层双向钢塑土工格栅，当路基边坡高度大于2m的时候，除原地面位置外，每层台阶顶面、路床顶面及底面均设置钢塑格栅，宽度为4m，土工格栅纵/横向拉伸强度不小于80KN/m，并要求纵横向标称伸长率不超过10%。整体式土工格栅应张拉均匀并用U形钢钉固定，钢钉用钢筋制作。铺设格珊的层面应平整，不得有片块石等坚硬凸出物，在距土工格栅10cm内以内的路基填料，其最大粒径不得大于12cm，格栅端部打入∅16mm短锚杆进行锚固。</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3）增强路基土的压实度。为确保地基及路基填筑的压实度，对拓宽范围内地基采取重型震动碾压，并每填筑1m进行补压一次，路基填筑至路床底面再补压一次，每次碾压遍数不少于20遍，对于新旧路基衔接台阶部位可根据实际情况适当增压。</w:t>
      </w:r>
    </w:p>
    <w:p>
      <w:pPr>
        <w:spacing w:line="300" w:lineRule="auto"/>
        <w:ind w:firstLine="482" w:firstLineChars="200"/>
        <w:rPr>
          <w:rFonts w:ascii="Times New Roman" w:hAnsi="Times New Roman"/>
          <w:bCs/>
          <w:color w:val="000000" w:themeColor="text1"/>
          <w:sz w:val="24"/>
          <w14:textFill>
            <w14:solidFill>
              <w14:schemeClr w14:val="tx1"/>
            </w14:solidFill>
          </w14:textFill>
        </w:rPr>
      </w:pPr>
      <w:r>
        <w:rPr>
          <w:rFonts w:ascii="Times New Roman" w:hAnsi="Times New Roman"/>
          <w:color w:val="000000" w:themeColor="text1"/>
          <w:sz w:val="24"/>
          <w14:textFill>
            <w14:solidFill>
              <w14:schemeClr w14:val="tx1"/>
            </w14:solidFill>
          </w14:textFill>
        </w:rPr>
        <w:t>（五）</w:t>
      </w:r>
      <w:r>
        <w:rPr>
          <w:rFonts w:ascii="Times New Roman" w:hAnsi="Times New Roman"/>
          <w:bCs/>
          <w:color w:val="000000" w:themeColor="text1"/>
          <w:sz w:val="24"/>
          <w14:textFill>
            <w14:solidFill>
              <w14:schemeClr w14:val="tx1"/>
            </w14:solidFill>
          </w14:textFill>
        </w:rPr>
        <w:t>陡坡路基</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稳定斜坡上地基表层的处理(含一般路基加宽挖台阶)，应符合下列要求：</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1)、地面横坡缓于1:5时，在清除地表草皮、腐殖土后，可直接在天然地面上填筑路堤。</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2)、地面横坡陡于1:5时，原地面应挖台阶，台阶宽度为2m，高度大于50cm。每级台阶底部挖成向内倾斜4%的反坡并铺设4m宽的双向土工格栅。</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3)、鱼塘段塘梗考虑进行整平处理。</w:t>
      </w:r>
    </w:p>
    <w:p>
      <w:pPr>
        <w:pStyle w:val="5"/>
        <w:ind w:firstLine="482" w:firstLineChars="200"/>
        <w:rPr>
          <w:rFonts w:ascii="Times New Roman" w:hAnsi="Times New Roman"/>
        </w:rPr>
      </w:pPr>
      <w:r>
        <w:rPr>
          <w:rFonts w:ascii="Times New Roman" w:hAnsi="Times New Roman"/>
        </w:rPr>
        <w:t>边坡防护</w:t>
      </w:r>
    </w:p>
    <w:p>
      <w:pPr>
        <w:spacing w:line="300" w:lineRule="auto"/>
        <w:ind w:firstLine="482" w:firstLineChars="200"/>
        <w:rPr>
          <w:rFonts w:ascii="Times New Roman" w:hAnsi="Times New Roman"/>
          <w:color w:val="000000" w:themeColor="text1"/>
          <w:sz w:val="24"/>
          <w14:textFill>
            <w14:solidFill>
              <w14:schemeClr w14:val="tx1"/>
            </w14:solidFill>
          </w14:textFill>
        </w:rPr>
      </w:pPr>
      <w:r>
        <w:rPr>
          <w:rFonts w:ascii="Times New Roman" w:hAnsi="Times New Roman"/>
          <w:color w:val="000000" w:themeColor="text1"/>
          <w:sz w:val="24"/>
          <w14:textFill>
            <w14:solidFill>
              <w14:schemeClr w14:val="tx1"/>
            </w14:solidFill>
          </w14:textFill>
        </w:rPr>
        <w:t>1）边坡坡率</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道路的路基型式以填方路堤为主，填土高度均小于8m，路堤边坡坡率采用1：1.5。</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陡坡路堤设计结合地形、地质条件、边坡高度等进行综合考虑。当地面横坡陡于1：5时，对基底进行挖台阶处理，原地面开挖不小于2.0m宽向内倾斜2%～4%的台阶。</w:t>
      </w:r>
    </w:p>
    <w:p>
      <w:pPr>
        <w:spacing w:line="300" w:lineRule="auto"/>
        <w:ind w:firstLine="482" w:firstLineChars="200"/>
        <w:rPr>
          <w:rFonts w:ascii="Times New Roman" w:hAnsi="Times New Roman"/>
          <w:color w:val="000000" w:themeColor="text1"/>
          <w:sz w:val="24"/>
          <w14:textFill>
            <w14:solidFill>
              <w14:schemeClr w14:val="tx1"/>
            </w14:solidFill>
          </w14:textFill>
        </w:rPr>
      </w:pPr>
      <w:r>
        <w:rPr>
          <w:rFonts w:ascii="Times New Roman" w:hAnsi="Times New Roman"/>
          <w:color w:val="000000" w:themeColor="text1"/>
          <w:sz w:val="24"/>
          <w14:textFill>
            <w14:solidFill>
              <w14:schemeClr w14:val="tx1"/>
            </w14:solidFill>
          </w14:textFill>
        </w:rPr>
        <w:t>2）边坡防护</w:t>
      </w:r>
    </w:p>
    <w:p>
      <w:pPr>
        <w:spacing w:line="360" w:lineRule="auto"/>
        <w:ind w:firstLine="482" w:firstLineChars="200"/>
        <w:jc w:val="center"/>
        <w:rPr>
          <w:rFonts w:ascii="Times New Roman" w:hAnsi="Times New Roman"/>
          <w:color w:val="auto"/>
          <w:sz w:val="24"/>
          <w:szCs w:val="24"/>
        </w:rPr>
      </w:pPr>
      <w:r>
        <w:rPr>
          <w:rFonts w:ascii="Times New Roman" w:hAnsi="Times New Roman"/>
          <w:color w:val="auto"/>
          <w:sz w:val="24"/>
          <w:szCs w:val="24"/>
        </w:rPr>
        <w:drawing>
          <wp:inline distT="0" distB="0" distL="0" distR="0">
            <wp:extent cx="5762625" cy="2276475"/>
            <wp:effectExtent l="0" t="0" r="9525" b="9525"/>
            <wp:docPr id="21504" name="图片 2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4" name="图片 2150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a:xfrm>
                      <a:off x="0" y="0"/>
                      <a:ext cx="5762625" cy="2276475"/>
                    </a:xfrm>
                    <a:prstGeom prst="rect">
                      <a:avLst/>
                    </a:prstGeom>
                    <a:noFill/>
                    <a:ln>
                      <a:noFill/>
                    </a:ln>
                  </pic:spPr>
                </pic:pic>
              </a:graphicData>
            </a:graphic>
          </wp:inline>
        </w:drawing>
      </w:r>
    </w:p>
    <w:p>
      <w:pPr>
        <w:spacing w:line="300" w:lineRule="auto"/>
        <w:ind w:firstLine="422" w:firstLineChars="200"/>
        <w:jc w:val="center"/>
        <w:rPr>
          <w:rFonts w:ascii="Times New Roman" w:hAnsi="Times New Roman"/>
          <w:color w:val="000000" w:themeColor="text1"/>
          <w:sz w:val="21"/>
          <w14:textFill>
            <w14:solidFill>
              <w14:schemeClr w14:val="tx1"/>
            </w14:solidFill>
          </w14:textFill>
        </w:rPr>
      </w:pPr>
      <w:r>
        <w:rPr>
          <w:rFonts w:ascii="Times New Roman" w:hAnsi="Times New Roman"/>
          <w:color w:val="000000" w:themeColor="text1"/>
          <w:sz w:val="21"/>
          <w14:textFill>
            <w14:solidFill>
              <w14:schemeClr w14:val="tx1"/>
            </w14:solidFill>
          </w14:textFill>
        </w:rPr>
        <w:t>边坡防护效果图</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在满足路基边坡稳定的前提下，路堤防护充分考虑环保和景观要求，采用以植物防护为主、工程防护为辅的原则。</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当填土高度小于4m时，采用一般植草防护。受内涝影响地段，路基在设计水位影响范围内采用M7.5浆砌片石满铺防护。</w:t>
      </w:r>
    </w:p>
    <w:p>
      <w:pPr>
        <w:autoSpaceDE w:val="0"/>
        <w:autoSpaceDN w:val="0"/>
        <w:adjustRightInd w:val="0"/>
        <w:spacing w:line="300" w:lineRule="auto"/>
        <w:ind w:firstLine="482" w:firstLineChars="200"/>
        <w:rPr>
          <w:rFonts w:ascii="Times New Roman" w:hAnsi="Times New Roman"/>
          <w:color w:val="auto"/>
          <w:sz w:val="24"/>
          <w:szCs w:val="24"/>
        </w:rPr>
      </w:pPr>
      <w:r>
        <w:rPr>
          <w:rFonts w:ascii="Times New Roman" w:hAnsi="Times New Roman"/>
          <w:color w:val="auto"/>
          <w:sz w:val="24"/>
          <w:szCs w:val="24"/>
        </w:rPr>
        <w:t>3）当路堤边坡高度4m&lt;H时</w:t>
      </w:r>
    </w:p>
    <w:p>
      <w:pPr>
        <w:autoSpaceDE w:val="0"/>
        <w:autoSpaceDN w:val="0"/>
        <w:adjustRightInd w:val="0"/>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采用三维网喷播植草防护，其边坡坡率采用1:1.5。当填方高度大于8m时，边坡按8m分级，根据各工地的地质情况，边坡坡率为1:1.5～1:2。</w:t>
      </w:r>
    </w:p>
    <w:p>
      <w:pPr>
        <w:pStyle w:val="5"/>
        <w:ind w:firstLine="482" w:firstLineChars="200"/>
        <w:rPr>
          <w:rFonts w:ascii="Times New Roman" w:hAnsi="Times New Roman"/>
        </w:rPr>
      </w:pPr>
      <w:r>
        <w:rPr>
          <w:rFonts w:ascii="Times New Roman" w:hAnsi="Times New Roman"/>
        </w:rPr>
        <w:t>本项目土方平衡设计</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基于旧路改造项目场地平整，且为缺土区，本次设计通过有效控制道路坡长及坡度，尽量在满足控制标高的条件下，减少道路土方数量，实现土方的尽量平衡合理。项目周边无取弃土场地，本工程新建路基部分路基土需外借。建议综合考虑本工程周边其他在建项目所出的土方，可调运至本项目综合利用，从大区域角度考虑实现土方平衡。</w:t>
      </w:r>
    </w:p>
    <w:p>
      <w:pPr>
        <w:pStyle w:val="5"/>
        <w:ind w:firstLine="482" w:firstLineChars="200"/>
        <w:rPr>
          <w:rFonts w:ascii="Times New Roman" w:hAnsi="Times New Roman"/>
        </w:rPr>
      </w:pPr>
      <w:r>
        <w:rPr>
          <w:rFonts w:ascii="Times New Roman" w:hAnsi="Times New Roman"/>
        </w:rPr>
        <w:t>路基排水设计</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1）路基排水考虑因素</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排除坡面水，保证路基稳定并满足当地排洪、湿地水系影响的需求。</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2）排水沟的设置</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填方高度较大的路基，在坡脚设置排水沟。</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3）排水沟的结构设计</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排水沟深度和宽度均为60cm，厚度为30cm。</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4）道路沿线经过大片鱼塘、湿地，为避免道路排水对水系的影响，设置沟渠，沟渠与排水沟整体设计。</w:t>
      </w:r>
    </w:p>
    <w:p>
      <w:pPr>
        <w:pStyle w:val="4"/>
        <w:ind w:firstLine="482" w:firstLineChars="200"/>
      </w:pPr>
      <w:bookmarkStart w:id="158" w:name="_Toc31898"/>
      <w:bookmarkStart w:id="159" w:name="_Toc18973"/>
      <w:r>
        <w:t>特殊路基处理设计</w:t>
      </w:r>
      <w:bookmarkEnd w:id="158"/>
      <w:bookmarkEnd w:id="159"/>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现阶段无本项目勘察资料，仅参考周边项目勘察资料，下阶段根据勘察资料进一步优化。</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根据周边项目钻孔资料,在附近场地在勘察深度范围内的地层主要为:第四系全新统海陆交互沉积层(Q4mc)淤泥、粉质粘土、淤泥质土、砂质粘性土、粉细砂、全风化仿花岗岩、强风化仿花岗岩等。软土埋深0~26m，厚度30~44m，本区块建议后期根据初步钻孔资料做相应调整。本场地分布的淤泥质土、淤泥及淤泥质粉细砂，呈流塑-软塑状,.具有高孔隙度、高压缩性、高富水性、低透水性和富含有机质等特征,以及触变性、流变性等工程性能。属强度低、稳定性差、变形量大、承载力低、易引起构筑物不均匀沉降的软弱地基土。</w:t>
      </w:r>
    </w:p>
    <w:p>
      <w:pPr>
        <w:widowControl/>
        <w:shd w:val="clear" w:color="auto" w:fill="FDFDFE"/>
        <w:spacing w:line="360" w:lineRule="auto"/>
        <w:ind w:firstLine="480" w:firstLineChars="200"/>
        <w:jc w:val="left"/>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highlight w:val="magenta"/>
          <w14:textFill>
            <w14:solidFill>
              <w14:schemeClr w14:val="tx1"/>
            </w14:solidFill>
          </w14:textFill>
        </w:rPr>
        <w:t>在深厚软土地区，道路</w:t>
      </w:r>
      <w:r>
        <w:rPr>
          <w:rFonts w:hint="eastAsia" w:ascii="Times New Roman" w:hAnsi="Times New Roman"/>
          <w:b w:val="0"/>
          <w:color w:val="000000" w:themeColor="text1"/>
          <w:sz w:val="24"/>
          <w:highlight w:val="magenta"/>
          <w14:textFill>
            <w14:solidFill>
              <w14:schemeClr w14:val="tx1"/>
            </w14:solidFill>
          </w14:textFill>
        </w:rPr>
        <w:t>工程具有如下特点</w:t>
      </w:r>
      <w:r>
        <w:rPr>
          <w:rFonts w:ascii="Times New Roman" w:hAnsi="Times New Roman"/>
          <w:b w:val="0"/>
          <w:color w:val="000000" w:themeColor="text1"/>
          <w:sz w:val="24"/>
          <w:highlight w:val="magenta"/>
          <w14:textFill>
            <w14:solidFill>
              <w14:schemeClr w14:val="tx1"/>
            </w14:solidFill>
          </w14:textFill>
        </w:rPr>
        <w:t>：</w:t>
      </w:r>
      <w:r>
        <w:rPr>
          <w:rFonts w:hint="eastAsia"/>
          <w:b w:val="0"/>
          <w:color w:val="000000" w:themeColor="text1"/>
          <w:sz w:val="24"/>
          <w:highlight w:val="magenta"/>
          <w14:textFill>
            <w14:solidFill>
              <w14:schemeClr w14:val="tx1"/>
            </w14:solidFill>
          </w14:textFill>
        </w:rPr>
        <w:t>1)</w:t>
      </w:r>
      <w:r>
        <w:rPr>
          <w:rFonts w:ascii="Times New Roman" w:hAnsi="Times New Roman"/>
          <w:b w:val="0"/>
          <w:color w:val="000000" w:themeColor="text1"/>
          <w:sz w:val="24"/>
          <w:highlight w:val="magenta"/>
          <w14:textFill>
            <w14:solidFill>
              <w14:schemeClr w14:val="tx1"/>
            </w14:solidFill>
          </w14:textFill>
        </w:rPr>
        <w:t>软土地基具有高压缩性、抗剪强度低、透水性小、触变性和流变性等特点，这些都可能导致地基强度不足，影响道路的稳定性和安全性。</w:t>
      </w:r>
      <w:r>
        <w:rPr>
          <w:rFonts w:hint="eastAsia" w:ascii="Times New Roman" w:hAnsi="Times New Roman"/>
          <w:b w:val="0"/>
          <w:color w:val="000000" w:themeColor="text1"/>
          <w:sz w:val="24"/>
          <w:highlight w:val="magenta"/>
          <w14:textFill>
            <w14:solidFill>
              <w14:schemeClr w14:val="tx1"/>
            </w14:solidFill>
          </w14:textFill>
        </w:rPr>
        <w:t>2)</w:t>
      </w:r>
      <w:r>
        <w:rPr>
          <w:rFonts w:ascii="Times New Roman" w:hAnsi="Times New Roman"/>
          <w:b w:val="0"/>
          <w:color w:val="000000" w:themeColor="text1"/>
          <w:sz w:val="24"/>
          <w:highlight w:val="magenta"/>
          <w14:textFill>
            <w14:solidFill>
              <w14:schemeClr w14:val="tx1"/>
            </w14:solidFill>
          </w14:textFill>
        </w:rPr>
        <w:t>由于软土地基的强度和稳定性不足，在外加荷载作用下，地基容易发生变形和破坏，导致道路的沉降、开裂等问题，严重影响道路的使用功能。</w:t>
      </w:r>
      <w:r>
        <w:rPr>
          <w:rFonts w:hint="eastAsia" w:ascii="Times New Roman" w:hAnsi="Times New Roman"/>
          <w:b w:val="0"/>
          <w:color w:val="000000" w:themeColor="text1"/>
          <w:sz w:val="24"/>
          <w:highlight w:val="magenta"/>
          <w14:textFill>
            <w14:solidFill>
              <w14:schemeClr w14:val="tx1"/>
            </w14:solidFill>
          </w14:textFill>
        </w:rPr>
        <w:t>3)</w:t>
      </w:r>
      <w:r>
        <w:rPr>
          <w:rFonts w:ascii="Times New Roman" w:hAnsi="Times New Roman"/>
          <w:b w:val="0"/>
          <w:color w:val="000000" w:themeColor="text1"/>
          <w:sz w:val="24"/>
          <w:highlight w:val="magenta"/>
          <w14:textFill>
            <w14:solidFill>
              <w14:schemeClr w14:val="tx1"/>
            </w14:solidFill>
          </w14:textFill>
        </w:rPr>
        <w:t>为了确保深厚软土地区道路的稳定性和安全性，必须对地基进行处理。处理的目的包括提高地基的抗剪强度、降低地基的压缩性、改善</w:t>
      </w:r>
      <w:r>
        <w:rPr>
          <w:rFonts w:hint="eastAsia" w:ascii="Times New Roman" w:hAnsi="Times New Roman"/>
          <w:b w:val="0"/>
          <w:color w:val="000000" w:themeColor="text1"/>
          <w:sz w:val="24"/>
          <w:highlight w:val="magenta"/>
          <w14:textFill>
            <w14:solidFill>
              <w14:schemeClr w14:val="tx1"/>
            </w14:solidFill>
          </w14:textFill>
        </w:rPr>
        <w:t>软土</w:t>
      </w:r>
      <w:r>
        <w:rPr>
          <w:rFonts w:ascii="Times New Roman" w:hAnsi="Times New Roman"/>
          <w:b w:val="0"/>
          <w:color w:val="000000" w:themeColor="text1"/>
          <w:sz w:val="24"/>
          <w:highlight w:val="magenta"/>
          <w14:textFill>
            <w14:solidFill>
              <w14:schemeClr w14:val="tx1"/>
            </w14:solidFill>
          </w14:textFill>
        </w:rPr>
        <w:t>的不良特性。通过有效的地基处理，可以增强道路地基的承载能力，防止变形和开裂等问题，提高道路的使用寿命和安全性。因此，对于深厚软土地区道路的建设，地基处理是非常重要的环节，须对软基进行处理，以确保道路的稳定性和安全性</w:t>
      </w:r>
      <w:r>
        <w:rPr>
          <w:rFonts w:hint="eastAsia" w:ascii="Times New Roman" w:hAnsi="Times New Roman"/>
          <w:b w:val="0"/>
          <w:color w:val="000000" w:themeColor="text1"/>
          <w:sz w:val="24"/>
          <w:highlight w:val="magenta"/>
          <w14:textFill>
            <w14:solidFill>
              <w14:schemeClr w14:val="tx1"/>
            </w14:solidFill>
          </w14:textFill>
        </w:rPr>
        <w:t>，</w:t>
      </w:r>
      <w:r>
        <w:rPr>
          <w:rFonts w:ascii="Times New Roman" w:hAnsi="Times New Roman"/>
          <w:b w:val="0"/>
          <w:color w:val="000000" w:themeColor="text1"/>
          <w:sz w:val="24"/>
          <w:highlight w:val="magenta"/>
          <w14:textFill>
            <w14:solidFill>
              <w14:schemeClr w14:val="tx1"/>
            </w14:solidFill>
          </w14:textFill>
        </w:rPr>
        <w:t>软基处理</w:t>
      </w:r>
      <w:r>
        <w:rPr>
          <w:rFonts w:hint="eastAsia" w:ascii="Times New Roman" w:hAnsi="Times New Roman"/>
          <w:b w:val="0"/>
          <w:color w:val="000000" w:themeColor="text1"/>
          <w:sz w:val="24"/>
          <w:highlight w:val="magenta"/>
          <w14:textFill>
            <w14:solidFill>
              <w14:schemeClr w14:val="tx1"/>
            </w14:solidFill>
          </w14:textFill>
        </w:rPr>
        <w:t>是</w:t>
      </w:r>
      <w:r>
        <w:rPr>
          <w:rFonts w:ascii="Times New Roman" w:hAnsi="Times New Roman"/>
          <w:b w:val="0"/>
          <w:color w:val="000000" w:themeColor="text1"/>
          <w:sz w:val="24"/>
          <w:highlight w:val="magenta"/>
          <w14:textFill>
            <w14:solidFill>
              <w14:schemeClr w14:val="tx1"/>
            </w14:solidFill>
          </w14:textFill>
        </w:rPr>
        <w:t>必要</w:t>
      </w:r>
      <w:r>
        <w:rPr>
          <w:rFonts w:hint="eastAsia" w:ascii="Times New Roman" w:hAnsi="Times New Roman"/>
          <w:b w:val="0"/>
          <w:color w:val="000000" w:themeColor="text1"/>
          <w:sz w:val="24"/>
          <w:highlight w:val="magenta"/>
          <w14:textFill>
            <w14:solidFill>
              <w14:schemeClr w14:val="tx1"/>
            </w14:solidFill>
          </w14:textFill>
        </w:rPr>
        <w:t>的</w:t>
      </w:r>
      <w:r>
        <w:rPr>
          <w:rFonts w:ascii="Times New Roman" w:hAnsi="Times New Roman"/>
          <w:b w:val="0"/>
          <w:color w:val="000000" w:themeColor="text1"/>
          <w:sz w:val="24"/>
          <w:highlight w:val="magenta"/>
          <w14:textFill>
            <w14:solidFill>
              <w14:schemeClr w14:val="tx1"/>
            </w14:solidFill>
          </w14:textFill>
        </w:rPr>
        <w:t>。</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软土地基处理工后沉降控制标准根据规范采用为：</w:t>
      </w:r>
    </w:p>
    <w:p>
      <w:pPr>
        <w:spacing w:line="300" w:lineRule="auto"/>
        <w:ind w:firstLine="478" w:firstLineChars="200"/>
        <w:jc w:val="center"/>
        <w:rPr>
          <w:rFonts w:ascii="Times New Roman" w:hAnsi="Times New Roman"/>
          <w:spacing w:val="-1"/>
          <w:sz w:val="24"/>
          <w:szCs w:val="24"/>
          <w14:textOutline w14:w="3048" w14:cap="flat" w14:cmpd="sng" w14:algn="ctr">
            <w14:solidFill>
              <w14:srgbClr w14:val="000000"/>
            </w14:solidFill>
            <w14:prstDash w14:val="solid"/>
            <w14:miter w14:val="0"/>
          </w14:textOutline>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工后沉降控制标准</w:t>
      </w:r>
    </w:p>
    <w:tbl>
      <w:tblPr>
        <w:tblStyle w:val="379"/>
        <w:tblW w:w="10368"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596"/>
        <w:gridCol w:w="2586"/>
        <w:gridCol w:w="2586"/>
        <w:gridCol w:w="260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5" w:hRule="atLeast"/>
        </w:trPr>
        <w:tc>
          <w:tcPr>
            <w:tcW w:w="2596" w:type="dxa"/>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2586" w:type="dxa"/>
          </w:tcPr>
          <w:p>
            <w:pPr>
              <w:pStyle w:val="391"/>
              <w:autoSpaceDE w:val="0"/>
              <w:autoSpaceDN w:val="0"/>
              <w:spacing w:before="100" w:line="220" w:lineRule="auto"/>
              <w:ind w:left="33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桥台与路堤相邻处</w:t>
            </w:r>
          </w:p>
        </w:tc>
        <w:tc>
          <w:tcPr>
            <w:tcW w:w="2586" w:type="dxa"/>
          </w:tcPr>
          <w:p>
            <w:pPr>
              <w:pStyle w:val="391"/>
              <w:autoSpaceDE w:val="0"/>
              <w:autoSpaceDN w:val="0"/>
              <w:spacing w:before="100" w:line="221" w:lineRule="auto"/>
              <w:ind w:left="58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涵洞、通道处</w:t>
            </w:r>
          </w:p>
        </w:tc>
        <w:tc>
          <w:tcPr>
            <w:tcW w:w="2600" w:type="dxa"/>
          </w:tcPr>
          <w:p>
            <w:pPr>
              <w:pStyle w:val="391"/>
              <w:autoSpaceDE w:val="0"/>
              <w:autoSpaceDN w:val="0"/>
              <w:spacing w:before="100" w:line="220" w:lineRule="auto"/>
              <w:ind w:left="82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一般路段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0" w:hRule="atLeast"/>
        </w:trPr>
        <w:tc>
          <w:tcPr>
            <w:tcW w:w="2596" w:type="dxa"/>
          </w:tcPr>
          <w:p>
            <w:pPr>
              <w:pStyle w:val="391"/>
              <w:autoSpaceDE w:val="0"/>
              <w:autoSpaceDN w:val="0"/>
              <w:spacing w:before="78" w:line="219" w:lineRule="auto"/>
              <w:ind w:left="95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主干路</w:t>
            </w:r>
          </w:p>
        </w:tc>
        <w:tc>
          <w:tcPr>
            <w:tcW w:w="2586" w:type="dxa"/>
          </w:tcPr>
          <w:p>
            <w:pPr>
              <w:pStyle w:val="391"/>
              <w:autoSpaceDE w:val="0"/>
              <w:autoSpaceDN w:val="0"/>
              <w:spacing w:before="115" w:line="184" w:lineRule="auto"/>
              <w:ind w:left="10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0.10m</w:t>
            </w:r>
          </w:p>
        </w:tc>
        <w:tc>
          <w:tcPr>
            <w:tcW w:w="2586" w:type="dxa"/>
          </w:tcPr>
          <w:p>
            <w:pPr>
              <w:pStyle w:val="391"/>
              <w:autoSpaceDE w:val="0"/>
              <w:autoSpaceDN w:val="0"/>
              <w:spacing w:before="116" w:line="183" w:lineRule="auto"/>
              <w:ind w:left="100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0.20m</w:t>
            </w:r>
          </w:p>
        </w:tc>
        <w:tc>
          <w:tcPr>
            <w:tcW w:w="2600" w:type="dxa"/>
          </w:tcPr>
          <w:p>
            <w:pPr>
              <w:pStyle w:val="391"/>
              <w:autoSpaceDE w:val="0"/>
              <w:autoSpaceDN w:val="0"/>
              <w:spacing w:before="116" w:line="183" w:lineRule="auto"/>
              <w:ind w:left="100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0.30m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4" w:hRule="atLeast"/>
        </w:trPr>
        <w:tc>
          <w:tcPr>
            <w:tcW w:w="2596" w:type="dxa"/>
          </w:tcPr>
          <w:p>
            <w:pPr>
              <w:pStyle w:val="391"/>
              <w:autoSpaceDE w:val="0"/>
              <w:autoSpaceDN w:val="0"/>
              <w:spacing w:before="80" w:line="219" w:lineRule="auto"/>
              <w:ind w:left="59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次干路及支路</w:t>
            </w:r>
          </w:p>
        </w:tc>
        <w:tc>
          <w:tcPr>
            <w:tcW w:w="2586" w:type="dxa"/>
          </w:tcPr>
          <w:p>
            <w:pPr>
              <w:pStyle w:val="391"/>
              <w:autoSpaceDE w:val="0"/>
              <w:autoSpaceDN w:val="0"/>
              <w:spacing w:before="118" w:line="183" w:lineRule="auto"/>
              <w:ind w:left="10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0.20m</w:t>
            </w:r>
          </w:p>
        </w:tc>
        <w:tc>
          <w:tcPr>
            <w:tcW w:w="2586" w:type="dxa"/>
          </w:tcPr>
          <w:p>
            <w:pPr>
              <w:pStyle w:val="391"/>
              <w:autoSpaceDE w:val="0"/>
              <w:autoSpaceDN w:val="0"/>
              <w:spacing w:before="118" w:line="183" w:lineRule="auto"/>
              <w:ind w:left="100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0.30m</w:t>
            </w:r>
          </w:p>
        </w:tc>
        <w:tc>
          <w:tcPr>
            <w:tcW w:w="2600" w:type="dxa"/>
          </w:tcPr>
          <w:p>
            <w:pPr>
              <w:pStyle w:val="391"/>
              <w:autoSpaceDE w:val="0"/>
              <w:autoSpaceDN w:val="0"/>
              <w:spacing w:before="118" w:line="183" w:lineRule="auto"/>
              <w:ind w:left="100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0.50m</w:t>
            </w:r>
          </w:p>
        </w:tc>
      </w:tr>
    </w:tbl>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1、软土地基处理方法和适用条件</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本工程所经区域分布均分布有软土，且厚度较大，力学性质较差。为保证路堤稳定性，减小工后沉降和差异沉降，提高道路行驶舒适性，必须对新建道路进行软基处理，满足稳定、沉降及满足构造物的承载力要求。</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珠三角地区较常釆用的软基处理工艺有：塑料排水板（袋装砂井）堆载预压、塑料排水板（袋</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装砂井）真空预压、水泥搅拌桩、CFG桩、预应力混凝土管桩等。</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（1）浅层换填</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将软基表面不适宜做路基的土层挖出，回填适宜的材料，本方法处理深度较低，但造价较低。</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（2）水泥搅拌桩</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它是利用水泥作为固化剂的主剂，通过特别的深层搅拌机械，在地基深处就地将软土和固化剂强制搅拌，形成坚硬的拌和柱体，与原地层形成复合地基。它分为浆喷法和粉喷法两种，当土质的天然含水量大干30%、塑性指数大干10时宜釆用粉喷法，且粉喷法在相同的搅拌时间内要比浆喷法获得的强度要高，强度的离散性要小；但粉喷法没有浆喷法施工简单，其施工质量也没有浆喷法容易控制。由于其工程单价较高，对整体工程造价影响较大。</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（3）钉形水泥土双向搅拌桩</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所谓钉形水泥土双向搅拌桩，就是在水泥土搅拌桩成桩过程中，由动力系统分别带动安装在同心</w:t>
      </w:r>
      <w:r>
        <w:rPr>
          <w:rFonts w:hint="eastAsia" w:ascii="Times New Roman" w:hAnsi="Times New Roman"/>
          <w:b w:val="0"/>
          <w:color w:val="000000" w:themeColor="text1"/>
          <w:sz w:val="24"/>
          <w14:textFill>
            <w14:solidFill>
              <w14:schemeClr w14:val="tx1"/>
            </w14:solidFill>
          </w14:textFill>
        </w:rPr>
        <w:t>钻杆</w:t>
      </w:r>
      <w:r>
        <w:rPr>
          <w:rFonts w:ascii="Times New Roman" w:hAnsi="Times New Roman"/>
          <w:b w:val="0"/>
          <w:color w:val="000000" w:themeColor="text1"/>
          <w:sz w:val="24"/>
          <w14:textFill>
            <w14:solidFill>
              <w14:schemeClr w14:val="tx1"/>
            </w14:solidFill>
          </w14:textFill>
        </w:rPr>
        <w:t>上的内、外两组搅拌叶片同时正、反向旋转搅拌，通过搅拌叶片的伸缩使桩身上部截面扩大而形成的类似钉子形状的水泥土搅拌桩。桩机设备主要有底盘、支架、箱体、同心双轴</w:t>
      </w:r>
      <w:r>
        <w:rPr>
          <w:rFonts w:hint="eastAsia" w:ascii="Times New Roman" w:hAnsi="Times New Roman"/>
          <w:b w:val="0"/>
          <w:color w:val="000000" w:themeColor="text1"/>
          <w:sz w:val="24"/>
          <w14:textFill>
            <w14:solidFill>
              <w14:schemeClr w14:val="tx1"/>
            </w14:solidFill>
          </w14:textFill>
        </w:rPr>
        <w:t>钻杆</w:t>
      </w:r>
      <w:r>
        <w:rPr>
          <w:rFonts w:ascii="Times New Roman" w:hAnsi="Times New Roman"/>
          <w:b w:val="0"/>
          <w:color w:val="000000" w:themeColor="text1"/>
          <w:sz w:val="24"/>
          <w14:textFill>
            <w14:solidFill>
              <w14:schemeClr w14:val="tx1"/>
            </w14:solidFill>
          </w14:textFill>
        </w:rPr>
        <w:t>、自动伸缩钻头等。桩径50～150cm地基处理深度达25m，地基承载力较普通水泥搅拌桩复合地基有较大提高。</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（4）CFG桩</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由水泥、粉煤灰和碎石或石屑形成的一种可变强度桩，与褥垫层形成一种刚性复合地基。可以显著降低地基</w:t>
      </w:r>
      <w:r>
        <w:rPr>
          <w:rFonts w:hint="eastAsia" w:ascii="Times New Roman" w:hAnsi="Times New Roman"/>
          <w:b w:val="0"/>
          <w:color w:val="000000" w:themeColor="text1"/>
          <w:sz w:val="24"/>
          <w14:textFill>
            <w14:solidFill>
              <w14:schemeClr w14:val="tx1"/>
            </w14:solidFill>
          </w14:textFill>
        </w:rPr>
        <w:t>沉降</w:t>
      </w:r>
      <w:r>
        <w:rPr>
          <w:rFonts w:ascii="Times New Roman" w:hAnsi="Times New Roman"/>
          <w:b w:val="0"/>
          <w:color w:val="000000" w:themeColor="text1"/>
          <w:sz w:val="24"/>
          <w14:textFill>
            <w14:solidFill>
              <w14:schemeClr w14:val="tx1"/>
            </w14:solidFill>
          </w14:textFill>
        </w:rPr>
        <w:t>，提高地基承载能力。处理深度能达到25m，成功的处理例子效果良好。但是成桩率低，造价相对的稍贵。常规的成桩工艺主要有振动沉管、和长螺旋管泵压。</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（5）预应力混凝土管桩</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混凝土管桩是考虑桩-承台-基土-土工织物-路堤协调作用，大部分荷载由桩体承担，同时充分发挥桩间土的承载潜力。适用于软土厚度≥20m，常用的间距为2.0m~4.0m。具有抗挤土效应能力强，符合地基质量容易保证，施工速度快，使用深度达70m；采用静压法施工时，对周围环境影响最少，造价较高等特点。</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（6）轻质路堤</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轻质路堤常采用材料是泡沫轻质土。泡沫轻质土是利用其轻质性、直立性、高流动性、不可压缩及高强性、密度和强度可调节性、施工便捷性的特点来大幅降低填土荷载，减少地基的附加应力，抑制地基的不均匀沉降和侧移，提高路基的稳定性；有效消除填料自身的工后沉降和解决台背压实难问题。</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泡沫轻质土是用物理方法将专用泡沫剂水溶液制备成所需要的泡沫，与水泥基胶凝材料、水、必要的集料（包括粉煤灰、矿渣、脱硫石膏及选矿尾砂等工业废料）及外加剂等按照一定的比例均匀混合搅拌，并经物理化学作用硬化形成的一种轻质高强材料。</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(7）排水固结法</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排水固结法加固软土地基的原理是在软基表层施加等于或大于设计使用荷载，经施工期的预压后，完成大部分或绝大部分的沉降，预压完成后卸去预压荷载，地基有些许回弹。交付使用后，地基承受使用荷载再次沉降，但沉降的量很小，仅为卸载时的回弹量加剩余沉降量，达到减少地基工后沉降和提高地基承载力的目的。</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堆载预压法的优点是原理清晰、工艺简单、效果显著，缺点是需要大量的路基填料，加载速率较慢，特别是对于填土高度较小路段，地基土固结时间较长，导致施工周期较长。对于填土较高路段，由于地基土主固结尚未完成，路堤在加载过程中存在出现地基失稳现象的可能。</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真空预压法的优点是加荷速度快，无需堆载材料，加荷中不会出现地基失稳现象，因此施工工期相对较短，但缺点是它能施加的最大压力只有95kPa左右，如要再高，则必需与堆载预压法等联合使用。同时，由于真空预压法工序较复杂，施工过程中容易出现漏气和真空度达不到要求等情况，因此其对施工要求较高。</w:t>
      </w:r>
    </w:p>
    <w:p>
      <w:pPr>
        <w:spacing w:before="183" w:line="220" w:lineRule="auto"/>
        <w:ind w:left="4207" w:firstLine="478" w:firstLineChars="200"/>
        <w:rPr>
          <w:rFonts w:ascii="Times New Roman" w:hAnsi="Times New Roman"/>
          <w:sz w:val="24"/>
          <w:szCs w:val="24"/>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软基处理工艺比较表</w:t>
      </w:r>
    </w:p>
    <w:tbl>
      <w:tblPr>
        <w:tblStyle w:val="32"/>
        <w:tblW w:w="4800" w:type="pct"/>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920"/>
        <w:gridCol w:w="4018"/>
        <w:gridCol w:w="3939"/>
      </w:tblGrid>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0" w:type="dxa"/>
            <w:bottom w:w="0" w:type="dxa"/>
            <w:right w:w="0" w:type="dxa"/>
          </w:tblCellMar>
        </w:tblPrEx>
        <w:trPr>
          <w:cantSplit/>
          <w:trHeight w:val="301" w:hRule="atLeast"/>
          <w:tblHeader/>
          <w:jc w:val="center"/>
        </w:trPr>
        <w:tc>
          <w:tcPr>
            <w:tcW w:w="972" w:type="pct"/>
            <w:tcBorders>
              <w:tl2br w:val="nil"/>
              <w:tr2bl w:val="nil"/>
            </w:tcBorders>
            <w:shd w:val="clear" w:color="auto" w:fill="auto"/>
            <w:vAlign w:val="center"/>
          </w:tcPr>
          <w:p>
            <w:pPr>
              <w:pStyle w:val="411"/>
              <w:rPr>
                <w:b w:val="0"/>
                <w:bCs/>
                <w:color w:val="auto"/>
                <w:szCs w:val="22"/>
              </w:rPr>
            </w:pPr>
            <w:bookmarkStart w:id="160" w:name="软基对比表"/>
            <w:r>
              <w:rPr>
                <w:b w:val="0"/>
                <w:bCs/>
                <w:color w:val="auto"/>
                <w:szCs w:val="22"/>
              </w:rPr>
              <w:t>工艺种类</w:t>
            </w:r>
          </w:p>
        </w:tc>
        <w:tc>
          <w:tcPr>
            <w:tcW w:w="2034" w:type="pct"/>
            <w:tcBorders>
              <w:tl2br w:val="nil"/>
              <w:tr2bl w:val="nil"/>
            </w:tcBorders>
            <w:shd w:val="clear" w:color="auto" w:fill="auto"/>
            <w:vAlign w:val="center"/>
          </w:tcPr>
          <w:p>
            <w:pPr>
              <w:pStyle w:val="411"/>
              <w:rPr>
                <w:b w:val="0"/>
                <w:bCs/>
                <w:color w:val="auto"/>
                <w:szCs w:val="22"/>
              </w:rPr>
            </w:pPr>
            <w:r>
              <w:rPr>
                <w:b w:val="0"/>
                <w:bCs/>
                <w:color w:val="auto"/>
                <w:szCs w:val="22"/>
              </w:rPr>
              <w:t>优点</w:t>
            </w:r>
          </w:p>
        </w:tc>
        <w:tc>
          <w:tcPr>
            <w:tcW w:w="1994" w:type="pct"/>
            <w:tcBorders>
              <w:tl2br w:val="nil"/>
              <w:tr2bl w:val="nil"/>
            </w:tcBorders>
            <w:shd w:val="clear" w:color="auto" w:fill="auto"/>
            <w:vAlign w:val="center"/>
          </w:tcPr>
          <w:p>
            <w:pPr>
              <w:pStyle w:val="411"/>
              <w:rPr>
                <w:b w:val="0"/>
                <w:bCs/>
                <w:color w:val="auto"/>
                <w:szCs w:val="22"/>
              </w:rPr>
            </w:pPr>
            <w:r>
              <w:rPr>
                <w:b w:val="0"/>
                <w:bCs/>
                <w:color w:val="auto"/>
                <w:szCs w:val="22"/>
              </w:rPr>
              <w:t>缺点</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0" w:type="dxa"/>
            <w:bottom w:w="0" w:type="dxa"/>
            <w:right w:w="0" w:type="dxa"/>
          </w:tblCellMar>
        </w:tblPrEx>
        <w:trPr>
          <w:cantSplit/>
          <w:trHeight w:val="20" w:hRule="atLeast"/>
          <w:jc w:val="center"/>
        </w:trPr>
        <w:tc>
          <w:tcPr>
            <w:tcW w:w="972" w:type="pct"/>
            <w:tcBorders>
              <w:tl2br w:val="nil"/>
              <w:tr2bl w:val="nil"/>
            </w:tcBorders>
            <w:shd w:val="clear" w:color="auto" w:fill="auto"/>
            <w:vAlign w:val="center"/>
          </w:tcPr>
          <w:p>
            <w:pPr>
              <w:pStyle w:val="411"/>
              <w:rPr>
                <w:b w:val="0"/>
                <w:bCs/>
                <w:color w:val="auto"/>
                <w:szCs w:val="22"/>
              </w:rPr>
            </w:pPr>
            <w:r>
              <w:rPr>
                <w:b w:val="0"/>
                <w:bCs/>
                <w:color w:val="auto"/>
                <w:szCs w:val="22"/>
              </w:rPr>
              <w:t>换填垫层</w:t>
            </w:r>
          </w:p>
          <w:p>
            <w:pPr>
              <w:pStyle w:val="411"/>
              <w:rPr>
                <w:b w:val="0"/>
                <w:bCs/>
                <w:color w:val="auto"/>
                <w:szCs w:val="22"/>
              </w:rPr>
            </w:pPr>
            <w:r>
              <w:rPr>
                <w:b w:val="0"/>
                <w:bCs/>
                <w:color w:val="auto"/>
                <w:szCs w:val="22"/>
              </w:rPr>
              <w:t>(加固深度3-4米</w:t>
            </w:r>
            <w:r>
              <w:rPr>
                <w:rFonts w:hint="eastAsia"/>
                <w:b w:val="0"/>
                <w:bCs/>
                <w:color w:val="auto"/>
                <w:szCs w:val="22"/>
              </w:rPr>
              <w:t>)</w:t>
            </w:r>
          </w:p>
        </w:tc>
        <w:tc>
          <w:tcPr>
            <w:tcW w:w="2034" w:type="pct"/>
            <w:tcBorders>
              <w:tl2br w:val="nil"/>
              <w:tr2bl w:val="nil"/>
            </w:tcBorders>
            <w:shd w:val="clear" w:color="auto" w:fill="auto"/>
            <w:vAlign w:val="center"/>
          </w:tcPr>
          <w:p>
            <w:pPr>
              <w:pStyle w:val="411"/>
              <w:rPr>
                <w:b w:val="0"/>
                <w:bCs/>
                <w:color w:val="auto"/>
                <w:szCs w:val="22"/>
              </w:rPr>
            </w:pPr>
            <w:r>
              <w:rPr>
                <w:b w:val="0"/>
                <w:bCs/>
                <w:color w:val="auto"/>
                <w:szCs w:val="22"/>
              </w:rPr>
              <w:t>施工工艺成熟，方法简便快捷，造价较低，可迅速提高地基承载力。</w:t>
            </w:r>
          </w:p>
        </w:tc>
        <w:tc>
          <w:tcPr>
            <w:tcW w:w="1994" w:type="pct"/>
            <w:tcBorders>
              <w:tl2br w:val="nil"/>
              <w:tr2bl w:val="nil"/>
            </w:tcBorders>
            <w:shd w:val="clear" w:color="auto" w:fill="auto"/>
            <w:vAlign w:val="center"/>
          </w:tcPr>
          <w:p>
            <w:pPr>
              <w:pStyle w:val="411"/>
              <w:rPr>
                <w:b w:val="0"/>
                <w:bCs/>
                <w:color w:val="auto"/>
                <w:szCs w:val="22"/>
              </w:rPr>
            </w:pPr>
            <w:r>
              <w:rPr>
                <w:b w:val="0"/>
                <w:bCs/>
                <w:color w:val="auto"/>
                <w:szCs w:val="22"/>
              </w:rPr>
              <w:t>换填厚度越大、造价越高；不适合处理软土层</w:t>
            </w:r>
            <w:r>
              <w:rPr>
                <w:rFonts w:hint="eastAsia"/>
                <w:b w:val="0"/>
                <w:bCs/>
                <w:color w:val="auto"/>
                <w:szCs w:val="22"/>
              </w:rPr>
              <w:t>身后</w:t>
            </w:r>
            <w:r>
              <w:rPr>
                <w:b w:val="0"/>
                <w:bCs/>
                <w:color w:val="auto"/>
                <w:szCs w:val="22"/>
              </w:rPr>
              <w:t>的地基；地下水位高、易</w:t>
            </w:r>
            <w:r>
              <w:rPr>
                <w:rFonts w:hint="eastAsia"/>
                <w:b w:val="0"/>
                <w:bCs/>
                <w:color w:val="auto"/>
                <w:szCs w:val="22"/>
              </w:rPr>
              <w:t>渗水</w:t>
            </w:r>
            <w:r>
              <w:rPr>
                <w:b w:val="0"/>
                <w:bCs/>
                <w:color w:val="auto"/>
                <w:szCs w:val="22"/>
              </w:rPr>
              <w:t>路段</w:t>
            </w:r>
            <w:r>
              <w:rPr>
                <w:rFonts w:hint="eastAsia"/>
                <w:b w:val="0"/>
                <w:bCs/>
                <w:color w:val="auto"/>
                <w:szCs w:val="22"/>
              </w:rPr>
              <w:t>抽</w:t>
            </w:r>
            <w:r>
              <w:rPr>
                <w:b w:val="0"/>
                <w:bCs/>
                <w:color w:val="auto"/>
                <w:szCs w:val="22"/>
              </w:rPr>
              <w:t>排水费用高。</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0" w:type="dxa"/>
            <w:bottom w:w="0" w:type="dxa"/>
            <w:right w:w="0" w:type="dxa"/>
          </w:tblCellMar>
        </w:tblPrEx>
        <w:trPr>
          <w:cantSplit/>
          <w:trHeight w:val="20" w:hRule="atLeast"/>
          <w:jc w:val="center"/>
        </w:trPr>
        <w:tc>
          <w:tcPr>
            <w:tcW w:w="972" w:type="pct"/>
            <w:tcBorders>
              <w:tl2br w:val="nil"/>
              <w:tr2bl w:val="nil"/>
            </w:tcBorders>
            <w:shd w:val="clear" w:color="auto" w:fill="auto"/>
            <w:vAlign w:val="center"/>
          </w:tcPr>
          <w:p>
            <w:pPr>
              <w:pStyle w:val="411"/>
              <w:rPr>
                <w:b w:val="0"/>
                <w:bCs/>
                <w:color w:val="auto"/>
                <w:szCs w:val="22"/>
              </w:rPr>
            </w:pPr>
            <w:r>
              <w:rPr>
                <w:b w:val="0"/>
                <w:bCs/>
                <w:color w:val="auto"/>
                <w:szCs w:val="22"/>
              </w:rPr>
              <w:t>水泥搅拌桩</w:t>
            </w:r>
          </w:p>
          <w:p>
            <w:pPr>
              <w:pStyle w:val="411"/>
              <w:rPr>
                <w:b w:val="0"/>
                <w:bCs/>
                <w:color w:val="auto"/>
                <w:szCs w:val="22"/>
              </w:rPr>
            </w:pPr>
            <w:r>
              <w:rPr>
                <w:b w:val="0"/>
                <w:bCs/>
                <w:color w:val="auto"/>
                <w:szCs w:val="22"/>
              </w:rPr>
              <w:t>(加固深度小于20米</w:t>
            </w:r>
            <w:r>
              <w:rPr>
                <w:rFonts w:hint="eastAsia"/>
                <w:b w:val="0"/>
                <w:bCs/>
                <w:color w:val="auto"/>
                <w:szCs w:val="22"/>
              </w:rPr>
              <w:t>)</w:t>
            </w:r>
          </w:p>
        </w:tc>
        <w:tc>
          <w:tcPr>
            <w:tcW w:w="2034" w:type="pct"/>
            <w:tcBorders>
              <w:tl2br w:val="nil"/>
              <w:tr2bl w:val="nil"/>
            </w:tcBorders>
            <w:shd w:val="clear" w:color="auto" w:fill="auto"/>
            <w:vAlign w:val="center"/>
          </w:tcPr>
          <w:p>
            <w:pPr>
              <w:pStyle w:val="411"/>
              <w:rPr>
                <w:b w:val="0"/>
                <w:bCs/>
                <w:color w:val="auto"/>
                <w:szCs w:val="22"/>
              </w:rPr>
            </w:pPr>
            <w:r>
              <w:rPr>
                <w:b w:val="0"/>
                <w:bCs/>
                <w:color w:val="auto"/>
                <w:szCs w:val="22"/>
              </w:rPr>
              <w:t>工艺成熟、进度快，工期较短，可有效消除主、次固结沉降。</w:t>
            </w:r>
          </w:p>
        </w:tc>
        <w:tc>
          <w:tcPr>
            <w:tcW w:w="1994" w:type="pct"/>
            <w:tcBorders>
              <w:tl2br w:val="nil"/>
              <w:tr2bl w:val="nil"/>
            </w:tcBorders>
            <w:shd w:val="clear" w:color="auto" w:fill="auto"/>
            <w:vAlign w:val="center"/>
          </w:tcPr>
          <w:p>
            <w:pPr>
              <w:pStyle w:val="411"/>
              <w:rPr>
                <w:b w:val="0"/>
                <w:bCs/>
                <w:color w:val="auto"/>
                <w:szCs w:val="22"/>
              </w:rPr>
            </w:pPr>
            <w:r>
              <w:rPr>
                <w:b w:val="0"/>
                <w:bCs/>
                <w:color w:val="auto"/>
                <w:szCs w:val="22"/>
              </w:rPr>
              <w:t>淤泥有机质含量、塑性指数较大时，处理效果不好；处理深度通常小于15米；造价较高。</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0" w:type="dxa"/>
            <w:bottom w:w="0" w:type="dxa"/>
            <w:right w:w="0" w:type="dxa"/>
          </w:tblCellMar>
        </w:tblPrEx>
        <w:trPr>
          <w:cantSplit/>
          <w:trHeight w:val="20" w:hRule="atLeast"/>
          <w:jc w:val="center"/>
        </w:trPr>
        <w:tc>
          <w:tcPr>
            <w:tcW w:w="972" w:type="pct"/>
            <w:tcBorders>
              <w:tl2br w:val="nil"/>
              <w:tr2bl w:val="nil"/>
            </w:tcBorders>
            <w:shd w:val="clear" w:color="auto" w:fill="auto"/>
            <w:vAlign w:val="center"/>
          </w:tcPr>
          <w:p>
            <w:pPr>
              <w:pStyle w:val="411"/>
              <w:rPr>
                <w:b w:val="0"/>
                <w:bCs/>
                <w:color w:val="auto"/>
                <w:szCs w:val="22"/>
              </w:rPr>
            </w:pPr>
            <w:r>
              <w:rPr>
                <w:b w:val="0"/>
                <w:bCs/>
                <w:color w:val="auto"/>
                <w:szCs w:val="22"/>
              </w:rPr>
              <w:t>钉形水泥土双向搅拌桩</w:t>
            </w:r>
          </w:p>
          <w:p>
            <w:pPr>
              <w:pStyle w:val="411"/>
              <w:rPr>
                <w:b w:val="0"/>
                <w:bCs/>
                <w:color w:val="auto"/>
                <w:szCs w:val="22"/>
              </w:rPr>
            </w:pPr>
            <w:r>
              <w:rPr>
                <w:b w:val="0"/>
                <w:bCs/>
                <w:color w:val="auto"/>
                <w:szCs w:val="22"/>
              </w:rPr>
              <w:t>(加固深度25米</w:t>
            </w:r>
            <w:r>
              <w:rPr>
                <w:rFonts w:hint="eastAsia"/>
                <w:b w:val="0"/>
                <w:bCs/>
                <w:color w:val="auto"/>
                <w:szCs w:val="22"/>
              </w:rPr>
              <w:t>)</w:t>
            </w:r>
          </w:p>
        </w:tc>
        <w:tc>
          <w:tcPr>
            <w:tcW w:w="2034" w:type="pct"/>
            <w:tcBorders>
              <w:tl2br w:val="nil"/>
              <w:tr2bl w:val="nil"/>
            </w:tcBorders>
            <w:shd w:val="clear" w:color="auto" w:fill="auto"/>
            <w:vAlign w:val="center"/>
          </w:tcPr>
          <w:p>
            <w:pPr>
              <w:pStyle w:val="411"/>
              <w:rPr>
                <w:b w:val="0"/>
                <w:bCs/>
                <w:color w:val="auto"/>
                <w:szCs w:val="22"/>
              </w:rPr>
            </w:pPr>
            <w:r>
              <w:rPr>
                <w:b w:val="0"/>
                <w:bCs/>
                <w:color w:val="auto"/>
                <w:szCs w:val="22"/>
              </w:rPr>
              <w:t>工期</w:t>
            </w:r>
            <w:r>
              <w:rPr>
                <w:rFonts w:hint="eastAsia"/>
                <w:b w:val="0"/>
                <w:bCs/>
                <w:color w:val="auto"/>
                <w:szCs w:val="22"/>
              </w:rPr>
              <w:t>较</w:t>
            </w:r>
            <w:r>
              <w:rPr>
                <w:b w:val="0"/>
                <w:bCs/>
                <w:color w:val="auto"/>
                <w:szCs w:val="22"/>
              </w:rPr>
              <w:t>短；</w:t>
            </w:r>
            <w:r>
              <w:rPr>
                <w:rFonts w:hint="eastAsia"/>
                <w:b w:val="0"/>
                <w:bCs/>
                <w:color w:val="auto"/>
                <w:szCs w:val="22"/>
              </w:rPr>
              <w:t>处理</w:t>
            </w:r>
            <w:r>
              <w:rPr>
                <w:b w:val="0"/>
                <w:bCs/>
                <w:color w:val="auto"/>
                <w:szCs w:val="22"/>
              </w:rPr>
              <w:t>效果优于普通搅拌桩；处理深度较大，对于提高承载力和减少工后沉降效果优于普通水泥搅拌桩。</w:t>
            </w:r>
          </w:p>
        </w:tc>
        <w:tc>
          <w:tcPr>
            <w:tcW w:w="1994" w:type="pct"/>
            <w:tcBorders>
              <w:tl2br w:val="nil"/>
              <w:tr2bl w:val="nil"/>
            </w:tcBorders>
            <w:shd w:val="clear" w:color="auto" w:fill="auto"/>
            <w:vAlign w:val="center"/>
          </w:tcPr>
          <w:p>
            <w:pPr>
              <w:pStyle w:val="411"/>
              <w:rPr>
                <w:b w:val="0"/>
                <w:bCs/>
                <w:color w:val="auto"/>
                <w:szCs w:val="22"/>
              </w:rPr>
            </w:pPr>
            <w:r>
              <w:rPr>
                <w:b w:val="0"/>
                <w:bCs/>
                <w:color w:val="auto"/>
                <w:szCs w:val="22"/>
              </w:rPr>
              <w:t>造价高于普通水泥搅拌桩；属于新专利技术，不易操作。</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0" w:type="dxa"/>
            <w:bottom w:w="0" w:type="dxa"/>
            <w:right w:w="0" w:type="dxa"/>
          </w:tblCellMar>
        </w:tblPrEx>
        <w:trPr>
          <w:cantSplit/>
          <w:trHeight w:val="20" w:hRule="atLeast"/>
          <w:jc w:val="center"/>
        </w:trPr>
        <w:tc>
          <w:tcPr>
            <w:tcW w:w="972" w:type="pct"/>
            <w:tcBorders>
              <w:tl2br w:val="nil"/>
              <w:tr2bl w:val="nil"/>
            </w:tcBorders>
            <w:shd w:val="clear" w:color="auto" w:fill="auto"/>
            <w:vAlign w:val="center"/>
          </w:tcPr>
          <w:p>
            <w:pPr>
              <w:pStyle w:val="411"/>
              <w:rPr>
                <w:b w:val="0"/>
                <w:bCs/>
                <w:color w:val="auto"/>
                <w:szCs w:val="22"/>
              </w:rPr>
            </w:pPr>
            <w:r>
              <w:rPr>
                <w:b w:val="0"/>
                <w:bCs/>
                <w:color w:val="auto"/>
                <w:szCs w:val="22"/>
              </w:rPr>
              <w:t>CFG桩</w:t>
            </w:r>
          </w:p>
          <w:p>
            <w:pPr>
              <w:pStyle w:val="411"/>
              <w:rPr>
                <w:b w:val="0"/>
                <w:bCs/>
                <w:color w:val="auto"/>
                <w:szCs w:val="22"/>
              </w:rPr>
            </w:pPr>
            <w:r>
              <w:rPr>
                <w:b w:val="0"/>
                <w:bCs/>
                <w:color w:val="auto"/>
                <w:szCs w:val="22"/>
              </w:rPr>
              <w:t>(加固小于30米</w:t>
            </w:r>
            <w:r>
              <w:rPr>
                <w:rFonts w:hint="eastAsia"/>
                <w:b w:val="0"/>
                <w:bCs/>
                <w:color w:val="auto"/>
                <w:szCs w:val="22"/>
              </w:rPr>
              <w:t>)</w:t>
            </w:r>
          </w:p>
        </w:tc>
        <w:tc>
          <w:tcPr>
            <w:tcW w:w="2034" w:type="pct"/>
            <w:tcBorders>
              <w:tl2br w:val="nil"/>
              <w:tr2bl w:val="nil"/>
            </w:tcBorders>
            <w:shd w:val="clear" w:color="auto" w:fill="auto"/>
            <w:vAlign w:val="center"/>
          </w:tcPr>
          <w:p>
            <w:pPr>
              <w:pStyle w:val="411"/>
              <w:rPr>
                <w:b w:val="0"/>
                <w:bCs/>
                <w:color w:val="auto"/>
                <w:szCs w:val="22"/>
              </w:rPr>
            </w:pPr>
            <w:r>
              <w:rPr>
                <w:b w:val="0"/>
                <w:bCs/>
                <w:color w:val="auto"/>
                <w:szCs w:val="22"/>
              </w:rPr>
              <w:t>进度快，可达到较大的加固深度，显著提高软基承载力和减少沉降。</w:t>
            </w:r>
          </w:p>
        </w:tc>
        <w:tc>
          <w:tcPr>
            <w:tcW w:w="1994" w:type="pct"/>
            <w:tcBorders>
              <w:tl2br w:val="nil"/>
              <w:tr2bl w:val="nil"/>
            </w:tcBorders>
            <w:shd w:val="clear" w:color="auto" w:fill="auto"/>
            <w:vAlign w:val="center"/>
          </w:tcPr>
          <w:p>
            <w:pPr>
              <w:pStyle w:val="411"/>
              <w:rPr>
                <w:b w:val="0"/>
                <w:bCs/>
                <w:color w:val="auto"/>
                <w:szCs w:val="22"/>
              </w:rPr>
            </w:pPr>
            <w:r>
              <w:rPr>
                <w:b w:val="0"/>
                <w:bCs/>
                <w:color w:val="auto"/>
                <w:szCs w:val="22"/>
              </w:rPr>
              <w:t>造价较高；淤泥质地基采用何种成桩工艺（排土或挤土）有争议。</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0" w:type="dxa"/>
            <w:bottom w:w="0" w:type="dxa"/>
            <w:right w:w="0" w:type="dxa"/>
          </w:tblCellMar>
        </w:tblPrEx>
        <w:trPr>
          <w:cantSplit/>
          <w:trHeight w:val="20" w:hRule="atLeast"/>
          <w:jc w:val="center"/>
        </w:trPr>
        <w:tc>
          <w:tcPr>
            <w:tcW w:w="972" w:type="pct"/>
            <w:tcBorders>
              <w:tl2br w:val="nil"/>
              <w:tr2bl w:val="nil"/>
            </w:tcBorders>
            <w:shd w:val="clear" w:color="auto" w:fill="auto"/>
            <w:vAlign w:val="center"/>
          </w:tcPr>
          <w:p>
            <w:pPr>
              <w:pStyle w:val="411"/>
              <w:rPr>
                <w:b w:val="0"/>
                <w:bCs/>
                <w:color w:val="auto"/>
                <w:szCs w:val="22"/>
              </w:rPr>
            </w:pPr>
            <w:r>
              <w:rPr>
                <w:b w:val="0"/>
                <w:bCs/>
                <w:color w:val="auto"/>
                <w:szCs w:val="22"/>
              </w:rPr>
              <w:t>预应力混凝土管桩</w:t>
            </w:r>
          </w:p>
        </w:tc>
        <w:tc>
          <w:tcPr>
            <w:tcW w:w="2034" w:type="pct"/>
            <w:tcBorders>
              <w:tl2br w:val="nil"/>
              <w:tr2bl w:val="nil"/>
            </w:tcBorders>
            <w:shd w:val="clear" w:color="auto" w:fill="auto"/>
            <w:vAlign w:val="center"/>
          </w:tcPr>
          <w:p>
            <w:pPr>
              <w:pStyle w:val="411"/>
              <w:rPr>
                <w:b w:val="0"/>
                <w:bCs/>
                <w:color w:val="auto"/>
                <w:szCs w:val="22"/>
              </w:rPr>
            </w:pPr>
            <w:r>
              <w:rPr>
                <w:b w:val="0"/>
                <w:bCs/>
                <w:color w:val="auto"/>
                <w:szCs w:val="22"/>
              </w:rPr>
              <w:t>施工速度快、工效高、工期短；单桩承载力高；成桩质量较可靠。</w:t>
            </w:r>
          </w:p>
        </w:tc>
        <w:tc>
          <w:tcPr>
            <w:tcW w:w="1994" w:type="pct"/>
            <w:tcBorders>
              <w:tl2br w:val="nil"/>
              <w:tr2bl w:val="nil"/>
            </w:tcBorders>
            <w:shd w:val="clear" w:color="auto" w:fill="auto"/>
            <w:vAlign w:val="center"/>
          </w:tcPr>
          <w:p>
            <w:pPr>
              <w:pStyle w:val="411"/>
              <w:rPr>
                <w:b w:val="0"/>
                <w:bCs/>
                <w:color w:val="auto"/>
                <w:szCs w:val="22"/>
              </w:rPr>
            </w:pPr>
            <w:r>
              <w:rPr>
                <w:b w:val="0"/>
                <w:bCs/>
                <w:color w:val="auto"/>
                <w:szCs w:val="22"/>
              </w:rPr>
              <w:t>仍然具有挤土效应，对周围建筑及地下管线有一定的影响；</w:t>
            </w:r>
            <w:r>
              <w:rPr>
                <w:rFonts w:hint="eastAsia"/>
                <w:b w:val="0"/>
                <w:bCs/>
                <w:color w:val="auto"/>
                <w:szCs w:val="22"/>
              </w:rPr>
              <w:t>有覆土厚度要求，低填路段容易产生路面差异沉降。</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0" w:type="dxa"/>
            <w:bottom w:w="0" w:type="dxa"/>
            <w:right w:w="0" w:type="dxa"/>
          </w:tblCellMar>
        </w:tblPrEx>
        <w:trPr>
          <w:cantSplit/>
          <w:trHeight w:val="20" w:hRule="atLeast"/>
          <w:jc w:val="center"/>
        </w:trPr>
        <w:tc>
          <w:tcPr>
            <w:tcW w:w="972" w:type="pct"/>
            <w:tcBorders>
              <w:tl2br w:val="nil"/>
              <w:tr2bl w:val="nil"/>
            </w:tcBorders>
            <w:shd w:val="clear" w:color="auto" w:fill="auto"/>
            <w:vAlign w:val="center"/>
          </w:tcPr>
          <w:p>
            <w:pPr>
              <w:pStyle w:val="411"/>
              <w:rPr>
                <w:b w:val="0"/>
                <w:bCs/>
                <w:color w:val="auto"/>
                <w:szCs w:val="22"/>
              </w:rPr>
            </w:pPr>
            <w:r>
              <w:rPr>
                <w:b w:val="0"/>
                <w:bCs/>
                <w:color w:val="auto"/>
                <w:szCs w:val="22"/>
              </w:rPr>
              <w:t>泡沫轻质土</w:t>
            </w:r>
          </w:p>
        </w:tc>
        <w:tc>
          <w:tcPr>
            <w:tcW w:w="2034" w:type="pct"/>
            <w:tcBorders>
              <w:tl2br w:val="nil"/>
              <w:tr2bl w:val="nil"/>
            </w:tcBorders>
            <w:shd w:val="clear" w:color="auto" w:fill="auto"/>
            <w:vAlign w:val="center"/>
          </w:tcPr>
          <w:p>
            <w:pPr>
              <w:pStyle w:val="411"/>
              <w:rPr>
                <w:b w:val="0"/>
                <w:bCs/>
                <w:color w:val="auto"/>
                <w:szCs w:val="22"/>
              </w:rPr>
            </w:pPr>
            <w:r>
              <w:rPr>
                <w:rFonts w:hint="eastAsia"/>
                <w:b w:val="0"/>
                <w:bCs/>
                <w:color w:val="auto"/>
                <w:szCs w:val="22"/>
              </w:rPr>
              <w:t>施工快，有效降低路基荷载，对环境影响小，几乎没有侧向土压力</w:t>
            </w:r>
          </w:p>
        </w:tc>
        <w:tc>
          <w:tcPr>
            <w:tcW w:w="1994" w:type="pct"/>
            <w:tcBorders>
              <w:tl2br w:val="nil"/>
              <w:tr2bl w:val="nil"/>
            </w:tcBorders>
            <w:shd w:val="clear" w:color="auto" w:fill="auto"/>
            <w:vAlign w:val="center"/>
          </w:tcPr>
          <w:p>
            <w:pPr>
              <w:pStyle w:val="411"/>
              <w:rPr>
                <w:b w:val="0"/>
                <w:bCs/>
                <w:color w:val="auto"/>
                <w:szCs w:val="22"/>
              </w:rPr>
            </w:pPr>
            <w:r>
              <w:rPr>
                <w:rFonts w:hint="eastAsia"/>
                <w:b w:val="0"/>
                <w:bCs/>
                <w:color w:val="auto"/>
                <w:szCs w:val="22"/>
              </w:rPr>
              <w:t>填土过高时仍需进行地基处理，技术要求较高，造价较高。</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0" w:type="dxa"/>
            <w:bottom w:w="0" w:type="dxa"/>
            <w:right w:w="0" w:type="dxa"/>
          </w:tblCellMar>
        </w:tblPrEx>
        <w:trPr>
          <w:cantSplit/>
          <w:trHeight w:val="20" w:hRule="atLeast"/>
          <w:jc w:val="center"/>
        </w:trPr>
        <w:tc>
          <w:tcPr>
            <w:tcW w:w="972" w:type="pct"/>
            <w:tcBorders>
              <w:tl2br w:val="nil"/>
              <w:tr2bl w:val="nil"/>
            </w:tcBorders>
            <w:shd w:val="clear" w:color="auto" w:fill="auto"/>
            <w:vAlign w:val="center"/>
          </w:tcPr>
          <w:p>
            <w:pPr>
              <w:pStyle w:val="411"/>
              <w:rPr>
                <w:b w:val="0"/>
                <w:bCs/>
                <w:color w:val="auto"/>
                <w:szCs w:val="22"/>
              </w:rPr>
            </w:pPr>
            <w:r>
              <w:rPr>
                <w:rFonts w:hint="eastAsia"/>
                <w:b w:val="0"/>
                <w:bCs/>
                <w:color w:val="auto"/>
                <w:szCs w:val="22"/>
              </w:rPr>
              <w:t>塑料排水板</w:t>
            </w:r>
          </w:p>
          <w:p>
            <w:pPr>
              <w:pStyle w:val="411"/>
              <w:rPr>
                <w:b w:val="0"/>
                <w:bCs/>
                <w:color w:val="auto"/>
                <w:szCs w:val="22"/>
              </w:rPr>
            </w:pPr>
            <w:r>
              <w:rPr>
                <w:rFonts w:hint="eastAsia"/>
                <w:b w:val="0"/>
                <w:bCs/>
                <w:color w:val="auto"/>
                <w:szCs w:val="22"/>
              </w:rPr>
              <w:t>+堆载预压</w:t>
            </w:r>
          </w:p>
          <w:p>
            <w:pPr>
              <w:pStyle w:val="411"/>
              <w:rPr>
                <w:b w:val="0"/>
                <w:bCs/>
                <w:color w:val="auto"/>
                <w:szCs w:val="22"/>
              </w:rPr>
            </w:pPr>
            <w:r>
              <w:rPr>
                <w:rFonts w:hint="eastAsia"/>
                <w:b w:val="0"/>
                <w:bCs/>
                <w:color w:val="auto"/>
                <w:szCs w:val="22"/>
              </w:rPr>
              <w:t>（加固深度小于 2</w:t>
            </w:r>
            <w:r>
              <w:rPr>
                <w:b w:val="0"/>
                <w:bCs/>
                <w:color w:val="auto"/>
                <w:szCs w:val="22"/>
              </w:rPr>
              <w:t>5</w:t>
            </w:r>
            <w:r>
              <w:rPr>
                <w:rFonts w:hint="eastAsia"/>
                <w:b w:val="0"/>
                <w:bCs/>
                <w:color w:val="auto"/>
                <w:szCs w:val="22"/>
              </w:rPr>
              <w:t xml:space="preserve"> m）</w:t>
            </w:r>
          </w:p>
        </w:tc>
        <w:tc>
          <w:tcPr>
            <w:tcW w:w="2034" w:type="pct"/>
            <w:tcBorders>
              <w:tl2br w:val="nil"/>
              <w:tr2bl w:val="nil"/>
            </w:tcBorders>
            <w:shd w:val="clear" w:color="auto" w:fill="auto"/>
            <w:vAlign w:val="center"/>
          </w:tcPr>
          <w:p>
            <w:pPr>
              <w:pStyle w:val="411"/>
              <w:rPr>
                <w:b w:val="0"/>
                <w:bCs/>
                <w:color w:val="auto"/>
                <w:szCs w:val="22"/>
              </w:rPr>
            </w:pPr>
            <w:r>
              <w:rPr>
                <w:rFonts w:hint="eastAsia"/>
                <w:b w:val="0"/>
                <w:bCs/>
                <w:color w:val="auto"/>
                <w:szCs w:val="22"/>
              </w:rPr>
              <w:t>施工工艺成熟，方法简便，造价低，可有效消除主固结沉降。</w:t>
            </w:r>
          </w:p>
        </w:tc>
        <w:tc>
          <w:tcPr>
            <w:tcW w:w="1994" w:type="pct"/>
            <w:tcBorders>
              <w:tl2br w:val="nil"/>
              <w:tr2bl w:val="nil"/>
            </w:tcBorders>
            <w:shd w:val="clear" w:color="auto" w:fill="auto"/>
            <w:vAlign w:val="center"/>
          </w:tcPr>
          <w:p>
            <w:pPr>
              <w:pStyle w:val="411"/>
              <w:rPr>
                <w:b w:val="0"/>
                <w:bCs/>
                <w:color w:val="auto"/>
                <w:szCs w:val="22"/>
              </w:rPr>
            </w:pPr>
            <w:r>
              <w:rPr>
                <w:rFonts w:hint="eastAsia"/>
                <w:b w:val="0"/>
                <w:bCs/>
                <w:color w:val="auto"/>
                <w:szCs w:val="22"/>
              </w:rPr>
              <w:t>工期长，若堆载高度太大则会显著增加造价；难以有效解决地基次固结沉降。</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0" w:type="dxa"/>
            <w:bottom w:w="0" w:type="dxa"/>
            <w:right w:w="0" w:type="dxa"/>
          </w:tblCellMar>
        </w:tblPrEx>
        <w:trPr>
          <w:cantSplit/>
          <w:trHeight w:val="20" w:hRule="atLeast"/>
          <w:jc w:val="center"/>
        </w:trPr>
        <w:tc>
          <w:tcPr>
            <w:tcW w:w="972" w:type="pct"/>
            <w:tcBorders>
              <w:tl2br w:val="nil"/>
              <w:tr2bl w:val="nil"/>
            </w:tcBorders>
            <w:shd w:val="clear" w:color="auto" w:fill="auto"/>
            <w:vAlign w:val="center"/>
          </w:tcPr>
          <w:p>
            <w:pPr>
              <w:pStyle w:val="411"/>
              <w:rPr>
                <w:b w:val="0"/>
                <w:bCs/>
                <w:color w:val="auto"/>
                <w:szCs w:val="22"/>
              </w:rPr>
            </w:pPr>
            <w:r>
              <w:rPr>
                <w:rFonts w:hint="eastAsia"/>
                <w:b w:val="0"/>
                <w:bCs/>
                <w:color w:val="auto"/>
                <w:szCs w:val="22"/>
              </w:rPr>
              <w:t>塑料排水板</w:t>
            </w:r>
          </w:p>
          <w:p>
            <w:pPr>
              <w:pStyle w:val="411"/>
              <w:rPr>
                <w:b w:val="0"/>
                <w:bCs/>
                <w:color w:val="auto"/>
                <w:szCs w:val="22"/>
              </w:rPr>
            </w:pPr>
            <w:r>
              <w:rPr>
                <w:rFonts w:hint="eastAsia"/>
                <w:b w:val="0"/>
                <w:bCs/>
                <w:color w:val="auto"/>
                <w:szCs w:val="22"/>
              </w:rPr>
              <w:t>+真空预压</w:t>
            </w:r>
          </w:p>
          <w:p>
            <w:pPr>
              <w:pStyle w:val="411"/>
              <w:rPr>
                <w:b w:val="0"/>
                <w:bCs/>
                <w:color w:val="auto"/>
                <w:szCs w:val="22"/>
              </w:rPr>
            </w:pPr>
            <w:r>
              <w:rPr>
                <w:rFonts w:hint="eastAsia"/>
                <w:b w:val="0"/>
                <w:bCs/>
                <w:color w:val="auto"/>
                <w:szCs w:val="22"/>
              </w:rPr>
              <w:t>（加固深度小于15m）</w:t>
            </w:r>
          </w:p>
        </w:tc>
        <w:tc>
          <w:tcPr>
            <w:tcW w:w="2034" w:type="pct"/>
            <w:tcBorders>
              <w:tl2br w:val="nil"/>
              <w:tr2bl w:val="nil"/>
            </w:tcBorders>
            <w:shd w:val="clear" w:color="auto" w:fill="auto"/>
            <w:vAlign w:val="center"/>
          </w:tcPr>
          <w:p>
            <w:pPr>
              <w:pStyle w:val="411"/>
              <w:rPr>
                <w:b w:val="0"/>
                <w:bCs/>
                <w:color w:val="auto"/>
                <w:szCs w:val="22"/>
              </w:rPr>
            </w:pPr>
            <w:r>
              <w:rPr>
                <w:rFonts w:hint="eastAsia"/>
                <w:b w:val="0"/>
                <w:bCs/>
                <w:color w:val="auto"/>
                <w:szCs w:val="22"/>
              </w:rPr>
              <w:t>可一次加载，省去分级加载和卸载的时间，预压时间少于堆载预压，可有效消除主固结沉降，适合大面积区域软基处理，不存在弃土问题。</w:t>
            </w:r>
          </w:p>
        </w:tc>
        <w:tc>
          <w:tcPr>
            <w:tcW w:w="1994" w:type="pct"/>
            <w:tcBorders>
              <w:tl2br w:val="nil"/>
              <w:tr2bl w:val="nil"/>
            </w:tcBorders>
            <w:shd w:val="clear" w:color="auto" w:fill="auto"/>
            <w:vAlign w:val="center"/>
          </w:tcPr>
          <w:p>
            <w:pPr>
              <w:pStyle w:val="411"/>
              <w:rPr>
                <w:b w:val="0"/>
                <w:bCs/>
                <w:color w:val="auto"/>
                <w:szCs w:val="22"/>
              </w:rPr>
            </w:pPr>
            <w:r>
              <w:rPr>
                <w:rFonts w:hint="eastAsia"/>
                <w:b w:val="0"/>
                <w:bCs/>
                <w:color w:val="auto"/>
                <w:szCs w:val="22"/>
              </w:rPr>
              <w:t>工序要求高，尤其是止水帷幕和真空封膜要保证密封，造价稍高于堆载预压；难以有效解决地基次固结沉降。</w:t>
            </w:r>
          </w:p>
        </w:tc>
      </w:tr>
      <w:bookmarkEnd w:id="160"/>
    </w:tbl>
    <w:p>
      <w:pPr>
        <w:spacing w:line="300" w:lineRule="auto"/>
        <w:rPr>
          <w:rFonts w:ascii="Times New Roman" w:hAnsi="Times New Roman"/>
          <w:b w:val="0"/>
          <w:color w:val="000000" w:themeColor="text1"/>
          <w:sz w:val="24"/>
          <w14:textFill>
            <w14:solidFill>
              <w14:schemeClr w14:val="tx1"/>
            </w14:solidFill>
          </w14:textFill>
        </w:rPr>
      </w:pPr>
    </w:p>
    <w:p>
      <w:pPr>
        <w:spacing w:line="300" w:lineRule="auto"/>
        <w:ind w:firstLine="480" w:firstLineChars="200"/>
        <w:rPr>
          <w:rFonts w:ascii="Times New Roman" w:hAnsi="Times New Roman"/>
          <w:b w:val="0"/>
          <w:color w:val="000000" w:themeColor="text1"/>
          <w:sz w:val="24"/>
          <w:highlight w:val="magenta"/>
          <w14:textFill>
            <w14:solidFill>
              <w14:schemeClr w14:val="tx1"/>
            </w14:solidFill>
          </w14:textFill>
        </w:rPr>
      </w:pPr>
      <w:r>
        <w:rPr>
          <w:rFonts w:ascii="Times New Roman" w:hAnsi="Times New Roman"/>
          <w:b w:val="0"/>
          <w:color w:val="000000" w:themeColor="text1"/>
          <w:sz w:val="24"/>
          <w:highlight w:val="magenta"/>
          <w14:textFill>
            <w14:solidFill>
              <w14:schemeClr w14:val="tx1"/>
            </w14:solidFill>
          </w14:textFill>
        </w:rPr>
        <w:t>2、选定方案</w:t>
      </w:r>
    </w:p>
    <w:p>
      <w:pPr>
        <w:spacing w:line="300" w:lineRule="auto"/>
        <w:ind w:firstLine="480" w:firstLineChars="200"/>
        <w:rPr>
          <w:rFonts w:ascii="Times New Roman" w:hAnsi="Times New Roman"/>
          <w:color w:val="000000" w:themeColor="text1"/>
          <w:highlight w:val="magenta"/>
          <w14:textFill>
            <w14:solidFill>
              <w14:schemeClr w14:val="tx1"/>
            </w14:solidFill>
          </w14:textFill>
        </w:rPr>
      </w:pPr>
      <w:r>
        <w:rPr>
          <w:rFonts w:ascii="Times New Roman" w:hAnsi="Times New Roman"/>
          <w:b w:val="0"/>
          <w:color w:val="000000" w:themeColor="text1"/>
          <w:sz w:val="24"/>
          <w:highlight w:val="magenta"/>
          <w14:textFill>
            <w14:solidFill>
              <w14:schemeClr w14:val="tx1"/>
            </w14:solidFill>
          </w14:textFill>
        </w:rPr>
        <w:t>通过对南沙近几年新建道路所釆用各种软基处理措施的效果进行分析比较，参考南沙地区软基处理的成功经验，提出本次软土路基处理设计方案如下：考虑本工程工期紧迫，软土深厚</w:t>
      </w:r>
      <w:r>
        <w:rPr>
          <w:rFonts w:hint="eastAsia" w:ascii="Times New Roman" w:hAnsi="Times New Roman"/>
          <w:b w:val="0"/>
          <w:color w:val="000000" w:themeColor="text1"/>
          <w:sz w:val="24"/>
          <w:highlight w:val="magenta"/>
          <w14:textFill>
            <w14:solidFill>
              <w14:schemeClr w14:val="tx1"/>
            </w14:solidFill>
          </w14:textFill>
        </w:rPr>
        <w:t>（大于35m）</w:t>
      </w:r>
      <w:r>
        <w:rPr>
          <w:rFonts w:ascii="Times New Roman" w:hAnsi="Times New Roman"/>
          <w:b w:val="0"/>
          <w:color w:val="000000" w:themeColor="text1"/>
          <w:sz w:val="24"/>
          <w:highlight w:val="magenta"/>
          <w14:textFill>
            <w14:solidFill>
              <w14:schemeClr w14:val="tx1"/>
            </w14:solidFill>
          </w14:textFill>
        </w:rPr>
        <w:t>，部分路段与旧有路段相接，与地下轨道交通相交，与现状及规划河涌相邻，与地块相邻，部分路段穿现状鱼塘的特点，充分分析比选软基方案。</w:t>
      </w:r>
    </w:p>
    <w:p>
      <w:pPr>
        <w:spacing w:line="300" w:lineRule="auto"/>
        <w:ind w:firstLine="480" w:firstLineChars="200"/>
        <w:rPr>
          <w:rFonts w:ascii="Times New Roman" w:hAnsi="Times New Roman"/>
          <w:b w:val="0"/>
          <w:color w:val="000000" w:themeColor="text1"/>
          <w:sz w:val="24"/>
          <w14:textFill>
            <w14:solidFill>
              <w14:schemeClr w14:val="tx1"/>
            </w14:solidFill>
          </w14:textFill>
        </w:rPr>
      </w:pP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73"/>
        <w:gridCol w:w="2538"/>
        <w:gridCol w:w="55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jc w:val="center"/>
        </w:trPr>
        <w:tc>
          <w:tcPr>
            <w:tcW w:w="2273" w:type="dxa"/>
            <w:tcBorders>
              <w:top w:val="single" w:color="000000" w:sz="8" w:space="0"/>
              <w:left w:val="single" w:color="000000" w:sz="8" w:space="0"/>
              <w:bottom w:val="single" w:color="000000" w:sz="8" w:space="0"/>
              <w:right w:val="single" w:color="000000" w:sz="8" w:space="0"/>
            </w:tcBorders>
            <w:vAlign w:val="center"/>
          </w:tcPr>
          <w:p>
            <w:pPr>
              <w:spacing w:before="193" w:beforeLines="50"/>
              <w:jc w:val="center"/>
              <w:rPr>
                <w:rFonts w:ascii="Times New Roman" w:hAnsi="Times New Roman"/>
                <w:bCs/>
                <w:color w:val="000000" w:themeColor="text1"/>
                <w:sz w:val="24"/>
                <w:szCs w:val="21"/>
                <w14:textFill>
                  <w14:solidFill>
                    <w14:schemeClr w14:val="tx1"/>
                  </w14:solidFill>
                </w14:textFill>
              </w:rPr>
            </w:pPr>
            <w:r>
              <w:rPr>
                <w:rFonts w:hint="eastAsia" w:ascii="Times New Roman" w:hAnsi="Times New Roman"/>
                <w:bCs/>
                <w:color w:val="000000" w:themeColor="text1"/>
                <w:sz w:val="24"/>
                <w14:textFill>
                  <w14:solidFill>
                    <w14:schemeClr w14:val="tx1"/>
                  </w14:solidFill>
                </w14:textFill>
              </w:rPr>
              <w:t>路段</w:t>
            </w:r>
          </w:p>
        </w:tc>
        <w:tc>
          <w:tcPr>
            <w:tcW w:w="2538" w:type="dxa"/>
            <w:tcBorders>
              <w:top w:val="single" w:color="000000" w:sz="8" w:space="0"/>
              <w:left w:val="single" w:color="000000" w:sz="8" w:space="0"/>
              <w:bottom w:val="single" w:color="000000" w:sz="8" w:space="0"/>
              <w:right w:val="single" w:color="000000" w:sz="8" w:space="0"/>
            </w:tcBorders>
            <w:vAlign w:val="center"/>
          </w:tcPr>
          <w:p>
            <w:pPr>
              <w:spacing w:before="193" w:beforeLines="50"/>
              <w:jc w:val="center"/>
              <w:rPr>
                <w:rFonts w:ascii="Times New Roman" w:hAnsi="Times New Roman"/>
                <w:bCs/>
                <w:color w:val="000000" w:themeColor="text1"/>
                <w:sz w:val="24"/>
                <w:szCs w:val="21"/>
                <w14:textFill>
                  <w14:solidFill>
                    <w14:schemeClr w14:val="tx1"/>
                  </w14:solidFill>
                </w14:textFill>
              </w:rPr>
            </w:pPr>
            <w:r>
              <w:rPr>
                <w:rFonts w:hint="eastAsia" w:ascii="Times New Roman" w:hAnsi="Times New Roman"/>
                <w:bCs/>
                <w:color w:val="000000" w:themeColor="text1"/>
                <w:sz w:val="24"/>
                <w14:textFill>
                  <w14:solidFill>
                    <w14:schemeClr w14:val="tx1"/>
                  </w14:solidFill>
                </w14:textFill>
              </w:rPr>
              <w:t>本次设计推荐方案</w:t>
            </w:r>
          </w:p>
        </w:tc>
        <w:tc>
          <w:tcPr>
            <w:tcW w:w="5574" w:type="dxa"/>
            <w:tcBorders>
              <w:top w:val="single" w:color="000000" w:sz="8" w:space="0"/>
              <w:left w:val="single" w:color="000000" w:sz="8" w:space="0"/>
              <w:bottom w:val="single" w:color="000000" w:sz="8" w:space="0"/>
              <w:right w:val="single" w:color="000000" w:sz="8" w:space="0"/>
            </w:tcBorders>
            <w:vAlign w:val="center"/>
          </w:tcPr>
          <w:p>
            <w:pPr>
              <w:tabs>
                <w:tab w:val="left" w:pos="6451"/>
              </w:tabs>
              <w:spacing w:before="193" w:beforeLines="50"/>
              <w:jc w:val="center"/>
              <w:rPr>
                <w:rFonts w:ascii="Times New Roman" w:hAnsi="Times New Roman"/>
                <w:bCs/>
                <w:color w:val="000000" w:themeColor="text1"/>
                <w:sz w:val="24"/>
                <w:szCs w:val="21"/>
                <w14:textFill>
                  <w14:solidFill>
                    <w14:schemeClr w14:val="tx1"/>
                  </w14:solidFill>
                </w14:textFill>
              </w:rPr>
            </w:pPr>
            <w:r>
              <w:rPr>
                <w:rFonts w:hint="eastAsia" w:ascii="Times New Roman" w:hAnsi="Times New Roman"/>
                <w:bCs/>
                <w:color w:val="000000" w:themeColor="text1"/>
                <w:sz w:val="24"/>
                <w14:textFill>
                  <w14:solidFill>
                    <w14:schemeClr w14:val="tx1"/>
                  </w14:solidFill>
                </w14:textFill>
              </w:rPr>
              <w:t>推荐理由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jc w:val="center"/>
        </w:trPr>
        <w:tc>
          <w:tcPr>
            <w:tcW w:w="2273" w:type="dxa"/>
            <w:tcBorders>
              <w:top w:val="single" w:color="000000" w:sz="8" w:space="0"/>
              <w:left w:val="single" w:color="000000" w:sz="8" w:space="0"/>
              <w:bottom w:val="single" w:color="000000" w:sz="8" w:space="0"/>
              <w:right w:val="single" w:color="000000" w:sz="8" w:space="0"/>
            </w:tcBorders>
            <w:vAlign w:val="center"/>
          </w:tcPr>
          <w:p>
            <w:pPr>
              <w:spacing w:before="193" w:beforeLines="50"/>
              <w:jc w:val="center"/>
              <w:rPr>
                <w:rFonts w:ascii="Times New Roman" w:hAnsi="Times New Roman"/>
                <w:bCs/>
                <w:color w:val="000000" w:themeColor="text1"/>
                <w:sz w:val="24"/>
                <w:szCs w:val="21"/>
                <w14:textFill>
                  <w14:solidFill>
                    <w14:schemeClr w14:val="tx1"/>
                  </w14:solidFill>
                </w14:textFill>
              </w:rPr>
            </w:pPr>
            <w:r>
              <w:rPr>
                <w:rFonts w:hint="eastAsia" w:ascii="Times New Roman" w:hAnsi="Times New Roman"/>
                <w:bCs/>
                <w:color w:val="000000" w:themeColor="text1"/>
                <w:sz w:val="24"/>
                <w14:textFill>
                  <w14:solidFill>
                    <w14:schemeClr w14:val="tx1"/>
                  </w14:solidFill>
                </w14:textFill>
              </w:rPr>
              <w:t>一般路段</w:t>
            </w:r>
          </w:p>
        </w:tc>
        <w:tc>
          <w:tcPr>
            <w:tcW w:w="2538" w:type="dxa"/>
            <w:tcBorders>
              <w:top w:val="single" w:color="000000" w:sz="8" w:space="0"/>
              <w:left w:val="single" w:color="000000" w:sz="8" w:space="0"/>
              <w:bottom w:val="single" w:color="000000" w:sz="8" w:space="0"/>
              <w:right w:val="single" w:color="000000" w:sz="8" w:space="0"/>
            </w:tcBorders>
            <w:vAlign w:val="center"/>
          </w:tcPr>
          <w:p>
            <w:pPr>
              <w:spacing w:before="193" w:beforeLines="50"/>
              <w:jc w:val="center"/>
              <w:rPr>
                <w:rFonts w:ascii="Times New Roman" w:hAnsi="Times New Roman"/>
                <w:bCs/>
                <w:color w:val="000000" w:themeColor="text1"/>
                <w:sz w:val="24"/>
                <w:szCs w:val="21"/>
                <w14:textFill>
                  <w14:solidFill>
                    <w14:schemeClr w14:val="tx1"/>
                  </w14:solidFill>
                </w14:textFill>
              </w:rPr>
            </w:pPr>
            <w:r>
              <w:rPr>
                <w:rFonts w:hint="eastAsia" w:ascii="Times New Roman" w:hAnsi="Times New Roman"/>
                <w:b w:val="0"/>
                <w:bCs/>
                <w:color w:val="000000" w:themeColor="text1"/>
                <w:sz w:val="24"/>
                <w14:textFill>
                  <w14:solidFill>
                    <w14:schemeClr w14:val="tx1"/>
                  </w14:solidFill>
                </w14:textFill>
              </w:rPr>
              <w:t>堆载预压+塑料排水板+反压护道</w:t>
            </w:r>
          </w:p>
        </w:tc>
        <w:tc>
          <w:tcPr>
            <w:tcW w:w="5574" w:type="dxa"/>
            <w:tcBorders>
              <w:top w:val="single" w:color="000000" w:sz="8" w:space="0"/>
              <w:left w:val="single" w:color="000000" w:sz="8" w:space="0"/>
              <w:bottom w:val="single" w:color="000000" w:sz="8" w:space="0"/>
              <w:right w:val="single" w:color="000000" w:sz="8" w:space="0"/>
            </w:tcBorders>
            <w:vAlign w:val="center"/>
          </w:tcPr>
          <w:p>
            <w:pPr>
              <w:spacing w:before="193" w:beforeLines="50"/>
              <w:jc w:val="center"/>
              <w:rPr>
                <w:rFonts w:ascii="Times New Roman" w:hAnsi="Times New Roman"/>
                <w:bCs/>
                <w:color w:val="000000" w:themeColor="text1"/>
                <w:sz w:val="24"/>
                <w:szCs w:val="21"/>
                <w14:textFill>
                  <w14:solidFill>
                    <w14:schemeClr w14:val="tx1"/>
                  </w14:solidFill>
                </w14:textFill>
              </w:rPr>
            </w:pPr>
            <w:r>
              <w:rPr>
                <w:rFonts w:hint="eastAsia" w:ascii="Times New Roman" w:hAnsi="Times New Roman"/>
                <w:b w:val="0"/>
                <w:bCs/>
                <w:color w:val="000000" w:themeColor="text1"/>
                <w:sz w:val="24"/>
                <w14:textFill>
                  <w14:solidFill>
                    <w14:schemeClr w14:val="tx1"/>
                  </w14:solidFill>
                </w14:textFill>
              </w:rPr>
              <w:t>在工期充裕的情况下，造价最低。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jc w:val="center"/>
        </w:trPr>
        <w:tc>
          <w:tcPr>
            <w:tcW w:w="2273" w:type="dxa"/>
            <w:tcBorders>
              <w:top w:val="single" w:color="000000" w:sz="8" w:space="0"/>
              <w:left w:val="single" w:color="000000" w:sz="8" w:space="0"/>
              <w:bottom w:val="single" w:color="000000" w:sz="8" w:space="0"/>
              <w:right w:val="single" w:color="000000" w:sz="8" w:space="0"/>
            </w:tcBorders>
            <w:vAlign w:val="center"/>
          </w:tcPr>
          <w:p>
            <w:pPr>
              <w:spacing w:before="193" w:beforeLines="50"/>
              <w:jc w:val="center"/>
              <w:rPr>
                <w:rFonts w:ascii="Times New Roman" w:hAnsi="Times New Roman"/>
                <w:bCs/>
                <w:color w:val="000000" w:themeColor="text1"/>
                <w:sz w:val="24"/>
                <w:szCs w:val="21"/>
                <w14:textFill>
                  <w14:solidFill>
                    <w14:schemeClr w14:val="tx1"/>
                  </w14:solidFill>
                </w14:textFill>
              </w:rPr>
            </w:pPr>
            <w:r>
              <w:rPr>
                <w:rFonts w:hint="eastAsia" w:ascii="Times New Roman" w:hAnsi="Times New Roman"/>
                <w:bCs/>
                <w:color w:val="000000" w:themeColor="text1"/>
                <w:sz w:val="24"/>
                <w14:textFill>
                  <w14:solidFill>
                    <w14:schemeClr w14:val="tx1"/>
                  </w14:solidFill>
                </w14:textFill>
              </w:rPr>
              <w:t>拟建桥梁桥头</w:t>
            </w:r>
          </w:p>
        </w:tc>
        <w:tc>
          <w:tcPr>
            <w:tcW w:w="2538" w:type="dxa"/>
            <w:tcBorders>
              <w:top w:val="single" w:color="000000" w:sz="8" w:space="0"/>
              <w:left w:val="single" w:color="000000" w:sz="8" w:space="0"/>
              <w:bottom w:val="single" w:color="000000" w:sz="8" w:space="0"/>
              <w:right w:val="single" w:color="000000" w:sz="8" w:space="0"/>
            </w:tcBorders>
            <w:vAlign w:val="center"/>
          </w:tcPr>
          <w:p>
            <w:pPr>
              <w:spacing w:before="193" w:beforeLines="50"/>
              <w:jc w:val="center"/>
              <w:rPr>
                <w:rFonts w:ascii="Times New Roman" w:hAnsi="Times New Roman"/>
                <w:bCs/>
                <w:color w:val="000000" w:themeColor="text1"/>
                <w:sz w:val="24"/>
                <w:szCs w:val="21"/>
                <w14:textFill>
                  <w14:solidFill>
                    <w14:schemeClr w14:val="tx1"/>
                  </w14:solidFill>
                </w14:textFill>
              </w:rPr>
            </w:pPr>
            <w:r>
              <w:rPr>
                <w:rFonts w:hint="eastAsia" w:ascii="Times New Roman" w:hAnsi="Times New Roman"/>
                <w:b w:val="0"/>
                <w:bCs/>
                <w:color w:val="000000" w:themeColor="text1"/>
                <w:sz w:val="24"/>
                <w14:textFill>
                  <w14:solidFill>
                    <w14:schemeClr w14:val="tx1"/>
                  </w14:solidFill>
                </w14:textFill>
              </w:rPr>
              <w:t>管桩处理</w:t>
            </w:r>
          </w:p>
        </w:tc>
        <w:tc>
          <w:tcPr>
            <w:tcW w:w="5574" w:type="dxa"/>
            <w:tcBorders>
              <w:top w:val="single" w:color="000000" w:sz="8" w:space="0"/>
              <w:left w:val="single" w:color="000000" w:sz="8" w:space="0"/>
              <w:bottom w:val="single" w:color="000000" w:sz="8" w:space="0"/>
              <w:right w:val="single" w:color="000000" w:sz="8" w:space="0"/>
            </w:tcBorders>
            <w:vAlign w:val="center"/>
          </w:tcPr>
          <w:p>
            <w:pPr>
              <w:spacing w:before="193" w:beforeLines="50"/>
              <w:jc w:val="center"/>
              <w:rPr>
                <w:rFonts w:ascii="Times New Roman" w:hAnsi="Times New Roman"/>
                <w:bCs/>
                <w:color w:val="000000" w:themeColor="text1"/>
                <w:sz w:val="24"/>
                <w:szCs w:val="21"/>
                <w14:textFill>
                  <w14:solidFill>
                    <w14:schemeClr w14:val="tx1"/>
                  </w14:solidFill>
                </w14:textFill>
              </w:rPr>
            </w:pPr>
            <w:r>
              <w:rPr>
                <w:rFonts w:hint="eastAsia" w:ascii="Times New Roman" w:hAnsi="Times New Roman"/>
                <w:b w:val="0"/>
                <w:bCs/>
                <w:color w:val="000000" w:themeColor="text1"/>
                <w:sz w:val="24"/>
                <w14:textFill>
                  <w14:solidFill>
                    <w14:schemeClr w14:val="tx1"/>
                  </w14:solidFill>
                </w14:textFill>
              </w:rPr>
              <w:t>本工程软土深厚，排水固结软基处理+水泥搅拌桩短桩处理深度较小，软土较深时工后沉降较大，不满足桥头沉降标准。桥梁工后沉降极小，为减小工后差异沉降，此处采用管桩方案。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jc w:val="center"/>
        </w:trPr>
        <w:tc>
          <w:tcPr>
            <w:tcW w:w="2273" w:type="dxa"/>
            <w:tcBorders>
              <w:top w:val="single" w:color="000000" w:sz="8" w:space="0"/>
              <w:left w:val="single" w:color="000000" w:sz="8" w:space="0"/>
              <w:bottom w:val="single" w:color="000000" w:sz="8" w:space="0"/>
              <w:right w:val="single" w:color="000000" w:sz="8" w:space="0"/>
            </w:tcBorders>
            <w:vAlign w:val="center"/>
          </w:tcPr>
          <w:p>
            <w:pPr>
              <w:spacing w:before="193" w:beforeLines="50"/>
              <w:jc w:val="center"/>
              <w:rPr>
                <w:rFonts w:ascii="Times New Roman" w:hAnsi="Times New Roman"/>
                <w:bCs/>
                <w:color w:val="000000" w:themeColor="text1"/>
                <w:sz w:val="24"/>
                <w14:textFill>
                  <w14:solidFill>
                    <w14:schemeClr w14:val="tx1"/>
                  </w14:solidFill>
                </w14:textFill>
              </w:rPr>
            </w:pPr>
            <w:r>
              <w:rPr>
                <w:rFonts w:hint="eastAsia" w:ascii="Times New Roman" w:hAnsi="Times New Roman"/>
                <w:bCs/>
                <w:color w:val="000000" w:themeColor="text1"/>
                <w:sz w:val="24"/>
                <w14:textFill>
                  <w14:solidFill>
                    <w14:schemeClr w14:val="tx1"/>
                  </w14:solidFill>
                </w14:textFill>
              </w:rPr>
              <w:t>与旧路相接段</w:t>
            </w:r>
          </w:p>
          <w:p>
            <w:pPr>
              <w:spacing w:before="193" w:beforeLines="50"/>
              <w:jc w:val="center"/>
              <w:rPr>
                <w:rFonts w:ascii="Times New Roman" w:hAnsi="Times New Roman"/>
                <w:bCs/>
                <w:color w:val="000000" w:themeColor="text1"/>
                <w:sz w:val="24"/>
                <w:szCs w:val="21"/>
                <w14:textFill>
                  <w14:solidFill>
                    <w14:schemeClr w14:val="tx1"/>
                  </w14:solidFill>
                </w14:textFill>
              </w:rPr>
            </w:pPr>
            <w:r>
              <w:rPr>
                <w:rFonts w:hint="eastAsia" w:ascii="Times New Roman" w:hAnsi="Times New Roman"/>
                <w:bCs/>
                <w:color w:val="000000" w:themeColor="text1"/>
                <w:sz w:val="24"/>
                <w14:textFill>
                  <w14:solidFill>
                    <w14:schemeClr w14:val="tx1"/>
                  </w14:solidFill>
                </w14:textFill>
              </w:rPr>
              <w:t>刚性桩-堆载预压过渡段</w:t>
            </w:r>
          </w:p>
        </w:tc>
        <w:tc>
          <w:tcPr>
            <w:tcW w:w="2538" w:type="dxa"/>
            <w:tcBorders>
              <w:top w:val="single" w:color="000000" w:sz="8" w:space="0"/>
              <w:left w:val="single" w:color="000000" w:sz="8" w:space="0"/>
              <w:bottom w:val="single" w:color="000000" w:sz="8" w:space="0"/>
              <w:right w:val="single" w:color="000000" w:sz="8" w:space="0"/>
            </w:tcBorders>
            <w:vAlign w:val="center"/>
          </w:tcPr>
          <w:p>
            <w:pPr>
              <w:spacing w:before="193" w:beforeLines="50"/>
              <w:jc w:val="center"/>
              <w:rPr>
                <w:rFonts w:ascii="Times New Roman" w:hAnsi="Times New Roman"/>
                <w:bCs/>
                <w:color w:val="000000" w:themeColor="text1"/>
                <w:sz w:val="24"/>
                <w:szCs w:val="21"/>
                <w14:textFill>
                  <w14:solidFill>
                    <w14:schemeClr w14:val="tx1"/>
                  </w14:solidFill>
                </w14:textFill>
              </w:rPr>
            </w:pPr>
            <w:r>
              <w:rPr>
                <w:rFonts w:hint="eastAsia" w:ascii="Times New Roman" w:hAnsi="Times New Roman"/>
                <w:b w:val="0"/>
                <w:bCs/>
                <w:color w:val="000000" w:themeColor="text1"/>
                <w:sz w:val="24"/>
                <w14:textFill>
                  <w14:solidFill>
                    <w14:schemeClr w14:val="tx1"/>
                  </w14:solidFill>
                </w14:textFill>
              </w:rPr>
              <w:t>大直径搅拌桩复合地基</w:t>
            </w:r>
          </w:p>
        </w:tc>
        <w:tc>
          <w:tcPr>
            <w:tcW w:w="5574" w:type="dxa"/>
            <w:tcBorders>
              <w:top w:val="single" w:color="000000" w:sz="8" w:space="0"/>
              <w:left w:val="single" w:color="000000" w:sz="8" w:space="0"/>
              <w:bottom w:val="single" w:color="000000" w:sz="8" w:space="0"/>
              <w:right w:val="single" w:color="000000" w:sz="8" w:space="0"/>
            </w:tcBorders>
            <w:vAlign w:val="center"/>
          </w:tcPr>
          <w:p>
            <w:pPr>
              <w:spacing w:before="193" w:beforeLines="50"/>
              <w:jc w:val="center"/>
              <w:rPr>
                <w:rFonts w:ascii="Times New Roman" w:hAnsi="Times New Roman"/>
                <w:bCs/>
                <w:color w:val="000000" w:themeColor="text1"/>
                <w:sz w:val="24"/>
                <w:szCs w:val="21"/>
                <w14:textFill>
                  <w14:solidFill>
                    <w14:schemeClr w14:val="tx1"/>
                  </w14:solidFill>
                </w14:textFill>
              </w:rPr>
            </w:pPr>
            <w:r>
              <w:rPr>
                <w:rFonts w:hint="eastAsia" w:ascii="Times New Roman" w:hAnsi="Times New Roman"/>
                <w:b w:val="0"/>
                <w:bCs/>
                <w:color w:val="000000" w:themeColor="text1"/>
                <w:sz w:val="24"/>
                <w14:textFill>
                  <w14:solidFill>
                    <w14:schemeClr w14:val="tx1"/>
                  </w14:solidFill>
                </w14:textFill>
              </w:rPr>
              <w:t>与本项目相接的路段，相接位置为路口，且采用管桩处理。一般路段采用堆载预压处理，为减小管桩复合地基与堆载预压路段之间的差异沉降，采用大直径搅拌桩复合地基进行过渡处理。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jc w:val="center"/>
        </w:trPr>
        <w:tc>
          <w:tcPr>
            <w:tcW w:w="2273" w:type="dxa"/>
            <w:tcBorders>
              <w:top w:val="single" w:color="000000" w:sz="8" w:space="0"/>
              <w:left w:val="single" w:color="000000" w:sz="8" w:space="0"/>
              <w:bottom w:val="single" w:color="000000" w:sz="8" w:space="0"/>
              <w:right w:val="single" w:color="000000" w:sz="8" w:space="0"/>
            </w:tcBorders>
            <w:vAlign w:val="center"/>
          </w:tcPr>
          <w:p>
            <w:pPr>
              <w:spacing w:before="193" w:beforeLines="50"/>
              <w:jc w:val="center"/>
              <w:rPr>
                <w:rFonts w:ascii="Times New Roman" w:hAnsi="Times New Roman"/>
                <w:bCs/>
                <w:color w:val="000000" w:themeColor="text1"/>
                <w:sz w:val="24"/>
                <w:szCs w:val="21"/>
                <w14:textFill>
                  <w14:solidFill>
                    <w14:schemeClr w14:val="tx1"/>
                  </w14:solidFill>
                </w14:textFill>
              </w:rPr>
            </w:pPr>
            <w:r>
              <w:rPr>
                <w:rFonts w:hint="eastAsia" w:ascii="Times New Roman" w:hAnsi="Times New Roman"/>
                <w:bCs/>
                <w:color w:val="000000" w:themeColor="text1"/>
                <w:sz w:val="24"/>
                <w14:textFill>
                  <w14:solidFill>
                    <w14:schemeClr w14:val="tx1"/>
                  </w14:solidFill>
                </w14:textFill>
              </w:rPr>
              <w:t>与河涌相邻路段</w:t>
            </w:r>
          </w:p>
        </w:tc>
        <w:tc>
          <w:tcPr>
            <w:tcW w:w="2538" w:type="dxa"/>
            <w:tcBorders>
              <w:top w:val="single" w:color="000000" w:sz="8" w:space="0"/>
              <w:left w:val="single" w:color="000000" w:sz="8" w:space="0"/>
              <w:bottom w:val="single" w:color="000000" w:sz="8" w:space="0"/>
              <w:right w:val="single" w:color="000000" w:sz="8" w:space="0"/>
            </w:tcBorders>
            <w:vAlign w:val="center"/>
          </w:tcPr>
          <w:p>
            <w:pPr>
              <w:spacing w:before="193" w:beforeLines="50"/>
              <w:jc w:val="center"/>
              <w:rPr>
                <w:rFonts w:ascii="Times New Roman" w:hAnsi="Times New Roman"/>
                <w:b w:val="0"/>
                <w:bCs/>
                <w:color w:val="000000" w:themeColor="text1"/>
                <w:sz w:val="24"/>
                <w14:textFill>
                  <w14:solidFill>
                    <w14:schemeClr w14:val="tx1"/>
                  </w14:solidFill>
                </w14:textFill>
              </w:rPr>
            </w:pPr>
            <w:r>
              <w:rPr>
                <w:rFonts w:hint="eastAsia" w:ascii="Times New Roman" w:hAnsi="Times New Roman"/>
                <w:b w:val="0"/>
                <w:bCs/>
                <w:color w:val="000000" w:themeColor="text1"/>
                <w:sz w:val="24"/>
                <w14:textFill>
                  <w14:solidFill>
                    <w14:schemeClr w14:val="tx1"/>
                  </w14:solidFill>
                </w14:textFill>
              </w:rPr>
              <w:t>①  与本路段同期实施的河涌侧道路，且景观堤缓坡接规划道路的，道路可采用堆载预压+塑料排水板方案</w:t>
            </w:r>
          </w:p>
        </w:tc>
        <w:tc>
          <w:tcPr>
            <w:tcW w:w="5574" w:type="dxa"/>
            <w:tcBorders>
              <w:top w:val="single" w:color="000000" w:sz="8" w:space="0"/>
              <w:left w:val="single" w:color="000000" w:sz="8" w:space="0"/>
              <w:bottom w:val="single" w:color="000000" w:sz="8" w:space="0"/>
              <w:right w:val="single" w:color="000000" w:sz="8" w:space="0"/>
            </w:tcBorders>
            <w:vAlign w:val="center"/>
          </w:tcPr>
          <w:p>
            <w:pPr>
              <w:pStyle w:val="67"/>
              <w:numPr>
                <w:ilvl w:val="0"/>
                <w:numId w:val="18"/>
              </w:numPr>
              <w:spacing w:before="193" w:beforeLines="50"/>
              <w:ind w:firstLineChars="0"/>
              <w:rPr>
                <w:rFonts w:ascii="Times New Roman" w:hAnsi="Times New Roman"/>
                <w:b w:val="0"/>
                <w:bCs/>
                <w:color w:val="000000" w:themeColor="text1"/>
                <w:sz w:val="24"/>
                <w14:textFill>
                  <w14:solidFill>
                    <w14:schemeClr w14:val="tx1"/>
                  </w14:solidFill>
                </w14:textFill>
              </w:rPr>
            </w:pPr>
            <w:r>
              <w:rPr>
                <w:rFonts w:ascii="Times New Roman" w:hAnsi="Times New Roman"/>
                <w:b w:val="0"/>
                <w:bCs/>
                <w:color w:val="000000" w:themeColor="text1"/>
                <w:sz w:val="24"/>
                <w14:textFill>
                  <w14:solidFill>
                    <w14:schemeClr w14:val="tx1"/>
                  </w14:solidFill>
                </w14:textFill>
              </w:rPr>
              <w:t>规划二十涌北路</w:t>
            </w:r>
            <w:r>
              <w:rPr>
                <w:rFonts w:hint="eastAsia" w:ascii="Times New Roman" w:hAnsi="Times New Roman"/>
                <w:b w:val="0"/>
                <w:bCs/>
                <w:color w:val="000000" w:themeColor="text1"/>
                <w:sz w:val="24"/>
                <w14:textFill>
                  <w14:solidFill>
                    <w14:schemeClr w14:val="tx1"/>
                  </w14:solidFill>
                </w14:textFill>
              </w:rPr>
              <w:t>：景观堤缓坡接规划道路，道路两侧与景观堤之间有足够空间设置路基放坡和反压护道的，道路采用堆载预压+塑料排水板方案，道路反压护道。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jc w:val="center"/>
        </w:trPr>
        <w:tc>
          <w:tcPr>
            <w:tcW w:w="2273" w:type="dxa"/>
            <w:tcBorders>
              <w:top w:val="single" w:color="000000" w:sz="8" w:space="0"/>
              <w:left w:val="single" w:color="000000" w:sz="8" w:space="0"/>
              <w:bottom w:val="single" w:color="000000" w:sz="8" w:space="0"/>
              <w:right w:val="single" w:color="000000" w:sz="8" w:space="0"/>
            </w:tcBorders>
            <w:vAlign w:val="center"/>
          </w:tcPr>
          <w:p>
            <w:pPr>
              <w:spacing w:before="193" w:beforeLines="50"/>
              <w:jc w:val="center"/>
              <w:rPr>
                <w:rFonts w:ascii="Times New Roman" w:hAnsi="Times New Roman"/>
                <w:bCs/>
                <w:color w:val="000000" w:themeColor="text1"/>
                <w:sz w:val="24"/>
                <w14:textFill>
                  <w14:solidFill>
                    <w14:schemeClr w14:val="tx1"/>
                  </w14:solidFill>
                </w14:textFill>
              </w:rPr>
            </w:pPr>
            <w:r>
              <w:rPr>
                <w:rFonts w:hint="eastAsia" w:ascii="Times New Roman" w:hAnsi="Times New Roman"/>
                <w:bCs/>
                <w:color w:val="000000" w:themeColor="text1"/>
                <w:sz w:val="24"/>
                <w14:textFill>
                  <w14:solidFill>
                    <w14:schemeClr w14:val="tx1"/>
                  </w14:solidFill>
                </w14:textFill>
              </w:rPr>
              <w:t>地下轨道交通</w:t>
            </w:r>
          </w:p>
        </w:tc>
        <w:tc>
          <w:tcPr>
            <w:tcW w:w="2538" w:type="dxa"/>
            <w:tcBorders>
              <w:top w:val="single" w:color="000000" w:sz="8" w:space="0"/>
              <w:left w:val="single" w:color="000000" w:sz="8" w:space="0"/>
              <w:bottom w:val="single" w:color="000000" w:sz="8" w:space="0"/>
              <w:right w:val="single" w:color="000000" w:sz="8" w:space="0"/>
            </w:tcBorders>
            <w:vAlign w:val="center"/>
          </w:tcPr>
          <w:p>
            <w:pPr>
              <w:spacing w:before="193" w:beforeLines="50"/>
              <w:jc w:val="center"/>
              <w:rPr>
                <w:rFonts w:ascii="Times New Roman" w:hAnsi="Times New Roman"/>
                <w:b w:val="0"/>
                <w:bCs/>
                <w:color w:val="000000" w:themeColor="text1"/>
                <w:sz w:val="24"/>
                <w14:textFill>
                  <w14:solidFill>
                    <w14:schemeClr w14:val="tx1"/>
                  </w14:solidFill>
                </w14:textFill>
              </w:rPr>
            </w:pPr>
            <w:r>
              <w:rPr>
                <w:rFonts w:hint="eastAsia" w:ascii="Times New Roman" w:hAnsi="Times New Roman"/>
                <w:b w:val="0"/>
                <w:bCs/>
                <w:color w:val="000000" w:themeColor="text1"/>
                <w:sz w:val="24"/>
                <w14:textFill>
                  <w14:solidFill>
                    <w14:schemeClr w14:val="tx1"/>
                  </w14:solidFill>
                </w14:textFill>
              </w:rPr>
              <w:t>区间路段：大直径搅拌桩复合地基</w:t>
            </w:r>
          </w:p>
        </w:tc>
        <w:tc>
          <w:tcPr>
            <w:tcW w:w="5574" w:type="dxa"/>
            <w:tcBorders>
              <w:top w:val="single" w:color="000000" w:sz="8" w:space="0"/>
              <w:left w:val="single" w:color="000000" w:sz="8" w:space="0"/>
              <w:bottom w:val="single" w:color="000000" w:sz="8" w:space="0"/>
              <w:right w:val="single" w:color="000000" w:sz="8" w:space="0"/>
            </w:tcBorders>
            <w:vAlign w:val="center"/>
          </w:tcPr>
          <w:p>
            <w:pPr>
              <w:spacing w:before="193" w:beforeLines="50"/>
              <w:jc w:val="center"/>
              <w:rPr>
                <w:rFonts w:ascii="Times New Roman" w:hAnsi="Times New Roman"/>
                <w:b w:val="0"/>
                <w:bCs/>
                <w:color w:val="000000" w:themeColor="text1"/>
                <w:sz w:val="24"/>
                <w14:textFill>
                  <w14:solidFill>
                    <w14:schemeClr w14:val="tx1"/>
                  </w14:solidFill>
                </w14:textFill>
              </w:rPr>
            </w:pPr>
            <w:r>
              <w:rPr>
                <w:rFonts w:hint="eastAsia" w:ascii="Times New Roman" w:hAnsi="Times New Roman"/>
                <w:b w:val="0"/>
                <w:bCs/>
                <w:color w:val="000000" w:themeColor="text1"/>
                <w:sz w:val="24"/>
                <w14:textFill>
                  <w14:solidFill>
                    <w14:schemeClr w14:val="tx1"/>
                  </w14:solidFill>
                </w14:textFill>
              </w:rPr>
              <w:t>①地下轨道交通，隧道宽度8.5m，考虑避免对地铁区间施工影响，采用大直径搅拌桩复合地基。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jc w:val="center"/>
        </w:trPr>
        <w:tc>
          <w:tcPr>
            <w:tcW w:w="2273" w:type="dxa"/>
            <w:tcBorders>
              <w:top w:val="single" w:color="000000" w:sz="8" w:space="0"/>
              <w:left w:val="single" w:color="000000" w:sz="8" w:space="0"/>
              <w:bottom w:val="single" w:color="000000" w:sz="8" w:space="0"/>
              <w:right w:val="single" w:color="000000" w:sz="8" w:space="0"/>
            </w:tcBorders>
            <w:vAlign w:val="center"/>
          </w:tcPr>
          <w:p>
            <w:pPr>
              <w:spacing w:before="193" w:beforeLines="50"/>
              <w:jc w:val="center"/>
              <w:rPr>
                <w:rFonts w:ascii="Times New Roman" w:hAnsi="Times New Roman"/>
                <w:bCs/>
                <w:color w:val="000000" w:themeColor="text1"/>
                <w:sz w:val="24"/>
                <w14:textFill>
                  <w14:solidFill>
                    <w14:schemeClr w14:val="tx1"/>
                  </w14:solidFill>
                </w14:textFill>
              </w:rPr>
            </w:pPr>
            <w:r>
              <w:rPr>
                <w:rFonts w:hint="eastAsia" w:ascii="Times New Roman" w:hAnsi="Times New Roman"/>
                <w:bCs/>
                <w:color w:val="000000" w:themeColor="text1"/>
                <w:sz w:val="24"/>
                <w14:textFill>
                  <w14:solidFill>
                    <w14:schemeClr w14:val="tx1"/>
                  </w14:solidFill>
                </w14:textFill>
              </w:rPr>
              <w:t>与综合体相接段</w:t>
            </w:r>
          </w:p>
        </w:tc>
        <w:tc>
          <w:tcPr>
            <w:tcW w:w="2538" w:type="dxa"/>
            <w:tcBorders>
              <w:top w:val="single" w:color="000000" w:sz="8" w:space="0"/>
              <w:left w:val="single" w:color="000000" w:sz="8" w:space="0"/>
              <w:bottom w:val="single" w:color="000000" w:sz="8" w:space="0"/>
              <w:right w:val="single" w:color="000000" w:sz="8" w:space="0"/>
            </w:tcBorders>
            <w:vAlign w:val="center"/>
          </w:tcPr>
          <w:p>
            <w:pPr>
              <w:spacing w:before="193" w:beforeLines="50"/>
              <w:jc w:val="center"/>
              <w:rPr>
                <w:rFonts w:ascii="Times New Roman" w:hAnsi="Times New Roman"/>
                <w:bCs/>
                <w:color w:val="000000" w:themeColor="text1"/>
                <w:sz w:val="24"/>
                <w:szCs w:val="21"/>
                <w14:textFill>
                  <w14:solidFill>
                    <w14:schemeClr w14:val="tx1"/>
                  </w14:solidFill>
                </w14:textFill>
              </w:rPr>
            </w:pPr>
            <w:r>
              <w:rPr>
                <w:rFonts w:hint="eastAsia" w:ascii="Times New Roman" w:hAnsi="Times New Roman"/>
                <w:b w:val="0"/>
                <w:bCs/>
                <w:color w:val="000000" w:themeColor="text1"/>
                <w:sz w:val="24"/>
                <w14:textFill>
                  <w14:solidFill>
                    <w14:schemeClr w14:val="tx1"/>
                  </w14:solidFill>
                </w14:textFill>
              </w:rPr>
              <w:t>双向水泥搅拌桩复合地基</w:t>
            </w:r>
          </w:p>
        </w:tc>
        <w:tc>
          <w:tcPr>
            <w:tcW w:w="5574" w:type="dxa"/>
            <w:tcBorders>
              <w:top w:val="single" w:color="000000" w:sz="8" w:space="0"/>
              <w:left w:val="single" w:color="000000" w:sz="8" w:space="0"/>
              <w:bottom w:val="single" w:color="000000" w:sz="8" w:space="0"/>
              <w:right w:val="single" w:color="000000" w:sz="8" w:space="0"/>
            </w:tcBorders>
            <w:vAlign w:val="center"/>
          </w:tcPr>
          <w:p>
            <w:pPr>
              <w:spacing w:before="193" w:beforeLines="50"/>
              <w:jc w:val="center"/>
              <w:rPr>
                <w:rFonts w:ascii="Times New Roman" w:hAnsi="Times New Roman"/>
                <w:bCs/>
                <w:color w:val="000000" w:themeColor="text1"/>
                <w:sz w:val="24"/>
                <w:szCs w:val="21"/>
                <w14:textFill>
                  <w14:solidFill>
                    <w14:schemeClr w14:val="tx1"/>
                  </w14:solidFill>
                </w14:textFill>
              </w:rPr>
            </w:pPr>
            <w:r>
              <w:rPr>
                <w:rFonts w:hint="eastAsia" w:ascii="Times New Roman" w:hAnsi="Times New Roman"/>
                <w:b w:val="0"/>
                <w:bCs/>
                <w:color w:val="000000" w:themeColor="text1"/>
                <w:sz w:val="24"/>
                <w14:textFill>
                  <w14:solidFill>
                    <w14:schemeClr w14:val="tx1"/>
                  </w14:solidFill>
                </w14:textFill>
              </w:rPr>
              <w:t>规划纵三路南段：与综合体相接的路段，综合体场坪范围已经打设20m排水板，综合体内道路和场馆采用管桩和灌注桩基础，为减小与管桩复合地基的差异沉降，采用双向水泥搅拌桩复合地基进行处理。</w:t>
            </w:r>
          </w:p>
        </w:tc>
      </w:tr>
    </w:tbl>
    <w:p>
      <w:pPr>
        <w:spacing w:line="300" w:lineRule="auto"/>
        <w:ind w:firstLine="480" w:firstLineChars="200"/>
        <w:rPr>
          <w:rFonts w:ascii="Times New Roman" w:hAnsi="Times New Roman"/>
          <w:b w:val="0"/>
          <w:color w:val="000000" w:themeColor="text1"/>
          <w:sz w:val="24"/>
          <w14:textFill>
            <w14:solidFill>
              <w14:schemeClr w14:val="tx1"/>
            </w14:solidFill>
          </w14:textFill>
        </w:rPr>
      </w:pPr>
    </w:p>
    <w:p>
      <w:pPr>
        <w:numPr>
          <w:ilvl w:val="0"/>
          <w:numId w:val="19"/>
        </w:numPr>
        <w:spacing w:line="360" w:lineRule="auto"/>
        <w:jc w:val="left"/>
        <w:rPr>
          <w:rFonts w:ascii="Times New Roman" w:hAnsi="Times New Roman"/>
          <w:bCs/>
          <w:color w:val="auto"/>
          <w:kern w:val="0"/>
          <w:sz w:val="24"/>
          <w:szCs w:val="20"/>
        </w:rPr>
      </w:pPr>
      <w:r>
        <w:rPr>
          <w:rFonts w:hint="eastAsia" w:ascii="Times New Roman" w:hAnsi="Times New Roman"/>
          <w:bCs/>
          <w:color w:val="auto"/>
          <w:kern w:val="0"/>
          <w:sz w:val="24"/>
          <w:szCs w:val="20"/>
        </w:rPr>
        <w:t>一般路段堆载预压处理设计</w:t>
      </w:r>
    </w:p>
    <w:p>
      <w:pPr>
        <w:spacing w:line="360" w:lineRule="auto"/>
        <w:ind w:firstLine="480" w:firstLineChars="200"/>
        <w:rPr>
          <w:rFonts w:ascii="Times New Roman" w:hAnsi="Times New Roman"/>
          <w:b w:val="0"/>
          <w:color w:val="000000" w:themeColor="text1"/>
          <w:sz w:val="24"/>
          <w14:textFill>
            <w14:solidFill>
              <w14:schemeClr w14:val="tx1"/>
            </w14:solidFill>
          </w14:textFill>
        </w:rPr>
      </w:pPr>
      <w:r>
        <w:rPr>
          <w:rFonts w:ascii="Times New Roman" w:hAnsi="Times New Roman"/>
          <w:b w:val="0"/>
          <w:color w:val="000000" w:themeColor="text1"/>
          <w:sz w:val="24"/>
          <w14:textFill>
            <w14:solidFill>
              <w14:schemeClr w14:val="tx1"/>
            </w14:solidFill>
          </w14:textFill>
        </w:rPr>
        <w:t>一般路段软基处理采用塑料排水板堆载预压的方案，堆载预压土方与路基土要求一致，塑料排水板采用C型，间距1.2m，按正三角形布置，排水板打穿淤泥进入下卧层。板长大于25m的，取25m。总预压荷载下，堆载期限不小于8个月。考虑周边地块处理时对本项目在建或已成道路基础造成不利影响，并考虑</w:t>
      </w:r>
      <w:r>
        <w:rPr>
          <w:rFonts w:hint="eastAsia" w:ascii="Times New Roman" w:hAnsi="Times New Roman"/>
          <w:b w:val="0"/>
          <w:color w:val="000000" w:themeColor="text1"/>
          <w:sz w:val="24"/>
          <w14:textFill>
            <w14:solidFill>
              <w14:schemeClr w14:val="tx1"/>
            </w14:solidFill>
          </w14:textFill>
        </w:rPr>
        <w:t>20</w:t>
      </w:r>
      <w:r>
        <w:rPr>
          <w:rFonts w:ascii="Times New Roman" w:hAnsi="Times New Roman"/>
          <w:b w:val="0"/>
          <w:color w:val="000000" w:themeColor="text1"/>
          <w:sz w:val="24"/>
          <w14:textFill>
            <w14:solidFill>
              <w14:schemeClr w14:val="tx1"/>
            </w14:solidFill>
          </w14:textFill>
        </w:rPr>
        <w:t>m反压护道</w:t>
      </w:r>
      <w:r>
        <w:rPr>
          <w:rFonts w:hint="eastAsia" w:ascii="Times New Roman" w:hAnsi="Times New Roman"/>
          <w:b w:val="0"/>
          <w:color w:val="000000" w:themeColor="text1"/>
          <w:sz w:val="24"/>
          <w14:textFill>
            <w14:solidFill>
              <w14:schemeClr w14:val="tx1"/>
            </w14:solidFill>
          </w14:textFill>
        </w:rPr>
        <w:t>。</w:t>
      </w:r>
    </w:p>
    <w:p>
      <w:pPr>
        <w:numPr>
          <w:ilvl w:val="0"/>
          <w:numId w:val="19"/>
        </w:numPr>
        <w:spacing w:line="360" w:lineRule="auto"/>
        <w:jc w:val="left"/>
        <w:rPr>
          <w:rFonts w:ascii="Times New Roman" w:hAnsi="Times New Roman"/>
          <w:bCs/>
          <w:color w:val="auto"/>
          <w:kern w:val="0"/>
          <w:sz w:val="24"/>
          <w:szCs w:val="20"/>
        </w:rPr>
      </w:pPr>
      <w:r>
        <w:rPr>
          <w:rFonts w:hint="eastAsia" w:ascii="Times New Roman" w:hAnsi="Times New Roman"/>
          <w:bCs/>
          <w:color w:val="auto"/>
          <w:kern w:val="0"/>
          <w:sz w:val="24"/>
          <w:szCs w:val="20"/>
        </w:rPr>
        <w:t>拟建桥梁桥头地基处理设计</w:t>
      </w:r>
    </w:p>
    <w:p>
      <w:pPr>
        <w:spacing w:line="360" w:lineRule="auto"/>
        <w:ind w:firstLine="482" w:firstLineChars="200"/>
        <w:jc w:val="left"/>
        <w:rPr>
          <w:rFonts w:ascii="Times New Roman" w:hAnsi="Times New Roman"/>
          <w:bCs/>
          <w:color w:val="auto"/>
          <w:kern w:val="0"/>
          <w:sz w:val="24"/>
          <w:szCs w:val="21"/>
        </w:rPr>
      </w:pPr>
      <w:r>
        <w:rPr>
          <w:rFonts w:hint="eastAsia" w:ascii="Times New Roman" w:hAnsi="Times New Roman"/>
          <w:bCs/>
          <w:color w:val="auto"/>
          <w:kern w:val="0"/>
          <w:sz w:val="24"/>
          <w:szCs w:val="20"/>
        </w:rPr>
        <w:t>桥梁工后沉降极小，为减小工后差异沉降，此处采用管桩方案。</w:t>
      </w:r>
    </w:p>
    <w:p>
      <w:pPr>
        <w:spacing w:line="360" w:lineRule="auto"/>
        <w:ind w:firstLine="480" w:firstLineChars="200"/>
        <w:rPr>
          <w:rFonts w:ascii="Times New Roman" w:hAnsi="Times New Roman"/>
          <w:b w:val="0"/>
          <w:bCs/>
          <w:color w:val="auto"/>
          <w:sz w:val="24"/>
          <w:szCs w:val="21"/>
        </w:rPr>
      </w:pPr>
      <w:r>
        <w:rPr>
          <w:rFonts w:hint="eastAsia" w:ascii="Times New Roman" w:hAnsi="Times New Roman"/>
          <w:b w:val="0"/>
          <w:bCs/>
          <w:color w:val="auto"/>
          <w:sz w:val="24"/>
          <w:szCs w:val="21"/>
        </w:rPr>
        <w:t>桩体选用</w:t>
      </w:r>
      <w:r>
        <w:rPr>
          <w:rFonts w:ascii="Times New Roman" w:hAnsi="Times New Roman"/>
          <w:b w:val="0"/>
          <w:bCs/>
          <w:color w:val="auto"/>
          <w:sz w:val="24"/>
          <w:szCs w:val="21"/>
        </w:rPr>
        <w:t>PTC</w:t>
      </w:r>
      <w:r>
        <w:rPr>
          <w:rFonts w:hint="eastAsia" w:ascii="Times New Roman" w:hAnsi="Times New Roman"/>
          <w:b w:val="0"/>
          <w:bCs/>
          <w:color w:val="auto"/>
          <w:sz w:val="24"/>
          <w:szCs w:val="21"/>
        </w:rPr>
        <w:t>预应力薄壁砼管桩，外直径为40cm，壁厚为6cm，管桩离心砼强度为C80。桩顶桩帽及纵横向系梁采用C35钢筋砼。管桩尖为十字形钢桩尖。管桩采用锤击法施工（靠近构筑物时采用静压法施工）。管桩按正方形布置，中间设塑料排水板增加排水通道。场地平整后先施工排水板进行固结，待沉降稳定后进行沉降补方填筑，然后再进行管桩复合地基（管桩、桩帽、碎石垫层、土工格栅）施工。塑料排水板采用C型，截面100x4.5mm，按正方形布置，间距为1</w:t>
      </w:r>
      <w:r>
        <w:rPr>
          <w:rFonts w:ascii="Times New Roman" w:hAnsi="Times New Roman"/>
          <w:b w:val="0"/>
          <w:bCs/>
          <w:color w:val="auto"/>
          <w:sz w:val="24"/>
          <w:szCs w:val="21"/>
        </w:rPr>
        <w:t>.2m</w:t>
      </w:r>
      <w:r>
        <w:rPr>
          <w:rFonts w:hint="eastAsia" w:ascii="Times New Roman" w:hAnsi="Times New Roman"/>
          <w:b w:val="0"/>
          <w:bCs/>
          <w:color w:val="auto"/>
          <w:sz w:val="24"/>
          <w:szCs w:val="21"/>
        </w:rPr>
        <w:t>。塑料排水板原则上要求穿过淤泥质软土层及软弱下卧层，当软土层底面深度超过24.5米时，排水板的施工深度按2</w:t>
      </w:r>
      <w:r>
        <w:rPr>
          <w:rFonts w:ascii="Times New Roman" w:hAnsi="Times New Roman"/>
          <w:b w:val="0"/>
          <w:bCs/>
          <w:color w:val="auto"/>
          <w:sz w:val="24"/>
          <w:szCs w:val="21"/>
        </w:rPr>
        <w:t>0</w:t>
      </w:r>
      <w:r>
        <w:rPr>
          <w:rFonts w:hint="eastAsia" w:ascii="Times New Roman" w:hAnsi="Times New Roman"/>
          <w:b w:val="0"/>
          <w:bCs/>
          <w:color w:val="auto"/>
          <w:sz w:val="24"/>
          <w:szCs w:val="21"/>
        </w:rPr>
        <w:t>米控制。当下覆土层中存在透水砂层时，应控制塑料板打穿软土层底面进入砂层不小于50cm。</w:t>
      </w:r>
    </w:p>
    <w:p>
      <w:pPr>
        <w:numPr>
          <w:ilvl w:val="0"/>
          <w:numId w:val="19"/>
        </w:numPr>
        <w:spacing w:line="360" w:lineRule="auto"/>
        <w:jc w:val="left"/>
        <w:rPr>
          <w:rFonts w:ascii="Times New Roman" w:hAnsi="Times New Roman"/>
          <w:bCs/>
          <w:color w:val="auto"/>
          <w:kern w:val="0"/>
          <w:sz w:val="24"/>
          <w:szCs w:val="20"/>
        </w:rPr>
      </w:pPr>
      <w:r>
        <w:rPr>
          <w:rFonts w:hint="eastAsia" w:ascii="Times New Roman" w:hAnsi="Times New Roman"/>
          <w:bCs/>
          <w:color w:val="auto"/>
          <w:kern w:val="0"/>
          <w:sz w:val="24"/>
          <w:szCs w:val="20"/>
        </w:rPr>
        <w:t>与旧路相接段及刚性桩-堆载预压过渡段</w:t>
      </w:r>
    </w:p>
    <w:p>
      <w:pPr>
        <w:spacing w:line="360" w:lineRule="auto"/>
        <w:ind w:firstLine="482" w:firstLineChars="200"/>
        <w:jc w:val="left"/>
        <w:rPr>
          <w:rFonts w:ascii="Times New Roman" w:hAnsi="Times New Roman"/>
          <w:bCs/>
          <w:color w:val="auto"/>
          <w:kern w:val="0"/>
          <w:sz w:val="24"/>
          <w:szCs w:val="21"/>
        </w:rPr>
      </w:pPr>
      <w:r>
        <w:rPr>
          <w:rFonts w:hint="eastAsia" w:ascii="Times New Roman" w:hAnsi="Times New Roman"/>
          <w:bCs/>
          <w:color w:val="auto"/>
          <w:kern w:val="0"/>
          <w:sz w:val="24"/>
          <w:szCs w:val="20"/>
        </w:rPr>
        <w:t>为减小工后差异沉降，此处采用大直径搅拌桩复合地基方案。</w:t>
      </w:r>
    </w:p>
    <w:p>
      <w:pPr>
        <w:spacing w:line="360" w:lineRule="auto"/>
        <w:ind w:firstLine="480" w:firstLineChars="200"/>
        <w:rPr>
          <w:rFonts w:ascii="Times New Roman" w:hAnsi="Times New Roman"/>
          <w:b w:val="0"/>
          <w:bCs/>
          <w:color w:val="auto"/>
          <w:sz w:val="24"/>
          <w:szCs w:val="22"/>
        </w:rPr>
      </w:pPr>
      <w:r>
        <w:rPr>
          <w:rFonts w:hint="eastAsia" w:ascii="Times New Roman" w:hAnsi="Times New Roman"/>
          <w:b w:val="0"/>
          <w:bCs/>
          <w:color w:val="auto"/>
          <w:sz w:val="24"/>
          <w:szCs w:val="22"/>
        </w:rPr>
        <w:t>与本项目相接的路段，相接位置为路口，且采用管桩处理。一般路段采用堆载预压处理，为减小管桩复合地基与堆载预压路段之间的差异沉降，采用大直径搅拌桩复合地基进行过渡处理。</w:t>
      </w:r>
    </w:p>
    <w:p>
      <w:pPr>
        <w:spacing w:line="360" w:lineRule="auto"/>
        <w:ind w:firstLine="480" w:firstLineChars="200"/>
        <w:rPr>
          <w:rFonts w:ascii="Times New Roman" w:hAnsi="Times New Roman"/>
          <w:b w:val="0"/>
          <w:bCs/>
          <w:color w:val="auto"/>
          <w:sz w:val="24"/>
          <w:szCs w:val="22"/>
        </w:rPr>
      </w:pPr>
      <w:r>
        <w:rPr>
          <w:rFonts w:hint="eastAsia" w:ascii="Times New Roman" w:hAnsi="Times New Roman"/>
          <w:b w:val="0"/>
          <w:bCs/>
          <w:color w:val="auto"/>
          <w:sz w:val="24"/>
          <w:szCs w:val="22"/>
        </w:rPr>
        <w:t>大直径搅拌桩复合地基处理设计如下：</w:t>
      </w:r>
    </w:p>
    <w:p>
      <w:pPr>
        <w:spacing w:line="360" w:lineRule="auto"/>
        <w:ind w:firstLine="480" w:firstLineChars="200"/>
        <w:rPr>
          <w:rFonts w:ascii="Times New Roman" w:hAnsi="Times New Roman"/>
          <w:b w:val="0"/>
          <w:bCs/>
          <w:color w:val="auto"/>
          <w:sz w:val="24"/>
          <w:szCs w:val="22"/>
        </w:rPr>
      </w:pPr>
      <w:r>
        <w:rPr>
          <w:rFonts w:hint="eastAsia" w:ascii="Times New Roman" w:hAnsi="Times New Roman"/>
          <w:b w:val="0"/>
          <w:bCs/>
          <w:color w:val="auto"/>
          <w:sz w:val="24"/>
          <w:szCs w:val="22"/>
        </w:rPr>
        <w:t>搅拌桩按正三角形布置，桩径为</w:t>
      </w:r>
      <w:r>
        <w:rPr>
          <w:rFonts w:ascii="Times New Roman" w:hAnsi="Times New Roman"/>
          <w:b w:val="0"/>
          <w:bCs/>
          <w:color w:val="auto"/>
          <w:sz w:val="24"/>
          <w:szCs w:val="22"/>
        </w:rPr>
        <w:t>8</w:t>
      </w:r>
      <w:r>
        <w:rPr>
          <w:rFonts w:hint="eastAsia" w:ascii="Times New Roman" w:hAnsi="Times New Roman"/>
          <w:b w:val="0"/>
          <w:bCs/>
          <w:color w:val="auto"/>
          <w:sz w:val="24"/>
          <w:szCs w:val="22"/>
        </w:rPr>
        <w:t>0cm，原则上搅拌桩应穿过软土层进入砂层或粘土层0.5m以上，当软土底面埋深超过</w:t>
      </w:r>
      <w:r>
        <w:rPr>
          <w:rFonts w:ascii="Times New Roman" w:hAnsi="Times New Roman"/>
          <w:b w:val="0"/>
          <w:bCs/>
          <w:color w:val="auto"/>
          <w:sz w:val="24"/>
          <w:szCs w:val="22"/>
        </w:rPr>
        <w:t>30</w:t>
      </w:r>
      <w:r>
        <w:rPr>
          <w:rFonts w:hint="eastAsia" w:ascii="Times New Roman" w:hAnsi="Times New Roman"/>
          <w:b w:val="0"/>
          <w:bCs/>
          <w:color w:val="auto"/>
          <w:sz w:val="24"/>
          <w:szCs w:val="22"/>
        </w:rPr>
        <w:t>m时，桩长按3</w:t>
      </w:r>
      <w:r>
        <w:rPr>
          <w:rFonts w:ascii="Times New Roman" w:hAnsi="Times New Roman"/>
          <w:b w:val="0"/>
          <w:bCs/>
          <w:color w:val="auto"/>
          <w:sz w:val="24"/>
          <w:szCs w:val="22"/>
        </w:rPr>
        <w:t>0</w:t>
      </w:r>
      <w:r>
        <w:rPr>
          <w:rFonts w:hint="eastAsia" w:ascii="Times New Roman" w:hAnsi="Times New Roman"/>
          <w:b w:val="0"/>
          <w:bCs/>
          <w:color w:val="auto"/>
          <w:sz w:val="24"/>
          <w:szCs w:val="22"/>
        </w:rPr>
        <w:t>m控制。搅拌桩采用四搅四喷法施工，用42.5R普通硅酸盐水泥，配浆水灰比为0.45～0.55，加固料掺量宜通过现场试验确定，对应水泥用量为180kg/m，通过试验确定最佳掺入量，搅拌轴提升速度为0.5～0.8m/min。施工前应进行工艺性成桩试验，试桩数量不少于3根。</w:t>
      </w:r>
    </w:p>
    <w:p>
      <w:pPr>
        <w:numPr>
          <w:ilvl w:val="0"/>
          <w:numId w:val="19"/>
        </w:numPr>
        <w:spacing w:line="360" w:lineRule="auto"/>
        <w:jc w:val="left"/>
        <w:rPr>
          <w:rFonts w:ascii="Times New Roman" w:hAnsi="Times New Roman"/>
          <w:bCs/>
          <w:color w:val="auto"/>
          <w:kern w:val="0"/>
          <w:sz w:val="24"/>
          <w:szCs w:val="20"/>
        </w:rPr>
      </w:pPr>
      <w:r>
        <w:rPr>
          <w:rFonts w:hint="eastAsia" w:ascii="Times New Roman" w:hAnsi="Times New Roman"/>
          <w:bCs/>
          <w:color w:val="auto"/>
          <w:kern w:val="0"/>
          <w:sz w:val="24"/>
          <w:szCs w:val="20"/>
        </w:rPr>
        <w:t>与河涌相邻路段</w:t>
      </w:r>
    </w:p>
    <w:p>
      <w:pPr>
        <w:spacing w:line="360" w:lineRule="auto"/>
        <w:ind w:firstLine="480" w:firstLineChars="200"/>
        <w:rPr>
          <w:rFonts w:ascii="Times New Roman" w:hAnsi="Times New Roman"/>
          <w:b w:val="0"/>
          <w:bCs/>
          <w:color w:val="000000" w:themeColor="text1"/>
          <w:sz w:val="24"/>
          <w:szCs w:val="22"/>
          <w14:textFill>
            <w14:solidFill>
              <w14:schemeClr w14:val="tx1"/>
            </w14:solidFill>
          </w14:textFill>
        </w:rPr>
      </w:pPr>
      <w:r>
        <w:rPr>
          <w:rFonts w:ascii="Times New Roman" w:hAnsi="Times New Roman"/>
          <w:b w:val="0"/>
          <w:bCs/>
          <w:color w:val="auto"/>
          <w:sz w:val="24"/>
        </w:rPr>
        <w:t>规</w:t>
      </w:r>
      <w:r>
        <w:rPr>
          <w:rFonts w:ascii="Times New Roman" w:hAnsi="Times New Roman"/>
          <w:b w:val="0"/>
          <w:bCs/>
          <w:color w:val="000000" w:themeColor="text1"/>
          <w:sz w:val="24"/>
          <w14:textFill>
            <w14:solidFill>
              <w14:schemeClr w14:val="tx1"/>
            </w14:solidFill>
          </w14:textFill>
        </w:rPr>
        <w:t>划二十涌北路</w:t>
      </w:r>
      <w:r>
        <w:rPr>
          <w:rFonts w:hint="eastAsia" w:ascii="Times New Roman" w:hAnsi="Times New Roman"/>
          <w:b w:val="0"/>
          <w:bCs/>
          <w:color w:val="000000" w:themeColor="text1"/>
          <w:sz w:val="24"/>
          <w14:textFill>
            <w14:solidFill>
              <w14:schemeClr w14:val="tx1"/>
            </w14:solidFill>
          </w14:textFill>
        </w:rPr>
        <w:t>：景观堤缓坡接规划道路，道路两侧与景观堤之间有足够空间设置路基放坡和反压护道的，道路采用堆载预压+塑料排水板方案，道路反压护道。</w:t>
      </w:r>
    </w:p>
    <w:p>
      <w:pPr>
        <w:spacing w:line="360" w:lineRule="auto"/>
        <w:ind w:firstLine="480" w:firstLineChars="200"/>
        <w:rPr>
          <w:rFonts w:ascii="Times New Roman" w:hAnsi="Times New Roman"/>
          <w:b w:val="0"/>
          <w:bCs/>
          <w:color w:val="auto"/>
          <w:sz w:val="24"/>
          <w:szCs w:val="21"/>
        </w:rPr>
      </w:pPr>
      <w:r>
        <w:rPr>
          <w:rFonts w:ascii="Times New Roman" w:hAnsi="Times New Roman"/>
          <w:b w:val="0"/>
          <w:color w:val="000000" w:themeColor="text1"/>
          <w:sz w:val="24"/>
          <w14:textFill>
            <w14:solidFill>
              <w14:schemeClr w14:val="tx1"/>
            </w14:solidFill>
          </w14:textFill>
        </w:rPr>
        <w:t>堆载预压土方与路基土要求一致，塑料排水板采用C型，间距1.2m，按正三角形布置，排水板打穿淤泥进入下卧层。板长大于25m的，取25m。总预压荷载下，堆载期限不小于8个月。考虑周边地块处理时对本项目在建或已成道路基础造成不利影响，并考虑</w:t>
      </w:r>
      <w:r>
        <w:rPr>
          <w:rFonts w:hint="eastAsia" w:ascii="Times New Roman" w:hAnsi="Times New Roman"/>
          <w:b w:val="0"/>
          <w:color w:val="000000" w:themeColor="text1"/>
          <w:sz w:val="24"/>
          <w14:textFill>
            <w14:solidFill>
              <w14:schemeClr w14:val="tx1"/>
            </w14:solidFill>
          </w14:textFill>
        </w:rPr>
        <w:t>20</w:t>
      </w:r>
      <w:r>
        <w:rPr>
          <w:rFonts w:ascii="Times New Roman" w:hAnsi="Times New Roman"/>
          <w:b w:val="0"/>
          <w:color w:val="000000" w:themeColor="text1"/>
          <w:sz w:val="24"/>
          <w14:textFill>
            <w14:solidFill>
              <w14:schemeClr w14:val="tx1"/>
            </w14:solidFill>
          </w14:textFill>
        </w:rPr>
        <w:t>m反压护道</w:t>
      </w:r>
      <w:r>
        <w:rPr>
          <w:rFonts w:hint="eastAsia" w:ascii="Times New Roman" w:hAnsi="Times New Roman"/>
          <w:b w:val="0"/>
          <w:color w:val="000000" w:themeColor="text1"/>
          <w:sz w:val="24"/>
          <w14:textFill>
            <w14:solidFill>
              <w14:schemeClr w14:val="tx1"/>
            </w14:solidFill>
          </w14:textFill>
        </w:rPr>
        <w:t>。靠近河涌侧反压护道打设排水板、铺设砂垫层。</w:t>
      </w:r>
    </w:p>
    <w:p>
      <w:pPr>
        <w:numPr>
          <w:ilvl w:val="0"/>
          <w:numId w:val="19"/>
        </w:numPr>
        <w:spacing w:line="360" w:lineRule="auto"/>
        <w:jc w:val="left"/>
        <w:rPr>
          <w:rFonts w:ascii="Times New Roman" w:hAnsi="Times New Roman"/>
          <w:bCs/>
          <w:color w:val="auto"/>
          <w:kern w:val="0"/>
          <w:sz w:val="24"/>
          <w:szCs w:val="20"/>
        </w:rPr>
      </w:pPr>
      <w:r>
        <w:rPr>
          <w:rFonts w:hint="eastAsia" w:ascii="Times New Roman" w:hAnsi="Times New Roman"/>
          <w:bCs/>
          <w:color w:val="auto"/>
          <w:kern w:val="0"/>
          <w:sz w:val="24"/>
          <w:szCs w:val="20"/>
        </w:rPr>
        <w:t>地下轨道交通段</w:t>
      </w:r>
    </w:p>
    <w:p>
      <w:pPr>
        <w:spacing w:line="360" w:lineRule="auto"/>
        <w:ind w:firstLine="482" w:firstLineChars="200"/>
        <w:jc w:val="left"/>
        <w:rPr>
          <w:rFonts w:ascii="Times New Roman" w:hAnsi="Times New Roman"/>
          <w:bCs/>
          <w:color w:val="auto"/>
          <w:kern w:val="0"/>
          <w:sz w:val="24"/>
          <w:szCs w:val="20"/>
        </w:rPr>
      </w:pPr>
      <w:r>
        <w:rPr>
          <w:rFonts w:hint="eastAsia" w:ascii="Times New Roman" w:hAnsi="Times New Roman"/>
          <w:bCs/>
          <w:color w:val="auto"/>
          <w:kern w:val="0"/>
          <w:sz w:val="24"/>
          <w:szCs w:val="20"/>
        </w:rPr>
        <w:t>车站路段：采用筏板-灌注桩基础；区间路段：大直径搅拌桩复合地基。</w:t>
      </w:r>
    </w:p>
    <w:p>
      <w:pPr>
        <w:spacing w:line="360" w:lineRule="auto"/>
        <w:ind w:firstLine="480" w:firstLineChars="200"/>
        <w:rPr>
          <w:rFonts w:ascii="Times New Roman" w:hAnsi="Times New Roman"/>
          <w:b w:val="0"/>
          <w:bCs/>
          <w:color w:val="auto"/>
          <w:sz w:val="24"/>
          <w:szCs w:val="22"/>
        </w:rPr>
      </w:pPr>
      <w:r>
        <w:rPr>
          <w:rFonts w:hint="eastAsia" w:ascii="Times New Roman" w:hAnsi="Times New Roman"/>
          <w:b w:val="0"/>
          <w:bCs/>
          <w:color w:val="auto"/>
          <w:sz w:val="24"/>
          <w:szCs w:val="22"/>
        </w:rPr>
        <w:t>因现状路基地底存在地铁车站，堆载预压、复合地基等方案不适宜。结合周边项目经验，为减小对车站的影响及减小差异沉降，推荐采用钻孔灌注桩及筏板处理；灌注桩径均为100cm，车行道筏板厚60cm，搭板与车站基坑支护桩冠梁搭接，筏板灌注桩顺桥向间距4或5m，横桥向间距3.4m或5m，视车行道宽度确定。此外，筏板两端设置桩顶梁，梁高60cm，宽1.2m，长视筏板的宽度决定。</w:t>
      </w:r>
    </w:p>
    <w:p>
      <w:pPr>
        <w:spacing w:line="360" w:lineRule="auto"/>
        <w:ind w:firstLine="480" w:firstLineChars="200"/>
        <w:rPr>
          <w:rFonts w:ascii="Times New Roman" w:hAnsi="Times New Roman"/>
          <w:b w:val="0"/>
          <w:bCs/>
          <w:color w:val="auto"/>
          <w:sz w:val="24"/>
          <w:szCs w:val="22"/>
        </w:rPr>
      </w:pPr>
      <w:r>
        <w:rPr>
          <w:rFonts w:hint="eastAsia" w:ascii="Times New Roman" w:hAnsi="Times New Roman"/>
          <w:b w:val="0"/>
          <w:bCs/>
          <w:color w:val="auto"/>
          <w:sz w:val="24"/>
          <w:szCs w:val="22"/>
        </w:rPr>
        <w:t>搅拌桩按正三角形布置，桩径为</w:t>
      </w:r>
      <w:r>
        <w:rPr>
          <w:rFonts w:ascii="Times New Roman" w:hAnsi="Times New Roman"/>
          <w:b w:val="0"/>
          <w:bCs/>
          <w:color w:val="auto"/>
          <w:sz w:val="24"/>
          <w:szCs w:val="22"/>
        </w:rPr>
        <w:t>8</w:t>
      </w:r>
      <w:r>
        <w:rPr>
          <w:rFonts w:hint="eastAsia" w:ascii="Times New Roman" w:hAnsi="Times New Roman"/>
          <w:b w:val="0"/>
          <w:bCs/>
          <w:color w:val="auto"/>
          <w:sz w:val="24"/>
          <w:szCs w:val="22"/>
        </w:rPr>
        <w:t>0cm，原则上搅拌桩应穿过软土层进入砂层或粘土层0.5m以上，当软土底面埋深超过</w:t>
      </w:r>
      <w:r>
        <w:rPr>
          <w:rFonts w:ascii="Times New Roman" w:hAnsi="Times New Roman"/>
          <w:b w:val="0"/>
          <w:bCs/>
          <w:color w:val="auto"/>
          <w:sz w:val="24"/>
          <w:szCs w:val="22"/>
        </w:rPr>
        <w:t>30</w:t>
      </w:r>
      <w:r>
        <w:rPr>
          <w:rFonts w:hint="eastAsia" w:ascii="Times New Roman" w:hAnsi="Times New Roman"/>
          <w:b w:val="0"/>
          <w:bCs/>
          <w:color w:val="auto"/>
          <w:sz w:val="24"/>
          <w:szCs w:val="22"/>
        </w:rPr>
        <w:t>m时，桩长按3</w:t>
      </w:r>
      <w:r>
        <w:rPr>
          <w:rFonts w:ascii="Times New Roman" w:hAnsi="Times New Roman"/>
          <w:b w:val="0"/>
          <w:bCs/>
          <w:color w:val="auto"/>
          <w:sz w:val="24"/>
          <w:szCs w:val="22"/>
        </w:rPr>
        <w:t>0</w:t>
      </w:r>
      <w:r>
        <w:rPr>
          <w:rFonts w:hint="eastAsia" w:ascii="Times New Roman" w:hAnsi="Times New Roman"/>
          <w:b w:val="0"/>
          <w:bCs/>
          <w:color w:val="auto"/>
          <w:sz w:val="24"/>
          <w:szCs w:val="22"/>
        </w:rPr>
        <w:t>m控制。搅拌桩采用四搅四喷法施工，用42.5R普通硅酸盐水泥，配浆水灰比为0.45～0.55，加固料掺量宜通过现场试验确定，对应水泥用量为180kg/m，通过试验确定最佳掺入量，搅拌轴提升速度为0.5～0.8m/min。施工前应进行工艺性成桩试验，试桩数量不少于3根。</w:t>
      </w:r>
    </w:p>
    <w:p>
      <w:pPr>
        <w:numPr>
          <w:ilvl w:val="0"/>
          <w:numId w:val="19"/>
        </w:numPr>
        <w:spacing w:line="360" w:lineRule="auto"/>
        <w:jc w:val="left"/>
        <w:rPr>
          <w:rFonts w:ascii="Times New Roman" w:hAnsi="Times New Roman"/>
          <w:bCs/>
          <w:color w:val="auto"/>
          <w:kern w:val="0"/>
          <w:sz w:val="24"/>
          <w:szCs w:val="20"/>
        </w:rPr>
      </w:pPr>
      <w:r>
        <w:rPr>
          <w:rFonts w:hint="eastAsia" w:ascii="Times New Roman" w:hAnsi="Times New Roman"/>
          <w:bCs/>
          <w:color w:val="auto"/>
          <w:sz w:val="24"/>
        </w:rPr>
        <w:t>与综合体相接段</w:t>
      </w:r>
    </w:p>
    <w:p>
      <w:pPr>
        <w:spacing w:line="300" w:lineRule="auto"/>
        <w:ind w:firstLine="480" w:firstLineChars="200"/>
        <w:rPr>
          <w:rFonts w:ascii="Times New Roman" w:hAnsi="Times New Roman"/>
          <w:szCs w:val="24"/>
        </w:rPr>
      </w:pPr>
      <w:r>
        <w:rPr>
          <w:rFonts w:hint="eastAsia" w:ascii="Times New Roman" w:hAnsi="Times New Roman"/>
          <w:b w:val="0"/>
          <w:bCs/>
          <w:color w:val="auto"/>
          <w:sz w:val="24"/>
        </w:rPr>
        <w:t>规划纵三路南段：与综合体相接的路段，综合体场坪范围已经打设20m排水板，综合体内道路和场馆采用管桩和灌注桩基础，为减小与管桩复合地基的差异沉降，采用双向水泥搅拌桩复合地基进行处理</w:t>
      </w:r>
      <w:r>
        <w:rPr>
          <w:rFonts w:ascii="Times New Roman" w:hAnsi="Times New Roman"/>
          <w:b w:val="0"/>
          <w:color w:val="000000" w:themeColor="text1"/>
          <w:sz w:val="24"/>
          <w14:textFill>
            <w14:solidFill>
              <w14:schemeClr w14:val="tx1"/>
            </w14:solidFill>
          </w14:textFill>
        </w:rPr>
        <w:t>。水泥搅拌桩未双向搅拌桩</w:t>
      </w:r>
      <w:r>
        <w:rPr>
          <w:rFonts w:hint="eastAsia" w:ascii="Times New Roman" w:hAnsi="Times New Roman"/>
          <w:b w:val="0"/>
          <w:color w:val="000000" w:themeColor="text1"/>
          <w:sz w:val="24"/>
          <w14:textFill>
            <w14:solidFill>
              <w14:schemeClr w14:val="tx1"/>
            </w14:solidFill>
          </w14:textFill>
        </w:rPr>
        <w:t>，</w:t>
      </w:r>
      <w:r>
        <w:rPr>
          <w:rFonts w:hint="eastAsia" w:ascii="Times New Roman" w:hAnsi="Times New Roman"/>
          <w:b w:val="0"/>
          <w:bCs/>
          <w:color w:val="auto"/>
          <w:sz w:val="24"/>
          <w:szCs w:val="22"/>
        </w:rPr>
        <w:t>搅拌桩按正三角形布置，桩径为50cm，原则上搅拌桩应穿过软土层进入砂层或粘土层0.5m以上，当软土底面埋深超过25m时，桩长按25m控制。搅拌桩采用四搅四喷法施工，用42.5R普通硅酸盐水泥，配浆水灰比为0.45～0.55，加固料掺量宜通过现场试验确定，搅拌轴提升速度为0.5～0.8m/min</w:t>
      </w:r>
      <w:r>
        <w:rPr>
          <w:rFonts w:ascii="Times New Roman" w:hAnsi="Times New Roman"/>
          <w:b w:val="0"/>
          <w:color w:val="000000" w:themeColor="text1"/>
          <w:sz w:val="24"/>
          <w14:textFill>
            <w14:solidFill>
              <w14:schemeClr w14:val="tx1"/>
            </w14:solidFill>
          </w14:textFill>
        </w:rPr>
        <w:t>。</w:t>
      </w:r>
    </w:p>
    <w:p>
      <w:pPr>
        <w:pStyle w:val="4"/>
        <w:ind w:firstLine="482" w:firstLineChars="200"/>
      </w:pPr>
      <w:bookmarkStart w:id="161" w:name="_Toc13609"/>
      <w:r>
        <w:t>路面工程设计</w:t>
      </w:r>
      <w:bookmarkEnd w:id="161"/>
    </w:p>
    <w:p>
      <w:pPr>
        <w:pStyle w:val="5"/>
        <w:ind w:firstLine="482" w:firstLineChars="200"/>
        <w:rPr>
          <w:rFonts w:ascii="Times New Roman" w:hAnsi="Times New Roman"/>
        </w:rPr>
      </w:pPr>
      <w:r>
        <w:rPr>
          <w:rFonts w:ascii="Times New Roman" w:hAnsi="Times New Roman"/>
        </w:rPr>
        <w:t>自然区划及设计原则</w:t>
      </w:r>
    </w:p>
    <w:p>
      <w:pPr>
        <w:pStyle w:val="28"/>
        <w:spacing w:before="0" w:beforeAutospacing="0" w:after="0" w:afterAutospacing="0" w:line="300" w:lineRule="auto"/>
        <w:ind w:firstLine="480" w:firstLineChars="200"/>
      </w:pPr>
      <w:r>
        <w:t>路面设计根据项目的功能、使用要求及所处地区的气候、水文、土质等自然条件，结合南沙区道路路面施工经验和材料供应进行路面综合设计。本着技术先进、经济合理、安全适用、合理选材、方便施工、利于养护的原则进行路面方案的比选论证。</w:t>
      </w:r>
    </w:p>
    <w:p>
      <w:pPr>
        <w:pStyle w:val="28"/>
        <w:spacing w:before="0" w:beforeAutospacing="0" w:after="0" w:afterAutospacing="0" w:line="300" w:lineRule="auto"/>
        <w:ind w:firstLine="480" w:firstLineChars="200"/>
      </w:pPr>
      <w:r>
        <w:t>本项目所在地区为华南沿海台风区（IV7），亚热带季风气候，夏季高温，雨量充沛。因此，要求有高质量的路面，以充分发挥道路的使用功能。</w:t>
      </w:r>
    </w:p>
    <w:p>
      <w:pPr>
        <w:pStyle w:val="28"/>
        <w:spacing w:before="0" w:beforeAutospacing="0" w:after="0" w:afterAutospacing="0" w:line="300" w:lineRule="auto"/>
        <w:ind w:firstLine="480" w:firstLineChars="200"/>
      </w:pPr>
      <w:r>
        <w:t>路面结构应根据交通量和公路等级对路面强度的要求，结合沿线气象、水文、地质及材料等的实际情况拟定的，同时充分考虑路面的防滑、防水、防裂、防高温等性能，本着因地制宜、经济、实用、方便施工、利于养护、利于环境保护等多项综合性指标进行设计。设计标准如下：</w:t>
      </w:r>
    </w:p>
    <w:p>
      <w:pPr>
        <w:pStyle w:val="28"/>
        <w:spacing w:before="0" w:beforeAutospacing="0" w:after="0" w:afterAutospacing="0" w:line="300" w:lineRule="auto"/>
        <w:ind w:firstLine="480" w:firstLineChars="200"/>
      </w:pPr>
      <w:r>
        <w:t>（1）自然区划：IV7区华南沿海台风区</w:t>
      </w:r>
    </w:p>
    <w:p>
      <w:pPr>
        <w:pStyle w:val="28"/>
        <w:spacing w:before="0" w:beforeAutospacing="0" w:after="0" w:afterAutospacing="0" w:line="300" w:lineRule="auto"/>
        <w:ind w:firstLine="480" w:firstLineChars="200"/>
      </w:pPr>
      <w:r>
        <w:t>（2）标准轴载：BZZ－100</w:t>
      </w:r>
    </w:p>
    <w:p>
      <w:pPr>
        <w:pStyle w:val="28"/>
        <w:spacing w:before="0" w:beforeAutospacing="0" w:after="0" w:afterAutospacing="0" w:line="300" w:lineRule="auto"/>
        <w:ind w:firstLine="480" w:firstLineChars="200"/>
      </w:pPr>
      <w:r>
        <w:t>（3）路基干湿类型：干燥～中湿</w:t>
      </w:r>
    </w:p>
    <w:p>
      <w:pPr>
        <w:pStyle w:val="28"/>
        <w:spacing w:before="0" w:beforeAutospacing="0" w:after="0" w:afterAutospacing="0" w:line="300" w:lineRule="auto"/>
        <w:ind w:firstLine="480" w:firstLineChars="200"/>
      </w:pPr>
      <w:r>
        <w:t>（4）交通荷载等级：中交通</w:t>
      </w:r>
    </w:p>
    <w:p>
      <w:pPr>
        <w:pStyle w:val="28"/>
        <w:spacing w:before="0" w:beforeAutospacing="0" w:after="0" w:afterAutospacing="0" w:line="300" w:lineRule="auto"/>
        <w:ind w:firstLine="480" w:firstLineChars="200"/>
      </w:pPr>
      <w:r>
        <w:t>（5）路面设计使用年限：主干路、次干路15年。</w:t>
      </w:r>
    </w:p>
    <w:p>
      <w:pPr>
        <w:pStyle w:val="5"/>
        <w:ind w:firstLine="482" w:firstLineChars="200"/>
        <w:rPr>
          <w:rFonts w:ascii="Times New Roman" w:hAnsi="Times New Roman"/>
        </w:rPr>
      </w:pPr>
      <w:r>
        <w:rPr>
          <w:rFonts w:ascii="Times New Roman" w:hAnsi="Times New Roman"/>
        </w:rPr>
        <w:t>路面结构比选</w:t>
      </w:r>
    </w:p>
    <w:p>
      <w:pPr>
        <w:pStyle w:val="28"/>
        <w:spacing w:before="0" w:beforeAutospacing="0" w:after="0" w:afterAutospacing="0" w:line="300" w:lineRule="auto"/>
        <w:ind w:firstLine="480" w:firstLineChars="200"/>
      </w:pPr>
      <w:r>
        <w:t>（1）路面类型水泥混凝土路面与沥青混凝土路面的比较论证</w:t>
      </w:r>
    </w:p>
    <w:p>
      <w:pPr>
        <w:pStyle w:val="28"/>
        <w:spacing w:before="0" w:beforeAutospacing="0" w:after="0" w:afterAutospacing="0" w:line="300" w:lineRule="auto"/>
        <w:ind w:firstLine="480" w:firstLineChars="200"/>
      </w:pPr>
      <w:r>
        <w:t>城市道路中采用的路面类型主要有沥青路面和水泥混凝土路面，在路用性能方面各有其优缺点，</w:t>
      </w:r>
    </w:p>
    <w:p>
      <w:pPr>
        <w:pStyle w:val="28"/>
        <w:spacing w:before="0" w:beforeAutospacing="0" w:after="0" w:afterAutospacing="0" w:line="300" w:lineRule="auto"/>
        <w:ind w:firstLine="480" w:firstLineChars="200"/>
      </w:pPr>
      <w:r>
        <w:t>综合比较详见下表：</w:t>
      </w:r>
    </w:p>
    <w:tbl>
      <w:tblPr>
        <w:tblStyle w:val="379"/>
        <w:tblW w:w="10271"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125"/>
        <w:gridCol w:w="3740"/>
        <w:gridCol w:w="4406"/>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8" w:hRule="atLeast"/>
        </w:trPr>
        <w:tc>
          <w:tcPr>
            <w:tcW w:w="2125" w:type="dxa"/>
          </w:tcPr>
          <w:p>
            <w:pPr>
              <w:pStyle w:val="391"/>
              <w:autoSpaceDE w:val="0"/>
              <w:autoSpaceDN w:val="0"/>
              <w:spacing w:before="137" w:line="221" w:lineRule="auto"/>
              <w:ind w:left="83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性能比较</w:t>
            </w:r>
          </w:p>
        </w:tc>
        <w:tc>
          <w:tcPr>
            <w:tcW w:w="3740" w:type="dxa"/>
          </w:tcPr>
          <w:p>
            <w:pPr>
              <w:pStyle w:val="391"/>
              <w:autoSpaceDE w:val="0"/>
              <w:autoSpaceDN w:val="0"/>
              <w:spacing w:before="137" w:line="219" w:lineRule="auto"/>
              <w:ind w:left="127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沥青混凝土路面</w:t>
            </w:r>
          </w:p>
        </w:tc>
        <w:tc>
          <w:tcPr>
            <w:tcW w:w="4406" w:type="dxa"/>
          </w:tcPr>
          <w:p>
            <w:pPr>
              <w:pStyle w:val="391"/>
              <w:autoSpaceDE w:val="0"/>
              <w:autoSpaceDN w:val="0"/>
              <w:spacing w:before="137" w:line="220" w:lineRule="auto"/>
              <w:ind w:left="160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水泥混凝土路面</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2125" w:type="dxa"/>
          </w:tcPr>
          <w:p>
            <w:pPr>
              <w:pStyle w:val="391"/>
              <w:autoSpaceDE w:val="0"/>
              <w:autoSpaceDN w:val="0"/>
              <w:spacing w:before="78" w:line="220" w:lineRule="auto"/>
              <w:ind w:left="71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行车舒适性</w:t>
            </w:r>
          </w:p>
        </w:tc>
        <w:tc>
          <w:tcPr>
            <w:tcW w:w="3740" w:type="dxa"/>
          </w:tcPr>
          <w:p>
            <w:pPr>
              <w:pStyle w:val="391"/>
              <w:autoSpaceDE w:val="0"/>
              <w:autoSpaceDN w:val="0"/>
              <w:spacing w:before="112" w:line="468" w:lineRule="exact"/>
              <w:ind w:firstLine="388" w:firstLineChars="200"/>
              <w:jc w:val="right"/>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23"/>
                <w:position w:val="17"/>
                <w:lang w:eastAsia="zh-CN"/>
                <w14:textFill>
                  <w14:solidFill>
                    <w14:schemeClr w14:val="tx1"/>
                  </w14:solidFill>
                </w14:textFill>
              </w:rPr>
              <w:t>路面无接缝，行车平稳、舒适，</w:t>
            </w:r>
          </w:p>
          <w:p>
            <w:pPr>
              <w:pStyle w:val="391"/>
              <w:autoSpaceDE w:val="0"/>
              <w:autoSpaceDN w:val="0"/>
              <w:spacing w:line="219" w:lineRule="auto"/>
              <w:ind w:left="917" w:firstLine="468" w:firstLineChars="2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行车振动及噪声低</w:t>
            </w:r>
          </w:p>
        </w:tc>
        <w:tc>
          <w:tcPr>
            <w:tcW w:w="4406" w:type="dxa"/>
          </w:tcPr>
          <w:p>
            <w:pPr>
              <w:pStyle w:val="391"/>
              <w:autoSpaceDE w:val="0"/>
              <w:autoSpaceDN w:val="0"/>
              <w:spacing w:before="112" w:line="468" w:lineRule="exact"/>
              <w:ind w:right="59" w:firstLine="384" w:firstLineChars="200"/>
              <w:jc w:val="right"/>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24"/>
                <w:position w:val="17"/>
                <w:lang w:eastAsia="zh-CN"/>
                <w14:textFill>
                  <w14:solidFill>
                    <w14:schemeClr w14:val="tx1"/>
                  </w14:solidFill>
                </w14:textFill>
              </w:rPr>
              <w:t>路面接缝多，行车舒适性较差，行车</w:t>
            </w:r>
          </w:p>
          <w:p>
            <w:pPr>
              <w:pStyle w:val="391"/>
              <w:autoSpaceDE w:val="0"/>
              <w:autoSpaceDN w:val="0"/>
              <w:spacing w:line="220" w:lineRule="auto"/>
              <w:ind w:left="1482" w:firstLine="472" w:firstLineChars="2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振动及噪声大</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4" w:hRule="atLeast"/>
        </w:trPr>
        <w:tc>
          <w:tcPr>
            <w:tcW w:w="2125" w:type="dxa"/>
          </w:tcPr>
          <w:p>
            <w:pPr>
              <w:pStyle w:val="391"/>
              <w:autoSpaceDE w:val="0"/>
              <w:autoSpaceDN w:val="0"/>
              <w:spacing w:before="114" w:line="221" w:lineRule="auto"/>
              <w:ind w:left="95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平整性</w:t>
            </w:r>
          </w:p>
        </w:tc>
        <w:tc>
          <w:tcPr>
            <w:tcW w:w="3740" w:type="dxa"/>
          </w:tcPr>
          <w:p>
            <w:pPr>
              <w:pStyle w:val="391"/>
              <w:autoSpaceDE w:val="0"/>
              <w:autoSpaceDN w:val="0"/>
              <w:spacing w:before="113" w:line="220" w:lineRule="auto"/>
              <w:ind w:left="163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平整性好</w:t>
            </w:r>
          </w:p>
        </w:tc>
        <w:tc>
          <w:tcPr>
            <w:tcW w:w="4406" w:type="dxa"/>
          </w:tcPr>
          <w:p>
            <w:pPr>
              <w:pStyle w:val="391"/>
              <w:autoSpaceDE w:val="0"/>
              <w:autoSpaceDN w:val="0"/>
              <w:spacing w:before="114" w:line="220" w:lineRule="auto"/>
              <w:ind w:left="18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平整性稍差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2125" w:type="dxa"/>
          </w:tcPr>
          <w:p>
            <w:pPr>
              <w:pStyle w:val="391"/>
              <w:autoSpaceDE w:val="0"/>
              <w:autoSpaceDN w:val="0"/>
              <w:spacing w:before="113" w:line="468" w:lineRule="exact"/>
              <w:ind w:left="602" w:firstLine="468" w:firstLineChars="2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position w:val="17"/>
                <w14:textFill>
                  <w14:solidFill>
                    <w14:schemeClr w14:val="tx1"/>
                  </w14:solidFill>
                </w14:textFill>
              </w:rPr>
              <w:t>雨天溅水及水</w:t>
            </w:r>
          </w:p>
          <w:p>
            <w:pPr>
              <w:pStyle w:val="391"/>
              <w:autoSpaceDE w:val="0"/>
              <w:autoSpaceDN w:val="0"/>
              <w:spacing w:before="1" w:line="220" w:lineRule="auto"/>
              <w:ind w:left="955" w:firstLine="480" w:firstLineChars="2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雾</w:t>
            </w:r>
          </w:p>
        </w:tc>
        <w:tc>
          <w:tcPr>
            <w:tcW w:w="3740" w:type="dxa"/>
          </w:tcPr>
          <w:p>
            <w:pPr>
              <w:pStyle w:val="391"/>
              <w:autoSpaceDE w:val="0"/>
              <w:autoSpaceDN w:val="0"/>
              <w:spacing w:before="78" w:line="218" w:lineRule="auto"/>
              <w:ind w:left="127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溅水及水雾较小</w:t>
            </w:r>
          </w:p>
        </w:tc>
        <w:tc>
          <w:tcPr>
            <w:tcW w:w="4406" w:type="dxa"/>
          </w:tcPr>
          <w:p>
            <w:pPr>
              <w:pStyle w:val="391"/>
              <w:autoSpaceDE w:val="0"/>
              <w:autoSpaceDN w:val="0"/>
              <w:spacing w:before="78" w:line="218" w:lineRule="auto"/>
              <w:ind w:left="160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溅水及水雾较大</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2125" w:type="dxa"/>
          </w:tcPr>
          <w:p>
            <w:pPr>
              <w:pStyle w:val="391"/>
              <w:autoSpaceDE w:val="0"/>
              <w:autoSpaceDN w:val="0"/>
              <w:spacing w:before="78" w:line="220" w:lineRule="auto"/>
              <w:ind w:left="83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反光能力</w:t>
            </w:r>
          </w:p>
        </w:tc>
        <w:tc>
          <w:tcPr>
            <w:tcW w:w="3740" w:type="dxa"/>
          </w:tcPr>
          <w:p>
            <w:pPr>
              <w:pStyle w:val="391"/>
              <w:autoSpaceDE w:val="0"/>
              <w:autoSpaceDN w:val="0"/>
              <w:spacing w:before="113" w:line="468" w:lineRule="exact"/>
              <w:ind w:right="68" w:firstLine="476" w:firstLineChars="200"/>
              <w:jc w:val="right"/>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position w:val="17"/>
                <w:lang w:eastAsia="zh-CN"/>
                <w14:textFill>
                  <w14:solidFill>
                    <w14:schemeClr w14:val="tx1"/>
                  </w14:solidFill>
                </w14:textFill>
              </w:rPr>
              <w:t>路面的反光能力稍弱、与路面</w:t>
            </w:r>
          </w:p>
          <w:p>
            <w:pPr>
              <w:pStyle w:val="391"/>
              <w:autoSpaceDE w:val="0"/>
              <w:autoSpaceDN w:val="0"/>
              <w:spacing w:line="219" w:lineRule="auto"/>
              <w:ind w:left="76" w:firstLine="468"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3"/>
                <w:lang w:eastAsia="zh-CN"/>
                <w14:textFill>
                  <w14:solidFill>
                    <w14:schemeClr w14:val="tx1"/>
                  </w14:solidFill>
                </w14:textFill>
              </w:rPr>
              <w:t>标线反差大，夜间行车界限清晰。</w:t>
            </w:r>
          </w:p>
        </w:tc>
        <w:tc>
          <w:tcPr>
            <w:tcW w:w="4406" w:type="dxa"/>
          </w:tcPr>
          <w:p>
            <w:pPr>
              <w:pStyle w:val="391"/>
              <w:autoSpaceDE w:val="0"/>
              <w:autoSpaceDN w:val="0"/>
              <w:spacing w:before="113" w:line="468" w:lineRule="exact"/>
              <w:ind w:left="545" w:firstLine="464"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4"/>
                <w:position w:val="17"/>
                <w:lang w:eastAsia="zh-CN"/>
                <w14:textFill>
                  <w14:solidFill>
                    <w14:schemeClr w14:val="tx1"/>
                  </w14:solidFill>
                </w14:textFill>
              </w:rPr>
              <w:t>路面的反光能力强、夜间行车明快，</w:t>
            </w:r>
          </w:p>
          <w:p>
            <w:pPr>
              <w:pStyle w:val="391"/>
              <w:autoSpaceDE w:val="0"/>
              <w:autoSpaceDN w:val="0"/>
              <w:spacing w:line="219" w:lineRule="auto"/>
              <w:ind w:left="881" w:firstLine="476"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lang w:eastAsia="zh-CN"/>
                <w14:textFill>
                  <w14:solidFill>
                    <w14:schemeClr w14:val="tx1"/>
                  </w14:solidFill>
                </w14:textFill>
              </w:rPr>
              <w:t>但阳光下易引起视觉疲劳</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1" w:hRule="atLeast"/>
        </w:trPr>
        <w:tc>
          <w:tcPr>
            <w:tcW w:w="2125" w:type="dxa"/>
          </w:tcPr>
          <w:p>
            <w:pPr>
              <w:pStyle w:val="391"/>
              <w:autoSpaceDE w:val="0"/>
              <w:autoSpaceDN w:val="0"/>
              <w:spacing w:before="115" w:line="468" w:lineRule="exact"/>
              <w:ind w:left="593" w:firstLine="472" w:firstLineChars="2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position w:val="17"/>
                <w14:textFill>
                  <w14:solidFill>
                    <w14:schemeClr w14:val="tx1"/>
                  </w14:solidFill>
                </w14:textFill>
              </w:rPr>
              <w:t>抗变形及耐磨</w:t>
            </w:r>
          </w:p>
          <w:p>
            <w:pPr>
              <w:pStyle w:val="391"/>
              <w:autoSpaceDE w:val="0"/>
              <w:autoSpaceDN w:val="0"/>
              <w:spacing w:line="219" w:lineRule="auto"/>
              <w:ind w:left="834" w:firstLine="468" w:firstLineChars="2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耗性</w:t>
            </w:r>
          </w:p>
        </w:tc>
        <w:tc>
          <w:tcPr>
            <w:tcW w:w="3740" w:type="dxa"/>
          </w:tcPr>
          <w:p>
            <w:pPr>
              <w:pStyle w:val="391"/>
              <w:autoSpaceDE w:val="0"/>
              <w:autoSpaceDN w:val="0"/>
              <w:spacing w:before="78" w:line="220" w:lineRule="auto"/>
              <w:ind w:left="915"/>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lang w:eastAsia="zh-CN"/>
                <w14:textFill>
                  <w14:solidFill>
                    <w14:schemeClr w14:val="tx1"/>
                  </w14:solidFill>
                </w14:textFill>
              </w:rPr>
              <w:t>抗变形及耐磨耗性稍差</w:t>
            </w:r>
          </w:p>
        </w:tc>
        <w:tc>
          <w:tcPr>
            <w:tcW w:w="4406" w:type="dxa"/>
          </w:tcPr>
          <w:p>
            <w:pPr>
              <w:pStyle w:val="391"/>
              <w:autoSpaceDE w:val="0"/>
              <w:autoSpaceDN w:val="0"/>
              <w:spacing w:before="78" w:line="220" w:lineRule="auto"/>
              <w:ind w:left="1243"/>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lang w:eastAsia="zh-CN"/>
                <w14:textFill>
                  <w14:solidFill>
                    <w14:schemeClr w14:val="tx1"/>
                  </w14:solidFill>
                </w14:textFill>
              </w:rPr>
              <w:t>抗变形及耐磨耗性较好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2125" w:type="dxa"/>
          </w:tcPr>
          <w:p>
            <w:pPr>
              <w:pStyle w:val="391"/>
              <w:autoSpaceDE w:val="0"/>
              <w:autoSpaceDN w:val="0"/>
              <w:spacing w:before="78" w:line="220" w:lineRule="auto"/>
              <w:ind w:left="59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路面抗滑性能</w:t>
            </w:r>
          </w:p>
        </w:tc>
        <w:tc>
          <w:tcPr>
            <w:tcW w:w="3740" w:type="dxa"/>
          </w:tcPr>
          <w:p>
            <w:pPr>
              <w:pStyle w:val="391"/>
              <w:autoSpaceDE w:val="0"/>
              <w:autoSpaceDN w:val="0"/>
              <w:spacing w:before="115" w:line="468" w:lineRule="exact"/>
              <w:ind w:right="62" w:firstLine="468" w:firstLineChars="200"/>
              <w:jc w:val="right"/>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3"/>
                <w:position w:val="17"/>
                <w:lang w:eastAsia="zh-CN"/>
                <w14:textFill>
                  <w14:solidFill>
                    <w14:schemeClr w14:val="tx1"/>
                  </w14:solidFill>
                </w14:textFill>
              </w:rPr>
              <w:t>采用好的混合料如SMA能明显</w:t>
            </w:r>
          </w:p>
          <w:p>
            <w:pPr>
              <w:pStyle w:val="391"/>
              <w:autoSpaceDE w:val="0"/>
              <w:autoSpaceDN w:val="0"/>
              <w:spacing w:line="219" w:lineRule="auto"/>
              <w:ind w:left="916" w:firstLine="472"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增强路面抗滑性能</w:t>
            </w:r>
          </w:p>
        </w:tc>
        <w:tc>
          <w:tcPr>
            <w:tcW w:w="4406" w:type="dxa"/>
          </w:tcPr>
          <w:p>
            <w:pPr>
              <w:pStyle w:val="391"/>
              <w:autoSpaceDE w:val="0"/>
              <w:autoSpaceDN w:val="0"/>
              <w:spacing w:before="78" w:line="220" w:lineRule="auto"/>
              <w:ind w:left="148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路面抗滑性能较差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2125" w:type="dxa"/>
          </w:tcPr>
          <w:p>
            <w:pPr>
              <w:pStyle w:val="391"/>
              <w:autoSpaceDE w:val="0"/>
              <w:autoSpaceDN w:val="0"/>
              <w:spacing w:before="115" w:line="468" w:lineRule="exact"/>
              <w:ind w:left="595" w:firstLine="472" w:firstLineChars="2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position w:val="17"/>
                <w14:textFill>
                  <w14:solidFill>
                    <w14:schemeClr w14:val="tx1"/>
                  </w14:solidFill>
                </w14:textFill>
              </w:rPr>
              <w:t>路基变形的适</w:t>
            </w:r>
          </w:p>
          <w:p>
            <w:pPr>
              <w:pStyle w:val="391"/>
              <w:autoSpaceDE w:val="0"/>
              <w:autoSpaceDN w:val="0"/>
              <w:spacing w:before="1" w:line="220" w:lineRule="auto"/>
              <w:ind w:left="833" w:firstLine="468" w:firstLineChars="2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应性</w:t>
            </w:r>
          </w:p>
        </w:tc>
        <w:tc>
          <w:tcPr>
            <w:tcW w:w="3740" w:type="dxa"/>
          </w:tcPr>
          <w:p>
            <w:pPr>
              <w:pStyle w:val="391"/>
              <w:autoSpaceDE w:val="0"/>
              <w:autoSpaceDN w:val="0"/>
              <w:spacing w:before="78" w:line="220" w:lineRule="auto"/>
              <w:ind w:left="917"/>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路基变形的适应性较强</w:t>
            </w:r>
          </w:p>
        </w:tc>
        <w:tc>
          <w:tcPr>
            <w:tcW w:w="4406" w:type="dxa"/>
          </w:tcPr>
          <w:p>
            <w:pPr>
              <w:pStyle w:val="391"/>
              <w:autoSpaceDE w:val="0"/>
              <w:autoSpaceDN w:val="0"/>
              <w:spacing w:before="115" w:line="468" w:lineRule="exact"/>
              <w:ind w:right="64" w:firstLine="440" w:firstLineChars="200"/>
              <w:jc w:val="right"/>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0"/>
                <w:position w:val="17"/>
                <w:lang w:eastAsia="zh-CN"/>
                <w14:textFill>
                  <w14:solidFill>
                    <w14:schemeClr w14:val="tx1"/>
                  </w14:solidFill>
                </w14:textFill>
              </w:rPr>
              <w:t>路基变形的适应性较差，对基础支撑</w:t>
            </w:r>
          </w:p>
          <w:p>
            <w:pPr>
              <w:pStyle w:val="391"/>
              <w:autoSpaceDE w:val="0"/>
              <w:autoSpaceDN w:val="0"/>
              <w:spacing w:line="219" w:lineRule="auto"/>
              <w:ind w:left="647" w:firstLine="476"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lang w:eastAsia="zh-CN"/>
                <w14:textFill>
                  <w14:solidFill>
                    <w14:schemeClr w14:val="tx1"/>
                  </w14:solidFill>
                </w14:textFill>
              </w:rPr>
              <w:t>不稳固非常敏感，对超载敏感</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1" w:hRule="atLeast"/>
        </w:trPr>
        <w:tc>
          <w:tcPr>
            <w:tcW w:w="2125" w:type="dxa"/>
          </w:tcPr>
          <w:p>
            <w:pPr>
              <w:pStyle w:val="391"/>
              <w:autoSpaceDE w:val="0"/>
              <w:autoSpaceDN w:val="0"/>
              <w:spacing w:before="117" w:line="468" w:lineRule="exact"/>
              <w:ind w:left="592" w:firstLine="472" w:firstLineChars="2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position w:val="17"/>
                <w14:textFill>
                  <w14:solidFill>
                    <w14:schemeClr w14:val="tx1"/>
                  </w14:solidFill>
                </w14:textFill>
              </w:rPr>
              <w:t>施工设备及技</w:t>
            </w:r>
          </w:p>
          <w:p>
            <w:pPr>
              <w:pStyle w:val="391"/>
              <w:autoSpaceDE w:val="0"/>
              <w:autoSpaceDN w:val="0"/>
              <w:spacing w:line="219" w:lineRule="auto"/>
              <w:ind w:left="955" w:firstLine="480" w:firstLineChars="2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术</w:t>
            </w:r>
          </w:p>
        </w:tc>
        <w:tc>
          <w:tcPr>
            <w:tcW w:w="3740" w:type="dxa"/>
          </w:tcPr>
          <w:p>
            <w:pPr>
              <w:pStyle w:val="391"/>
              <w:autoSpaceDE w:val="0"/>
              <w:autoSpaceDN w:val="0"/>
              <w:spacing w:before="117" w:line="468" w:lineRule="exact"/>
              <w:ind w:right="67" w:firstLine="472" w:firstLineChars="200"/>
              <w:jc w:val="right"/>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2"/>
                <w:position w:val="17"/>
                <w:lang w:eastAsia="zh-CN"/>
                <w14:textFill>
                  <w14:solidFill>
                    <w14:schemeClr w14:val="tx1"/>
                  </w14:solidFill>
                </w14:textFill>
              </w:rPr>
              <w:t>具有成熟的成套施工技术，大</w:t>
            </w:r>
          </w:p>
          <w:p>
            <w:pPr>
              <w:pStyle w:val="391"/>
              <w:autoSpaceDE w:val="0"/>
              <w:autoSpaceDN w:val="0"/>
              <w:spacing w:line="219" w:lineRule="auto"/>
              <w:ind w:left="202" w:firstLine="472"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型、现代化的成套施工设备较多</w:t>
            </w:r>
          </w:p>
        </w:tc>
        <w:tc>
          <w:tcPr>
            <w:tcW w:w="4406" w:type="dxa"/>
          </w:tcPr>
          <w:p>
            <w:pPr>
              <w:pStyle w:val="391"/>
              <w:autoSpaceDE w:val="0"/>
              <w:autoSpaceDN w:val="0"/>
              <w:spacing w:before="117" w:line="468" w:lineRule="exact"/>
              <w:ind w:right="58" w:firstLine="468" w:firstLineChars="200"/>
              <w:jc w:val="right"/>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3"/>
                <w:position w:val="17"/>
                <w:lang w:eastAsia="zh-CN"/>
                <w14:textFill>
                  <w14:solidFill>
                    <w14:schemeClr w14:val="tx1"/>
                  </w14:solidFill>
                </w14:textFill>
              </w:rPr>
              <w:t>具有较成熟的成套施工技术，大型、</w:t>
            </w:r>
          </w:p>
          <w:p>
            <w:pPr>
              <w:pStyle w:val="391"/>
              <w:autoSpaceDE w:val="0"/>
              <w:autoSpaceDN w:val="0"/>
              <w:spacing w:line="219" w:lineRule="auto"/>
              <w:ind w:left="765" w:firstLine="476"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lang w:eastAsia="zh-CN"/>
                <w14:textFill>
                  <w14:solidFill>
                    <w14:schemeClr w14:val="tx1"/>
                  </w14:solidFill>
                </w14:textFill>
              </w:rPr>
              <w:t>现代化的成套施工设备较少</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125" w:type="dxa"/>
          </w:tcPr>
          <w:p>
            <w:pPr>
              <w:pStyle w:val="391"/>
              <w:autoSpaceDE w:val="0"/>
              <w:autoSpaceDN w:val="0"/>
              <w:spacing w:before="117" w:line="220" w:lineRule="auto"/>
              <w:ind w:left="83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施工周期</w:t>
            </w:r>
          </w:p>
        </w:tc>
        <w:tc>
          <w:tcPr>
            <w:tcW w:w="3740" w:type="dxa"/>
          </w:tcPr>
          <w:p>
            <w:pPr>
              <w:pStyle w:val="391"/>
              <w:autoSpaceDE w:val="0"/>
              <w:autoSpaceDN w:val="0"/>
              <w:spacing w:before="117" w:line="220" w:lineRule="auto"/>
              <w:ind w:left="139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施工周期较短</w:t>
            </w:r>
          </w:p>
        </w:tc>
        <w:tc>
          <w:tcPr>
            <w:tcW w:w="4406" w:type="dxa"/>
          </w:tcPr>
          <w:p>
            <w:pPr>
              <w:pStyle w:val="391"/>
              <w:autoSpaceDE w:val="0"/>
              <w:autoSpaceDN w:val="0"/>
              <w:spacing w:before="117" w:line="220" w:lineRule="auto"/>
              <w:ind w:left="172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施工周期较长</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32" w:hRule="atLeast"/>
        </w:trPr>
        <w:tc>
          <w:tcPr>
            <w:tcW w:w="2125" w:type="dxa"/>
          </w:tcPr>
          <w:p>
            <w:pPr>
              <w:pStyle w:val="391"/>
              <w:autoSpaceDE w:val="0"/>
              <w:autoSpaceDN w:val="0"/>
              <w:spacing w:before="78" w:line="220" w:lineRule="auto"/>
              <w:ind w:left="83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养护维修</w:t>
            </w:r>
          </w:p>
        </w:tc>
        <w:tc>
          <w:tcPr>
            <w:tcW w:w="3740" w:type="dxa"/>
          </w:tcPr>
          <w:p>
            <w:pPr>
              <w:pStyle w:val="391"/>
              <w:autoSpaceDE w:val="0"/>
              <w:autoSpaceDN w:val="0"/>
              <w:spacing w:before="78" w:line="468" w:lineRule="exact"/>
              <w:ind w:right="68" w:firstLine="476" w:firstLineChars="200"/>
              <w:jc w:val="right"/>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position w:val="17"/>
                <w:lang w:eastAsia="zh-CN"/>
                <w14:textFill>
                  <w14:solidFill>
                    <w14:schemeClr w14:val="tx1"/>
                  </w14:solidFill>
                </w14:textFill>
              </w:rPr>
              <w:t>养护维修方便，可立即开放交</w:t>
            </w:r>
          </w:p>
          <w:p>
            <w:pPr>
              <w:pStyle w:val="391"/>
              <w:autoSpaceDE w:val="0"/>
              <w:autoSpaceDN w:val="0"/>
              <w:spacing w:before="1" w:line="220" w:lineRule="auto"/>
              <w:ind w:left="795" w:firstLine="460" w:firstLineChars="2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5"/>
                <w14:textFill>
                  <w14:solidFill>
                    <w14:schemeClr w14:val="tx1"/>
                  </w14:solidFill>
                </w14:textFill>
              </w:rPr>
              <w:t>通，交通影响较小。</w:t>
            </w:r>
          </w:p>
        </w:tc>
        <w:tc>
          <w:tcPr>
            <w:tcW w:w="4406" w:type="dxa"/>
          </w:tcPr>
          <w:p>
            <w:pPr>
              <w:pStyle w:val="391"/>
              <w:autoSpaceDE w:val="0"/>
              <w:autoSpaceDN w:val="0"/>
              <w:spacing w:before="117" w:line="219" w:lineRule="auto"/>
              <w:ind w:left="642" w:firstLine="476"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lang w:eastAsia="zh-CN"/>
                <w14:textFill>
                  <w14:solidFill>
                    <w14:schemeClr w14:val="tx1"/>
                  </w14:solidFill>
                </w14:textFill>
              </w:rPr>
              <w:t>接缝养护工作量大，板块维修难度</w:t>
            </w:r>
          </w:p>
          <w:p>
            <w:pPr>
              <w:pStyle w:val="391"/>
              <w:autoSpaceDE w:val="0"/>
              <w:autoSpaceDN w:val="0"/>
              <w:spacing w:before="183" w:line="468" w:lineRule="exact"/>
              <w:ind w:left="66" w:firstLine="412"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7"/>
                <w:position w:val="17"/>
                <w:lang w:eastAsia="zh-CN"/>
                <w14:textFill>
                  <w14:solidFill>
                    <w14:schemeClr w14:val="tx1"/>
                  </w14:solidFill>
                </w14:textFill>
              </w:rPr>
              <w:t>大，不能立即开放交通，交通阻碍影响较</w:t>
            </w:r>
          </w:p>
          <w:p>
            <w:pPr>
              <w:pStyle w:val="391"/>
              <w:autoSpaceDE w:val="0"/>
              <w:autoSpaceDN w:val="0"/>
              <w:spacing w:line="220" w:lineRule="auto"/>
              <w:ind w:left="1966" w:firstLine="432" w:firstLineChars="2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2"/>
                <w14:textFill>
                  <w14:solidFill>
                    <w14:schemeClr w14:val="tx1"/>
                  </w14:solidFill>
                </w14:textFill>
              </w:rPr>
              <w:t>大。</w:t>
            </w:r>
          </w:p>
        </w:tc>
      </w:tr>
    </w:tbl>
    <w:p>
      <w:pPr>
        <w:pStyle w:val="28"/>
        <w:spacing w:before="0" w:beforeAutospacing="0" w:after="0" w:afterAutospacing="0" w:line="300" w:lineRule="auto"/>
        <w:ind w:firstLine="480" w:firstLineChars="200"/>
      </w:pPr>
      <w:r>
        <w:t>从以上叙述可以看出，沥青与水泥路面各有优缺点，综合考虑沥青砼路面具有行车舒适、噪音小，维修养护方便等优点，结合本地区已建成的道路路面结构情况及项目的具体情况，本项目推荐采用沥青砼路面结构。</w:t>
      </w:r>
    </w:p>
    <w:p>
      <w:pPr>
        <w:pStyle w:val="28"/>
        <w:spacing w:before="0" w:beforeAutospacing="0" w:after="0" w:afterAutospacing="0" w:line="300" w:lineRule="auto"/>
        <w:ind w:firstLine="480" w:firstLineChars="200"/>
      </w:pPr>
      <w:r>
        <w:t>（2）表面层材料的比选论证</w:t>
      </w:r>
    </w:p>
    <w:p>
      <w:pPr>
        <w:pStyle w:val="28"/>
        <w:spacing w:before="0" w:beforeAutospacing="0" w:after="0" w:afterAutospacing="0" w:line="300" w:lineRule="auto"/>
        <w:ind w:firstLine="480" w:firstLineChars="200"/>
      </w:pPr>
      <w:r>
        <w:t>SBS改性沥青有很好的耐高温、抗车辙和耐老化性能，抗低温性能好；可提高路面的抗疲劳性能，特别是在大流量、超载严重的道路上具有良好的应变能力，可减少路面的永久变形；粘结能力特别强，能明显改善路面遇水后的抗拉性能，并极大地改善路面的水稳定性；考虑本项目所经地区降雨极为丰富，夏季炎热期长且温度高，为全面提高和改善沥青路面的路用性能和服务水平，减少沥青路面的早期破坏，本项目上面层推荐采用SBS改性沥青。</w:t>
      </w:r>
    </w:p>
    <w:p>
      <w:pPr>
        <w:pStyle w:val="28"/>
        <w:spacing w:before="0" w:beforeAutospacing="0" w:after="0" w:afterAutospacing="0" w:line="300" w:lineRule="auto"/>
        <w:ind w:firstLine="480" w:firstLineChars="200"/>
      </w:pPr>
      <w:r>
        <w:t>为便于确定表面层混合料组成，我们将目前用于沥青路面表层的两类混合料从路用性能、施工难度和初期造价进行比较，见下表：</w:t>
      </w:r>
    </w:p>
    <w:p>
      <w:pPr>
        <w:spacing w:before="184" w:line="220" w:lineRule="auto"/>
        <w:jc w:val="center"/>
        <w:rPr>
          <w:rFonts w:ascii="Times New Roman" w:hAnsi="Times New Roman"/>
          <w:sz w:val="24"/>
          <w:szCs w:val="24"/>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抗滑磨耗层方案比较</w:t>
      </w:r>
    </w:p>
    <w:tbl>
      <w:tblPr>
        <w:tblStyle w:val="379"/>
        <w:tblW w:w="10369" w:type="dxa"/>
        <w:tblInd w:w="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697"/>
        <w:gridCol w:w="2660"/>
        <w:gridCol w:w="3012"/>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7" w:hRule="atLeast"/>
        </w:trPr>
        <w:tc>
          <w:tcPr>
            <w:tcW w:w="4697" w:type="dxa"/>
          </w:tcPr>
          <w:p>
            <w:pPr>
              <w:pStyle w:val="391"/>
              <w:autoSpaceDE w:val="0"/>
              <w:autoSpaceDN w:val="0"/>
              <w:spacing w:before="137" w:line="220" w:lineRule="auto"/>
              <w:ind w:left="199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特点及性能</w:t>
            </w:r>
          </w:p>
        </w:tc>
        <w:tc>
          <w:tcPr>
            <w:tcW w:w="2660" w:type="dxa"/>
          </w:tcPr>
          <w:p>
            <w:pPr>
              <w:pStyle w:val="391"/>
              <w:autoSpaceDE w:val="0"/>
              <w:autoSpaceDN w:val="0"/>
              <w:spacing w:before="173" w:line="185" w:lineRule="auto"/>
              <w:ind w:left="120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AC-13C</w:t>
            </w:r>
          </w:p>
        </w:tc>
        <w:tc>
          <w:tcPr>
            <w:tcW w:w="3012" w:type="dxa"/>
          </w:tcPr>
          <w:p>
            <w:pPr>
              <w:pStyle w:val="391"/>
              <w:autoSpaceDE w:val="0"/>
              <w:autoSpaceDN w:val="0"/>
              <w:spacing w:before="173" w:line="185" w:lineRule="auto"/>
              <w:ind w:left="138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SMA-13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4697" w:type="dxa"/>
          </w:tcPr>
          <w:p>
            <w:pPr>
              <w:pStyle w:val="391"/>
              <w:autoSpaceDE w:val="0"/>
              <w:autoSpaceDN w:val="0"/>
              <w:spacing w:before="113" w:line="220" w:lineRule="auto"/>
              <w:ind w:left="212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级配类型</w:t>
            </w:r>
          </w:p>
        </w:tc>
        <w:tc>
          <w:tcPr>
            <w:tcW w:w="2660" w:type="dxa"/>
          </w:tcPr>
          <w:p>
            <w:pPr>
              <w:pStyle w:val="391"/>
              <w:autoSpaceDE w:val="0"/>
              <w:autoSpaceDN w:val="0"/>
              <w:spacing w:before="113" w:line="220" w:lineRule="auto"/>
              <w:ind w:left="73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粗型连续密级配</w:t>
            </w:r>
          </w:p>
        </w:tc>
        <w:tc>
          <w:tcPr>
            <w:tcW w:w="3012" w:type="dxa"/>
          </w:tcPr>
          <w:p>
            <w:pPr>
              <w:pStyle w:val="391"/>
              <w:autoSpaceDE w:val="0"/>
              <w:autoSpaceDN w:val="0"/>
              <w:spacing w:before="113" w:line="220" w:lineRule="auto"/>
              <w:ind w:left="78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嵌挤密实间断级配</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4697" w:type="dxa"/>
          </w:tcPr>
          <w:p>
            <w:pPr>
              <w:pStyle w:val="391"/>
              <w:autoSpaceDE w:val="0"/>
              <w:autoSpaceDN w:val="0"/>
              <w:spacing w:before="114" w:line="220" w:lineRule="auto"/>
              <w:ind w:left="199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抗车辙变形</w:t>
            </w:r>
          </w:p>
        </w:tc>
        <w:tc>
          <w:tcPr>
            <w:tcW w:w="2660" w:type="dxa"/>
          </w:tcPr>
          <w:p>
            <w:pPr>
              <w:pStyle w:val="391"/>
              <w:autoSpaceDE w:val="0"/>
              <w:autoSpaceDN w:val="0"/>
              <w:spacing w:before="115" w:line="335" w:lineRule="exact"/>
              <w:ind w:left="145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position w:val="1"/>
                <w14:textFill>
                  <w14:solidFill>
                    <w14:schemeClr w14:val="tx1"/>
                  </w14:solidFill>
                </w14:textFill>
              </w:rPr>
              <w:t>**</w:t>
            </w:r>
          </w:p>
        </w:tc>
        <w:tc>
          <w:tcPr>
            <w:tcW w:w="3012" w:type="dxa"/>
          </w:tcPr>
          <w:p>
            <w:pPr>
              <w:pStyle w:val="391"/>
              <w:autoSpaceDE w:val="0"/>
              <w:autoSpaceDN w:val="0"/>
              <w:spacing w:before="115" w:line="335" w:lineRule="exact"/>
              <w:ind w:left="150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position w:val="1"/>
                <w14:textFill>
                  <w14:solidFill>
                    <w14:schemeClr w14:val="tx1"/>
                  </w14:solidFill>
                </w14:textFill>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4697" w:type="dxa"/>
          </w:tcPr>
          <w:p>
            <w:pPr>
              <w:pStyle w:val="391"/>
              <w:autoSpaceDE w:val="0"/>
              <w:autoSpaceDN w:val="0"/>
              <w:spacing w:before="114" w:line="220" w:lineRule="auto"/>
              <w:ind w:left="211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抗裂性能</w:t>
            </w:r>
          </w:p>
        </w:tc>
        <w:tc>
          <w:tcPr>
            <w:tcW w:w="2660" w:type="dxa"/>
          </w:tcPr>
          <w:p>
            <w:pPr>
              <w:pStyle w:val="391"/>
              <w:autoSpaceDE w:val="0"/>
              <w:autoSpaceDN w:val="0"/>
              <w:spacing w:before="115" w:line="335" w:lineRule="exact"/>
              <w:ind w:left="145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position w:val="1"/>
                <w14:textFill>
                  <w14:solidFill>
                    <w14:schemeClr w14:val="tx1"/>
                  </w14:solidFill>
                </w14:textFill>
              </w:rPr>
              <w:t>**</w:t>
            </w:r>
          </w:p>
        </w:tc>
        <w:tc>
          <w:tcPr>
            <w:tcW w:w="3012" w:type="dxa"/>
          </w:tcPr>
          <w:p>
            <w:pPr>
              <w:pStyle w:val="391"/>
              <w:autoSpaceDE w:val="0"/>
              <w:autoSpaceDN w:val="0"/>
              <w:spacing w:before="115" w:line="335" w:lineRule="exact"/>
              <w:ind w:left="150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position w:val="1"/>
                <w14:textFill>
                  <w14:solidFill>
                    <w14:schemeClr w14:val="tx1"/>
                  </w14:solidFill>
                </w14:textFill>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4697" w:type="dxa"/>
          </w:tcPr>
          <w:p>
            <w:pPr>
              <w:pStyle w:val="391"/>
              <w:autoSpaceDE w:val="0"/>
              <w:autoSpaceDN w:val="0"/>
              <w:spacing w:before="115" w:line="220" w:lineRule="auto"/>
              <w:ind w:left="212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疲劳性能</w:t>
            </w:r>
          </w:p>
        </w:tc>
        <w:tc>
          <w:tcPr>
            <w:tcW w:w="2660" w:type="dxa"/>
          </w:tcPr>
          <w:p>
            <w:pPr>
              <w:pStyle w:val="391"/>
              <w:autoSpaceDE w:val="0"/>
              <w:autoSpaceDN w:val="0"/>
              <w:spacing w:before="115" w:line="335" w:lineRule="exact"/>
              <w:ind w:left="145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position w:val="1"/>
                <w14:textFill>
                  <w14:solidFill>
                    <w14:schemeClr w14:val="tx1"/>
                  </w14:solidFill>
                </w14:textFill>
              </w:rPr>
              <w:t>**</w:t>
            </w:r>
          </w:p>
        </w:tc>
        <w:tc>
          <w:tcPr>
            <w:tcW w:w="3012" w:type="dxa"/>
          </w:tcPr>
          <w:p>
            <w:pPr>
              <w:pStyle w:val="391"/>
              <w:autoSpaceDE w:val="0"/>
              <w:autoSpaceDN w:val="0"/>
              <w:spacing w:before="115" w:line="335" w:lineRule="exact"/>
              <w:ind w:left="150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position w:val="1"/>
                <w14:textFill>
                  <w14:solidFill>
                    <w14:schemeClr w14:val="tx1"/>
                  </w14:solidFill>
                </w14:textFill>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4" w:hRule="atLeast"/>
        </w:trPr>
        <w:tc>
          <w:tcPr>
            <w:tcW w:w="4697" w:type="dxa"/>
          </w:tcPr>
          <w:p>
            <w:pPr>
              <w:pStyle w:val="391"/>
              <w:autoSpaceDE w:val="0"/>
              <w:autoSpaceDN w:val="0"/>
              <w:spacing w:before="117" w:line="221" w:lineRule="auto"/>
              <w:ind w:left="22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耐久性</w:t>
            </w:r>
          </w:p>
        </w:tc>
        <w:tc>
          <w:tcPr>
            <w:tcW w:w="2660" w:type="dxa"/>
          </w:tcPr>
          <w:p>
            <w:pPr>
              <w:pStyle w:val="391"/>
              <w:autoSpaceDE w:val="0"/>
              <w:autoSpaceDN w:val="0"/>
              <w:spacing w:before="117" w:line="335" w:lineRule="exact"/>
              <w:ind w:left="145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position w:val="1"/>
                <w14:textFill>
                  <w14:solidFill>
                    <w14:schemeClr w14:val="tx1"/>
                  </w14:solidFill>
                </w14:textFill>
              </w:rPr>
              <w:t>**</w:t>
            </w:r>
          </w:p>
        </w:tc>
        <w:tc>
          <w:tcPr>
            <w:tcW w:w="3012" w:type="dxa"/>
          </w:tcPr>
          <w:p>
            <w:pPr>
              <w:pStyle w:val="391"/>
              <w:autoSpaceDE w:val="0"/>
              <w:autoSpaceDN w:val="0"/>
              <w:spacing w:before="117" w:line="335" w:lineRule="exact"/>
              <w:ind w:left="150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position w:val="1"/>
                <w14:textFill>
                  <w14:solidFill>
                    <w14:schemeClr w14:val="tx1"/>
                  </w14:solidFill>
                </w14:textFill>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4697" w:type="dxa"/>
          </w:tcPr>
          <w:p>
            <w:pPr>
              <w:pStyle w:val="391"/>
              <w:autoSpaceDE w:val="0"/>
              <w:autoSpaceDN w:val="0"/>
              <w:spacing w:before="115" w:line="220" w:lineRule="auto"/>
              <w:ind w:left="212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水稳定性</w:t>
            </w:r>
          </w:p>
        </w:tc>
        <w:tc>
          <w:tcPr>
            <w:tcW w:w="2660" w:type="dxa"/>
          </w:tcPr>
          <w:p>
            <w:pPr>
              <w:pStyle w:val="391"/>
              <w:autoSpaceDE w:val="0"/>
              <w:autoSpaceDN w:val="0"/>
              <w:spacing w:before="116" w:line="335" w:lineRule="exact"/>
              <w:ind w:left="145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position w:val="1"/>
                <w14:textFill>
                  <w14:solidFill>
                    <w14:schemeClr w14:val="tx1"/>
                  </w14:solidFill>
                </w14:textFill>
              </w:rPr>
              <w:t>**</w:t>
            </w:r>
          </w:p>
        </w:tc>
        <w:tc>
          <w:tcPr>
            <w:tcW w:w="3012" w:type="dxa"/>
          </w:tcPr>
          <w:p>
            <w:pPr>
              <w:pStyle w:val="391"/>
              <w:autoSpaceDE w:val="0"/>
              <w:autoSpaceDN w:val="0"/>
              <w:spacing w:before="116" w:line="335" w:lineRule="exact"/>
              <w:ind w:left="150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position w:val="1"/>
                <w14:textFill>
                  <w14:solidFill>
                    <w14:schemeClr w14:val="tx1"/>
                  </w14:solidFill>
                </w14:textFill>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4697" w:type="dxa"/>
          </w:tcPr>
          <w:p>
            <w:pPr>
              <w:pStyle w:val="391"/>
              <w:autoSpaceDE w:val="0"/>
              <w:autoSpaceDN w:val="0"/>
              <w:spacing w:before="116" w:line="220" w:lineRule="auto"/>
              <w:ind w:left="211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抗滑性能</w:t>
            </w:r>
          </w:p>
        </w:tc>
        <w:tc>
          <w:tcPr>
            <w:tcW w:w="2660" w:type="dxa"/>
          </w:tcPr>
          <w:p>
            <w:pPr>
              <w:pStyle w:val="391"/>
              <w:autoSpaceDE w:val="0"/>
              <w:autoSpaceDN w:val="0"/>
              <w:spacing w:before="116" w:line="335" w:lineRule="exact"/>
              <w:ind w:left="139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position w:val="1"/>
                <w14:textFill>
                  <w14:solidFill>
                    <w14:schemeClr w14:val="tx1"/>
                  </w14:solidFill>
                </w14:textFill>
              </w:rPr>
              <w:t>***</w:t>
            </w:r>
          </w:p>
        </w:tc>
        <w:tc>
          <w:tcPr>
            <w:tcW w:w="3012" w:type="dxa"/>
          </w:tcPr>
          <w:p>
            <w:pPr>
              <w:pStyle w:val="391"/>
              <w:autoSpaceDE w:val="0"/>
              <w:autoSpaceDN w:val="0"/>
              <w:spacing w:before="116" w:line="335" w:lineRule="exact"/>
              <w:ind w:left="150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position w:val="1"/>
                <w14:textFill>
                  <w14:solidFill>
                    <w14:schemeClr w14:val="tx1"/>
                  </w14:solidFill>
                </w14:textFill>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4" w:hRule="atLeast"/>
        </w:trPr>
        <w:tc>
          <w:tcPr>
            <w:tcW w:w="4697" w:type="dxa"/>
          </w:tcPr>
          <w:p>
            <w:pPr>
              <w:pStyle w:val="391"/>
              <w:autoSpaceDE w:val="0"/>
              <w:autoSpaceDN w:val="0"/>
              <w:spacing w:before="118" w:line="218" w:lineRule="auto"/>
              <w:ind w:left="1041"/>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lang w:eastAsia="zh-CN"/>
                <w14:textFill>
                  <w14:solidFill>
                    <w14:schemeClr w14:val="tx1"/>
                  </w14:solidFill>
                </w14:textFill>
              </w:rPr>
              <w:t>路面噪音、反光、溅水、水雾</w:t>
            </w:r>
          </w:p>
        </w:tc>
        <w:tc>
          <w:tcPr>
            <w:tcW w:w="2660" w:type="dxa"/>
          </w:tcPr>
          <w:p>
            <w:pPr>
              <w:pStyle w:val="391"/>
              <w:autoSpaceDE w:val="0"/>
              <w:autoSpaceDN w:val="0"/>
              <w:spacing w:before="118" w:line="335" w:lineRule="exact"/>
              <w:ind w:left="145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position w:val="1"/>
                <w14:textFill>
                  <w14:solidFill>
                    <w14:schemeClr w14:val="tx1"/>
                  </w14:solidFill>
                </w14:textFill>
              </w:rPr>
              <w:t>**</w:t>
            </w:r>
          </w:p>
        </w:tc>
        <w:tc>
          <w:tcPr>
            <w:tcW w:w="3012" w:type="dxa"/>
          </w:tcPr>
          <w:p>
            <w:pPr>
              <w:pStyle w:val="391"/>
              <w:autoSpaceDE w:val="0"/>
              <w:autoSpaceDN w:val="0"/>
              <w:spacing w:before="118" w:line="335" w:lineRule="exact"/>
              <w:ind w:left="156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position w:val="1"/>
                <w14:textFill>
                  <w14:solidFill>
                    <w14:schemeClr w14:val="tx1"/>
                  </w14:solidFill>
                </w14:textFill>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4697" w:type="dxa"/>
          </w:tcPr>
          <w:p>
            <w:pPr>
              <w:pStyle w:val="391"/>
              <w:autoSpaceDE w:val="0"/>
              <w:autoSpaceDN w:val="0"/>
              <w:spacing w:before="117" w:line="220" w:lineRule="auto"/>
              <w:ind w:left="187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施工难易程度</w:t>
            </w:r>
          </w:p>
        </w:tc>
        <w:tc>
          <w:tcPr>
            <w:tcW w:w="2660" w:type="dxa"/>
          </w:tcPr>
          <w:p>
            <w:pPr>
              <w:pStyle w:val="391"/>
              <w:autoSpaceDE w:val="0"/>
              <w:autoSpaceDN w:val="0"/>
              <w:spacing w:before="117" w:line="335" w:lineRule="exact"/>
              <w:ind w:left="145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position w:val="1"/>
                <w14:textFill>
                  <w14:solidFill>
                    <w14:schemeClr w14:val="tx1"/>
                  </w14:solidFill>
                </w14:textFill>
              </w:rPr>
              <w:t>**</w:t>
            </w:r>
          </w:p>
        </w:tc>
        <w:tc>
          <w:tcPr>
            <w:tcW w:w="3012" w:type="dxa"/>
          </w:tcPr>
          <w:p>
            <w:pPr>
              <w:pStyle w:val="391"/>
              <w:autoSpaceDE w:val="0"/>
              <w:autoSpaceDN w:val="0"/>
              <w:spacing w:before="117" w:line="335" w:lineRule="exact"/>
              <w:ind w:left="156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position w:val="1"/>
                <w14:textFill>
                  <w14:solidFill>
                    <w14:schemeClr w14:val="tx1"/>
                  </w14:solidFill>
                </w14:textFill>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6" w:hRule="atLeast"/>
        </w:trPr>
        <w:tc>
          <w:tcPr>
            <w:tcW w:w="4697" w:type="dxa"/>
          </w:tcPr>
          <w:p>
            <w:pPr>
              <w:pStyle w:val="391"/>
              <w:autoSpaceDE w:val="0"/>
              <w:autoSpaceDN w:val="0"/>
              <w:spacing w:before="117" w:line="218" w:lineRule="auto"/>
              <w:ind w:left="211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初期造价</w:t>
            </w:r>
          </w:p>
        </w:tc>
        <w:tc>
          <w:tcPr>
            <w:tcW w:w="2660" w:type="dxa"/>
          </w:tcPr>
          <w:p>
            <w:pPr>
              <w:pStyle w:val="391"/>
              <w:autoSpaceDE w:val="0"/>
              <w:autoSpaceDN w:val="0"/>
              <w:spacing w:before="117" w:line="335" w:lineRule="exact"/>
              <w:ind w:left="139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position w:val="1"/>
                <w14:textFill>
                  <w14:solidFill>
                    <w14:schemeClr w14:val="tx1"/>
                  </w14:solidFill>
                </w14:textFill>
              </w:rPr>
              <w:t>***</w:t>
            </w:r>
          </w:p>
        </w:tc>
        <w:tc>
          <w:tcPr>
            <w:tcW w:w="3012" w:type="dxa"/>
          </w:tcPr>
          <w:p>
            <w:pPr>
              <w:pStyle w:val="391"/>
              <w:autoSpaceDE w:val="0"/>
              <w:autoSpaceDN w:val="0"/>
              <w:spacing w:before="117" w:line="335" w:lineRule="exact"/>
              <w:ind w:left="150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position w:val="1"/>
                <w14:textFill>
                  <w14:solidFill>
                    <w14:schemeClr w14:val="tx1"/>
                  </w14:solidFill>
                </w14:textFill>
              </w:rPr>
              <w:t>****</w:t>
            </w:r>
          </w:p>
        </w:tc>
      </w:tr>
    </w:tbl>
    <w:p>
      <w:pPr>
        <w:pStyle w:val="28"/>
        <w:spacing w:before="0" w:beforeAutospacing="0" w:after="0" w:afterAutospacing="0" w:line="300" w:lineRule="auto"/>
        <w:ind w:firstLine="480" w:firstLineChars="200"/>
      </w:pPr>
      <w:r>
        <w:t>注：“*”号越多表示性能越好，施工难度越高，初期造价越高。</w:t>
      </w:r>
    </w:p>
    <w:p>
      <w:pPr>
        <w:pStyle w:val="28"/>
        <w:spacing w:before="0" w:beforeAutospacing="0" w:after="0" w:afterAutospacing="0" w:line="300" w:lineRule="auto"/>
        <w:ind w:firstLine="480" w:firstLineChars="200"/>
      </w:pPr>
      <w:r>
        <w:t>AC型是我国传统的沥青混合料类型，属连续密级配，具有施工方便，离析小，空隙小，耐久性好及造价相对较低等特点，SBS改性AC结构有较好的构造深度，抗车辙变形性能较好，高温稳定性和低温抗裂性能都比以前有所提高。综合比较其经济性也是不错的。</w:t>
      </w:r>
    </w:p>
    <w:p>
      <w:pPr>
        <w:pStyle w:val="28"/>
        <w:spacing w:before="0" w:beforeAutospacing="0" w:after="0" w:afterAutospacing="0" w:line="300" w:lineRule="auto"/>
        <w:ind w:firstLine="480" w:firstLineChars="200"/>
      </w:pPr>
      <w:r>
        <w:t>SMA具有优良的路用性能，这主要是因为SMA混合料在组成上与AK混合料有很大不同，它由大量粗集料(粒径大于2.36mm)、较多的沥青结合料和矿质填料(矿粉)以及少量细集料(机制砂)和纤维稳定剂组成，致使SMA有较大的内摩擦角和粘聚力。大量的粗集料构成坚固的骨架结构，即石—石嵌挤结构(粗集料间相互接触)，使其具有良好的高温抗车辙变形的能力，而由沥青、填料、稳定剂和细集料组成的改性沥青玛蹄脂(胶泥)填充粗集料骨架的空隙，混合料密实，抗水损害能力强，且由于沥青结合料用量的大大提高，从而保证了沥青路面的耐久性及抗开裂的性能。但相对造价较高。</w:t>
      </w:r>
    </w:p>
    <w:p>
      <w:pPr>
        <w:pStyle w:val="28"/>
        <w:spacing w:before="0" w:beforeAutospacing="0" w:after="0" w:afterAutospacing="0" w:line="300" w:lineRule="auto"/>
        <w:ind w:firstLine="480" w:firstLineChars="200"/>
      </w:pPr>
      <w:r>
        <w:t>经过综合分析，上面层推荐采用细粒式SBS改性沥青混凝土（AC-13C）。</w:t>
      </w:r>
    </w:p>
    <w:p>
      <w:pPr>
        <w:pStyle w:val="28"/>
        <w:spacing w:before="0" w:beforeAutospacing="0" w:after="0" w:afterAutospacing="0" w:line="300" w:lineRule="auto"/>
        <w:ind w:firstLine="480" w:firstLineChars="200"/>
      </w:pPr>
      <w:r>
        <w:t>（3）中、下面层材料的比选论证</w:t>
      </w:r>
    </w:p>
    <w:p>
      <w:pPr>
        <w:pStyle w:val="28"/>
        <w:spacing w:before="0" w:beforeAutospacing="0" w:after="0" w:afterAutospacing="0" w:line="300" w:lineRule="auto"/>
        <w:ind w:firstLine="480" w:firstLineChars="200"/>
      </w:pPr>
      <w:r>
        <w:t>沥青混合料下面层是承受行车过程中产生的剪应力的主要结构层，是影响车辙产生的主要结构层，因此下面层必须具有优良的高温抗车辙等路用性能。下面层主要作用是承重层，同时尽可能使之具备防止半刚性基层裂缝反射的功能。目前基本上采用AC型和Superpave型两种型式。</w:t>
      </w:r>
    </w:p>
    <w:p>
      <w:pPr>
        <w:pStyle w:val="28"/>
        <w:spacing w:before="0" w:beforeAutospacing="0" w:after="0" w:afterAutospacing="0" w:line="300" w:lineRule="auto"/>
        <w:ind w:firstLine="480" w:firstLineChars="200"/>
      </w:pPr>
      <w:r>
        <w:t>Superpave型沥青混合料与一般AC型沥青混合料相比，Superpave型沥青混合料中间集料(4.75～12.5mm)相对较多，较粗和较细的集料相对较少，因而集料均匀性较好，混合料更趋于嵌挤密实，骨架性好，具有较好的抗车辙、抗裂缝和抗水损害性能，同时Superpave路面减少了路面级配离析。但Superpave混合料对施工压实要求较高，需要较大的压实功，施工技术要求较高。AC</w:t>
      </w:r>
    </w:p>
    <w:p>
      <w:pPr>
        <w:pStyle w:val="28"/>
        <w:spacing w:before="0" w:beforeAutospacing="0" w:after="0" w:afterAutospacing="0" w:line="300" w:lineRule="auto"/>
        <w:ind w:firstLine="480" w:firstLineChars="200"/>
      </w:pPr>
      <w:r>
        <w:t>型沥青混合料有着丰富的施工经验，其高温抗车辙等路用性能可以很好地满足路用要求。</w:t>
      </w:r>
    </w:p>
    <w:p>
      <w:pPr>
        <w:pStyle w:val="28"/>
        <w:spacing w:before="0" w:beforeAutospacing="0" w:after="0" w:afterAutospacing="0" w:line="300" w:lineRule="auto"/>
        <w:ind w:firstLine="480" w:firstLineChars="200"/>
      </w:pPr>
      <w:r>
        <w:t>目前，Superpave型沥青混合料的施工工艺比较复杂，路面施工单位需要配置旋转压实仪等设备，经过综合分析，本项目中面层采用AC-20C，下面层路面结构推荐采用为AC-25C。</w:t>
      </w:r>
    </w:p>
    <w:p>
      <w:pPr>
        <w:pStyle w:val="28"/>
        <w:spacing w:before="0" w:beforeAutospacing="0" w:after="0" w:afterAutospacing="0" w:line="300" w:lineRule="auto"/>
        <w:ind w:firstLine="480" w:firstLineChars="200"/>
      </w:pPr>
      <w:r>
        <w:t>（4）路面基层的比选论证</w:t>
      </w:r>
    </w:p>
    <w:p>
      <w:pPr>
        <w:pStyle w:val="28"/>
        <w:spacing w:before="0" w:beforeAutospacing="0" w:after="0" w:afterAutospacing="0" w:line="300" w:lineRule="auto"/>
        <w:ind w:firstLine="480" w:firstLineChars="200"/>
      </w:pPr>
      <w:r>
        <w:t>基层对半刚性基层、柔性基层以及组合式基层进行了比较。水泥稳定碎石当前应用非常普遍，具有强度高，抗水性好，与沥青封层结合好等优点，虽然表面易产生收缩裂缝，但可通过适当降低基层模量、控制水泥掺量以及铺设应力吸收膜或玻纤格栅的方法进行控制，施工工艺及质量控制体系比较完善，本项目推荐采用水泥稳定碎石。</w:t>
      </w:r>
    </w:p>
    <w:p>
      <w:pPr>
        <w:pStyle w:val="28"/>
        <w:spacing w:before="0" w:beforeAutospacing="0" w:after="0" w:afterAutospacing="0" w:line="300" w:lineRule="auto"/>
        <w:ind w:firstLine="480" w:firstLineChars="200"/>
      </w:pPr>
      <w:r>
        <w:t>（5）路面底基层的比选</w:t>
      </w:r>
    </w:p>
    <w:p>
      <w:pPr>
        <w:pStyle w:val="28"/>
        <w:spacing w:before="0" w:beforeAutospacing="0" w:after="0" w:afterAutospacing="0" w:line="300" w:lineRule="auto"/>
        <w:ind w:firstLine="480" w:firstLineChars="200"/>
      </w:pPr>
      <w:r>
        <w:t>底基层选取水泥稳定碎石以及水泥石灰综合稳定土进行方案比较。材料试验证明，水泥石灰综合稳定土能满足底基层的所有技术要求，而且较为经济，但早期强度较低，养护困难，也易产生反射裂缝，故在本地应用较少。而水泥稳定碎石在本地有丰富的施工经验和充足的材料供应，底基层推荐采用水泥稳定碎石。</w:t>
      </w:r>
    </w:p>
    <w:p>
      <w:pPr>
        <w:pStyle w:val="28"/>
        <w:spacing w:before="0" w:beforeAutospacing="0" w:after="0" w:afterAutospacing="0" w:line="300" w:lineRule="auto"/>
        <w:ind w:firstLine="480" w:firstLineChars="200"/>
      </w:pPr>
      <w:r>
        <w:t>（6）人行道路面结构比选</w:t>
      </w:r>
    </w:p>
    <w:p>
      <w:pPr>
        <w:pStyle w:val="28"/>
        <w:spacing w:before="0" w:beforeAutospacing="0" w:after="0" w:afterAutospacing="0" w:line="300" w:lineRule="auto"/>
        <w:ind w:firstLine="480" w:firstLineChars="200"/>
      </w:pPr>
      <w:r>
        <w:t>人行道是直接为行人步行服务的设施，在城市道路系统中起着十分重要的作用。因此，改善人行条件，保证人行道基础设施的完好，是以人为本的体现，同时对于提升城市环境和改善城市面貌也起着非常重要的作用。</w:t>
      </w:r>
    </w:p>
    <w:p>
      <w:pPr>
        <w:spacing w:before="182" w:line="220" w:lineRule="auto"/>
        <w:jc w:val="center"/>
        <w:rPr>
          <w:rFonts w:ascii="Times New Roman" w:hAnsi="Times New Roman"/>
          <w:sz w:val="24"/>
          <w:szCs w:val="24"/>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人行道路面结构方案比较表</w:t>
      </w:r>
    </w:p>
    <w:tbl>
      <w:tblPr>
        <w:tblStyle w:val="379"/>
        <w:tblW w:w="10151" w:type="dxa"/>
        <w:tblInd w:w="5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89"/>
        <w:gridCol w:w="4984"/>
        <w:gridCol w:w="4278"/>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889" w:type="dxa"/>
          </w:tcPr>
          <w:p>
            <w:pPr>
              <w:pStyle w:val="391"/>
              <w:autoSpaceDE w:val="0"/>
              <w:autoSpaceDN w:val="0"/>
              <w:spacing w:before="131" w:line="220" w:lineRule="auto"/>
              <w:ind w:left="21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方案</w:t>
            </w:r>
          </w:p>
        </w:tc>
        <w:tc>
          <w:tcPr>
            <w:tcW w:w="4984" w:type="dxa"/>
          </w:tcPr>
          <w:p>
            <w:pPr>
              <w:pStyle w:val="391"/>
              <w:autoSpaceDE w:val="0"/>
              <w:autoSpaceDN w:val="0"/>
              <w:spacing w:before="130" w:line="220" w:lineRule="auto"/>
              <w:ind w:left="154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混凝土透水砖路面</w:t>
            </w:r>
          </w:p>
        </w:tc>
        <w:tc>
          <w:tcPr>
            <w:tcW w:w="4278" w:type="dxa"/>
          </w:tcPr>
          <w:p>
            <w:pPr>
              <w:pStyle w:val="391"/>
              <w:autoSpaceDE w:val="0"/>
              <w:autoSpaceDN w:val="0"/>
              <w:spacing w:before="130" w:line="220" w:lineRule="auto"/>
              <w:ind w:left="154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花岗岩</w:t>
            </w:r>
            <w:r>
              <w:rPr>
                <w:rFonts w:ascii="Times New Roman" w:hAnsi="Times New Roman" w:cs="Times New Roman" w:eastAsiaTheme="minorEastAsia"/>
                <w:b w:val="0"/>
                <w:bCs/>
                <w:color w:val="000000" w:themeColor="text1"/>
                <w:spacing w:val="-2"/>
                <w14:textFill>
                  <w14:solidFill>
                    <w14:schemeClr w14:val="tx1"/>
                  </w14:solidFill>
                </w14:textFill>
              </w:rPr>
              <w:t>路面</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889" w:type="dxa"/>
          </w:tcPr>
          <w:p>
            <w:pPr>
              <w:pStyle w:val="391"/>
              <w:autoSpaceDE w:val="0"/>
              <w:autoSpaceDN w:val="0"/>
              <w:spacing w:before="107" w:line="220" w:lineRule="auto"/>
              <w:ind w:left="21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优点</w:t>
            </w:r>
          </w:p>
        </w:tc>
        <w:tc>
          <w:tcPr>
            <w:tcW w:w="4984" w:type="dxa"/>
          </w:tcPr>
          <w:p>
            <w:pPr>
              <w:pStyle w:val="391"/>
              <w:autoSpaceDE w:val="0"/>
              <w:autoSpaceDN w:val="0"/>
              <w:spacing w:before="108" w:line="218" w:lineRule="auto"/>
              <w:ind w:left="218"/>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3"/>
                <w:lang w:eastAsia="zh-CN"/>
                <w14:textFill>
                  <w14:solidFill>
                    <w14:schemeClr w14:val="tx1"/>
                  </w14:solidFill>
                </w14:textFill>
              </w:rPr>
              <w:t>环保、对原地貌雨水系统破坏小，造价低。</w:t>
            </w:r>
          </w:p>
        </w:tc>
        <w:tc>
          <w:tcPr>
            <w:tcW w:w="4278" w:type="dxa"/>
          </w:tcPr>
          <w:p>
            <w:pPr>
              <w:pStyle w:val="391"/>
              <w:autoSpaceDE w:val="0"/>
              <w:autoSpaceDN w:val="0"/>
              <w:spacing w:before="107" w:line="220" w:lineRule="auto"/>
              <w:ind w:left="584"/>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4"/>
                <w:lang w:eastAsia="zh-CN"/>
                <w14:textFill>
                  <w14:solidFill>
                    <w14:schemeClr w14:val="tx1"/>
                  </w14:solidFill>
                </w14:textFill>
              </w:rPr>
              <w:t>外表美观、大气，耐久性好。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889" w:type="dxa"/>
          </w:tcPr>
          <w:p>
            <w:pPr>
              <w:pStyle w:val="391"/>
              <w:autoSpaceDE w:val="0"/>
              <w:autoSpaceDN w:val="0"/>
              <w:spacing w:before="109" w:line="220" w:lineRule="auto"/>
              <w:ind w:left="21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缺点</w:t>
            </w:r>
          </w:p>
        </w:tc>
        <w:tc>
          <w:tcPr>
            <w:tcW w:w="4984" w:type="dxa"/>
          </w:tcPr>
          <w:p>
            <w:pPr>
              <w:pStyle w:val="391"/>
              <w:autoSpaceDE w:val="0"/>
              <w:autoSpaceDN w:val="0"/>
              <w:spacing w:before="109" w:line="220" w:lineRule="auto"/>
              <w:ind w:left="822"/>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4"/>
                <w:lang w:eastAsia="zh-CN"/>
                <w14:textFill>
                  <w14:solidFill>
                    <w14:schemeClr w14:val="tx1"/>
                  </w14:solidFill>
                </w14:textFill>
              </w:rPr>
              <w:t>外观美观性较差，稳定性较差。</w:t>
            </w:r>
          </w:p>
        </w:tc>
        <w:tc>
          <w:tcPr>
            <w:tcW w:w="4278" w:type="dxa"/>
          </w:tcPr>
          <w:p>
            <w:pPr>
              <w:pStyle w:val="391"/>
              <w:autoSpaceDE w:val="0"/>
              <w:autoSpaceDN w:val="0"/>
              <w:spacing w:before="109" w:line="220" w:lineRule="auto"/>
              <w:ind w:left="583"/>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4"/>
                <w:lang w:eastAsia="zh-CN"/>
                <w14:textFill>
                  <w14:solidFill>
                    <w14:schemeClr w14:val="tx1"/>
                  </w14:solidFill>
                </w14:textFill>
              </w:rPr>
              <w:t>一次性投资较大，透水性差。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889" w:type="dxa"/>
          </w:tcPr>
          <w:p>
            <w:pPr>
              <w:pStyle w:val="391"/>
              <w:autoSpaceDE w:val="0"/>
              <w:autoSpaceDN w:val="0"/>
              <w:spacing w:before="109" w:line="221" w:lineRule="auto"/>
              <w:ind w:left="22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结论</w:t>
            </w:r>
          </w:p>
        </w:tc>
        <w:tc>
          <w:tcPr>
            <w:tcW w:w="4984" w:type="dxa"/>
          </w:tcPr>
          <w:p>
            <w:pPr>
              <w:pStyle w:val="391"/>
              <w:autoSpaceDE w:val="0"/>
              <w:autoSpaceDN w:val="0"/>
              <w:spacing w:before="109" w:line="219" w:lineRule="auto"/>
              <w:ind w:left="225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推荐</w:t>
            </w:r>
          </w:p>
        </w:tc>
        <w:tc>
          <w:tcPr>
            <w:tcW w:w="4278" w:type="dxa"/>
          </w:tcPr>
          <w:p>
            <w:pPr>
              <w:pStyle w:val="391"/>
              <w:autoSpaceDE w:val="0"/>
              <w:autoSpaceDN w:val="0"/>
              <w:spacing w:before="109" w:line="225" w:lineRule="auto"/>
              <w:ind w:left="192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9"/>
                <w14:textFill>
                  <w14:solidFill>
                    <w14:schemeClr w14:val="tx1"/>
                  </w14:solidFill>
                </w14:textFill>
              </w:rPr>
              <w:t>比选</w:t>
            </w:r>
          </w:p>
        </w:tc>
      </w:tr>
    </w:tbl>
    <w:p>
      <w:pPr>
        <w:pStyle w:val="28"/>
        <w:spacing w:before="0" w:beforeAutospacing="0" w:after="0" w:afterAutospacing="0" w:line="300" w:lineRule="auto"/>
        <w:ind w:firstLine="480" w:firstLineChars="200"/>
      </w:pPr>
      <w:r>
        <w:t>方案一采用混凝土透水砖结构，具有良好的透水、透气性能，经济环保，与海绵城市设计理念相符。方案二花岗岩施工速度快，与周围环境协调性更好，同时花岗岩面砖抗压强度高，耐磨性能好，但透水性能稍显不足，遇大雨易形成路面积水，需通过增设其他排水措施来加速排水。根据以上方案比较，并考虑环保及海绵城市设计需要，推荐采用透水砖路面结构。</w:t>
      </w:r>
    </w:p>
    <w:p>
      <w:pPr>
        <w:pStyle w:val="28"/>
        <w:spacing w:before="0" w:beforeAutospacing="0" w:after="0" w:afterAutospacing="0" w:line="300" w:lineRule="auto"/>
        <w:ind w:firstLine="480" w:firstLineChars="200"/>
      </w:pPr>
      <w:r>
        <w:t>（7）非机动车道路面结构比选</w:t>
      </w:r>
    </w:p>
    <w:p>
      <w:pPr>
        <w:pStyle w:val="28"/>
        <w:spacing w:before="0" w:beforeAutospacing="0" w:after="0" w:afterAutospacing="0" w:line="300" w:lineRule="auto"/>
        <w:ind w:firstLine="480" w:firstLineChars="200"/>
      </w:pPr>
      <w:r>
        <w:t>非机动车道对于城市交通的发展非常重要，可以提供安全、便利的出行条件，同时也能够减少机动车的拥堵和污染。</w:t>
      </w:r>
    </w:p>
    <w:p>
      <w:pPr>
        <w:spacing w:before="182" w:line="219" w:lineRule="auto"/>
        <w:jc w:val="center"/>
        <w:rPr>
          <w:rFonts w:ascii="Times New Roman" w:hAnsi="Times New Roman"/>
          <w:sz w:val="24"/>
          <w:szCs w:val="24"/>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非机动车道路面结构方案比较表</w:t>
      </w:r>
    </w:p>
    <w:tbl>
      <w:tblPr>
        <w:tblStyle w:val="379"/>
        <w:tblW w:w="10369" w:type="dxa"/>
        <w:tblInd w:w="9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08"/>
        <w:gridCol w:w="5092"/>
        <w:gridCol w:w="4369"/>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908" w:type="dxa"/>
          </w:tcPr>
          <w:p>
            <w:pPr>
              <w:pStyle w:val="391"/>
              <w:autoSpaceDE w:val="0"/>
              <w:autoSpaceDN w:val="0"/>
              <w:spacing w:before="131" w:line="220" w:lineRule="auto"/>
              <w:ind w:left="22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方案</w:t>
            </w:r>
          </w:p>
        </w:tc>
        <w:tc>
          <w:tcPr>
            <w:tcW w:w="5092" w:type="dxa"/>
          </w:tcPr>
          <w:p>
            <w:pPr>
              <w:pStyle w:val="391"/>
              <w:autoSpaceDE w:val="0"/>
              <w:autoSpaceDN w:val="0"/>
              <w:spacing w:before="130" w:line="220" w:lineRule="auto"/>
              <w:ind w:left="147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强固透水混凝土路面</w:t>
            </w:r>
          </w:p>
        </w:tc>
        <w:tc>
          <w:tcPr>
            <w:tcW w:w="4369" w:type="dxa"/>
          </w:tcPr>
          <w:p>
            <w:pPr>
              <w:pStyle w:val="391"/>
              <w:autoSpaceDE w:val="0"/>
              <w:autoSpaceDN w:val="0"/>
              <w:spacing w:before="130" w:line="219" w:lineRule="auto"/>
              <w:ind w:left="146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彩色沥青路面</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908" w:type="dxa"/>
          </w:tcPr>
          <w:p>
            <w:pPr>
              <w:pStyle w:val="391"/>
              <w:autoSpaceDE w:val="0"/>
              <w:autoSpaceDN w:val="0"/>
              <w:spacing w:before="107" w:line="220" w:lineRule="auto"/>
              <w:ind w:left="22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优点</w:t>
            </w:r>
          </w:p>
        </w:tc>
        <w:tc>
          <w:tcPr>
            <w:tcW w:w="5092" w:type="dxa"/>
          </w:tcPr>
          <w:p>
            <w:pPr>
              <w:pStyle w:val="391"/>
              <w:autoSpaceDE w:val="0"/>
              <w:autoSpaceDN w:val="0"/>
              <w:spacing w:before="107" w:line="219" w:lineRule="auto"/>
              <w:ind w:left="271"/>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lang w:eastAsia="zh-CN"/>
                <w14:textFill>
                  <w14:solidFill>
                    <w14:schemeClr w14:val="tx1"/>
                  </w14:solidFill>
                </w14:textFill>
              </w:rPr>
              <w:t>环保、对原地貌雨水系统破坏小，强度较高</w:t>
            </w:r>
          </w:p>
        </w:tc>
        <w:tc>
          <w:tcPr>
            <w:tcW w:w="4369" w:type="dxa"/>
          </w:tcPr>
          <w:p>
            <w:pPr>
              <w:pStyle w:val="391"/>
              <w:autoSpaceDE w:val="0"/>
              <w:autoSpaceDN w:val="0"/>
              <w:spacing w:before="107" w:line="220" w:lineRule="auto"/>
              <w:ind w:left="146"/>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lang w:eastAsia="zh-CN"/>
                <w14:textFill>
                  <w14:solidFill>
                    <w14:schemeClr w14:val="tx1"/>
                  </w14:solidFill>
                </w14:textFill>
              </w:rPr>
              <w:t>工艺成熟，施工养护便捷，行车较舒适</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908" w:type="dxa"/>
          </w:tcPr>
          <w:p>
            <w:pPr>
              <w:pStyle w:val="391"/>
              <w:autoSpaceDE w:val="0"/>
              <w:autoSpaceDN w:val="0"/>
              <w:spacing w:before="109" w:line="220" w:lineRule="auto"/>
              <w:ind w:left="22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缺点</w:t>
            </w:r>
          </w:p>
        </w:tc>
        <w:tc>
          <w:tcPr>
            <w:tcW w:w="5092" w:type="dxa"/>
          </w:tcPr>
          <w:p>
            <w:pPr>
              <w:pStyle w:val="391"/>
              <w:autoSpaceDE w:val="0"/>
              <w:autoSpaceDN w:val="0"/>
              <w:spacing w:before="109" w:line="219" w:lineRule="auto"/>
              <w:ind w:left="15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lang w:eastAsia="zh-CN"/>
                <w14:textFill>
                  <w14:solidFill>
                    <w14:schemeClr w14:val="tx1"/>
                  </w14:solidFill>
                </w14:textFill>
              </w:rPr>
              <w:t>对材料、施工要求较高，需定期清理空隙杂物</w:t>
            </w:r>
          </w:p>
        </w:tc>
        <w:tc>
          <w:tcPr>
            <w:tcW w:w="4369" w:type="dxa"/>
          </w:tcPr>
          <w:p>
            <w:pPr>
              <w:pStyle w:val="391"/>
              <w:autoSpaceDE w:val="0"/>
              <w:autoSpaceDN w:val="0"/>
              <w:spacing w:before="109" w:line="220" w:lineRule="auto"/>
              <w:ind w:left="749"/>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强度较低，雨天易产生积水</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908" w:type="dxa"/>
          </w:tcPr>
          <w:p>
            <w:pPr>
              <w:pStyle w:val="391"/>
              <w:autoSpaceDE w:val="0"/>
              <w:autoSpaceDN w:val="0"/>
              <w:spacing w:before="109" w:line="221" w:lineRule="auto"/>
              <w:ind w:left="23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结论</w:t>
            </w:r>
          </w:p>
        </w:tc>
        <w:tc>
          <w:tcPr>
            <w:tcW w:w="5092" w:type="dxa"/>
          </w:tcPr>
          <w:p>
            <w:pPr>
              <w:pStyle w:val="391"/>
              <w:autoSpaceDE w:val="0"/>
              <w:autoSpaceDN w:val="0"/>
              <w:spacing w:before="109" w:line="219" w:lineRule="auto"/>
              <w:ind w:left="231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推荐</w:t>
            </w:r>
          </w:p>
        </w:tc>
        <w:tc>
          <w:tcPr>
            <w:tcW w:w="4369" w:type="dxa"/>
          </w:tcPr>
          <w:p>
            <w:pPr>
              <w:pStyle w:val="391"/>
              <w:autoSpaceDE w:val="0"/>
              <w:autoSpaceDN w:val="0"/>
              <w:spacing w:before="109" w:line="225" w:lineRule="auto"/>
              <w:ind w:left="196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9"/>
                <w14:textFill>
                  <w14:solidFill>
                    <w14:schemeClr w14:val="tx1"/>
                  </w14:solidFill>
                </w14:textFill>
              </w:rPr>
              <w:t>比选</w:t>
            </w:r>
          </w:p>
        </w:tc>
      </w:tr>
    </w:tbl>
    <w:p>
      <w:pPr>
        <w:pStyle w:val="28"/>
        <w:spacing w:before="0" w:beforeAutospacing="0" w:after="0" w:afterAutospacing="0" w:line="300" w:lineRule="auto"/>
        <w:ind w:firstLine="480" w:firstLineChars="200"/>
      </w:pPr>
      <w:r>
        <w:t>根据以上方案比较，并考虑环保及海绵城市设计需要，推荐采用强固透水混凝土路面结构。</w:t>
      </w:r>
    </w:p>
    <w:p>
      <w:pPr>
        <w:pStyle w:val="5"/>
        <w:ind w:firstLine="482" w:firstLineChars="200"/>
        <w:rPr>
          <w:rFonts w:ascii="Times New Roman" w:hAnsi="Times New Roman"/>
        </w:rPr>
      </w:pPr>
      <w:r>
        <w:rPr>
          <w:rFonts w:ascii="Times New Roman" w:hAnsi="Times New Roman"/>
        </w:rPr>
        <w:t>路面结构设计</w:t>
      </w:r>
    </w:p>
    <w:p>
      <w:pPr>
        <w:pStyle w:val="28"/>
        <w:spacing w:before="0" w:beforeAutospacing="0" w:after="0" w:afterAutospacing="0" w:line="300" w:lineRule="auto"/>
        <w:ind w:firstLine="480" w:firstLineChars="200"/>
      </w:pPr>
      <w:r>
        <w:t>结合上述比较以及《南沙新区市政基础设施技术指引》（2021年10月）要求设计，确定路面结构组合如下:</w:t>
      </w:r>
    </w:p>
    <w:p>
      <w:pPr>
        <w:pStyle w:val="28"/>
        <w:spacing w:before="0" w:beforeAutospacing="0" w:after="0" w:afterAutospacing="0" w:line="300" w:lineRule="auto"/>
        <w:ind w:firstLine="480" w:firstLineChars="200"/>
      </w:pPr>
      <w:r>
        <w:t>（1）机动车道路面结构方案</w:t>
      </w:r>
    </w:p>
    <w:p>
      <w:pPr>
        <w:pStyle w:val="28"/>
        <w:spacing w:before="0" w:beforeAutospacing="0" w:after="0" w:afterAutospacing="0" w:line="300" w:lineRule="auto"/>
        <w:ind w:firstLine="480" w:firstLineChars="200"/>
      </w:pPr>
      <w:r>
        <w:t>①主干路</w:t>
      </w:r>
    </w:p>
    <w:p>
      <w:pPr>
        <w:pStyle w:val="28"/>
        <w:spacing w:before="0" w:beforeAutospacing="0" w:after="0" w:afterAutospacing="0" w:line="300" w:lineRule="auto"/>
        <w:ind w:firstLine="480" w:firstLineChars="200"/>
      </w:pPr>
      <w:r>
        <w:t>上面层：4cm细粒式改性沥青混凝土（AC-13C）</w:t>
      </w:r>
    </w:p>
    <w:p>
      <w:pPr>
        <w:pStyle w:val="28"/>
        <w:spacing w:before="0" w:beforeAutospacing="0" w:after="0" w:afterAutospacing="0" w:line="300" w:lineRule="auto"/>
        <w:ind w:firstLine="480" w:firstLineChars="200"/>
      </w:pPr>
      <w:r>
        <w:t>粘层：PC-3乳化沥青粘层油0.5L/m2</w:t>
      </w:r>
    </w:p>
    <w:p>
      <w:pPr>
        <w:pStyle w:val="28"/>
        <w:spacing w:before="0" w:beforeAutospacing="0" w:after="0" w:afterAutospacing="0" w:line="300" w:lineRule="auto"/>
        <w:ind w:firstLine="480" w:firstLineChars="200"/>
      </w:pPr>
      <w:r>
        <w:t>中面层：6cm中粒式改性沥青混凝土（AC-20C）</w:t>
      </w:r>
    </w:p>
    <w:p>
      <w:pPr>
        <w:pStyle w:val="28"/>
        <w:spacing w:before="0" w:beforeAutospacing="0" w:after="0" w:afterAutospacing="0" w:line="300" w:lineRule="auto"/>
        <w:ind w:firstLine="480" w:firstLineChars="200"/>
      </w:pPr>
      <w:r>
        <w:t>粘层：PC-3乳化沥青粘层油0.5L/m2</w:t>
      </w:r>
    </w:p>
    <w:p>
      <w:pPr>
        <w:pStyle w:val="28"/>
        <w:spacing w:before="0" w:beforeAutospacing="0" w:after="0" w:afterAutospacing="0" w:line="300" w:lineRule="auto"/>
        <w:ind w:firstLine="480" w:firstLineChars="200"/>
      </w:pPr>
      <w:r>
        <w:t>下面层：8cm粗粒式沥青混凝土(AC-25C)</w:t>
      </w:r>
    </w:p>
    <w:p>
      <w:pPr>
        <w:pStyle w:val="28"/>
        <w:spacing w:before="0" w:beforeAutospacing="0" w:after="0" w:afterAutospacing="0" w:line="300" w:lineRule="auto"/>
        <w:ind w:firstLine="480" w:firstLineChars="200"/>
      </w:pPr>
      <w:r>
        <w:t>下封层：1cm SBS改性热沥青下封层+撒布瓜米石</w:t>
      </w:r>
    </w:p>
    <w:p>
      <w:pPr>
        <w:pStyle w:val="28"/>
        <w:spacing w:before="0" w:beforeAutospacing="0" w:after="0" w:afterAutospacing="0" w:line="300" w:lineRule="auto"/>
        <w:ind w:firstLine="480" w:firstLineChars="200"/>
      </w:pPr>
      <w:r>
        <w:t>透层：PC-2乳化沥青透层油1L/m2</w:t>
      </w:r>
    </w:p>
    <w:p>
      <w:pPr>
        <w:pStyle w:val="28"/>
        <w:spacing w:before="0" w:beforeAutospacing="0" w:after="0" w:afterAutospacing="0" w:line="300" w:lineRule="auto"/>
        <w:ind w:firstLine="480" w:firstLineChars="200"/>
      </w:pPr>
      <w:r>
        <w:t>基层：35cm5%水泥稳定级配碎石</w:t>
      </w:r>
    </w:p>
    <w:p>
      <w:pPr>
        <w:pStyle w:val="28"/>
        <w:spacing w:before="0" w:beforeAutospacing="0" w:after="0" w:afterAutospacing="0" w:line="300" w:lineRule="auto"/>
        <w:ind w:firstLine="480" w:firstLineChars="200"/>
      </w:pPr>
      <w:r>
        <w:t>底基层：18cm4%水泥稳定碎石</w:t>
      </w:r>
    </w:p>
    <w:p>
      <w:pPr>
        <w:pStyle w:val="28"/>
        <w:spacing w:before="0" w:beforeAutospacing="0" w:after="0" w:afterAutospacing="0" w:line="300" w:lineRule="auto"/>
        <w:ind w:firstLine="480" w:firstLineChars="200"/>
      </w:pPr>
      <w:r>
        <w:t>垫层：15cm级配碎石</w:t>
      </w:r>
    </w:p>
    <w:p>
      <w:pPr>
        <w:pStyle w:val="28"/>
        <w:spacing w:before="0" w:beforeAutospacing="0" w:after="0" w:afterAutospacing="0" w:line="300" w:lineRule="auto"/>
        <w:ind w:firstLine="480" w:firstLineChars="200"/>
      </w:pPr>
      <w:r>
        <w:t>总厚度：87cm</w:t>
      </w:r>
    </w:p>
    <w:p>
      <w:pPr>
        <w:pStyle w:val="28"/>
        <w:spacing w:before="0" w:beforeAutospacing="0" w:after="0" w:afterAutospacing="0" w:line="300" w:lineRule="auto"/>
        <w:ind w:firstLine="480" w:firstLineChars="200"/>
      </w:pPr>
      <w:r>
        <w:t>②次干路</w:t>
      </w:r>
    </w:p>
    <w:p>
      <w:pPr>
        <w:pStyle w:val="28"/>
        <w:spacing w:before="0" w:beforeAutospacing="0" w:after="0" w:afterAutospacing="0" w:line="300" w:lineRule="auto"/>
        <w:ind w:firstLine="480" w:firstLineChars="200"/>
      </w:pPr>
      <w:r>
        <w:t>上面层：4cm细粒式改性沥青混凝土（AC-13C）</w:t>
      </w:r>
    </w:p>
    <w:p>
      <w:pPr>
        <w:pStyle w:val="28"/>
        <w:spacing w:before="0" w:beforeAutospacing="0" w:after="0" w:afterAutospacing="0" w:line="300" w:lineRule="auto"/>
        <w:ind w:firstLine="480" w:firstLineChars="200"/>
      </w:pPr>
      <w:r>
        <w:t>粘层：PC-3乳化沥青粘层油0.5L/m2</w:t>
      </w:r>
    </w:p>
    <w:p>
      <w:pPr>
        <w:pStyle w:val="28"/>
        <w:spacing w:before="0" w:beforeAutospacing="0" w:after="0" w:afterAutospacing="0" w:line="300" w:lineRule="auto"/>
        <w:ind w:firstLine="480" w:firstLineChars="200"/>
      </w:pPr>
      <w:r>
        <w:t>中面层：6cm中粒式沥青混凝土（AC-20C）</w:t>
      </w:r>
    </w:p>
    <w:p>
      <w:pPr>
        <w:pStyle w:val="28"/>
        <w:spacing w:before="0" w:beforeAutospacing="0" w:after="0" w:afterAutospacing="0" w:line="300" w:lineRule="auto"/>
        <w:ind w:firstLine="480" w:firstLineChars="200"/>
      </w:pPr>
      <w:r>
        <w:t>粘层：PC-3乳化沥青粘层油0.5L/m2</w:t>
      </w:r>
    </w:p>
    <w:p>
      <w:pPr>
        <w:pStyle w:val="28"/>
        <w:spacing w:before="0" w:beforeAutospacing="0" w:after="0" w:afterAutospacing="0" w:line="300" w:lineRule="auto"/>
        <w:ind w:firstLine="480" w:firstLineChars="200"/>
      </w:pPr>
      <w:r>
        <w:t>下面层：8cm粗粒式沥青混凝土(AC-25C)</w:t>
      </w:r>
    </w:p>
    <w:p>
      <w:pPr>
        <w:pStyle w:val="28"/>
        <w:spacing w:before="0" w:beforeAutospacing="0" w:after="0" w:afterAutospacing="0" w:line="300" w:lineRule="auto"/>
        <w:ind w:firstLine="480" w:firstLineChars="200"/>
      </w:pPr>
      <w:r>
        <w:t>下封层：1cm SBS改性热沥青下封层+撒布瓜米石</w:t>
      </w:r>
    </w:p>
    <w:p>
      <w:pPr>
        <w:pStyle w:val="28"/>
        <w:spacing w:before="0" w:beforeAutospacing="0" w:after="0" w:afterAutospacing="0" w:line="300" w:lineRule="auto"/>
        <w:ind w:firstLine="480" w:firstLineChars="200"/>
      </w:pPr>
      <w:r>
        <w:t>透层：PC-2乳化沥青透层油1L/m2</w:t>
      </w:r>
    </w:p>
    <w:p>
      <w:pPr>
        <w:pStyle w:val="28"/>
        <w:spacing w:before="0" w:beforeAutospacing="0" w:after="0" w:afterAutospacing="0" w:line="300" w:lineRule="auto"/>
        <w:ind w:firstLine="480" w:firstLineChars="200"/>
      </w:pPr>
      <w:r>
        <w:t>基层：30cm5%水泥稳定级配碎石</w:t>
      </w:r>
    </w:p>
    <w:p>
      <w:pPr>
        <w:pStyle w:val="28"/>
        <w:spacing w:before="0" w:beforeAutospacing="0" w:after="0" w:afterAutospacing="0" w:line="300" w:lineRule="auto"/>
        <w:ind w:firstLine="480" w:firstLineChars="200"/>
      </w:pPr>
      <w:r>
        <w:t>底基层：18cm4%水泥稳定碎石</w:t>
      </w:r>
    </w:p>
    <w:p>
      <w:pPr>
        <w:pStyle w:val="28"/>
        <w:spacing w:before="0" w:beforeAutospacing="0" w:after="0" w:afterAutospacing="0" w:line="300" w:lineRule="auto"/>
        <w:ind w:firstLine="480" w:firstLineChars="200"/>
      </w:pPr>
      <w:r>
        <w:t>垫层：15cm级配碎石</w:t>
      </w:r>
    </w:p>
    <w:p>
      <w:pPr>
        <w:pStyle w:val="28"/>
        <w:spacing w:before="0" w:beforeAutospacing="0" w:after="0" w:afterAutospacing="0" w:line="300" w:lineRule="auto"/>
        <w:ind w:firstLine="480" w:firstLineChars="200"/>
      </w:pPr>
      <w:r>
        <w:t>总厚度：82cm</w:t>
      </w:r>
    </w:p>
    <w:p>
      <w:pPr>
        <w:pStyle w:val="28"/>
        <w:spacing w:before="0" w:beforeAutospacing="0" w:after="0" w:afterAutospacing="0" w:line="300" w:lineRule="auto"/>
        <w:ind w:firstLine="480" w:firstLineChars="200"/>
      </w:pPr>
      <w:r>
        <w:t>（2）非机动车道路面结构方案</w:t>
      </w:r>
    </w:p>
    <w:p>
      <w:pPr>
        <w:pStyle w:val="28"/>
        <w:spacing w:before="0" w:beforeAutospacing="0" w:after="0" w:afterAutospacing="0" w:line="300" w:lineRule="auto"/>
        <w:ind w:firstLine="480" w:firstLineChars="200"/>
      </w:pPr>
      <w:r>
        <w:t>上面层：4m强固C30透水混凝土（双丙聚氨酯密封处理）</w:t>
      </w:r>
    </w:p>
    <w:p>
      <w:pPr>
        <w:pStyle w:val="28"/>
        <w:spacing w:before="0" w:beforeAutospacing="0" w:after="0" w:afterAutospacing="0" w:line="300" w:lineRule="auto"/>
        <w:ind w:firstLine="480" w:firstLineChars="200"/>
      </w:pPr>
      <w:r>
        <w:t>下面层：7cm原色C30透水混凝土</w:t>
      </w:r>
    </w:p>
    <w:p>
      <w:pPr>
        <w:pStyle w:val="28"/>
        <w:spacing w:before="0" w:beforeAutospacing="0" w:after="0" w:afterAutospacing="0" w:line="300" w:lineRule="auto"/>
        <w:ind w:firstLine="480" w:firstLineChars="200"/>
      </w:pPr>
      <w:r>
        <w:t>基层：15cm C20透水混凝土</w:t>
      </w:r>
    </w:p>
    <w:p>
      <w:pPr>
        <w:pStyle w:val="28"/>
        <w:spacing w:before="0" w:beforeAutospacing="0" w:after="0" w:afterAutospacing="0" w:line="300" w:lineRule="auto"/>
        <w:ind w:firstLine="480" w:firstLineChars="200"/>
      </w:pPr>
      <w:r>
        <w:t>底基层：15cm级配碎石</w:t>
      </w:r>
    </w:p>
    <w:p>
      <w:pPr>
        <w:pStyle w:val="28"/>
        <w:spacing w:before="0" w:beforeAutospacing="0" w:after="0" w:afterAutospacing="0" w:line="300" w:lineRule="auto"/>
        <w:ind w:firstLine="480" w:firstLineChars="200"/>
      </w:pPr>
      <w:r>
        <w:t>总厚度：41cm</w:t>
      </w:r>
    </w:p>
    <w:p>
      <w:pPr>
        <w:pStyle w:val="28"/>
        <w:spacing w:before="0" w:beforeAutospacing="0" w:after="0" w:afterAutospacing="0" w:line="300" w:lineRule="auto"/>
        <w:ind w:firstLine="480" w:firstLineChars="200"/>
      </w:pPr>
      <w:r>
        <w:t>（3）人行道路面结构方案</w:t>
      </w:r>
    </w:p>
    <w:p>
      <w:pPr>
        <w:pStyle w:val="28"/>
        <w:spacing w:before="0" w:beforeAutospacing="0" w:after="0" w:afterAutospacing="0" w:line="300" w:lineRule="auto"/>
        <w:ind w:firstLine="480" w:firstLineChars="200"/>
      </w:pPr>
      <w:r>
        <w:t>面层：8cm混</w:t>
      </w:r>
      <w:r>
        <w:rPr>
          <w:rFonts w:hint="eastAsia"/>
        </w:rPr>
        <w:t>凝</w:t>
      </w:r>
      <w:r>
        <w:t>土透水砖</w:t>
      </w:r>
    </w:p>
    <w:p>
      <w:pPr>
        <w:pStyle w:val="28"/>
        <w:spacing w:before="0" w:beforeAutospacing="0" w:after="0" w:afterAutospacing="0" w:line="300" w:lineRule="auto"/>
        <w:ind w:firstLine="480" w:firstLineChars="200"/>
      </w:pPr>
      <w:r>
        <w:t>调平层：3cm干硬性水泥砂浆</w:t>
      </w:r>
    </w:p>
    <w:p>
      <w:pPr>
        <w:pStyle w:val="28"/>
        <w:spacing w:before="0" w:beforeAutospacing="0" w:after="0" w:afterAutospacing="0" w:line="300" w:lineRule="auto"/>
        <w:ind w:firstLine="480" w:firstLineChars="200"/>
      </w:pPr>
      <w:r>
        <w:t>基层：15cm C20透水混凝土</w:t>
      </w:r>
    </w:p>
    <w:p>
      <w:pPr>
        <w:pStyle w:val="28"/>
        <w:spacing w:before="0" w:beforeAutospacing="0" w:after="0" w:afterAutospacing="0" w:line="300" w:lineRule="auto"/>
        <w:ind w:firstLine="480" w:firstLineChars="200"/>
      </w:pPr>
      <w:r>
        <w:t>底基层：15cm级配碎石</w:t>
      </w:r>
    </w:p>
    <w:p>
      <w:pPr>
        <w:pStyle w:val="28"/>
        <w:spacing w:before="0" w:beforeAutospacing="0" w:after="0" w:afterAutospacing="0" w:line="300" w:lineRule="auto"/>
        <w:ind w:firstLine="480" w:firstLineChars="200"/>
      </w:pPr>
      <w:r>
        <w:t>总厚度：41cm</w:t>
      </w:r>
    </w:p>
    <w:p>
      <w:pPr>
        <w:pStyle w:val="28"/>
        <w:spacing w:before="0" w:beforeAutospacing="0" w:after="0" w:afterAutospacing="0" w:line="300" w:lineRule="auto"/>
        <w:ind w:firstLine="480" w:firstLineChars="200"/>
      </w:pPr>
      <w:r>
        <w:t>（4）新旧路面衔接设计</w:t>
      </w:r>
    </w:p>
    <w:p>
      <w:pPr>
        <w:pStyle w:val="28"/>
        <w:spacing w:before="0" w:beforeAutospacing="0" w:after="0" w:afterAutospacing="0" w:line="300" w:lineRule="auto"/>
        <w:ind w:firstLine="480" w:firstLineChars="200"/>
      </w:pPr>
      <w:r>
        <w:t>新建道路和旧路沥青路面衔接时，将旧路路面结构层按本项目路面结构厚度挖台阶，并在基层台阶顶部设宽1m的玻纤栅格。玻纤格栅技术标注均应满足相关规范标准的质量要求。</w:t>
      </w:r>
    </w:p>
    <w:p>
      <w:pPr>
        <w:pStyle w:val="28"/>
        <w:spacing w:before="0" w:beforeAutospacing="0" w:after="0" w:afterAutospacing="0" w:line="300" w:lineRule="auto"/>
        <w:ind w:firstLine="480" w:firstLineChars="200"/>
      </w:pPr>
      <w:r>
        <w:t>与旧路混凝土路面衔接时，设置不小于3m的过渡段。过渡段的路面应采用两种路面呈阶梯状叠合布置，其下面铺设的变厚度混凝土过渡板的厚度不得小于200mm，过渡板与混凝土面层板相接处的接缝内宜设置直径25mm、长700mm,间距400mm的拉杆。</w:t>
      </w:r>
    </w:p>
    <w:p>
      <w:pPr>
        <w:spacing w:line="360" w:lineRule="auto"/>
        <w:ind w:firstLine="482" w:firstLineChars="200"/>
        <w:jc w:val="center"/>
        <w:rPr>
          <w:rFonts w:ascii="Times New Roman" w:hAnsi="Times New Roman"/>
          <w:color w:val="auto"/>
          <w:sz w:val="24"/>
          <w:szCs w:val="24"/>
        </w:rPr>
      </w:pPr>
      <w:r>
        <w:rPr>
          <w:rFonts w:ascii="Times New Roman" w:hAnsi="Times New Roman"/>
          <w:color w:val="auto"/>
          <w:sz w:val="24"/>
          <w:szCs w:val="24"/>
        </w:rPr>
        <w:drawing>
          <wp:inline distT="0" distB="0" distL="0" distR="0">
            <wp:extent cx="2348230" cy="1736090"/>
            <wp:effectExtent l="0" t="0" r="13970" b="16510"/>
            <wp:docPr id="27682" name="Picture 2" descr="E:\南沙大道投标\zzzz给蒋工节点及大样\路面加铺\大样图(1)\大样图\05-大样-1 拷贝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82" name="Picture 2" descr="E:\南沙大道投标\zzzz给蒋工节点及大样\路面加铺\大样图(1)\大样图\05-大样-1 拷贝1.jp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a:xfrm>
                      <a:off x="0" y="0"/>
                      <a:ext cx="2348230" cy="1736090"/>
                    </a:xfrm>
                    <a:prstGeom prst="rect">
                      <a:avLst/>
                    </a:prstGeom>
                    <a:noFill/>
                    <a:ln>
                      <a:noFill/>
                    </a:ln>
                  </pic:spPr>
                </pic:pic>
              </a:graphicData>
            </a:graphic>
          </wp:inline>
        </w:drawing>
      </w:r>
      <w:r>
        <w:rPr>
          <w:rFonts w:ascii="Times New Roman" w:hAnsi="Times New Roman"/>
          <w:color w:val="auto"/>
          <w:sz w:val="24"/>
          <w:szCs w:val="24"/>
        </w:rPr>
        <w:drawing>
          <wp:inline distT="0" distB="0" distL="0" distR="0">
            <wp:extent cx="3138805" cy="1637665"/>
            <wp:effectExtent l="0" t="0" r="4445" b="635"/>
            <wp:docPr id="27683" name="Picture 3" descr="E:\南沙大道投标\zzzz给蒋工节点及大样\路面加铺\大样图(1)\大样图\05-大样-1 拷贝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83" name="Picture 3" descr="E:\南沙大道投标\zzzz给蒋工节点及大样\路面加铺\大样图(1)\大样图\05-大样-1 拷贝666.jp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a:xfrm>
                      <a:off x="0" y="0"/>
                      <a:ext cx="3138805" cy="1637665"/>
                    </a:xfrm>
                    <a:prstGeom prst="rect">
                      <a:avLst/>
                    </a:prstGeom>
                    <a:noFill/>
                    <a:ln>
                      <a:noFill/>
                    </a:ln>
                  </pic:spPr>
                </pic:pic>
              </a:graphicData>
            </a:graphic>
          </wp:inline>
        </w:drawing>
      </w:r>
    </w:p>
    <w:p>
      <w:pPr>
        <w:spacing w:line="360" w:lineRule="auto"/>
        <w:ind w:firstLine="562" w:firstLineChars="200"/>
        <w:jc w:val="center"/>
        <w:rPr>
          <w:rFonts w:ascii="Times New Roman" w:hAnsi="Times New Roman"/>
          <w:color w:val="auto"/>
          <w:sz w:val="24"/>
          <w:szCs w:val="24"/>
        </w:rPr>
      </w:pPr>
      <w:r>
        <w:rPr>
          <w:rFonts w:ascii="Times New Roman" w:hAnsi="Times New Roman"/>
          <w:color w:val="auto"/>
        </w:rPr>
        <w:drawing>
          <wp:inline distT="0" distB="0" distL="0" distR="0">
            <wp:extent cx="1724025" cy="1422400"/>
            <wp:effectExtent l="0" t="0" r="9525" b="6350"/>
            <wp:docPr id="27684" name="Picture 4" descr="E:\南沙大道投标\zzzz给蒋工节点及大样\路面加铺\大样图(1)\大样图\05-大样-2 拷贝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84" name="Picture 4" descr="E:\南沙大道投标\zzzz给蒋工节点及大样\路面加铺\大样图(1)\大样图\05-大样-2 拷贝666.jpg"/>
                    <pic:cNvPicPr>
                      <a:picLocks noChangeAspect="1" noChangeArrowheads="1"/>
                    </pic:cNvPicPr>
                  </pic:nvPicPr>
                  <pic:blipFill>
                    <a:blip r:embed="rId129" cstate="screen">
                      <a:extLst>
                        <a:ext uri="{28A0092B-C50C-407E-A947-70E740481C1C}">
                          <a14:useLocalDpi xmlns:a14="http://schemas.microsoft.com/office/drawing/2010/main" val="0"/>
                        </a:ext>
                      </a:extLst>
                    </a:blip>
                    <a:srcRect/>
                    <a:stretch>
                      <a:fillRect/>
                    </a:stretch>
                  </pic:blipFill>
                  <pic:spPr>
                    <a:xfrm>
                      <a:off x="0" y="0"/>
                      <a:ext cx="1724025" cy="1422400"/>
                    </a:xfrm>
                    <a:prstGeom prst="rect">
                      <a:avLst/>
                    </a:prstGeom>
                    <a:noFill/>
                    <a:ln>
                      <a:noFill/>
                    </a:ln>
                  </pic:spPr>
                </pic:pic>
              </a:graphicData>
            </a:graphic>
          </wp:inline>
        </w:drawing>
      </w:r>
    </w:p>
    <w:p>
      <w:pPr>
        <w:spacing w:line="300" w:lineRule="auto"/>
        <w:ind w:firstLine="422" w:firstLineChars="200"/>
        <w:jc w:val="center"/>
        <w:rPr>
          <w:rFonts w:ascii="Times New Roman" w:hAnsi="Times New Roman"/>
          <w:color w:val="000000" w:themeColor="text1"/>
          <w:sz w:val="21"/>
          <w14:textFill>
            <w14:solidFill>
              <w14:schemeClr w14:val="tx1"/>
            </w14:solidFill>
          </w14:textFill>
        </w:rPr>
      </w:pPr>
      <w:r>
        <w:rPr>
          <w:rFonts w:ascii="Times New Roman" w:hAnsi="Times New Roman"/>
          <w:color w:val="000000" w:themeColor="text1"/>
          <w:sz w:val="21"/>
          <w14:textFill>
            <w14:solidFill>
              <w14:schemeClr w14:val="tx1"/>
            </w14:solidFill>
          </w14:textFill>
        </w:rPr>
        <w:t>道路侧石效果图</w:t>
      </w:r>
    </w:p>
    <w:p>
      <w:pPr>
        <w:pStyle w:val="4"/>
        <w:ind w:firstLine="482" w:firstLineChars="200"/>
      </w:pPr>
      <w:bookmarkStart w:id="162" w:name="_Toc30270"/>
      <w:r>
        <w:t>道路附属设计</w:t>
      </w:r>
      <w:bookmarkEnd w:id="162"/>
    </w:p>
    <w:p>
      <w:pPr>
        <w:pStyle w:val="5"/>
        <w:ind w:firstLine="482" w:firstLineChars="200"/>
        <w:rPr>
          <w:rFonts w:ascii="Times New Roman" w:hAnsi="Times New Roman"/>
        </w:rPr>
      </w:pPr>
      <w:r>
        <w:rPr>
          <w:rFonts w:ascii="Times New Roman" w:hAnsi="Times New Roman"/>
        </w:rPr>
        <w:t>路面排水</w:t>
      </w:r>
    </w:p>
    <w:p>
      <w:pPr>
        <w:pStyle w:val="102"/>
        <w:snapToGrid w:val="0"/>
        <w:jc w:val="left"/>
        <w:rPr>
          <w:rFonts w:ascii="Times New Roman" w:hAnsi="Times New Roman"/>
        </w:rPr>
      </w:pPr>
      <w:r>
        <w:rPr>
          <w:rFonts w:ascii="Times New Roman" w:hAnsi="Times New Roman"/>
        </w:rPr>
        <w:t>路面排水采用管道排水，详见排水工程章节，行车道路面横坡采用2%，人行道及非机动车道采用1%。</w:t>
      </w:r>
    </w:p>
    <w:p>
      <w:pPr>
        <w:pStyle w:val="102"/>
        <w:snapToGrid w:val="0"/>
        <w:jc w:val="left"/>
        <w:rPr>
          <w:rFonts w:ascii="Times New Roman" w:hAnsi="Times New Roman"/>
        </w:rPr>
      </w:pPr>
      <w:r>
        <w:rPr>
          <w:rFonts w:ascii="Times New Roman" w:hAnsi="Times New Roman"/>
        </w:rPr>
        <w:t>①透水路面防排水</w:t>
      </w:r>
    </w:p>
    <w:p>
      <w:pPr>
        <w:pStyle w:val="102"/>
        <w:snapToGrid w:val="0"/>
        <w:jc w:val="left"/>
        <w:rPr>
          <w:rFonts w:ascii="Times New Roman" w:hAnsi="Times New Roman"/>
        </w:rPr>
      </w:pPr>
      <w:r>
        <w:rPr>
          <w:rFonts w:ascii="Times New Roman" w:hAnsi="Times New Roman"/>
        </w:rPr>
        <w:t>透水人行道和非机动车道路面结构在土基顶面设置防水隔离层，透水结构层底部沿纵向设置30cm×30cm碎石盲沟，外侧包裹防渗土工布，内部设置10cmPVC透水管，每隔30m设置，10cmPVC横向支管，接入市政排水系统。</w:t>
      </w:r>
    </w:p>
    <w:p>
      <w:pPr>
        <w:pStyle w:val="102"/>
        <w:snapToGrid w:val="0"/>
        <w:jc w:val="left"/>
        <w:rPr>
          <w:rFonts w:ascii="Times New Roman" w:hAnsi="Times New Roman"/>
        </w:rPr>
      </w:pPr>
      <w:r>
        <w:rPr>
          <w:rFonts w:ascii="Times New Roman" w:hAnsi="Times New Roman"/>
        </w:rPr>
        <w:t>②路面表面排水</w:t>
      </w:r>
    </w:p>
    <w:p>
      <w:pPr>
        <w:pStyle w:val="102"/>
        <w:snapToGrid w:val="0"/>
        <w:jc w:val="left"/>
        <w:rPr>
          <w:rFonts w:ascii="Times New Roman" w:hAnsi="Times New Roman"/>
        </w:rPr>
      </w:pPr>
      <w:r>
        <w:rPr>
          <w:rFonts w:ascii="Times New Roman" w:hAnsi="Times New Roman"/>
        </w:rPr>
        <w:t>全线路面排水采用防排结合的原则。路面排水主要通过路面纵、横坡漫流至设置在机动车道外侧的雨水口，进入城市地下排水管网，实行集中排放。</w:t>
      </w:r>
    </w:p>
    <w:p>
      <w:pPr>
        <w:pStyle w:val="5"/>
        <w:ind w:firstLine="482" w:firstLineChars="200"/>
        <w:rPr>
          <w:rFonts w:ascii="Times New Roman" w:hAnsi="Times New Roman"/>
        </w:rPr>
      </w:pPr>
      <w:r>
        <w:rPr>
          <w:rFonts w:ascii="Times New Roman" w:hAnsi="Times New Roman"/>
        </w:rPr>
        <w:t>侧平石</w:t>
      </w:r>
      <w:r>
        <w:rPr>
          <w:rFonts w:hint="eastAsia" w:ascii="Times New Roman" w:hAnsi="Times New Roman"/>
        </w:rPr>
        <w:t>、压条</w:t>
      </w:r>
    </w:p>
    <w:p>
      <w:pPr>
        <w:pStyle w:val="102"/>
        <w:snapToGrid w:val="0"/>
        <w:jc w:val="left"/>
        <w:rPr>
          <w:rFonts w:ascii="Times New Roman" w:hAnsi="Times New Roman"/>
        </w:rPr>
      </w:pPr>
      <w:r>
        <w:rPr>
          <w:rFonts w:ascii="Times New Roman" w:hAnsi="Times New Roman"/>
        </w:rPr>
        <w:t>根据片区地块的属性及自贸区建设的影响，对道路景观要求较高，同时结合《广州市政府投资项目天然石材应用指引》和《南沙新区市政基础设施技术指引》要求，推荐采用仿花岗岩材质侧平石，</w:t>
      </w:r>
    </w:p>
    <w:p>
      <w:pPr>
        <w:pStyle w:val="102"/>
        <w:snapToGrid w:val="0"/>
        <w:jc w:val="left"/>
        <w:rPr>
          <w:rFonts w:ascii="Times New Roman" w:hAnsi="Times New Roman"/>
        </w:rPr>
      </w:pPr>
      <w:r>
        <w:rPr>
          <w:rFonts w:ascii="Times New Roman" w:hAnsi="Times New Roman"/>
        </w:rPr>
        <w:t>机动车道与人行道分隔处设置侧石，标准段侧石长度采用100cm，侧石尺寸采用100×30×15cm，人行道与树穴需采用压条，压条尺寸推荐采用100×15×16cm。</w:t>
      </w:r>
    </w:p>
    <w:p>
      <w:pPr>
        <w:pStyle w:val="102"/>
        <w:snapToGrid w:val="0"/>
        <w:jc w:val="left"/>
        <w:rPr>
          <w:rFonts w:ascii="Times New Roman" w:hAnsi="Times New Roman"/>
        </w:rPr>
      </w:pPr>
      <w:r>
        <w:rPr>
          <w:rFonts w:ascii="Times New Roman" w:hAnsi="Times New Roman"/>
        </w:rPr>
        <w:t>小半径的路口、转弯位，侧石应采用弧形缘石进行安装，同样，无障碍通道下沉渐变段的侧石，也应该切出斜角，不得出现大块三角形、扇形的填缝料，较大半径的弯位，允许不用弧形侧平石，但应使用25cm长度的侧平石进行安装，以令弯位圆顺。</w:t>
      </w:r>
    </w:p>
    <w:p>
      <w:pPr>
        <w:pStyle w:val="102"/>
        <w:snapToGrid w:val="0"/>
        <w:jc w:val="left"/>
        <w:rPr>
          <w:rFonts w:ascii="Times New Roman" w:hAnsi="Times New Roman"/>
        </w:rPr>
      </w:pPr>
      <w:r>
        <w:rPr>
          <w:rFonts w:ascii="Times New Roman" w:hAnsi="Times New Roman"/>
        </w:rPr>
        <w:t>侧石采用仿花岗岩石材，材质应保持一致，且无风化和裂纹现象；侧石表面应进行处理，并保持色泽一致，外露面加工精细度、光亮度应符合设计要求。</w:t>
      </w:r>
    </w:p>
    <w:p>
      <w:pPr>
        <w:pStyle w:val="102"/>
        <w:snapToGrid w:val="0"/>
        <w:jc w:val="left"/>
        <w:rPr>
          <w:rFonts w:ascii="Times New Roman" w:hAnsi="Times New Roman"/>
        </w:rPr>
      </w:pPr>
      <w:r>
        <w:rPr>
          <w:rFonts w:ascii="Times New Roman" w:hAnsi="Times New Roman"/>
        </w:rPr>
        <w:t>各种材质比选见下表：</w:t>
      </w:r>
    </w:p>
    <w:tbl>
      <w:tblPr>
        <w:tblStyle w:val="32"/>
        <w:tblW w:w="94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013"/>
        <w:gridCol w:w="2226"/>
        <w:gridCol w:w="2753"/>
        <w:gridCol w:w="24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2013" w:type="dxa"/>
            <w:shd w:val="clear" w:color="auto" w:fill="auto"/>
            <w:tcMar>
              <w:top w:w="57" w:type="dxa"/>
              <w:left w:w="113" w:type="dxa"/>
              <w:bottom w:w="57" w:type="dxa"/>
              <w:right w:w="57" w:type="dxa"/>
            </w:tcMar>
            <w:vAlign w:val="center"/>
          </w:tcPr>
          <w:p>
            <w:pPr>
              <w:pStyle w:val="102"/>
              <w:snapToGrid w:val="0"/>
              <w:ind w:firstLine="0" w:firstLineChars="0"/>
              <w:jc w:val="left"/>
              <w:rPr>
                <w:rFonts w:ascii="Times New Roman" w:hAnsi="Times New Roman"/>
                <w:b/>
                <w:bCs/>
              </w:rPr>
            </w:pPr>
            <w:r>
              <w:rPr>
                <w:rFonts w:ascii="Times New Roman" w:hAnsi="Times New Roman"/>
                <w:b/>
                <w:bCs/>
              </w:rPr>
              <w:t>侧平石</w:t>
            </w:r>
            <w:r>
              <w:rPr>
                <w:rFonts w:hint="eastAsia" w:ascii="Times New Roman" w:hAnsi="Times New Roman"/>
                <w:b/>
                <w:bCs/>
              </w:rPr>
              <w:t>、压条材质</w:t>
            </w:r>
          </w:p>
        </w:tc>
        <w:tc>
          <w:tcPr>
            <w:tcW w:w="2226" w:type="dxa"/>
            <w:shd w:val="clear" w:color="auto" w:fill="auto"/>
            <w:tcMar>
              <w:top w:w="57" w:type="dxa"/>
              <w:left w:w="113" w:type="dxa"/>
              <w:bottom w:w="57" w:type="dxa"/>
              <w:right w:w="57" w:type="dxa"/>
            </w:tcMar>
            <w:vAlign w:val="center"/>
          </w:tcPr>
          <w:p>
            <w:pPr>
              <w:pStyle w:val="102"/>
              <w:snapToGrid w:val="0"/>
              <w:ind w:firstLine="482"/>
              <w:jc w:val="left"/>
              <w:rPr>
                <w:rFonts w:ascii="Times New Roman" w:hAnsi="Times New Roman"/>
                <w:b/>
                <w:bCs/>
              </w:rPr>
            </w:pPr>
            <w:r>
              <w:rPr>
                <w:rFonts w:ascii="Times New Roman" w:hAnsi="Times New Roman"/>
                <w:b/>
                <w:bCs/>
              </w:rPr>
              <w:t>花岗岩</w:t>
            </w:r>
          </w:p>
        </w:tc>
        <w:tc>
          <w:tcPr>
            <w:tcW w:w="2753" w:type="dxa"/>
            <w:shd w:val="clear" w:color="auto" w:fill="auto"/>
            <w:tcMar>
              <w:top w:w="57" w:type="dxa"/>
              <w:left w:w="113" w:type="dxa"/>
              <w:bottom w:w="57" w:type="dxa"/>
              <w:right w:w="57" w:type="dxa"/>
            </w:tcMar>
            <w:vAlign w:val="center"/>
          </w:tcPr>
          <w:p>
            <w:pPr>
              <w:pStyle w:val="102"/>
              <w:snapToGrid w:val="0"/>
              <w:ind w:firstLine="482"/>
              <w:jc w:val="left"/>
              <w:rPr>
                <w:rFonts w:ascii="Times New Roman" w:hAnsi="Times New Roman"/>
                <w:b/>
                <w:bCs/>
              </w:rPr>
            </w:pPr>
            <w:r>
              <w:rPr>
                <w:rFonts w:ascii="Times New Roman" w:hAnsi="Times New Roman"/>
                <w:b/>
                <w:bCs/>
              </w:rPr>
              <w:t>仿花岗岩</w:t>
            </w:r>
          </w:p>
        </w:tc>
        <w:tc>
          <w:tcPr>
            <w:tcW w:w="2475" w:type="dxa"/>
            <w:shd w:val="clear" w:color="auto" w:fill="auto"/>
            <w:tcMar>
              <w:top w:w="57" w:type="dxa"/>
              <w:left w:w="113" w:type="dxa"/>
              <w:bottom w:w="57" w:type="dxa"/>
              <w:right w:w="57" w:type="dxa"/>
            </w:tcMar>
            <w:vAlign w:val="center"/>
          </w:tcPr>
          <w:p>
            <w:pPr>
              <w:pStyle w:val="102"/>
              <w:snapToGrid w:val="0"/>
              <w:ind w:firstLine="482"/>
              <w:jc w:val="left"/>
              <w:rPr>
                <w:rFonts w:ascii="Times New Roman" w:hAnsi="Times New Roman"/>
                <w:b/>
                <w:bCs/>
              </w:rPr>
            </w:pPr>
            <w:r>
              <w:rPr>
                <w:rFonts w:ascii="Times New Roman" w:hAnsi="Times New Roman"/>
                <w:b/>
                <w:bCs/>
              </w:rPr>
              <w:t>机制砼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13" w:type="dxa"/>
            <w:shd w:val="clear" w:color="auto" w:fill="auto"/>
            <w:tcMar>
              <w:top w:w="57" w:type="dxa"/>
              <w:left w:w="113" w:type="dxa"/>
              <w:bottom w:w="57" w:type="dxa"/>
              <w:right w:w="57" w:type="dxa"/>
            </w:tcMar>
            <w:vAlign w:val="center"/>
          </w:tcPr>
          <w:p>
            <w:pPr>
              <w:pStyle w:val="102"/>
              <w:snapToGrid w:val="0"/>
              <w:jc w:val="left"/>
              <w:rPr>
                <w:rFonts w:ascii="Times New Roman" w:hAnsi="Times New Roman"/>
              </w:rPr>
            </w:pPr>
            <w:r>
              <w:rPr>
                <w:rFonts w:ascii="Times New Roman" w:hAnsi="Times New Roman"/>
              </w:rPr>
              <w:t>造价（合计）</w:t>
            </w:r>
          </w:p>
        </w:tc>
        <w:tc>
          <w:tcPr>
            <w:tcW w:w="2226" w:type="dxa"/>
            <w:shd w:val="clear" w:color="auto" w:fill="auto"/>
            <w:tcMar>
              <w:top w:w="57" w:type="dxa"/>
              <w:left w:w="113" w:type="dxa"/>
              <w:bottom w:w="57" w:type="dxa"/>
              <w:right w:w="57" w:type="dxa"/>
            </w:tcMar>
            <w:vAlign w:val="center"/>
          </w:tcPr>
          <w:p>
            <w:pPr>
              <w:pStyle w:val="102"/>
              <w:snapToGrid w:val="0"/>
              <w:jc w:val="left"/>
              <w:rPr>
                <w:rFonts w:ascii="Times New Roman" w:hAnsi="Times New Roman"/>
              </w:rPr>
            </w:pPr>
            <w:r>
              <w:rPr>
                <w:rFonts w:ascii="Times New Roman" w:hAnsi="Times New Roman"/>
              </w:rPr>
              <w:t>260元/m</w:t>
            </w:r>
          </w:p>
        </w:tc>
        <w:tc>
          <w:tcPr>
            <w:tcW w:w="2753" w:type="dxa"/>
            <w:shd w:val="clear" w:color="auto" w:fill="auto"/>
            <w:tcMar>
              <w:top w:w="57" w:type="dxa"/>
              <w:left w:w="113" w:type="dxa"/>
              <w:bottom w:w="57" w:type="dxa"/>
              <w:right w:w="57" w:type="dxa"/>
            </w:tcMar>
            <w:vAlign w:val="center"/>
          </w:tcPr>
          <w:p>
            <w:pPr>
              <w:pStyle w:val="102"/>
              <w:snapToGrid w:val="0"/>
              <w:jc w:val="left"/>
              <w:rPr>
                <w:rFonts w:ascii="Times New Roman" w:hAnsi="Times New Roman"/>
              </w:rPr>
            </w:pPr>
            <w:r>
              <w:rPr>
                <w:rFonts w:ascii="Times New Roman" w:hAnsi="Times New Roman"/>
              </w:rPr>
              <w:t>110元/m</w:t>
            </w:r>
          </w:p>
        </w:tc>
        <w:tc>
          <w:tcPr>
            <w:tcW w:w="2475" w:type="dxa"/>
            <w:shd w:val="clear" w:color="auto" w:fill="auto"/>
            <w:tcMar>
              <w:top w:w="57" w:type="dxa"/>
              <w:left w:w="113" w:type="dxa"/>
              <w:bottom w:w="57" w:type="dxa"/>
              <w:right w:w="57" w:type="dxa"/>
            </w:tcMar>
            <w:vAlign w:val="center"/>
          </w:tcPr>
          <w:p>
            <w:pPr>
              <w:pStyle w:val="102"/>
              <w:snapToGrid w:val="0"/>
              <w:jc w:val="left"/>
              <w:rPr>
                <w:rFonts w:ascii="Times New Roman" w:hAnsi="Times New Roman"/>
              </w:rPr>
            </w:pPr>
            <w:r>
              <w:rPr>
                <w:rFonts w:ascii="Times New Roman" w:hAnsi="Times New Roman"/>
              </w:rPr>
              <w:t>76元/m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13" w:type="dxa"/>
            <w:shd w:val="clear" w:color="auto" w:fill="auto"/>
            <w:tcMar>
              <w:top w:w="57" w:type="dxa"/>
              <w:left w:w="113" w:type="dxa"/>
              <w:bottom w:w="57" w:type="dxa"/>
              <w:right w:w="57" w:type="dxa"/>
            </w:tcMar>
            <w:vAlign w:val="center"/>
          </w:tcPr>
          <w:p>
            <w:pPr>
              <w:pStyle w:val="102"/>
              <w:snapToGrid w:val="0"/>
              <w:jc w:val="left"/>
              <w:rPr>
                <w:rFonts w:ascii="Times New Roman" w:hAnsi="Times New Roman"/>
              </w:rPr>
            </w:pPr>
            <w:r>
              <w:rPr>
                <w:rFonts w:ascii="Times New Roman" w:hAnsi="Times New Roman"/>
              </w:rPr>
              <w:t>材料、耐久性</w:t>
            </w:r>
          </w:p>
        </w:tc>
        <w:tc>
          <w:tcPr>
            <w:tcW w:w="2226" w:type="dxa"/>
            <w:shd w:val="clear" w:color="auto" w:fill="auto"/>
            <w:tcMar>
              <w:top w:w="57" w:type="dxa"/>
              <w:left w:w="113" w:type="dxa"/>
              <w:bottom w:w="57" w:type="dxa"/>
              <w:right w:w="57" w:type="dxa"/>
            </w:tcMar>
            <w:vAlign w:val="center"/>
          </w:tcPr>
          <w:p>
            <w:pPr>
              <w:pStyle w:val="102"/>
              <w:snapToGrid w:val="0"/>
              <w:jc w:val="left"/>
              <w:rPr>
                <w:rFonts w:ascii="Times New Roman" w:hAnsi="Times New Roman"/>
              </w:rPr>
            </w:pPr>
            <w:r>
              <w:rPr>
                <w:rFonts w:ascii="Times New Roman" w:hAnsi="Times New Roman"/>
              </w:rPr>
              <w:t>强度高、耐久性好</w:t>
            </w:r>
          </w:p>
        </w:tc>
        <w:tc>
          <w:tcPr>
            <w:tcW w:w="2753" w:type="dxa"/>
            <w:shd w:val="clear" w:color="auto" w:fill="auto"/>
            <w:tcMar>
              <w:top w:w="57" w:type="dxa"/>
              <w:left w:w="113" w:type="dxa"/>
              <w:bottom w:w="57" w:type="dxa"/>
              <w:right w:w="57" w:type="dxa"/>
            </w:tcMar>
            <w:vAlign w:val="center"/>
          </w:tcPr>
          <w:p>
            <w:pPr>
              <w:pStyle w:val="102"/>
              <w:snapToGrid w:val="0"/>
              <w:jc w:val="left"/>
              <w:rPr>
                <w:rFonts w:ascii="Times New Roman" w:hAnsi="Times New Roman"/>
              </w:rPr>
            </w:pPr>
            <w:r>
              <w:rPr>
                <w:rFonts w:ascii="Times New Roman" w:hAnsi="Times New Roman"/>
              </w:rPr>
              <w:t>强度较高、耐久性较好</w:t>
            </w:r>
          </w:p>
        </w:tc>
        <w:tc>
          <w:tcPr>
            <w:tcW w:w="2475" w:type="dxa"/>
            <w:shd w:val="clear" w:color="auto" w:fill="auto"/>
            <w:tcMar>
              <w:top w:w="57" w:type="dxa"/>
              <w:left w:w="113" w:type="dxa"/>
              <w:bottom w:w="57" w:type="dxa"/>
              <w:right w:w="57" w:type="dxa"/>
            </w:tcMar>
            <w:vAlign w:val="center"/>
          </w:tcPr>
          <w:p>
            <w:pPr>
              <w:pStyle w:val="102"/>
              <w:snapToGrid w:val="0"/>
              <w:jc w:val="left"/>
              <w:rPr>
                <w:rFonts w:ascii="Times New Roman" w:hAnsi="Times New Roman"/>
              </w:rPr>
            </w:pPr>
            <w:r>
              <w:rPr>
                <w:rFonts w:ascii="Times New Roman" w:hAnsi="Times New Roman"/>
              </w:rPr>
              <w:t>一般，容易崩裂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13" w:type="dxa"/>
            <w:shd w:val="clear" w:color="auto" w:fill="auto"/>
            <w:tcMar>
              <w:top w:w="57" w:type="dxa"/>
              <w:left w:w="113" w:type="dxa"/>
              <w:bottom w:w="57" w:type="dxa"/>
              <w:right w:w="57" w:type="dxa"/>
            </w:tcMar>
            <w:vAlign w:val="center"/>
          </w:tcPr>
          <w:p>
            <w:pPr>
              <w:pStyle w:val="102"/>
              <w:snapToGrid w:val="0"/>
              <w:jc w:val="left"/>
              <w:rPr>
                <w:rFonts w:ascii="Times New Roman" w:hAnsi="Times New Roman"/>
              </w:rPr>
            </w:pPr>
            <w:r>
              <w:rPr>
                <w:rFonts w:ascii="Times New Roman" w:hAnsi="Times New Roman"/>
              </w:rPr>
              <w:t>使用功能</w:t>
            </w:r>
          </w:p>
        </w:tc>
        <w:tc>
          <w:tcPr>
            <w:tcW w:w="2226" w:type="dxa"/>
            <w:shd w:val="clear" w:color="auto" w:fill="auto"/>
            <w:tcMar>
              <w:top w:w="57" w:type="dxa"/>
              <w:left w:w="113" w:type="dxa"/>
              <w:bottom w:w="57" w:type="dxa"/>
              <w:right w:w="57" w:type="dxa"/>
            </w:tcMar>
            <w:vAlign w:val="center"/>
          </w:tcPr>
          <w:p>
            <w:pPr>
              <w:pStyle w:val="102"/>
              <w:snapToGrid w:val="0"/>
              <w:jc w:val="left"/>
              <w:rPr>
                <w:rFonts w:ascii="Times New Roman" w:hAnsi="Times New Roman"/>
              </w:rPr>
            </w:pPr>
            <w:r>
              <w:rPr>
                <w:rFonts w:ascii="Times New Roman" w:hAnsi="Times New Roman"/>
              </w:rPr>
              <w:t>高档、美观</w:t>
            </w:r>
          </w:p>
        </w:tc>
        <w:tc>
          <w:tcPr>
            <w:tcW w:w="2753" w:type="dxa"/>
            <w:shd w:val="clear" w:color="auto" w:fill="auto"/>
            <w:tcMar>
              <w:top w:w="57" w:type="dxa"/>
              <w:left w:w="113" w:type="dxa"/>
              <w:bottom w:w="57" w:type="dxa"/>
              <w:right w:w="57" w:type="dxa"/>
            </w:tcMar>
            <w:vAlign w:val="center"/>
          </w:tcPr>
          <w:p>
            <w:pPr>
              <w:pStyle w:val="102"/>
              <w:snapToGrid w:val="0"/>
              <w:jc w:val="left"/>
              <w:rPr>
                <w:rFonts w:ascii="Times New Roman" w:hAnsi="Times New Roman"/>
              </w:rPr>
            </w:pPr>
            <w:r>
              <w:rPr>
                <w:rFonts w:ascii="Times New Roman" w:hAnsi="Times New Roman"/>
              </w:rPr>
              <w:t>较高档</w:t>
            </w:r>
          </w:p>
        </w:tc>
        <w:tc>
          <w:tcPr>
            <w:tcW w:w="2475" w:type="dxa"/>
            <w:shd w:val="clear" w:color="auto" w:fill="auto"/>
            <w:tcMar>
              <w:top w:w="57" w:type="dxa"/>
              <w:left w:w="113" w:type="dxa"/>
              <w:bottom w:w="57" w:type="dxa"/>
              <w:right w:w="57" w:type="dxa"/>
            </w:tcMar>
            <w:vAlign w:val="center"/>
          </w:tcPr>
          <w:p>
            <w:pPr>
              <w:pStyle w:val="102"/>
              <w:snapToGrid w:val="0"/>
              <w:jc w:val="left"/>
              <w:rPr>
                <w:rFonts w:ascii="Times New Roman" w:hAnsi="Times New Roman"/>
              </w:rPr>
            </w:pPr>
            <w:r>
              <w:rPr>
                <w:rFonts w:ascii="Times New Roman" w:hAnsi="Times New Roman"/>
              </w:rPr>
              <w:t>一般</w:t>
            </w:r>
          </w:p>
        </w:tc>
      </w:tr>
    </w:tbl>
    <w:p>
      <w:pPr>
        <w:pStyle w:val="102"/>
        <w:snapToGrid w:val="0"/>
        <w:jc w:val="center"/>
        <w:rPr>
          <w:rFonts w:ascii="Times New Roman" w:hAnsi="Times New Roman"/>
        </w:rPr>
      </w:pPr>
    </w:p>
    <w:p>
      <w:pPr>
        <w:pStyle w:val="102"/>
        <w:snapToGrid w:val="0"/>
        <w:jc w:val="left"/>
        <w:rPr>
          <w:rFonts w:ascii="Times New Roman" w:hAnsi="Times New Roman"/>
        </w:rPr>
      </w:pPr>
      <w:r>
        <w:rPr>
          <w:rFonts w:ascii="Times New Roman" w:hAnsi="Times New Roman"/>
        </w:rPr>
        <w:t>考虑到周边地块为大型城市综合体，侧</w:t>
      </w:r>
      <w:r>
        <w:rPr>
          <w:rFonts w:hint="eastAsia" w:ascii="Times New Roman" w:hAnsi="Times New Roman"/>
        </w:rPr>
        <w:t>平</w:t>
      </w:r>
      <w:r>
        <w:rPr>
          <w:rFonts w:ascii="Times New Roman" w:hAnsi="Times New Roman"/>
        </w:rPr>
        <w:t>石、压条推荐采用仿花岗岩材质，较高档</w:t>
      </w:r>
      <w:r>
        <w:rPr>
          <w:rFonts w:hint="eastAsia" w:ascii="Times New Roman" w:hAnsi="Times New Roman"/>
        </w:rPr>
        <w:t>，强度较高、耐久性较好，且造价适中，</w:t>
      </w:r>
      <w:r>
        <w:rPr>
          <w:rFonts w:ascii="Times New Roman" w:hAnsi="Times New Roman"/>
        </w:rPr>
        <w:t>符合本次道路的品质要求。</w:t>
      </w:r>
    </w:p>
    <w:p>
      <w:pPr>
        <w:pStyle w:val="5"/>
        <w:ind w:firstLine="482" w:firstLineChars="200"/>
        <w:rPr>
          <w:rFonts w:ascii="Times New Roman" w:hAnsi="Times New Roman"/>
        </w:rPr>
      </w:pPr>
      <w:r>
        <w:rPr>
          <w:rFonts w:ascii="Times New Roman" w:hAnsi="Times New Roman"/>
        </w:rPr>
        <w:t>车止石</w:t>
      </w:r>
    </w:p>
    <w:p>
      <w:pPr>
        <w:pStyle w:val="102"/>
        <w:snapToGrid w:val="0"/>
        <w:jc w:val="left"/>
        <w:rPr>
          <w:rFonts w:ascii="Times New Roman" w:hAnsi="Times New Roman"/>
        </w:rPr>
      </w:pPr>
      <w:r>
        <w:rPr>
          <w:rFonts w:ascii="Times New Roman" w:hAnsi="Times New Roman"/>
        </w:rPr>
        <w:t>车止石设置应当满足交通管理要求，不妨碍行人通行安全，且不妨碍无障通行，做到设置规范、</w:t>
      </w:r>
    </w:p>
    <w:p>
      <w:pPr>
        <w:pStyle w:val="102"/>
        <w:snapToGrid w:val="0"/>
        <w:jc w:val="left"/>
        <w:rPr>
          <w:rFonts w:ascii="Times New Roman" w:hAnsi="Times New Roman"/>
        </w:rPr>
      </w:pPr>
      <w:r>
        <w:rPr>
          <w:rFonts w:ascii="Times New Roman" w:hAnsi="Times New Roman"/>
        </w:rPr>
        <w:t>整齐、美观、降低对道路景观的不良影响。</w:t>
      </w:r>
    </w:p>
    <w:p>
      <w:pPr>
        <w:pStyle w:val="102"/>
        <w:snapToGrid w:val="0"/>
        <w:jc w:val="left"/>
        <w:rPr>
          <w:rFonts w:ascii="Times New Roman" w:hAnsi="Times New Roman"/>
        </w:rPr>
      </w:pPr>
      <w:r>
        <w:rPr>
          <w:rFonts w:ascii="Times New Roman" w:hAnsi="Times New Roman"/>
        </w:rPr>
        <w:t>车止石柱间距宜取1.5~1.8m，并应结合行人与非机动车布设，减小对行人和非机动车道的影响。车止石宜采用石材，原则上单个工程应只采用一种款式的车止石。</w:t>
      </w:r>
    </w:p>
    <w:p>
      <w:pPr>
        <w:pStyle w:val="5"/>
        <w:ind w:firstLine="482" w:firstLineChars="200"/>
        <w:rPr>
          <w:rFonts w:ascii="Times New Roman" w:hAnsi="Times New Roman"/>
        </w:rPr>
      </w:pPr>
      <w:r>
        <w:rPr>
          <w:rFonts w:ascii="Times New Roman" w:hAnsi="Times New Roman"/>
        </w:rPr>
        <w:t>无障碍设计</w:t>
      </w:r>
    </w:p>
    <w:p>
      <w:pPr>
        <w:pStyle w:val="102"/>
        <w:snapToGrid w:val="0"/>
        <w:jc w:val="left"/>
        <w:rPr>
          <w:rFonts w:ascii="Times New Roman" w:hAnsi="Times New Roman"/>
        </w:rPr>
      </w:pPr>
      <w:r>
        <w:rPr>
          <w:rFonts w:ascii="Times New Roman" w:hAnsi="Times New Roman"/>
        </w:rPr>
        <w:t>道路慢行系统与景区绿道无缝衔接，所有道路均布置非机动车道及人行道。</w:t>
      </w:r>
    </w:p>
    <w:p>
      <w:pPr>
        <w:pStyle w:val="102"/>
        <w:snapToGrid w:val="0"/>
        <w:jc w:val="left"/>
        <w:rPr>
          <w:rFonts w:ascii="Times New Roman" w:hAnsi="Times New Roman"/>
        </w:rPr>
      </w:pPr>
      <w:r>
        <w:rPr>
          <w:rFonts w:ascii="Times New Roman" w:hAnsi="Times New Roman"/>
        </w:rPr>
        <w:t>在道路和桥涵范围内均设置无障碍设施，具体包括人行道、人行横道、渠化岛、公交车站。盲道的位置和走向，以方便视残者安全行走和顺利到达无障碍设施位置为目的。</w:t>
      </w:r>
    </w:p>
    <w:p>
      <w:pPr>
        <w:pStyle w:val="102"/>
        <w:snapToGrid w:val="0"/>
        <w:jc w:val="left"/>
        <w:rPr>
          <w:rFonts w:ascii="Times New Roman" w:hAnsi="Times New Roman"/>
        </w:rPr>
      </w:pPr>
      <w:r>
        <w:rPr>
          <w:rFonts w:ascii="Times New Roman" w:hAnsi="Times New Roman"/>
        </w:rPr>
        <w:t>盲道按作用分行进盲道、提示盲道，盲道的位置的一般在人行道绿带边1m处，设置宽度为0.3m。提示盲道设在行进盲道的起、终点、人行横道入口和转弯处。</w:t>
      </w:r>
    </w:p>
    <w:p>
      <w:pPr>
        <w:pStyle w:val="102"/>
        <w:snapToGrid w:val="0"/>
        <w:jc w:val="left"/>
        <w:rPr>
          <w:rFonts w:ascii="Times New Roman" w:hAnsi="Times New Roman"/>
        </w:rPr>
      </w:pPr>
      <w:r>
        <w:rPr>
          <w:rFonts w:ascii="Times New Roman" w:hAnsi="Times New Roman"/>
        </w:rPr>
        <w:t>各种路口必须设置缘石坡道，本工程根据人行道宽度缘石坡道采用三面坡形式，各向坡度均不大于1/20。</w:t>
      </w:r>
    </w:p>
    <w:p>
      <w:pPr>
        <w:pStyle w:val="102"/>
        <w:snapToGrid w:val="0"/>
        <w:jc w:val="left"/>
        <w:rPr>
          <w:rFonts w:ascii="Times New Roman" w:hAnsi="Times New Roman"/>
        </w:rPr>
      </w:pPr>
      <w:r>
        <w:rPr>
          <w:rFonts w:ascii="Times New Roman" w:hAnsi="Times New Roman"/>
        </w:rPr>
        <w:t>缘石坡道型式根据设置地点选择方形、长方形或扇形，坡道下口宽度一般大于2m，坡度小于等于1:20，缘石坡道的坡口与车行道之间应无高差。</w:t>
      </w:r>
    </w:p>
    <w:p>
      <w:pPr>
        <w:pStyle w:val="102"/>
        <w:snapToGrid w:val="0"/>
        <w:jc w:val="left"/>
        <w:rPr>
          <w:rFonts w:ascii="Times New Roman" w:hAnsi="Times New Roman"/>
        </w:rPr>
      </w:pPr>
      <w:r>
        <w:rPr>
          <w:rFonts w:ascii="Times New Roman" w:hAnsi="Times New Roman"/>
        </w:rPr>
        <w:t>沿人行道的公交车站、桥涵，盲道按规范要求设置。依据国家相关规范以及现行标准、指引，道路人行系统中需配备无障碍设施以便于特殊人群的使用。无障碍设施具体包括残疾人坡道、盲道、车止石等。</w:t>
      </w:r>
    </w:p>
    <w:p>
      <w:pPr>
        <w:pStyle w:val="102"/>
        <w:snapToGrid w:val="0"/>
        <w:jc w:val="left"/>
        <w:rPr>
          <w:rFonts w:ascii="Times New Roman" w:hAnsi="Times New Roman"/>
        </w:rPr>
      </w:pPr>
      <w:r>
        <w:rPr>
          <w:rFonts w:ascii="Times New Roman" w:hAnsi="Times New Roman"/>
        </w:rPr>
        <w:t>残疾人坡道：人行道的各种路口处必须设缘石坡道，缘石坡道应设在人行道的范围内，并应在人行横道相对应。三面坡缘石坡道坡度≤1:20，缘石坡道下出入口高出车行缘石坡道的坡口与车行道之间应无高差。</w:t>
      </w:r>
    </w:p>
    <w:p>
      <w:pPr>
        <w:pStyle w:val="102"/>
        <w:snapToGrid w:val="0"/>
        <w:jc w:val="left"/>
        <w:rPr>
          <w:rFonts w:ascii="Times New Roman" w:hAnsi="Times New Roman"/>
          <w:position w:val="-60"/>
        </w:rPr>
      </w:pPr>
      <w:r>
        <w:rPr>
          <w:rFonts w:ascii="Times New Roman" w:hAnsi="Times New Roman"/>
          <w:position w:val="-60"/>
        </w:rPr>
        <w:drawing>
          <wp:inline distT="0" distB="0" distL="0" distR="0">
            <wp:extent cx="5327650" cy="1906905"/>
            <wp:effectExtent l="0" t="0" r="6350" b="17145"/>
            <wp:docPr id="416" name="IM 408"/>
            <wp:cNvGraphicFramePr/>
            <a:graphic xmlns:a="http://schemas.openxmlformats.org/drawingml/2006/main">
              <a:graphicData uri="http://schemas.openxmlformats.org/drawingml/2006/picture">
                <pic:pic xmlns:pic="http://schemas.openxmlformats.org/drawingml/2006/picture">
                  <pic:nvPicPr>
                    <pic:cNvPr id="416" name="IM 408"/>
                    <pic:cNvPicPr/>
                  </pic:nvPicPr>
                  <pic:blipFill>
                    <a:blip r:embed="rId130"/>
                    <a:stretch>
                      <a:fillRect/>
                    </a:stretch>
                  </pic:blipFill>
                  <pic:spPr>
                    <a:xfrm>
                      <a:off x="0" y="0"/>
                      <a:ext cx="5327904" cy="1907285"/>
                    </a:xfrm>
                    <a:prstGeom prst="rect">
                      <a:avLst/>
                    </a:prstGeom>
                  </pic:spPr>
                </pic:pic>
              </a:graphicData>
            </a:graphic>
          </wp:inline>
        </w:drawing>
      </w:r>
    </w:p>
    <w:p>
      <w:pPr>
        <w:pStyle w:val="102"/>
        <w:snapToGrid w:val="0"/>
        <w:ind w:firstLine="476"/>
        <w:jc w:val="center"/>
        <w:rPr>
          <w:rFonts w:ascii="Times New Roman" w:hAnsi="Times New Roman"/>
          <w:spacing w:val="-1"/>
          <w14:textOutline w14:w="3048" w14:cap="flat" w14:cmpd="sng" w14:algn="ctr">
            <w14:solidFill>
              <w14:srgbClr w14:val="000000"/>
            </w14:solidFill>
            <w14:prstDash w14:val="solid"/>
            <w14:miter w14:val="0"/>
          </w14:textOutline>
        </w:rPr>
      </w:pPr>
      <w:r>
        <w:rPr>
          <w:rFonts w:ascii="Times New Roman" w:hAnsi="Times New Roman"/>
          <w:spacing w:val="-1"/>
          <w14:textOutline w14:w="3048" w14:cap="flat" w14:cmpd="sng" w14:algn="ctr">
            <w14:solidFill>
              <w14:srgbClr w14:val="000000"/>
            </w14:solidFill>
            <w14:prstDash w14:val="solid"/>
            <w14:miter w14:val="0"/>
          </w14:textOutline>
        </w:rPr>
        <w:t>单面坡式残疾人坡道轴侧图</w:t>
      </w:r>
    </w:p>
    <w:p>
      <w:pPr>
        <w:pStyle w:val="102"/>
        <w:snapToGrid w:val="0"/>
        <w:jc w:val="center"/>
        <w:rPr>
          <w:rFonts w:ascii="Times New Roman" w:hAnsi="Times New Roman"/>
          <w:position w:val="-47"/>
        </w:rPr>
      </w:pPr>
      <w:r>
        <w:rPr>
          <w:rFonts w:ascii="Times New Roman" w:hAnsi="Times New Roman"/>
          <w:position w:val="-47"/>
        </w:rPr>
        <w:drawing>
          <wp:inline distT="0" distB="0" distL="0" distR="0">
            <wp:extent cx="5457190" cy="1522095"/>
            <wp:effectExtent l="0" t="0" r="10160" b="1905"/>
            <wp:docPr id="417" name="IM 410"/>
            <wp:cNvGraphicFramePr/>
            <a:graphic xmlns:a="http://schemas.openxmlformats.org/drawingml/2006/main">
              <a:graphicData uri="http://schemas.openxmlformats.org/drawingml/2006/picture">
                <pic:pic xmlns:pic="http://schemas.openxmlformats.org/drawingml/2006/picture">
                  <pic:nvPicPr>
                    <pic:cNvPr id="417" name="IM 410"/>
                    <pic:cNvPicPr/>
                  </pic:nvPicPr>
                  <pic:blipFill>
                    <a:blip r:embed="rId131"/>
                    <a:stretch>
                      <a:fillRect/>
                    </a:stretch>
                  </pic:blipFill>
                  <pic:spPr>
                    <a:xfrm>
                      <a:off x="0" y="0"/>
                      <a:ext cx="5457443" cy="1522476"/>
                    </a:xfrm>
                    <a:prstGeom prst="rect">
                      <a:avLst/>
                    </a:prstGeom>
                  </pic:spPr>
                </pic:pic>
              </a:graphicData>
            </a:graphic>
          </wp:inline>
        </w:drawing>
      </w:r>
    </w:p>
    <w:p>
      <w:pPr>
        <w:spacing w:before="164" w:line="219" w:lineRule="auto"/>
        <w:ind w:left="3934" w:firstLine="482" w:firstLineChars="200"/>
        <w:rPr>
          <w:rFonts w:ascii="Times New Roman" w:hAnsi="Times New Roman"/>
          <w:sz w:val="24"/>
          <w:szCs w:val="24"/>
        </w:rPr>
      </w:pPr>
      <w:r>
        <w:rPr>
          <w:rFonts w:ascii="Times New Roman" w:hAnsi="Times New Roman"/>
          <w:sz w:val="24"/>
          <w:szCs w:val="24"/>
          <w14:textOutline w14:w="3048" w14:cap="flat" w14:cmpd="sng" w14:algn="ctr">
            <w14:solidFill>
              <w14:srgbClr w14:val="000000"/>
            </w14:solidFill>
            <w14:prstDash w14:val="solid"/>
            <w14:miter w14:val="0"/>
          </w14:textOutline>
        </w:rPr>
        <w:t>三面坡式残疾人坡道轴侧图</w:t>
      </w:r>
    </w:p>
    <w:p>
      <w:pPr>
        <w:pStyle w:val="102"/>
        <w:snapToGrid w:val="0"/>
        <w:jc w:val="center"/>
        <w:rPr>
          <w:rFonts w:ascii="Times New Roman" w:hAnsi="Times New Roman"/>
          <w:position w:val="-56"/>
        </w:rPr>
      </w:pPr>
      <w:r>
        <w:rPr>
          <w:rFonts w:ascii="Times New Roman" w:hAnsi="Times New Roman"/>
          <w:position w:val="-56"/>
        </w:rPr>
        <w:drawing>
          <wp:inline distT="0" distB="0" distL="0" distR="0">
            <wp:extent cx="4977765" cy="1800225"/>
            <wp:effectExtent l="0" t="0" r="13335" b="9525"/>
            <wp:docPr id="418" name="IM 418"/>
            <wp:cNvGraphicFramePr/>
            <a:graphic xmlns:a="http://schemas.openxmlformats.org/drawingml/2006/main">
              <a:graphicData uri="http://schemas.openxmlformats.org/drawingml/2006/picture">
                <pic:pic xmlns:pic="http://schemas.openxmlformats.org/drawingml/2006/picture">
                  <pic:nvPicPr>
                    <pic:cNvPr id="418" name="IM 418"/>
                    <pic:cNvPicPr/>
                  </pic:nvPicPr>
                  <pic:blipFill>
                    <a:blip r:embed="rId132"/>
                    <a:stretch>
                      <a:fillRect/>
                    </a:stretch>
                  </pic:blipFill>
                  <pic:spPr>
                    <a:xfrm>
                      <a:off x="0" y="0"/>
                      <a:ext cx="4978145" cy="1800605"/>
                    </a:xfrm>
                    <a:prstGeom prst="rect">
                      <a:avLst/>
                    </a:prstGeom>
                  </pic:spPr>
                </pic:pic>
              </a:graphicData>
            </a:graphic>
          </wp:inline>
        </w:drawing>
      </w:r>
    </w:p>
    <w:p>
      <w:pPr>
        <w:pStyle w:val="102"/>
        <w:snapToGrid w:val="0"/>
        <w:ind w:firstLine="476"/>
        <w:jc w:val="center"/>
        <w:rPr>
          <w:rFonts w:ascii="Times New Roman" w:hAnsi="Times New Roman"/>
          <w:position w:val="-56"/>
        </w:rPr>
      </w:pPr>
      <w:r>
        <w:rPr>
          <w:rFonts w:ascii="Times New Roman" w:hAnsi="Times New Roman"/>
          <w:spacing w:val="-1"/>
          <w14:textOutline w14:w="3048" w14:cap="flat" w14:cmpd="sng" w14:algn="ctr">
            <w14:solidFill>
              <w14:srgbClr w14:val="000000"/>
            </w14:solidFill>
            <w14:prstDash w14:val="solid"/>
            <w14:miter w14:val="0"/>
          </w14:textOutline>
        </w:rPr>
        <w:t>复合坡式残疾人坡道轴侧图</w:t>
      </w:r>
    </w:p>
    <w:p>
      <w:pPr>
        <w:pStyle w:val="102"/>
        <w:snapToGrid w:val="0"/>
        <w:jc w:val="left"/>
        <w:rPr>
          <w:rFonts w:ascii="Times New Roman" w:hAnsi="Times New Roman"/>
        </w:rPr>
      </w:pPr>
      <w:r>
        <w:rPr>
          <w:rFonts w:ascii="Times New Roman" w:hAnsi="Times New Roman"/>
        </w:rPr>
        <w:t>盲道：分行进盲道和提示盲道两大类，采用中黄色导盲砖铺设。提示盲道应设置于盲道的起点、终点、拐弯处及上下坡边缘。行进盲道应连续贯通，在人行道拐弯处应顺弯道弧位铺设，中途不得有电线杆、拉线、树木等障碍物，同时应距障碍物、侧石边、人行横道入口、广场入口、各通道入口25-50cm。</w:t>
      </w:r>
    </w:p>
    <w:p>
      <w:pPr>
        <w:pStyle w:val="5"/>
        <w:ind w:firstLine="482" w:firstLineChars="200"/>
        <w:rPr>
          <w:rFonts w:ascii="Times New Roman" w:hAnsi="Times New Roman"/>
        </w:rPr>
      </w:pPr>
      <w:r>
        <w:rPr>
          <w:rFonts w:ascii="Times New Roman" w:hAnsi="Times New Roman"/>
        </w:rPr>
        <w:t>公交停靠站设计</w:t>
      </w:r>
    </w:p>
    <w:p>
      <w:pPr>
        <w:pStyle w:val="102"/>
        <w:snapToGrid w:val="0"/>
        <w:jc w:val="left"/>
        <w:rPr>
          <w:rFonts w:ascii="Times New Roman" w:hAnsi="Times New Roman"/>
        </w:rPr>
      </w:pPr>
      <w:r>
        <w:rPr>
          <w:rFonts w:ascii="Times New Roman" w:hAnsi="Times New Roman"/>
        </w:rPr>
        <w:t>本项目按规范要求公交站布设间距500～800米作用，距离交叉口距离不小于50米；公交站长度按照城市道路交叉口设计规程执行，站台长度为35米，公交停靠站采用港湾</w:t>
      </w:r>
      <w:r>
        <w:rPr>
          <w:rFonts w:hint="eastAsia" w:ascii="Times New Roman" w:hAnsi="Times New Roman"/>
        </w:rPr>
        <w:t>式</w:t>
      </w:r>
      <w:r>
        <w:rPr>
          <w:rFonts w:ascii="Times New Roman" w:hAnsi="Times New Roman"/>
        </w:rPr>
        <w:t>停靠站，站台设置侧绿化带或人行道上。</w:t>
      </w:r>
    </w:p>
    <w:p>
      <w:pPr>
        <w:pStyle w:val="5"/>
        <w:ind w:firstLine="482" w:firstLineChars="200"/>
        <w:rPr>
          <w:rFonts w:ascii="Times New Roman" w:hAnsi="Times New Roman"/>
        </w:rPr>
      </w:pPr>
      <w:r>
        <w:rPr>
          <w:rFonts w:ascii="Times New Roman" w:hAnsi="Times New Roman"/>
        </w:rPr>
        <w:t>道路元素设计</w:t>
      </w:r>
    </w:p>
    <w:p>
      <w:pPr>
        <w:pStyle w:val="102"/>
        <w:snapToGrid w:val="0"/>
        <w:jc w:val="left"/>
        <w:rPr>
          <w:rFonts w:ascii="Times New Roman" w:hAnsi="Times New Roman"/>
        </w:rPr>
      </w:pPr>
      <w:r>
        <w:rPr>
          <w:rFonts w:ascii="Times New Roman" w:hAnsi="Times New Roman"/>
        </w:rPr>
        <w:t>随着人们生活水平的不断提高，市民对城市道路的要求越来越高，不仅在使用功能上，还在观赏、享受、舒适及便捷功能上有了更高的要求。因此城市道路不仅要考虑实用、安全、更要满足舒适、美观、方便要求，为人们创造人性化城市空间，提升都市品味。</w:t>
      </w:r>
    </w:p>
    <w:p>
      <w:pPr>
        <w:pStyle w:val="102"/>
        <w:snapToGrid w:val="0"/>
        <w:jc w:val="left"/>
        <w:rPr>
          <w:rFonts w:ascii="Times New Roman" w:hAnsi="Times New Roman"/>
        </w:rPr>
      </w:pPr>
      <w:r>
        <w:rPr>
          <w:rFonts w:ascii="Times New Roman" w:hAnsi="Times New Roman"/>
        </w:rPr>
        <w:t>为照顾行人短暂休憩的需要，在必要的地段设置座椅。座椅的选择可因地而异，随地点变化选择尺寸与造型配合适当的座椅，可利用花坛一体化设置，灵巧的点缀，丰富园趣。</w:t>
      </w:r>
    </w:p>
    <w:p>
      <w:pPr>
        <w:pStyle w:val="102"/>
        <w:snapToGrid w:val="0"/>
        <w:jc w:val="center"/>
        <w:rPr>
          <w:rFonts w:ascii="Times New Roman" w:hAnsi="Times New Roman"/>
        </w:rPr>
      </w:pPr>
      <w:r>
        <w:rPr>
          <w:rFonts w:ascii="Times New Roman" w:hAnsi="Times New Roman"/>
          <w:position w:val="-62"/>
        </w:rPr>
        <w:drawing>
          <wp:inline distT="0" distB="0" distL="0" distR="0">
            <wp:extent cx="5087620" cy="1979295"/>
            <wp:effectExtent l="0" t="0" r="17780" b="1905"/>
            <wp:docPr id="420" name="IM 420"/>
            <wp:cNvGraphicFramePr/>
            <a:graphic xmlns:a="http://schemas.openxmlformats.org/drawingml/2006/main">
              <a:graphicData uri="http://schemas.openxmlformats.org/drawingml/2006/picture">
                <pic:pic xmlns:pic="http://schemas.openxmlformats.org/drawingml/2006/picture">
                  <pic:nvPicPr>
                    <pic:cNvPr id="420" name="IM 420"/>
                    <pic:cNvPicPr/>
                  </pic:nvPicPr>
                  <pic:blipFill>
                    <a:blip r:embed="rId133"/>
                    <a:stretch>
                      <a:fillRect/>
                    </a:stretch>
                  </pic:blipFill>
                  <pic:spPr>
                    <a:xfrm>
                      <a:off x="0" y="0"/>
                      <a:ext cx="5087873" cy="1979676"/>
                    </a:xfrm>
                    <a:prstGeom prst="rect">
                      <a:avLst/>
                    </a:prstGeom>
                  </pic:spPr>
                </pic:pic>
              </a:graphicData>
            </a:graphic>
          </wp:inline>
        </w:drawing>
      </w:r>
    </w:p>
    <w:p>
      <w:pPr>
        <w:spacing w:before="164" w:line="219" w:lineRule="auto"/>
        <w:ind w:left="3934" w:firstLine="482" w:firstLineChars="200"/>
        <w:rPr>
          <w:rFonts w:ascii="Times New Roman" w:hAnsi="Times New Roman"/>
          <w:sz w:val="24"/>
          <w:szCs w:val="24"/>
          <w14:textOutline w14:w="3048" w14:cap="flat" w14:cmpd="sng" w14:algn="ctr">
            <w14:solidFill>
              <w14:srgbClr w14:val="000000"/>
            </w14:solidFill>
            <w14:prstDash w14:val="solid"/>
            <w14:miter w14:val="0"/>
          </w14:textOutline>
        </w:rPr>
      </w:pPr>
      <w:r>
        <w:rPr>
          <w:rFonts w:ascii="Times New Roman" w:hAnsi="Times New Roman"/>
          <w:sz w:val="24"/>
          <w:szCs w:val="24"/>
          <w14:textOutline w14:w="3048" w14:cap="flat" w14:cmpd="sng" w14:algn="ctr">
            <w14:solidFill>
              <w14:srgbClr w14:val="000000"/>
            </w14:solidFill>
            <w14:prstDash w14:val="solid"/>
            <w14:miter w14:val="0"/>
          </w14:textOutline>
        </w:rPr>
        <w:t>街角小品样式</w:t>
      </w:r>
    </w:p>
    <w:p>
      <w:pPr>
        <w:pStyle w:val="102"/>
        <w:snapToGrid w:val="0"/>
        <w:jc w:val="left"/>
        <w:rPr>
          <w:rFonts w:ascii="Times New Roman" w:hAnsi="Times New Roman"/>
        </w:rPr>
      </w:pPr>
      <w:r>
        <w:rPr>
          <w:rFonts w:ascii="Times New Roman" w:hAnsi="Times New Roman"/>
        </w:rPr>
        <w:t>根据其指引和导向的要求，在指定的位置设置交通标志、路标、路牌、海报、安全警示牌以及地面标志。</w:t>
      </w:r>
    </w:p>
    <w:p>
      <w:pPr>
        <w:pStyle w:val="102"/>
        <w:snapToGrid w:val="0"/>
        <w:jc w:val="left"/>
        <w:rPr>
          <w:rFonts w:ascii="Times New Roman" w:hAnsi="Times New Roman"/>
        </w:rPr>
      </w:pPr>
      <w:r>
        <w:rPr>
          <w:rFonts w:ascii="Times New Roman" w:hAnsi="Times New Roman"/>
        </w:rPr>
        <w:t>为了道路景观整体一致性，背景建筑的立面风格、色彩、材料、建筑结构、连续界面以及首层店铺的店面风格、招牌、广告应与道路本身所体现的主题相协调，相互呼应。</w:t>
      </w:r>
    </w:p>
    <w:p>
      <w:pPr>
        <w:pStyle w:val="102"/>
        <w:snapToGrid w:val="0"/>
        <w:jc w:val="left"/>
        <w:rPr>
          <w:rFonts w:ascii="Times New Roman" w:hAnsi="Times New Roman"/>
        </w:rPr>
      </w:pPr>
      <w:r>
        <w:rPr>
          <w:rFonts w:ascii="Times New Roman" w:hAnsi="Times New Roman"/>
        </w:rPr>
        <w:t>道路设施需具备体育、旅游、滨海等方面的道路元素，并增加体育场馆、轨道交通、停车场出入口等指引。</w:t>
      </w:r>
    </w:p>
    <w:p>
      <w:pPr>
        <w:pStyle w:val="102"/>
        <w:snapToGrid w:val="0"/>
        <w:jc w:val="center"/>
        <w:rPr>
          <w:rFonts w:ascii="Times New Roman" w:hAnsi="Times New Roman"/>
        </w:rPr>
      </w:pPr>
      <w:r>
        <w:rPr>
          <w:rFonts w:ascii="Times New Roman" w:hAnsi="Times New Roman"/>
        </w:rPr>
        <w:drawing>
          <wp:inline distT="0" distB="0" distL="0" distR="0">
            <wp:extent cx="3665220" cy="287972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134"/>
                    <a:stretch>
                      <a:fillRect/>
                    </a:stretch>
                  </pic:blipFill>
                  <pic:spPr>
                    <a:xfrm>
                      <a:off x="0" y="0"/>
                      <a:ext cx="3665292" cy="2880000"/>
                    </a:xfrm>
                    <a:prstGeom prst="rect">
                      <a:avLst/>
                    </a:prstGeom>
                  </pic:spPr>
                </pic:pic>
              </a:graphicData>
            </a:graphic>
          </wp:inline>
        </w:drawing>
      </w:r>
    </w:p>
    <w:p>
      <w:pPr>
        <w:spacing w:before="167" w:line="220" w:lineRule="auto"/>
        <w:jc w:val="center"/>
        <w:rPr>
          <w:rFonts w:cs="宋体"/>
          <w:sz w:val="24"/>
          <w:szCs w:val="24"/>
        </w:rPr>
      </w:pPr>
      <w:r>
        <w:rPr>
          <w:rFonts w:hint="eastAsia" w:ascii="Times New Roman" w:hAnsi="Times New Roman"/>
          <w:sz w:val="24"/>
          <w:szCs w:val="24"/>
          <w14:textOutline w14:w="3048" w14:cap="flat" w14:cmpd="sng" w14:algn="ctr">
            <w14:solidFill>
              <w14:srgbClr w14:val="000000"/>
            </w14:solidFill>
            <w14:prstDash w14:val="solid"/>
            <w14:miter w14:val="0"/>
          </w14:textOutline>
        </w:rPr>
        <w:t>滨海旅游元素样式</w:t>
      </w:r>
      <w:r>
        <w:rPr>
          <w:rFonts w:cs="宋体"/>
          <w:sz w:val="24"/>
          <w:szCs w:val="24"/>
        </w:rPr>
        <w:drawing>
          <wp:inline distT="0" distB="0" distL="114300" distR="114300">
            <wp:extent cx="5596255" cy="2480310"/>
            <wp:effectExtent l="0" t="0" r="4445" b="15240"/>
            <wp:docPr id="238" name="图片 2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5" descr="IMG_256"/>
                    <pic:cNvPicPr>
                      <a:picLocks noChangeAspect="1"/>
                    </pic:cNvPicPr>
                  </pic:nvPicPr>
                  <pic:blipFill>
                    <a:blip r:embed="rId135"/>
                    <a:stretch>
                      <a:fillRect/>
                    </a:stretch>
                  </pic:blipFill>
                  <pic:spPr>
                    <a:xfrm>
                      <a:off x="0" y="0"/>
                      <a:ext cx="5596255" cy="2480310"/>
                    </a:xfrm>
                    <a:prstGeom prst="rect">
                      <a:avLst/>
                    </a:prstGeom>
                    <a:noFill/>
                    <a:ln w="9525">
                      <a:noFill/>
                    </a:ln>
                  </pic:spPr>
                </pic:pic>
              </a:graphicData>
            </a:graphic>
          </wp:inline>
        </w:drawing>
      </w:r>
    </w:p>
    <w:p>
      <w:pPr>
        <w:spacing w:before="167" w:line="220" w:lineRule="auto"/>
        <w:jc w:val="center"/>
        <w:rPr>
          <w:rFonts w:ascii="Times New Roman" w:hAnsi="Times New Roman"/>
          <w:spacing w:val="-1"/>
          <w:sz w:val="24"/>
          <w:szCs w:val="24"/>
          <w14:textOutline w14:w="3048" w14:cap="flat" w14:cmpd="sng" w14:algn="ctr">
            <w14:solidFill>
              <w14:srgbClr w14:val="000000"/>
            </w14:solidFill>
            <w14:prstDash w14:val="solid"/>
            <w14:miter w14:val="0"/>
          </w14:textOutline>
        </w:rPr>
      </w:pPr>
      <w:r>
        <w:rPr>
          <w:rFonts w:hint="eastAsia" w:ascii="Times New Roman" w:hAnsi="Times New Roman"/>
          <w:spacing w:val="-1"/>
          <w:sz w:val="24"/>
          <w:szCs w:val="24"/>
          <w14:textOutline w14:w="3048" w14:cap="flat" w14:cmpd="sng" w14:algn="ctr">
            <w14:solidFill>
              <w14:srgbClr w14:val="000000"/>
            </w14:solidFill>
            <w14:prstDash w14:val="solid"/>
            <w14:miter w14:val="0"/>
          </w14:textOutline>
        </w:rPr>
        <w:t>体育场馆指引元素</w:t>
      </w:r>
    </w:p>
    <w:p>
      <w:pPr>
        <w:spacing w:before="167" w:line="220" w:lineRule="auto"/>
        <w:jc w:val="center"/>
      </w:pPr>
      <w:r>
        <w:drawing>
          <wp:inline distT="0" distB="0" distL="114300" distR="114300">
            <wp:extent cx="3090545" cy="2092325"/>
            <wp:effectExtent l="0" t="0" r="14605" b="3175"/>
            <wp:docPr id="23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6"/>
                    <pic:cNvPicPr>
                      <a:picLocks noChangeAspect="1"/>
                    </pic:cNvPicPr>
                  </pic:nvPicPr>
                  <pic:blipFill>
                    <a:blip r:embed="rId136"/>
                    <a:stretch>
                      <a:fillRect/>
                    </a:stretch>
                  </pic:blipFill>
                  <pic:spPr>
                    <a:xfrm>
                      <a:off x="0" y="0"/>
                      <a:ext cx="3090545" cy="2092325"/>
                    </a:xfrm>
                    <a:prstGeom prst="rect">
                      <a:avLst/>
                    </a:prstGeom>
                    <a:noFill/>
                    <a:ln>
                      <a:noFill/>
                    </a:ln>
                  </pic:spPr>
                </pic:pic>
              </a:graphicData>
            </a:graphic>
          </wp:inline>
        </w:drawing>
      </w:r>
      <w:r>
        <w:drawing>
          <wp:inline distT="0" distB="0" distL="114300" distR="114300">
            <wp:extent cx="2961640" cy="2080895"/>
            <wp:effectExtent l="0" t="0" r="10160" b="14605"/>
            <wp:docPr id="24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7"/>
                    <pic:cNvPicPr>
                      <a:picLocks noChangeAspect="1"/>
                    </pic:cNvPicPr>
                  </pic:nvPicPr>
                  <pic:blipFill>
                    <a:blip r:embed="rId137"/>
                    <a:stretch>
                      <a:fillRect/>
                    </a:stretch>
                  </pic:blipFill>
                  <pic:spPr>
                    <a:xfrm>
                      <a:off x="0" y="0"/>
                      <a:ext cx="2961640" cy="2080895"/>
                    </a:xfrm>
                    <a:prstGeom prst="rect">
                      <a:avLst/>
                    </a:prstGeom>
                    <a:noFill/>
                    <a:ln>
                      <a:noFill/>
                    </a:ln>
                  </pic:spPr>
                </pic:pic>
              </a:graphicData>
            </a:graphic>
          </wp:inline>
        </w:drawing>
      </w:r>
    </w:p>
    <w:p>
      <w:pPr>
        <w:spacing w:before="167" w:line="220" w:lineRule="auto"/>
        <w:jc w:val="center"/>
        <w:rPr>
          <w:rFonts w:ascii="Times New Roman" w:hAnsi="Times New Roman"/>
          <w:spacing w:val="-1"/>
          <w:sz w:val="24"/>
          <w:szCs w:val="24"/>
          <w14:textOutline w14:w="3048" w14:cap="flat" w14:cmpd="sng" w14:algn="ctr">
            <w14:solidFill>
              <w14:srgbClr w14:val="000000"/>
            </w14:solidFill>
            <w14:prstDash w14:val="solid"/>
            <w14:miter w14:val="0"/>
          </w14:textOutline>
        </w:rPr>
      </w:pPr>
      <w:r>
        <w:rPr>
          <w:rFonts w:hint="eastAsia" w:ascii="Times New Roman" w:hAnsi="Times New Roman"/>
          <w:spacing w:val="-1"/>
          <w:sz w:val="24"/>
          <w:szCs w:val="24"/>
          <w14:textOutline w14:w="3048" w14:cap="flat" w14:cmpd="sng" w14:algn="ctr">
            <w14:solidFill>
              <w14:srgbClr w14:val="000000"/>
            </w14:solidFill>
            <w14:prstDash w14:val="solid"/>
            <w14:miter w14:val="0"/>
          </w14:textOutline>
        </w:rPr>
        <w:t>轨道交通指引</w:t>
      </w:r>
      <w:r>
        <w:rPr>
          <w:rFonts w:ascii="Times New Roman" w:hAnsi="Times New Roman"/>
          <w:spacing w:val="-1"/>
          <w:sz w:val="24"/>
          <w:szCs w:val="24"/>
          <w14:textOutline w14:w="3048" w14:cap="flat" w14:cmpd="sng" w14:algn="ctr">
            <w14:solidFill>
              <w14:srgbClr w14:val="000000"/>
            </w14:solidFill>
            <w14:prstDash w14:val="solid"/>
            <w14:miter w14:val="0"/>
          </w14:textOutline>
        </w:rPr>
        <w:t>元素样式</w:t>
      </w:r>
    </w:p>
    <w:p>
      <w:pPr>
        <w:spacing w:before="167" w:line="220" w:lineRule="auto"/>
        <w:jc w:val="center"/>
      </w:pPr>
      <w:r>
        <w:drawing>
          <wp:inline distT="0" distB="0" distL="114300" distR="114300">
            <wp:extent cx="2669540" cy="3171190"/>
            <wp:effectExtent l="0" t="0" r="16510" b="10160"/>
            <wp:docPr id="24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8"/>
                    <pic:cNvPicPr>
                      <a:picLocks noChangeAspect="1"/>
                    </pic:cNvPicPr>
                  </pic:nvPicPr>
                  <pic:blipFill>
                    <a:blip r:embed="rId138"/>
                    <a:stretch>
                      <a:fillRect/>
                    </a:stretch>
                  </pic:blipFill>
                  <pic:spPr>
                    <a:xfrm>
                      <a:off x="0" y="0"/>
                      <a:ext cx="2669540" cy="3171190"/>
                    </a:xfrm>
                    <a:prstGeom prst="rect">
                      <a:avLst/>
                    </a:prstGeom>
                    <a:noFill/>
                    <a:ln>
                      <a:noFill/>
                    </a:ln>
                  </pic:spPr>
                </pic:pic>
              </a:graphicData>
            </a:graphic>
          </wp:inline>
        </w:drawing>
      </w:r>
      <w:r>
        <w:drawing>
          <wp:inline distT="0" distB="0" distL="114300" distR="114300">
            <wp:extent cx="2894965" cy="3032760"/>
            <wp:effectExtent l="0" t="0" r="635" b="15240"/>
            <wp:docPr id="2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30"/>
                    <pic:cNvPicPr>
                      <a:picLocks noChangeAspect="1"/>
                    </pic:cNvPicPr>
                  </pic:nvPicPr>
                  <pic:blipFill>
                    <a:blip r:embed="rId139"/>
                    <a:stretch>
                      <a:fillRect/>
                    </a:stretch>
                  </pic:blipFill>
                  <pic:spPr>
                    <a:xfrm>
                      <a:off x="0" y="0"/>
                      <a:ext cx="2894965" cy="3032760"/>
                    </a:xfrm>
                    <a:prstGeom prst="rect">
                      <a:avLst/>
                    </a:prstGeom>
                    <a:noFill/>
                    <a:ln>
                      <a:noFill/>
                    </a:ln>
                  </pic:spPr>
                </pic:pic>
              </a:graphicData>
            </a:graphic>
          </wp:inline>
        </w:drawing>
      </w:r>
    </w:p>
    <w:p>
      <w:pPr>
        <w:spacing w:before="167" w:line="220" w:lineRule="auto"/>
        <w:jc w:val="center"/>
        <w:rPr>
          <w:rFonts w:ascii="Times New Roman" w:hAnsi="Times New Roman"/>
          <w:spacing w:val="-1"/>
          <w:sz w:val="24"/>
          <w:szCs w:val="24"/>
          <w14:textOutline w14:w="3048" w14:cap="flat" w14:cmpd="sng" w14:algn="ctr">
            <w14:solidFill>
              <w14:srgbClr w14:val="000000"/>
            </w14:solidFill>
            <w14:prstDash w14:val="solid"/>
            <w14:miter w14:val="0"/>
          </w14:textOutline>
        </w:rPr>
      </w:pPr>
      <w:r>
        <w:rPr>
          <w:rFonts w:hint="eastAsia" w:ascii="Times New Roman" w:hAnsi="Times New Roman"/>
          <w:spacing w:val="-1"/>
          <w:sz w:val="24"/>
          <w:szCs w:val="24"/>
          <w14:textOutline w14:w="3048" w14:cap="flat" w14:cmpd="sng" w14:algn="ctr">
            <w14:solidFill>
              <w14:srgbClr w14:val="000000"/>
            </w14:solidFill>
            <w14:prstDash w14:val="solid"/>
            <w14:miter w14:val="0"/>
          </w14:textOutline>
        </w:rPr>
        <w:t>停车场出入口指引</w:t>
      </w:r>
      <w:r>
        <w:rPr>
          <w:rFonts w:ascii="Times New Roman" w:hAnsi="Times New Roman"/>
          <w:spacing w:val="-1"/>
          <w:sz w:val="24"/>
          <w:szCs w:val="24"/>
          <w14:textOutline w14:w="3048" w14:cap="flat" w14:cmpd="sng" w14:algn="ctr">
            <w14:solidFill>
              <w14:srgbClr w14:val="000000"/>
            </w14:solidFill>
            <w14:prstDash w14:val="solid"/>
            <w14:miter w14:val="0"/>
          </w14:textOutline>
        </w:rPr>
        <w:t>元素样式</w:t>
      </w:r>
    </w:p>
    <w:p>
      <w:pPr>
        <w:spacing w:before="167" w:line="220" w:lineRule="auto"/>
      </w:pPr>
    </w:p>
    <w:p>
      <w:pPr>
        <w:pStyle w:val="102"/>
        <w:snapToGrid w:val="0"/>
        <w:jc w:val="left"/>
        <w:rPr>
          <w:rFonts w:ascii="Times New Roman" w:hAnsi="Times New Roman"/>
        </w:rPr>
      </w:pPr>
      <w:r>
        <w:rPr>
          <w:rFonts w:hint="eastAsia" w:ascii="Times New Roman" w:hAnsi="Times New Roman"/>
        </w:rPr>
        <w:t>体育场馆、轨道交通、停车场出入口等相关道路指引可以帮助大家顺利、便捷、省时搜寻到体育场馆、轨道交通站点、停车场。在人流高峰期具备有效的海量人流、车流迅速汇集、然后又迅速疏散的特点，科学合理的指引标识，具备极强的识别性和易读性，给人以清晰、高效的指引。清晰、鲜明的指路牌，为行人指明方向，给人可靠贴心的感觉，采用新型的标志牌布置于交叉口等有需要的位置。行人指示标志的布置我们提出了分级标织的布点原则，以便为行人提供完整、连续、有效的信息指路服务。</w:t>
      </w:r>
    </w:p>
    <w:p>
      <w:pPr>
        <w:pStyle w:val="5"/>
        <w:ind w:firstLine="482" w:firstLineChars="200"/>
        <w:rPr>
          <w:rFonts w:ascii="Times New Roman" w:hAnsi="Times New Roman"/>
        </w:rPr>
      </w:pPr>
      <w:r>
        <w:rPr>
          <w:rFonts w:ascii="Times New Roman" w:hAnsi="Times New Roman"/>
        </w:rPr>
        <w:t>路面排水设计</w:t>
      </w:r>
    </w:p>
    <w:p>
      <w:pPr>
        <w:pStyle w:val="102"/>
        <w:snapToGrid w:val="0"/>
        <w:jc w:val="left"/>
        <w:rPr>
          <w:rFonts w:ascii="Times New Roman" w:hAnsi="Times New Roman"/>
        </w:rPr>
      </w:pPr>
      <w:r>
        <w:rPr>
          <w:rFonts w:ascii="Times New Roman" w:hAnsi="Times New Roman"/>
        </w:rPr>
        <w:t>本项目为城市道路，路基路面排水应结合市政排水管网、桥涵等设施设计，并与自然沟渠水系形成合理排水网络。同时，路基路面水不能排入鱼塘、受水源保护的沟渠、河流中。</w:t>
      </w:r>
    </w:p>
    <w:p>
      <w:pPr>
        <w:pStyle w:val="102"/>
        <w:snapToGrid w:val="0"/>
        <w:jc w:val="left"/>
        <w:rPr>
          <w:rFonts w:ascii="Times New Roman" w:hAnsi="Times New Roman"/>
        </w:rPr>
      </w:pPr>
      <w:r>
        <w:rPr>
          <w:rFonts w:ascii="Times New Roman" w:hAnsi="Times New Roman"/>
        </w:rPr>
        <w:t>本工程路面排水采用设雨水进水口方式，路面雨水首先汇集到雨水口，然后通过雨水口排入雨水管。</w:t>
      </w:r>
    </w:p>
    <w:p>
      <w:pPr>
        <w:pStyle w:val="102"/>
        <w:snapToGrid w:val="0"/>
        <w:jc w:val="left"/>
        <w:rPr>
          <w:rFonts w:ascii="Times New Roman" w:hAnsi="Times New Roman"/>
        </w:rPr>
      </w:pPr>
      <w:r>
        <w:rPr>
          <w:rFonts w:ascii="Times New Roman" w:hAnsi="Times New Roman"/>
          <w:color w:val="000000" w:themeColor="text1"/>
          <w14:textFill>
            <w14:solidFill>
              <w14:schemeClr w14:val="tx1"/>
            </w14:solidFill>
          </w14:textFill>
        </w:rPr>
        <w:t>为了保证路面排水顺畅，设计最小纵坡尽量控制在不小于0.3%～0.5%，最大纵坡在满足规范要</w:t>
      </w:r>
      <w:r>
        <w:rPr>
          <w:rFonts w:hint="eastAsia" w:ascii="Times New Roman" w:hAnsi="Times New Roman"/>
          <w:color w:val="000000" w:themeColor="text1"/>
          <w14:textFill>
            <w14:solidFill>
              <w14:schemeClr w14:val="tx1"/>
            </w14:solidFill>
          </w14:textFill>
        </w:rPr>
        <w:t>求</w:t>
      </w:r>
      <w:r>
        <w:rPr>
          <w:rFonts w:ascii="Times New Roman" w:hAnsi="Times New Roman"/>
          <w:color w:val="000000" w:themeColor="text1"/>
          <w14:textFill>
            <w14:solidFill>
              <w14:schemeClr w14:val="tx1"/>
            </w14:solidFill>
          </w14:textFill>
        </w:rPr>
        <w:t>前提下，尽量不用临界值。</w:t>
      </w:r>
    </w:p>
    <w:p>
      <w:pPr>
        <w:pStyle w:val="3"/>
        <w:ind w:firstLine="562" w:firstLineChars="200"/>
      </w:pPr>
      <w:bookmarkStart w:id="163" w:name="_Toc4545"/>
      <w:r>
        <w:t>桥梁工程设计方案</w:t>
      </w:r>
      <w:bookmarkEnd w:id="163"/>
    </w:p>
    <w:p>
      <w:pPr>
        <w:pStyle w:val="4"/>
        <w:ind w:firstLine="482" w:firstLineChars="200"/>
      </w:pPr>
      <w:bookmarkStart w:id="164" w:name="_Toc12968"/>
      <w:r>
        <w:t>桥梁总体设置情况</w:t>
      </w:r>
      <w:bookmarkEnd w:id="164"/>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本项目位于南沙区万顷沙镇，道路设计共计</w:t>
      </w:r>
      <w:r>
        <w:rPr>
          <w:rFonts w:hint="eastAsia" w:ascii="Times New Roman" w:hAnsi="Times New Roman"/>
          <w:b w:val="0"/>
          <w:color w:val="auto"/>
          <w:sz w:val="24"/>
          <w:szCs w:val="24"/>
        </w:rPr>
        <w:t>2</w:t>
      </w:r>
      <w:r>
        <w:rPr>
          <w:rFonts w:ascii="Times New Roman" w:hAnsi="Times New Roman"/>
          <w:b w:val="0"/>
          <w:color w:val="auto"/>
          <w:sz w:val="24"/>
          <w:szCs w:val="24"/>
        </w:rPr>
        <w:t>条，均为规划道路，道路设计中线基与规划中线拟合，部分路段根据相关规范和现状进行局部微调，严格按照规划红线进行设计。</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其中</w:t>
      </w:r>
      <w:r>
        <w:rPr>
          <w:rFonts w:hint="eastAsia" w:ascii="Times New Roman" w:hAnsi="Times New Roman"/>
          <w:b w:val="0"/>
          <w:color w:val="auto"/>
          <w:sz w:val="24"/>
          <w:szCs w:val="24"/>
        </w:rPr>
        <w:t>1</w:t>
      </w:r>
      <w:r>
        <w:rPr>
          <w:rFonts w:ascii="Times New Roman" w:hAnsi="Times New Roman"/>
          <w:b w:val="0"/>
          <w:color w:val="auto"/>
          <w:sz w:val="24"/>
          <w:szCs w:val="24"/>
        </w:rPr>
        <w:t>条主干路（二十涌北路），</w:t>
      </w:r>
      <w:r>
        <w:rPr>
          <w:rFonts w:hint="eastAsia" w:ascii="Times New Roman" w:hAnsi="Times New Roman"/>
          <w:b w:val="0"/>
          <w:color w:val="auto"/>
          <w:sz w:val="24"/>
          <w:szCs w:val="24"/>
        </w:rPr>
        <w:t>1</w:t>
      </w:r>
      <w:r>
        <w:rPr>
          <w:rFonts w:ascii="Times New Roman" w:hAnsi="Times New Roman"/>
          <w:b w:val="0"/>
          <w:color w:val="auto"/>
          <w:sz w:val="24"/>
          <w:szCs w:val="24"/>
        </w:rPr>
        <w:t>条次干路（规划纵三路），道路总长约</w:t>
      </w:r>
      <w:r>
        <w:rPr>
          <w:rFonts w:hint="eastAsia" w:ascii="Times New Roman" w:hAnsi="Times New Roman"/>
          <w:b w:val="0"/>
          <w:color w:val="auto"/>
          <w:sz w:val="24"/>
          <w:szCs w:val="24"/>
        </w:rPr>
        <w:t>3337</w:t>
      </w:r>
      <w:r>
        <w:rPr>
          <w:rFonts w:ascii="Times New Roman" w:hAnsi="Times New Roman"/>
          <w:b w:val="0"/>
          <w:color w:val="auto"/>
          <w:sz w:val="24"/>
          <w:szCs w:val="24"/>
        </w:rPr>
        <w:t>m。</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本次设计桥梁共计</w:t>
      </w:r>
      <w:r>
        <w:rPr>
          <w:rFonts w:hint="eastAsia" w:ascii="Times New Roman" w:hAnsi="Times New Roman"/>
          <w:b w:val="0"/>
          <w:color w:val="auto"/>
          <w:sz w:val="24"/>
          <w:szCs w:val="24"/>
        </w:rPr>
        <w:t>2</w:t>
      </w:r>
      <w:r>
        <w:rPr>
          <w:rFonts w:ascii="Times New Roman" w:hAnsi="Times New Roman"/>
          <w:b w:val="0"/>
          <w:color w:val="auto"/>
          <w:sz w:val="24"/>
          <w:szCs w:val="24"/>
        </w:rPr>
        <w:t>座，其中大桥1座，中小桥梁</w:t>
      </w:r>
      <w:r>
        <w:rPr>
          <w:rFonts w:hint="eastAsia" w:ascii="Times New Roman" w:hAnsi="Times New Roman"/>
          <w:b w:val="0"/>
          <w:color w:val="auto"/>
          <w:sz w:val="24"/>
          <w:szCs w:val="24"/>
        </w:rPr>
        <w:t>1</w:t>
      </w:r>
      <w:r>
        <w:rPr>
          <w:rFonts w:ascii="Times New Roman" w:hAnsi="Times New Roman"/>
          <w:b w:val="0"/>
          <w:color w:val="auto"/>
          <w:sz w:val="24"/>
          <w:szCs w:val="24"/>
        </w:rPr>
        <w:t>座；跨越河涌情况如下：跨二十涌大桥1座，位于规划纵三路上；跨连接涌</w:t>
      </w:r>
      <w:r>
        <w:rPr>
          <w:rFonts w:hint="eastAsia" w:ascii="Times New Roman" w:hAnsi="Times New Roman"/>
          <w:b w:val="0"/>
          <w:color w:val="auto"/>
          <w:sz w:val="24"/>
          <w:szCs w:val="24"/>
        </w:rPr>
        <w:t>1</w:t>
      </w:r>
      <w:r>
        <w:rPr>
          <w:rFonts w:ascii="Times New Roman" w:hAnsi="Times New Roman"/>
          <w:b w:val="0"/>
          <w:color w:val="auto"/>
          <w:sz w:val="24"/>
          <w:szCs w:val="24"/>
        </w:rPr>
        <w:t>座，位于二十涌北路上。</w:t>
      </w:r>
    </w:p>
    <w:p>
      <w:pPr>
        <w:pStyle w:val="4"/>
        <w:ind w:firstLine="482" w:firstLineChars="200"/>
      </w:pPr>
      <w:bookmarkStart w:id="165" w:name="_Toc1684"/>
      <w:bookmarkStart w:id="166" w:name="_Toc129887086"/>
      <w:r>
        <w:t>设计原则</w:t>
      </w:r>
      <w:bookmarkEnd w:id="165"/>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(1)桥梁设计应满足“安全、舒适、经济、美观、便于施工及养护”的总原则。</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(2)桥型选择应与周围环境相协调，求融合胜于求新颖。</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(3)桥梁设计考虑路桥配合，原则上桥梁服从路线，与路线线形一致。</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(4)桥涵总体设置原则尽量不破坏原有水系和排灌网络，满足水利配套等需求。</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(5)考虑区内水文特点及水利设施状况，桥涵布设以不压缩河、渠断面，不降低排洪、排灌能力，尽量少占农田为原则。</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(6)合理选择桥位，确保方案比选深度，以控制工程规模，不遗漏可行方案。</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(7)桥梁结构型式选择充分考虑桥位特点、地质水文条件、当地材料来源、施工方法及使用功能等因素，遵循技术可行、经济合理、因地制宜、就地取材、便于施工养护的原则，同时结合南沙综合体区域高标准景观化要求，提出适合的桥梁结构形式。</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(8)桥梁在满足实体质量、功能质量前提下，同时重视外观质量和社会质量，为沿线居民出行提供方便，突出线外景观设计。</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(9)桥型选择注意造型美观，与周围景观相协调，充分考虑结构的耐久性和可维护性，以减少后期养护难度及养护费用。尽量选择刚度大，安全度高的结构形式。</w:t>
      </w:r>
    </w:p>
    <w:p>
      <w:pPr>
        <w:pStyle w:val="4"/>
        <w:ind w:firstLine="482" w:firstLineChars="200"/>
      </w:pPr>
      <w:bookmarkStart w:id="167" w:name="_Toc29724"/>
      <w:r>
        <w:t>跨二十涌大桥</w:t>
      </w:r>
      <w:bookmarkEnd w:id="167"/>
    </w:p>
    <w:p>
      <w:pPr>
        <w:pStyle w:val="5"/>
        <w:ind w:firstLine="482" w:firstLineChars="200"/>
        <w:rPr>
          <w:rFonts w:ascii="Times New Roman" w:hAnsi="Times New Roman"/>
        </w:rPr>
      </w:pPr>
      <w:r>
        <w:rPr>
          <w:rFonts w:ascii="Times New Roman" w:hAnsi="Times New Roman"/>
        </w:rPr>
        <w:t>技术标准</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（1）道路等级：城市次干路；</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（2）设计荷载：汽车荷载：城—A；人群荷载：4.0kN/m2；</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（3）设计速度：40km/h；</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（4）结构设计安全等级：一级；</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（5）结构设计基准期：100年；</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（6）通航净空：Ⅷ级航道，净空3.0m；最高通航水位：5.966m；</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（7）抗震设防标准：设计基本地震峰值加速度为0.1g，抗震设防烈度为7度，设防类别为甲类；</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（8）洪水频率：一百年一遇，管控水位为</w:t>
      </w:r>
      <w:r>
        <w:rPr>
          <w:rFonts w:hint="eastAsia" w:ascii="Times New Roman" w:hAnsi="Times New Roman"/>
          <w:b w:val="0"/>
          <w:color w:val="auto"/>
          <w:sz w:val="24"/>
          <w:szCs w:val="24"/>
        </w:rPr>
        <w:t>6</w:t>
      </w:r>
      <w:r>
        <w:rPr>
          <w:rFonts w:ascii="Times New Roman" w:hAnsi="Times New Roman"/>
          <w:b w:val="0"/>
          <w:color w:val="auto"/>
          <w:sz w:val="24"/>
          <w:szCs w:val="24"/>
        </w:rPr>
        <w:t>.3m；</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（9）环境类别：Ⅲ类；</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（10）坐标系统：广州城建2000坐标；高程系统：广州城建高程系统。</w:t>
      </w:r>
    </w:p>
    <w:p>
      <w:pPr>
        <w:pStyle w:val="5"/>
        <w:ind w:firstLine="482" w:firstLineChars="200"/>
        <w:rPr>
          <w:rFonts w:ascii="Times New Roman" w:hAnsi="Times New Roman"/>
        </w:rPr>
      </w:pPr>
      <w:r>
        <w:rPr>
          <w:rFonts w:ascii="Times New Roman" w:hAnsi="Times New Roman"/>
        </w:rPr>
        <w:t>桥梁方案比选</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根据跨径布置，跨河道桥可选用结构主要有现浇箱梁、预制小箱梁、T型梁几种结构形式。T型梁具有纵向马蹄及多道横隔板，从使用功能及造型美观上，T型梁均较差。因此本次设计不考虑T型梁，仅对预制小箱梁与现浇箱梁对比，优缺点如下：</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（1）预制小箱梁</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优点：经济指标较低，结构刚度较大，抗扭性能较好，跨径较大（常用20m～40m），梁高适中，预制小箱梁结构简单，设计经验成熟，经济指标较低，结构刚度较大，抗扭性能较好，对于变宽段适应性相对较好；采用预制架设的施工方法能有效减小对交通的影响；便于机械施工，有效控制工期，确保工程快速的完成。</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缺点：小箱梁结构除自身美观不足外，下部结构也受上部制约。墩顶盖梁、跨中横梁的布设，使桥下梁体略显杂乱。多道现浇湿接缝，与预制梁体存在色差。</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（2）现浇箱梁</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优点：混凝土箱梁整体性能好，抗扭刚度大，能适应各种平面线型和桥宽的变化，跨越能力较大。箱梁轮廓简洁、轻盈，线条流畅，行车平稳，结构耐久性好，景观效果好，都市城区较常采用桥型。</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缺点：施工技术要求高，现场浇筑圬工体量增大，工期较预制小箱梁结构要长，需合理编制施工计划及工程作业面划分。当采用有支架施工时，对环境交通有一定的影响</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上部结构综合比选见下表：</w:t>
      </w:r>
    </w:p>
    <w:p>
      <w:pPr>
        <w:spacing w:line="300" w:lineRule="auto"/>
        <w:ind w:firstLine="480" w:firstLineChars="200"/>
        <w:jc w:val="center"/>
        <w:rPr>
          <w:rFonts w:ascii="Times New Roman" w:hAnsi="Times New Roman"/>
          <w:b w:val="0"/>
          <w:color w:val="auto"/>
          <w:sz w:val="24"/>
          <w:szCs w:val="24"/>
        </w:rPr>
      </w:pPr>
      <w:r>
        <w:rPr>
          <w:rFonts w:ascii="Times New Roman" w:hAnsi="Times New Roman"/>
          <w:b w:val="0"/>
          <w:color w:val="auto"/>
          <w:sz w:val="24"/>
          <w:szCs w:val="24"/>
        </w:rPr>
        <w:t>方案比选表</w:t>
      </w:r>
    </w:p>
    <w:tbl>
      <w:tblPr>
        <w:tblStyle w:val="32"/>
        <w:tblW w:w="102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47"/>
        <w:gridCol w:w="3827"/>
        <w:gridCol w:w="38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景观效果</w:t>
            </w:r>
          </w:p>
        </w:tc>
        <w:tc>
          <w:tcPr>
            <w:tcW w:w="3827" w:type="dxa"/>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一般</w:t>
            </w:r>
          </w:p>
        </w:tc>
        <w:tc>
          <w:tcPr>
            <w:tcW w:w="3827" w:type="dxa"/>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线形简洁流畅、美观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行车舒适性</w:t>
            </w:r>
          </w:p>
        </w:tc>
        <w:tc>
          <w:tcPr>
            <w:tcW w:w="3827" w:type="dxa"/>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较好</w:t>
            </w:r>
          </w:p>
        </w:tc>
        <w:tc>
          <w:tcPr>
            <w:tcW w:w="3827" w:type="dxa"/>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养护维修</w:t>
            </w:r>
          </w:p>
        </w:tc>
        <w:tc>
          <w:tcPr>
            <w:tcW w:w="3827" w:type="dxa"/>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养护维修费用少</w:t>
            </w:r>
          </w:p>
        </w:tc>
        <w:tc>
          <w:tcPr>
            <w:tcW w:w="3827" w:type="dxa"/>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养护维修费用少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Align w:val="center"/>
          </w:tcPr>
          <w:p>
            <w:pPr>
              <w:spacing w:line="300" w:lineRule="auto"/>
              <w:ind w:firstLine="480" w:firstLineChars="200"/>
              <w:jc w:val="center"/>
              <w:rPr>
                <w:rFonts w:ascii="Times New Roman" w:hAnsi="Times New Roman"/>
                <w:b w:val="0"/>
                <w:color w:val="auto"/>
                <w:sz w:val="24"/>
                <w:szCs w:val="24"/>
              </w:rPr>
            </w:pPr>
            <w:r>
              <w:rPr>
                <w:rFonts w:ascii="Times New Roman" w:hAnsi="Times New Roman"/>
                <w:b w:val="0"/>
                <w:color w:val="auto"/>
                <w:sz w:val="24"/>
                <w:szCs w:val="24"/>
              </w:rPr>
              <w:t>施工方法</w:t>
            </w:r>
          </w:p>
          <w:p>
            <w:pPr>
              <w:spacing w:line="300" w:lineRule="auto"/>
              <w:ind w:firstLine="480" w:firstLineChars="200"/>
              <w:jc w:val="center"/>
              <w:rPr>
                <w:rFonts w:ascii="Times New Roman" w:hAnsi="Times New Roman"/>
                <w:b w:val="0"/>
                <w:color w:val="auto"/>
                <w:sz w:val="24"/>
                <w:szCs w:val="24"/>
              </w:rPr>
            </w:pPr>
            <w:r>
              <w:rPr>
                <w:rFonts w:ascii="Times New Roman" w:hAnsi="Times New Roman"/>
                <w:b w:val="0"/>
                <w:color w:val="auto"/>
                <w:sz w:val="24"/>
                <w:szCs w:val="24"/>
              </w:rPr>
              <w:t>施工难度</w:t>
            </w:r>
          </w:p>
        </w:tc>
        <w:tc>
          <w:tcPr>
            <w:tcW w:w="3827" w:type="dxa"/>
            <w:vAlign w:val="center"/>
          </w:tcPr>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预制吊装或采用架桥机架设</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施工简单，施工速度快</w:t>
            </w:r>
          </w:p>
        </w:tc>
        <w:tc>
          <w:tcPr>
            <w:tcW w:w="3827" w:type="dxa"/>
            <w:vAlign w:val="center"/>
          </w:tcPr>
          <w:p>
            <w:pPr>
              <w:spacing w:line="300" w:lineRule="auto"/>
              <w:rPr>
                <w:rFonts w:ascii="Times New Roman" w:hAnsi="Times New Roman"/>
                <w:b w:val="0"/>
                <w:color w:val="auto"/>
                <w:sz w:val="24"/>
                <w:szCs w:val="24"/>
              </w:rPr>
            </w:pPr>
            <w:r>
              <w:rPr>
                <w:rFonts w:ascii="Times New Roman" w:hAnsi="Times New Roman"/>
                <w:b w:val="0"/>
                <w:color w:val="auto"/>
                <w:sz w:val="24"/>
                <w:szCs w:val="24"/>
              </w:rPr>
              <w:t>移动支架或满堂支架进行现场浇注施工工艺较复杂，施工速度一般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施工工期</w:t>
            </w:r>
          </w:p>
        </w:tc>
        <w:tc>
          <w:tcPr>
            <w:tcW w:w="3827" w:type="dxa"/>
            <w:vAlign w:val="center"/>
          </w:tcPr>
          <w:p>
            <w:pPr>
              <w:spacing w:line="300" w:lineRule="auto"/>
              <w:rPr>
                <w:rFonts w:ascii="Times New Roman" w:hAnsi="Times New Roman"/>
                <w:b w:val="0"/>
                <w:color w:val="auto"/>
                <w:sz w:val="24"/>
                <w:szCs w:val="24"/>
              </w:rPr>
            </w:pPr>
            <w:r>
              <w:rPr>
                <w:rFonts w:ascii="Times New Roman" w:hAnsi="Times New Roman"/>
                <w:b w:val="0"/>
                <w:color w:val="auto"/>
                <w:sz w:val="24"/>
                <w:szCs w:val="24"/>
              </w:rPr>
              <w:t>上下部结构可同时施工工期较短</w:t>
            </w:r>
          </w:p>
        </w:tc>
        <w:tc>
          <w:tcPr>
            <w:tcW w:w="3827" w:type="dxa"/>
            <w:vAlign w:val="center"/>
          </w:tcPr>
          <w:p>
            <w:pPr>
              <w:spacing w:line="300" w:lineRule="auto"/>
              <w:rPr>
                <w:rFonts w:ascii="Times New Roman" w:hAnsi="Times New Roman"/>
                <w:b w:val="0"/>
                <w:color w:val="auto"/>
                <w:sz w:val="24"/>
                <w:szCs w:val="24"/>
              </w:rPr>
            </w:pPr>
            <w:r>
              <w:rPr>
                <w:rFonts w:ascii="Times New Roman" w:hAnsi="Times New Roman"/>
                <w:b w:val="0"/>
                <w:color w:val="auto"/>
                <w:sz w:val="24"/>
                <w:szCs w:val="24"/>
              </w:rPr>
              <w:t>上部结构需待下部结构完成后才可施工，但可多作业面展开，能满足工期要求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结构性能及耐久性</w:t>
            </w:r>
          </w:p>
        </w:tc>
        <w:tc>
          <w:tcPr>
            <w:tcW w:w="3827" w:type="dxa"/>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较好</w:t>
            </w:r>
          </w:p>
        </w:tc>
        <w:tc>
          <w:tcPr>
            <w:tcW w:w="3827" w:type="dxa"/>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能否满足变宽段需要</w:t>
            </w:r>
          </w:p>
        </w:tc>
        <w:tc>
          <w:tcPr>
            <w:tcW w:w="3827" w:type="dxa"/>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调整小箱梁之间的现浇接缝能满足变宽要求</w:t>
            </w:r>
          </w:p>
        </w:tc>
        <w:tc>
          <w:tcPr>
            <w:tcW w:w="3827" w:type="dxa"/>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极好满足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对现有交通的影响</w:t>
            </w:r>
          </w:p>
        </w:tc>
        <w:tc>
          <w:tcPr>
            <w:tcW w:w="3827" w:type="dxa"/>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小</w:t>
            </w:r>
          </w:p>
        </w:tc>
        <w:tc>
          <w:tcPr>
            <w:tcW w:w="3827" w:type="dxa"/>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较大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工程造价</w:t>
            </w:r>
          </w:p>
        </w:tc>
        <w:tc>
          <w:tcPr>
            <w:tcW w:w="3827" w:type="dxa"/>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较低</w:t>
            </w:r>
          </w:p>
        </w:tc>
        <w:tc>
          <w:tcPr>
            <w:tcW w:w="3827" w:type="dxa"/>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较高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优点</w:t>
            </w:r>
          </w:p>
        </w:tc>
        <w:tc>
          <w:tcPr>
            <w:tcW w:w="3827" w:type="dxa"/>
            <w:vAlign w:val="center"/>
          </w:tcPr>
          <w:p>
            <w:pPr>
              <w:spacing w:line="300" w:lineRule="auto"/>
              <w:rPr>
                <w:rFonts w:ascii="Times New Roman" w:hAnsi="Times New Roman"/>
                <w:b w:val="0"/>
                <w:color w:val="auto"/>
                <w:sz w:val="24"/>
                <w:szCs w:val="24"/>
              </w:rPr>
            </w:pPr>
            <w:r>
              <w:rPr>
                <w:rFonts w:ascii="Times New Roman" w:hAnsi="Times New Roman"/>
                <w:b w:val="0"/>
                <w:color w:val="auto"/>
                <w:sz w:val="24"/>
                <w:szCs w:val="24"/>
              </w:rPr>
              <w:t>上下部可平行作业，缩短施工工期；主梁预制，不用搭设落地支架；预制吊装，对现状交通影响小。经济适用，节省投资。</w:t>
            </w:r>
          </w:p>
        </w:tc>
        <w:tc>
          <w:tcPr>
            <w:tcW w:w="3827" w:type="dxa"/>
            <w:vAlign w:val="center"/>
          </w:tcPr>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外形美观；</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不需要大型运输、起吊设备。</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可适用于各种城市异形桥梁结构。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Align w:val="center"/>
          </w:tcPr>
          <w:p>
            <w:pPr>
              <w:spacing w:line="300" w:lineRule="auto"/>
              <w:jc w:val="center"/>
              <w:rPr>
                <w:rFonts w:ascii="Times New Roman" w:hAnsi="Times New Roman"/>
                <w:b w:val="0"/>
                <w:color w:val="auto"/>
                <w:sz w:val="24"/>
                <w:szCs w:val="24"/>
              </w:rPr>
            </w:pPr>
            <w:r>
              <w:rPr>
                <w:rFonts w:ascii="Times New Roman" w:hAnsi="Times New Roman"/>
                <w:b w:val="0"/>
                <w:color w:val="auto"/>
                <w:sz w:val="24"/>
                <w:szCs w:val="24"/>
              </w:rPr>
              <w:t>缺点</w:t>
            </w:r>
          </w:p>
        </w:tc>
        <w:tc>
          <w:tcPr>
            <w:tcW w:w="3827" w:type="dxa"/>
            <w:vAlign w:val="center"/>
          </w:tcPr>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外形不如现浇箱梁美观；</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需大型运输、起吊设备。</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不适用于城市异形桥梁结构。</w:t>
            </w:r>
          </w:p>
        </w:tc>
        <w:tc>
          <w:tcPr>
            <w:tcW w:w="3827" w:type="dxa"/>
            <w:vAlign w:val="center"/>
          </w:tcPr>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施工工期较长；</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上部结构现场制作，对现状交通影响大；</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造价较高。</w:t>
            </w:r>
          </w:p>
        </w:tc>
      </w:tr>
    </w:tbl>
    <w:p>
      <w:pPr>
        <w:spacing w:line="300" w:lineRule="auto"/>
        <w:ind w:firstLine="482" w:firstLineChars="200"/>
        <w:rPr>
          <w:rFonts w:ascii="Times New Roman" w:hAnsi="Times New Roman"/>
          <w:bCs/>
          <w:color w:val="auto"/>
          <w:sz w:val="24"/>
          <w:szCs w:val="24"/>
        </w:rPr>
      </w:pPr>
      <w:r>
        <w:rPr>
          <w:rFonts w:ascii="Times New Roman" w:hAnsi="Times New Roman"/>
          <w:bCs/>
          <w:color w:val="auto"/>
          <w:sz w:val="24"/>
          <w:szCs w:val="24"/>
        </w:rPr>
        <w:t>通过上述比选，河涌桥采用工程造价较低、施工简单、施工速度快，景观效果好的简支小箱梁方案。</w:t>
      </w:r>
    </w:p>
    <w:p>
      <w:pPr>
        <w:pStyle w:val="5"/>
        <w:ind w:firstLine="482" w:firstLineChars="200"/>
        <w:rPr>
          <w:rFonts w:ascii="Times New Roman" w:hAnsi="Times New Roman"/>
        </w:rPr>
      </w:pPr>
      <w:r>
        <w:rPr>
          <w:rFonts w:ascii="Times New Roman" w:hAnsi="Times New Roman"/>
        </w:rPr>
        <w:t>桥梁总体设计</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规划纵三路道路等级为城市次干路，跨越二十涌，规划二十涌为南沙综合体景观核心内河涌，二十涌规划河底宽度为87m，规划水面线宽度为120m，两侧布置有5m宽人行步道，设计上河口宽度约164m，边坡比率1:8。</w:t>
      </w:r>
    </w:p>
    <w:p>
      <w:pPr>
        <w:spacing w:before="19" w:line="220" w:lineRule="auto"/>
        <w:ind w:firstLine="562" w:firstLineChars="200"/>
        <w:jc w:val="center"/>
        <w:rPr>
          <w:rFonts w:ascii="Times New Roman" w:hAnsi="Times New Roman"/>
          <w:spacing w:val="-1"/>
          <w:sz w:val="24"/>
          <w:szCs w:val="24"/>
          <w14:textOutline w14:w="3048" w14:cap="flat" w14:cmpd="sng" w14:algn="ctr">
            <w14:solidFill>
              <w14:srgbClr w14:val="000000"/>
            </w14:solidFill>
            <w14:prstDash w14:val="solid"/>
            <w14:miter w14:val="0"/>
          </w14:textOutline>
        </w:rPr>
      </w:pPr>
      <w:r>
        <w:rPr>
          <w:rFonts w:ascii="Times New Roman" w:hAnsi="Times New Roman"/>
        </w:rPr>
        <w:drawing>
          <wp:inline distT="0" distB="0" distL="114300" distR="114300">
            <wp:extent cx="6507480" cy="2098675"/>
            <wp:effectExtent l="0" t="0" r="7620" b="15875"/>
            <wp:docPr id="419"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图片 65"/>
                    <pic:cNvPicPr>
                      <a:picLocks noChangeAspect="1"/>
                    </pic:cNvPicPr>
                  </pic:nvPicPr>
                  <pic:blipFill>
                    <a:blip r:embed="rId140"/>
                    <a:stretch>
                      <a:fillRect/>
                    </a:stretch>
                  </pic:blipFill>
                  <pic:spPr>
                    <a:xfrm>
                      <a:off x="0" y="0"/>
                      <a:ext cx="6507480" cy="2098675"/>
                    </a:xfrm>
                    <a:prstGeom prst="rect">
                      <a:avLst/>
                    </a:prstGeom>
                    <a:noFill/>
                    <a:ln>
                      <a:noFill/>
                    </a:ln>
                  </pic:spPr>
                </pic:pic>
              </a:graphicData>
            </a:graphic>
          </wp:inline>
        </w:drawing>
      </w:r>
      <w:r>
        <w:rPr>
          <w:rFonts w:ascii="Times New Roman" w:hAnsi="Times New Roman"/>
        </w:rPr>
        <w:t>】</w:t>
      </w:r>
      <w:r>
        <w:rPr>
          <w:rFonts w:ascii="Times New Roman" w:hAnsi="Times New Roman"/>
          <w:spacing w:val="-1"/>
          <w:sz w:val="24"/>
          <w:szCs w:val="24"/>
          <w14:textOutline w14:w="3048" w14:cap="flat" w14:cmpd="sng" w14:algn="ctr">
            <w14:solidFill>
              <w14:srgbClr w14:val="000000"/>
            </w14:solidFill>
            <w14:prstDash w14:val="solid"/>
            <w14:miter w14:val="0"/>
          </w14:textOutline>
        </w:rPr>
        <w:t>二十涌规划断面</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考虑到此处城市景观性较高，且暂不考虑河道区域内布设桥墩的情况下，现提出如下桥型方案。</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小箱梁桥：</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二十涌大桥与道路正交布置；桥梁标准段全宽41m，断面布置为3.5m（人行道）+1.5m（侧分带）+14.75m（车行道）+1.5m（中分带）+14.75m（车行道）+1.5m（侧分带）+3.5m（人行道）=41m。</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该方案桥梁跨径组合为5x30，桥梁全长150m，桥梁全宽41m，采用预制预应力小箱梁结构，梁高1.6m。全桥共计70片梁，其中边梁10片，中梁60片，边梁宽2.85m，中梁宽2.4m。桥台采用轻型桥台，采用群桩基础，桩径为1.2m。桥墩采用桩柱式，圆柱墩直径为1.4m，桩径为1.6m。</w:t>
      </w:r>
    </w:p>
    <w:p>
      <w:pPr>
        <w:spacing w:before="19" w:line="220" w:lineRule="auto"/>
        <w:ind w:firstLine="562" w:firstLineChars="200"/>
        <w:rPr>
          <w:rFonts w:ascii="Times New Roman" w:hAnsi="Times New Roman"/>
          <w:spacing w:val="-1"/>
          <w:sz w:val="24"/>
          <w:szCs w:val="24"/>
          <w14:textOutline w14:w="3048" w14:cap="flat" w14:cmpd="sng" w14:algn="ctr">
            <w14:solidFill>
              <w14:srgbClr w14:val="000000"/>
            </w14:solidFill>
            <w14:prstDash w14:val="solid"/>
            <w14:miter w14:val="0"/>
          </w14:textOutline>
        </w:rPr>
      </w:pPr>
      <w:r>
        <w:rPr>
          <w:rFonts w:ascii="Times New Roman" w:hAnsi="Times New Roman"/>
        </w:rPr>
        <w:drawing>
          <wp:inline distT="0" distB="0" distL="0" distR="0">
            <wp:extent cx="7185025" cy="2387600"/>
            <wp:effectExtent l="0" t="0" r="15875" b="1270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141"/>
                    <a:stretch>
                      <a:fillRect/>
                    </a:stretch>
                  </pic:blipFill>
                  <pic:spPr>
                    <a:xfrm>
                      <a:off x="0" y="0"/>
                      <a:ext cx="7198728" cy="2392091"/>
                    </a:xfrm>
                    <a:prstGeom prst="rect">
                      <a:avLst/>
                    </a:prstGeom>
                  </pic:spPr>
                </pic:pic>
              </a:graphicData>
            </a:graphic>
          </wp:inline>
        </w:drawing>
      </w:r>
    </w:p>
    <w:p>
      <w:pPr>
        <w:spacing w:before="19" w:line="220" w:lineRule="auto"/>
        <w:ind w:firstLine="478" w:firstLineChars="200"/>
        <w:jc w:val="center"/>
        <w:rPr>
          <w:rFonts w:ascii="Times New Roman" w:hAnsi="Times New Roman"/>
          <w:spacing w:val="-1"/>
          <w:sz w:val="24"/>
          <w:szCs w:val="24"/>
          <w14:textOutline w14:w="3048" w14:cap="flat" w14:cmpd="sng" w14:algn="ctr">
            <w14:solidFill>
              <w14:srgbClr w14:val="000000"/>
            </w14:solidFill>
            <w14:prstDash w14:val="solid"/>
            <w14:miter w14:val="0"/>
          </w14:textOutline>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桥型立面布置图</w:t>
      </w:r>
    </w:p>
    <w:p>
      <w:pPr>
        <w:spacing w:before="19" w:line="220" w:lineRule="auto"/>
        <w:ind w:firstLine="562" w:firstLineChars="200"/>
        <w:jc w:val="center"/>
        <w:rPr>
          <w:rFonts w:ascii="Times New Roman" w:hAnsi="Times New Roman"/>
          <w:spacing w:val="-1"/>
          <w:sz w:val="24"/>
          <w:szCs w:val="24"/>
          <w14:textOutline w14:w="3048" w14:cap="flat" w14:cmpd="sng" w14:algn="ctr">
            <w14:solidFill>
              <w14:srgbClr w14:val="000000"/>
            </w14:solidFill>
            <w14:prstDash w14:val="solid"/>
            <w14:miter w14:val="0"/>
          </w14:textOutline>
        </w:rPr>
      </w:pPr>
      <w:r>
        <w:rPr>
          <w:rFonts w:ascii="Times New Roman" w:hAnsi="Times New Roman"/>
        </w:rPr>
        <w:drawing>
          <wp:inline distT="0" distB="0" distL="0" distR="0">
            <wp:extent cx="6819265" cy="3564255"/>
            <wp:effectExtent l="0" t="0" r="635" b="1714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142"/>
                    <a:stretch>
                      <a:fillRect/>
                    </a:stretch>
                  </pic:blipFill>
                  <pic:spPr>
                    <a:xfrm>
                      <a:off x="0" y="0"/>
                      <a:ext cx="6823783" cy="3566539"/>
                    </a:xfrm>
                    <a:prstGeom prst="rect">
                      <a:avLst/>
                    </a:prstGeom>
                  </pic:spPr>
                </pic:pic>
              </a:graphicData>
            </a:graphic>
          </wp:inline>
        </w:drawing>
      </w:r>
    </w:p>
    <w:p>
      <w:pPr>
        <w:spacing w:before="19" w:line="220" w:lineRule="auto"/>
        <w:ind w:firstLine="478" w:firstLineChars="200"/>
        <w:jc w:val="center"/>
        <w:rPr>
          <w:rFonts w:ascii="Times New Roman" w:hAnsi="Times New Roman"/>
          <w:spacing w:val="-1"/>
          <w:sz w:val="24"/>
          <w:szCs w:val="24"/>
          <w14:textOutline w14:w="3048" w14:cap="flat" w14:cmpd="sng" w14:algn="ctr">
            <w14:solidFill>
              <w14:srgbClr w14:val="000000"/>
            </w14:solidFill>
            <w14:prstDash w14:val="solid"/>
            <w14:miter w14:val="0"/>
          </w14:textOutline>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桥台处横断面布置图</w:t>
      </w:r>
    </w:p>
    <w:p>
      <w:pPr>
        <w:spacing w:before="19" w:line="220" w:lineRule="auto"/>
        <w:ind w:firstLine="562" w:firstLineChars="200"/>
        <w:jc w:val="center"/>
        <w:rPr>
          <w:rFonts w:ascii="Times New Roman" w:hAnsi="Times New Roman"/>
          <w:spacing w:val="-1"/>
          <w:sz w:val="24"/>
          <w:szCs w:val="24"/>
          <w14:textOutline w14:w="3048" w14:cap="flat" w14:cmpd="sng" w14:algn="ctr">
            <w14:solidFill>
              <w14:srgbClr w14:val="000000"/>
            </w14:solidFill>
            <w14:prstDash w14:val="solid"/>
            <w14:miter w14:val="0"/>
          </w14:textOutline>
        </w:rPr>
      </w:pPr>
      <w:r>
        <w:rPr>
          <w:rFonts w:ascii="Times New Roman" w:hAnsi="Times New Roman"/>
        </w:rPr>
        <w:drawing>
          <wp:inline distT="0" distB="0" distL="0" distR="0">
            <wp:extent cx="6514465" cy="3437255"/>
            <wp:effectExtent l="0" t="0" r="635" b="1079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143"/>
                    <a:stretch>
                      <a:fillRect/>
                    </a:stretch>
                  </pic:blipFill>
                  <pic:spPr>
                    <a:xfrm>
                      <a:off x="0" y="0"/>
                      <a:ext cx="6514465" cy="3437255"/>
                    </a:xfrm>
                    <a:prstGeom prst="rect">
                      <a:avLst/>
                    </a:prstGeom>
                  </pic:spPr>
                </pic:pic>
              </a:graphicData>
            </a:graphic>
          </wp:inline>
        </w:drawing>
      </w:r>
    </w:p>
    <w:p>
      <w:pPr>
        <w:spacing w:before="19" w:line="220" w:lineRule="auto"/>
        <w:ind w:firstLine="478" w:firstLineChars="200"/>
        <w:jc w:val="center"/>
        <w:rPr>
          <w:rFonts w:ascii="Times New Roman" w:hAnsi="Times New Roman"/>
          <w:spacing w:val="-1"/>
          <w:sz w:val="24"/>
          <w:szCs w:val="24"/>
          <w14:textOutline w14:w="3048" w14:cap="flat" w14:cmpd="sng" w14:algn="ctr">
            <w14:solidFill>
              <w14:srgbClr w14:val="000000"/>
            </w14:solidFill>
            <w14:prstDash w14:val="solid"/>
            <w14:miter w14:val="0"/>
          </w14:textOutline>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桥墩处横断面布置图</w:t>
      </w:r>
    </w:p>
    <w:p>
      <w:pPr>
        <w:pStyle w:val="5"/>
        <w:ind w:firstLine="482" w:firstLineChars="200"/>
        <w:rPr>
          <w:rFonts w:ascii="Times New Roman" w:hAnsi="Times New Roman"/>
        </w:rPr>
      </w:pPr>
      <w:r>
        <w:rPr>
          <w:rFonts w:ascii="Times New Roman" w:hAnsi="Times New Roman"/>
        </w:rPr>
        <w:t>桥梁结构设计方案</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1.上部结构</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上部结构采用预制预应力小箱梁结构，梁高1.6m。全桥共计70片梁，其中边梁10片，中梁60片，边梁宽2.85m，中梁宽2.4m。</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2.下部结构及基础</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桥台采用轻型桥台，采用群桩基础，桩径为1.2m。桥墩采用桩柱式，圆柱墩直径为1.4m，桩径为1.6m。</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3.桥梁抗震设计</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依据《中国地震动参数区划图》（GB18306-2015）及《建筑抗震设计规范》（GB50011-2010）（2016年版）有关规定，本场地抗震设防烈度为7度，设计基本地震加速度值为0.1g，反应谱特征周期为0.45s，设计地震分组为第一组，结构物设计应进行抗震设计。根据《城市桥梁抗震设计规范》（CJJ 166-2011），本桥抗震设防分类为甲类，抗震验算按《城市桥梁抗震设计规范》（CJJ166-2011）第10章相关规定进行。</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4.桥梁耐久性设计及措施</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（1）桥梁耐久性设计</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桥梁混凝土结构的防腐蚀耐久性，应根据结构的不同设计基准期、不同的作用环境类别及其作用等级进行设计。本项目结构基础设施工程的设计基准期为100年。根据《公路工程混凝土结构耐久性设计规范》(JTG/T3310-2019)第4.2.1条，并结合地勘报告，本项目场地环境类别属Ⅲ类，环境作用等级主要为Ⅲ-C。</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根据耐久性规范要求，本桥对不同结构所处的环境类别及作用等级，适当提高混凝土强度等级，</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具体见下表：</w:t>
      </w:r>
    </w:p>
    <w:tbl>
      <w:tblPr>
        <w:tblStyle w:val="379"/>
        <w:tblW w:w="10369" w:type="dxa"/>
        <w:tblInd w:w="9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82"/>
        <w:gridCol w:w="4354"/>
        <w:gridCol w:w="2266"/>
        <w:gridCol w:w="2167"/>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7" w:hRule="atLeast"/>
        </w:trPr>
        <w:tc>
          <w:tcPr>
            <w:tcW w:w="1582" w:type="dxa"/>
          </w:tcPr>
          <w:p>
            <w:pPr>
              <w:pStyle w:val="391"/>
              <w:autoSpaceDE w:val="0"/>
              <w:autoSpaceDN w:val="0"/>
              <w:spacing w:before="138" w:line="220" w:lineRule="auto"/>
              <w:ind w:left="56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桥名</w:t>
            </w:r>
          </w:p>
        </w:tc>
        <w:tc>
          <w:tcPr>
            <w:tcW w:w="4354" w:type="dxa"/>
          </w:tcPr>
          <w:p>
            <w:pPr>
              <w:pStyle w:val="391"/>
              <w:autoSpaceDE w:val="0"/>
              <w:autoSpaceDN w:val="0"/>
              <w:spacing w:before="137" w:line="220" w:lineRule="auto"/>
              <w:ind w:left="170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结构部位</w:t>
            </w:r>
          </w:p>
        </w:tc>
        <w:tc>
          <w:tcPr>
            <w:tcW w:w="2266" w:type="dxa"/>
          </w:tcPr>
          <w:p>
            <w:pPr>
              <w:pStyle w:val="391"/>
              <w:autoSpaceDE w:val="0"/>
              <w:autoSpaceDN w:val="0"/>
              <w:spacing w:before="137" w:line="220" w:lineRule="auto"/>
              <w:ind w:left="41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环境作用等级</w:t>
            </w:r>
          </w:p>
        </w:tc>
        <w:tc>
          <w:tcPr>
            <w:tcW w:w="2167" w:type="dxa"/>
          </w:tcPr>
          <w:p>
            <w:pPr>
              <w:pStyle w:val="391"/>
              <w:autoSpaceDE w:val="0"/>
              <w:autoSpaceDN w:val="0"/>
              <w:spacing w:before="137" w:line="220" w:lineRule="auto"/>
              <w:ind w:left="48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混凝土等级</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582" w:type="dxa"/>
            <w:vMerge w:val="restart"/>
            <w:tcBorders>
              <w:bottom w:val="nil"/>
            </w:tcBorders>
          </w:tcPr>
          <w:p>
            <w:pPr>
              <w:pStyle w:val="391"/>
              <w:autoSpaceDE w:val="0"/>
              <w:autoSpaceDN w:val="0"/>
              <w:spacing w:before="78" w:line="468" w:lineRule="exact"/>
              <w:ind w:left="143" w:firstLine="476"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position w:val="17"/>
                <w:lang w:eastAsia="zh-CN"/>
                <w14:textFill>
                  <w14:solidFill>
                    <w14:schemeClr w14:val="tx1"/>
                  </w14:solidFill>
                </w14:textFill>
              </w:rPr>
              <w:t>规划纵三路-</w:t>
            </w:r>
          </w:p>
          <w:p>
            <w:pPr>
              <w:pStyle w:val="391"/>
              <w:autoSpaceDE w:val="0"/>
              <w:autoSpaceDN w:val="0"/>
              <w:spacing w:line="220" w:lineRule="auto"/>
              <w:ind w:left="206" w:firstLine="468"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3"/>
                <w:lang w:eastAsia="zh-CN"/>
                <w14:textFill>
                  <w14:solidFill>
                    <w14:schemeClr w14:val="tx1"/>
                  </w14:solidFill>
                </w14:textFill>
              </w:rPr>
              <w:t>二十涌大桥</w:t>
            </w:r>
          </w:p>
        </w:tc>
        <w:tc>
          <w:tcPr>
            <w:tcW w:w="4354" w:type="dxa"/>
          </w:tcPr>
          <w:p>
            <w:pPr>
              <w:pStyle w:val="391"/>
              <w:autoSpaceDE w:val="0"/>
              <w:autoSpaceDN w:val="0"/>
              <w:spacing w:before="113" w:line="220" w:lineRule="auto"/>
              <w:ind w:left="170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上部主梁</w:t>
            </w:r>
          </w:p>
        </w:tc>
        <w:tc>
          <w:tcPr>
            <w:tcW w:w="2266" w:type="dxa"/>
          </w:tcPr>
          <w:p>
            <w:pPr>
              <w:pStyle w:val="391"/>
              <w:autoSpaceDE w:val="0"/>
              <w:autoSpaceDN w:val="0"/>
              <w:spacing w:before="114" w:line="235" w:lineRule="auto"/>
              <w:ind w:left="89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Ⅲ-C</w:t>
            </w:r>
          </w:p>
        </w:tc>
        <w:tc>
          <w:tcPr>
            <w:tcW w:w="2167" w:type="dxa"/>
          </w:tcPr>
          <w:p>
            <w:pPr>
              <w:pStyle w:val="391"/>
              <w:autoSpaceDE w:val="0"/>
              <w:autoSpaceDN w:val="0"/>
              <w:spacing w:before="151" w:line="183" w:lineRule="auto"/>
              <w:ind w:left="90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C50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582" w:type="dxa"/>
            <w:vMerge w:val="continue"/>
            <w:tcBorders>
              <w:top w:val="nil"/>
              <w:bottom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4354" w:type="dxa"/>
          </w:tcPr>
          <w:p>
            <w:pPr>
              <w:pStyle w:val="391"/>
              <w:autoSpaceDE w:val="0"/>
              <w:autoSpaceDN w:val="0"/>
              <w:spacing w:before="115" w:line="220" w:lineRule="auto"/>
              <w:ind w:left="505"/>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lang w:eastAsia="zh-CN"/>
                <w14:textFill>
                  <w14:solidFill>
                    <w14:schemeClr w14:val="tx1"/>
                  </w14:solidFill>
                </w14:textFill>
              </w:rPr>
              <w:t>墩柱、台身、支座垫石、调平层</w:t>
            </w:r>
          </w:p>
        </w:tc>
        <w:tc>
          <w:tcPr>
            <w:tcW w:w="2266" w:type="dxa"/>
          </w:tcPr>
          <w:p>
            <w:pPr>
              <w:pStyle w:val="391"/>
              <w:autoSpaceDE w:val="0"/>
              <w:autoSpaceDN w:val="0"/>
              <w:spacing w:before="116" w:line="235" w:lineRule="auto"/>
              <w:ind w:left="89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Ⅲ-C</w:t>
            </w:r>
          </w:p>
        </w:tc>
        <w:tc>
          <w:tcPr>
            <w:tcW w:w="2167" w:type="dxa"/>
          </w:tcPr>
          <w:p>
            <w:pPr>
              <w:pStyle w:val="391"/>
              <w:autoSpaceDE w:val="0"/>
              <w:autoSpaceDN w:val="0"/>
              <w:spacing w:before="154" w:line="183" w:lineRule="auto"/>
              <w:ind w:left="90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C40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582" w:type="dxa"/>
            <w:vMerge w:val="continue"/>
            <w:tcBorders>
              <w:top w:val="nil"/>
              <w:bottom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4354" w:type="dxa"/>
          </w:tcPr>
          <w:p>
            <w:pPr>
              <w:pStyle w:val="391"/>
              <w:autoSpaceDE w:val="0"/>
              <w:autoSpaceDN w:val="0"/>
              <w:spacing w:before="115" w:line="220" w:lineRule="auto"/>
              <w:ind w:left="158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承台、桩基</w:t>
            </w:r>
          </w:p>
        </w:tc>
        <w:tc>
          <w:tcPr>
            <w:tcW w:w="2266" w:type="dxa"/>
          </w:tcPr>
          <w:p>
            <w:pPr>
              <w:pStyle w:val="391"/>
              <w:autoSpaceDE w:val="0"/>
              <w:autoSpaceDN w:val="0"/>
              <w:spacing w:before="116" w:line="235" w:lineRule="auto"/>
              <w:ind w:left="89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Ⅲ-C</w:t>
            </w:r>
          </w:p>
        </w:tc>
        <w:tc>
          <w:tcPr>
            <w:tcW w:w="2167" w:type="dxa"/>
          </w:tcPr>
          <w:p>
            <w:pPr>
              <w:pStyle w:val="391"/>
              <w:autoSpaceDE w:val="0"/>
              <w:autoSpaceDN w:val="0"/>
              <w:spacing w:before="154" w:line="183" w:lineRule="auto"/>
              <w:ind w:left="90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C30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5" w:hRule="atLeast"/>
        </w:trPr>
        <w:tc>
          <w:tcPr>
            <w:tcW w:w="1582"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4354" w:type="dxa"/>
          </w:tcPr>
          <w:p>
            <w:pPr>
              <w:pStyle w:val="391"/>
              <w:autoSpaceDE w:val="0"/>
              <w:autoSpaceDN w:val="0"/>
              <w:spacing w:before="116" w:line="219" w:lineRule="auto"/>
              <w:ind w:left="984"/>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lang w:eastAsia="zh-CN"/>
                <w14:textFill>
                  <w14:solidFill>
                    <w14:schemeClr w14:val="tx1"/>
                  </w14:solidFill>
                </w14:textFill>
              </w:rPr>
              <w:t>搭板、护栏、人行道板</w:t>
            </w:r>
          </w:p>
        </w:tc>
        <w:tc>
          <w:tcPr>
            <w:tcW w:w="2266" w:type="dxa"/>
          </w:tcPr>
          <w:p>
            <w:pPr>
              <w:pStyle w:val="391"/>
              <w:autoSpaceDE w:val="0"/>
              <w:autoSpaceDN w:val="0"/>
              <w:spacing w:before="117" w:line="235" w:lineRule="auto"/>
              <w:ind w:left="89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Ⅲ-C</w:t>
            </w:r>
          </w:p>
        </w:tc>
        <w:tc>
          <w:tcPr>
            <w:tcW w:w="2167" w:type="dxa"/>
          </w:tcPr>
          <w:p>
            <w:pPr>
              <w:pStyle w:val="391"/>
              <w:autoSpaceDE w:val="0"/>
              <w:autoSpaceDN w:val="0"/>
              <w:spacing w:before="154" w:line="183" w:lineRule="auto"/>
              <w:ind w:left="90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C30</w:t>
            </w:r>
          </w:p>
        </w:tc>
      </w:tr>
    </w:tbl>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（2）桥梁耐久性构造措施</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普通钢筋混凝土构件裂缝宽度限值见上表。</w:t>
      </w:r>
    </w:p>
    <w:p>
      <w:pPr>
        <w:spacing w:before="114" w:line="220" w:lineRule="auto"/>
        <w:ind w:left="431" w:firstLine="464" w:firstLineChars="200"/>
        <w:rPr>
          <w:rFonts w:ascii="Times New Roman" w:hAnsi="Times New Roman"/>
          <w:b w:val="0"/>
          <w:bCs/>
          <w:color w:val="000000" w:themeColor="text1"/>
          <w:sz w:val="24"/>
          <w:szCs w:val="24"/>
          <w14:textFill>
            <w14:solidFill>
              <w14:schemeClr w14:val="tx1"/>
            </w14:solidFill>
          </w14:textFill>
        </w:rPr>
      </w:pPr>
      <w:r>
        <w:rPr>
          <w:rFonts w:ascii="Times New Roman" w:hAnsi="Times New Roman"/>
          <w:b w:val="0"/>
          <w:bCs/>
          <w:color w:val="000000" w:themeColor="text1"/>
          <w:spacing w:val="-4"/>
          <w:sz w:val="24"/>
          <w:szCs w:val="24"/>
          <w14:textFill>
            <w14:solidFill>
              <w14:schemeClr w14:val="tx1"/>
            </w14:solidFill>
          </w14:textFill>
        </w:rPr>
        <w:t>混凝土保护层最小厚度应符合下表要求：</w:t>
      </w:r>
    </w:p>
    <w:tbl>
      <w:tblPr>
        <w:tblStyle w:val="379"/>
        <w:tblW w:w="10368" w:type="dxa"/>
        <w:tblInd w:w="9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3"/>
        <w:gridCol w:w="2611"/>
        <w:gridCol w:w="1999"/>
        <w:gridCol w:w="1637"/>
        <w:gridCol w:w="2988"/>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7" w:hRule="atLeast"/>
        </w:trPr>
        <w:tc>
          <w:tcPr>
            <w:tcW w:w="3744" w:type="dxa"/>
            <w:gridSpan w:val="2"/>
          </w:tcPr>
          <w:p>
            <w:pPr>
              <w:pStyle w:val="391"/>
              <w:autoSpaceDE w:val="0"/>
              <w:autoSpaceDN w:val="0"/>
              <w:spacing w:before="137" w:line="220" w:lineRule="auto"/>
              <w:ind w:left="140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结构部位</w:t>
            </w:r>
          </w:p>
        </w:tc>
        <w:tc>
          <w:tcPr>
            <w:tcW w:w="1999" w:type="dxa"/>
          </w:tcPr>
          <w:p>
            <w:pPr>
              <w:pStyle w:val="391"/>
              <w:autoSpaceDE w:val="0"/>
              <w:autoSpaceDN w:val="0"/>
              <w:spacing w:before="137" w:line="220" w:lineRule="auto"/>
              <w:ind w:left="28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环境作用等级</w:t>
            </w:r>
          </w:p>
        </w:tc>
        <w:tc>
          <w:tcPr>
            <w:tcW w:w="1637" w:type="dxa"/>
          </w:tcPr>
          <w:p>
            <w:pPr>
              <w:pStyle w:val="391"/>
              <w:autoSpaceDE w:val="0"/>
              <w:autoSpaceDN w:val="0"/>
              <w:spacing w:before="137" w:line="220" w:lineRule="auto"/>
              <w:ind w:left="22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混凝土等级</w:t>
            </w:r>
          </w:p>
        </w:tc>
        <w:tc>
          <w:tcPr>
            <w:tcW w:w="2988" w:type="dxa"/>
          </w:tcPr>
          <w:p>
            <w:pPr>
              <w:pStyle w:val="391"/>
              <w:autoSpaceDE w:val="0"/>
              <w:autoSpaceDN w:val="0"/>
              <w:spacing w:before="137" w:line="220" w:lineRule="auto"/>
              <w:ind w:left="298"/>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3"/>
                <w:lang w:eastAsia="zh-CN"/>
                <w14:textFill>
                  <w14:solidFill>
                    <w14:schemeClr w14:val="tx1"/>
                  </w14:solidFill>
                </w14:textFill>
              </w:rPr>
              <w:t>最小保护层厚度（mm）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133" w:type="dxa"/>
          </w:tcPr>
          <w:p>
            <w:pPr>
              <w:pStyle w:val="391"/>
              <w:autoSpaceDE w:val="0"/>
              <w:autoSpaceDN w:val="0"/>
              <w:spacing w:before="113" w:line="220" w:lineRule="auto"/>
              <w:ind w:left="33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上部</w:t>
            </w:r>
          </w:p>
        </w:tc>
        <w:tc>
          <w:tcPr>
            <w:tcW w:w="2611" w:type="dxa"/>
          </w:tcPr>
          <w:p>
            <w:pPr>
              <w:pStyle w:val="391"/>
              <w:autoSpaceDE w:val="0"/>
              <w:autoSpaceDN w:val="0"/>
              <w:spacing w:before="113" w:line="220" w:lineRule="auto"/>
              <w:ind w:left="107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主梁</w:t>
            </w:r>
          </w:p>
        </w:tc>
        <w:tc>
          <w:tcPr>
            <w:tcW w:w="1999" w:type="dxa"/>
          </w:tcPr>
          <w:p>
            <w:pPr>
              <w:pStyle w:val="391"/>
              <w:autoSpaceDE w:val="0"/>
              <w:autoSpaceDN w:val="0"/>
              <w:spacing w:before="114" w:line="235" w:lineRule="auto"/>
              <w:ind w:left="76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Ⅲ-C</w:t>
            </w:r>
          </w:p>
        </w:tc>
        <w:tc>
          <w:tcPr>
            <w:tcW w:w="1637" w:type="dxa"/>
          </w:tcPr>
          <w:p>
            <w:pPr>
              <w:pStyle w:val="391"/>
              <w:autoSpaceDE w:val="0"/>
              <w:autoSpaceDN w:val="0"/>
              <w:spacing w:before="151" w:line="183" w:lineRule="auto"/>
              <w:ind w:left="64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C50</w:t>
            </w:r>
          </w:p>
        </w:tc>
        <w:tc>
          <w:tcPr>
            <w:tcW w:w="2988" w:type="dxa"/>
          </w:tcPr>
          <w:p>
            <w:pPr>
              <w:pStyle w:val="391"/>
              <w:autoSpaceDE w:val="0"/>
              <w:autoSpaceDN w:val="0"/>
              <w:spacing w:before="151" w:line="183" w:lineRule="auto"/>
              <w:ind w:left="138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35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trPr>
        <w:tc>
          <w:tcPr>
            <w:tcW w:w="1133" w:type="dxa"/>
          </w:tcPr>
          <w:p>
            <w:pPr>
              <w:pStyle w:val="391"/>
              <w:autoSpaceDE w:val="0"/>
              <w:autoSpaceDN w:val="0"/>
              <w:spacing w:before="117" w:line="220" w:lineRule="auto"/>
              <w:ind w:left="34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5"/>
                <w14:textFill>
                  <w14:solidFill>
                    <w14:schemeClr w14:val="tx1"/>
                  </w14:solidFill>
                </w14:textFill>
              </w:rPr>
              <w:t>下部</w:t>
            </w:r>
          </w:p>
        </w:tc>
        <w:tc>
          <w:tcPr>
            <w:tcW w:w="2611" w:type="dxa"/>
          </w:tcPr>
          <w:p>
            <w:pPr>
              <w:pStyle w:val="391"/>
              <w:autoSpaceDE w:val="0"/>
              <w:autoSpaceDN w:val="0"/>
              <w:spacing w:before="117" w:line="220" w:lineRule="auto"/>
              <w:ind w:left="23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桥墩、台身、耳背墙</w:t>
            </w:r>
          </w:p>
        </w:tc>
        <w:tc>
          <w:tcPr>
            <w:tcW w:w="1999" w:type="dxa"/>
          </w:tcPr>
          <w:p>
            <w:pPr>
              <w:pStyle w:val="391"/>
              <w:autoSpaceDE w:val="0"/>
              <w:autoSpaceDN w:val="0"/>
              <w:spacing w:before="118" w:line="235" w:lineRule="auto"/>
              <w:ind w:left="76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Ⅲ-C</w:t>
            </w:r>
          </w:p>
        </w:tc>
        <w:tc>
          <w:tcPr>
            <w:tcW w:w="1637" w:type="dxa"/>
          </w:tcPr>
          <w:p>
            <w:pPr>
              <w:pStyle w:val="391"/>
              <w:autoSpaceDE w:val="0"/>
              <w:autoSpaceDN w:val="0"/>
              <w:spacing w:before="155" w:line="183" w:lineRule="auto"/>
              <w:ind w:left="64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C40</w:t>
            </w:r>
          </w:p>
        </w:tc>
        <w:tc>
          <w:tcPr>
            <w:tcW w:w="2988" w:type="dxa"/>
          </w:tcPr>
          <w:p>
            <w:pPr>
              <w:pStyle w:val="391"/>
              <w:autoSpaceDE w:val="0"/>
              <w:autoSpaceDN w:val="0"/>
              <w:spacing w:before="155" w:line="183" w:lineRule="auto"/>
              <w:ind w:left="137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45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33" w:type="dxa"/>
            <w:vMerge w:val="restart"/>
            <w:tcBorders>
              <w:bottom w:val="nil"/>
            </w:tcBorders>
          </w:tcPr>
          <w:p>
            <w:pPr>
              <w:pStyle w:val="391"/>
              <w:autoSpaceDE w:val="0"/>
              <w:autoSpaceDN w:val="0"/>
              <w:spacing w:before="78" w:line="225" w:lineRule="auto"/>
              <w:ind w:left="33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基础</w:t>
            </w:r>
          </w:p>
        </w:tc>
        <w:tc>
          <w:tcPr>
            <w:tcW w:w="2611" w:type="dxa"/>
          </w:tcPr>
          <w:p>
            <w:pPr>
              <w:pStyle w:val="391"/>
              <w:autoSpaceDE w:val="0"/>
              <w:autoSpaceDN w:val="0"/>
              <w:spacing w:before="116" w:line="220" w:lineRule="auto"/>
              <w:ind w:left="107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承台</w:t>
            </w:r>
          </w:p>
        </w:tc>
        <w:tc>
          <w:tcPr>
            <w:tcW w:w="1999" w:type="dxa"/>
          </w:tcPr>
          <w:p>
            <w:pPr>
              <w:pStyle w:val="391"/>
              <w:autoSpaceDE w:val="0"/>
              <w:autoSpaceDN w:val="0"/>
              <w:spacing w:before="117" w:line="235" w:lineRule="auto"/>
              <w:ind w:left="76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Ⅲ-C</w:t>
            </w:r>
          </w:p>
        </w:tc>
        <w:tc>
          <w:tcPr>
            <w:tcW w:w="1637" w:type="dxa"/>
          </w:tcPr>
          <w:p>
            <w:pPr>
              <w:pStyle w:val="391"/>
              <w:autoSpaceDE w:val="0"/>
              <w:autoSpaceDN w:val="0"/>
              <w:spacing w:before="154" w:line="183" w:lineRule="auto"/>
              <w:ind w:left="64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C30</w:t>
            </w:r>
          </w:p>
        </w:tc>
        <w:tc>
          <w:tcPr>
            <w:tcW w:w="2988" w:type="dxa"/>
          </w:tcPr>
          <w:p>
            <w:pPr>
              <w:pStyle w:val="391"/>
              <w:autoSpaceDE w:val="0"/>
              <w:autoSpaceDN w:val="0"/>
              <w:spacing w:before="154" w:line="183" w:lineRule="auto"/>
              <w:ind w:left="137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65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7" w:hRule="atLeast"/>
        </w:trPr>
        <w:tc>
          <w:tcPr>
            <w:tcW w:w="1133"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2611" w:type="dxa"/>
          </w:tcPr>
          <w:p>
            <w:pPr>
              <w:pStyle w:val="391"/>
              <w:autoSpaceDE w:val="0"/>
              <w:autoSpaceDN w:val="0"/>
              <w:spacing w:before="117" w:line="220" w:lineRule="auto"/>
              <w:ind w:left="107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桩基</w:t>
            </w:r>
          </w:p>
        </w:tc>
        <w:tc>
          <w:tcPr>
            <w:tcW w:w="1999" w:type="dxa"/>
          </w:tcPr>
          <w:p>
            <w:pPr>
              <w:pStyle w:val="391"/>
              <w:autoSpaceDE w:val="0"/>
              <w:autoSpaceDN w:val="0"/>
              <w:spacing w:before="118" w:line="235" w:lineRule="auto"/>
              <w:ind w:left="76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Ⅲ-C</w:t>
            </w:r>
          </w:p>
        </w:tc>
        <w:tc>
          <w:tcPr>
            <w:tcW w:w="1637" w:type="dxa"/>
          </w:tcPr>
          <w:p>
            <w:pPr>
              <w:pStyle w:val="391"/>
              <w:autoSpaceDE w:val="0"/>
              <w:autoSpaceDN w:val="0"/>
              <w:spacing w:before="156" w:line="183" w:lineRule="auto"/>
              <w:ind w:left="64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C30</w:t>
            </w:r>
          </w:p>
        </w:tc>
        <w:tc>
          <w:tcPr>
            <w:tcW w:w="2988" w:type="dxa"/>
          </w:tcPr>
          <w:p>
            <w:pPr>
              <w:pStyle w:val="391"/>
              <w:autoSpaceDE w:val="0"/>
              <w:autoSpaceDN w:val="0"/>
              <w:spacing w:before="156" w:line="183" w:lineRule="auto"/>
              <w:ind w:left="137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65</w:t>
            </w:r>
          </w:p>
        </w:tc>
      </w:tr>
    </w:tbl>
    <w:p>
      <w:pPr>
        <w:spacing w:line="300" w:lineRule="auto"/>
        <w:ind w:firstLine="480" w:firstLineChars="200"/>
        <w:rPr>
          <w:rFonts w:ascii="Times New Roman" w:hAnsi="Times New Roman"/>
          <w:b w:val="0"/>
          <w:bCs/>
          <w:color w:val="000000" w:themeColor="text1"/>
          <w:sz w:val="24"/>
          <w:szCs w:val="24"/>
          <w14:textFill>
            <w14:solidFill>
              <w14:schemeClr w14:val="tx1"/>
            </w14:solidFill>
          </w14:textFill>
        </w:rPr>
      </w:pPr>
      <w:r>
        <w:rPr>
          <w:rFonts w:ascii="Times New Roman" w:hAnsi="Times New Roman"/>
          <w:b w:val="0"/>
          <w:bCs/>
          <w:color w:val="000000" w:themeColor="text1"/>
          <w:sz w:val="24"/>
          <w:szCs w:val="24"/>
          <w14:textFill>
            <w14:solidFill>
              <w14:schemeClr w14:val="tx1"/>
            </w14:solidFill>
          </w14:textFill>
        </w:rPr>
        <w:t>表注：</w:t>
      </w:r>
    </w:p>
    <w:p>
      <w:pPr>
        <w:spacing w:line="300" w:lineRule="auto"/>
        <w:ind w:firstLine="480" w:firstLineChars="200"/>
        <w:rPr>
          <w:rFonts w:ascii="Times New Roman" w:hAnsi="Times New Roman"/>
          <w:b w:val="0"/>
          <w:bCs/>
          <w:color w:val="000000" w:themeColor="text1"/>
          <w:sz w:val="24"/>
          <w:szCs w:val="24"/>
          <w14:textFill>
            <w14:solidFill>
              <w14:schemeClr w14:val="tx1"/>
            </w14:solidFill>
          </w14:textFill>
        </w:rPr>
      </w:pPr>
      <w:r>
        <w:rPr>
          <w:rFonts w:ascii="Times New Roman" w:hAnsi="Times New Roman"/>
          <w:b w:val="0"/>
          <w:bCs/>
          <w:color w:val="000000" w:themeColor="text1"/>
          <w:sz w:val="24"/>
          <w:szCs w:val="24"/>
          <w14:textFill>
            <w14:solidFill>
              <w14:schemeClr w14:val="tx1"/>
            </w14:solidFill>
          </w14:textFill>
        </w:rPr>
        <w:t>①混凝土最小保护层厚度应从最外侧钢筋外缘而不是主筋外缘算起，设置收缩、温度、分布、防裂等钢筋网片也应满足该要求</w:t>
      </w:r>
    </w:p>
    <w:p>
      <w:pPr>
        <w:spacing w:line="300" w:lineRule="auto"/>
        <w:ind w:firstLine="480" w:firstLineChars="200"/>
        <w:rPr>
          <w:rFonts w:ascii="Times New Roman" w:hAnsi="Times New Roman"/>
          <w:b w:val="0"/>
          <w:bCs/>
          <w:color w:val="000000" w:themeColor="text1"/>
          <w:sz w:val="24"/>
          <w:szCs w:val="24"/>
          <w14:textFill>
            <w14:solidFill>
              <w14:schemeClr w14:val="tx1"/>
            </w14:solidFill>
          </w14:textFill>
        </w:rPr>
      </w:pPr>
      <w:r>
        <w:rPr>
          <w:rFonts w:ascii="Times New Roman" w:hAnsi="Times New Roman"/>
          <w:b w:val="0"/>
          <w:bCs/>
          <w:color w:val="000000" w:themeColor="text1"/>
          <w:sz w:val="24"/>
          <w:szCs w:val="24"/>
          <w14:textFill>
            <w14:solidFill>
              <w14:schemeClr w14:val="tx1"/>
            </w14:solidFill>
          </w14:textFill>
        </w:rPr>
        <w:t>②如表中保护层厚度小于被保护主筋的直径，最小保护层厚度应取主筋的直径。</w:t>
      </w:r>
    </w:p>
    <w:p>
      <w:pPr>
        <w:spacing w:line="300" w:lineRule="auto"/>
        <w:ind w:firstLine="480" w:firstLineChars="200"/>
        <w:rPr>
          <w:rFonts w:ascii="Times New Roman" w:hAnsi="Times New Roman"/>
          <w:b w:val="0"/>
          <w:bCs/>
          <w:color w:val="000000" w:themeColor="text1"/>
          <w:sz w:val="24"/>
          <w:szCs w:val="24"/>
          <w14:textFill>
            <w14:solidFill>
              <w14:schemeClr w14:val="tx1"/>
            </w14:solidFill>
          </w14:textFill>
        </w:rPr>
      </w:pPr>
      <w:r>
        <w:rPr>
          <w:rFonts w:ascii="Times New Roman" w:hAnsi="Times New Roman"/>
          <w:b w:val="0"/>
          <w:bCs/>
          <w:color w:val="000000" w:themeColor="text1"/>
          <w:sz w:val="24"/>
          <w:szCs w:val="24"/>
          <w14:textFill>
            <w14:solidFill>
              <w14:schemeClr w14:val="tx1"/>
            </w14:solidFill>
          </w14:textFill>
        </w:rPr>
        <w:t>（3）其它构造措施</w:t>
      </w:r>
    </w:p>
    <w:tbl>
      <w:tblPr>
        <w:tblStyle w:val="379"/>
        <w:tblpPr w:leftFromText="180" w:rightFromText="180" w:vertAnchor="page" w:horzAnchor="page" w:tblpX="1208" w:tblpY="8536"/>
        <w:tblOverlap w:val="never"/>
        <w:tblW w:w="10368"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175"/>
        <w:gridCol w:w="519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6" w:hRule="atLeast"/>
        </w:trPr>
        <w:tc>
          <w:tcPr>
            <w:tcW w:w="5175" w:type="dxa"/>
          </w:tcPr>
          <w:p>
            <w:pPr>
              <w:pStyle w:val="391"/>
              <w:autoSpaceDE w:val="0"/>
              <w:autoSpaceDN w:val="0"/>
              <w:spacing w:before="137" w:line="220" w:lineRule="auto"/>
              <w:ind w:left="212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结构部位</w:t>
            </w:r>
          </w:p>
        </w:tc>
        <w:tc>
          <w:tcPr>
            <w:tcW w:w="5193" w:type="dxa"/>
          </w:tcPr>
          <w:p>
            <w:pPr>
              <w:pStyle w:val="391"/>
              <w:autoSpaceDE w:val="0"/>
              <w:autoSpaceDN w:val="0"/>
              <w:spacing w:before="137" w:line="220" w:lineRule="auto"/>
              <w:ind w:left="181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裂缝限值（m）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5175" w:type="dxa"/>
          </w:tcPr>
          <w:p>
            <w:pPr>
              <w:pStyle w:val="391"/>
              <w:autoSpaceDE w:val="0"/>
              <w:autoSpaceDN w:val="0"/>
              <w:spacing w:before="115" w:line="220" w:lineRule="auto"/>
              <w:ind w:left="235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桩基</w:t>
            </w:r>
          </w:p>
        </w:tc>
        <w:tc>
          <w:tcPr>
            <w:tcW w:w="5193" w:type="dxa"/>
          </w:tcPr>
          <w:p>
            <w:pPr>
              <w:pStyle w:val="391"/>
              <w:autoSpaceDE w:val="0"/>
              <w:autoSpaceDN w:val="0"/>
              <w:spacing w:before="152" w:line="184" w:lineRule="auto"/>
              <w:ind w:left="235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0.15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5" w:hRule="atLeast"/>
        </w:trPr>
        <w:tc>
          <w:tcPr>
            <w:tcW w:w="5175" w:type="dxa"/>
          </w:tcPr>
          <w:p>
            <w:pPr>
              <w:pStyle w:val="391"/>
              <w:autoSpaceDE w:val="0"/>
              <w:autoSpaceDN w:val="0"/>
              <w:spacing w:before="115" w:line="220" w:lineRule="auto"/>
              <w:ind w:left="200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墩柱、台身</w:t>
            </w:r>
          </w:p>
        </w:tc>
        <w:tc>
          <w:tcPr>
            <w:tcW w:w="5193" w:type="dxa"/>
          </w:tcPr>
          <w:p>
            <w:pPr>
              <w:pStyle w:val="391"/>
              <w:autoSpaceDE w:val="0"/>
              <w:autoSpaceDN w:val="0"/>
              <w:spacing w:before="153" w:line="184" w:lineRule="auto"/>
              <w:ind w:left="235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0.15</w:t>
            </w:r>
          </w:p>
        </w:tc>
      </w:tr>
    </w:tbl>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①结构混凝土表面有利于排水，对于可能积水的表面如承台表面应做成1%的斜面。</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②为了利于钢筋的定位，本工程要求使用工厂定制的保护层定位块。保护层定位块的尺寸及其形状应能保证混凝土保护层厚度的准确性。保护层定位块宜采用水灰比不大于0.4的砂浆或细石混凝土制作，其形状宜采用渗透路径较长且易于固定的工字形或锥形，其绑扎固定的铁丝不得伸入混凝土保护层中。为了保证钢筋的混凝土保护层最小厚度，垫块尺寸不允许负偏差，正偏差不得大于5mm。其质量应分规格分批通过验收。</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③为封闭预应力筋的金属锚具，后浇混凝土的强度等级应符合设计规定；设计无规定时不宜低于本体混凝土强度，净厚度不小于保护层厚度，并应在其表面涂敷和覆盖防水、防腐材料。</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④对于浇筑在混凝土中并部分暴露在外的吊环、紧固件、连接件等铁件应与混凝土中的钢筋绝</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缘隔离，并应采取严格的防腐蚀措施，以消除这类铁件的可能锈蚀对构件承载力的影响。</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⑤水泥、骨料、添加剂等混凝土原材料的各项性能指标均应满足现行规范《公路桥涵施工技术</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规范》（JTG/T 3650—2020）的相关要求。</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⑥其他未尽事宜，按《公路工程混凝土结构耐久性设计规范》（JTG/T3310-2019）要求执行。</w:t>
      </w:r>
    </w:p>
    <w:p>
      <w:pPr>
        <w:pStyle w:val="5"/>
        <w:ind w:firstLine="482" w:firstLineChars="200"/>
        <w:rPr>
          <w:rFonts w:ascii="Times New Roman" w:hAnsi="Times New Roman"/>
        </w:rPr>
      </w:pPr>
      <w:r>
        <w:rPr>
          <w:rFonts w:ascii="Times New Roman" w:hAnsi="Times New Roman"/>
        </w:rPr>
        <w:t>桥梁附属构造设计</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桥面铺装：C50整体化混凝土现浇层；</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伸缩缝：桥台处设置D120型伸缩缝；</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护栏：人行道两侧设置钢制栏杆；</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排水：顺桥向集中排水引至墩台处。</w:t>
      </w:r>
    </w:p>
    <w:p>
      <w:pPr>
        <w:pStyle w:val="4"/>
        <w:ind w:firstLine="482" w:firstLineChars="200"/>
      </w:pPr>
      <w:bookmarkStart w:id="168" w:name="_Toc2065"/>
      <w:r>
        <w:t>连接涌桥</w:t>
      </w:r>
      <w:bookmarkEnd w:id="168"/>
    </w:p>
    <w:p>
      <w:pPr>
        <w:pStyle w:val="5"/>
        <w:ind w:firstLine="482" w:firstLineChars="200"/>
        <w:rPr>
          <w:rFonts w:ascii="Times New Roman" w:hAnsi="Times New Roman"/>
        </w:rPr>
      </w:pPr>
      <w:r>
        <w:rPr>
          <w:rFonts w:ascii="Times New Roman" w:hAnsi="Times New Roman"/>
        </w:rPr>
        <w:t>技术标准</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（1）道路等级和设计速度如下表：</w:t>
      </w:r>
    </w:p>
    <w:tbl>
      <w:tblPr>
        <w:tblStyle w:val="379"/>
        <w:tblW w:w="10368"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466"/>
        <w:gridCol w:w="1785"/>
        <w:gridCol w:w="1372"/>
        <w:gridCol w:w="1432"/>
        <w:gridCol w:w="131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9" w:hRule="atLeast"/>
        </w:trPr>
        <w:tc>
          <w:tcPr>
            <w:tcW w:w="4466" w:type="dxa"/>
          </w:tcPr>
          <w:p>
            <w:pPr>
              <w:pStyle w:val="391"/>
              <w:autoSpaceDE w:val="0"/>
              <w:autoSpaceDN w:val="0"/>
              <w:spacing w:before="243" w:line="220" w:lineRule="auto"/>
              <w:ind w:left="176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道路名称</w:t>
            </w:r>
          </w:p>
        </w:tc>
        <w:tc>
          <w:tcPr>
            <w:tcW w:w="1785" w:type="dxa"/>
          </w:tcPr>
          <w:p>
            <w:pPr>
              <w:pStyle w:val="391"/>
              <w:autoSpaceDE w:val="0"/>
              <w:autoSpaceDN w:val="0"/>
              <w:spacing w:before="243" w:line="220" w:lineRule="auto"/>
              <w:ind w:left="41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道路等级</w:t>
            </w:r>
          </w:p>
        </w:tc>
        <w:tc>
          <w:tcPr>
            <w:tcW w:w="1372" w:type="dxa"/>
          </w:tcPr>
          <w:p>
            <w:pPr>
              <w:pStyle w:val="391"/>
              <w:autoSpaceDE w:val="0"/>
              <w:autoSpaceDN w:val="0"/>
              <w:spacing w:before="87" w:line="220" w:lineRule="auto"/>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红线宽度</w:t>
            </w:r>
          </w:p>
          <w:p>
            <w:pPr>
              <w:pStyle w:val="391"/>
              <w:autoSpaceDE w:val="0"/>
              <w:autoSpaceDN w:val="0"/>
              <w:spacing w:before="26" w:line="230" w:lineRule="auto"/>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（m）</w:t>
            </w:r>
          </w:p>
        </w:tc>
        <w:tc>
          <w:tcPr>
            <w:tcW w:w="1432" w:type="dxa"/>
          </w:tcPr>
          <w:p>
            <w:pPr>
              <w:pStyle w:val="391"/>
              <w:autoSpaceDE w:val="0"/>
              <w:autoSpaceDN w:val="0"/>
              <w:spacing w:before="88" w:line="232" w:lineRule="auto"/>
              <w:ind w:left="249" w:right="232" w:hanging="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设计速度（km/h）</w:t>
            </w:r>
          </w:p>
        </w:tc>
        <w:tc>
          <w:tcPr>
            <w:tcW w:w="1313" w:type="dxa"/>
          </w:tcPr>
          <w:p>
            <w:pPr>
              <w:pStyle w:val="391"/>
              <w:autoSpaceDE w:val="0"/>
              <w:autoSpaceDN w:val="0"/>
              <w:spacing w:before="243" w:line="220" w:lineRule="auto"/>
              <w:ind w:left="29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车道数</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8" w:hRule="atLeast"/>
        </w:trPr>
        <w:tc>
          <w:tcPr>
            <w:tcW w:w="4466" w:type="dxa"/>
          </w:tcPr>
          <w:p>
            <w:pPr>
              <w:pStyle w:val="391"/>
              <w:autoSpaceDE w:val="0"/>
              <w:autoSpaceDN w:val="0"/>
              <w:spacing w:before="166" w:line="220" w:lineRule="auto"/>
              <w:ind w:left="164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二十涌北路</w:t>
            </w:r>
          </w:p>
        </w:tc>
        <w:tc>
          <w:tcPr>
            <w:tcW w:w="1785" w:type="dxa"/>
          </w:tcPr>
          <w:p>
            <w:pPr>
              <w:pStyle w:val="391"/>
              <w:autoSpaceDE w:val="0"/>
              <w:autoSpaceDN w:val="0"/>
              <w:spacing w:before="166" w:line="219" w:lineRule="auto"/>
              <w:ind w:left="29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城市主干路</w:t>
            </w:r>
          </w:p>
        </w:tc>
        <w:tc>
          <w:tcPr>
            <w:tcW w:w="1372" w:type="dxa"/>
          </w:tcPr>
          <w:p>
            <w:pPr>
              <w:pStyle w:val="391"/>
              <w:autoSpaceDE w:val="0"/>
              <w:autoSpaceDN w:val="0"/>
              <w:spacing w:before="204" w:line="183" w:lineRule="auto"/>
              <w:ind w:left="57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50</w:t>
            </w:r>
          </w:p>
        </w:tc>
        <w:tc>
          <w:tcPr>
            <w:tcW w:w="1432" w:type="dxa"/>
          </w:tcPr>
          <w:p>
            <w:pPr>
              <w:pStyle w:val="391"/>
              <w:autoSpaceDE w:val="0"/>
              <w:autoSpaceDN w:val="0"/>
              <w:spacing w:before="204" w:line="183" w:lineRule="auto"/>
              <w:ind w:left="60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60</w:t>
            </w:r>
          </w:p>
        </w:tc>
        <w:tc>
          <w:tcPr>
            <w:tcW w:w="1313" w:type="dxa"/>
          </w:tcPr>
          <w:p>
            <w:pPr>
              <w:pStyle w:val="391"/>
              <w:autoSpaceDE w:val="0"/>
              <w:autoSpaceDN w:val="0"/>
              <w:spacing w:before="166" w:line="224" w:lineRule="auto"/>
              <w:ind w:left="41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双六</w:t>
            </w:r>
          </w:p>
        </w:tc>
      </w:tr>
    </w:tbl>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（2）设计荷载：汽车荷载：城—A；人群荷载：3.5kN/m2；</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（3）结构设计安全等级：一级；</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（4）结构设计基准期：100年；</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（5）通航净空：暂无通航资料；</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（6）抗震设防标准：设计基本地震峰值加速度为0.1g，抗震设防烈度为7度，设防类别城市主干路为丙类，城市次干路为丁类；</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（7）洪水频率：一百年一遇，管控水位为</w:t>
      </w:r>
      <w:r>
        <w:rPr>
          <w:rFonts w:hint="eastAsia" w:ascii="Times New Roman" w:hAnsi="Times New Roman"/>
          <w:b w:val="0"/>
          <w:color w:val="auto"/>
          <w:sz w:val="24"/>
          <w:szCs w:val="24"/>
        </w:rPr>
        <w:t>6</w:t>
      </w:r>
      <w:r>
        <w:rPr>
          <w:rFonts w:ascii="Times New Roman" w:hAnsi="Times New Roman"/>
          <w:b w:val="0"/>
          <w:color w:val="auto"/>
          <w:sz w:val="24"/>
          <w:szCs w:val="24"/>
        </w:rPr>
        <w:t>.3m；</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（8）环境类别：Ⅲ类；</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（9）坐标系统：广州城建2000坐标；高程系统：广州城建高程系统。</w:t>
      </w:r>
    </w:p>
    <w:p>
      <w:pPr>
        <w:pStyle w:val="5"/>
        <w:ind w:firstLine="482" w:firstLineChars="200"/>
        <w:rPr>
          <w:rFonts w:ascii="Times New Roman" w:hAnsi="Times New Roman"/>
        </w:rPr>
      </w:pPr>
      <w:r>
        <w:rPr>
          <w:rFonts w:ascii="Times New Roman" w:hAnsi="Times New Roman"/>
        </w:rPr>
        <w:t>桥梁总体设计</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连接涌桥共计</w:t>
      </w:r>
      <w:r>
        <w:rPr>
          <w:rFonts w:hint="eastAsia" w:ascii="Times New Roman" w:hAnsi="Times New Roman"/>
          <w:b w:val="0"/>
          <w:color w:val="auto"/>
          <w:sz w:val="24"/>
          <w:szCs w:val="24"/>
        </w:rPr>
        <w:t>1</w:t>
      </w:r>
      <w:r>
        <w:rPr>
          <w:rFonts w:ascii="Times New Roman" w:hAnsi="Times New Roman"/>
          <w:b w:val="0"/>
          <w:color w:val="auto"/>
          <w:sz w:val="24"/>
          <w:szCs w:val="24"/>
        </w:rPr>
        <w:t>座，位</w:t>
      </w:r>
      <w:r>
        <w:rPr>
          <w:rFonts w:hint="eastAsia" w:ascii="Times New Roman" w:hAnsi="Times New Roman"/>
          <w:b w:val="0"/>
          <w:color w:val="auto"/>
          <w:sz w:val="24"/>
          <w:szCs w:val="24"/>
        </w:rPr>
        <w:t>于</w:t>
      </w:r>
      <w:r>
        <w:rPr>
          <w:rFonts w:ascii="Times New Roman" w:hAnsi="Times New Roman"/>
          <w:b w:val="0"/>
          <w:color w:val="auto"/>
          <w:sz w:val="24"/>
          <w:szCs w:val="24"/>
        </w:rPr>
        <w:t>二十涌北路跨越连接涌位置处。</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连接涌规划河道底宽10m，规划水面线河涌范围30m，边坡比率1:8。</w:t>
      </w:r>
    </w:p>
    <w:p>
      <w:pPr>
        <w:spacing w:line="300" w:lineRule="auto"/>
        <w:ind w:firstLine="562" w:firstLineChars="200"/>
        <w:rPr>
          <w:rFonts w:ascii="Times New Roman" w:hAnsi="Times New Roman"/>
          <w:b w:val="0"/>
          <w:color w:val="auto"/>
          <w:sz w:val="24"/>
          <w:szCs w:val="24"/>
        </w:rPr>
      </w:pPr>
      <w:r>
        <w:rPr>
          <w:rFonts w:ascii="Times New Roman" w:hAnsi="Times New Roman"/>
        </w:rPr>
        <w:drawing>
          <wp:inline distT="0" distB="0" distL="114300" distR="114300">
            <wp:extent cx="6512560" cy="2503805"/>
            <wp:effectExtent l="0" t="0" r="2540" b="10795"/>
            <wp:docPr id="424"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图片 68"/>
                    <pic:cNvPicPr>
                      <a:picLocks noChangeAspect="1"/>
                    </pic:cNvPicPr>
                  </pic:nvPicPr>
                  <pic:blipFill>
                    <a:blip r:embed="rId144"/>
                    <a:stretch>
                      <a:fillRect/>
                    </a:stretch>
                  </pic:blipFill>
                  <pic:spPr>
                    <a:xfrm>
                      <a:off x="0" y="0"/>
                      <a:ext cx="6512560" cy="2503805"/>
                    </a:xfrm>
                    <a:prstGeom prst="rect">
                      <a:avLst/>
                    </a:prstGeom>
                    <a:noFill/>
                    <a:ln>
                      <a:noFill/>
                    </a:ln>
                  </pic:spPr>
                </pic:pic>
              </a:graphicData>
            </a:graphic>
          </wp:inline>
        </w:drawing>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综上所述，连接涌桥梁跨越规模较小，采用景观性相对较好的现浇梁方案较为合理，景观造型可在栏杆等位置体现。</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连接涌桥桥梁布置如下表：</w:t>
      </w:r>
    </w:p>
    <w:tbl>
      <w:tblPr>
        <w:tblStyle w:val="379"/>
        <w:tblW w:w="10367"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857"/>
        <w:gridCol w:w="2148"/>
        <w:gridCol w:w="998"/>
        <w:gridCol w:w="767"/>
        <w:gridCol w:w="1274"/>
        <w:gridCol w:w="1227"/>
        <w:gridCol w:w="1096"/>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4" w:hRule="atLeast"/>
        </w:trPr>
        <w:tc>
          <w:tcPr>
            <w:tcW w:w="2857" w:type="dxa"/>
          </w:tcPr>
          <w:p>
            <w:pPr>
              <w:pStyle w:val="391"/>
              <w:autoSpaceDE w:val="0"/>
              <w:autoSpaceDN w:val="0"/>
              <w:spacing w:before="78" w:line="220" w:lineRule="auto"/>
              <w:ind w:left="95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桥梁名称</w:t>
            </w:r>
          </w:p>
        </w:tc>
        <w:tc>
          <w:tcPr>
            <w:tcW w:w="2148" w:type="dxa"/>
          </w:tcPr>
          <w:p>
            <w:pPr>
              <w:pStyle w:val="391"/>
              <w:autoSpaceDE w:val="0"/>
              <w:autoSpaceDN w:val="0"/>
              <w:spacing w:before="78" w:line="220" w:lineRule="auto"/>
              <w:ind w:left="62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6"/>
                <w14:textFill>
                  <w14:solidFill>
                    <w14:schemeClr w14:val="tx1"/>
                  </w14:solidFill>
                </w14:textFill>
              </w:rPr>
              <w:t>中心桩号</w:t>
            </w:r>
          </w:p>
        </w:tc>
        <w:tc>
          <w:tcPr>
            <w:tcW w:w="998" w:type="dxa"/>
          </w:tcPr>
          <w:p>
            <w:pPr>
              <w:pStyle w:val="391"/>
              <w:autoSpaceDE w:val="0"/>
              <w:autoSpaceDN w:val="0"/>
              <w:spacing w:before="78" w:line="220" w:lineRule="auto"/>
              <w:ind w:left="26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跨径</w:t>
            </w:r>
          </w:p>
        </w:tc>
        <w:tc>
          <w:tcPr>
            <w:tcW w:w="767" w:type="dxa"/>
          </w:tcPr>
          <w:p>
            <w:pPr>
              <w:pStyle w:val="391"/>
              <w:autoSpaceDE w:val="0"/>
              <w:autoSpaceDN w:val="0"/>
              <w:spacing w:before="78" w:line="219" w:lineRule="auto"/>
              <w:ind w:left="15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角度</w:t>
            </w:r>
          </w:p>
        </w:tc>
        <w:tc>
          <w:tcPr>
            <w:tcW w:w="1274" w:type="dxa"/>
          </w:tcPr>
          <w:p>
            <w:pPr>
              <w:pStyle w:val="391"/>
              <w:autoSpaceDE w:val="0"/>
              <w:autoSpaceDN w:val="0"/>
              <w:spacing w:before="78" w:line="220" w:lineRule="auto"/>
              <w:ind w:left="16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河涌名称</w:t>
            </w:r>
          </w:p>
        </w:tc>
        <w:tc>
          <w:tcPr>
            <w:tcW w:w="1227" w:type="dxa"/>
          </w:tcPr>
          <w:p>
            <w:pPr>
              <w:pStyle w:val="391"/>
              <w:autoSpaceDE w:val="0"/>
              <w:autoSpaceDN w:val="0"/>
              <w:spacing w:before="78" w:line="220" w:lineRule="auto"/>
              <w:ind w:left="11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桥宽（m）</w:t>
            </w:r>
          </w:p>
        </w:tc>
        <w:tc>
          <w:tcPr>
            <w:tcW w:w="1096" w:type="dxa"/>
          </w:tcPr>
          <w:p>
            <w:pPr>
              <w:pStyle w:val="391"/>
              <w:autoSpaceDE w:val="0"/>
              <w:autoSpaceDN w:val="0"/>
              <w:spacing w:before="138" w:line="468" w:lineRule="exact"/>
              <w:ind w:left="189" w:firstLine="468" w:firstLineChars="2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position w:val="17"/>
                <w14:textFill>
                  <w14:solidFill>
                    <w14:schemeClr w14:val="tx1"/>
                  </w14:solidFill>
                </w14:textFill>
              </w:rPr>
              <w:t>桥梁全</w:t>
            </w:r>
          </w:p>
          <w:p>
            <w:pPr>
              <w:pStyle w:val="391"/>
              <w:autoSpaceDE w:val="0"/>
              <w:autoSpaceDN w:val="0"/>
              <w:spacing w:line="223" w:lineRule="auto"/>
              <w:ind w:left="130" w:firstLine="460" w:firstLineChars="2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5"/>
                <w14:textFill>
                  <w14:solidFill>
                    <w14:schemeClr w14:val="tx1"/>
                  </w14:solidFill>
                </w14:textFill>
              </w:rPr>
              <w:t>长（m）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857" w:type="dxa"/>
          </w:tcPr>
          <w:p>
            <w:pPr>
              <w:pStyle w:val="391"/>
              <w:autoSpaceDE w:val="0"/>
              <w:autoSpaceDN w:val="0"/>
              <w:spacing w:before="114" w:line="220" w:lineRule="auto"/>
              <w:ind w:left="30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二十涌北路-连接涌桥</w:t>
            </w:r>
          </w:p>
        </w:tc>
        <w:tc>
          <w:tcPr>
            <w:tcW w:w="2148" w:type="dxa"/>
          </w:tcPr>
          <w:p>
            <w:pPr>
              <w:pStyle w:val="391"/>
              <w:autoSpaceDE w:val="0"/>
              <w:autoSpaceDN w:val="0"/>
              <w:spacing w:before="152" w:line="183" w:lineRule="auto"/>
              <w:ind w:left="23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ESCBK0+628.594</w:t>
            </w:r>
          </w:p>
        </w:tc>
        <w:tc>
          <w:tcPr>
            <w:tcW w:w="998" w:type="dxa"/>
          </w:tcPr>
          <w:p>
            <w:pPr>
              <w:pStyle w:val="391"/>
              <w:autoSpaceDE w:val="0"/>
              <w:autoSpaceDN w:val="0"/>
              <w:spacing w:before="152" w:line="183" w:lineRule="auto"/>
              <w:ind w:left="14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2×20m</w:t>
            </w:r>
          </w:p>
        </w:tc>
        <w:tc>
          <w:tcPr>
            <w:tcW w:w="767" w:type="dxa"/>
          </w:tcPr>
          <w:p>
            <w:pPr>
              <w:pStyle w:val="391"/>
              <w:autoSpaceDE w:val="0"/>
              <w:autoSpaceDN w:val="0"/>
              <w:spacing w:before="152" w:line="183" w:lineRule="auto"/>
              <w:ind w:left="27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85</w:t>
            </w:r>
          </w:p>
        </w:tc>
        <w:tc>
          <w:tcPr>
            <w:tcW w:w="1274" w:type="dxa"/>
          </w:tcPr>
          <w:p>
            <w:pPr>
              <w:pStyle w:val="391"/>
              <w:autoSpaceDE w:val="0"/>
              <w:autoSpaceDN w:val="0"/>
              <w:spacing w:before="114" w:line="220" w:lineRule="auto"/>
              <w:ind w:left="28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连接涌</w:t>
            </w:r>
          </w:p>
        </w:tc>
        <w:tc>
          <w:tcPr>
            <w:tcW w:w="1227" w:type="dxa"/>
          </w:tcPr>
          <w:p>
            <w:pPr>
              <w:pStyle w:val="391"/>
              <w:autoSpaceDE w:val="0"/>
              <w:autoSpaceDN w:val="0"/>
              <w:spacing w:before="114" w:line="225" w:lineRule="auto"/>
              <w:ind w:left="20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23.5/27</w:t>
            </w:r>
          </w:p>
        </w:tc>
        <w:tc>
          <w:tcPr>
            <w:tcW w:w="1096" w:type="dxa"/>
          </w:tcPr>
          <w:p>
            <w:pPr>
              <w:pStyle w:val="391"/>
              <w:autoSpaceDE w:val="0"/>
              <w:autoSpaceDN w:val="0"/>
              <w:spacing w:before="152" w:line="183" w:lineRule="auto"/>
              <w:ind w:left="42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45</w:t>
            </w:r>
          </w:p>
        </w:tc>
      </w:tr>
    </w:tbl>
    <w:p>
      <w:pPr>
        <w:pStyle w:val="5"/>
        <w:ind w:firstLine="482" w:firstLineChars="200"/>
        <w:rPr>
          <w:rFonts w:ascii="Times New Roman" w:hAnsi="Times New Roman"/>
        </w:rPr>
      </w:pPr>
      <w:r>
        <w:rPr>
          <w:rFonts w:ascii="Times New Roman" w:hAnsi="Times New Roman"/>
        </w:rPr>
        <w:t>桥梁方案比选</w:t>
      </w:r>
    </w:p>
    <w:p>
      <w:pPr>
        <w:spacing w:line="300" w:lineRule="auto"/>
        <w:ind w:firstLine="480" w:firstLineChars="200"/>
        <w:jc w:val="center"/>
        <w:rPr>
          <w:rFonts w:ascii="Times New Roman" w:hAnsi="Times New Roman"/>
          <w:b w:val="0"/>
          <w:color w:val="auto"/>
          <w:sz w:val="24"/>
          <w:szCs w:val="24"/>
        </w:rPr>
      </w:pPr>
      <w:r>
        <w:rPr>
          <w:rFonts w:ascii="Times New Roman" w:hAnsi="Times New Roman"/>
          <w:b w:val="0"/>
          <w:color w:val="auto"/>
          <w:sz w:val="24"/>
          <w:szCs w:val="24"/>
        </w:rPr>
        <w:t>方案比选表</w:t>
      </w:r>
    </w:p>
    <w:p>
      <w:pPr>
        <w:spacing w:line="300" w:lineRule="auto"/>
        <w:ind w:firstLine="562" w:firstLineChars="200"/>
        <w:rPr>
          <w:rFonts w:ascii="Times New Roman" w:hAnsi="Times New Roman"/>
          <w:b w:val="0"/>
          <w:color w:val="auto"/>
          <w:sz w:val="24"/>
          <w:szCs w:val="24"/>
        </w:rPr>
      </w:pPr>
      <w:r>
        <w:rPr>
          <w:rFonts w:ascii="Times New Roman" w:hAnsi="Times New Roman"/>
        </w:rPr>
        <w:drawing>
          <wp:inline distT="0" distB="0" distL="114300" distR="114300">
            <wp:extent cx="6507480" cy="3616960"/>
            <wp:effectExtent l="0" t="0" r="7620" b="2540"/>
            <wp:docPr id="42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图片 69"/>
                    <pic:cNvPicPr>
                      <a:picLocks noChangeAspect="1"/>
                    </pic:cNvPicPr>
                  </pic:nvPicPr>
                  <pic:blipFill>
                    <a:blip r:embed="rId145"/>
                    <a:stretch>
                      <a:fillRect/>
                    </a:stretch>
                  </pic:blipFill>
                  <pic:spPr>
                    <a:xfrm>
                      <a:off x="0" y="0"/>
                      <a:ext cx="6507480" cy="3616960"/>
                    </a:xfrm>
                    <a:prstGeom prst="rect">
                      <a:avLst/>
                    </a:prstGeom>
                    <a:noFill/>
                    <a:ln>
                      <a:noFill/>
                    </a:ln>
                  </pic:spPr>
                </pic:pic>
              </a:graphicData>
            </a:graphic>
          </wp:inline>
        </w:drawing>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结论：综合以上对比，三个方案工艺都比较成熟，但相比较，方案一景观性和后期养护条件都较好，工程造价适中；方案二工程造价较高，且后期养护较复杂；方案三景观性较差，故方案一钢筋混凝土现浇梁作为推荐方案较为合适。</w:t>
      </w:r>
    </w:p>
    <w:p>
      <w:pPr>
        <w:spacing w:line="300" w:lineRule="auto"/>
        <w:rPr>
          <w:rFonts w:ascii="Times New Roman" w:hAnsi="Times New Roman"/>
        </w:rPr>
      </w:pPr>
      <w:r>
        <w:rPr>
          <w:rFonts w:ascii="Times New Roman" w:hAnsi="Times New Roman"/>
        </w:rPr>
        <w:drawing>
          <wp:inline distT="0" distB="0" distL="114300" distR="114300">
            <wp:extent cx="6512560" cy="2774950"/>
            <wp:effectExtent l="0" t="0" r="2540" b="6350"/>
            <wp:docPr id="426"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图片 70"/>
                    <pic:cNvPicPr>
                      <a:picLocks noChangeAspect="1"/>
                    </pic:cNvPicPr>
                  </pic:nvPicPr>
                  <pic:blipFill>
                    <a:blip r:embed="rId146"/>
                    <a:stretch>
                      <a:fillRect/>
                    </a:stretch>
                  </pic:blipFill>
                  <pic:spPr>
                    <a:xfrm>
                      <a:off x="0" y="0"/>
                      <a:ext cx="6512560" cy="2774950"/>
                    </a:xfrm>
                    <a:prstGeom prst="rect">
                      <a:avLst/>
                    </a:prstGeom>
                    <a:noFill/>
                    <a:ln>
                      <a:noFill/>
                    </a:ln>
                  </pic:spPr>
                </pic:pic>
              </a:graphicData>
            </a:graphic>
          </wp:inline>
        </w:drawing>
      </w:r>
    </w:p>
    <w:p>
      <w:pPr>
        <w:spacing w:line="300" w:lineRule="auto"/>
        <w:ind w:firstLine="562" w:firstLineChars="200"/>
        <w:rPr>
          <w:rFonts w:ascii="Times New Roman" w:hAnsi="Times New Roman"/>
        </w:rPr>
      </w:pPr>
    </w:p>
    <w:p>
      <w:pPr>
        <w:pStyle w:val="5"/>
        <w:ind w:firstLine="482" w:firstLineChars="200"/>
        <w:rPr>
          <w:rFonts w:ascii="Times New Roman" w:hAnsi="Times New Roman"/>
        </w:rPr>
      </w:pPr>
      <w:r>
        <w:rPr>
          <w:rFonts w:ascii="Times New Roman" w:hAnsi="Times New Roman"/>
        </w:rPr>
        <w:t>桥梁结构设计方案</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1.上部结构</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上部结构采用20m跨的钢筋混凝土现浇梁，梁高取1.2m，顶底板厚为22cm和25cm。</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2.下部结构及基础</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桥墩采用桩柱式桥墩，桩径1.2m，柱径1.0m，单幅布置3根。</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桥台采用一字台，桥台前墙（台身）厚度1.7m，耳墙长2.5m，桩基采用1.2m钢筋混凝土灌注桩。</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3.桥梁抗震设计</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依据《中国地震动参数区划图》（GB18306-2015）及《建筑抗震设计规范》（GB50011-2010）（2016年版）有关规定，本场地抗震设防烈度为7度，设计基本地震加速度值为0.1g，反应谱特征周期为0.45s，设计地震分组为第一组，结构物设计应进行抗震设计。根据《城市桥梁抗震设计规范》（CJJ 166-2011），本桥抗震设防分类为丁类，抗震设计方法为B类，应进行E1地震作用下的地震分析和抗震验算，并应满足相关构造和抗震措施的要求。</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本工程的抗震措施等级为7级，采取如下抗震措施：</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(1)梁端帽梁边缘应有一定的距离，其最小值a（cm）按下式计算：a≥50＋0.1L+0.8H+0.5LK</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式中：L——一联上部结构总长度（m）；</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H——支撑一联上部结构桥墩的平均高度（m），桥台高度取0；</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LK——一联上部结构的最大单孔跨径（m）。</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(2)桥梁墩台设计采用横向挡块防止梁体位移过大。</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(3)加强桩基的抗剪能力设计。</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(4)墩高大于7m的桥墩设置桩顶系梁。</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4.桥梁耐久性设计及措施</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（1）桥梁耐久性设计</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桥梁混凝土结构的防腐蚀耐久性，应根据结构的不同设计基准期、不同的作用环境类别及其作用等级进行设计。本项目结构基础设施工程的设计基准期为100年。根据《公路工程混凝土结构耐久性设计规范》(JTG/T3310-2019)第4.2.1条，并结合地勘报告，本项目场地环境类别属Ⅲ类，环境作用等级主要为Ⅲ-C。</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根据耐久性规范要求，本桥对不同结构所处的环境类别及作用等级，适当提高混凝土强度等级，具体见下表：</w:t>
      </w:r>
    </w:p>
    <w:tbl>
      <w:tblPr>
        <w:tblStyle w:val="379"/>
        <w:tblW w:w="10369" w:type="dxa"/>
        <w:tblInd w:w="9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82"/>
        <w:gridCol w:w="4354"/>
        <w:gridCol w:w="2266"/>
        <w:gridCol w:w="2167"/>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7" w:hRule="atLeast"/>
        </w:trPr>
        <w:tc>
          <w:tcPr>
            <w:tcW w:w="1582" w:type="dxa"/>
          </w:tcPr>
          <w:p>
            <w:pPr>
              <w:pStyle w:val="391"/>
              <w:autoSpaceDE w:val="0"/>
              <w:autoSpaceDN w:val="0"/>
              <w:spacing w:before="138" w:line="220" w:lineRule="auto"/>
              <w:ind w:left="56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桥名</w:t>
            </w:r>
          </w:p>
        </w:tc>
        <w:tc>
          <w:tcPr>
            <w:tcW w:w="4354" w:type="dxa"/>
          </w:tcPr>
          <w:p>
            <w:pPr>
              <w:pStyle w:val="391"/>
              <w:autoSpaceDE w:val="0"/>
              <w:autoSpaceDN w:val="0"/>
              <w:spacing w:before="137" w:line="220" w:lineRule="auto"/>
              <w:ind w:left="170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结构部位</w:t>
            </w:r>
          </w:p>
        </w:tc>
        <w:tc>
          <w:tcPr>
            <w:tcW w:w="2266" w:type="dxa"/>
          </w:tcPr>
          <w:p>
            <w:pPr>
              <w:pStyle w:val="391"/>
              <w:autoSpaceDE w:val="0"/>
              <w:autoSpaceDN w:val="0"/>
              <w:spacing w:before="137" w:line="220" w:lineRule="auto"/>
              <w:ind w:left="41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环境作用等级</w:t>
            </w:r>
          </w:p>
        </w:tc>
        <w:tc>
          <w:tcPr>
            <w:tcW w:w="2167" w:type="dxa"/>
          </w:tcPr>
          <w:p>
            <w:pPr>
              <w:pStyle w:val="391"/>
              <w:autoSpaceDE w:val="0"/>
              <w:autoSpaceDN w:val="0"/>
              <w:spacing w:before="137" w:line="220" w:lineRule="auto"/>
              <w:ind w:left="48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混凝土等级</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582" w:type="dxa"/>
            <w:vMerge w:val="restart"/>
            <w:tcBorders>
              <w:bottom w:val="nil"/>
            </w:tcBorders>
          </w:tcPr>
          <w:p>
            <w:pPr>
              <w:pStyle w:val="391"/>
              <w:autoSpaceDE w:val="0"/>
              <w:autoSpaceDN w:val="0"/>
              <w:spacing w:before="78" w:line="220" w:lineRule="auto"/>
              <w:ind w:left="32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连接涌桥</w:t>
            </w:r>
          </w:p>
        </w:tc>
        <w:tc>
          <w:tcPr>
            <w:tcW w:w="4354" w:type="dxa"/>
          </w:tcPr>
          <w:p>
            <w:pPr>
              <w:pStyle w:val="391"/>
              <w:autoSpaceDE w:val="0"/>
              <w:autoSpaceDN w:val="0"/>
              <w:spacing w:before="113" w:line="220" w:lineRule="auto"/>
              <w:ind w:left="170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上部主梁</w:t>
            </w:r>
          </w:p>
        </w:tc>
        <w:tc>
          <w:tcPr>
            <w:tcW w:w="2266" w:type="dxa"/>
          </w:tcPr>
          <w:p>
            <w:pPr>
              <w:pStyle w:val="391"/>
              <w:autoSpaceDE w:val="0"/>
              <w:autoSpaceDN w:val="0"/>
              <w:spacing w:before="114" w:line="235" w:lineRule="auto"/>
              <w:ind w:left="89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Ⅲ-C</w:t>
            </w:r>
          </w:p>
        </w:tc>
        <w:tc>
          <w:tcPr>
            <w:tcW w:w="2167" w:type="dxa"/>
          </w:tcPr>
          <w:p>
            <w:pPr>
              <w:pStyle w:val="391"/>
              <w:autoSpaceDE w:val="0"/>
              <w:autoSpaceDN w:val="0"/>
              <w:spacing w:before="151" w:line="183" w:lineRule="auto"/>
              <w:ind w:left="90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C50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582" w:type="dxa"/>
            <w:vMerge w:val="continue"/>
            <w:tcBorders>
              <w:top w:val="nil"/>
              <w:bottom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4354" w:type="dxa"/>
          </w:tcPr>
          <w:p>
            <w:pPr>
              <w:pStyle w:val="391"/>
              <w:autoSpaceDE w:val="0"/>
              <w:autoSpaceDN w:val="0"/>
              <w:spacing w:before="115" w:line="220" w:lineRule="auto"/>
              <w:ind w:left="505"/>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lang w:eastAsia="zh-CN"/>
                <w14:textFill>
                  <w14:solidFill>
                    <w14:schemeClr w14:val="tx1"/>
                  </w14:solidFill>
                </w14:textFill>
              </w:rPr>
              <w:t>墩柱、台身、支座垫石、调平层</w:t>
            </w:r>
          </w:p>
        </w:tc>
        <w:tc>
          <w:tcPr>
            <w:tcW w:w="2266" w:type="dxa"/>
          </w:tcPr>
          <w:p>
            <w:pPr>
              <w:pStyle w:val="391"/>
              <w:autoSpaceDE w:val="0"/>
              <w:autoSpaceDN w:val="0"/>
              <w:spacing w:before="116" w:line="235" w:lineRule="auto"/>
              <w:ind w:left="89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Ⅲ-C</w:t>
            </w:r>
          </w:p>
        </w:tc>
        <w:tc>
          <w:tcPr>
            <w:tcW w:w="2167" w:type="dxa"/>
          </w:tcPr>
          <w:p>
            <w:pPr>
              <w:pStyle w:val="391"/>
              <w:autoSpaceDE w:val="0"/>
              <w:autoSpaceDN w:val="0"/>
              <w:spacing w:before="154" w:line="183" w:lineRule="auto"/>
              <w:ind w:left="90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C40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582" w:type="dxa"/>
            <w:vMerge w:val="continue"/>
            <w:tcBorders>
              <w:top w:val="nil"/>
              <w:bottom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4354" w:type="dxa"/>
          </w:tcPr>
          <w:p>
            <w:pPr>
              <w:pStyle w:val="391"/>
              <w:autoSpaceDE w:val="0"/>
              <w:autoSpaceDN w:val="0"/>
              <w:spacing w:before="115" w:line="220" w:lineRule="auto"/>
              <w:ind w:left="158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承台、桩基</w:t>
            </w:r>
          </w:p>
        </w:tc>
        <w:tc>
          <w:tcPr>
            <w:tcW w:w="2266" w:type="dxa"/>
          </w:tcPr>
          <w:p>
            <w:pPr>
              <w:pStyle w:val="391"/>
              <w:autoSpaceDE w:val="0"/>
              <w:autoSpaceDN w:val="0"/>
              <w:spacing w:before="116" w:line="235" w:lineRule="auto"/>
              <w:ind w:left="89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Ⅲ-C</w:t>
            </w:r>
          </w:p>
        </w:tc>
        <w:tc>
          <w:tcPr>
            <w:tcW w:w="2167" w:type="dxa"/>
          </w:tcPr>
          <w:p>
            <w:pPr>
              <w:pStyle w:val="391"/>
              <w:autoSpaceDE w:val="0"/>
              <w:autoSpaceDN w:val="0"/>
              <w:spacing w:before="154" w:line="183" w:lineRule="auto"/>
              <w:ind w:left="90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C30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5" w:hRule="atLeast"/>
        </w:trPr>
        <w:tc>
          <w:tcPr>
            <w:tcW w:w="1582"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4354" w:type="dxa"/>
          </w:tcPr>
          <w:p>
            <w:pPr>
              <w:pStyle w:val="391"/>
              <w:autoSpaceDE w:val="0"/>
              <w:autoSpaceDN w:val="0"/>
              <w:spacing w:before="116" w:line="219" w:lineRule="auto"/>
              <w:ind w:left="984"/>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lang w:eastAsia="zh-CN"/>
                <w14:textFill>
                  <w14:solidFill>
                    <w14:schemeClr w14:val="tx1"/>
                  </w14:solidFill>
                </w14:textFill>
              </w:rPr>
              <w:t>搭板、护栏、人行道板</w:t>
            </w:r>
          </w:p>
        </w:tc>
        <w:tc>
          <w:tcPr>
            <w:tcW w:w="2266" w:type="dxa"/>
          </w:tcPr>
          <w:p>
            <w:pPr>
              <w:pStyle w:val="391"/>
              <w:autoSpaceDE w:val="0"/>
              <w:autoSpaceDN w:val="0"/>
              <w:spacing w:before="117" w:line="235" w:lineRule="auto"/>
              <w:ind w:left="89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Ⅲ-C</w:t>
            </w:r>
          </w:p>
        </w:tc>
        <w:tc>
          <w:tcPr>
            <w:tcW w:w="2167" w:type="dxa"/>
          </w:tcPr>
          <w:p>
            <w:pPr>
              <w:pStyle w:val="391"/>
              <w:autoSpaceDE w:val="0"/>
              <w:autoSpaceDN w:val="0"/>
              <w:spacing w:before="154" w:line="183" w:lineRule="auto"/>
              <w:ind w:left="90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C30</w:t>
            </w:r>
          </w:p>
        </w:tc>
      </w:tr>
    </w:tbl>
    <w:p>
      <w:pPr>
        <w:spacing w:line="300" w:lineRule="auto"/>
        <w:ind w:firstLine="480" w:firstLineChars="200"/>
        <w:rPr>
          <w:rFonts w:ascii="Times New Roman" w:hAnsi="Times New Roman"/>
          <w:b w:val="0"/>
          <w:bCs/>
          <w:color w:val="000000" w:themeColor="text1"/>
          <w:sz w:val="24"/>
          <w:szCs w:val="24"/>
          <w14:textFill>
            <w14:solidFill>
              <w14:schemeClr w14:val="tx1"/>
            </w14:solidFill>
          </w14:textFill>
        </w:rPr>
      </w:pPr>
      <w:r>
        <w:rPr>
          <w:rFonts w:ascii="Times New Roman" w:hAnsi="Times New Roman"/>
          <w:b w:val="0"/>
          <w:bCs/>
          <w:color w:val="000000" w:themeColor="text1"/>
          <w:sz w:val="24"/>
          <w:szCs w:val="24"/>
          <w14:textFill>
            <w14:solidFill>
              <w14:schemeClr w14:val="tx1"/>
            </w14:solidFill>
          </w14:textFill>
        </w:rPr>
        <w:t>（2）桥梁耐久性构造措施</w:t>
      </w:r>
    </w:p>
    <w:p>
      <w:pPr>
        <w:spacing w:line="300" w:lineRule="auto"/>
        <w:ind w:firstLine="480" w:firstLineChars="200"/>
        <w:rPr>
          <w:rFonts w:ascii="Times New Roman" w:hAnsi="Times New Roman"/>
          <w:b w:val="0"/>
          <w:bCs/>
          <w:color w:val="000000" w:themeColor="text1"/>
          <w:sz w:val="24"/>
          <w:szCs w:val="24"/>
          <w14:textFill>
            <w14:solidFill>
              <w14:schemeClr w14:val="tx1"/>
            </w14:solidFill>
          </w14:textFill>
        </w:rPr>
      </w:pPr>
      <w:r>
        <w:rPr>
          <w:rFonts w:ascii="Times New Roman" w:hAnsi="Times New Roman"/>
          <w:b w:val="0"/>
          <w:bCs/>
          <w:color w:val="000000" w:themeColor="text1"/>
          <w:sz w:val="24"/>
          <w:szCs w:val="24"/>
          <w14:textFill>
            <w14:solidFill>
              <w14:schemeClr w14:val="tx1"/>
            </w14:solidFill>
          </w14:textFill>
        </w:rPr>
        <w:t>普通钢筋混凝土构件裂缝宽度限值见下表：</w:t>
      </w:r>
    </w:p>
    <w:tbl>
      <w:tblPr>
        <w:tblStyle w:val="379"/>
        <w:tblW w:w="10368" w:type="dxa"/>
        <w:tblInd w:w="9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175"/>
        <w:gridCol w:w="519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6" w:hRule="atLeast"/>
        </w:trPr>
        <w:tc>
          <w:tcPr>
            <w:tcW w:w="5175" w:type="dxa"/>
          </w:tcPr>
          <w:p>
            <w:pPr>
              <w:pStyle w:val="391"/>
              <w:autoSpaceDE w:val="0"/>
              <w:autoSpaceDN w:val="0"/>
              <w:spacing w:before="137" w:line="220" w:lineRule="auto"/>
              <w:ind w:left="212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结构部位</w:t>
            </w:r>
          </w:p>
        </w:tc>
        <w:tc>
          <w:tcPr>
            <w:tcW w:w="5193" w:type="dxa"/>
          </w:tcPr>
          <w:p>
            <w:pPr>
              <w:pStyle w:val="391"/>
              <w:autoSpaceDE w:val="0"/>
              <w:autoSpaceDN w:val="0"/>
              <w:spacing w:before="137" w:line="220" w:lineRule="auto"/>
              <w:ind w:left="181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裂缝限值（m）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5175" w:type="dxa"/>
          </w:tcPr>
          <w:p>
            <w:pPr>
              <w:pStyle w:val="391"/>
              <w:autoSpaceDE w:val="0"/>
              <w:autoSpaceDN w:val="0"/>
              <w:spacing w:before="115" w:line="220" w:lineRule="auto"/>
              <w:ind w:left="235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桩基</w:t>
            </w:r>
          </w:p>
        </w:tc>
        <w:tc>
          <w:tcPr>
            <w:tcW w:w="5193" w:type="dxa"/>
          </w:tcPr>
          <w:p>
            <w:pPr>
              <w:pStyle w:val="391"/>
              <w:autoSpaceDE w:val="0"/>
              <w:autoSpaceDN w:val="0"/>
              <w:spacing w:before="152" w:line="184" w:lineRule="auto"/>
              <w:ind w:left="235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0.15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5" w:hRule="atLeast"/>
        </w:trPr>
        <w:tc>
          <w:tcPr>
            <w:tcW w:w="5175" w:type="dxa"/>
          </w:tcPr>
          <w:p>
            <w:pPr>
              <w:pStyle w:val="391"/>
              <w:autoSpaceDE w:val="0"/>
              <w:autoSpaceDN w:val="0"/>
              <w:spacing w:before="115" w:line="220" w:lineRule="auto"/>
              <w:ind w:left="200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墩柱、台身</w:t>
            </w:r>
          </w:p>
        </w:tc>
        <w:tc>
          <w:tcPr>
            <w:tcW w:w="5193" w:type="dxa"/>
          </w:tcPr>
          <w:p>
            <w:pPr>
              <w:pStyle w:val="391"/>
              <w:autoSpaceDE w:val="0"/>
              <w:autoSpaceDN w:val="0"/>
              <w:spacing w:before="153" w:line="184" w:lineRule="auto"/>
              <w:ind w:left="235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0.15</w:t>
            </w:r>
          </w:p>
        </w:tc>
      </w:tr>
    </w:tbl>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混凝土保护层最小厚度应符合下表要求：</w:t>
      </w:r>
    </w:p>
    <w:tbl>
      <w:tblPr>
        <w:tblStyle w:val="379"/>
        <w:tblW w:w="10369" w:type="dxa"/>
        <w:tblInd w:w="9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79"/>
        <w:gridCol w:w="2572"/>
        <w:gridCol w:w="1998"/>
        <w:gridCol w:w="1635"/>
        <w:gridCol w:w="298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7" w:hRule="atLeast"/>
        </w:trPr>
        <w:tc>
          <w:tcPr>
            <w:tcW w:w="3751" w:type="dxa"/>
            <w:gridSpan w:val="2"/>
          </w:tcPr>
          <w:p>
            <w:pPr>
              <w:pStyle w:val="391"/>
              <w:autoSpaceDE w:val="0"/>
              <w:autoSpaceDN w:val="0"/>
              <w:spacing w:before="137" w:line="220" w:lineRule="auto"/>
              <w:ind w:left="141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结构部位</w:t>
            </w:r>
          </w:p>
        </w:tc>
        <w:tc>
          <w:tcPr>
            <w:tcW w:w="1998" w:type="dxa"/>
          </w:tcPr>
          <w:p>
            <w:pPr>
              <w:pStyle w:val="391"/>
              <w:autoSpaceDE w:val="0"/>
              <w:autoSpaceDN w:val="0"/>
              <w:spacing w:before="137" w:line="220" w:lineRule="auto"/>
              <w:ind w:left="28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环境作用等级</w:t>
            </w:r>
          </w:p>
        </w:tc>
        <w:tc>
          <w:tcPr>
            <w:tcW w:w="1635" w:type="dxa"/>
          </w:tcPr>
          <w:p>
            <w:pPr>
              <w:pStyle w:val="391"/>
              <w:autoSpaceDE w:val="0"/>
              <w:autoSpaceDN w:val="0"/>
              <w:spacing w:before="137" w:line="220" w:lineRule="auto"/>
              <w:ind w:left="22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混凝土等级</w:t>
            </w:r>
          </w:p>
        </w:tc>
        <w:tc>
          <w:tcPr>
            <w:tcW w:w="2985" w:type="dxa"/>
          </w:tcPr>
          <w:p>
            <w:pPr>
              <w:pStyle w:val="391"/>
              <w:autoSpaceDE w:val="0"/>
              <w:autoSpaceDN w:val="0"/>
              <w:spacing w:before="137" w:line="220" w:lineRule="auto"/>
              <w:ind w:left="296"/>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3"/>
                <w:lang w:eastAsia="zh-CN"/>
                <w14:textFill>
                  <w14:solidFill>
                    <w14:schemeClr w14:val="tx1"/>
                  </w14:solidFill>
                </w14:textFill>
              </w:rPr>
              <w:t>最小保护层厚度（mm）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79" w:type="dxa"/>
          </w:tcPr>
          <w:p>
            <w:pPr>
              <w:pStyle w:val="391"/>
              <w:autoSpaceDE w:val="0"/>
              <w:autoSpaceDN w:val="0"/>
              <w:spacing w:before="113" w:line="220" w:lineRule="auto"/>
              <w:ind w:left="36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上部</w:t>
            </w:r>
          </w:p>
        </w:tc>
        <w:tc>
          <w:tcPr>
            <w:tcW w:w="2572" w:type="dxa"/>
          </w:tcPr>
          <w:p>
            <w:pPr>
              <w:pStyle w:val="391"/>
              <w:autoSpaceDE w:val="0"/>
              <w:autoSpaceDN w:val="0"/>
              <w:spacing w:before="113" w:line="220" w:lineRule="auto"/>
              <w:ind w:left="105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主梁</w:t>
            </w:r>
          </w:p>
        </w:tc>
        <w:tc>
          <w:tcPr>
            <w:tcW w:w="1998" w:type="dxa"/>
          </w:tcPr>
          <w:p>
            <w:pPr>
              <w:pStyle w:val="391"/>
              <w:autoSpaceDE w:val="0"/>
              <w:autoSpaceDN w:val="0"/>
              <w:spacing w:before="114" w:line="235" w:lineRule="auto"/>
              <w:ind w:left="76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Ⅲ-C</w:t>
            </w:r>
          </w:p>
        </w:tc>
        <w:tc>
          <w:tcPr>
            <w:tcW w:w="1635" w:type="dxa"/>
          </w:tcPr>
          <w:p>
            <w:pPr>
              <w:pStyle w:val="391"/>
              <w:autoSpaceDE w:val="0"/>
              <w:autoSpaceDN w:val="0"/>
              <w:spacing w:before="151" w:line="183" w:lineRule="auto"/>
              <w:ind w:left="6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C50</w:t>
            </w:r>
          </w:p>
        </w:tc>
        <w:tc>
          <w:tcPr>
            <w:tcW w:w="2985" w:type="dxa"/>
          </w:tcPr>
          <w:p>
            <w:pPr>
              <w:pStyle w:val="391"/>
              <w:autoSpaceDE w:val="0"/>
              <w:autoSpaceDN w:val="0"/>
              <w:spacing w:before="151" w:line="183" w:lineRule="auto"/>
              <w:ind w:left="137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35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trPr>
        <w:tc>
          <w:tcPr>
            <w:tcW w:w="1179" w:type="dxa"/>
          </w:tcPr>
          <w:p>
            <w:pPr>
              <w:pStyle w:val="391"/>
              <w:autoSpaceDE w:val="0"/>
              <w:autoSpaceDN w:val="0"/>
              <w:spacing w:before="116" w:line="220" w:lineRule="auto"/>
              <w:ind w:left="36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5"/>
                <w14:textFill>
                  <w14:solidFill>
                    <w14:schemeClr w14:val="tx1"/>
                  </w14:solidFill>
                </w14:textFill>
              </w:rPr>
              <w:t>下部</w:t>
            </w:r>
          </w:p>
        </w:tc>
        <w:tc>
          <w:tcPr>
            <w:tcW w:w="2572" w:type="dxa"/>
          </w:tcPr>
          <w:p>
            <w:pPr>
              <w:pStyle w:val="391"/>
              <w:autoSpaceDE w:val="0"/>
              <w:autoSpaceDN w:val="0"/>
              <w:spacing w:before="116" w:line="220" w:lineRule="auto"/>
              <w:ind w:left="21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桥墩、台身、耳背墙</w:t>
            </w:r>
          </w:p>
        </w:tc>
        <w:tc>
          <w:tcPr>
            <w:tcW w:w="1998" w:type="dxa"/>
          </w:tcPr>
          <w:p>
            <w:pPr>
              <w:pStyle w:val="391"/>
              <w:autoSpaceDE w:val="0"/>
              <w:autoSpaceDN w:val="0"/>
              <w:spacing w:before="117" w:line="235" w:lineRule="auto"/>
              <w:ind w:left="76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Ⅲ-C</w:t>
            </w:r>
          </w:p>
        </w:tc>
        <w:tc>
          <w:tcPr>
            <w:tcW w:w="1635" w:type="dxa"/>
          </w:tcPr>
          <w:p>
            <w:pPr>
              <w:pStyle w:val="391"/>
              <w:autoSpaceDE w:val="0"/>
              <w:autoSpaceDN w:val="0"/>
              <w:spacing w:before="154" w:line="183" w:lineRule="auto"/>
              <w:ind w:left="6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C40</w:t>
            </w:r>
          </w:p>
        </w:tc>
        <w:tc>
          <w:tcPr>
            <w:tcW w:w="2985" w:type="dxa"/>
          </w:tcPr>
          <w:p>
            <w:pPr>
              <w:pStyle w:val="391"/>
              <w:autoSpaceDE w:val="0"/>
              <w:autoSpaceDN w:val="0"/>
              <w:spacing w:before="154" w:line="183" w:lineRule="auto"/>
              <w:ind w:left="137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45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trPr>
        <w:tc>
          <w:tcPr>
            <w:tcW w:w="1179" w:type="dxa"/>
            <w:vMerge w:val="restart"/>
            <w:tcBorders>
              <w:bottom w:val="nil"/>
            </w:tcBorders>
          </w:tcPr>
          <w:p>
            <w:pPr>
              <w:pStyle w:val="391"/>
              <w:autoSpaceDE w:val="0"/>
              <w:autoSpaceDN w:val="0"/>
              <w:spacing w:before="78" w:line="225" w:lineRule="auto"/>
              <w:ind w:left="35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基础</w:t>
            </w:r>
          </w:p>
        </w:tc>
        <w:tc>
          <w:tcPr>
            <w:tcW w:w="2572" w:type="dxa"/>
          </w:tcPr>
          <w:p>
            <w:pPr>
              <w:pStyle w:val="391"/>
              <w:autoSpaceDE w:val="0"/>
              <w:autoSpaceDN w:val="0"/>
              <w:spacing w:before="117" w:line="220" w:lineRule="auto"/>
              <w:ind w:left="105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承台</w:t>
            </w:r>
          </w:p>
        </w:tc>
        <w:tc>
          <w:tcPr>
            <w:tcW w:w="1998" w:type="dxa"/>
          </w:tcPr>
          <w:p>
            <w:pPr>
              <w:pStyle w:val="391"/>
              <w:autoSpaceDE w:val="0"/>
              <w:autoSpaceDN w:val="0"/>
              <w:spacing w:before="118" w:line="235" w:lineRule="auto"/>
              <w:ind w:left="76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Ⅲ-C</w:t>
            </w:r>
          </w:p>
        </w:tc>
        <w:tc>
          <w:tcPr>
            <w:tcW w:w="1635" w:type="dxa"/>
          </w:tcPr>
          <w:p>
            <w:pPr>
              <w:pStyle w:val="391"/>
              <w:autoSpaceDE w:val="0"/>
              <w:autoSpaceDN w:val="0"/>
              <w:spacing w:before="156" w:line="183" w:lineRule="auto"/>
              <w:ind w:left="6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C30</w:t>
            </w:r>
          </w:p>
        </w:tc>
        <w:tc>
          <w:tcPr>
            <w:tcW w:w="2985" w:type="dxa"/>
          </w:tcPr>
          <w:p>
            <w:pPr>
              <w:pStyle w:val="391"/>
              <w:autoSpaceDE w:val="0"/>
              <w:autoSpaceDN w:val="0"/>
              <w:spacing w:before="156" w:line="183" w:lineRule="auto"/>
              <w:ind w:left="137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65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5" w:hRule="atLeast"/>
        </w:trPr>
        <w:tc>
          <w:tcPr>
            <w:tcW w:w="1179"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2572" w:type="dxa"/>
          </w:tcPr>
          <w:p>
            <w:pPr>
              <w:pStyle w:val="391"/>
              <w:autoSpaceDE w:val="0"/>
              <w:autoSpaceDN w:val="0"/>
              <w:spacing w:before="116" w:line="220" w:lineRule="auto"/>
              <w:ind w:left="105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桩基</w:t>
            </w:r>
          </w:p>
        </w:tc>
        <w:tc>
          <w:tcPr>
            <w:tcW w:w="1998" w:type="dxa"/>
          </w:tcPr>
          <w:p>
            <w:pPr>
              <w:pStyle w:val="391"/>
              <w:autoSpaceDE w:val="0"/>
              <w:autoSpaceDN w:val="0"/>
              <w:spacing w:before="117" w:line="235" w:lineRule="auto"/>
              <w:ind w:left="76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Ⅲ-C</w:t>
            </w:r>
          </w:p>
        </w:tc>
        <w:tc>
          <w:tcPr>
            <w:tcW w:w="1635" w:type="dxa"/>
          </w:tcPr>
          <w:p>
            <w:pPr>
              <w:pStyle w:val="391"/>
              <w:autoSpaceDE w:val="0"/>
              <w:autoSpaceDN w:val="0"/>
              <w:spacing w:before="155" w:line="183" w:lineRule="auto"/>
              <w:ind w:left="64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C30</w:t>
            </w:r>
          </w:p>
        </w:tc>
        <w:tc>
          <w:tcPr>
            <w:tcW w:w="2985" w:type="dxa"/>
          </w:tcPr>
          <w:p>
            <w:pPr>
              <w:pStyle w:val="391"/>
              <w:autoSpaceDE w:val="0"/>
              <w:autoSpaceDN w:val="0"/>
              <w:spacing w:before="155" w:line="183" w:lineRule="auto"/>
              <w:ind w:left="137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65</w:t>
            </w:r>
          </w:p>
        </w:tc>
      </w:tr>
    </w:tbl>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表注：</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①混凝土最小保护层厚度应从最外侧钢筋外缘而不是主筋外缘算起，设置收缩、温度、分布、防裂等钢筋网片也应满足该要求</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②如表中保护层厚度小于被保护主筋的直径，最小保护层厚度应取主筋的直径。</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（3）其它构造措施</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①结构混凝土表面有利于排水，对于可能积水的表面如承台表面应做成1%的斜面。</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②为了利于钢筋的定位，本工程要求使用工厂定制的保护层定位块。保护层定位块的尺寸及其形状应能保证混凝土保护层厚度的准确性。保护层定位块宜采用水灰比不大于0.4的砂浆或细石混凝土制作，其形状宜采用渗透路径较长且易于固定的工字形或锥形，其绑扎固定的铁丝不得伸入混凝土保护层中。为了保证钢筋的混凝土保护层最小厚度，垫块尺寸不允许负偏差，正偏差不得大于5mm。其质量应分规格分批通过验收。</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③对于浇筑在混凝土中并部分暴露在外的吊环、紧固件、连接件等铁件应与混凝土中的钢筋绝缘隔离，并应采取严格的防腐蚀措施，以消除这类铁件的可能锈蚀对构件承载力的影响。</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④水泥、骨料、添加剂等混凝土原材料的各项性能指标均应满足现行规范《公路桥涵施工技术</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规范》（JTG/T 3650—2020）的相关要求。</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⑤其他未尽事宜，按《公路工程混凝土结构耐久性设计规范》（JTG/T3310-2019）要求执行。</w:t>
      </w:r>
    </w:p>
    <w:p>
      <w:pPr>
        <w:pStyle w:val="5"/>
        <w:ind w:firstLine="482" w:firstLineChars="200"/>
        <w:rPr>
          <w:rFonts w:ascii="Times New Roman" w:hAnsi="Times New Roman"/>
        </w:rPr>
      </w:pPr>
      <w:r>
        <w:rPr>
          <w:rFonts w:ascii="Times New Roman" w:hAnsi="Times New Roman"/>
        </w:rPr>
        <w:t>桥梁附属构造设计</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桥面铺装：C50整体化混凝土现浇层；</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伸缩缝：桥台处设置D120型伸缩缝；</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护栏：人行道两侧设置钢制栏杆；</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排水：顺桥向集中排水引至墩台处。</w:t>
      </w:r>
    </w:p>
    <w:p>
      <w:pPr>
        <w:pStyle w:val="4"/>
        <w:ind w:firstLine="482" w:firstLineChars="200"/>
      </w:pPr>
      <w:bookmarkStart w:id="169" w:name="_Toc11574"/>
      <w:r>
        <w:t>规划纵三路ZSK0+958.618箱涵</w:t>
      </w:r>
      <w:bookmarkEnd w:id="169"/>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规划纵三路K0+960附近考虑将连接涌与景观水体连通，但常规桥梁方案由于临近平交口，且附近新建有二十一涌北路连接涌桥，位置上有冲突，考虑到此处与体育场馆较远，景观需求较弱，综上原因，建议在此位置上考虑箱涵方案，拟建箱涵中心桩号为ZSK0+958.618。</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箱涵全长75.6m，与规划纵三路斜交，右偏夹角64°,考虑到景观水体河宽22m，拟建箱涵采用双孔布置，单孔尺寸3m×10m；箱涵连接涌侧采用一字墙与河道平齐，景观水体侧采用侧墙与河涌挡墙相接方式，箱涵内做跌水处理。</w:t>
      </w:r>
    </w:p>
    <w:p>
      <w:pPr>
        <w:pStyle w:val="4"/>
        <w:ind w:firstLine="482" w:firstLineChars="200"/>
      </w:pPr>
      <w:bookmarkStart w:id="170" w:name="_Toc30372"/>
      <w:r>
        <w:t>桥梁施工方案</w:t>
      </w:r>
      <w:bookmarkEnd w:id="170"/>
    </w:p>
    <w:p>
      <w:pPr>
        <w:pStyle w:val="5"/>
        <w:ind w:firstLine="482" w:firstLineChars="200"/>
        <w:rPr>
          <w:rFonts w:ascii="Times New Roman" w:hAnsi="Times New Roman"/>
        </w:rPr>
      </w:pPr>
      <w:r>
        <w:rPr>
          <w:rFonts w:ascii="Times New Roman" w:hAnsi="Times New Roman"/>
        </w:rPr>
        <w:t>上部施工</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预应力管道的位置必须严格按坐标定位并用定位钢筋固定，定位钢筋与箱梁腹板箍筋点焊连接，严防错位和管道下垂，如果管道与钢筋发生碰撞，应适当挪动钢筋位置。浇筑前应检查波纹管是否密封，防止浇筑混凝土时阻塞管道。</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注意在预制梁体时预埋、预留泄水孔；跨线桥注意预埋纵向排水管道的锚固系统；钢筋接长时应避开钢筋应力较大处，并严格按施工技术规范接头错开布置；钢筋的连接：建议钢筋直径≥25mm的采用机械连接，钢筋直径＜25mm的采用焊接连接或机械连接。</w:t>
      </w:r>
    </w:p>
    <w:p>
      <w:pPr>
        <w:pStyle w:val="5"/>
        <w:ind w:firstLine="482" w:firstLineChars="200"/>
        <w:rPr>
          <w:rFonts w:ascii="Times New Roman" w:hAnsi="Times New Roman"/>
        </w:rPr>
      </w:pPr>
      <w:r>
        <w:rPr>
          <w:rFonts w:ascii="Times New Roman" w:hAnsi="Times New Roman"/>
        </w:rPr>
        <w:t>下部施工</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桩基施工前应确认坐标放样无误后方可施工，必须严格按照图纸要求施工；河道内桩基桥墩施工需要搭设河道钢平台，并做钢围堰处理。</w:t>
      </w:r>
    </w:p>
    <w:p>
      <w:pPr>
        <w:pStyle w:val="5"/>
        <w:ind w:firstLine="482" w:firstLineChars="200"/>
        <w:rPr>
          <w:rFonts w:ascii="Times New Roman" w:hAnsi="Times New Roman"/>
        </w:rPr>
      </w:pPr>
      <w:r>
        <w:rPr>
          <w:rFonts w:ascii="Times New Roman" w:hAnsi="Times New Roman"/>
        </w:rPr>
        <w:t>危大工程特别说明</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针对危险性较大工程，根据国家安全生产法律、法规，充分结合本项</w:t>
      </w:r>
      <w:r>
        <w:rPr>
          <w:rFonts w:hint="eastAsia" w:ascii="Times New Roman" w:hAnsi="Times New Roman"/>
          <w:b w:val="0"/>
          <w:color w:val="auto"/>
          <w:sz w:val="24"/>
          <w:szCs w:val="24"/>
        </w:rPr>
        <w:t>实际情况</w:t>
      </w:r>
      <w:r>
        <w:rPr>
          <w:rFonts w:ascii="Times New Roman" w:hAnsi="Times New Roman"/>
          <w:b w:val="0"/>
          <w:color w:val="auto"/>
          <w:sz w:val="24"/>
          <w:szCs w:val="24"/>
        </w:rPr>
        <w:t>，编制实施性、可操作性强的各项安全施工方案，并经监理工程师批准，必要时进行施工方案专项论证审查，加大安全投入，严格落实各项保证措施。</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本工程桥梁部分主要存在的危险性较大的，分部分项工程及相关风险点如下：</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（1）基坑‐‐基坑开挖施工</w:t>
      </w:r>
    </w:p>
    <w:tbl>
      <w:tblPr>
        <w:tblStyle w:val="379"/>
        <w:tblW w:w="10367"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82"/>
        <w:gridCol w:w="1912"/>
        <w:gridCol w:w="3771"/>
        <w:gridCol w:w="3702"/>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7" w:hRule="atLeast"/>
        </w:trPr>
        <w:tc>
          <w:tcPr>
            <w:tcW w:w="982" w:type="dxa"/>
          </w:tcPr>
          <w:p>
            <w:pPr>
              <w:pStyle w:val="391"/>
              <w:autoSpaceDE w:val="0"/>
              <w:autoSpaceDN w:val="0"/>
              <w:spacing w:before="137" w:line="221" w:lineRule="auto"/>
              <w:ind w:left="23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序号</w:t>
            </w:r>
          </w:p>
        </w:tc>
        <w:tc>
          <w:tcPr>
            <w:tcW w:w="1912" w:type="dxa"/>
          </w:tcPr>
          <w:p>
            <w:pPr>
              <w:pStyle w:val="391"/>
              <w:autoSpaceDE w:val="0"/>
              <w:autoSpaceDN w:val="0"/>
              <w:spacing w:before="138" w:line="220" w:lineRule="auto"/>
              <w:ind w:left="69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6"/>
                <w14:textFill>
                  <w14:solidFill>
                    <w14:schemeClr w14:val="tx1"/>
                  </w14:solidFill>
                </w14:textFill>
              </w:rPr>
              <w:t>作业</w:t>
            </w:r>
          </w:p>
        </w:tc>
        <w:tc>
          <w:tcPr>
            <w:tcW w:w="3771" w:type="dxa"/>
          </w:tcPr>
          <w:p>
            <w:pPr>
              <w:pStyle w:val="391"/>
              <w:autoSpaceDE w:val="0"/>
              <w:autoSpaceDN w:val="0"/>
              <w:spacing w:before="138" w:line="220" w:lineRule="auto"/>
              <w:ind w:left="149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2"/>
                <w14:textFill>
                  <w14:solidFill>
                    <w14:schemeClr w14:val="tx1"/>
                  </w14:solidFill>
                </w14:textFill>
              </w:rPr>
              <w:t>风险点</w:t>
            </w:r>
          </w:p>
        </w:tc>
        <w:tc>
          <w:tcPr>
            <w:tcW w:w="3702" w:type="dxa"/>
          </w:tcPr>
          <w:p>
            <w:pPr>
              <w:pStyle w:val="391"/>
              <w:autoSpaceDE w:val="0"/>
              <w:autoSpaceDN w:val="0"/>
              <w:spacing w:before="138" w:line="220" w:lineRule="auto"/>
              <w:ind w:left="132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5"/>
                <w14:textFill>
                  <w14:solidFill>
                    <w14:schemeClr w14:val="tx1"/>
                  </w14:solidFill>
                </w14:textFill>
              </w:rPr>
              <w:t>应对措施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7" w:hRule="atLeast"/>
        </w:trPr>
        <w:tc>
          <w:tcPr>
            <w:tcW w:w="982" w:type="dxa"/>
          </w:tcPr>
          <w:p>
            <w:pPr>
              <w:pStyle w:val="391"/>
              <w:autoSpaceDE w:val="0"/>
              <w:autoSpaceDN w:val="0"/>
              <w:spacing w:before="78" w:line="184" w:lineRule="auto"/>
              <w:ind w:left="45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1</w:t>
            </w:r>
          </w:p>
        </w:tc>
        <w:tc>
          <w:tcPr>
            <w:tcW w:w="1912" w:type="dxa"/>
          </w:tcPr>
          <w:p>
            <w:pPr>
              <w:pStyle w:val="391"/>
              <w:autoSpaceDE w:val="0"/>
              <w:autoSpaceDN w:val="0"/>
              <w:spacing w:before="78" w:line="220" w:lineRule="auto"/>
              <w:ind w:left="43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5"/>
                <w14:textFill>
                  <w14:solidFill>
                    <w14:schemeClr w14:val="tx1"/>
                  </w14:solidFill>
                </w14:textFill>
              </w:rPr>
              <w:t>基坑开挖</w:t>
            </w:r>
          </w:p>
        </w:tc>
        <w:tc>
          <w:tcPr>
            <w:tcW w:w="3771" w:type="dxa"/>
          </w:tcPr>
          <w:p>
            <w:pPr>
              <w:pStyle w:val="391"/>
              <w:autoSpaceDE w:val="0"/>
              <w:autoSpaceDN w:val="0"/>
              <w:spacing w:before="113" w:line="220" w:lineRule="auto"/>
              <w:ind w:left="175" w:firstLine="548" w:firstLineChars="2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7"/>
                <w14:textFill>
                  <w14:solidFill>
                    <w14:schemeClr w14:val="tx1"/>
                  </w14:solidFill>
                </w14:textFill>
              </w:rPr>
              <w:t>基坑坍塌；基坑隆起；流沙，</w:t>
            </w:r>
          </w:p>
          <w:p>
            <w:pPr>
              <w:pStyle w:val="391"/>
              <w:autoSpaceDE w:val="0"/>
              <w:autoSpaceDN w:val="0"/>
              <w:spacing w:before="182" w:line="468" w:lineRule="exact"/>
              <w:ind w:left="206" w:firstLine="556" w:firstLineChars="2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9"/>
                <w:position w:val="17"/>
                <w14:textFill>
                  <w14:solidFill>
                    <w14:schemeClr w14:val="tx1"/>
                  </w14:solidFill>
                </w14:textFill>
              </w:rPr>
              <w:t>昏厥；窒息；中毒；涌水；物</w:t>
            </w:r>
          </w:p>
          <w:p>
            <w:pPr>
              <w:pStyle w:val="391"/>
              <w:autoSpaceDE w:val="0"/>
              <w:autoSpaceDN w:val="0"/>
              <w:spacing w:line="220" w:lineRule="auto"/>
              <w:ind w:left="1495" w:firstLine="528" w:firstLineChars="2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2"/>
                <w14:textFill>
                  <w14:solidFill>
                    <w14:schemeClr w14:val="tx1"/>
                  </w14:solidFill>
                </w14:textFill>
              </w:rPr>
              <w:t>体打击</w:t>
            </w:r>
          </w:p>
        </w:tc>
        <w:tc>
          <w:tcPr>
            <w:tcW w:w="3702" w:type="dxa"/>
            <w:vMerge w:val="restart"/>
            <w:tcBorders>
              <w:bottom w:val="nil"/>
            </w:tcBorders>
          </w:tcPr>
          <w:p>
            <w:pPr>
              <w:pStyle w:val="391"/>
              <w:autoSpaceDE w:val="0"/>
              <w:autoSpaceDN w:val="0"/>
              <w:spacing w:before="211" w:line="220" w:lineRule="auto"/>
              <w:ind w:left="132" w:firstLine="468"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3"/>
                <w:lang w:eastAsia="zh-CN"/>
                <w14:textFill>
                  <w14:solidFill>
                    <w14:schemeClr w14:val="tx1"/>
                  </w14:solidFill>
                </w14:textFill>
              </w:rPr>
              <w:t>1、严格按照相关规范及技术标准</w:t>
            </w:r>
          </w:p>
          <w:p>
            <w:pPr>
              <w:pStyle w:val="391"/>
              <w:autoSpaceDE w:val="0"/>
              <w:autoSpaceDN w:val="0"/>
              <w:spacing w:before="182" w:line="222" w:lineRule="auto"/>
              <w:ind w:left="1491" w:firstLine="420"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5"/>
                <w:lang w:eastAsia="zh-CN"/>
                <w14:textFill>
                  <w14:solidFill>
                    <w14:schemeClr w14:val="tx1"/>
                  </w14:solidFill>
                </w14:textFill>
              </w:rPr>
              <w:t>施工；</w:t>
            </w:r>
          </w:p>
          <w:p>
            <w:pPr>
              <w:pStyle w:val="391"/>
              <w:autoSpaceDE w:val="0"/>
              <w:autoSpaceDN w:val="0"/>
              <w:spacing w:before="179" w:line="220" w:lineRule="auto"/>
              <w:ind w:left="117" w:firstLine="544"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6"/>
                <w:lang w:eastAsia="zh-CN"/>
                <w14:textFill>
                  <w14:solidFill>
                    <w14:schemeClr w14:val="tx1"/>
                  </w14:solidFill>
                </w14:textFill>
              </w:rPr>
              <w:t>2、桥墩承台挖做好临时支护，</w:t>
            </w:r>
          </w:p>
          <w:p>
            <w:pPr>
              <w:pStyle w:val="391"/>
              <w:autoSpaceDE w:val="0"/>
              <w:autoSpaceDN w:val="0"/>
              <w:spacing w:before="182" w:line="220" w:lineRule="auto"/>
              <w:ind w:left="267" w:firstLine="544"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6"/>
                <w:lang w:eastAsia="zh-CN"/>
                <w14:textFill>
                  <w14:solidFill>
                    <w14:schemeClr w14:val="tx1"/>
                  </w14:solidFill>
                </w14:textFill>
              </w:rPr>
              <w:t>施工期间需加强护壁监测；</w:t>
            </w:r>
          </w:p>
          <w:p>
            <w:pPr>
              <w:pStyle w:val="391"/>
              <w:autoSpaceDE w:val="0"/>
              <w:autoSpaceDN w:val="0"/>
              <w:spacing w:before="181" w:line="220" w:lineRule="auto"/>
              <w:ind w:left="119" w:firstLine="472"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3、基坑范围内若有地下水需降水</w:t>
            </w:r>
          </w:p>
          <w:p>
            <w:pPr>
              <w:pStyle w:val="391"/>
              <w:autoSpaceDE w:val="0"/>
              <w:autoSpaceDN w:val="0"/>
              <w:spacing w:before="182" w:line="468" w:lineRule="exact"/>
              <w:ind w:left="171" w:firstLine="476"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position w:val="17"/>
                <w:lang w:eastAsia="zh-CN"/>
                <w14:textFill>
                  <w14:solidFill>
                    <w14:schemeClr w14:val="tx1"/>
                  </w14:solidFill>
                </w14:textFill>
              </w:rPr>
              <w:t>施工时，应根据水文地质和现场</w:t>
            </w:r>
          </w:p>
          <w:p>
            <w:pPr>
              <w:pStyle w:val="391"/>
              <w:autoSpaceDE w:val="0"/>
              <w:autoSpaceDN w:val="0"/>
              <w:spacing w:before="1" w:line="219" w:lineRule="auto"/>
              <w:ind w:left="532" w:firstLine="464"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4"/>
                <w:lang w:eastAsia="zh-CN"/>
                <w14:textFill>
                  <w14:solidFill>
                    <w14:schemeClr w14:val="tx1"/>
                  </w14:solidFill>
                </w14:textFill>
              </w:rPr>
              <w:t>环境状况进行施工设计。</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982" w:type="dxa"/>
          </w:tcPr>
          <w:p>
            <w:pPr>
              <w:pStyle w:val="391"/>
              <w:autoSpaceDE w:val="0"/>
              <w:autoSpaceDN w:val="0"/>
              <w:spacing w:before="153" w:line="183" w:lineRule="auto"/>
              <w:ind w:left="43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2</w:t>
            </w:r>
          </w:p>
        </w:tc>
        <w:tc>
          <w:tcPr>
            <w:tcW w:w="1912" w:type="dxa"/>
          </w:tcPr>
          <w:p>
            <w:pPr>
              <w:pStyle w:val="391"/>
              <w:autoSpaceDE w:val="0"/>
              <w:autoSpaceDN w:val="0"/>
              <w:spacing w:before="115" w:line="220" w:lineRule="auto"/>
              <w:ind w:left="46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8"/>
                <w14:textFill>
                  <w14:solidFill>
                    <w14:schemeClr w14:val="tx1"/>
                  </w14:solidFill>
                </w14:textFill>
              </w:rPr>
              <w:t>吊装作业</w:t>
            </w:r>
          </w:p>
        </w:tc>
        <w:tc>
          <w:tcPr>
            <w:tcW w:w="3771" w:type="dxa"/>
          </w:tcPr>
          <w:p>
            <w:pPr>
              <w:pStyle w:val="391"/>
              <w:autoSpaceDE w:val="0"/>
              <w:autoSpaceDN w:val="0"/>
              <w:spacing w:before="114" w:line="220" w:lineRule="auto"/>
              <w:ind w:left="136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5"/>
                <w14:textFill>
                  <w14:solidFill>
                    <w14:schemeClr w14:val="tx1"/>
                  </w14:solidFill>
                </w14:textFill>
              </w:rPr>
              <w:t>起重伤害</w:t>
            </w:r>
          </w:p>
        </w:tc>
        <w:tc>
          <w:tcPr>
            <w:tcW w:w="3702" w:type="dxa"/>
            <w:vMerge w:val="continue"/>
            <w:tcBorders>
              <w:top w:val="nil"/>
              <w:bottom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2" w:type="dxa"/>
          </w:tcPr>
          <w:p>
            <w:pPr>
              <w:pStyle w:val="391"/>
              <w:autoSpaceDE w:val="0"/>
              <w:autoSpaceDN w:val="0"/>
              <w:spacing w:before="155" w:line="183" w:lineRule="auto"/>
              <w:ind w:left="43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3</w:t>
            </w:r>
          </w:p>
        </w:tc>
        <w:tc>
          <w:tcPr>
            <w:tcW w:w="1912" w:type="dxa"/>
          </w:tcPr>
          <w:p>
            <w:pPr>
              <w:pStyle w:val="391"/>
              <w:autoSpaceDE w:val="0"/>
              <w:autoSpaceDN w:val="0"/>
              <w:spacing w:before="116" w:line="220" w:lineRule="auto"/>
              <w:ind w:left="44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2"/>
                <w14:textFill>
                  <w14:solidFill>
                    <w14:schemeClr w14:val="tx1"/>
                  </w14:solidFill>
                </w14:textFill>
              </w:rPr>
              <w:t>临时用电</w:t>
            </w:r>
          </w:p>
        </w:tc>
        <w:tc>
          <w:tcPr>
            <w:tcW w:w="3771" w:type="dxa"/>
          </w:tcPr>
          <w:p>
            <w:pPr>
              <w:pStyle w:val="391"/>
              <w:autoSpaceDE w:val="0"/>
              <w:autoSpaceDN w:val="0"/>
              <w:spacing w:before="116" w:line="221" w:lineRule="auto"/>
              <w:ind w:left="162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触电</w:t>
            </w:r>
          </w:p>
        </w:tc>
        <w:tc>
          <w:tcPr>
            <w:tcW w:w="3702" w:type="dxa"/>
            <w:vMerge w:val="continue"/>
            <w:tcBorders>
              <w:top w:val="nil"/>
              <w:bottom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982" w:type="dxa"/>
          </w:tcPr>
          <w:p>
            <w:pPr>
              <w:pStyle w:val="391"/>
              <w:autoSpaceDE w:val="0"/>
              <w:autoSpaceDN w:val="0"/>
              <w:spacing w:before="154" w:line="183" w:lineRule="auto"/>
              <w:ind w:left="43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4</w:t>
            </w:r>
          </w:p>
        </w:tc>
        <w:tc>
          <w:tcPr>
            <w:tcW w:w="1912" w:type="dxa"/>
          </w:tcPr>
          <w:p>
            <w:pPr>
              <w:pStyle w:val="391"/>
              <w:autoSpaceDE w:val="0"/>
              <w:autoSpaceDN w:val="0"/>
              <w:spacing w:before="116" w:line="220" w:lineRule="auto"/>
              <w:ind w:left="43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6"/>
                <w14:textFill>
                  <w14:solidFill>
                    <w14:schemeClr w14:val="tx1"/>
                  </w14:solidFill>
                </w14:textFill>
              </w:rPr>
              <w:t>钢筋加工</w:t>
            </w:r>
          </w:p>
        </w:tc>
        <w:tc>
          <w:tcPr>
            <w:tcW w:w="3771" w:type="dxa"/>
          </w:tcPr>
          <w:p>
            <w:pPr>
              <w:pStyle w:val="391"/>
              <w:autoSpaceDE w:val="0"/>
              <w:autoSpaceDN w:val="0"/>
              <w:spacing w:before="116" w:line="219" w:lineRule="auto"/>
              <w:ind w:left="96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9"/>
                <w14:textFill>
                  <w14:solidFill>
                    <w14:schemeClr w14:val="tx1"/>
                  </w14:solidFill>
                </w14:textFill>
              </w:rPr>
              <w:t>机械伤害、触电</w:t>
            </w:r>
          </w:p>
        </w:tc>
        <w:tc>
          <w:tcPr>
            <w:tcW w:w="3702" w:type="dxa"/>
            <w:vMerge w:val="continue"/>
            <w:tcBorders>
              <w:top w:val="nil"/>
              <w:bottom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3" w:hRule="atLeast"/>
        </w:trPr>
        <w:tc>
          <w:tcPr>
            <w:tcW w:w="982" w:type="dxa"/>
          </w:tcPr>
          <w:p>
            <w:pPr>
              <w:pStyle w:val="391"/>
              <w:autoSpaceDE w:val="0"/>
              <w:autoSpaceDN w:val="0"/>
              <w:spacing w:before="234" w:line="182" w:lineRule="auto"/>
              <w:ind w:left="43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5</w:t>
            </w:r>
          </w:p>
        </w:tc>
        <w:tc>
          <w:tcPr>
            <w:tcW w:w="1912" w:type="dxa"/>
          </w:tcPr>
          <w:p>
            <w:pPr>
              <w:pStyle w:val="391"/>
              <w:autoSpaceDE w:val="0"/>
              <w:autoSpaceDN w:val="0"/>
              <w:spacing w:before="194" w:line="219" w:lineRule="auto"/>
              <w:ind w:left="43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5"/>
                <w14:textFill>
                  <w14:solidFill>
                    <w14:schemeClr w14:val="tx1"/>
                  </w14:solidFill>
                </w14:textFill>
              </w:rPr>
              <w:t>材料运输</w:t>
            </w:r>
          </w:p>
        </w:tc>
        <w:tc>
          <w:tcPr>
            <w:tcW w:w="3771" w:type="dxa"/>
          </w:tcPr>
          <w:p>
            <w:pPr>
              <w:pStyle w:val="391"/>
              <w:autoSpaceDE w:val="0"/>
              <w:autoSpaceDN w:val="0"/>
              <w:spacing w:before="194" w:line="220" w:lineRule="auto"/>
              <w:ind w:left="70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0"/>
                <w14:textFill>
                  <w14:solidFill>
                    <w14:schemeClr w14:val="tx1"/>
                  </w14:solidFill>
                </w14:textFill>
              </w:rPr>
              <w:t>车辆伤害，物体打击</w:t>
            </w:r>
          </w:p>
        </w:tc>
        <w:tc>
          <w:tcPr>
            <w:tcW w:w="3702" w:type="dxa"/>
            <w:vMerge w:val="continue"/>
            <w:tcBorders>
              <w:top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r>
    </w:tbl>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（2）模板及脚手架工程‐‐桥墩施工</w:t>
      </w:r>
    </w:p>
    <w:tbl>
      <w:tblPr>
        <w:tblStyle w:val="379"/>
        <w:tblW w:w="10367" w:type="dxa"/>
        <w:tblInd w:w="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66"/>
        <w:gridCol w:w="2160"/>
        <w:gridCol w:w="3565"/>
        <w:gridCol w:w="3576"/>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7" w:hRule="atLeast"/>
        </w:trPr>
        <w:tc>
          <w:tcPr>
            <w:tcW w:w="1066" w:type="dxa"/>
          </w:tcPr>
          <w:p>
            <w:pPr>
              <w:pStyle w:val="391"/>
              <w:autoSpaceDE w:val="0"/>
              <w:autoSpaceDN w:val="0"/>
              <w:spacing w:before="137" w:line="221" w:lineRule="auto"/>
              <w:ind w:left="27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序号</w:t>
            </w:r>
          </w:p>
        </w:tc>
        <w:tc>
          <w:tcPr>
            <w:tcW w:w="2160" w:type="dxa"/>
          </w:tcPr>
          <w:p>
            <w:pPr>
              <w:pStyle w:val="391"/>
              <w:autoSpaceDE w:val="0"/>
              <w:autoSpaceDN w:val="0"/>
              <w:spacing w:before="138" w:line="220" w:lineRule="auto"/>
              <w:ind w:left="82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6"/>
                <w14:textFill>
                  <w14:solidFill>
                    <w14:schemeClr w14:val="tx1"/>
                  </w14:solidFill>
                </w14:textFill>
              </w:rPr>
              <w:t>作业</w:t>
            </w:r>
          </w:p>
        </w:tc>
        <w:tc>
          <w:tcPr>
            <w:tcW w:w="3565" w:type="dxa"/>
          </w:tcPr>
          <w:p>
            <w:pPr>
              <w:pStyle w:val="391"/>
              <w:autoSpaceDE w:val="0"/>
              <w:autoSpaceDN w:val="0"/>
              <w:spacing w:before="138" w:line="220" w:lineRule="auto"/>
              <w:ind w:left="139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2"/>
                <w14:textFill>
                  <w14:solidFill>
                    <w14:schemeClr w14:val="tx1"/>
                  </w14:solidFill>
                </w14:textFill>
              </w:rPr>
              <w:t>风险点</w:t>
            </w:r>
          </w:p>
        </w:tc>
        <w:tc>
          <w:tcPr>
            <w:tcW w:w="3576" w:type="dxa"/>
          </w:tcPr>
          <w:p>
            <w:pPr>
              <w:pStyle w:val="391"/>
              <w:autoSpaceDE w:val="0"/>
              <w:autoSpaceDN w:val="0"/>
              <w:spacing w:before="138" w:line="220" w:lineRule="auto"/>
              <w:ind w:left="104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应对措施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066" w:type="dxa"/>
          </w:tcPr>
          <w:p>
            <w:pPr>
              <w:pStyle w:val="391"/>
              <w:autoSpaceDE w:val="0"/>
              <w:autoSpaceDN w:val="0"/>
              <w:spacing w:before="78" w:line="184" w:lineRule="auto"/>
              <w:ind w:left="49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1</w:t>
            </w:r>
          </w:p>
        </w:tc>
        <w:tc>
          <w:tcPr>
            <w:tcW w:w="2160" w:type="dxa"/>
          </w:tcPr>
          <w:p>
            <w:pPr>
              <w:pStyle w:val="391"/>
              <w:autoSpaceDE w:val="0"/>
              <w:autoSpaceDN w:val="0"/>
              <w:spacing w:before="78" w:line="220" w:lineRule="auto"/>
              <w:ind w:left="55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5"/>
                <w14:textFill>
                  <w14:solidFill>
                    <w14:schemeClr w14:val="tx1"/>
                  </w14:solidFill>
                </w14:textFill>
              </w:rPr>
              <w:t>墩身施工</w:t>
            </w:r>
          </w:p>
        </w:tc>
        <w:tc>
          <w:tcPr>
            <w:tcW w:w="3565" w:type="dxa"/>
          </w:tcPr>
          <w:p>
            <w:pPr>
              <w:pStyle w:val="391"/>
              <w:autoSpaceDE w:val="0"/>
              <w:autoSpaceDN w:val="0"/>
              <w:spacing w:before="114" w:line="220" w:lineRule="auto"/>
              <w:ind w:left="119" w:firstLine="396"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21"/>
                <w:lang w:eastAsia="zh-CN"/>
                <w14:textFill>
                  <w14:solidFill>
                    <w14:schemeClr w14:val="tx1"/>
                  </w14:solidFill>
                </w14:textFill>
              </w:rPr>
              <w:t>高坠；物体打击；坍塌；中暑；</w:t>
            </w:r>
          </w:p>
          <w:p>
            <w:pPr>
              <w:pStyle w:val="391"/>
              <w:autoSpaceDE w:val="0"/>
              <w:autoSpaceDN w:val="0"/>
              <w:spacing w:before="182" w:line="220" w:lineRule="auto"/>
              <w:ind w:left="1027" w:firstLine="492" w:firstLineChars="2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昏厥；窒息；</w:t>
            </w:r>
          </w:p>
        </w:tc>
        <w:tc>
          <w:tcPr>
            <w:tcW w:w="3576" w:type="dxa"/>
            <w:vMerge w:val="restart"/>
            <w:tcBorders>
              <w:bottom w:val="nil"/>
            </w:tcBorders>
          </w:tcPr>
          <w:p>
            <w:pPr>
              <w:pStyle w:val="391"/>
              <w:autoSpaceDE w:val="0"/>
              <w:autoSpaceDN w:val="0"/>
              <w:spacing w:before="78" w:line="468" w:lineRule="exact"/>
              <w:ind w:left="156" w:firstLine="552"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8"/>
                <w:position w:val="17"/>
                <w:lang w:eastAsia="zh-CN"/>
                <w14:textFill>
                  <w14:solidFill>
                    <w14:schemeClr w14:val="tx1"/>
                  </w14:solidFill>
                </w14:textFill>
              </w:rPr>
              <w:t>1、严格按照相关规范及技术</w:t>
            </w:r>
          </w:p>
          <w:p>
            <w:pPr>
              <w:pStyle w:val="391"/>
              <w:autoSpaceDE w:val="0"/>
              <w:autoSpaceDN w:val="0"/>
              <w:spacing w:line="220" w:lineRule="auto"/>
              <w:ind w:left="1129" w:firstLine="500"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5"/>
                <w:lang w:eastAsia="zh-CN"/>
                <w14:textFill>
                  <w14:solidFill>
                    <w14:schemeClr w14:val="tx1"/>
                  </w14:solidFill>
                </w14:textFill>
              </w:rPr>
              <w:t>标准施工；</w:t>
            </w:r>
          </w:p>
          <w:p>
            <w:pPr>
              <w:pStyle w:val="391"/>
              <w:autoSpaceDE w:val="0"/>
              <w:autoSpaceDN w:val="0"/>
              <w:spacing w:before="182" w:line="220" w:lineRule="auto"/>
              <w:ind w:left="291" w:firstLine="460"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5"/>
                <w:lang w:eastAsia="zh-CN"/>
                <w14:textFill>
                  <w14:solidFill>
                    <w14:schemeClr w14:val="tx1"/>
                  </w14:solidFill>
                </w14:textFill>
              </w:rPr>
              <w:t>2、制定专项方案工艺措施；</w:t>
            </w:r>
          </w:p>
          <w:p>
            <w:pPr>
              <w:pStyle w:val="391"/>
              <w:autoSpaceDE w:val="0"/>
              <w:autoSpaceDN w:val="0"/>
              <w:spacing w:before="182" w:line="220" w:lineRule="auto"/>
              <w:ind w:left="173" w:firstLine="476"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lang w:eastAsia="zh-CN"/>
                <w14:textFill>
                  <w14:solidFill>
                    <w14:schemeClr w14:val="tx1"/>
                  </w14:solidFill>
                </w14:textFill>
              </w:rPr>
              <w:t>3、加强施工人员的培训、加强</w:t>
            </w:r>
          </w:p>
          <w:p>
            <w:pPr>
              <w:pStyle w:val="391"/>
              <w:autoSpaceDE w:val="0"/>
              <w:autoSpaceDN w:val="0"/>
              <w:spacing w:before="181" w:line="220" w:lineRule="auto"/>
              <w:ind w:left="707" w:firstLine="452"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7"/>
                <w:lang w:eastAsia="zh-CN"/>
                <w14:textFill>
                  <w14:solidFill>
                    <w14:schemeClr w14:val="tx1"/>
                  </w14:solidFill>
                </w14:textFill>
              </w:rPr>
              <w:t>施工过程质量监督；</w:t>
            </w:r>
          </w:p>
          <w:p>
            <w:pPr>
              <w:pStyle w:val="391"/>
              <w:autoSpaceDE w:val="0"/>
              <w:autoSpaceDN w:val="0"/>
              <w:spacing w:before="181" w:line="468" w:lineRule="exact"/>
              <w:ind w:left="167" w:firstLine="476"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position w:val="17"/>
                <w:lang w:eastAsia="zh-CN"/>
                <w14:textFill>
                  <w14:solidFill>
                    <w14:schemeClr w14:val="tx1"/>
                  </w14:solidFill>
                </w14:textFill>
              </w:rPr>
              <w:t>4、重大临时结构措施应有完整</w:t>
            </w:r>
          </w:p>
          <w:p>
            <w:pPr>
              <w:pStyle w:val="391"/>
              <w:autoSpaceDE w:val="0"/>
              <w:autoSpaceDN w:val="0"/>
              <w:spacing w:before="1" w:line="219" w:lineRule="auto"/>
              <w:ind w:left="248" w:firstLine="468"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3"/>
                <w:lang w:eastAsia="zh-CN"/>
                <w14:textFill>
                  <w14:solidFill>
                    <w14:schemeClr w14:val="tx1"/>
                  </w14:solidFill>
                </w14:textFill>
              </w:rPr>
              <w:t>的结构设计图纸及施工技术专</w:t>
            </w:r>
          </w:p>
          <w:p>
            <w:pPr>
              <w:pStyle w:val="391"/>
              <w:autoSpaceDE w:val="0"/>
              <w:autoSpaceDN w:val="0"/>
              <w:spacing w:before="182" w:line="468" w:lineRule="exact"/>
              <w:ind w:left="118" w:firstLine="440"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0"/>
                <w:position w:val="17"/>
                <w:lang w:eastAsia="zh-CN"/>
                <w14:textFill>
                  <w14:solidFill>
                    <w14:schemeClr w14:val="tx1"/>
                  </w14:solidFill>
                </w14:textFill>
              </w:rPr>
              <w:t>项方案，方案评审通过后严格实</w:t>
            </w:r>
          </w:p>
          <w:p>
            <w:pPr>
              <w:pStyle w:val="391"/>
              <w:autoSpaceDE w:val="0"/>
              <w:autoSpaceDN w:val="0"/>
              <w:spacing w:before="1" w:line="222" w:lineRule="auto"/>
              <w:ind w:left="1547" w:firstLine="436" w:firstLineChars="2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1"/>
                <w14:textFill>
                  <w14:solidFill>
                    <w14:schemeClr w14:val="tx1"/>
                  </w14:solidFill>
                </w14:textFill>
              </w:rPr>
              <w:t>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066" w:type="dxa"/>
          </w:tcPr>
          <w:p>
            <w:pPr>
              <w:pStyle w:val="391"/>
              <w:autoSpaceDE w:val="0"/>
              <w:autoSpaceDN w:val="0"/>
              <w:spacing w:before="153" w:line="183" w:lineRule="auto"/>
              <w:ind w:left="48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2</w:t>
            </w:r>
          </w:p>
        </w:tc>
        <w:tc>
          <w:tcPr>
            <w:tcW w:w="2160" w:type="dxa"/>
          </w:tcPr>
          <w:p>
            <w:pPr>
              <w:pStyle w:val="391"/>
              <w:autoSpaceDE w:val="0"/>
              <w:autoSpaceDN w:val="0"/>
              <w:spacing w:before="115" w:line="219" w:lineRule="auto"/>
              <w:ind w:left="29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8"/>
                <w14:textFill>
                  <w14:solidFill>
                    <w14:schemeClr w14:val="tx1"/>
                  </w14:solidFill>
                </w14:textFill>
              </w:rPr>
              <w:t>材料吊装作业</w:t>
            </w:r>
          </w:p>
        </w:tc>
        <w:tc>
          <w:tcPr>
            <w:tcW w:w="3565" w:type="dxa"/>
          </w:tcPr>
          <w:p>
            <w:pPr>
              <w:pStyle w:val="391"/>
              <w:autoSpaceDE w:val="0"/>
              <w:autoSpaceDN w:val="0"/>
              <w:spacing w:before="114" w:line="220" w:lineRule="auto"/>
              <w:ind w:left="126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5"/>
                <w14:textFill>
                  <w14:solidFill>
                    <w14:schemeClr w14:val="tx1"/>
                  </w14:solidFill>
                </w14:textFill>
              </w:rPr>
              <w:t>起重伤害</w:t>
            </w:r>
          </w:p>
        </w:tc>
        <w:tc>
          <w:tcPr>
            <w:tcW w:w="3576" w:type="dxa"/>
            <w:vMerge w:val="continue"/>
            <w:tcBorders>
              <w:top w:val="nil"/>
              <w:bottom w:val="nil"/>
            </w:tcBorders>
          </w:tcPr>
          <w:p>
            <w:pPr>
              <w:autoSpaceDE w:val="0"/>
              <w:autoSpaceDN w:val="0"/>
              <w:rPr>
                <w:rFonts w:ascii="Times New Roman" w:hAnsi="Times New Roman" w:eastAsiaTheme="minorEastAsia" w:cstheme="minorBidi"/>
                <w:sz w:val="21"/>
                <w:lang w:eastAsia="en-US"/>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066" w:type="dxa"/>
          </w:tcPr>
          <w:p>
            <w:pPr>
              <w:pStyle w:val="391"/>
              <w:autoSpaceDE w:val="0"/>
              <w:autoSpaceDN w:val="0"/>
              <w:spacing w:before="153" w:line="183" w:lineRule="auto"/>
              <w:ind w:left="48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3</w:t>
            </w:r>
          </w:p>
        </w:tc>
        <w:tc>
          <w:tcPr>
            <w:tcW w:w="2160" w:type="dxa"/>
          </w:tcPr>
          <w:p>
            <w:pPr>
              <w:pStyle w:val="391"/>
              <w:autoSpaceDE w:val="0"/>
              <w:autoSpaceDN w:val="0"/>
              <w:spacing w:before="114" w:line="220" w:lineRule="auto"/>
              <w:ind w:left="57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2"/>
                <w14:textFill>
                  <w14:solidFill>
                    <w14:schemeClr w14:val="tx1"/>
                  </w14:solidFill>
                </w14:textFill>
              </w:rPr>
              <w:t>临时用电</w:t>
            </w:r>
          </w:p>
        </w:tc>
        <w:tc>
          <w:tcPr>
            <w:tcW w:w="3565" w:type="dxa"/>
          </w:tcPr>
          <w:p>
            <w:pPr>
              <w:pStyle w:val="391"/>
              <w:autoSpaceDE w:val="0"/>
              <w:autoSpaceDN w:val="0"/>
              <w:spacing w:before="114" w:line="221" w:lineRule="auto"/>
              <w:ind w:left="152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触电</w:t>
            </w:r>
          </w:p>
        </w:tc>
        <w:tc>
          <w:tcPr>
            <w:tcW w:w="3576" w:type="dxa"/>
            <w:vMerge w:val="continue"/>
            <w:tcBorders>
              <w:top w:val="nil"/>
              <w:bottom w:val="nil"/>
            </w:tcBorders>
          </w:tcPr>
          <w:p>
            <w:pPr>
              <w:autoSpaceDE w:val="0"/>
              <w:autoSpaceDN w:val="0"/>
              <w:rPr>
                <w:rFonts w:ascii="Times New Roman" w:hAnsi="Times New Roman" w:eastAsiaTheme="minorEastAsia" w:cstheme="minorBidi"/>
                <w:sz w:val="21"/>
                <w:lang w:eastAsia="en-US"/>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066" w:type="dxa"/>
          </w:tcPr>
          <w:p>
            <w:pPr>
              <w:pStyle w:val="391"/>
              <w:autoSpaceDE w:val="0"/>
              <w:autoSpaceDN w:val="0"/>
              <w:spacing w:before="154" w:line="183" w:lineRule="auto"/>
              <w:ind w:left="47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4</w:t>
            </w:r>
          </w:p>
        </w:tc>
        <w:tc>
          <w:tcPr>
            <w:tcW w:w="2160" w:type="dxa"/>
          </w:tcPr>
          <w:p>
            <w:pPr>
              <w:pStyle w:val="391"/>
              <w:autoSpaceDE w:val="0"/>
              <w:autoSpaceDN w:val="0"/>
              <w:spacing w:before="116" w:line="220" w:lineRule="auto"/>
              <w:ind w:left="55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6"/>
                <w14:textFill>
                  <w14:solidFill>
                    <w14:schemeClr w14:val="tx1"/>
                  </w14:solidFill>
                </w14:textFill>
              </w:rPr>
              <w:t>钢筋加工</w:t>
            </w:r>
          </w:p>
        </w:tc>
        <w:tc>
          <w:tcPr>
            <w:tcW w:w="3565" w:type="dxa"/>
          </w:tcPr>
          <w:p>
            <w:pPr>
              <w:pStyle w:val="391"/>
              <w:autoSpaceDE w:val="0"/>
              <w:autoSpaceDN w:val="0"/>
              <w:spacing w:before="116" w:line="219" w:lineRule="auto"/>
              <w:ind w:left="86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9"/>
                <w14:textFill>
                  <w14:solidFill>
                    <w14:schemeClr w14:val="tx1"/>
                  </w14:solidFill>
                </w14:textFill>
              </w:rPr>
              <w:t>机械伤害、触电</w:t>
            </w:r>
          </w:p>
        </w:tc>
        <w:tc>
          <w:tcPr>
            <w:tcW w:w="3576" w:type="dxa"/>
            <w:vMerge w:val="continue"/>
            <w:tcBorders>
              <w:top w:val="nil"/>
              <w:bottom w:val="nil"/>
            </w:tcBorders>
          </w:tcPr>
          <w:p>
            <w:pPr>
              <w:autoSpaceDE w:val="0"/>
              <w:autoSpaceDN w:val="0"/>
              <w:rPr>
                <w:rFonts w:ascii="Times New Roman" w:hAnsi="Times New Roman" w:eastAsiaTheme="minorEastAsia" w:cstheme="minorBidi"/>
                <w:sz w:val="21"/>
                <w:lang w:eastAsia="en-US"/>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066" w:type="dxa"/>
          </w:tcPr>
          <w:p>
            <w:pPr>
              <w:pStyle w:val="391"/>
              <w:autoSpaceDE w:val="0"/>
              <w:autoSpaceDN w:val="0"/>
              <w:spacing w:before="156" w:line="182" w:lineRule="auto"/>
              <w:ind w:left="48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5</w:t>
            </w:r>
          </w:p>
        </w:tc>
        <w:tc>
          <w:tcPr>
            <w:tcW w:w="2160" w:type="dxa"/>
          </w:tcPr>
          <w:p>
            <w:pPr>
              <w:pStyle w:val="391"/>
              <w:autoSpaceDE w:val="0"/>
              <w:autoSpaceDN w:val="0"/>
              <w:spacing w:before="117" w:line="219" w:lineRule="auto"/>
              <w:ind w:left="55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5"/>
                <w14:textFill>
                  <w14:solidFill>
                    <w14:schemeClr w14:val="tx1"/>
                  </w14:solidFill>
                </w14:textFill>
              </w:rPr>
              <w:t>材料运输</w:t>
            </w:r>
          </w:p>
        </w:tc>
        <w:tc>
          <w:tcPr>
            <w:tcW w:w="3565" w:type="dxa"/>
          </w:tcPr>
          <w:p>
            <w:pPr>
              <w:pStyle w:val="391"/>
              <w:autoSpaceDE w:val="0"/>
              <w:autoSpaceDN w:val="0"/>
              <w:spacing w:before="116" w:line="220" w:lineRule="auto"/>
              <w:ind w:left="60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0"/>
                <w14:textFill>
                  <w14:solidFill>
                    <w14:schemeClr w14:val="tx1"/>
                  </w14:solidFill>
                </w14:textFill>
              </w:rPr>
              <w:t>车辆伤害，物体打击</w:t>
            </w:r>
          </w:p>
        </w:tc>
        <w:tc>
          <w:tcPr>
            <w:tcW w:w="3576" w:type="dxa"/>
            <w:vMerge w:val="continue"/>
            <w:tcBorders>
              <w:top w:val="nil"/>
              <w:bottom w:val="nil"/>
            </w:tcBorders>
          </w:tcPr>
          <w:p>
            <w:pPr>
              <w:autoSpaceDE w:val="0"/>
              <w:autoSpaceDN w:val="0"/>
              <w:rPr>
                <w:rFonts w:ascii="Times New Roman" w:hAnsi="Times New Roman" w:eastAsiaTheme="minorEastAsia" w:cstheme="minorBidi"/>
                <w:sz w:val="21"/>
                <w:lang w:eastAsia="en-US"/>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066" w:type="dxa"/>
          </w:tcPr>
          <w:p>
            <w:pPr>
              <w:pStyle w:val="391"/>
              <w:autoSpaceDE w:val="0"/>
              <w:autoSpaceDN w:val="0"/>
              <w:spacing w:before="154" w:line="183" w:lineRule="auto"/>
              <w:ind w:left="48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2</w:t>
            </w:r>
          </w:p>
        </w:tc>
        <w:tc>
          <w:tcPr>
            <w:tcW w:w="2160" w:type="dxa"/>
          </w:tcPr>
          <w:p>
            <w:pPr>
              <w:pStyle w:val="391"/>
              <w:autoSpaceDE w:val="0"/>
              <w:autoSpaceDN w:val="0"/>
              <w:spacing w:before="116" w:line="219" w:lineRule="auto"/>
              <w:ind w:left="29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8"/>
                <w14:textFill>
                  <w14:solidFill>
                    <w14:schemeClr w14:val="tx1"/>
                  </w14:solidFill>
                </w14:textFill>
              </w:rPr>
              <w:t>材料吊装作业</w:t>
            </w:r>
          </w:p>
        </w:tc>
        <w:tc>
          <w:tcPr>
            <w:tcW w:w="3565" w:type="dxa"/>
          </w:tcPr>
          <w:p>
            <w:pPr>
              <w:pStyle w:val="391"/>
              <w:autoSpaceDE w:val="0"/>
              <w:autoSpaceDN w:val="0"/>
              <w:spacing w:before="116" w:line="220" w:lineRule="auto"/>
              <w:ind w:left="126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5"/>
                <w14:textFill>
                  <w14:solidFill>
                    <w14:schemeClr w14:val="tx1"/>
                  </w14:solidFill>
                </w14:textFill>
              </w:rPr>
              <w:t>起重伤害</w:t>
            </w:r>
          </w:p>
        </w:tc>
        <w:tc>
          <w:tcPr>
            <w:tcW w:w="3576" w:type="dxa"/>
            <w:vMerge w:val="continue"/>
            <w:tcBorders>
              <w:top w:val="nil"/>
              <w:bottom w:val="nil"/>
            </w:tcBorders>
          </w:tcPr>
          <w:p>
            <w:pPr>
              <w:autoSpaceDE w:val="0"/>
              <w:autoSpaceDN w:val="0"/>
              <w:rPr>
                <w:rFonts w:ascii="Times New Roman" w:hAnsi="Times New Roman" w:eastAsiaTheme="minorEastAsia" w:cstheme="minorBidi"/>
                <w:sz w:val="21"/>
                <w:lang w:eastAsia="en-US"/>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066" w:type="dxa"/>
          </w:tcPr>
          <w:p>
            <w:pPr>
              <w:pStyle w:val="391"/>
              <w:autoSpaceDE w:val="0"/>
              <w:autoSpaceDN w:val="0"/>
              <w:spacing w:before="156" w:line="183" w:lineRule="auto"/>
              <w:ind w:left="48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3</w:t>
            </w:r>
          </w:p>
        </w:tc>
        <w:tc>
          <w:tcPr>
            <w:tcW w:w="2160" w:type="dxa"/>
          </w:tcPr>
          <w:p>
            <w:pPr>
              <w:pStyle w:val="391"/>
              <w:autoSpaceDE w:val="0"/>
              <w:autoSpaceDN w:val="0"/>
              <w:spacing w:before="118" w:line="220" w:lineRule="auto"/>
              <w:ind w:left="57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2"/>
                <w14:textFill>
                  <w14:solidFill>
                    <w14:schemeClr w14:val="tx1"/>
                  </w14:solidFill>
                </w14:textFill>
              </w:rPr>
              <w:t>临时用电</w:t>
            </w:r>
          </w:p>
        </w:tc>
        <w:tc>
          <w:tcPr>
            <w:tcW w:w="3565" w:type="dxa"/>
          </w:tcPr>
          <w:p>
            <w:pPr>
              <w:pStyle w:val="391"/>
              <w:autoSpaceDE w:val="0"/>
              <w:autoSpaceDN w:val="0"/>
              <w:spacing w:before="118" w:line="221" w:lineRule="auto"/>
              <w:ind w:left="152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触电</w:t>
            </w:r>
          </w:p>
        </w:tc>
        <w:tc>
          <w:tcPr>
            <w:tcW w:w="3576" w:type="dxa"/>
            <w:vMerge w:val="continue"/>
            <w:tcBorders>
              <w:top w:val="nil"/>
              <w:bottom w:val="nil"/>
            </w:tcBorders>
          </w:tcPr>
          <w:p>
            <w:pPr>
              <w:autoSpaceDE w:val="0"/>
              <w:autoSpaceDN w:val="0"/>
              <w:rPr>
                <w:rFonts w:ascii="Times New Roman" w:hAnsi="Times New Roman" w:eastAsiaTheme="minorEastAsia" w:cstheme="minorBidi"/>
                <w:sz w:val="21"/>
                <w:lang w:eastAsia="en-US"/>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4" w:hRule="atLeast"/>
        </w:trPr>
        <w:tc>
          <w:tcPr>
            <w:tcW w:w="1066" w:type="dxa"/>
          </w:tcPr>
          <w:p>
            <w:pPr>
              <w:pStyle w:val="391"/>
              <w:autoSpaceDE w:val="0"/>
              <w:autoSpaceDN w:val="0"/>
              <w:spacing w:before="157" w:line="183" w:lineRule="auto"/>
              <w:ind w:left="47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4</w:t>
            </w:r>
          </w:p>
        </w:tc>
        <w:tc>
          <w:tcPr>
            <w:tcW w:w="2160" w:type="dxa"/>
          </w:tcPr>
          <w:p>
            <w:pPr>
              <w:pStyle w:val="391"/>
              <w:autoSpaceDE w:val="0"/>
              <w:autoSpaceDN w:val="0"/>
              <w:spacing w:before="118" w:line="220" w:lineRule="auto"/>
              <w:ind w:left="55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6"/>
                <w14:textFill>
                  <w14:solidFill>
                    <w14:schemeClr w14:val="tx1"/>
                  </w14:solidFill>
                </w14:textFill>
              </w:rPr>
              <w:t>钢筋加工</w:t>
            </w:r>
          </w:p>
        </w:tc>
        <w:tc>
          <w:tcPr>
            <w:tcW w:w="3565" w:type="dxa"/>
          </w:tcPr>
          <w:p>
            <w:pPr>
              <w:pStyle w:val="391"/>
              <w:autoSpaceDE w:val="0"/>
              <w:autoSpaceDN w:val="0"/>
              <w:spacing w:before="119" w:line="219" w:lineRule="auto"/>
              <w:ind w:left="86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9"/>
                <w14:textFill>
                  <w14:solidFill>
                    <w14:schemeClr w14:val="tx1"/>
                  </w14:solidFill>
                </w14:textFill>
              </w:rPr>
              <w:t>机械伤害、触电</w:t>
            </w:r>
          </w:p>
        </w:tc>
        <w:tc>
          <w:tcPr>
            <w:tcW w:w="3576" w:type="dxa"/>
            <w:vMerge w:val="continue"/>
            <w:tcBorders>
              <w:top w:val="nil"/>
              <w:bottom w:val="nil"/>
            </w:tcBorders>
          </w:tcPr>
          <w:p>
            <w:pPr>
              <w:autoSpaceDE w:val="0"/>
              <w:autoSpaceDN w:val="0"/>
              <w:rPr>
                <w:rFonts w:ascii="Times New Roman" w:hAnsi="Times New Roman" w:eastAsiaTheme="minorEastAsia" w:cstheme="minorBidi"/>
                <w:sz w:val="21"/>
                <w:lang w:eastAsia="en-US"/>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6" w:hRule="atLeast"/>
        </w:trPr>
        <w:tc>
          <w:tcPr>
            <w:tcW w:w="1066" w:type="dxa"/>
          </w:tcPr>
          <w:p>
            <w:pPr>
              <w:pStyle w:val="391"/>
              <w:autoSpaceDE w:val="0"/>
              <w:autoSpaceDN w:val="0"/>
              <w:spacing w:before="157" w:line="182" w:lineRule="auto"/>
              <w:ind w:left="48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5</w:t>
            </w:r>
          </w:p>
        </w:tc>
        <w:tc>
          <w:tcPr>
            <w:tcW w:w="2160" w:type="dxa"/>
          </w:tcPr>
          <w:p>
            <w:pPr>
              <w:pStyle w:val="391"/>
              <w:autoSpaceDE w:val="0"/>
              <w:autoSpaceDN w:val="0"/>
              <w:spacing w:before="117" w:line="219" w:lineRule="auto"/>
              <w:ind w:left="55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5"/>
                <w14:textFill>
                  <w14:solidFill>
                    <w14:schemeClr w14:val="tx1"/>
                  </w14:solidFill>
                </w14:textFill>
              </w:rPr>
              <w:t>材料运输</w:t>
            </w:r>
          </w:p>
        </w:tc>
        <w:tc>
          <w:tcPr>
            <w:tcW w:w="3565" w:type="dxa"/>
          </w:tcPr>
          <w:p>
            <w:pPr>
              <w:pStyle w:val="391"/>
              <w:autoSpaceDE w:val="0"/>
              <w:autoSpaceDN w:val="0"/>
              <w:spacing w:before="117" w:line="220" w:lineRule="auto"/>
              <w:ind w:left="60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0"/>
                <w14:textFill>
                  <w14:solidFill>
                    <w14:schemeClr w14:val="tx1"/>
                  </w14:solidFill>
                </w14:textFill>
              </w:rPr>
              <w:t>车辆伤害，物体打击</w:t>
            </w:r>
          </w:p>
        </w:tc>
        <w:tc>
          <w:tcPr>
            <w:tcW w:w="3576" w:type="dxa"/>
            <w:vMerge w:val="continue"/>
            <w:tcBorders>
              <w:top w:val="nil"/>
            </w:tcBorders>
          </w:tcPr>
          <w:p>
            <w:pPr>
              <w:autoSpaceDE w:val="0"/>
              <w:autoSpaceDN w:val="0"/>
              <w:rPr>
                <w:rFonts w:ascii="Times New Roman" w:hAnsi="Times New Roman" w:eastAsiaTheme="minorEastAsia" w:cstheme="minorBidi"/>
                <w:sz w:val="21"/>
                <w:lang w:eastAsia="en-US"/>
              </w:rPr>
            </w:pPr>
          </w:p>
        </w:tc>
      </w:tr>
    </w:tbl>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（3）起重吊装工程及承重支撑体系‐‐小箱梁吊装施工</w:t>
      </w:r>
    </w:p>
    <w:tbl>
      <w:tblPr>
        <w:tblStyle w:val="379"/>
        <w:tblW w:w="10367"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65"/>
        <w:gridCol w:w="2160"/>
        <w:gridCol w:w="3566"/>
        <w:gridCol w:w="3576"/>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7" w:hRule="atLeast"/>
        </w:trPr>
        <w:tc>
          <w:tcPr>
            <w:tcW w:w="1065" w:type="dxa"/>
          </w:tcPr>
          <w:p>
            <w:pPr>
              <w:pStyle w:val="391"/>
              <w:autoSpaceDE w:val="0"/>
              <w:autoSpaceDN w:val="0"/>
              <w:spacing w:before="137" w:line="221" w:lineRule="auto"/>
              <w:ind w:left="27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序号</w:t>
            </w:r>
          </w:p>
        </w:tc>
        <w:tc>
          <w:tcPr>
            <w:tcW w:w="2160" w:type="dxa"/>
          </w:tcPr>
          <w:p>
            <w:pPr>
              <w:pStyle w:val="391"/>
              <w:autoSpaceDE w:val="0"/>
              <w:autoSpaceDN w:val="0"/>
              <w:spacing w:before="138" w:line="220" w:lineRule="auto"/>
              <w:ind w:left="82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6"/>
                <w14:textFill>
                  <w14:solidFill>
                    <w14:schemeClr w14:val="tx1"/>
                  </w14:solidFill>
                </w14:textFill>
              </w:rPr>
              <w:t>作业</w:t>
            </w:r>
          </w:p>
        </w:tc>
        <w:tc>
          <w:tcPr>
            <w:tcW w:w="3566" w:type="dxa"/>
          </w:tcPr>
          <w:p>
            <w:pPr>
              <w:pStyle w:val="391"/>
              <w:autoSpaceDE w:val="0"/>
              <w:autoSpaceDN w:val="0"/>
              <w:spacing w:before="138" w:line="220" w:lineRule="auto"/>
              <w:ind w:left="139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2"/>
                <w14:textFill>
                  <w14:solidFill>
                    <w14:schemeClr w14:val="tx1"/>
                  </w14:solidFill>
                </w14:textFill>
              </w:rPr>
              <w:t>风险点</w:t>
            </w:r>
          </w:p>
        </w:tc>
        <w:tc>
          <w:tcPr>
            <w:tcW w:w="3576" w:type="dxa"/>
          </w:tcPr>
          <w:p>
            <w:pPr>
              <w:pStyle w:val="391"/>
              <w:autoSpaceDE w:val="0"/>
              <w:autoSpaceDN w:val="0"/>
              <w:spacing w:before="138" w:line="220" w:lineRule="auto"/>
              <w:ind w:left="126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5"/>
                <w14:textFill>
                  <w14:solidFill>
                    <w14:schemeClr w14:val="tx1"/>
                  </w14:solidFill>
                </w14:textFill>
              </w:rPr>
              <w:t>应对措施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065" w:type="dxa"/>
          </w:tcPr>
          <w:p>
            <w:pPr>
              <w:pStyle w:val="391"/>
              <w:autoSpaceDE w:val="0"/>
              <w:autoSpaceDN w:val="0"/>
              <w:spacing w:before="151" w:line="184" w:lineRule="auto"/>
              <w:ind w:left="49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1</w:t>
            </w:r>
          </w:p>
        </w:tc>
        <w:tc>
          <w:tcPr>
            <w:tcW w:w="2160" w:type="dxa"/>
          </w:tcPr>
          <w:p>
            <w:pPr>
              <w:pStyle w:val="391"/>
              <w:autoSpaceDE w:val="0"/>
              <w:autoSpaceDN w:val="0"/>
              <w:spacing w:before="115" w:line="220" w:lineRule="auto"/>
              <w:ind w:left="58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8"/>
                <w14:textFill>
                  <w14:solidFill>
                    <w14:schemeClr w14:val="tx1"/>
                  </w14:solidFill>
                </w14:textFill>
              </w:rPr>
              <w:t>吊装作业</w:t>
            </w:r>
          </w:p>
        </w:tc>
        <w:tc>
          <w:tcPr>
            <w:tcW w:w="3566" w:type="dxa"/>
          </w:tcPr>
          <w:p>
            <w:pPr>
              <w:pStyle w:val="391"/>
              <w:autoSpaceDE w:val="0"/>
              <w:autoSpaceDN w:val="0"/>
              <w:spacing w:before="114" w:line="220" w:lineRule="auto"/>
              <w:ind w:left="126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5"/>
                <w14:textFill>
                  <w14:solidFill>
                    <w14:schemeClr w14:val="tx1"/>
                  </w14:solidFill>
                </w14:textFill>
              </w:rPr>
              <w:t>起重伤害</w:t>
            </w:r>
          </w:p>
        </w:tc>
        <w:tc>
          <w:tcPr>
            <w:tcW w:w="3576" w:type="dxa"/>
            <w:vMerge w:val="restart"/>
          </w:tcPr>
          <w:p>
            <w:pPr>
              <w:pStyle w:val="391"/>
              <w:autoSpaceDE w:val="0"/>
              <w:autoSpaceDN w:val="0"/>
              <w:spacing w:before="119" w:line="220" w:lineRule="auto"/>
              <w:ind w:left="156" w:firstLine="552"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8"/>
                <w:lang w:eastAsia="zh-CN"/>
                <w14:textFill>
                  <w14:solidFill>
                    <w14:schemeClr w14:val="tx1"/>
                  </w14:solidFill>
                </w14:textFill>
              </w:rPr>
              <w:t>1、严格按照相关规范及技术</w:t>
            </w:r>
          </w:p>
          <w:p>
            <w:pPr>
              <w:pStyle w:val="391"/>
              <w:autoSpaceDE w:val="0"/>
              <w:autoSpaceDN w:val="0"/>
              <w:spacing w:before="182" w:line="220" w:lineRule="auto"/>
              <w:ind w:left="1129" w:firstLine="500" w:firstLineChars="2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5"/>
                <w14:textFill>
                  <w14:solidFill>
                    <w14:schemeClr w14:val="tx1"/>
                  </w14:solidFill>
                </w14:textFill>
              </w:rPr>
              <w:t>标准施工；</w:t>
            </w:r>
          </w:p>
          <w:p>
            <w:pPr>
              <w:pStyle w:val="391"/>
              <w:numPr>
                <w:ilvl w:val="0"/>
                <w:numId w:val="20"/>
              </w:numPr>
              <w:autoSpaceDE w:val="0"/>
              <w:autoSpaceDN w:val="0"/>
              <w:spacing w:before="182" w:line="220" w:lineRule="auto"/>
              <w:ind w:left="291" w:firstLine="460" w:firstLineChars="200"/>
              <w:rPr>
                <w:rFonts w:ascii="Times New Roman" w:hAnsi="Times New Roman" w:cs="Times New Roman" w:eastAsiaTheme="minorEastAsia"/>
                <w:b w:val="0"/>
                <w:bCs/>
                <w:color w:val="000000" w:themeColor="text1"/>
                <w:spacing w:val="-5"/>
                <w:lang w:eastAsia="zh-CN"/>
                <w14:textFill>
                  <w14:solidFill>
                    <w14:schemeClr w14:val="tx1"/>
                  </w14:solidFill>
                </w14:textFill>
              </w:rPr>
            </w:pPr>
            <w:r>
              <w:rPr>
                <w:rFonts w:ascii="Times New Roman" w:hAnsi="Times New Roman" w:cs="Times New Roman" w:eastAsiaTheme="minorEastAsia"/>
                <w:b w:val="0"/>
                <w:bCs/>
                <w:color w:val="000000" w:themeColor="text1"/>
                <w:spacing w:val="-5"/>
                <w:lang w:eastAsia="zh-CN"/>
                <w14:textFill>
                  <w14:solidFill>
                    <w14:schemeClr w14:val="tx1"/>
                  </w14:solidFill>
                </w14:textFill>
              </w:rPr>
              <w:t>制定专项方案工艺措施；</w:t>
            </w:r>
          </w:p>
          <w:p>
            <w:pPr>
              <w:pStyle w:val="391"/>
              <w:autoSpaceDE w:val="0"/>
              <w:autoSpaceDN w:val="0"/>
              <w:spacing w:before="117" w:line="468" w:lineRule="exact"/>
              <w:ind w:left="174" w:firstLine="476"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position w:val="17"/>
                <w:lang w:eastAsia="zh-CN"/>
                <w14:textFill>
                  <w14:solidFill>
                    <w14:schemeClr w14:val="tx1"/>
                  </w14:solidFill>
                </w14:textFill>
              </w:rPr>
              <w:t>3、加强施工人员的培训、加强</w:t>
            </w:r>
          </w:p>
          <w:p>
            <w:pPr>
              <w:pStyle w:val="391"/>
              <w:autoSpaceDE w:val="0"/>
              <w:autoSpaceDN w:val="0"/>
              <w:spacing w:line="220" w:lineRule="auto"/>
              <w:ind w:left="708" w:firstLine="460"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5"/>
                <w:lang w:eastAsia="zh-CN"/>
                <w14:textFill>
                  <w14:solidFill>
                    <w14:schemeClr w14:val="tx1"/>
                  </w14:solidFill>
                </w14:textFill>
              </w:rPr>
              <w:t>施工过程质量监督。</w:t>
            </w:r>
          </w:p>
          <w:p>
            <w:pPr>
              <w:pStyle w:val="391"/>
              <w:autoSpaceDE w:val="0"/>
              <w:autoSpaceDN w:val="0"/>
              <w:spacing w:before="181" w:line="468" w:lineRule="exact"/>
              <w:ind w:left="168" w:firstLine="476"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
                <w:position w:val="17"/>
                <w:lang w:eastAsia="zh-CN"/>
                <w14:textFill>
                  <w14:solidFill>
                    <w14:schemeClr w14:val="tx1"/>
                  </w14:solidFill>
                </w14:textFill>
              </w:rPr>
              <w:t>4、专项方案组织专家评审通过</w:t>
            </w:r>
          </w:p>
          <w:p>
            <w:pPr>
              <w:pStyle w:val="391"/>
              <w:autoSpaceDE w:val="0"/>
              <w:autoSpaceDN w:val="0"/>
              <w:spacing w:before="182" w:line="220" w:lineRule="auto"/>
              <w:ind w:firstLine="452" w:firstLineChars="200"/>
              <w:rPr>
                <w:rFonts w:ascii="Times New Roman" w:hAnsi="Times New Roman" w:cs="Times New Roman" w:eastAsiaTheme="minorEastAsia"/>
                <w:b w:val="0"/>
                <w:bCs/>
                <w:color w:val="000000" w:themeColor="text1"/>
                <w:spacing w:val="-5"/>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后严格实施。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2" w:hRule="atLeast"/>
        </w:trPr>
        <w:tc>
          <w:tcPr>
            <w:tcW w:w="1065" w:type="dxa"/>
          </w:tcPr>
          <w:p>
            <w:pPr>
              <w:pStyle w:val="391"/>
              <w:autoSpaceDE w:val="0"/>
              <w:autoSpaceDN w:val="0"/>
              <w:spacing w:before="78" w:line="183" w:lineRule="auto"/>
              <w:ind w:left="48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2</w:t>
            </w:r>
          </w:p>
        </w:tc>
        <w:tc>
          <w:tcPr>
            <w:tcW w:w="2160" w:type="dxa"/>
          </w:tcPr>
          <w:p>
            <w:pPr>
              <w:pStyle w:val="391"/>
              <w:autoSpaceDE w:val="0"/>
              <w:autoSpaceDN w:val="0"/>
              <w:spacing w:before="78" w:line="220" w:lineRule="auto"/>
              <w:ind w:left="43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6"/>
                <w14:textFill>
                  <w14:solidFill>
                    <w14:schemeClr w14:val="tx1"/>
                  </w14:solidFill>
                </w14:textFill>
              </w:rPr>
              <w:t>小箱梁吊装</w:t>
            </w:r>
          </w:p>
        </w:tc>
        <w:tc>
          <w:tcPr>
            <w:tcW w:w="3566" w:type="dxa"/>
          </w:tcPr>
          <w:p>
            <w:pPr>
              <w:pStyle w:val="391"/>
              <w:autoSpaceDE w:val="0"/>
              <w:autoSpaceDN w:val="0"/>
              <w:spacing w:before="115" w:line="220" w:lineRule="auto"/>
              <w:ind w:left="120" w:firstLine="396"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21"/>
                <w:lang w:eastAsia="zh-CN"/>
                <w14:textFill>
                  <w14:solidFill>
                    <w14:schemeClr w14:val="tx1"/>
                  </w14:solidFill>
                </w14:textFill>
              </w:rPr>
              <w:t>高坠；物体打击；坍塌；中暑；</w:t>
            </w:r>
          </w:p>
          <w:p>
            <w:pPr>
              <w:pStyle w:val="391"/>
              <w:autoSpaceDE w:val="0"/>
              <w:autoSpaceDN w:val="0"/>
              <w:spacing w:before="182" w:line="220" w:lineRule="auto"/>
              <w:ind w:left="1027" w:firstLine="492" w:firstLineChars="2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昏厥；窒息；</w:t>
            </w:r>
          </w:p>
        </w:tc>
        <w:tc>
          <w:tcPr>
            <w:tcW w:w="3576" w:type="dxa"/>
            <w:vMerge w:val="continue"/>
          </w:tcPr>
          <w:p>
            <w:pPr>
              <w:autoSpaceDE w:val="0"/>
              <w:autoSpaceDN w:val="0"/>
              <w:rPr>
                <w:rFonts w:ascii="Times New Roman" w:hAnsi="Times New Roman" w:eastAsiaTheme="minorEastAsia" w:cstheme="minorBidi"/>
                <w:sz w:val="21"/>
                <w:lang w:eastAsia="en-US"/>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2" w:hRule="atLeast"/>
        </w:trPr>
        <w:tc>
          <w:tcPr>
            <w:tcW w:w="1065" w:type="dxa"/>
          </w:tcPr>
          <w:p>
            <w:pPr>
              <w:pStyle w:val="391"/>
              <w:autoSpaceDE w:val="0"/>
              <w:autoSpaceDN w:val="0"/>
              <w:spacing w:before="78" w:line="183" w:lineRule="auto"/>
              <w:ind w:left="48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3</w:t>
            </w:r>
          </w:p>
        </w:tc>
        <w:tc>
          <w:tcPr>
            <w:tcW w:w="2160" w:type="dxa"/>
          </w:tcPr>
          <w:p>
            <w:pPr>
              <w:pStyle w:val="391"/>
              <w:autoSpaceDE w:val="0"/>
              <w:autoSpaceDN w:val="0"/>
              <w:spacing w:before="78" w:line="219" w:lineRule="auto"/>
              <w:ind w:left="557"/>
              <w:rPr>
                <w:rFonts w:ascii="Times New Roman" w:hAnsi="Times New Roman" w:cs="Times New Roman" w:eastAsiaTheme="minorEastAsia"/>
                <w:b w:val="0"/>
                <w:bCs/>
                <w:color w:val="000000" w:themeColor="text1"/>
                <w:spacing w:val="16"/>
                <w14:textFill>
                  <w14:solidFill>
                    <w14:schemeClr w14:val="tx1"/>
                  </w14:solidFill>
                </w14:textFill>
              </w:rPr>
            </w:pPr>
            <w:r>
              <w:rPr>
                <w:rFonts w:ascii="Times New Roman" w:hAnsi="Times New Roman" w:cs="Times New Roman" w:eastAsiaTheme="minorEastAsia"/>
                <w:b w:val="0"/>
                <w:bCs/>
                <w:color w:val="000000" w:themeColor="text1"/>
                <w:spacing w:val="15"/>
                <w14:textFill>
                  <w14:solidFill>
                    <w14:schemeClr w14:val="tx1"/>
                  </w14:solidFill>
                </w14:textFill>
              </w:rPr>
              <w:t>材料运输</w:t>
            </w:r>
          </w:p>
        </w:tc>
        <w:tc>
          <w:tcPr>
            <w:tcW w:w="3566" w:type="dxa"/>
          </w:tcPr>
          <w:p>
            <w:pPr>
              <w:pStyle w:val="391"/>
              <w:autoSpaceDE w:val="0"/>
              <w:autoSpaceDN w:val="0"/>
              <w:spacing w:before="78" w:line="220" w:lineRule="auto"/>
              <w:ind w:left="602"/>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20"/>
                <w14:textFill>
                  <w14:solidFill>
                    <w14:schemeClr w14:val="tx1"/>
                  </w14:solidFill>
                </w14:textFill>
              </w:rPr>
              <w:t>车辆伤害，物体打击</w:t>
            </w:r>
          </w:p>
        </w:tc>
        <w:tc>
          <w:tcPr>
            <w:tcW w:w="3576" w:type="dxa"/>
            <w:vMerge w:val="continue"/>
            <w:tcBorders>
              <w:bottom w:val="nil"/>
            </w:tcBorders>
          </w:tcPr>
          <w:p>
            <w:pPr>
              <w:autoSpaceDE w:val="0"/>
              <w:autoSpaceDN w:val="0"/>
              <w:rPr>
                <w:rFonts w:ascii="Times New Roman" w:hAnsi="Times New Roman" w:eastAsiaTheme="minorEastAsia" w:cstheme="minorBidi"/>
                <w:sz w:val="21"/>
                <w:lang w:eastAsia="en-US"/>
              </w:rPr>
            </w:pPr>
          </w:p>
        </w:tc>
      </w:tr>
    </w:tbl>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施工单位应根据《住房城乡建设部办公厅关于实施《危险性较大的分部分项工程安全管理规定》有关问题的通知》（建办质〔2018〕31号）和住建部【2018】37号文《危险性较大的分部分项工程安全管理规定》的相关要求，在危大工程施工前组织工程技术人员编制专项施工方案。对于超过一定规模的危大工程，施工单位应当组织召开专家论证会对专项施工方案进行论证。此外，施工过程中应加强对周边既有建构筑物的保护和监测工作，加强现场管理，确保施工安全。</w:t>
      </w:r>
    </w:p>
    <w:p>
      <w:pPr>
        <w:pStyle w:val="3"/>
        <w:ind w:firstLine="562" w:firstLineChars="200"/>
        <w:rPr>
          <w:highlight w:val="yellow"/>
        </w:rPr>
      </w:pPr>
      <w:bookmarkStart w:id="171" w:name="_Toc16956"/>
      <w:bookmarkStart w:id="172" w:name="_Toc7155"/>
      <w:r>
        <w:rPr>
          <w:highlight w:val="yellow"/>
        </w:rPr>
        <w:t>交通工程设计方案</w:t>
      </w:r>
      <w:bookmarkEnd w:id="171"/>
      <w:bookmarkEnd w:id="172"/>
    </w:p>
    <w:p>
      <w:pPr>
        <w:pStyle w:val="4"/>
        <w:ind w:firstLine="482" w:firstLineChars="200"/>
        <w:rPr>
          <w:highlight w:val="yellow"/>
        </w:rPr>
      </w:pPr>
      <w:bookmarkStart w:id="173" w:name="_Toc2487"/>
      <w:bookmarkStart w:id="174" w:name="_Toc25263"/>
      <w:r>
        <w:rPr>
          <w:highlight w:val="yellow"/>
        </w:rPr>
        <w:t>路网分析</w:t>
      </w:r>
      <w:bookmarkEnd w:id="173"/>
      <w:bookmarkEnd w:id="174"/>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外围高速系统——形成以南沙港快速、万顷沙支线、南中高速、深中通道组成的“两横两纵”高快结构路网，实现各方向交通快速过境、到达及疏散功能。</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综合体周边道路——形成近期“五横四纵”骨干结构路网，实现快速衔接对外高快速道路，服务区域地块交通便捷联系。</w:t>
      </w:r>
    </w:p>
    <w:p>
      <w:pPr>
        <w:pStyle w:val="4"/>
        <w:ind w:firstLine="482" w:firstLineChars="200"/>
        <w:rPr>
          <w:highlight w:val="yellow"/>
        </w:rPr>
      </w:pPr>
      <w:bookmarkStart w:id="175" w:name="_Toc13760"/>
      <w:bookmarkStart w:id="176" w:name="_Toc30770"/>
      <w:r>
        <w:rPr>
          <w:highlight w:val="yellow"/>
        </w:rPr>
        <w:t>交通流线组织</w:t>
      </w:r>
      <w:bookmarkEnd w:id="175"/>
      <w:bookmarkEnd w:id="176"/>
    </w:p>
    <w:p>
      <w:pPr>
        <w:spacing w:line="360" w:lineRule="auto"/>
        <w:ind w:firstLine="480" w:firstLineChars="200"/>
        <w:rPr>
          <w:rFonts w:ascii="Times New Roman" w:hAnsi="Times New Roman"/>
          <w:b w:val="0"/>
          <w:bCs/>
          <w:color w:val="auto"/>
          <w:spacing w:val="6"/>
          <w:sz w:val="24"/>
          <w:szCs w:val="24"/>
          <w:highlight w:val="yellow"/>
        </w:rPr>
      </w:pPr>
      <w:r>
        <w:rPr>
          <w:rFonts w:ascii="Times New Roman" w:hAnsi="Times New Roman"/>
          <w:b w:val="0"/>
          <w:color w:val="auto"/>
          <w:sz w:val="24"/>
          <w:szCs w:val="24"/>
          <w:highlight w:val="yellow"/>
        </w:rPr>
        <mc:AlternateContent>
          <mc:Choice Requires="wps">
            <w:drawing>
              <wp:anchor distT="0" distB="0" distL="114300" distR="114300" simplePos="0" relativeHeight="251664384" behindDoc="0" locked="0" layoutInCell="1" allowOverlap="1">
                <wp:simplePos x="0" y="0"/>
                <wp:positionH relativeFrom="column">
                  <wp:posOffset>3657600</wp:posOffset>
                </wp:positionH>
                <wp:positionV relativeFrom="paragraph">
                  <wp:posOffset>100330</wp:posOffset>
                </wp:positionV>
                <wp:extent cx="682625" cy="0"/>
                <wp:effectExtent l="0" t="0" r="0" b="0"/>
                <wp:wrapNone/>
                <wp:docPr id="172" name="Line 626"/>
                <wp:cNvGraphicFramePr/>
                <a:graphic xmlns:a="http://schemas.openxmlformats.org/drawingml/2006/main">
                  <a:graphicData uri="http://schemas.microsoft.com/office/word/2010/wordprocessingShape">
                    <wps:wsp>
                      <wps:cNvCnPr>
                        <a:cxnSpLocks noChangeShapeType="1"/>
                      </wps:cNvCnPr>
                      <wps:spPr bwMode="auto">
                        <a:xfrm>
                          <a:off x="0" y="0"/>
                          <a:ext cx="685165" cy="0"/>
                        </a:xfrm>
                        <a:prstGeom prst="line">
                          <a:avLst/>
                        </a:prstGeom>
                        <a:noFill/>
                        <a:ln>
                          <a:noFill/>
                        </a:ln>
                        <a:effectLst/>
                      </wps:spPr>
                      <wps:bodyPr/>
                    </wps:wsp>
                  </a:graphicData>
                </a:graphic>
              </wp:anchor>
            </w:drawing>
          </mc:Choice>
          <mc:Fallback>
            <w:pict>
              <v:line id="Line 626" o:spid="_x0000_s1026" o:spt="20" style="position:absolute;left:0pt;margin-left:288pt;margin-top:7.9pt;height:0pt;width:53.75pt;z-index:251664384;mso-width-relative:page;mso-height-relative:page;" filled="f" stroked="f" coordsize="21600,21600" o:gfxdata="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M+O439cA&#10;AAAJAQAADwAAAAAAAAABACAAAAAiAAAAZHJzL2Rvd25yZXYueG1sUEsBAhQAFAAAAAgAh07iQEzk&#10;hvWuAQAAdAMAAA4AAAAAAAAAAQAgAAAAJgEAAGRycy9lMm9Eb2MueG1sUEsFBgAAAAAGAAYAWQEA&#10;AEYFAAAAAA==&#10;">
                <v:fill on="f" focussize="0,0"/>
                <v:stroke on="f"/>
                <v:imagedata o:title=""/>
                <o:lock v:ext="edit" aspectratio="f"/>
              </v:line>
            </w:pict>
          </mc:Fallback>
        </mc:AlternateContent>
      </w:r>
      <w:r>
        <w:rPr>
          <w:rFonts w:ascii="Times New Roman" w:hAnsi="Times New Roman"/>
          <w:b w:val="0"/>
          <w:color w:val="auto"/>
          <w:sz w:val="24"/>
          <w:szCs w:val="24"/>
          <w:highlight w:val="yellow"/>
        </w:rPr>
        <mc:AlternateContent>
          <mc:Choice Requires="wps">
            <w:drawing>
              <wp:anchor distT="0" distB="0" distL="114300" distR="114300" simplePos="0" relativeHeight="251663360" behindDoc="0" locked="0" layoutInCell="1" allowOverlap="1">
                <wp:simplePos x="0" y="0"/>
                <wp:positionH relativeFrom="column">
                  <wp:posOffset>3657600</wp:posOffset>
                </wp:positionH>
                <wp:positionV relativeFrom="paragraph">
                  <wp:posOffset>100330</wp:posOffset>
                </wp:positionV>
                <wp:extent cx="606425" cy="0"/>
                <wp:effectExtent l="0" t="0" r="0" b="0"/>
                <wp:wrapNone/>
                <wp:docPr id="173" name="Line 625"/>
                <wp:cNvGraphicFramePr/>
                <a:graphic xmlns:a="http://schemas.openxmlformats.org/drawingml/2006/main">
                  <a:graphicData uri="http://schemas.microsoft.com/office/word/2010/wordprocessingShape">
                    <wps:wsp>
                      <wps:cNvCnPr>
                        <a:cxnSpLocks noChangeShapeType="1"/>
                      </wps:cNvCnPr>
                      <wps:spPr bwMode="auto">
                        <a:xfrm>
                          <a:off x="0" y="0"/>
                          <a:ext cx="608965" cy="0"/>
                        </a:xfrm>
                        <a:prstGeom prst="line">
                          <a:avLst/>
                        </a:prstGeom>
                        <a:noFill/>
                        <a:ln>
                          <a:noFill/>
                        </a:ln>
                        <a:effectLst/>
                      </wps:spPr>
                      <wps:bodyPr/>
                    </wps:wsp>
                  </a:graphicData>
                </a:graphic>
              </wp:anchor>
            </w:drawing>
          </mc:Choice>
          <mc:Fallback>
            <w:pict>
              <v:line id="Line 625" o:spid="_x0000_s1026" o:spt="20" style="position:absolute;left:0pt;margin-left:288pt;margin-top:7.9pt;height:0pt;width:47.75pt;z-index:251663360;mso-width-relative:page;mso-height-relative:page;" filled="f" stroked="f" coordsize="21600,21600" o:gfxdata="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BbVaYDX&#10;AAAACQEAAA8AAAAAAAAAAQAgAAAAIgAAAGRycy9kb3ducmV2LnhtbFBLAQIUABQAAAAIAIdO4kD7&#10;ReMDrwEAAHQDAAAOAAAAAAAAAAEAIAAAACYBAABkcnMvZTJvRG9jLnhtbFBLBQYAAAAABgAGAFkB&#10;AABHBQAAAAA=&#10;">
                <v:fill on="f" focussize="0,0"/>
                <v:stroke on="f"/>
                <v:imagedata o:title=""/>
                <o:lock v:ext="edit" aspectratio="f"/>
              </v:line>
            </w:pict>
          </mc:Fallback>
        </mc:AlternateContent>
      </w:r>
      <w:r>
        <w:rPr>
          <w:rFonts w:ascii="Times New Roman" w:hAnsi="Times New Roman"/>
          <w:b w:val="0"/>
          <w:bCs/>
          <w:color w:val="auto"/>
          <w:spacing w:val="6"/>
          <w:sz w:val="24"/>
          <w:szCs w:val="24"/>
          <w:highlight w:val="yellow"/>
        </w:rPr>
        <w:t>（1）开幕式流线</w:t>
      </w:r>
    </w:p>
    <w:p>
      <w:pPr>
        <w:spacing w:line="360" w:lineRule="auto"/>
        <w:ind w:firstLine="504" w:firstLineChars="200"/>
        <w:rPr>
          <w:rFonts w:ascii="Times New Roman" w:hAnsi="Times New Roman"/>
          <w:b w:val="0"/>
          <w:bCs/>
          <w:color w:val="auto"/>
          <w:spacing w:val="6"/>
          <w:sz w:val="24"/>
          <w:szCs w:val="24"/>
          <w:highlight w:val="yellow"/>
        </w:rPr>
      </w:pPr>
      <w:r>
        <w:rPr>
          <w:rFonts w:ascii="Times New Roman" w:hAnsi="Times New Roman"/>
          <w:b w:val="0"/>
          <w:bCs/>
          <w:color w:val="auto"/>
          <w:spacing w:val="6"/>
          <w:sz w:val="24"/>
          <w:szCs w:val="24"/>
          <w:highlight w:val="yellow"/>
        </w:rPr>
        <w:t>1）VIP、非观众、运动员</w:t>
      </w:r>
    </w:p>
    <w:p>
      <w:pPr>
        <w:numPr>
          <w:ilvl w:val="0"/>
          <w:numId w:val="21"/>
        </w:numPr>
        <w:spacing w:line="360" w:lineRule="auto"/>
        <w:ind w:left="0" w:firstLine="504" w:firstLineChars="200"/>
        <w:rPr>
          <w:rFonts w:ascii="Times New Roman" w:hAnsi="Times New Roman"/>
          <w:b w:val="0"/>
          <w:bCs/>
          <w:color w:val="auto"/>
          <w:spacing w:val="6"/>
          <w:sz w:val="24"/>
          <w:szCs w:val="24"/>
          <w:highlight w:val="yellow"/>
        </w:rPr>
      </w:pPr>
      <w:r>
        <w:rPr>
          <w:rFonts w:ascii="Times New Roman" w:hAnsi="Times New Roman"/>
          <w:b w:val="0"/>
          <w:bCs/>
          <w:color w:val="auto"/>
          <w:spacing w:val="6"/>
          <w:sz w:val="24"/>
          <w:szCs w:val="24"/>
          <w:highlight w:val="yellow"/>
        </w:rPr>
        <w:t>进场流线：广州方向通过万顷沙支线（南行）、灵新大道南延线与片区东西向道路如二十涌北路、二十一涌北路等进行转换进而到达地块；深圳方向通过万顷沙支线（北行）、二十涌南路、规划纵三路到达地块。</w:t>
      </w:r>
    </w:p>
    <w:p>
      <w:pPr>
        <w:spacing w:line="360" w:lineRule="auto"/>
        <w:ind w:firstLine="504" w:firstLineChars="200"/>
        <w:jc w:val="center"/>
        <w:rPr>
          <w:rFonts w:ascii="Times New Roman" w:hAnsi="Times New Roman"/>
          <w:b w:val="0"/>
          <w:bCs/>
          <w:color w:val="auto"/>
          <w:spacing w:val="6"/>
          <w:sz w:val="24"/>
          <w:szCs w:val="24"/>
          <w:highlight w:val="yellow"/>
        </w:rPr>
      </w:pPr>
      <w:r>
        <w:rPr>
          <w:rFonts w:ascii="Times New Roman" w:hAnsi="Times New Roman"/>
          <w:b w:val="0"/>
          <w:bCs/>
          <w:color w:val="auto"/>
          <w:spacing w:val="6"/>
          <w:sz w:val="24"/>
          <w:szCs w:val="24"/>
          <w:highlight w:val="yellow"/>
        </w:rPr>
        <w:drawing>
          <wp:inline distT="0" distB="0" distL="0" distR="0">
            <wp:extent cx="3946525" cy="3657600"/>
            <wp:effectExtent l="0" t="0" r="15875"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pic:cNvPicPr>
                      <a:picLocks noChangeAspect="1" noChangeArrowheads="1"/>
                    </pic:cNvPicPr>
                  </pic:nvPicPr>
                  <pic:blipFill>
                    <a:blip r:embed="rId147">
                      <a:extLst>
                        <a:ext uri="{28A0092B-C50C-407E-A947-70E740481C1C}">
                          <a14:useLocalDpi xmlns:a14="http://schemas.microsoft.com/office/drawing/2010/main" val="0"/>
                        </a:ext>
                      </a:extLst>
                    </a:blip>
                    <a:srcRect r="2952" b="2349"/>
                    <a:stretch>
                      <a:fillRect/>
                    </a:stretch>
                  </pic:blipFill>
                  <pic:spPr>
                    <a:xfrm>
                      <a:off x="0" y="0"/>
                      <a:ext cx="3955076" cy="3664977"/>
                    </a:xfrm>
                    <a:prstGeom prst="rect">
                      <a:avLst/>
                    </a:prstGeom>
                    <a:noFill/>
                    <a:ln>
                      <a:noFill/>
                    </a:ln>
                  </pic:spPr>
                </pic:pic>
              </a:graphicData>
            </a:graphic>
          </wp:inline>
        </w:drawing>
      </w:r>
    </w:p>
    <w:p>
      <w:pPr>
        <w:numPr>
          <w:ilvl w:val="0"/>
          <w:numId w:val="21"/>
        </w:numPr>
        <w:spacing w:line="360" w:lineRule="auto"/>
        <w:ind w:left="0" w:firstLine="504" w:firstLineChars="200"/>
        <w:rPr>
          <w:rFonts w:ascii="Times New Roman" w:hAnsi="Times New Roman"/>
          <w:b w:val="0"/>
          <w:bCs/>
          <w:color w:val="auto"/>
          <w:spacing w:val="6"/>
          <w:sz w:val="24"/>
          <w:szCs w:val="24"/>
          <w:highlight w:val="yellow"/>
        </w:rPr>
      </w:pPr>
      <w:r>
        <w:rPr>
          <w:rFonts w:ascii="Times New Roman" w:hAnsi="Times New Roman"/>
          <w:b w:val="0"/>
          <w:bCs/>
          <w:color w:val="auto"/>
          <w:spacing w:val="6"/>
          <w:sz w:val="24"/>
          <w:szCs w:val="24"/>
          <w:highlight w:val="yellow"/>
        </w:rPr>
        <w:t>离开流线：广州方向通过二十一涌北路、滨海路转换至万环西路南延线、灵新大道南延线和万顷沙支线（北行）驶离地块；深圳方向通过二十涌南路、万顷沙支线（南行）驶离地块。</w:t>
      </w:r>
    </w:p>
    <w:p>
      <w:pPr>
        <w:spacing w:line="360" w:lineRule="auto"/>
        <w:ind w:firstLine="504" w:firstLineChars="200"/>
        <w:jc w:val="center"/>
        <w:rPr>
          <w:rFonts w:ascii="Times New Roman" w:hAnsi="Times New Roman"/>
          <w:b w:val="0"/>
          <w:bCs/>
          <w:color w:val="auto"/>
          <w:spacing w:val="6"/>
          <w:sz w:val="24"/>
          <w:szCs w:val="24"/>
          <w:highlight w:val="yellow"/>
        </w:rPr>
      </w:pPr>
      <w:r>
        <w:rPr>
          <w:rFonts w:ascii="Times New Roman" w:hAnsi="Times New Roman"/>
          <w:b w:val="0"/>
          <w:bCs/>
          <w:color w:val="auto"/>
          <w:spacing w:val="6"/>
          <w:sz w:val="24"/>
          <w:szCs w:val="24"/>
          <w:highlight w:val="yellow"/>
        </w:rPr>
        <w:drawing>
          <wp:inline distT="0" distB="0" distL="0" distR="0">
            <wp:extent cx="3990975" cy="3801745"/>
            <wp:effectExtent l="0" t="0" r="9525" b="8255"/>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pic:cNvPicPr>
                      <a:picLocks noChangeAspect="1" noChangeArrowheads="1"/>
                    </pic:cNvPicPr>
                  </pic:nvPicPr>
                  <pic:blipFill>
                    <a:blip r:embed="rId148">
                      <a:extLst>
                        <a:ext uri="{28A0092B-C50C-407E-A947-70E740481C1C}">
                          <a14:useLocalDpi xmlns:a14="http://schemas.microsoft.com/office/drawing/2010/main" val="0"/>
                        </a:ext>
                      </a:extLst>
                    </a:blip>
                    <a:srcRect t="-1" r="2833" b="2467"/>
                    <a:stretch>
                      <a:fillRect/>
                    </a:stretch>
                  </pic:blipFill>
                  <pic:spPr>
                    <a:xfrm>
                      <a:off x="0" y="0"/>
                      <a:ext cx="3999899" cy="3810789"/>
                    </a:xfrm>
                    <a:prstGeom prst="rect">
                      <a:avLst/>
                    </a:prstGeom>
                    <a:noFill/>
                    <a:ln>
                      <a:noFill/>
                    </a:ln>
                  </pic:spPr>
                </pic:pic>
              </a:graphicData>
            </a:graphic>
          </wp:inline>
        </w:drawing>
      </w:r>
    </w:p>
    <w:p>
      <w:pPr>
        <w:spacing w:line="360" w:lineRule="auto"/>
        <w:ind w:firstLine="504" w:firstLineChars="200"/>
        <w:rPr>
          <w:rFonts w:ascii="Times New Roman" w:hAnsi="Times New Roman"/>
          <w:b w:val="0"/>
          <w:bCs/>
          <w:color w:val="auto"/>
          <w:spacing w:val="6"/>
          <w:sz w:val="24"/>
          <w:szCs w:val="24"/>
          <w:highlight w:val="yellow"/>
        </w:rPr>
      </w:pPr>
      <w:r>
        <w:rPr>
          <w:rFonts w:ascii="Times New Roman" w:hAnsi="Times New Roman"/>
          <w:b w:val="0"/>
          <w:bCs/>
          <w:color w:val="auto"/>
          <w:spacing w:val="6"/>
          <w:sz w:val="24"/>
          <w:szCs w:val="24"/>
          <w:highlight w:val="yellow"/>
        </w:rPr>
        <w:t>2）私家车</w:t>
      </w:r>
    </w:p>
    <w:p>
      <w:pPr>
        <w:numPr>
          <w:ilvl w:val="0"/>
          <w:numId w:val="21"/>
        </w:numPr>
        <w:spacing w:line="360" w:lineRule="auto"/>
        <w:ind w:left="0" w:firstLine="504" w:firstLineChars="200"/>
        <w:rPr>
          <w:rFonts w:ascii="Times New Roman" w:hAnsi="Times New Roman"/>
          <w:b w:val="0"/>
          <w:bCs/>
          <w:color w:val="auto"/>
          <w:spacing w:val="6"/>
          <w:sz w:val="24"/>
          <w:szCs w:val="24"/>
          <w:highlight w:val="yellow"/>
        </w:rPr>
      </w:pPr>
      <w:r>
        <w:rPr>
          <w:rFonts w:ascii="Times New Roman" w:hAnsi="Times New Roman"/>
          <w:b w:val="0"/>
          <w:bCs/>
          <w:color w:val="auto"/>
          <w:spacing w:val="6"/>
          <w:sz w:val="24"/>
          <w:szCs w:val="24"/>
          <w:highlight w:val="yellow"/>
        </w:rPr>
        <w:t>进场流线：广州方向通过万顷沙支线（南行）、灵新大道南延线进入二十涌北侧停车场，深圳方向通过万顷沙支线（北行）、二十涌南路、纵一路进入二十涌南侧停车场，最后通过“P+R”方式换乘短线摆渡车进入场地。</w:t>
      </w:r>
    </w:p>
    <w:p>
      <w:pPr>
        <w:spacing w:line="360" w:lineRule="auto"/>
        <w:ind w:firstLine="504" w:firstLineChars="200"/>
        <w:jc w:val="center"/>
        <w:rPr>
          <w:rFonts w:ascii="Times New Roman" w:hAnsi="Times New Roman"/>
          <w:b w:val="0"/>
          <w:bCs/>
          <w:color w:val="auto"/>
          <w:spacing w:val="6"/>
          <w:sz w:val="24"/>
          <w:szCs w:val="24"/>
          <w:highlight w:val="yellow"/>
        </w:rPr>
      </w:pPr>
      <w:r>
        <w:rPr>
          <w:rFonts w:ascii="Times New Roman" w:hAnsi="Times New Roman"/>
          <w:b w:val="0"/>
          <w:bCs/>
          <w:color w:val="auto"/>
          <w:spacing w:val="6"/>
          <w:sz w:val="24"/>
          <w:szCs w:val="24"/>
          <w:highlight w:val="yellow"/>
        </w:rPr>
        <w:drawing>
          <wp:inline distT="0" distB="0" distL="0" distR="0">
            <wp:extent cx="3933825" cy="3653155"/>
            <wp:effectExtent l="0" t="0" r="9525" b="4445"/>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76"/>
                    <pic:cNvPicPr>
                      <a:picLocks noChangeAspect="1" noChangeArrowheads="1"/>
                    </pic:cNvPicPr>
                  </pic:nvPicPr>
                  <pic:blipFill>
                    <a:blip r:embed="rId149">
                      <a:extLst>
                        <a:ext uri="{28A0092B-C50C-407E-A947-70E740481C1C}">
                          <a14:useLocalDpi xmlns:a14="http://schemas.microsoft.com/office/drawing/2010/main" val="0"/>
                        </a:ext>
                      </a:extLst>
                    </a:blip>
                    <a:srcRect r="2820" b="2475"/>
                    <a:stretch>
                      <a:fillRect/>
                    </a:stretch>
                  </pic:blipFill>
                  <pic:spPr>
                    <a:xfrm>
                      <a:off x="0" y="0"/>
                      <a:ext cx="3940575" cy="3659985"/>
                    </a:xfrm>
                    <a:prstGeom prst="rect">
                      <a:avLst/>
                    </a:prstGeom>
                    <a:noFill/>
                    <a:ln>
                      <a:noFill/>
                    </a:ln>
                  </pic:spPr>
                </pic:pic>
              </a:graphicData>
            </a:graphic>
          </wp:inline>
        </w:drawing>
      </w:r>
    </w:p>
    <w:p>
      <w:pPr>
        <w:numPr>
          <w:ilvl w:val="0"/>
          <w:numId w:val="21"/>
        </w:numPr>
        <w:spacing w:line="360" w:lineRule="auto"/>
        <w:ind w:left="0" w:firstLine="504" w:firstLineChars="200"/>
        <w:rPr>
          <w:rFonts w:ascii="Times New Roman" w:hAnsi="Times New Roman"/>
          <w:b w:val="0"/>
          <w:bCs/>
          <w:color w:val="auto"/>
          <w:spacing w:val="6"/>
          <w:sz w:val="24"/>
          <w:szCs w:val="24"/>
          <w:highlight w:val="yellow"/>
        </w:rPr>
      </w:pPr>
      <w:r>
        <w:rPr>
          <w:rFonts w:ascii="Times New Roman" w:hAnsi="Times New Roman"/>
          <w:b w:val="0"/>
          <w:bCs/>
          <w:color w:val="auto"/>
          <w:spacing w:val="6"/>
          <w:sz w:val="24"/>
          <w:szCs w:val="24"/>
          <w:highlight w:val="yellow"/>
        </w:rPr>
        <w:t>离开流线：广州方向通过二十涌北路、灵新大道南延线和万顷沙支线（北行）驶离停车场，深圳方向通过二十涌南一路、万顷沙支线（南行）驶离地块，最后通过“P+R”方式换乘短线摆渡车进入场地。</w:t>
      </w:r>
    </w:p>
    <w:p>
      <w:pPr>
        <w:spacing w:line="360" w:lineRule="auto"/>
        <w:ind w:firstLine="504" w:firstLineChars="200"/>
        <w:jc w:val="center"/>
        <w:rPr>
          <w:rFonts w:ascii="Times New Roman" w:hAnsi="Times New Roman"/>
          <w:b w:val="0"/>
          <w:bCs/>
          <w:color w:val="auto"/>
          <w:spacing w:val="6"/>
          <w:sz w:val="24"/>
          <w:szCs w:val="24"/>
          <w:highlight w:val="yellow"/>
        </w:rPr>
      </w:pPr>
      <w:r>
        <w:rPr>
          <w:rFonts w:ascii="Times New Roman" w:hAnsi="Times New Roman"/>
          <w:b w:val="0"/>
          <w:bCs/>
          <w:color w:val="auto"/>
          <w:spacing w:val="6"/>
          <w:sz w:val="24"/>
          <w:szCs w:val="24"/>
          <w:highlight w:val="yellow"/>
        </w:rPr>
        <w:drawing>
          <wp:inline distT="0" distB="0" distL="0" distR="0">
            <wp:extent cx="3848100" cy="3611245"/>
            <wp:effectExtent l="0" t="0" r="0" b="8255"/>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77"/>
                    <pic:cNvPicPr>
                      <a:picLocks noChangeAspect="1" noChangeArrowheads="1"/>
                    </pic:cNvPicPr>
                  </pic:nvPicPr>
                  <pic:blipFill>
                    <a:blip r:embed="rId150">
                      <a:extLst>
                        <a:ext uri="{28A0092B-C50C-407E-A947-70E740481C1C}">
                          <a14:useLocalDpi xmlns:a14="http://schemas.microsoft.com/office/drawing/2010/main" val="0"/>
                        </a:ext>
                      </a:extLst>
                    </a:blip>
                    <a:srcRect t="2159" r="2713" b="2591"/>
                    <a:stretch>
                      <a:fillRect/>
                    </a:stretch>
                  </pic:blipFill>
                  <pic:spPr>
                    <a:xfrm>
                      <a:off x="0" y="0"/>
                      <a:ext cx="3854642" cy="3618010"/>
                    </a:xfrm>
                    <a:prstGeom prst="rect">
                      <a:avLst/>
                    </a:prstGeom>
                    <a:noFill/>
                    <a:ln>
                      <a:noFill/>
                    </a:ln>
                  </pic:spPr>
                </pic:pic>
              </a:graphicData>
            </a:graphic>
          </wp:inline>
        </w:drawing>
      </w:r>
    </w:p>
    <w:p>
      <w:pPr>
        <w:spacing w:line="360" w:lineRule="auto"/>
        <w:ind w:firstLine="504" w:firstLineChars="200"/>
        <w:rPr>
          <w:rFonts w:ascii="Times New Roman" w:hAnsi="Times New Roman"/>
          <w:b w:val="0"/>
          <w:bCs/>
          <w:color w:val="auto"/>
          <w:spacing w:val="6"/>
          <w:sz w:val="24"/>
          <w:szCs w:val="24"/>
          <w:highlight w:val="yellow"/>
        </w:rPr>
      </w:pPr>
      <w:r>
        <w:rPr>
          <w:rFonts w:ascii="Times New Roman" w:hAnsi="Times New Roman"/>
          <w:b w:val="0"/>
          <w:bCs/>
          <w:color w:val="auto"/>
          <w:spacing w:val="6"/>
          <w:sz w:val="24"/>
          <w:szCs w:val="24"/>
          <w:highlight w:val="yellow"/>
        </w:rPr>
        <w:t>3）公交、大巴、出租车</w:t>
      </w:r>
    </w:p>
    <w:p>
      <w:pPr>
        <w:numPr>
          <w:ilvl w:val="0"/>
          <w:numId w:val="21"/>
        </w:numPr>
        <w:spacing w:line="360" w:lineRule="auto"/>
        <w:ind w:left="0" w:firstLine="504" w:firstLineChars="200"/>
        <w:rPr>
          <w:rFonts w:ascii="Times New Roman" w:hAnsi="Times New Roman"/>
          <w:b w:val="0"/>
          <w:bCs/>
          <w:color w:val="auto"/>
          <w:spacing w:val="6"/>
          <w:sz w:val="24"/>
          <w:szCs w:val="24"/>
          <w:highlight w:val="yellow"/>
        </w:rPr>
      </w:pPr>
      <w:r>
        <w:rPr>
          <w:rFonts w:ascii="Times New Roman" w:hAnsi="Times New Roman"/>
          <w:b w:val="0"/>
          <w:bCs/>
          <w:color w:val="auto"/>
          <w:spacing w:val="6"/>
          <w:sz w:val="24"/>
          <w:szCs w:val="24"/>
          <w:highlight w:val="yellow"/>
        </w:rPr>
        <w:t>进场流线：广州方向通过万顷沙支线（南行）、灵新大道南延线与二十涌北路和二十涌南一路进行转换到达地块公共交通站场；深圳方向通过万顷沙支线（北行）、二十涌南路到达公共交通站场。</w:t>
      </w:r>
    </w:p>
    <w:p>
      <w:pPr>
        <w:spacing w:line="360" w:lineRule="auto"/>
        <w:ind w:firstLine="504" w:firstLineChars="200"/>
        <w:jc w:val="center"/>
        <w:rPr>
          <w:rFonts w:ascii="Times New Roman" w:hAnsi="Times New Roman"/>
          <w:b w:val="0"/>
          <w:bCs/>
          <w:color w:val="auto"/>
          <w:spacing w:val="6"/>
          <w:sz w:val="24"/>
          <w:szCs w:val="24"/>
          <w:highlight w:val="yellow"/>
        </w:rPr>
      </w:pPr>
      <w:r>
        <w:rPr>
          <w:rFonts w:ascii="Times New Roman" w:hAnsi="Times New Roman"/>
          <w:b w:val="0"/>
          <w:bCs/>
          <w:color w:val="auto"/>
          <w:spacing w:val="6"/>
          <w:sz w:val="24"/>
          <w:szCs w:val="24"/>
          <w:highlight w:val="yellow"/>
        </w:rPr>
        <w:drawing>
          <wp:inline distT="0" distB="0" distL="0" distR="0">
            <wp:extent cx="3752850" cy="3468370"/>
            <wp:effectExtent l="0" t="0" r="0" b="1778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pic:cNvPicPr>
                      <a:picLocks noChangeAspect="1" noChangeArrowheads="1"/>
                    </pic:cNvPicPr>
                  </pic:nvPicPr>
                  <pic:blipFill>
                    <a:blip r:embed="rId151">
                      <a:extLst>
                        <a:ext uri="{28A0092B-C50C-407E-A947-70E740481C1C}">
                          <a14:useLocalDpi xmlns:a14="http://schemas.microsoft.com/office/drawing/2010/main" val="0"/>
                        </a:ext>
                      </a:extLst>
                    </a:blip>
                    <a:srcRect r="3071" b="2604"/>
                    <a:stretch>
                      <a:fillRect/>
                    </a:stretch>
                  </pic:blipFill>
                  <pic:spPr>
                    <a:xfrm>
                      <a:off x="0" y="0"/>
                      <a:ext cx="3758309" cy="3473537"/>
                    </a:xfrm>
                    <a:prstGeom prst="rect">
                      <a:avLst/>
                    </a:prstGeom>
                    <a:noFill/>
                    <a:ln>
                      <a:noFill/>
                    </a:ln>
                  </pic:spPr>
                </pic:pic>
              </a:graphicData>
            </a:graphic>
          </wp:inline>
        </w:drawing>
      </w:r>
    </w:p>
    <w:p>
      <w:pPr>
        <w:numPr>
          <w:ilvl w:val="0"/>
          <w:numId w:val="21"/>
        </w:numPr>
        <w:spacing w:line="360" w:lineRule="auto"/>
        <w:ind w:left="0" w:firstLine="504" w:firstLineChars="200"/>
        <w:rPr>
          <w:rFonts w:ascii="Times New Roman" w:hAnsi="Times New Roman"/>
          <w:b w:val="0"/>
          <w:bCs/>
          <w:color w:val="auto"/>
          <w:spacing w:val="6"/>
          <w:sz w:val="24"/>
          <w:szCs w:val="24"/>
          <w:highlight w:val="yellow"/>
        </w:rPr>
      </w:pPr>
      <w:r>
        <w:rPr>
          <w:rFonts w:ascii="Times New Roman" w:hAnsi="Times New Roman"/>
          <w:b w:val="0"/>
          <w:bCs/>
          <w:color w:val="auto"/>
          <w:spacing w:val="6"/>
          <w:sz w:val="24"/>
          <w:szCs w:val="24"/>
          <w:highlight w:val="yellow"/>
        </w:rPr>
        <w:t>离开流线：广州方向通过二十涌北路、二十涌南一路转换至万环西路南延线、灵新大道南延线和万顷沙支线（北行）驶离站场；深圳方向通过二十涌南路、二十涌南一路衔接万顷沙支线（南行）驶离站场。</w:t>
      </w:r>
    </w:p>
    <w:p>
      <w:pPr>
        <w:spacing w:line="360" w:lineRule="auto"/>
        <w:ind w:firstLine="504" w:firstLineChars="200"/>
        <w:jc w:val="center"/>
        <w:rPr>
          <w:rFonts w:ascii="Times New Roman" w:hAnsi="Times New Roman"/>
          <w:b w:val="0"/>
          <w:bCs/>
          <w:color w:val="auto"/>
          <w:spacing w:val="6"/>
          <w:sz w:val="24"/>
          <w:szCs w:val="24"/>
          <w:highlight w:val="yellow"/>
        </w:rPr>
      </w:pPr>
      <w:r>
        <w:rPr>
          <w:rFonts w:ascii="Times New Roman" w:hAnsi="Times New Roman"/>
          <w:b w:val="0"/>
          <w:bCs/>
          <w:color w:val="auto"/>
          <w:spacing w:val="6"/>
          <w:sz w:val="24"/>
          <w:szCs w:val="24"/>
          <w:highlight w:val="yellow"/>
        </w:rPr>
        <w:drawing>
          <wp:inline distT="0" distB="0" distL="0" distR="0">
            <wp:extent cx="3848100" cy="3593465"/>
            <wp:effectExtent l="0" t="0" r="0" b="6985"/>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79"/>
                    <pic:cNvPicPr>
                      <a:picLocks noChangeAspect="1" noChangeArrowheads="1"/>
                    </pic:cNvPicPr>
                  </pic:nvPicPr>
                  <pic:blipFill>
                    <a:blip r:embed="rId152">
                      <a:extLst>
                        <a:ext uri="{28A0092B-C50C-407E-A947-70E740481C1C}">
                          <a14:useLocalDpi xmlns:a14="http://schemas.microsoft.com/office/drawing/2010/main" val="0"/>
                        </a:ext>
                      </a:extLst>
                    </a:blip>
                    <a:srcRect t="1223" r="2374" b="2105"/>
                    <a:stretch>
                      <a:fillRect/>
                    </a:stretch>
                  </pic:blipFill>
                  <pic:spPr>
                    <a:xfrm>
                      <a:off x="0" y="0"/>
                      <a:ext cx="3852072" cy="3597380"/>
                    </a:xfrm>
                    <a:prstGeom prst="rect">
                      <a:avLst/>
                    </a:prstGeom>
                    <a:noFill/>
                    <a:ln>
                      <a:noFill/>
                    </a:ln>
                  </pic:spPr>
                </pic:pic>
              </a:graphicData>
            </a:graphic>
          </wp:inline>
        </w:drawing>
      </w:r>
    </w:p>
    <w:p>
      <w:pPr>
        <w:spacing w:line="360" w:lineRule="auto"/>
        <w:ind w:firstLine="504" w:firstLineChars="200"/>
        <w:rPr>
          <w:rFonts w:ascii="Times New Roman" w:hAnsi="Times New Roman"/>
          <w:b w:val="0"/>
          <w:bCs/>
          <w:color w:val="auto"/>
          <w:spacing w:val="6"/>
          <w:sz w:val="24"/>
          <w:szCs w:val="24"/>
          <w:highlight w:val="yellow"/>
        </w:rPr>
      </w:pPr>
      <w:r>
        <w:rPr>
          <w:rFonts w:ascii="Times New Roman" w:hAnsi="Times New Roman"/>
          <w:b w:val="0"/>
          <w:bCs/>
          <w:color w:val="auto"/>
          <w:spacing w:val="6"/>
          <w:sz w:val="24"/>
          <w:szCs w:val="24"/>
          <w:highlight w:val="yellow"/>
        </w:rPr>
        <w:t>（2）普通赛事流线</w:t>
      </w:r>
    </w:p>
    <w:p>
      <w:pPr>
        <w:spacing w:line="360" w:lineRule="auto"/>
        <w:ind w:firstLine="504" w:firstLineChars="200"/>
        <w:rPr>
          <w:rFonts w:ascii="Times New Roman" w:hAnsi="Times New Roman"/>
          <w:b w:val="0"/>
          <w:bCs/>
          <w:color w:val="auto"/>
          <w:spacing w:val="6"/>
          <w:sz w:val="24"/>
          <w:szCs w:val="24"/>
          <w:highlight w:val="yellow"/>
        </w:rPr>
      </w:pPr>
      <w:r>
        <w:rPr>
          <w:rFonts w:ascii="Times New Roman" w:hAnsi="Times New Roman"/>
          <w:b w:val="0"/>
          <w:bCs/>
          <w:color w:val="auto"/>
          <w:spacing w:val="6"/>
          <w:sz w:val="24"/>
          <w:szCs w:val="24"/>
          <w:highlight w:val="yellow"/>
        </w:rPr>
        <w:t>1）VIP、非观众、运动员</w:t>
      </w:r>
    </w:p>
    <w:p>
      <w:pPr>
        <w:numPr>
          <w:ilvl w:val="0"/>
          <w:numId w:val="21"/>
        </w:numPr>
        <w:spacing w:line="360" w:lineRule="auto"/>
        <w:ind w:left="0" w:firstLine="504" w:firstLineChars="200"/>
        <w:rPr>
          <w:rFonts w:ascii="Times New Roman" w:hAnsi="Times New Roman"/>
          <w:b w:val="0"/>
          <w:bCs/>
          <w:color w:val="auto"/>
          <w:spacing w:val="6"/>
          <w:sz w:val="24"/>
          <w:szCs w:val="24"/>
          <w:highlight w:val="yellow"/>
        </w:rPr>
      </w:pPr>
      <w:r>
        <w:rPr>
          <w:rFonts w:ascii="Times New Roman" w:hAnsi="Times New Roman"/>
          <w:b w:val="0"/>
          <w:bCs/>
          <w:color w:val="auto"/>
          <w:spacing w:val="6"/>
          <w:sz w:val="24"/>
          <w:szCs w:val="24"/>
          <w:highlight w:val="yellow"/>
        </w:rPr>
        <w:t>进场流线：广州方向通过万顷沙支线（南行）、灵新大道南延线与片区东西向道路如二十涌北路、二十一涌北路等进行转换进而到达地块；深圳方向通过万顷沙支线（北行）、二十涌南路、规划纵三路到达地块。</w:t>
      </w:r>
    </w:p>
    <w:p>
      <w:pPr>
        <w:spacing w:line="360" w:lineRule="auto"/>
        <w:ind w:firstLine="504" w:firstLineChars="200"/>
        <w:jc w:val="center"/>
        <w:rPr>
          <w:rFonts w:ascii="Times New Roman" w:hAnsi="Times New Roman"/>
          <w:b w:val="0"/>
          <w:bCs/>
          <w:color w:val="auto"/>
          <w:spacing w:val="6"/>
          <w:sz w:val="24"/>
          <w:szCs w:val="24"/>
          <w:highlight w:val="yellow"/>
        </w:rPr>
      </w:pPr>
      <w:r>
        <w:rPr>
          <w:rFonts w:ascii="Times New Roman" w:hAnsi="Times New Roman"/>
          <w:b w:val="0"/>
          <w:bCs/>
          <w:color w:val="auto"/>
          <w:spacing w:val="6"/>
          <w:sz w:val="24"/>
          <w:szCs w:val="24"/>
          <w:highlight w:val="yellow"/>
        </w:rPr>
        <w:drawing>
          <wp:inline distT="0" distB="0" distL="0" distR="0">
            <wp:extent cx="3829050" cy="3539490"/>
            <wp:effectExtent l="0" t="0" r="0" b="381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80"/>
                    <pic:cNvPicPr>
                      <a:picLocks noChangeAspect="1" noChangeArrowheads="1"/>
                    </pic:cNvPicPr>
                  </pic:nvPicPr>
                  <pic:blipFill>
                    <a:blip r:embed="rId153">
                      <a:extLst>
                        <a:ext uri="{28A0092B-C50C-407E-A947-70E740481C1C}">
                          <a14:useLocalDpi xmlns:a14="http://schemas.microsoft.com/office/drawing/2010/main" val="0"/>
                        </a:ext>
                      </a:extLst>
                    </a:blip>
                    <a:srcRect r="2722" b="2353"/>
                    <a:stretch>
                      <a:fillRect/>
                    </a:stretch>
                  </pic:blipFill>
                  <pic:spPr>
                    <a:xfrm>
                      <a:off x="0" y="0"/>
                      <a:ext cx="3842430" cy="3552042"/>
                    </a:xfrm>
                    <a:prstGeom prst="rect">
                      <a:avLst/>
                    </a:prstGeom>
                    <a:noFill/>
                    <a:ln>
                      <a:noFill/>
                    </a:ln>
                  </pic:spPr>
                </pic:pic>
              </a:graphicData>
            </a:graphic>
          </wp:inline>
        </w:drawing>
      </w:r>
    </w:p>
    <w:p>
      <w:pPr>
        <w:numPr>
          <w:ilvl w:val="0"/>
          <w:numId w:val="21"/>
        </w:numPr>
        <w:spacing w:line="360" w:lineRule="auto"/>
        <w:ind w:left="0" w:firstLine="504" w:firstLineChars="200"/>
        <w:rPr>
          <w:rFonts w:ascii="Times New Roman" w:hAnsi="Times New Roman"/>
          <w:b w:val="0"/>
          <w:bCs/>
          <w:color w:val="auto"/>
          <w:spacing w:val="6"/>
          <w:sz w:val="24"/>
          <w:szCs w:val="24"/>
          <w:highlight w:val="yellow"/>
        </w:rPr>
      </w:pPr>
      <w:r>
        <w:rPr>
          <w:rFonts w:ascii="Times New Roman" w:hAnsi="Times New Roman"/>
          <w:b w:val="0"/>
          <w:bCs/>
          <w:color w:val="auto"/>
          <w:spacing w:val="6"/>
          <w:sz w:val="24"/>
          <w:szCs w:val="24"/>
          <w:highlight w:val="yellow"/>
        </w:rPr>
        <w:t>离开流线：广州方向通过二十一涌北路、滨海路转换至万环西路南延线、灵新大道南延线和万顷沙支线（北行）驶离地块；深圳方向通过二十涌南路、万顷沙支线（南行）驶离地块。</w:t>
      </w:r>
    </w:p>
    <w:p>
      <w:pPr>
        <w:spacing w:line="360" w:lineRule="auto"/>
        <w:ind w:firstLine="504" w:firstLineChars="200"/>
        <w:jc w:val="center"/>
        <w:rPr>
          <w:rFonts w:ascii="Times New Roman" w:hAnsi="Times New Roman"/>
          <w:b w:val="0"/>
          <w:bCs/>
          <w:color w:val="auto"/>
          <w:spacing w:val="6"/>
          <w:sz w:val="24"/>
          <w:szCs w:val="24"/>
          <w:highlight w:val="yellow"/>
        </w:rPr>
      </w:pPr>
      <w:r>
        <w:rPr>
          <w:rFonts w:ascii="Times New Roman" w:hAnsi="Times New Roman"/>
          <w:b w:val="0"/>
          <w:bCs/>
          <w:color w:val="auto"/>
          <w:spacing w:val="6"/>
          <w:sz w:val="24"/>
          <w:szCs w:val="24"/>
          <w:highlight w:val="yellow"/>
        </w:rPr>
        <w:drawing>
          <wp:inline distT="0" distB="0" distL="0" distR="0">
            <wp:extent cx="3747770" cy="3552825"/>
            <wp:effectExtent l="0" t="0" r="5080" b="9525"/>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pic:cNvPicPr>
                      <a:picLocks noChangeAspect="1" noChangeArrowheads="1"/>
                    </pic:cNvPicPr>
                  </pic:nvPicPr>
                  <pic:blipFill>
                    <a:blip r:embed="rId154">
                      <a:extLst>
                        <a:ext uri="{28A0092B-C50C-407E-A947-70E740481C1C}">
                          <a14:useLocalDpi xmlns:a14="http://schemas.microsoft.com/office/drawing/2010/main" val="0"/>
                        </a:ext>
                      </a:extLst>
                    </a:blip>
                    <a:srcRect r="2724" b="2344"/>
                    <a:stretch>
                      <a:fillRect/>
                    </a:stretch>
                  </pic:blipFill>
                  <pic:spPr>
                    <a:xfrm>
                      <a:off x="0" y="0"/>
                      <a:ext cx="3760906" cy="3565267"/>
                    </a:xfrm>
                    <a:prstGeom prst="rect">
                      <a:avLst/>
                    </a:prstGeom>
                    <a:noFill/>
                    <a:ln>
                      <a:noFill/>
                    </a:ln>
                  </pic:spPr>
                </pic:pic>
              </a:graphicData>
            </a:graphic>
          </wp:inline>
        </w:drawing>
      </w:r>
    </w:p>
    <w:p>
      <w:pPr>
        <w:spacing w:line="360" w:lineRule="auto"/>
        <w:ind w:firstLine="504" w:firstLineChars="200"/>
        <w:rPr>
          <w:rFonts w:ascii="Times New Roman" w:hAnsi="Times New Roman"/>
          <w:b w:val="0"/>
          <w:bCs/>
          <w:color w:val="auto"/>
          <w:spacing w:val="6"/>
          <w:sz w:val="24"/>
          <w:szCs w:val="24"/>
          <w:highlight w:val="yellow"/>
        </w:rPr>
      </w:pPr>
      <w:r>
        <w:rPr>
          <w:rFonts w:ascii="Times New Roman" w:hAnsi="Times New Roman"/>
          <w:b w:val="0"/>
          <w:bCs/>
          <w:color w:val="auto"/>
          <w:spacing w:val="6"/>
          <w:sz w:val="24"/>
          <w:szCs w:val="24"/>
          <w:highlight w:val="yellow"/>
        </w:rPr>
        <w:t>2）私家车</w:t>
      </w:r>
    </w:p>
    <w:p>
      <w:pPr>
        <w:numPr>
          <w:ilvl w:val="0"/>
          <w:numId w:val="21"/>
        </w:numPr>
        <w:spacing w:line="360" w:lineRule="auto"/>
        <w:ind w:left="0" w:firstLine="504" w:firstLineChars="200"/>
        <w:rPr>
          <w:rFonts w:ascii="Times New Roman" w:hAnsi="Times New Roman"/>
          <w:b w:val="0"/>
          <w:bCs/>
          <w:color w:val="auto"/>
          <w:spacing w:val="6"/>
          <w:sz w:val="24"/>
          <w:szCs w:val="24"/>
          <w:highlight w:val="yellow"/>
        </w:rPr>
      </w:pPr>
      <w:r>
        <w:rPr>
          <w:rFonts w:ascii="Times New Roman" w:hAnsi="Times New Roman"/>
          <w:b w:val="0"/>
          <w:bCs/>
          <w:color w:val="auto"/>
          <w:spacing w:val="6"/>
          <w:sz w:val="24"/>
          <w:szCs w:val="24"/>
          <w:highlight w:val="yellow"/>
        </w:rPr>
        <w:t>进场流线：广州方向通过万顷沙支线（南行）、灵新大道南延线进入二十涌北侧停车场，通过纵三路进入地块停车楼；深圳方向通过万顷沙支线（北行）、二十涌南路、纵一路进入二十涌南侧停车场，通过纵三路进入停车楼。</w:t>
      </w:r>
    </w:p>
    <w:p>
      <w:pPr>
        <w:spacing w:line="360" w:lineRule="auto"/>
        <w:ind w:firstLine="504" w:firstLineChars="200"/>
        <w:jc w:val="center"/>
        <w:rPr>
          <w:rFonts w:ascii="Times New Roman" w:hAnsi="Times New Roman"/>
          <w:b w:val="0"/>
          <w:bCs/>
          <w:color w:val="auto"/>
          <w:spacing w:val="6"/>
          <w:sz w:val="24"/>
          <w:szCs w:val="24"/>
          <w:highlight w:val="yellow"/>
        </w:rPr>
      </w:pPr>
      <w:r>
        <w:rPr>
          <w:rFonts w:ascii="Times New Roman" w:hAnsi="Times New Roman"/>
          <w:b w:val="0"/>
          <w:bCs/>
          <w:color w:val="auto"/>
          <w:spacing w:val="6"/>
          <w:sz w:val="24"/>
          <w:szCs w:val="24"/>
          <w:highlight w:val="yellow"/>
        </w:rPr>
        <w:drawing>
          <wp:inline distT="0" distB="0" distL="0" distR="0">
            <wp:extent cx="3724275" cy="3476625"/>
            <wp:effectExtent l="0" t="0" r="9525" b="9525"/>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pic:cNvPicPr>
                      <a:picLocks noChangeAspect="1" noChangeArrowheads="1"/>
                    </pic:cNvPicPr>
                  </pic:nvPicPr>
                  <pic:blipFill>
                    <a:blip r:embed="rId155">
                      <a:extLst>
                        <a:ext uri="{28A0092B-C50C-407E-A947-70E740481C1C}">
                          <a14:useLocalDpi xmlns:a14="http://schemas.microsoft.com/office/drawing/2010/main" val="0"/>
                        </a:ext>
                      </a:extLst>
                    </a:blip>
                    <a:srcRect r="3301" b="2223"/>
                    <a:stretch>
                      <a:fillRect/>
                    </a:stretch>
                  </pic:blipFill>
                  <pic:spPr>
                    <a:xfrm>
                      <a:off x="0" y="0"/>
                      <a:ext cx="3735099" cy="3486793"/>
                    </a:xfrm>
                    <a:prstGeom prst="rect">
                      <a:avLst/>
                    </a:prstGeom>
                    <a:noFill/>
                    <a:ln>
                      <a:noFill/>
                    </a:ln>
                  </pic:spPr>
                </pic:pic>
              </a:graphicData>
            </a:graphic>
          </wp:inline>
        </w:drawing>
      </w:r>
    </w:p>
    <w:p>
      <w:pPr>
        <w:numPr>
          <w:ilvl w:val="0"/>
          <w:numId w:val="21"/>
        </w:numPr>
        <w:spacing w:line="360" w:lineRule="auto"/>
        <w:ind w:left="0" w:firstLine="504" w:firstLineChars="200"/>
        <w:rPr>
          <w:rFonts w:ascii="Times New Roman" w:hAnsi="Times New Roman"/>
          <w:b w:val="0"/>
          <w:bCs/>
          <w:color w:val="auto"/>
          <w:spacing w:val="6"/>
          <w:sz w:val="24"/>
          <w:szCs w:val="24"/>
          <w:highlight w:val="yellow"/>
        </w:rPr>
      </w:pPr>
      <w:r>
        <w:rPr>
          <w:rFonts w:ascii="Times New Roman" w:hAnsi="Times New Roman"/>
          <w:b w:val="0"/>
          <w:bCs/>
          <w:color w:val="auto"/>
          <w:spacing w:val="6"/>
          <w:sz w:val="24"/>
          <w:szCs w:val="24"/>
          <w:highlight w:val="yellow"/>
        </w:rPr>
        <w:t>离开流线：广州方向通过二十涌北路、灵新大道南延线和万顷沙支线（北行）驶离停车场，通过纵三路驶离地块停车楼；深圳方向通过二十涌南一路、万顷沙支线（南行）驶离地块，通过纵三路驶离停车楼。</w:t>
      </w:r>
    </w:p>
    <w:p>
      <w:pPr>
        <w:spacing w:line="360" w:lineRule="auto"/>
        <w:ind w:firstLine="504" w:firstLineChars="200"/>
        <w:jc w:val="center"/>
        <w:rPr>
          <w:rFonts w:ascii="Times New Roman" w:hAnsi="Times New Roman"/>
          <w:b w:val="0"/>
          <w:color w:val="auto"/>
          <w:sz w:val="24"/>
          <w:szCs w:val="24"/>
          <w:highlight w:val="yellow"/>
        </w:rPr>
      </w:pPr>
      <w:r>
        <w:rPr>
          <w:rFonts w:ascii="Times New Roman" w:hAnsi="Times New Roman"/>
          <w:b w:val="0"/>
          <w:bCs/>
          <w:color w:val="auto"/>
          <w:spacing w:val="6"/>
          <w:sz w:val="24"/>
          <w:szCs w:val="24"/>
          <w:highlight w:val="yellow"/>
        </w:rPr>
        <w:drawing>
          <wp:inline distT="0" distB="0" distL="0" distR="0">
            <wp:extent cx="3950335" cy="3810000"/>
            <wp:effectExtent l="0" t="0" r="12065" b="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pic:cNvPicPr>
                      <a:picLocks noChangeAspect="1" noChangeArrowheads="1"/>
                    </pic:cNvPicPr>
                  </pic:nvPicPr>
                  <pic:blipFill>
                    <a:blip r:embed="rId156">
                      <a:extLst>
                        <a:ext uri="{28A0092B-C50C-407E-A947-70E740481C1C}">
                          <a14:useLocalDpi xmlns:a14="http://schemas.microsoft.com/office/drawing/2010/main" val="0"/>
                        </a:ext>
                      </a:extLst>
                    </a:blip>
                    <a:srcRect t="1882" r="3177" b="2593"/>
                    <a:stretch>
                      <a:fillRect/>
                    </a:stretch>
                  </pic:blipFill>
                  <pic:spPr>
                    <a:xfrm>
                      <a:off x="0" y="0"/>
                      <a:ext cx="3956630" cy="3815778"/>
                    </a:xfrm>
                    <a:prstGeom prst="rect">
                      <a:avLst/>
                    </a:prstGeom>
                    <a:noFill/>
                    <a:ln>
                      <a:noFill/>
                    </a:ln>
                  </pic:spPr>
                </pic:pic>
              </a:graphicData>
            </a:graphic>
          </wp:inline>
        </w:drawing>
      </w:r>
    </w:p>
    <w:p>
      <w:pPr>
        <w:pStyle w:val="4"/>
        <w:ind w:firstLine="482" w:firstLineChars="200"/>
        <w:rPr>
          <w:highlight w:val="yellow"/>
        </w:rPr>
      </w:pPr>
      <w:bookmarkStart w:id="177" w:name="_Toc32745"/>
      <w:bookmarkStart w:id="178" w:name="_Toc4463"/>
      <w:r>
        <w:rPr>
          <w:highlight w:val="yellow"/>
        </w:rPr>
        <w:t>交叉口设计</w:t>
      </w:r>
      <w:bookmarkEnd w:id="177"/>
      <w:bookmarkEnd w:id="178"/>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平面交叉口推荐选型：主—主干路平面交叉口信号控制展宽渠化；主—次干路交叉口信号控制展宽渠化；次—次干路交叉口信号控制展宽渠化；</w:t>
      </w:r>
      <w:r>
        <w:rPr>
          <w:rFonts w:hint="eastAsia" w:ascii="Times New Roman" w:hAnsi="Times New Roman"/>
          <w:b w:val="0"/>
          <w:color w:val="auto"/>
          <w:sz w:val="24"/>
          <w:szCs w:val="24"/>
          <w:highlight w:val="yellow"/>
        </w:rPr>
        <w:t>右进右出路口，在来车方向增设减速标线以及慢行标志，路口指示标志和广角镜等交通设施。</w:t>
      </w:r>
    </w:p>
    <w:p>
      <w:pPr>
        <w:pStyle w:val="4"/>
        <w:ind w:firstLine="482" w:firstLineChars="200"/>
        <w:rPr>
          <w:highlight w:val="yellow"/>
        </w:rPr>
      </w:pPr>
      <w:bookmarkStart w:id="179" w:name="_Toc30099"/>
      <w:bookmarkStart w:id="180" w:name="_Toc13209"/>
      <w:r>
        <w:rPr>
          <w:highlight w:val="yellow"/>
        </w:rPr>
        <w:t>交通设施设计</w:t>
      </w:r>
      <w:bookmarkEnd w:id="179"/>
      <w:bookmarkEnd w:id="180"/>
    </w:p>
    <w:p>
      <w:pPr>
        <w:pStyle w:val="5"/>
        <w:ind w:firstLine="482" w:firstLineChars="200"/>
        <w:rPr>
          <w:rFonts w:ascii="Times New Roman" w:hAnsi="Times New Roman"/>
          <w:highlight w:val="yellow"/>
        </w:rPr>
      </w:pPr>
      <w:r>
        <w:rPr>
          <w:rFonts w:ascii="Times New Roman" w:hAnsi="Times New Roman"/>
          <w:highlight w:val="yellow"/>
        </w:rPr>
        <w:t>交通工程设计概述</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为了保障交通通畅，使道路起到安全、舒适的作用，配备完善的交通设施，诱导交通、规范车行、人行是必不可少的措施。本次交通工程设计内容主要包括：</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（1）道路路面的交通标线设计</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（2）道路交通标志设计</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（3）交叉路口信号控制设计</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（4）道路无障碍系统及其他设施设计</w:t>
      </w:r>
    </w:p>
    <w:p>
      <w:pPr>
        <w:pStyle w:val="5"/>
        <w:ind w:firstLine="482" w:firstLineChars="200"/>
        <w:rPr>
          <w:rFonts w:ascii="Times New Roman" w:hAnsi="Times New Roman"/>
          <w:highlight w:val="yellow"/>
        </w:rPr>
      </w:pPr>
      <w:r>
        <w:rPr>
          <w:rFonts w:ascii="Times New Roman" w:hAnsi="Times New Roman"/>
          <w:highlight w:val="yellow"/>
        </w:rPr>
        <w:t>交通工程设计原则</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（1）严格按国际的规定设计。</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（2）交通工程的设计力求简洁、清晰以及连续，给司机以确切的道路交通消息，使道路交通达到安全、畅通、节约能源的目的。</w:t>
      </w:r>
    </w:p>
    <w:p>
      <w:pPr>
        <w:pStyle w:val="5"/>
        <w:ind w:firstLine="482" w:firstLineChars="200"/>
        <w:rPr>
          <w:rFonts w:ascii="Times New Roman" w:hAnsi="Times New Roman"/>
          <w:highlight w:val="yellow"/>
        </w:rPr>
      </w:pPr>
      <w:r>
        <w:rPr>
          <w:rFonts w:ascii="Times New Roman" w:hAnsi="Times New Roman"/>
          <w:highlight w:val="yellow"/>
        </w:rPr>
        <w:t>交通标线设计</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交通标线是由施划或安装于道路上的各种线条、导向箭头、文字、图案及立面标记、实体标记、凸起路标和轮廓标等所构成的交通设施。它的作用是向道路使用者传递有关道路交通的规划、警告、指引等信息，可以与标志配合使用，也可以单独使用，起到引导交通和保障交通安全的作用，具有强制性、服务性和诱导性。</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交叉路口交通标线设计</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1）一般原则</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交叉口标线的设置以保障交叉口交通的安全、有序、高效为目标，应结合交叉口实际情况和交通流实际特点进行设计和设置。</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交叉口应积极开辟左右转专用车道。为开辟交叉口专用车道，应首先考虑适当的路口加宽与适当的路口车道宽度缩减。上述措施无法满足要求或受条件限制无法实施时，按优先次序可依次采用缩小中央绿化带的宽度、缩小中央绿化带宽度并缩小车行道宽度、偏移道路中心线并缩小车行道宽度、缩小路肩或非机动车道的宽度等方法开辟交叉口专用车道。</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2）交叉路口出入部分的路面标线设计</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交叉口设置一条机动车道为右转弯专用车道，右转弯专用道宽度采用3.5m，合理设置灯控相位，保证互不干扰。</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出入口导向车道线的长度根据路口的几何线形确定，其最短长度为30m。导向车道线划白色单实线，表示禁止车辆变更车道。平交路口驶入段的车道内，设置导向箭头标明各车道的行驶方向。</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3）交叉路口内的路面标线</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为满足行人过街的需要，与沿线支路路口设置人行横道标线，宽度统一采用5m。</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交叉口机动车停止线原则上应与道路中心线垂直。</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常用交通标线设计</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车行道边缘线：采取连续单白线，在禁止路侧停车路段路缘线采用连续单黄线，在沿线车行道开口采用2m*4m白色虚线。道路中央有永久性物理隔离设施分隔对向车流时，靠近隔离设施的车行道边缘线采用白色实线，线宽15cm。</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车行道分界线：60Km/h及以上道路分隔同向交通采用6m*9m白色虚线，60Km/h以下道路分隔同向交通采用2m*4m白色虚线，双向两车道分隔对向车道采用4m*6m黄色虚线，线宽15cm，中央双黄实线中心到中心间隔50cm。各分界线禁止跨越时均采用实线。</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导向车道线：白色实线，长度不小于30m，线宽15cm。</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路口导向线：2m*2m虚线，线宽15cm。连接同向车行道分界线或机非分界线采用白色，连接对向车行道分界线采用黄色。</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左弯待转区线：50cm*50cm白色虚线，线宽15cm。在待转区内须施化白色左转弯导向箭头，导向箭头长3m。</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停止线：白色实线，线宽40cm，距离人行横道2m。</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人行横道线：白色实线，宽度5m，线宽40cm，间隔净距60cm。</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人行横道预告标记：设置于无信号灯控制的路段人行横道前。白色菱形标记，菱形长3m，宽1.5m，线宽20cm。</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减速让行标线：白色双虚线，线宽20cm，净距20cm；含减速让行标记。</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停车让行标线：白色双实线，线宽20cm，净距20cm；含停车让行标记。</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道路出入口标线：由纵向标线和三角地带标线组成。纵向标线为白色3m*3m虚线，三角地带为渠化标线。线宽45cm。</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公交停靠站标线：加速段、减速段为1m*1m白色虚线，停靠段为白色实线，线宽45cm。当专用于公交车、校车等特定车辆时，在停靠站中间标注停靠车辆的类型文字，并以黄色实折线填充停靠站正常段其他区域。</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导向箭头：包含直行、直左（直右）、左转（右转）、掉头、直行掉头、左转掉头、左右转、左弯或向左合流、右弯或向右合流等。采用6m长导向箭头；</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路面文字标记：60Km/h城市道路汉字采用3m字高，1m字宽，纵向间距1.5m；字母及数字采用2.8m字高，0.5m字宽，横向间距0.1m。40Km/h及以下城市道路汉字采用2m字高，0.7m字宽，纵向间距1.5m；字母及数字采用1.4m字高，0.25m字宽，横向间距0.08m。当路面指路文字标记与导向箭头同时设置时，路面文字标记应设置在箭头上游3m～5m。</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导流线：白色，与道路中心线相连时可采用黄色。外围线宽20cm，内部填充线宽45cm，净距100cm，倾斜角45度。</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横向减速标线：垂直于车道中心线的白色实线，线宽45cm，净距45cm。横向每100cm留空5cm以便排水。</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纵向减速标线：平行于车行道分界线的白色菱形块虚线，菱形呈45°角，块宽30cm，块长100cm，块净距100cm。在起始位置设置30m的渐变段，菱形块宽度由10cm渐变为30cm。</w:t>
      </w:r>
    </w:p>
    <w:p>
      <w:pPr>
        <w:pStyle w:val="5"/>
        <w:ind w:firstLine="482" w:firstLineChars="200"/>
        <w:rPr>
          <w:rFonts w:ascii="Times New Roman" w:hAnsi="Times New Roman"/>
          <w:highlight w:val="yellow"/>
        </w:rPr>
      </w:pPr>
      <w:r>
        <w:rPr>
          <w:rFonts w:ascii="Times New Roman" w:hAnsi="Times New Roman"/>
          <w:highlight w:val="yellow"/>
        </w:rPr>
        <w:t>交通标志及其他设施设计</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道路交通标志是以颜色、现状、字符、图形等向道路使用者传递信息，用于管理交通的设施。交通标志应结合道路及交通情况设置。通过交通标志提供准确及时的信息和引导，使道路使用者顺利快捷地抵达目的地，促使交通畅通和行车安全。</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交通标志的设置应综合考虑、布局合理，防止出现信息不足或过载的现象。信息应连续，重要的信息宜重复显示。交通标志应设置在驾驶人员和行人容易看到、并能准确认读的醒目位置，一般情况下应设置在道路行进方向右侧或车行道上方。</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交通标志的位置以保证交通通畅和人车安全为目的，结合道路线形、交通状况等情况，根据交通需求设置必要的交通标志，及时准确传达信息，使车辆、行人能顺利、快捷地抵达目的地，避免发生错向行驶。</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原则上要避免不同种类的标志并设，条件受限而在一个支撑结构上并设标志时，应按禁令、指示、警告的顺序、先上后下、先左后右进行排列。</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交通标志按其作用分类，分为主标志和辅助标志两大类：</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主标志</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（1）警告标志：警告车辆、行人注意道路交通的标志；</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（2）禁令标志：禁止或限制车辆、行人交通相位的标志；</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（3）指示标志：指示车辆、行人交通应遵循的标志；</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（4）指路标志：传递道路方向、地点、距离信息的标志；</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（5）旅游区标志：提供旅游景点方向、距离的标志；</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（6）作业区标志：告知道路作业区通行的标志；</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（7）告示标志：告知路外设施、安全行驶信息以及其他信息的标志。</w:t>
      </w:r>
    </w:p>
    <w:p>
      <w:pPr>
        <w:spacing w:line="360" w:lineRule="auto"/>
        <w:ind w:firstLine="480" w:firstLineChars="200"/>
        <w:jc w:val="center"/>
        <w:rPr>
          <w:rFonts w:ascii="Times New Roman" w:hAnsi="Times New Roman"/>
          <w:b w:val="0"/>
          <w:bCs/>
          <w:color w:val="auto"/>
          <w:sz w:val="24"/>
          <w:szCs w:val="24"/>
          <w:highlight w:val="yellow"/>
        </w:rPr>
      </w:pPr>
      <w:r>
        <w:rPr>
          <w:rFonts w:ascii="Times New Roman" w:hAnsi="Times New Roman"/>
          <w:b w:val="0"/>
          <w:bCs/>
          <w:color w:val="auto"/>
          <w:sz w:val="24"/>
          <w:szCs w:val="24"/>
          <w:highlight w:val="yellow"/>
        </w:rPr>
        <w:drawing>
          <wp:inline distT="0" distB="0" distL="0" distR="0">
            <wp:extent cx="1223010" cy="1105535"/>
            <wp:effectExtent l="0" t="0" r="15240" b="18415"/>
            <wp:docPr id="184" name="图片 2" descr="http://www.safety.com.cn/standard/tu/gb5768-1999-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2" descr="http://www.safety.com.cn/standard/tu/gb5768-1999-58.gif"/>
                    <pic:cNvPicPr>
                      <a:picLocks noChangeAspect="1" noChangeArrowheads="1"/>
                    </pic:cNvPicPr>
                  </pic:nvPicPr>
                  <pic:blipFill>
                    <a:blip r:embed="rId157" r:link="rId158" cstate="print">
                      <a:extLst>
                        <a:ext uri="{28A0092B-C50C-407E-A947-70E740481C1C}">
                          <a14:useLocalDpi xmlns:a14="http://schemas.microsoft.com/office/drawing/2010/main" val="0"/>
                        </a:ext>
                      </a:extLst>
                    </a:blip>
                    <a:srcRect/>
                    <a:stretch>
                      <a:fillRect/>
                    </a:stretch>
                  </pic:blipFill>
                  <pic:spPr>
                    <a:xfrm>
                      <a:off x="0" y="0"/>
                      <a:ext cx="1223010" cy="1105535"/>
                    </a:xfrm>
                    <a:prstGeom prst="rect">
                      <a:avLst/>
                    </a:prstGeom>
                    <a:noFill/>
                    <a:ln w="9525">
                      <a:noFill/>
                      <a:miter lim="800000"/>
                      <a:headEnd/>
                      <a:tailEnd/>
                    </a:ln>
                  </pic:spPr>
                </pic:pic>
              </a:graphicData>
            </a:graphic>
          </wp:inline>
        </w:drawing>
      </w:r>
      <w:r>
        <w:rPr>
          <w:rFonts w:ascii="Times New Roman" w:hAnsi="Times New Roman"/>
          <w:b w:val="0"/>
          <w:bCs/>
          <w:color w:val="auto"/>
          <w:sz w:val="24"/>
          <w:szCs w:val="24"/>
          <w:highlight w:val="yellow"/>
        </w:rPr>
        <w:drawing>
          <wp:inline distT="0" distB="0" distL="0" distR="0">
            <wp:extent cx="1265555" cy="1116330"/>
            <wp:effectExtent l="0" t="0" r="10795" b="7620"/>
            <wp:docPr id="185" name="图片 3" descr="http://www.safety.com.cn/standard/tu/gb5768-1999-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3" descr="http://www.safety.com.cn/standard/tu/gb5768-1999-74.gif"/>
                    <pic:cNvPicPr>
                      <a:picLocks noChangeAspect="1" noChangeArrowheads="1"/>
                    </pic:cNvPicPr>
                  </pic:nvPicPr>
                  <pic:blipFill>
                    <a:blip r:embed="rId159" r:link="rId160" cstate="print">
                      <a:extLst>
                        <a:ext uri="{28A0092B-C50C-407E-A947-70E740481C1C}">
                          <a14:useLocalDpi xmlns:a14="http://schemas.microsoft.com/office/drawing/2010/main" val="0"/>
                        </a:ext>
                      </a:extLst>
                    </a:blip>
                    <a:srcRect/>
                    <a:stretch>
                      <a:fillRect/>
                    </a:stretch>
                  </pic:blipFill>
                  <pic:spPr>
                    <a:xfrm>
                      <a:off x="0" y="0"/>
                      <a:ext cx="1265555" cy="1116330"/>
                    </a:xfrm>
                    <a:prstGeom prst="rect">
                      <a:avLst/>
                    </a:prstGeom>
                    <a:noFill/>
                    <a:ln w="9525">
                      <a:noFill/>
                      <a:miter lim="800000"/>
                      <a:headEnd/>
                      <a:tailEnd/>
                    </a:ln>
                  </pic:spPr>
                </pic:pic>
              </a:graphicData>
            </a:graphic>
          </wp:inline>
        </w:drawing>
      </w:r>
      <w:r>
        <w:rPr>
          <w:rFonts w:ascii="Times New Roman" w:hAnsi="Times New Roman"/>
          <w:b w:val="0"/>
          <w:bCs/>
          <w:color w:val="auto"/>
          <w:sz w:val="24"/>
          <w:highlight w:val="yellow"/>
        </w:rPr>
        <w:drawing>
          <wp:inline distT="0" distB="0" distL="0" distR="0">
            <wp:extent cx="1298575" cy="1143000"/>
            <wp:effectExtent l="0" t="0" r="15875" b="0"/>
            <wp:docPr id="187" name="图片 187" descr="66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descr="666副本"/>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a:xfrm>
                      <a:off x="0" y="0"/>
                      <a:ext cx="1298575" cy="1143000"/>
                    </a:xfrm>
                    <a:prstGeom prst="rect">
                      <a:avLst/>
                    </a:prstGeom>
                    <a:noFill/>
                    <a:ln>
                      <a:noFill/>
                    </a:ln>
                  </pic:spPr>
                </pic:pic>
              </a:graphicData>
            </a:graphic>
          </wp:inline>
        </w:drawing>
      </w:r>
      <w:r>
        <w:rPr>
          <w:rFonts w:ascii="Times New Roman" w:hAnsi="Times New Roman"/>
          <w:b w:val="0"/>
          <w:bCs/>
          <w:color w:val="auto"/>
          <w:sz w:val="24"/>
          <w:szCs w:val="24"/>
          <w:highlight w:val="yellow"/>
        </w:rPr>
        <w:drawing>
          <wp:inline distT="0" distB="0" distL="0" distR="0">
            <wp:extent cx="1158875" cy="1073785"/>
            <wp:effectExtent l="0" t="0" r="3175" b="12065"/>
            <wp:docPr id="188" name="图片 5" descr="http://www.safety.com.cn/standard/tu/gb5768-1999-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5" descr="http://www.safety.com.cn/standard/tu/gb5768-1999-79.gif"/>
                    <pic:cNvPicPr>
                      <a:picLocks noChangeAspect="1" noChangeArrowheads="1"/>
                    </pic:cNvPicPr>
                  </pic:nvPicPr>
                  <pic:blipFill>
                    <a:blip r:embed="rId162" r:link="rId163" cstate="print">
                      <a:extLst>
                        <a:ext uri="{28A0092B-C50C-407E-A947-70E740481C1C}">
                          <a14:useLocalDpi xmlns:a14="http://schemas.microsoft.com/office/drawing/2010/main" val="0"/>
                        </a:ext>
                      </a:extLst>
                    </a:blip>
                    <a:srcRect/>
                    <a:stretch>
                      <a:fillRect/>
                    </a:stretch>
                  </pic:blipFill>
                  <pic:spPr>
                    <a:xfrm>
                      <a:off x="0" y="0"/>
                      <a:ext cx="1158875" cy="1073785"/>
                    </a:xfrm>
                    <a:prstGeom prst="rect">
                      <a:avLst/>
                    </a:prstGeom>
                    <a:noFill/>
                    <a:ln w="9525">
                      <a:noFill/>
                      <a:miter lim="800000"/>
                      <a:headEnd/>
                      <a:tailEnd/>
                    </a:ln>
                  </pic:spPr>
                </pic:pic>
              </a:graphicData>
            </a:graphic>
          </wp:inline>
        </w:drawing>
      </w:r>
    </w:p>
    <w:p>
      <w:pPr>
        <w:spacing w:line="360" w:lineRule="auto"/>
        <w:ind w:firstLine="422" w:firstLineChars="200"/>
        <w:jc w:val="center"/>
        <w:rPr>
          <w:rFonts w:ascii="Times New Roman" w:hAnsi="Times New Roman"/>
          <w:color w:val="000000" w:themeColor="text1"/>
          <w:sz w:val="21"/>
          <w:highlight w:val="yellow"/>
          <w:lang w:val="zh-CN"/>
          <w14:textFill>
            <w14:solidFill>
              <w14:schemeClr w14:val="tx1"/>
            </w14:solidFill>
          </w14:textFill>
        </w:rPr>
      </w:pPr>
      <w:r>
        <w:rPr>
          <w:rFonts w:ascii="Times New Roman" w:hAnsi="Times New Roman"/>
          <w:color w:val="000000" w:themeColor="text1"/>
          <w:sz w:val="21"/>
          <w:highlight w:val="yellow"/>
          <w:lang w:val="zh-CN"/>
          <w14:textFill>
            <w14:solidFill>
              <w14:schemeClr w14:val="tx1"/>
            </w14:solidFill>
          </w14:textFill>
        </w:rPr>
        <w:t>禁令标志</w:t>
      </w:r>
    </w:p>
    <w:p>
      <w:pPr>
        <w:spacing w:line="360" w:lineRule="auto"/>
        <w:ind w:firstLine="480" w:firstLineChars="200"/>
        <w:jc w:val="center"/>
        <w:rPr>
          <w:rFonts w:ascii="Times New Roman" w:hAnsi="Times New Roman"/>
          <w:b w:val="0"/>
          <w:bCs/>
          <w:color w:val="auto"/>
          <w:sz w:val="24"/>
          <w:szCs w:val="24"/>
          <w:highlight w:val="yellow"/>
        </w:rPr>
      </w:pPr>
      <w:r>
        <w:rPr>
          <w:rFonts w:ascii="Times New Roman" w:hAnsi="Times New Roman"/>
          <w:b w:val="0"/>
          <w:bCs/>
          <w:color w:val="auto"/>
          <w:sz w:val="24"/>
          <w:szCs w:val="24"/>
          <w:highlight w:val="yellow"/>
        </w:rPr>
        <w:drawing>
          <wp:inline distT="0" distB="0" distL="0" distR="0">
            <wp:extent cx="1233170" cy="1180465"/>
            <wp:effectExtent l="0" t="0" r="5080" b="635"/>
            <wp:docPr id="190" name="图片 6" descr="http://www.safety.com.cn/standard/tu/gb5768-1999-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6" descr="http://www.safety.com.cn/standard/tu/gb5768-1999-96.gif"/>
                    <pic:cNvPicPr>
                      <a:picLocks noChangeAspect="1" noChangeArrowheads="1"/>
                    </pic:cNvPicPr>
                  </pic:nvPicPr>
                  <pic:blipFill>
                    <a:blip r:embed="rId164" r:link="rId165" cstate="print">
                      <a:extLst>
                        <a:ext uri="{28A0092B-C50C-407E-A947-70E740481C1C}">
                          <a14:useLocalDpi xmlns:a14="http://schemas.microsoft.com/office/drawing/2010/main" val="0"/>
                        </a:ext>
                      </a:extLst>
                    </a:blip>
                    <a:srcRect/>
                    <a:stretch>
                      <a:fillRect/>
                    </a:stretch>
                  </pic:blipFill>
                  <pic:spPr>
                    <a:xfrm>
                      <a:off x="0" y="0"/>
                      <a:ext cx="1233170" cy="1180465"/>
                    </a:xfrm>
                    <a:prstGeom prst="rect">
                      <a:avLst/>
                    </a:prstGeom>
                    <a:noFill/>
                    <a:ln w="9525">
                      <a:noFill/>
                      <a:miter lim="800000"/>
                      <a:headEnd/>
                      <a:tailEnd/>
                    </a:ln>
                  </pic:spPr>
                </pic:pic>
              </a:graphicData>
            </a:graphic>
          </wp:inline>
        </w:drawing>
      </w:r>
      <w:r>
        <w:rPr>
          <w:rFonts w:ascii="Times New Roman" w:hAnsi="Times New Roman"/>
          <w:b w:val="0"/>
          <w:bCs/>
          <w:color w:val="auto"/>
          <w:sz w:val="24"/>
          <w:szCs w:val="24"/>
          <w:highlight w:val="yellow"/>
        </w:rPr>
        <w:drawing>
          <wp:inline distT="0" distB="0" distL="0" distR="0">
            <wp:extent cx="1169670" cy="1158875"/>
            <wp:effectExtent l="0" t="0" r="11430" b="3175"/>
            <wp:docPr id="191" name="图片 7" descr="http://www.safety.com.cn/standard/tu/gb5768-1999-1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7" descr="http://www.safety.com.cn/standard/tu/gb5768-1999-118.gif"/>
                    <pic:cNvPicPr>
                      <a:picLocks noChangeAspect="1" noChangeArrowheads="1"/>
                    </pic:cNvPicPr>
                  </pic:nvPicPr>
                  <pic:blipFill>
                    <a:blip r:embed="rId166" r:link="rId167" cstate="print">
                      <a:extLst>
                        <a:ext uri="{28A0092B-C50C-407E-A947-70E740481C1C}">
                          <a14:useLocalDpi xmlns:a14="http://schemas.microsoft.com/office/drawing/2010/main" val="0"/>
                        </a:ext>
                      </a:extLst>
                    </a:blip>
                    <a:srcRect/>
                    <a:stretch>
                      <a:fillRect/>
                    </a:stretch>
                  </pic:blipFill>
                  <pic:spPr>
                    <a:xfrm>
                      <a:off x="0" y="0"/>
                      <a:ext cx="1169670" cy="1158875"/>
                    </a:xfrm>
                    <a:prstGeom prst="rect">
                      <a:avLst/>
                    </a:prstGeom>
                    <a:noFill/>
                    <a:ln w="9525">
                      <a:noFill/>
                      <a:miter lim="800000"/>
                      <a:headEnd/>
                      <a:tailEnd/>
                    </a:ln>
                  </pic:spPr>
                </pic:pic>
              </a:graphicData>
            </a:graphic>
          </wp:inline>
        </w:drawing>
      </w:r>
      <w:r>
        <w:rPr>
          <w:rFonts w:ascii="Times New Roman" w:hAnsi="Times New Roman"/>
          <w:b w:val="0"/>
          <w:bCs/>
          <w:color w:val="auto"/>
          <w:sz w:val="24"/>
          <w:szCs w:val="24"/>
          <w:highlight w:val="yellow"/>
        </w:rPr>
        <w:drawing>
          <wp:inline distT="0" distB="0" distL="0" distR="0">
            <wp:extent cx="1275715" cy="1158875"/>
            <wp:effectExtent l="0" t="0" r="635" b="3175"/>
            <wp:docPr id="192" name="图片 8" descr="http://www.safety.com.cn/standard/tu/gb5768-1999-1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8" descr="http://www.safety.com.cn/standard/tu/gb5768-1999-110.gif"/>
                    <pic:cNvPicPr>
                      <a:picLocks noChangeAspect="1" noChangeArrowheads="1"/>
                    </pic:cNvPicPr>
                  </pic:nvPicPr>
                  <pic:blipFill>
                    <a:blip r:embed="rId168" r:link="rId169" cstate="print">
                      <a:extLst>
                        <a:ext uri="{28A0092B-C50C-407E-A947-70E740481C1C}">
                          <a14:useLocalDpi xmlns:a14="http://schemas.microsoft.com/office/drawing/2010/main" val="0"/>
                        </a:ext>
                      </a:extLst>
                    </a:blip>
                    <a:srcRect/>
                    <a:stretch>
                      <a:fillRect/>
                    </a:stretch>
                  </pic:blipFill>
                  <pic:spPr>
                    <a:xfrm>
                      <a:off x="0" y="0"/>
                      <a:ext cx="1275715" cy="1158875"/>
                    </a:xfrm>
                    <a:prstGeom prst="rect">
                      <a:avLst/>
                    </a:prstGeom>
                    <a:noFill/>
                    <a:ln w="9525">
                      <a:noFill/>
                      <a:miter lim="800000"/>
                      <a:headEnd/>
                      <a:tailEnd/>
                    </a:ln>
                  </pic:spPr>
                </pic:pic>
              </a:graphicData>
            </a:graphic>
          </wp:inline>
        </w:drawing>
      </w:r>
      <w:r>
        <w:rPr>
          <w:rFonts w:ascii="Times New Roman" w:hAnsi="Times New Roman"/>
          <w:b w:val="0"/>
          <w:bCs/>
          <w:color w:val="auto"/>
          <w:sz w:val="24"/>
          <w:szCs w:val="24"/>
          <w:highlight w:val="yellow"/>
        </w:rPr>
        <w:drawing>
          <wp:inline distT="0" distB="0" distL="0" distR="0">
            <wp:extent cx="1116330" cy="1116330"/>
            <wp:effectExtent l="0" t="0" r="7620" b="7620"/>
            <wp:docPr id="193" name="图片 9" descr="http://www.safety.com.cn/standard/tu/gb5768-1999-1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9" descr="http://www.safety.com.cn/standard/tu/gb5768-1999-120.gif"/>
                    <pic:cNvPicPr>
                      <a:picLocks noChangeAspect="1" noChangeArrowheads="1"/>
                    </pic:cNvPicPr>
                  </pic:nvPicPr>
                  <pic:blipFill>
                    <a:blip r:embed="rId170" r:link="rId171" cstate="print">
                      <a:extLst>
                        <a:ext uri="{28A0092B-C50C-407E-A947-70E740481C1C}">
                          <a14:useLocalDpi xmlns:a14="http://schemas.microsoft.com/office/drawing/2010/main" val="0"/>
                        </a:ext>
                      </a:extLst>
                    </a:blip>
                    <a:srcRect/>
                    <a:stretch>
                      <a:fillRect/>
                    </a:stretch>
                  </pic:blipFill>
                  <pic:spPr>
                    <a:xfrm>
                      <a:off x="0" y="0"/>
                      <a:ext cx="1116330" cy="1116330"/>
                    </a:xfrm>
                    <a:prstGeom prst="rect">
                      <a:avLst/>
                    </a:prstGeom>
                    <a:noFill/>
                    <a:ln w="9525">
                      <a:noFill/>
                      <a:miter lim="800000"/>
                      <a:headEnd/>
                      <a:tailEnd/>
                    </a:ln>
                  </pic:spPr>
                </pic:pic>
              </a:graphicData>
            </a:graphic>
          </wp:inline>
        </w:drawing>
      </w:r>
    </w:p>
    <w:p>
      <w:pPr>
        <w:spacing w:line="360" w:lineRule="auto"/>
        <w:ind w:firstLine="422" w:firstLineChars="200"/>
        <w:jc w:val="center"/>
        <w:rPr>
          <w:rFonts w:ascii="Times New Roman" w:hAnsi="Times New Roman" w:eastAsia="黑体"/>
          <w:b w:val="0"/>
          <w:bCs/>
          <w:color w:val="auto"/>
          <w:szCs w:val="21"/>
          <w:highlight w:val="yellow"/>
        </w:rPr>
      </w:pPr>
      <w:r>
        <w:rPr>
          <w:rFonts w:ascii="Times New Roman" w:hAnsi="Times New Roman"/>
          <w:color w:val="000000" w:themeColor="text1"/>
          <w:sz w:val="21"/>
          <w:highlight w:val="yellow"/>
          <w:lang w:val="zh-CN"/>
          <w14:textFill>
            <w14:solidFill>
              <w14:schemeClr w14:val="tx1"/>
            </w14:solidFill>
          </w14:textFill>
        </w:rPr>
        <w:t>指示标志</w:t>
      </w:r>
    </w:p>
    <w:p>
      <w:pPr>
        <w:spacing w:line="360" w:lineRule="auto"/>
        <w:ind w:firstLine="480" w:firstLineChars="200"/>
        <w:jc w:val="center"/>
        <w:rPr>
          <w:rFonts w:ascii="Times New Roman" w:hAnsi="Times New Roman"/>
          <w:b w:val="0"/>
          <w:bCs/>
          <w:color w:val="auto"/>
          <w:sz w:val="24"/>
          <w:szCs w:val="24"/>
          <w:highlight w:val="yellow"/>
        </w:rPr>
      </w:pPr>
      <w:r>
        <w:rPr>
          <w:rFonts w:ascii="Times New Roman" w:hAnsi="Times New Roman"/>
          <w:b w:val="0"/>
          <w:bCs/>
          <w:color w:val="auto"/>
          <w:sz w:val="24"/>
          <w:szCs w:val="24"/>
          <w:highlight w:val="yellow"/>
        </w:rPr>
        <w:drawing>
          <wp:inline distT="0" distB="0" distL="0" distR="0">
            <wp:extent cx="1243965" cy="1020445"/>
            <wp:effectExtent l="0" t="0" r="13335" b="8255"/>
            <wp:docPr id="194" name="图片 10" descr="http://www.safety.com.cn/standard/tu/gb5768-1999-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0" descr="http://www.safety.com.cn/standard/tu/gb5768-1999-17.gif"/>
                    <pic:cNvPicPr>
                      <a:picLocks noChangeAspect="1" noChangeArrowheads="1"/>
                    </pic:cNvPicPr>
                  </pic:nvPicPr>
                  <pic:blipFill>
                    <a:blip r:embed="rId172" r:link="rId173" cstate="print">
                      <a:extLst>
                        <a:ext uri="{28A0092B-C50C-407E-A947-70E740481C1C}">
                          <a14:useLocalDpi xmlns:a14="http://schemas.microsoft.com/office/drawing/2010/main" val="0"/>
                        </a:ext>
                      </a:extLst>
                    </a:blip>
                    <a:srcRect/>
                    <a:stretch>
                      <a:fillRect/>
                    </a:stretch>
                  </pic:blipFill>
                  <pic:spPr>
                    <a:xfrm>
                      <a:off x="0" y="0"/>
                      <a:ext cx="1243965" cy="1020445"/>
                    </a:xfrm>
                    <a:prstGeom prst="rect">
                      <a:avLst/>
                    </a:prstGeom>
                    <a:noFill/>
                    <a:ln w="9525">
                      <a:noFill/>
                      <a:miter lim="800000"/>
                      <a:headEnd/>
                      <a:tailEnd/>
                    </a:ln>
                  </pic:spPr>
                </pic:pic>
              </a:graphicData>
            </a:graphic>
          </wp:inline>
        </w:drawing>
      </w:r>
      <w:r>
        <w:rPr>
          <w:rFonts w:ascii="Times New Roman" w:hAnsi="Times New Roman"/>
          <w:b w:val="0"/>
          <w:bCs/>
          <w:color w:val="auto"/>
          <w:sz w:val="24"/>
          <w:szCs w:val="24"/>
          <w:highlight w:val="yellow"/>
        </w:rPr>
        <w:drawing>
          <wp:inline distT="0" distB="0" distL="0" distR="0">
            <wp:extent cx="1329055" cy="1073785"/>
            <wp:effectExtent l="0" t="0" r="4445" b="12065"/>
            <wp:docPr id="195" name="图片 11" descr="http://www.safety.com.cn/standard/tu/gb5768-1999-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1" descr="http://www.safety.com.cn/standard/tu/gb5768-1999-21.gif"/>
                    <pic:cNvPicPr>
                      <a:picLocks noChangeAspect="1" noChangeArrowheads="1"/>
                    </pic:cNvPicPr>
                  </pic:nvPicPr>
                  <pic:blipFill>
                    <a:blip r:embed="rId174" r:link="rId175" cstate="print">
                      <a:extLst>
                        <a:ext uri="{28A0092B-C50C-407E-A947-70E740481C1C}">
                          <a14:useLocalDpi xmlns:a14="http://schemas.microsoft.com/office/drawing/2010/main" val="0"/>
                        </a:ext>
                      </a:extLst>
                    </a:blip>
                    <a:srcRect/>
                    <a:stretch>
                      <a:fillRect/>
                    </a:stretch>
                  </pic:blipFill>
                  <pic:spPr>
                    <a:xfrm>
                      <a:off x="0" y="0"/>
                      <a:ext cx="1329055" cy="1073785"/>
                    </a:xfrm>
                    <a:prstGeom prst="rect">
                      <a:avLst/>
                    </a:prstGeom>
                    <a:noFill/>
                    <a:ln w="9525">
                      <a:noFill/>
                      <a:miter lim="800000"/>
                      <a:headEnd/>
                      <a:tailEnd/>
                    </a:ln>
                  </pic:spPr>
                </pic:pic>
              </a:graphicData>
            </a:graphic>
          </wp:inline>
        </w:drawing>
      </w:r>
      <w:r>
        <w:rPr>
          <w:rFonts w:ascii="Times New Roman" w:hAnsi="Times New Roman"/>
          <w:b w:val="0"/>
          <w:bCs/>
          <w:color w:val="auto"/>
          <w:sz w:val="24"/>
          <w:szCs w:val="24"/>
          <w:highlight w:val="yellow"/>
        </w:rPr>
        <w:drawing>
          <wp:inline distT="0" distB="0" distL="0" distR="0">
            <wp:extent cx="1254760" cy="1084580"/>
            <wp:effectExtent l="0" t="0" r="2540" b="1270"/>
            <wp:docPr id="196" name="图片 12" descr="http://www.safety.com.cn/standard/tu/gb5768-1999-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2" descr="http://www.safety.com.cn/standard/tu/gb5768-1999-44.gif"/>
                    <pic:cNvPicPr>
                      <a:picLocks noChangeAspect="1" noChangeArrowheads="1"/>
                    </pic:cNvPicPr>
                  </pic:nvPicPr>
                  <pic:blipFill>
                    <a:blip r:embed="rId176" r:link="rId177" cstate="print">
                      <a:extLst>
                        <a:ext uri="{28A0092B-C50C-407E-A947-70E740481C1C}">
                          <a14:useLocalDpi xmlns:a14="http://schemas.microsoft.com/office/drawing/2010/main" val="0"/>
                        </a:ext>
                      </a:extLst>
                    </a:blip>
                    <a:srcRect/>
                    <a:stretch>
                      <a:fillRect/>
                    </a:stretch>
                  </pic:blipFill>
                  <pic:spPr>
                    <a:xfrm>
                      <a:off x="0" y="0"/>
                      <a:ext cx="1254760" cy="1084580"/>
                    </a:xfrm>
                    <a:prstGeom prst="rect">
                      <a:avLst/>
                    </a:prstGeom>
                    <a:noFill/>
                    <a:ln w="9525">
                      <a:noFill/>
                      <a:miter lim="800000"/>
                      <a:headEnd/>
                      <a:tailEnd/>
                    </a:ln>
                  </pic:spPr>
                </pic:pic>
              </a:graphicData>
            </a:graphic>
          </wp:inline>
        </w:drawing>
      </w:r>
      <w:r>
        <w:rPr>
          <w:rFonts w:ascii="Times New Roman" w:hAnsi="Times New Roman"/>
          <w:b w:val="0"/>
          <w:bCs/>
          <w:color w:val="auto"/>
          <w:sz w:val="24"/>
          <w:szCs w:val="24"/>
          <w:highlight w:val="yellow"/>
        </w:rPr>
        <w:drawing>
          <wp:inline distT="0" distB="0" distL="0" distR="0">
            <wp:extent cx="1243965" cy="1137920"/>
            <wp:effectExtent l="0" t="0" r="13335" b="5080"/>
            <wp:docPr id="197" name="图片 13" descr="http://www.safety.com.cn/standard/tu/gb5768-1999-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3" descr="http://www.safety.com.cn/standard/tu/gb5768-1999-42.gif"/>
                    <pic:cNvPicPr>
                      <a:picLocks noChangeAspect="1" noChangeArrowheads="1"/>
                    </pic:cNvPicPr>
                  </pic:nvPicPr>
                  <pic:blipFill>
                    <a:blip r:embed="rId178" r:link="rId179" cstate="print">
                      <a:extLst>
                        <a:ext uri="{28A0092B-C50C-407E-A947-70E740481C1C}">
                          <a14:useLocalDpi xmlns:a14="http://schemas.microsoft.com/office/drawing/2010/main" val="0"/>
                        </a:ext>
                      </a:extLst>
                    </a:blip>
                    <a:srcRect/>
                    <a:stretch>
                      <a:fillRect/>
                    </a:stretch>
                  </pic:blipFill>
                  <pic:spPr>
                    <a:xfrm>
                      <a:off x="0" y="0"/>
                      <a:ext cx="1243965" cy="1137920"/>
                    </a:xfrm>
                    <a:prstGeom prst="rect">
                      <a:avLst/>
                    </a:prstGeom>
                    <a:noFill/>
                    <a:ln w="9525">
                      <a:noFill/>
                      <a:miter lim="800000"/>
                      <a:headEnd/>
                      <a:tailEnd/>
                    </a:ln>
                  </pic:spPr>
                </pic:pic>
              </a:graphicData>
            </a:graphic>
          </wp:inline>
        </w:drawing>
      </w:r>
    </w:p>
    <w:p>
      <w:pPr>
        <w:spacing w:line="360" w:lineRule="auto"/>
        <w:ind w:firstLine="422" w:firstLineChars="200"/>
        <w:jc w:val="center"/>
        <w:rPr>
          <w:rFonts w:ascii="Times New Roman" w:hAnsi="Times New Roman"/>
          <w:color w:val="000000" w:themeColor="text1"/>
          <w:sz w:val="21"/>
          <w:highlight w:val="yellow"/>
          <w:lang w:val="zh-CN"/>
          <w14:textFill>
            <w14:solidFill>
              <w14:schemeClr w14:val="tx1"/>
            </w14:solidFill>
          </w14:textFill>
        </w:rPr>
      </w:pPr>
      <w:r>
        <w:rPr>
          <w:rFonts w:ascii="Times New Roman" w:hAnsi="Times New Roman"/>
          <w:color w:val="000000" w:themeColor="text1"/>
          <w:sz w:val="21"/>
          <w:highlight w:val="yellow"/>
          <w:lang w:val="zh-CN"/>
          <w14:textFill>
            <w14:solidFill>
              <w14:schemeClr w14:val="tx1"/>
            </w14:solidFill>
          </w14:textFill>
        </w:rPr>
        <w:t>警告标志</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针对综合体出入及停车指引需进行合理设置，根据综合体出入交通组织、停车场功能及分布进行合理设置交通指引。</w:t>
      </w:r>
    </w:p>
    <w:p>
      <w:pPr>
        <w:spacing w:line="360" w:lineRule="auto"/>
        <w:ind w:firstLine="562" w:firstLineChars="200"/>
        <w:jc w:val="center"/>
        <w:rPr>
          <w:rFonts w:ascii="Times New Roman" w:hAnsi="Times New Roman"/>
          <w:color w:val="000000" w:themeColor="text1"/>
          <w:sz w:val="21"/>
          <w:highlight w:val="yellow"/>
          <w14:textFill>
            <w14:solidFill>
              <w14:schemeClr w14:val="tx1"/>
            </w14:solidFill>
          </w14:textFill>
        </w:rPr>
      </w:pPr>
      <w:r>
        <w:rPr>
          <w:rFonts w:ascii="Times New Roman" w:hAnsi="Times New Roman"/>
          <w:highlight w:val="yellow"/>
        </w:rPr>
        <w:drawing>
          <wp:inline distT="0" distB="0" distL="0" distR="0">
            <wp:extent cx="3676650" cy="2952115"/>
            <wp:effectExtent l="0" t="0" r="0" b="635"/>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pic:cNvPicPr>
                      <a:picLocks noChangeAspect="1"/>
                    </pic:cNvPicPr>
                  </pic:nvPicPr>
                  <pic:blipFill>
                    <a:blip r:embed="rId180"/>
                    <a:srcRect l="2928" t="1252" r="2896" b="1670"/>
                    <a:stretch>
                      <a:fillRect/>
                    </a:stretch>
                  </pic:blipFill>
                  <pic:spPr>
                    <a:xfrm>
                      <a:off x="0" y="0"/>
                      <a:ext cx="3691753" cy="2964242"/>
                    </a:xfrm>
                    <a:prstGeom prst="rect">
                      <a:avLst/>
                    </a:prstGeom>
                    <a:ln>
                      <a:noFill/>
                    </a:ln>
                  </pic:spPr>
                </pic:pic>
              </a:graphicData>
            </a:graphic>
          </wp:inline>
        </w:drawing>
      </w:r>
      <w:r>
        <w:rPr>
          <w:rFonts w:ascii="Times New Roman" w:hAnsi="Times New Roman"/>
          <w:highlight w:val="yellow"/>
        </w:rPr>
        <w:drawing>
          <wp:inline distT="0" distB="0" distL="0" distR="0">
            <wp:extent cx="1591310" cy="2943225"/>
            <wp:effectExtent l="0" t="0" r="8890" b="9525"/>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pic:cNvPicPr>
                      <a:picLocks noChangeAspect="1"/>
                    </pic:cNvPicPr>
                  </pic:nvPicPr>
                  <pic:blipFill>
                    <a:blip r:embed="rId181"/>
                    <a:stretch>
                      <a:fillRect/>
                    </a:stretch>
                  </pic:blipFill>
                  <pic:spPr>
                    <a:xfrm>
                      <a:off x="0" y="0"/>
                      <a:ext cx="1602857" cy="2963422"/>
                    </a:xfrm>
                    <a:prstGeom prst="rect">
                      <a:avLst/>
                    </a:prstGeom>
                  </pic:spPr>
                </pic:pic>
              </a:graphicData>
            </a:graphic>
          </wp:inline>
        </w:drawing>
      </w:r>
    </w:p>
    <w:p>
      <w:pPr>
        <w:spacing w:line="360" w:lineRule="auto"/>
        <w:ind w:firstLine="422" w:firstLineChars="200"/>
        <w:jc w:val="center"/>
        <w:rPr>
          <w:rFonts w:ascii="Times New Roman" w:hAnsi="Times New Roman"/>
          <w:color w:val="000000" w:themeColor="text1"/>
          <w:sz w:val="21"/>
          <w:highlight w:val="yellow"/>
          <w:lang w:val="zh-CN"/>
          <w14:textFill>
            <w14:solidFill>
              <w14:schemeClr w14:val="tx1"/>
            </w14:solidFill>
          </w14:textFill>
        </w:rPr>
      </w:pPr>
      <w:r>
        <w:rPr>
          <w:rFonts w:ascii="Times New Roman" w:hAnsi="Times New Roman"/>
          <w:color w:val="000000" w:themeColor="text1"/>
          <w:sz w:val="21"/>
          <w:highlight w:val="yellow"/>
          <w:lang w:val="zh-CN"/>
          <w14:textFill>
            <w14:solidFill>
              <w14:schemeClr w14:val="tx1"/>
            </w14:solidFill>
          </w14:textFill>
        </w:rPr>
        <w:t>指路标志</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反光设施：</w:t>
      </w:r>
      <w:r>
        <w:rPr>
          <w:rFonts w:hint="eastAsia" w:ascii="Times New Roman" w:hAnsi="Times New Roman"/>
          <w:b w:val="0"/>
          <w:color w:val="auto"/>
          <w:sz w:val="24"/>
          <w:szCs w:val="24"/>
          <w:highlight w:val="yellow"/>
        </w:rPr>
        <w:t>在</w:t>
      </w:r>
      <w:r>
        <w:rPr>
          <w:rFonts w:ascii="Times New Roman" w:hAnsi="Times New Roman"/>
          <w:b w:val="0"/>
          <w:color w:val="auto"/>
          <w:sz w:val="24"/>
          <w:szCs w:val="24"/>
          <w:highlight w:val="yellow"/>
        </w:rPr>
        <w:t>交叉口桥墩包围岛处设置铝背基黄黑反光膜，在渠化岛端部设置反光示警桩，反光膜采用</w:t>
      </w:r>
      <w:r>
        <w:rPr>
          <w:rFonts w:hint="eastAsia" w:ascii="Times New Roman" w:hAnsi="Times New Roman"/>
          <w:b w:val="0"/>
          <w:color w:val="auto"/>
          <w:sz w:val="24"/>
          <w:szCs w:val="24"/>
          <w:highlight w:val="yellow"/>
        </w:rPr>
        <w:t>I</w:t>
      </w:r>
      <w:r>
        <w:rPr>
          <w:rFonts w:ascii="Times New Roman" w:hAnsi="Times New Roman"/>
          <w:b w:val="0"/>
          <w:color w:val="auto"/>
          <w:sz w:val="24"/>
          <w:szCs w:val="24"/>
          <w:highlight w:val="yellow"/>
        </w:rPr>
        <w:t>V类反光膜。</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防撞设施：在渠化岛端部放置直径</w:t>
      </w:r>
      <w:r>
        <w:rPr>
          <w:rFonts w:hint="eastAsia" w:ascii="Times New Roman" w:hAnsi="Times New Roman"/>
          <w:b w:val="0"/>
          <w:color w:val="auto"/>
          <w:sz w:val="24"/>
          <w:szCs w:val="24"/>
          <w:highlight w:val="yellow"/>
        </w:rPr>
        <w:t>8</w:t>
      </w:r>
      <w:r>
        <w:rPr>
          <w:rFonts w:ascii="Times New Roman" w:hAnsi="Times New Roman"/>
          <w:b w:val="0"/>
          <w:color w:val="auto"/>
          <w:sz w:val="24"/>
          <w:szCs w:val="24"/>
          <w:highlight w:val="yellow"/>
        </w:rPr>
        <w:t>00mm消能桶，反光等级为</w:t>
      </w:r>
      <w:r>
        <w:rPr>
          <w:rFonts w:hint="eastAsia" w:ascii="Times New Roman" w:hAnsi="Times New Roman"/>
          <w:b w:val="0"/>
          <w:color w:val="auto"/>
          <w:sz w:val="24"/>
          <w:szCs w:val="24"/>
          <w:highlight w:val="yellow"/>
        </w:rPr>
        <w:t>I</w:t>
      </w:r>
      <w:r>
        <w:rPr>
          <w:rFonts w:ascii="Times New Roman" w:hAnsi="Times New Roman"/>
          <w:b w:val="0"/>
          <w:color w:val="auto"/>
          <w:sz w:val="24"/>
          <w:szCs w:val="24"/>
          <w:highlight w:val="yellow"/>
        </w:rPr>
        <w:t>V类。</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凸面镜：于右进右出口设置直径</w:t>
      </w:r>
      <w:r>
        <w:rPr>
          <w:rFonts w:hint="eastAsia" w:ascii="Times New Roman" w:hAnsi="Times New Roman"/>
          <w:b w:val="0"/>
          <w:color w:val="auto"/>
          <w:sz w:val="24"/>
          <w:szCs w:val="24"/>
          <w:highlight w:val="yellow"/>
        </w:rPr>
        <w:t>1</w:t>
      </w:r>
      <w:r>
        <w:rPr>
          <w:rFonts w:ascii="Times New Roman" w:hAnsi="Times New Roman"/>
          <w:b w:val="0"/>
          <w:color w:val="auto"/>
          <w:sz w:val="24"/>
          <w:szCs w:val="24"/>
          <w:highlight w:val="yellow"/>
        </w:rPr>
        <w:t>.2m凸面镜。</w:t>
      </w:r>
    </w:p>
    <w:p>
      <w:pPr>
        <w:spacing w:line="360" w:lineRule="auto"/>
        <w:ind w:firstLine="422" w:firstLineChars="200"/>
        <w:jc w:val="center"/>
        <w:rPr>
          <w:rFonts w:ascii="Times New Roman" w:hAnsi="Times New Roman"/>
          <w:color w:val="000000" w:themeColor="text1"/>
          <w:sz w:val="21"/>
          <w:highlight w:val="yellow"/>
          <w14:textFill>
            <w14:solidFill>
              <w14:schemeClr w14:val="tx1"/>
            </w14:solidFill>
          </w14:textFill>
        </w:rPr>
      </w:pPr>
    </w:p>
    <w:p>
      <w:pPr>
        <w:pStyle w:val="5"/>
        <w:ind w:firstLine="482" w:firstLineChars="200"/>
        <w:rPr>
          <w:rFonts w:ascii="Times New Roman" w:hAnsi="Times New Roman"/>
          <w:highlight w:val="yellow"/>
        </w:rPr>
      </w:pPr>
      <w:r>
        <w:rPr>
          <w:rFonts w:ascii="Times New Roman" w:hAnsi="Times New Roman"/>
          <w:highlight w:val="yellow"/>
        </w:rPr>
        <w:t>交通信号控制设计</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信号控制机要具备多时段、多相位、带标准RS-232通讯接口及通讯软件的功能，同时可与地方交警指挥平台无缝衔接。输出大于或等于48路，每路输出电流大于或等于5A，还须要防雷设计，并可通过标准的RS-232接口以有线或无线的方式实现信号灯与信号灯之间或信号灯与中央计算机之间的通讯，达到协调控制的目的。信号灯控制箱必须安装在生产厂家要求的信号控制箱基础上，并保证接地电阻小于或等于4欧姆。</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本工程信号设计采用多种控制方式，行人过街绿灯时间要达到0～99秒可调，最小机动车通行绿灯时间要达到0～200秒可调，交叉口采用设定相位形式设计，相位设计见图，机动车灯夜间可设黄闪或熄灭，控制系统时段设置一天可设15个时段，具有通讯功能。同时交通信号灯的设置还要满足以下要求:</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1）交通信号灯组及其组件必须符合国家标准或国际公认标准，所有工件应严格按照国家标准设计及其制造。车行灯具，人行道灯具采用发光二极管（LED）灯，车行灯具直径300mm，每个灯中LED粒不小于150个，并具有箭头灯与全屏灯互换功能，人行灯直径300mm，具有屏闪倒计时功能，盲人声响装置安装在人行信号灯内，音响强度分2档以上。</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2）交叉口信号灯按车道功能设置，每组信号灯为红、黄、绿三色箭头灯或者球面灯，每一方向设一组或两组信号灯附于车道下游。立柱式灯杆采用Φ114mm×4mm×5m的无缝钢管制作，L杆采用八角钢管制作。基础必须安装地线，接地电阻小于或等于4欧姆。</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（3）信号灯的定点及安装应考虑现场情况并满足停车视距的要求，信号灯电源由路灯的开关箱接驳，取电点的位置与路灯设计统一考虑，并且能满足信号控制系统全天候供电要求。</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（4）人行横道指示灯安装在人行横道两端。</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（5）设计信号灯在确定交通组成及交通量后进行配相设计，原则上不超过四相配时，并且每一相位周期不超过120秒。</w:t>
      </w:r>
    </w:p>
    <w:p>
      <w:pPr>
        <w:spacing w:line="360" w:lineRule="auto"/>
        <w:ind w:firstLine="480" w:firstLineChars="200"/>
        <w:jc w:val="center"/>
        <w:rPr>
          <w:rFonts w:ascii="Times New Roman" w:hAnsi="Times New Roman"/>
          <w:b w:val="0"/>
          <w:bCs/>
          <w:color w:val="auto"/>
          <w:sz w:val="24"/>
          <w:szCs w:val="24"/>
          <w:highlight w:val="yellow"/>
        </w:rPr>
      </w:pPr>
      <w:r>
        <w:rPr>
          <w:rFonts w:ascii="Times New Roman" w:hAnsi="Times New Roman"/>
          <w:b w:val="0"/>
          <w:bCs/>
          <w:color w:val="auto"/>
          <w:sz w:val="24"/>
          <w:szCs w:val="24"/>
          <w:highlight w:val="yellow"/>
        </w:rPr>
        <w:drawing>
          <wp:inline distT="0" distB="0" distL="0" distR="0">
            <wp:extent cx="2062480" cy="2774950"/>
            <wp:effectExtent l="0" t="0" r="13970" b="6350"/>
            <wp:docPr id="200" name="图片 14" descr="信号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14" descr="信号灯4"/>
                    <pic:cNvPicPr>
                      <a:picLocks noChangeAspect="1" noChangeArrowheads="1"/>
                    </pic:cNvPicPr>
                  </pic:nvPicPr>
                  <pic:blipFill>
                    <a:blip r:embed="rId182" cstate="screen">
                      <a:extLst>
                        <a:ext uri="{28A0092B-C50C-407E-A947-70E740481C1C}">
                          <a14:useLocalDpi xmlns:a14="http://schemas.microsoft.com/office/drawing/2010/main" val="0"/>
                        </a:ext>
                      </a:extLst>
                    </a:blip>
                    <a:srcRect/>
                    <a:stretch>
                      <a:fillRect/>
                    </a:stretch>
                  </pic:blipFill>
                  <pic:spPr>
                    <a:xfrm>
                      <a:off x="0" y="0"/>
                      <a:ext cx="2062480" cy="2774950"/>
                    </a:xfrm>
                    <a:prstGeom prst="rect">
                      <a:avLst/>
                    </a:prstGeom>
                    <a:noFill/>
                    <a:ln w="9525">
                      <a:noFill/>
                      <a:miter lim="800000"/>
                      <a:headEnd/>
                      <a:tailEnd/>
                    </a:ln>
                  </pic:spPr>
                </pic:pic>
              </a:graphicData>
            </a:graphic>
          </wp:inline>
        </w:drawing>
      </w:r>
      <w:r>
        <w:rPr>
          <w:rFonts w:ascii="Times New Roman" w:hAnsi="Times New Roman"/>
          <w:b w:val="0"/>
          <w:bCs/>
          <w:color w:val="auto"/>
          <w:sz w:val="24"/>
          <w:szCs w:val="24"/>
          <w:highlight w:val="yellow"/>
        </w:rPr>
        <w:drawing>
          <wp:inline distT="0" distB="0" distL="0" distR="0">
            <wp:extent cx="1371600" cy="2881630"/>
            <wp:effectExtent l="0" t="0" r="0" b="13970"/>
            <wp:docPr id="204" name="图片 15" descr="信号灯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15" descr="信号灯3"/>
                    <pic:cNvPicPr>
                      <a:picLocks noChangeAspect="1" noChangeArrowheads="1"/>
                    </pic:cNvPicPr>
                  </pic:nvPicPr>
                  <pic:blipFill>
                    <a:blip r:embed="rId183" cstate="screen">
                      <a:extLst>
                        <a:ext uri="{28A0092B-C50C-407E-A947-70E740481C1C}">
                          <a14:useLocalDpi xmlns:a14="http://schemas.microsoft.com/office/drawing/2010/main" val="0"/>
                        </a:ext>
                      </a:extLst>
                    </a:blip>
                    <a:srcRect/>
                    <a:stretch>
                      <a:fillRect/>
                    </a:stretch>
                  </pic:blipFill>
                  <pic:spPr>
                    <a:xfrm>
                      <a:off x="0" y="0"/>
                      <a:ext cx="1371600" cy="2881630"/>
                    </a:xfrm>
                    <a:prstGeom prst="rect">
                      <a:avLst/>
                    </a:prstGeom>
                    <a:noFill/>
                    <a:ln w="9525">
                      <a:noFill/>
                      <a:miter lim="800000"/>
                      <a:headEnd/>
                      <a:tailEnd/>
                    </a:ln>
                  </pic:spPr>
                </pic:pic>
              </a:graphicData>
            </a:graphic>
          </wp:inline>
        </w:drawing>
      </w:r>
    </w:p>
    <w:p>
      <w:pPr>
        <w:spacing w:line="360" w:lineRule="auto"/>
        <w:ind w:firstLine="422" w:firstLineChars="200"/>
        <w:jc w:val="center"/>
        <w:rPr>
          <w:rFonts w:ascii="Times New Roman" w:hAnsi="Times New Roman"/>
          <w:color w:val="000000" w:themeColor="text1"/>
          <w:sz w:val="21"/>
          <w:highlight w:val="yellow"/>
          <w:lang w:val="zh-CN"/>
          <w14:textFill>
            <w14:solidFill>
              <w14:schemeClr w14:val="tx1"/>
            </w14:solidFill>
          </w14:textFill>
        </w:rPr>
      </w:pPr>
      <w:r>
        <w:rPr>
          <w:rFonts w:ascii="Times New Roman" w:hAnsi="Times New Roman"/>
          <w:color w:val="000000" w:themeColor="text1"/>
          <w:sz w:val="21"/>
          <w:highlight w:val="yellow"/>
          <w:lang w:val="zh-CN"/>
          <w14:textFill>
            <w14:solidFill>
              <w14:schemeClr w14:val="tx1"/>
            </w14:solidFill>
          </w14:textFill>
        </w:rPr>
        <w:t>信号灯（立柱式）</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6）交通灯信号控制电缆应采用多支铜芯、聚氯乙烯绝缘和护套（RVV）、线芯标称面积不小于1.5mm2的四芯或五芯线。机动车信号灯采用五芯电缆连接，绿、黄、红颜色电缆分别连接机动车信号灯对应的3种颜色，黑色电缆连接零线，白色电缆备用。行人信号灯采用四芯电缆连接，绿、红颜色电缆分别连接行人信号灯对应的2种颜色，黑色电缆连接零线，白色电缆备用。每个信号灯具连接一根电缆到信号机，中间不能串接。</w:t>
      </w:r>
    </w:p>
    <w:p>
      <w:pPr>
        <w:tabs>
          <w:tab w:val="left" w:pos="1248"/>
        </w:tabs>
        <w:spacing w:line="360" w:lineRule="auto"/>
        <w:ind w:firstLine="480" w:firstLineChars="200"/>
        <w:jc w:val="center"/>
        <w:rPr>
          <w:rFonts w:ascii="Times New Roman" w:hAnsi="Times New Roman"/>
          <w:b w:val="0"/>
          <w:bCs/>
          <w:color w:val="auto"/>
          <w:sz w:val="24"/>
          <w:szCs w:val="24"/>
          <w:highlight w:val="yellow"/>
        </w:rPr>
      </w:pPr>
      <w:r>
        <w:rPr>
          <w:rFonts w:ascii="Times New Roman" w:hAnsi="Times New Roman"/>
          <w:b w:val="0"/>
          <w:bCs/>
          <w:color w:val="auto"/>
          <w:sz w:val="24"/>
          <w:szCs w:val="24"/>
          <w:highlight w:val="yellow"/>
        </w:rPr>
        <w:drawing>
          <wp:inline distT="0" distB="0" distL="0" distR="0">
            <wp:extent cx="2541270" cy="1201420"/>
            <wp:effectExtent l="0" t="0" r="11430" b="17780"/>
            <wp:docPr id="206" name="图片 16" descr="11588049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16" descr="11588049207"/>
                    <pic:cNvPicPr>
                      <a:picLocks noChangeAspect="1" noChangeArrowheads="1"/>
                    </pic:cNvPicPr>
                  </pic:nvPicPr>
                  <pic:blipFill>
                    <a:blip r:embed="rId184" cstate="screen">
                      <a:extLst>
                        <a:ext uri="{28A0092B-C50C-407E-A947-70E740481C1C}">
                          <a14:useLocalDpi xmlns:a14="http://schemas.microsoft.com/office/drawing/2010/main" val="0"/>
                        </a:ext>
                      </a:extLst>
                    </a:blip>
                    <a:srcRect/>
                    <a:stretch>
                      <a:fillRect/>
                    </a:stretch>
                  </pic:blipFill>
                  <pic:spPr>
                    <a:xfrm>
                      <a:off x="0" y="0"/>
                      <a:ext cx="2541270" cy="1201420"/>
                    </a:xfrm>
                    <a:prstGeom prst="rect">
                      <a:avLst/>
                    </a:prstGeom>
                    <a:noFill/>
                    <a:ln w="9525">
                      <a:noFill/>
                      <a:miter lim="800000"/>
                      <a:headEnd/>
                      <a:tailEnd/>
                    </a:ln>
                  </pic:spPr>
                </pic:pic>
              </a:graphicData>
            </a:graphic>
          </wp:inline>
        </w:drawing>
      </w:r>
    </w:p>
    <w:p>
      <w:pPr>
        <w:spacing w:line="360" w:lineRule="auto"/>
        <w:ind w:firstLine="422" w:firstLineChars="200"/>
        <w:jc w:val="center"/>
        <w:rPr>
          <w:rFonts w:ascii="Times New Roman" w:hAnsi="Times New Roman"/>
          <w:color w:val="000000" w:themeColor="text1"/>
          <w:sz w:val="21"/>
          <w:highlight w:val="yellow"/>
          <w:lang w:val="zh-CN"/>
          <w14:textFill>
            <w14:solidFill>
              <w14:schemeClr w14:val="tx1"/>
            </w14:solidFill>
          </w14:textFill>
        </w:rPr>
      </w:pPr>
      <w:r>
        <w:rPr>
          <w:rFonts w:ascii="Times New Roman" w:hAnsi="Times New Roman"/>
          <w:color w:val="000000" w:themeColor="text1"/>
          <w:sz w:val="21"/>
          <w:highlight w:val="yellow"/>
          <w:lang w:val="zh-CN"/>
          <w14:textFill>
            <w14:solidFill>
              <w14:schemeClr w14:val="tx1"/>
            </w14:solidFill>
          </w14:textFill>
        </w:rPr>
        <w:t>机动车信号灯</w:t>
      </w:r>
    </w:p>
    <w:p>
      <w:pPr>
        <w:pStyle w:val="5"/>
      </w:pPr>
      <w:bookmarkStart w:id="181" w:name="_Toc98235934"/>
      <w:bookmarkStart w:id="182" w:name="_Toc391676374"/>
      <w:bookmarkStart w:id="183" w:name="_Toc391675784"/>
      <w:r>
        <w:rPr>
          <w:rFonts w:hint="eastAsia"/>
        </w:rPr>
        <w:t>交通监控设计</w:t>
      </w:r>
      <w:bookmarkEnd w:id="181"/>
      <w:bookmarkEnd w:id="182"/>
      <w:bookmarkEnd w:id="183"/>
    </w:p>
    <w:p>
      <w:pPr>
        <w:spacing w:line="360" w:lineRule="auto"/>
        <w:ind w:firstLine="480"/>
        <w:rPr>
          <w:b w:val="0"/>
          <w:color w:val="FF0000"/>
          <w:sz w:val="24"/>
          <w:szCs w:val="24"/>
        </w:rPr>
      </w:pPr>
      <w:r>
        <w:rPr>
          <w:rFonts w:hint="eastAsia"/>
          <w:b w:val="0"/>
          <w:color w:val="FF0000"/>
          <w:sz w:val="24"/>
          <w:szCs w:val="24"/>
        </w:rPr>
        <w:t>本工程在各信号控制交叉口设置路口电子警察系统和视频监控系统。</w:t>
      </w:r>
    </w:p>
    <w:p>
      <w:pPr>
        <w:autoSpaceDE w:val="0"/>
        <w:autoSpaceDN w:val="0"/>
        <w:adjustRightInd w:val="0"/>
        <w:jc w:val="center"/>
        <w:rPr>
          <w:rFonts w:cs="宋体"/>
          <w:b w:val="0"/>
          <w:bCs/>
          <w:color w:val="FF0000"/>
          <w:kern w:val="0"/>
          <w:sz w:val="24"/>
          <w:szCs w:val="24"/>
        </w:rPr>
      </w:pPr>
      <w:r>
        <w:rPr>
          <w:rFonts w:cs="宋体"/>
          <w:b w:val="0"/>
          <w:color w:val="FF0000"/>
          <w:kern w:val="0"/>
          <w:sz w:val="24"/>
          <w:szCs w:val="24"/>
        </w:rPr>
        <w:drawing>
          <wp:inline distT="0" distB="0" distL="0" distR="0">
            <wp:extent cx="2877185" cy="3200400"/>
            <wp:effectExtent l="0" t="0" r="18415" b="0"/>
            <wp:docPr id="1082276353" name="图片 1082276353" descr="DSC04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276353" name="图片 1082276353" descr="DSC04218"/>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a:xfrm>
                      <a:off x="0" y="0"/>
                      <a:ext cx="2877185" cy="3200400"/>
                    </a:xfrm>
                    <a:prstGeom prst="rect">
                      <a:avLst/>
                    </a:prstGeom>
                    <a:noFill/>
                    <a:ln>
                      <a:noFill/>
                    </a:ln>
                  </pic:spPr>
                </pic:pic>
              </a:graphicData>
            </a:graphic>
          </wp:inline>
        </w:drawing>
      </w:r>
      <w:r>
        <w:rPr>
          <w:rFonts w:hint="eastAsia" w:cs="宋体"/>
          <w:b w:val="0"/>
          <w:bCs/>
          <w:color w:val="FF0000"/>
          <w:kern w:val="0"/>
          <w:sz w:val="24"/>
          <w:szCs w:val="24"/>
        </w:rPr>
        <w:t xml:space="preserve"> </w:t>
      </w:r>
      <w:r>
        <w:rPr>
          <w:rFonts w:cs="宋体"/>
          <w:b w:val="0"/>
          <w:color w:val="FF0000"/>
          <w:kern w:val="0"/>
          <w:sz w:val="24"/>
          <w:szCs w:val="24"/>
        </w:rPr>
        <w:drawing>
          <wp:inline distT="0" distB="0" distL="0" distR="0">
            <wp:extent cx="2943860" cy="3188970"/>
            <wp:effectExtent l="0" t="0" r="8890" b="11430"/>
            <wp:docPr id="1082276352" name="图片 1082276352" descr="DSC04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276352" name="图片 1082276352" descr="DSC04219"/>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a:xfrm>
                      <a:off x="0" y="0"/>
                      <a:ext cx="2943860" cy="3188970"/>
                    </a:xfrm>
                    <a:prstGeom prst="rect">
                      <a:avLst/>
                    </a:prstGeom>
                    <a:noFill/>
                    <a:ln>
                      <a:noFill/>
                    </a:ln>
                  </pic:spPr>
                </pic:pic>
              </a:graphicData>
            </a:graphic>
          </wp:inline>
        </w:drawing>
      </w:r>
    </w:p>
    <w:p>
      <w:pPr>
        <w:spacing w:line="360" w:lineRule="auto"/>
        <w:jc w:val="center"/>
        <w:rPr>
          <w:rFonts w:ascii="Times New Roman" w:hAnsi="Times New Roman"/>
          <w:color w:val="FF0000"/>
          <w:sz w:val="21"/>
          <w:lang w:val="zh-CN"/>
        </w:rPr>
      </w:pPr>
      <w:r>
        <w:rPr>
          <w:rFonts w:hint="eastAsia" w:ascii="Times New Roman" w:hAnsi="Times New Roman"/>
          <w:color w:val="FF0000"/>
          <w:sz w:val="21"/>
          <w:lang w:val="zh-CN"/>
        </w:rPr>
        <w:t>视频监控</w:t>
      </w:r>
      <w:r>
        <w:rPr>
          <w:rFonts w:ascii="Times New Roman" w:hAnsi="Times New Roman"/>
          <w:color w:val="FF0000"/>
          <w:sz w:val="21"/>
          <w:lang w:val="zh-CN"/>
        </w:rPr>
        <w:t xml:space="preserve">                                    </w:t>
      </w:r>
      <w:r>
        <w:rPr>
          <w:rFonts w:hint="eastAsia" w:ascii="Times New Roman" w:hAnsi="Times New Roman"/>
          <w:color w:val="FF0000"/>
          <w:sz w:val="21"/>
          <w:lang w:val="zh-CN"/>
        </w:rPr>
        <w:t>电子警察</w:t>
      </w:r>
    </w:p>
    <w:p>
      <w:pPr>
        <w:spacing w:line="360" w:lineRule="auto"/>
        <w:ind w:firstLine="480" w:firstLineChars="200"/>
        <w:rPr>
          <w:rFonts w:ascii="Times New Roman" w:hAnsi="Times New Roman"/>
          <w:b w:val="0"/>
          <w:color w:val="auto"/>
          <w:sz w:val="24"/>
          <w:szCs w:val="24"/>
        </w:rPr>
      </w:pPr>
      <w:r>
        <w:rPr>
          <w:rFonts w:hint="eastAsia" w:ascii="Times New Roman" w:hAnsi="Times New Roman"/>
          <w:b w:val="0"/>
          <w:color w:val="auto"/>
          <w:sz w:val="24"/>
          <w:szCs w:val="24"/>
        </w:rPr>
        <w:t>路口电子警察系统</w:t>
      </w:r>
    </w:p>
    <w:p>
      <w:pPr>
        <w:spacing w:line="360" w:lineRule="auto"/>
        <w:ind w:firstLine="480" w:firstLineChars="200"/>
        <w:rPr>
          <w:rFonts w:ascii="Times New Roman" w:hAnsi="Times New Roman"/>
          <w:b w:val="0"/>
          <w:color w:val="auto"/>
          <w:sz w:val="24"/>
          <w:szCs w:val="24"/>
        </w:rPr>
      </w:pPr>
      <w:r>
        <w:rPr>
          <w:rFonts w:hint="eastAsia" w:ascii="Times New Roman" w:hAnsi="Times New Roman"/>
          <w:b w:val="0"/>
          <w:color w:val="auto"/>
          <w:sz w:val="24"/>
          <w:szCs w:val="24"/>
        </w:rPr>
        <w:t>路口电子警察系统采用嵌入式数码+视频电子警察系统，系统由数码相机、全景摄像机、嵌入式控制主机、硬盘录像机及工业以太网交换机、WCDMA路由器等组成，采用线圈检测的方式对违章（左转及直行车道）闯红灯车辆进行自动记录和车牌识别，并通过运营商WCDMA无线网络将信息上传至违章处理中心机房（后台电子警察处理系统不包括在本次设计范围内），对违法车辆图片进行相应的管理、查询、比对、报警及处罚等处理。</w:t>
      </w:r>
    </w:p>
    <w:p>
      <w:pPr>
        <w:spacing w:line="360" w:lineRule="auto"/>
        <w:ind w:firstLine="480" w:firstLineChars="200"/>
        <w:rPr>
          <w:rFonts w:ascii="Times New Roman" w:hAnsi="Times New Roman"/>
          <w:b w:val="0"/>
          <w:color w:val="auto"/>
          <w:sz w:val="24"/>
          <w:szCs w:val="24"/>
        </w:rPr>
      </w:pPr>
      <w:r>
        <w:rPr>
          <w:rFonts w:hint="eastAsia" w:ascii="Times New Roman" w:hAnsi="Times New Roman"/>
          <w:b w:val="0"/>
          <w:color w:val="auto"/>
          <w:sz w:val="24"/>
          <w:szCs w:val="24"/>
        </w:rPr>
        <w:t>交通视频监控系统</w:t>
      </w:r>
    </w:p>
    <w:p>
      <w:pPr>
        <w:spacing w:line="360" w:lineRule="auto"/>
        <w:ind w:firstLine="480" w:firstLineChars="200"/>
        <w:rPr>
          <w:rFonts w:ascii="Times New Roman" w:hAnsi="Times New Roman"/>
          <w:b w:val="0"/>
          <w:color w:val="auto"/>
          <w:sz w:val="24"/>
          <w:szCs w:val="24"/>
        </w:rPr>
      </w:pPr>
      <w:r>
        <w:rPr>
          <w:rFonts w:hint="eastAsia" w:ascii="Times New Roman" w:hAnsi="Times New Roman"/>
          <w:b w:val="0"/>
          <w:color w:val="auto"/>
          <w:sz w:val="24"/>
          <w:szCs w:val="24"/>
        </w:rPr>
        <w:t>交通视频监控系统对交叉口进行全天候实时监视，便于交警指挥中心及时了解路网的运行情况并对交通事件作出快速反应，有效地疏导交通和保障安全。</w:t>
      </w:r>
    </w:p>
    <w:p>
      <w:pPr>
        <w:spacing w:line="360" w:lineRule="auto"/>
        <w:ind w:firstLine="480" w:firstLineChars="200"/>
        <w:rPr>
          <w:rFonts w:ascii="Times New Roman" w:hAnsi="Times New Roman"/>
          <w:color w:val="000000" w:themeColor="text1"/>
          <w:sz w:val="21"/>
          <w:highlight w:val="yellow"/>
          <w:lang w:val="zh-CN"/>
          <w14:textFill>
            <w14:solidFill>
              <w14:schemeClr w14:val="tx1"/>
            </w14:solidFill>
          </w14:textFill>
        </w:rPr>
      </w:pPr>
      <w:r>
        <w:rPr>
          <w:rFonts w:hint="eastAsia" w:ascii="Times New Roman" w:hAnsi="Times New Roman"/>
          <w:b w:val="0"/>
          <w:color w:val="auto"/>
          <w:sz w:val="24"/>
          <w:szCs w:val="24"/>
        </w:rPr>
        <w:t>系统由一体化快球摄像机、数字光端机传输控制线路及机房设备组成。在每个交叉口各设置1台一体化快球摄像机和1台数字光端机，摄像机通过SYV-75-5视频同轴电缆及屏蔽控制电缆与光端机连接，将视频图像信号及控制信号转换成适合长距离传输的光信号。各台数字光端机分别通过1芯单模光纤将监测点现场图像信号及控制信号传送至大队机房，对图像进行存储、调用处理。</w:t>
      </w:r>
    </w:p>
    <w:p>
      <w:pPr>
        <w:pStyle w:val="4"/>
        <w:ind w:firstLine="482" w:firstLineChars="200"/>
        <w:rPr>
          <w:highlight w:val="yellow"/>
        </w:rPr>
      </w:pPr>
      <w:bookmarkStart w:id="184" w:name="_Toc6994"/>
      <w:bookmarkStart w:id="185" w:name="_Toc20968"/>
      <w:r>
        <w:rPr>
          <w:highlight w:val="yellow"/>
        </w:rPr>
        <w:t>施工期间交通</w:t>
      </w:r>
      <w:bookmarkEnd w:id="184"/>
      <w:r>
        <w:rPr>
          <w:highlight w:val="yellow"/>
        </w:rPr>
        <w:t>组织</w:t>
      </w:r>
      <w:bookmarkEnd w:id="185"/>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设计原则：</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1.</w:t>
      </w:r>
      <w:r>
        <w:rPr>
          <w:rFonts w:ascii="Times New Roman" w:hAnsi="Times New Roman"/>
          <w:b w:val="0"/>
          <w:color w:val="auto"/>
          <w:sz w:val="24"/>
          <w:szCs w:val="24"/>
          <w:highlight w:val="yellow"/>
        </w:rPr>
        <w:tab/>
      </w:r>
      <w:r>
        <w:rPr>
          <w:rFonts w:ascii="Times New Roman" w:hAnsi="Times New Roman"/>
          <w:b w:val="0"/>
          <w:color w:val="auto"/>
          <w:sz w:val="24"/>
          <w:szCs w:val="24"/>
          <w:highlight w:val="yellow"/>
        </w:rPr>
        <w:t>满足规划路网、串联东西两侧施工主通道、永临结合，兼顾后期地块开发；</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2.</w:t>
      </w:r>
      <w:r>
        <w:rPr>
          <w:rFonts w:ascii="Times New Roman" w:hAnsi="Times New Roman"/>
          <w:b w:val="0"/>
          <w:color w:val="auto"/>
          <w:sz w:val="24"/>
          <w:szCs w:val="24"/>
          <w:highlight w:val="yellow"/>
        </w:rPr>
        <w:tab/>
      </w:r>
      <w:r>
        <w:rPr>
          <w:rFonts w:ascii="Times New Roman" w:hAnsi="Times New Roman"/>
          <w:b w:val="0"/>
          <w:color w:val="auto"/>
          <w:sz w:val="24"/>
          <w:szCs w:val="24"/>
          <w:highlight w:val="yellow"/>
        </w:rPr>
        <w:t>满足工后沉降控制，防洪排涝竖向标高；</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highlight w:val="yellow"/>
        </w:rPr>
        <w:t>3.</w:t>
      </w:r>
      <w:r>
        <w:rPr>
          <w:rFonts w:ascii="Times New Roman" w:hAnsi="Times New Roman"/>
          <w:b w:val="0"/>
          <w:color w:val="auto"/>
          <w:sz w:val="24"/>
          <w:szCs w:val="24"/>
          <w:highlight w:val="yellow"/>
        </w:rPr>
        <w:tab/>
      </w:r>
      <w:r>
        <w:rPr>
          <w:rFonts w:ascii="Times New Roman" w:hAnsi="Times New Roman"/>
          <w:b w:val="0"/>
          <w:color w:val="auto"/>
          <w:sz w:val="24"/>
          <w:szCs w:val="24"/>
          <w:highlight w:val="yellow"/>
        </w:rPr>
        <w:t>满足施工期间施工车辆进出需求。</w:t>
      </w:r>
    </w:p>
    <w:p>
      <w:pPr>
        <w:pStyle w:val="5"/>
        <w:ind w:firstLine="482" w:firstLineChars="200"/>
        <w:rPr>
          <w:rFonts w:ascii="Times New Roman" w:hAnsi="Times New Roman"/>
        </w:rPr>
      </w:pPr>
      <w:r>
        <w:rPr>
          <w:rFonts w:ascii="Times New Roman" w:hAnsi="Times New Roman"/>
        </w:rPr>
        <w:t>施工期间交通组织方案</w:t>
      </w:r>
    </w:p>
    <w:p>
      <w:pPr>
        <w:spacing w:line="360" w:lineRule="auto"/>
        <w:ind w:firstLine="480" w:firstLineChars="200"/>
        <w:rPr>
          <w:rFonts w:ascii="Times New Roman" w:hAnsi="Times New Roman"/>
          <w:b w:val="0"/>
          <w:color w:val="auto"/>
          <w:sz w:val="24"/>
          <w:szCs w:val="24"/>
          <w:highlight w:val="green"/>
        </w:rPr>
      </w:pPr>
      <w:r>
        <w:rPr>
          <w:rFonts w:ascii="Times New Roman" w:hAnsi="Times New Roman"/>
          <w:b w:val="0"/>
          <w:color w:val="auto"/>
          <w:sz w:val="24"/>
          <w:szCs w:val="24"/>
          <w:highlight w:val="green"/>
        </w:rPr>
        <w:t>（1）便道实施的必要性：</w:t>
      </w:r>
    </w:p>
    <w:p>
      <w:pPr>
        <w:ind w:firstLine="480" w:firstLineChars="200"/>
        <w:jc w:val="left"/>
        <w:rPr>
          <w:rFonts w:ascii="Times New Roman" w:hAnsi="Times New Roman"/>
          <w:b w:val="0"/>
          <w:color w:val="auto"/>
          <w:sz w:val="24"/>
          <w:szCs w:val="24"/>
          <w:highlight w:val="green"/>
          <w:lang w:val="zh-CN"/>
        </w:rPr>
      </w:pPr>
      <w:r>
        <w:rPr>
          <w:rFonts w:ascii="Times New Roman" w:hAnsi="Times New Roman"/>
          <w:b w:val="0"/>
          <w:color w:val="auto"/>
          <w:sz w:val="24"/>
          <w:szCs w:val="24"/>
          <w:highlight w:val="green"/>
        </w:rPr>
        <w:t>1、片区</w:t>
      </w:r>
      <w:r>
        <w:rPr>
          <w:rFonts w:ascii="Times New Roman" w:hAnsi="Times New Roman"/>
          <w:b w:val="0"/>
          <w:color w:val="auto"/>
          <w:sz w:val="24"/>
          <w:szCs w:val="24"/>
          <w:highlight w:val="green"/>
          <w:lang w:val="zh-CN"/>
        </w:rPr>
        <w:t>内部道路通行条件较差</w:t>
      </w:r>
    </w:p>
    <w:p>
      <w:pPr>
        <w:spacing w:line="360" w:lineRule="auto"/>
        <w:ind w:firstLine="480" w:firstLineChars="200"/>
        <w:rPr>
          <w:rFonts w:ascii="Times New Roman" w:hAnsi="Times New Roman"/>
          <w:b w:val="0"/>
          <w:color w:val="auto"/>
          <w:sz w:val="24"/>
          <w:szCs w:val="24"/>
          <w:highlight w:val="green"/>
          <w:lang w:val="zh-CN"/>
        </w:rPr>
      </w:pPr>
      <w:r>
        <w:rPr>
          <w:rFonts w:ascii="Times New Roman" w:hAnsi="Times New Roman"/>
          <w:b w:val="0"/>
          <w:color w:val="auto"/>
          <w:sz w:val="24"/>
          <w:szCs w:val="24"/>
          <w:highlight w:val="green"/>
          <w:lang w:val="zh-CN"/>
        </w:rPr>
        <w:t>研究片区位于万顷沙最南端，现状通过灵新大道南延通道与万环西路南延通道共与南沙港快速、南中高速、龙穴大道等主要通道衔接。片区内以现状堤岸路为主，道路标准低。路幅宽度约5m~14m，跨河涌通道处设置水闸，荷载为10t。不满足大型作业车辆及运输车辆的通行需求</w:t>
      </w:r>
      <w:r>
        <w:rPr>
          <w:rFonts w:hint="eastAsia" w:ascii="Times New Roman" w:hAnsi="Times New Roman"/>
          <w:b w:val="0"/>
          <w:color w:val="auto"/>
          <w:sz w:val="24"/>
          <w:szCs w:val="24"/>
          <w:highlight w:val="green"/>
          <w:lang w:val="zh-CN"/>
        </w:rPr>
        <w:t>，</w:t>
      </w:r>
      <w:r>
        <w:rPr>
          <w:rFonts w:hint="eastAsia" w:ascii="Times New Roman" w:hAnsi="Times New Roman"/>
          <w:b w:val="0"/>
          <w:color w:val="auto"/>
          <w:sz w:val="24"/>
          <w:szCs w:val="24"/>
          <w:highlight w:val="green"/>
        </w:rPr>
        <w:t>因此需新建临时施工便道，确保本项目建设阶段</w:t>
      </w:r>
      <w:r>
        <w:rPr>
          <w:rFonts w:ascii="Times New Roman" w:hAnsi="Times New Roman"/>
          <w:b w:val="0"/>
          <w:color w:val="auto"/>
          <w:sz w:val="24"/>
          <w:szCs w:val="24"/>
          <w:highlight w:val="green"/>
          <w:lang w:val="zh-CN"/>
        </w:rPr>
        <w:t>大型作业车辆及运输车辆的</w:t>
      </w:r>
      <w:r>
        <w:rPr>
          <w:rFonts w:hint="eastAsia" w:ascii="Times New Roman" w:hAnsi="Times New Roman"/>
          <w:b w:val="0"/>
          <w:color w:val="auto"/>
          <w:sz w:val="24"/>
          <w:szCs w:val="24"/>
          <w:highlight w:val="green"/>
        </w:rPr>
        <w:t>安全通行</w:t>
      </w:r>
      <w:r>
        <w:rPr>
          <w:rFonts w:ascii="Times New Roman" w:hAnsi="Times New Roman"/>
          <w:b w:val="0"/>
          <w:color w:val="auto"/>
          <w:sz w:val="24"/>
          <w:szCs w:val="24"/>
          <w:highlight w:val="green"/>
          <w:lang w:val="zh-CN"/>
        </w:rPr>
        <w:t>。</w:t>
      </w:r>
    </w:p>
    <w:p>
      <w:pPr>
        <w:spacing w:line="360" w:lineRule="auto"/>
        <w:ind w:firstLine="480" w:firstLineChars="200"/>
        <w:rPr>
          <w:rFonts w:ascii="Times New Roman" w:hAnsi="Times New Roman"/>
          <w:b w:val="0"/>
          <w:color w:val="auto"/>
          <w:sz w:val="24"/>
          <w:szCs w:val="24"/>
          <w:highlight w:val="green"/>
        </w:rPr>
      </w:pPr>
      <w:r>
        <w:rPr>
          <w:rFonts w:ascii="Times New Roman" w:hAnsi="Times New Roman"/>
          <w:b w:val="0"/>
          <w:color w:val="auto"/>
          <w:sz w:val="24"/>
          <w:szCs w:val="24"/>
          <w:highlight w:val="green"/>
        </w:rPr>
        <w:t>2、片区南端地块可达性不足</w:t>
      </w:r>
    </w:p>
    <w:p>
      <w:pPr>
        <w:spacing w:line="360" w:lineRule="auto"/>
        <w:ind w:firstLine="480" w:firstLineChars="200"/>
        <w:rPr>
          <w:rFonts w:ascii="Times New Roman" w:hAnsi="Times New Roman"/>
          <w:b w:val="0"/>
          <w:color w:val="auto"/>
          <w:sz w:val="24"/>
          <w:szCs w:val="24"/>
          <w:highlight w:val="green"/>
        </w:rPr>
      </w:pPr>
      <w:r>
        <w:rPr>
          <w:rFonts w:ascii="Times New Roman" w:hAnsi="Times New Roman"/>
          <w:b w:val="0"/>
          <w:color w:val="auto"/>
          <w:sz w:val="24"/>
          <w:szCs w:val="24"/>
          <w:highlight w:val="green"/>
          <w:lang w:val="zh-CN"/>
        </w:rPr>
        <w:t>灵新大道南端终点为南沙湿地公园，十八涌以北为城市主干路，道路条件较好，有双向6车道，以南为河堤路，条件较差，为双向2~4车道；万环西路南延与南中高速万顷沙支线共线，目前全线封闭施工，预计2024年底与南中高速同步通车。</w:t>
      </w:r>
      <w:r>
        <w:rPr>
          <w:rFonts w:hint="eastAsia" w:ascii="Times New Roman" w:hAnsi="Times New Roman"/>
          <w:b w:val="0"/>
          <w:color w:val="auto"/>
          <w:sz w:val="24"/>
          <w:szCs w:val="24"/>
          <w:highlight w:val="green"/>
        </w:rPr>
        <w:t>本项目建设阶段，无现状道路通达项目。</w:t>
      </w:r>
    </w:p>
    <w:p>
      <w:pPr>
        <w:spacing w:line="360" w:lineRule="auto"/>
        <w:ind w:firstLine="480" w:firstLineChars="200"/>
        <w:rPr>
          <w:rFonts w:ascii="Times New Roman" w:hAnsi="Times New Roman"/>
          <w:b w:val="0"/>
          <w:color w:val="auto"/>
          <w:sz w:val="24"/>
          <w:szCs w:val="24"/>
          <w:highlight w:val="green"/>
        </w:rPr>
      </w:pPr>
      <w:r>
        <w:rPr>
          <w:rFonts w:ascii="Times New Roman" w:hAnsi="Times New Roman"/>
          <w:b w:val="0"/>
          <w:color w:val="auto"/>
          <w:sz w:val="24"/>
          <w:szCs w:val="24"/>
          <w:highlight w:val="green"/>
        </w:rPr>
        <w:t>3、片区</w:t>
      </w:r>
      <w:r>
        <w:rPr>
          <w:rFonts w:hint="eastAsia" w:ascii="Times New Roman" w:hAnsi="Times New Roman"/>
          <w:b w:val="0"/>
          <w:color w:val="auto"/>
          <w:sz w:val="24"/>
          <w:szCs w:val="24"/>
          <w:highlight w:val="green"/>
        </w:rPr>
        <w:t>相关基础设施建设的紧迫性</w:t>
      </w:r>
    </w:p>
    <w:p>
      <w:pPr>
        <w:spacing w:line="360" w:lineRule="auto"/>
        <w:ind w:firstLine="480" w:firstLineChars="200"/>
        <w:rPr>
          <w:rFonts w:ascii="Times New Roman" w:hAnsi="Times New Roman"/>
          <w:b w:val="0"/>
          <w:color w:val="auto"/>
          <w:sz w:val="24"/>
          <w:szCs w:val="24"/>
          <w:highlight w:val="green"/>
          <w:lang w:val="zh-CN"/>
        </w:rPr>
      </w:pPr>
      <w:r>
        <w:rPr>
          <w:rFonts w:ascii="Times New Roman" w:hAnsi="Times New Roman"/>
          <w:b w:val="0"/>
          <w:color w:val="auto"/>
          <w:sz w:val="24"/>
          <w:szCs w:val="24"/>
          <w:highlight w:val="green"/>
          <w:lang w:val="zh-CN"/>
        </w:rPr>
        <w:t>目前在建项目包括综合体、城际轨道、南中高速万顷沙支线以及16条保赛道路，</w:t>
      </w:r>
      <w:r>
        <w:rPr>
          <w:rFonts w:hint="eastAsia" w:ascii="Times New Roman" w:hAnsi="Times New Roman"/>
          <w:b w:val="0"/>
          <w:color w:val="auto"/>
          <w:sz w:val="24"/>
          <w:szCs w:val="24"/>
          <w:highlight w:val="green"/>
        </w:rPr>
        <w:t>根据建设要求需2025年3月前建成，</w:t>
      </w:r>
      <w:r>
        <w:rPr>
          <w:rFonts w:ascii="Times New Roman" w:hAnsi="Times New Roman"/>
          <w:b w:val="0"/>
          <w:color w:val="auto"/>
          <w:sz w:val="24"/>
          <w:szCs w:val="24"/>
          <w:highlight w:val="green"/>
          <w:lang w:val="zh-CN"/>
        </w:rPr>
        <w:t>项目建设期间存在</w:t>
      </w:r>
      <w:r>
        <w:rPr>
          <w:rFonts w:hint="eastAsia" w:ascii="Times New Roman" w:hAnsi="Times New Roman"/>
          <w:b w:val="0"/>
          <w:color w:val="auto"/>
          <w:sz w:val="24"/>
          <w:szCs w:val="24"/>
          <w:highlight w:val="green"/>
          <w:lang w:val="zh-CN"/>
        </w:rPr>
        <w:t>大型构件</w:t>
      </w:r>
      <w:r>
        <w:rPr>
          <w:rFonts w:ascii="Times New Roman" w:hAnsi="Times New Roman"/>
          <w:b w:val="0"/>
          <w:color w:val="auto"/>
          <w:sz w:val="24"/>
          <w:szCs w:val="24"/>
          <w:highlight w:val="green"/>
          <w:lang w:val="zh-CN"/>
        </w:rPr>
        <w:t>运输、土方运输、车辆停放、作业人员</w:t>
      </w:r>
      <w:r>
        <w:rPr>
          <w:rFonts w:ascii="Times New Roman" w:hAnsi="Times New Roman"/>
          <w:b w:val="0"/>
          <w:color w:val="auto"/>
          <w:sz w:val="24"/>
          <w:szCs w:val="24"/>
          <w:highlight w:val="green"/>
        </w:rPr>
        <w:t>生活等需求，</w:t>
      </w:r>
      <w:r>
        <w:rPr>
          <w:rFonts w:ascii="Times New Roman" w:hAnsi="Times New Roman"/>
          <w:b w:val="0"/>
          <w:color w:val="auto"/>
          <w:sz w:val="24"/>
          <w:szCs w:val="24"/>
          <w:highlight w:val="green"/>
          <w:lang w:val="zh-CN"/>
        </w:rPr>
        <w:t>以施工便道连接形成的片区施工便道路网，在一定程度上可满足现状内外的交通出行需求。</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（2）道路结构：根据交通分析，建议施工期间片区形成“五横四纵”的便道路网结构，满足车辆出入，码头运输以及作业人员生活等需求。</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（3）骨架路网：由万环西路南延-二十一涌南便道-东侧施工便道-灵新大道，组成片区主要出入通道。</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（4）联络通道：由十九涌南二路、规划纵二路组成，连接东西两侧施工便道，串联二十涌和二十一涌现有便道。</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（5）内部循环通道：由二十涌北便道、二十涌南便道、规划纵三路便道以及西侧施工便道，联合主干便道构成片区内部循环路网。</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（6）生活通道：由规划横二路、规划纵三路、万环西路南延构成临时生活区内部路，同时结合现状河堤路、形成片区人行便道，实现重载分离的慢行道。</w:t>
      </w:r>
    </w:p>
    <w:p>
      <w:pPr>
        <w:spacing w:line="360" w:lineRule="auto"/>
        <w:ind w:firstLine="562" w:firstLineChars="200"/>
        <w:jc w:val="center"/>
        <w:rPr>
          <w:rFonts w:ascii="Times New Roman" w:hAnsi="Times New Roman" w:eastAsiaTheme="minorEastAsia"/>
          <w:sz w:val="24"/>
        </w:rPr>
      </w:pPr>
      <w:r>
        <w:rPr>
          <w:rFonts w:ascii="Times New Roman" w:hAnsi="Times New Roman"/>
        </w:rPr>
        <w:drawing>
          <wp:inline distT="0" distB="0" distL="0" distR="0">
            <wp:extent cx="5511165" cy="3306445"/>
            <wp:effectExtent l="0" t="0" r="0" b="8255"/>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pic:cNvPicPr>
                      <a:picLocks noChangeAspect="1"/>
                    </pic:cNvPicPr>
                  </pic:nvPicPr>
                  <pic:blipFill>
                    <a:blip r:embed="rId187"/>
                    <a:stretch>
                      <a:fillRect/>
                    </a:stretch>
                  </pic:blipFill>
                  <pic:spPr>
                    <a:xfrm>
                      <a:off x="0" y="0"/>
                      <a:ext cx="5553598" cy="3332049"/>
                    </a:xfrm>
                    <a:prstGeom prst="rect">
                      <a:avLst/>
                    </a:prstGeom>
                  </pic:spPr>
                </pic:pic>
              </a:graphicData>
            </a:graphic>
          </wp:inline>
        </w:drawing>
      </w:r>
    </w:p>
    <w:p>
      <w:pPr>
        <w:spacing w:line="360" w:lineRule="auto"/>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施工期间便道路网图</w:t>
      </w:r>
    </w:p>
    <w:p>
      <w:pPr>
        <w:spacing w:line="360" w:lineRule="auto"/>
        <w:ind w:firstLine="480" w:firstLineChars="200"/>
        <w:rPr>
          <w:rFonts w:ascii="Times New Roman" w:hAnsi="Times New Roman"/>
          <w:color w:val="000000" w:themeColor="text1"/>
          <w:sz w:val="21"/>
          <w:highlight w:val="cyan"/>
          <w14:textFill>
            <w14:solidFill>
              <w14:schemeClr w14:val="tx1"/>
            </w14:solidFill>
          </w14:textFill>
        </w:rPr>
      </w:pPr>
      <w:r>
        <w:rPr>
          <w:rFonts w:ascii="Times New Roman" w:hAnsi="Times New Roman"/>
          <w:b w:val="0"/>
          <w:color w:val="auto"/>
          <w:sz w:val="24"/>
          <w:szCs w:val="24"/>
          <w:highlight w:val="cyan"/>
        </w:rPr>
        <w:t>（</w:t>
      </w:r>
      <w:r>
        <w:rPr>
          <w:rFonts w:hint="eastAsia" w:ascii="Times New Roman" w:hAnsi="Times New Roman"/>
          <w:b w:val="0"/>
          <w:color w:val="auto"/>
          <w:sz w:val="24"/>
          <w:szCs w:val="24"/>
          <w:highlight w:val="cyan"/>
        </w:rPr>
        <w:t>7</w:t>
      </w:r>
      <w:r>
        <w:rPr>
          <w:rFonts w:ascii="Times New Roman" w:hAnsi="Times New Roman"/>
          <w:b w:val="0"/>
          <w:color w:val="auto"/>
          <w:sz w:val="24"/>
          <w:szCs w:val="24"/>
          <w:highlight w:val="cyan"/>
        </w:rPr>
        <w:t>）</w:t>
      </w:r>
      <w:r>
        <w:rPr>
          <w:rFonts w:hint="eastAsia" w:ascii="Times New Roman" w:hAnsi="Times New Roman"/>
          <w:b w:val="0"/>
          <w:color w:val="auto"/>
          <w:sz w:val="24"/>
          <w:szCs w:val="24"/>
          <w:highlight w:val="cyan"/>
        </w:rPr>
        <w:t>本项目施工便道情况介绍</w:t>
      </w:r>
    </w:p>
    <w:p>
      <w:pPr>
        <w:spacing w:line="360" w:lineRule="auto"/>
        <w:ind w:firstLine="422" w:firstLineChars="200"/>
        <w:jc w:val="center"/>
        <w:rPr>
          <w:rFonts w:ascii="Times New Roman" w:hAnsi="Times New Roman"/>
          <w:color w:val="000000" w:themeColor="text1"/>
          <w:sz w:val="21"/>
          <w:highlight w:val="cyan"/>
          <w:lang w:val="zh-CN"/>
          <w14:textFill>
            <w14:solidFill>
              <w14:schemeClr w14:val="tx1"/>
            </w14:solidFill>
          </w14:textFill>
        </w:rPr>
      </w:pPr>
      <w:r>
        <w:rPr>
          <w:rFonts w:hint="eastAsia" w:ascii="Times New Roman" w:hAnsi="Times New Roman"/>
          <w:color w:val="000000" w:themeColor="text1"/>
          <w:sz w:val="21"/>
          <w:highlight w:val="cyan"/>
          <w14:textFill>
            <w14:solidFill>
              <w14:schemeClr w14:val="tx1"/>
            </w14:solidFill>
          </w14:textFill>
        </w:rPr>
        <w:t>本项目</w:t>
      </w:r>
      <w:r>
        <w:rPr>
          <w:rFonts w:ascii="Times New Roman" w:hAnsi="Times New Roman"/>
          <w:color w:val="000000" w:themeColor="text1"/>
          <w:sz w:val="21"/>
          <w:highlight w:val="cyan"/>
          <w:lang w:val="zh-CN"/>
          <w14:textFill>
            <w14:solidFill>
              <w14:schemeClr w14:val="tx1"/>
            </w14:solidFill>
          </w14:textFill>
        </w:rPr>
        <w:t>施工期间便道规模一览表</w:t>
      </w:r>
    </w:p>
    <w:tbl>
      <w:tblPr>
        <w:tblStyle w:val="32"/>
        <w:tblW w:w="104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6"/>
        <w:gridCol w:w="2785"/>
        <w:gridCol w:w="3266"/>
        <w:gridCol w:w="32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156" w:type="dxa"/>
            <w:vAlign w:val="center"/>
          </w:tcPr>
          <w:p>
            <w:pPr>
              <w:pStyle w:val="65"/>
              <w:jc w:val="center"/>
              <w:rPr>
                <w:rFonts w:ascii="Times New Roman" w:eastAsia="微软雅黑" w:cs="Times New Roman"/>
                <w:bCs/>
                <w:color w:val="000000" w:themeColor="text1"/>
                <w:sz w:val="23"/>
                <w:szCs w:val="23"/>
                <w:highlight w:val="cyan"/>
                <w14:textFill>
                  <w14:solidFill>
                    <w14:schemeClr w14:val="tx1"/>
                  </w14:solidFill>
                </w14:textFill>
              </w:rPr>
            </w:pPr>
            <w:r>
              <w:rPr>
                <w:rFonts w:ascii="Times New Roman" w:eastAsia="微软雅黑" w:cs="Times New Roman"/>
                <w:bCs/>
                <w:color w:val="000000" w:themeColor="text1"/>
                <w:sz w:val="23"/>
                <w:szCs w:val="23"/>
                <w:highlight w:val="cyan"/>
                <w14:textFill>
                  <w14:solidFill>
                    <w14:schemeClr w14:val="tx1"/>
                  </w14:solidFill>
                </w14:textFill>
              </w:rPr>
              <w:t>序号</w:t>
            </w:r>
          </w:p>
        </w:tc>
        <w:tc>
          <w:tcPr>
            <w:tcW w:w="2785" w:type="dxa"/>
            <w:vAlign w:val="center"/>
          </w:tcPr>
          <w:p>
            <w:pPr>
              <w:pStyle w:val="65"/>
              <w:jc w:val="center"/>
              <w:rPr>
                <w:rFonts w:ascii="Times New Roman" w:eastAsia="微软雅黑" w:cs="Times New Roman"/>
                <w:bCs/>
                <w:color w:val="000000" w:themeColor="text1"/>
                <w:sz w:val="23"/>
                <w:szCs w:val="23"/>
                <w:highlight w:val="cyan"/>
                <w14:textFill>
                  <w14:solidFill>
                    <w14:schemeClr w14:val="tx1"/>
                  </w14:solidFill>
                </w14:textFill>
              </w:rPr>
            </w:pPr>
            <w:r>
              <w:rPr>
                <w:rFonts w:ascii="Times New Roman" w:eastAsia="微软雅黑" w:cs="Times New Roman"/>
                <w:bCs/>
                <w:color w:val="000000" w:themeColor="text1"/>
                <w:sz w:val="23"/>
                <w:szCs w:val="23"/>
                <w:highlight w:val="cyan"/>
                <w14:textFill>
                  <w14:solidFill>
                    <w14:schemeClr w14:val="tx1"/>
                  </w14:solidFill>
                </w14:textFill>
              </w:rPr>
              <w:t>道路名称</w:t>
            </w:r>
          </w:p>
        </w:tc>
        <w:tc>
          <w:tcPr>
            <w:tcW w:w="3266" w:type="dxa"/>
            <w:vAlign w:val="center"/>
          </w:tcPr>
          <w:p>
            <w:pPr>
              <w:pStyle w:val="65"/>
              <w:jc w:val="center"/>
              <w:rPr>
                <w:rFonts w:ascii="Times New Roman" w:eastAsia="微软雅黑" w:cs="Times New Roman"/>
                <w:bCs/>
                <w:color w:val="000000" w:themeColor="text1"/>
                <w:sz w:val="23"/>
                <w:szCs w:val="23"/>
                <w:highlight w:val="cyan"/>
                <w14:textFill>
                  <w14:solidFill>
                    <w14:schemeClr w14:val="tx1"/>
                  </w14:solidFill>
                </w14:textFill>
              </w:rPr>
            </w:pPr>
            <w:r>
              <w:rPr>
                <w:rFonts w:hint="eastAsia" w:ascii="Times New Roman" w:eastAsia="微软雅黑" w:cs="Times New Roman"/>
                <w:bCs/>
                <w:color w:val="000000" w:themeColor="text1"/>
                <w:sz w:val="23"/>
                <w:szCs w:val="23"/>
                <w:highlight w:val="cyan"/>
                <w14:textFill>
                  <w14:solidFill>
                    <w14:schemeClr w14:val="tx1"/>
                  </w14:solidFill>
                </w14:textFill>
              </w:rPr>
              <w:t>项目建设内容及指引</w:t>
            </w:r>
          </w:p>
        </w:tc>
        <w:tc>
          <w:tcPr>
            <w:tcW w:w="3266" w:type="dxa"/>
            <w:vAlign w:val="center"/>
          </w:tcPr>
          <w:p>
            <w:pPr>
              <w:pStyle w:val="65"/>
              <w:jc w:val="center"/>
              <w:rPr>
                <w:rFonts w:ascii="Times New Roman" w:eastAsia="微软雅黑" w:cs="Times New Roman"/>
                <w:bCs/>
                <w:color w:val="000000" w:themeColor="text1"/>
                <w:sz w:val="23"/>
                <w:szCs w:val="23"/>
                <w:highlight w:val="cyan"/>
                <w14:textFill>
                  <w14:solidFill>
                    <w14:schemeClr w14:val="tx1"/>
                  </w14:solidFill>
                </w14:textFill>
              </w:rPr>
            </w:pPr>
            <w:r>
              <w:rPr>
                <w:rFonts w:hint="eastAsia" w:ascii="Times New Roman" w:eastAsia="微软雅黑" w:cs="Times New Roman"/>
                <w:bCs/>
                <w:color w:val="000000" w:themeColor="text1"/>
                <w:sz w:val="23"/>
                <w:szCs w:val="23"/>
                <w:highlight w:val="cyan"/>
                <w14:textFill>
                  <w14:solidFill>
                    <w14:schemeClr w14:val="tx1"/>
                  </w14:solidFill>
                </w14:textFill>
              </w:rPr>
              <w:t>规模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156" w:type="dxa"/>
            <w:vAlign w:val="center"/>
          </w:tcPr>
          <w:p>
            <w:pPr>
              <w:spacing w:line="360" w:lineRule="auto"/>
              <w:rPr>
                <w:rFonts w:ascii="Times New Roman" w:hAnsi="Times New Roman"/>
                <w:b w:val="0"/>
                <w:color w:val="auto"/>
                <w:sz w:val="24"/>
                <w:szCs w:val="24"/>
                <w:highlight w:val="cyan"/>
              </w:rPr>
            </w:pPr>
            <w:r>
              <w:rPr>
                <w:rFonts w:hint="eastAsia" w:ascii="Times New Roman" w:hAnsi="Times New Roman"/>
                <w:b w:val="0"/>
                <w:color w:val="auto"/>
                <w:sz w:val="24"/>
                <w:szCs w:val="24"/>
                <w:highlight w:val="cyan"/>
              </w:rPr>
              <w:t>1</w:t>
            </w:r>
          </w:p>
        </w:tc>
        <w:tc>
          <w:tcPr>
            <w:tcW w:w="2785" w:type="dxa"/>
            <w:vAlign w:val="center"/>
          </w:tcPr>
          <w:p>
            <w:pPr>
              <w:spacing w:line="360" w:lineRule="auto"/>
              <w:rPr>
                <w:rFonts w:ascii="Times New Roman" w:hAnsi="Times New Roman"/>
                <w:b w:val="0"/>
                <w:color w:val="auto"/>
                <w:sz w:val="24"/>
                <w:szCs w:val="24"/>
                <w:highlight w:val="cyan"/>
              </w:rPr>
            </w:pPr>
            <w:r>
              <w:rPr>
                <w:rFonts w:ascii="Times New Roman" w:hAnsi="Times New Roman"/>
                <w:b w:val="0"/>
                <w:color w:val="auto"/>
                <w:sz w:val="24"/>
                <w:szCs w:val="24"/>
                <w:highlight w:val="cyan"/>
              </w:rPr>
              <w:t>二十涌北路便道工程</w:t>
            </w:r>
          </w:p>
        </w:tc>
        <w:tc>
          <w:tcPr>
            <w:tcW w:w="3266" w:type="dxa"/>
            <w:vAlign w:val="center"/>
          </w:tcPr>
          <w:p>
            <w:pPr>
              <w:spacing w:line="360" w:lineRule="auto"/>
              <w:rPr>
                <w:rFonts w:ascii="Times New Roman" w:hAnsi="Times New Roman"/>
                <w:b w:val="0"/>
                <w:color w:val="auto"/>
                <w:sz w:val="24"/>
                <w:szCs w:val="24"/>
                <w:highlight w:val="cyan"/>
              </w:rPr>
            </w:pPr>
            <w:r>
              <w:rPr>
                <w:rFonts w:hint="eastAsia" w:ascii="Times New Roman" w:hAnsi="Times New Roman"/>
                <w:b w:val="0"/>
                <w:color w:val="auto"/>
                <w:sz w:val="24"/>
                <w:szCs w:val="24"/>
                <w:highlight w:val="cyan"/>
              </w:rPr>
              <w:t>施工便道，道路宽度16米，双向4车道，建设起点为万环西路南延线，终点为灵新大道便道，接应急通道，含2处信号点位，不含填土，按反压护道便道实施，便道路面结构为水</w:t>
            </w:r>
          </w:p>
          <w:p>
            <w:pPr>
              <w:spacing w:line="360" w:lineRule="auto"/>
              <w:rPr>
                <w:rFonts w:ascii="Times New Roman" w:hAnsi="Times New Roman"/>
                <w:b w:val="0"/>
                <w:color w:val="auto"/>
                <w:sz w:val="24"/>
                <w:szCs w:val="24"/>
                <w:highlight w:val="cyan"/>
              </w:rPr>
            </w:pPr>
            <w:r>
              <w:rPr>
                <w:rFonts w:hint="eastAsia" w:ascii="Times New Roman" w:hAnsi="Times New Roman"/>
                <w:b w:val="0"/>
                <w:color w:val="auto"/>
                <w:sz w:val="24"/>
                <w:szCs w:val="24"/>
                <w:highlight w:val="cyan"/>
              </w:rPr>
              <w:t>稳+混凝土路面（含钢筋）。</w:t>
            </w:r>
          </w:p>
        </w:tc>
        <w:tc>
          <w:tcPr>
            <w:tcW w:w="3266" w:type="dxa"/>
            <w:vAlign w:val="center"/>
          </w:tcPr>
          <w:p>
            <w:pPr>
              <w:spacing w:line="360" w:lineRule="auto"/>
              <w:rPr>
                <w:rFonts w:ascii="Times New Roman" w:hAnsi="Times New Roman"/>
                <w:b w:val="0"/>
                <w:color w:val="auto"/>
                <w:sz w:val="24"/>
                <w:szCs w:val="24"/>
                <w:highlight w:val="cyan"/>
              </w:rPr>
            </w:pPr>
            <w:r>
              <w:rPr>
                <w:rFonts w:hint="eastAsia" w:ascii="Times New Roman" w:hAnsi="Times New Roman"/>
                <w:b w:val="0"/>
                <w:color w:val="auto"/>
                <w:sz w:val="24"/>
                <w:szCs w:val="24"/>
                <w:highlight w:val="cyan"/>
              </w:rPr>
              <w:t>长约1750米， 面积2.8公顷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156" w:type="dxa"/>
            <w:vAlign w:val="center"/>
          </w:tcPr>
          <w:p>
            <w:pPr>
              <w:spacing w:line="360" w:lineRule="auto"/>
              <w:rPr>
                <w:rFonts w:ascii="Times New Roman" w:hAnsi="Times New Roman"/>
                <w:b w:val="0"/>
                <w:color w:val="auto"/>
                <w:sz w:val="24"/>
                <w:szCs w:val="24"/>
                <w:highlight w:val="cyan"/>
              </w:rPr>
            </w:pPr>
            <w:r>
              <w:rPr>
                <w:rFonts w:hint="eastAsia" w:ascii="Times New Roman" w:hAnsi="Times New Roman"/>
                <w:b w:val="0"/>
                <w:color w:val="auto"/>
                <w:sz w:val="24"/>
                <w:szCs w:val="24"/>
                <w:highlight w:val="cyan"/>
              </w:rPr>
              <w:t>2</w:t>
            </w:r>
          </w:p>
        </w:tc>
        <w:tc>
          <w:tcPr>
            <w:tcW w:w="2785" w:type="dxa"/>
            <w:vAlign w:val="center"/>
          </w:tcPr>
          <w:p>
            <w:pPr>
              <w:spacing w:line="360" w:lineRule="auto"/>
              <w:rPr>
                <w:rFonts w:ascii="Times New Roman" w:hAnsi="Times New Roman"/>
                <w:b w:val="0"/>
                <w:color w:val="auto"/>
                <w:sz w:val="24"/>
                <w:szCs w:val="24"/>
                <w:highlight w:val="cyan"/>
              </w:rPr>
            </w:pPr>
            <w:r>
              <w:rPr>
                <w:rFonts w:ascii="Times New Roman" w:hAnsi="Times New Roman"/>
                <w:b w:val="0"/>
                <w:color w:val="auto"/>
                <w:sz w:val="24"/>
                <w:szCs w:val="24"/>
                <w:highlight w:val="cyan"/>
              </w:rPr>
              <w:t>规划纵二路便道工程</w:t>
            </w:r>
          </w:p>
        </w:tc>
        <w:tc>
          <w:tcPr>
            <w:tcW w:w="3266" w:type="dxa"/>
            <w:vAlign w:val="center"/>
          </w:tcPr>
          <w:p>
            <w:pPr>
              <w:spacing w:line="360" w:lineRule="auto"/>
              <w:rPr>
                <w:rFonts w:ascii="Times New Roman" w:hAnsi="Times New Roman"/>
                <w:b w:val="0"/>
                <w:color w:val="auto"/>
                <w:sz w:val="24"/>
                <w:szCs w:val="24"/>
                <w:highlight w:val="cyan"/>
              </w:rPr>
            </w:pPr>
            <w:r>
              <w:rPr>
                <w:rFonts w:hint="eastAsia" w:ascii="Times New Roman" w:hAnsi="Times New Roman"/>
                <w:b w:val="0"/>
                <w:color w:val="auto"/>
                <w:sz w:val="24"/>
                <w:szCs w:val="24"/>
                <w:highlight w:val="cyan"/>
              </w:rPr>
              <w:t>施工便道，道路宽度16米，双向4车道，建设起点为二十涌北便道，终点为二十一涌南便道，含2处便桥，填高按5m暂估。按新建便道实施，便道路面结构为水稳+混凝土路面</w:t>
            </w:r>
          </w:p>
          <w:p>
            <w:pPr>
              <w:spacing w:line="360" w:lineRule="auto"/>
              <w:rPr>
                <w:rFonts w:ascii="Times New Roman" w:hAnsi="Times New Roman"/>
                <w:b w:val="0"/>
                <w:color w:val="auto"/>
                <w:sz w:val="24"/>
                <w:szCs w:val="24"/>
                <w:highlight w:val="cyan"/>
              </w:rPr>
            </w:pPr>
            <w:r>
              <w:rPr>
                <w:rFonts w:hint="eastAsia" w:ascii="Times New Roman" w:hAnsi="Times New Roman"/>
                <w:b w:val="0"/>
                <w:color w:val="auto"/>
                <w:sz w:val="24"/>
                <w:szCs w:val="24"/>
                <w:highlight w:val="cyan"/>
              </w:rPr>
              <w:t>（含钢筋）。</w:t>
            </w:r>
          </w:p>
        </w:tc>
        <w:tc>
          <w:tcPr>
            <w:tcW w:w="3266" w:type="dxa"/>
            <w:vAlign w:val="center"/>
          </w:tcPr>
          <w:p>
            <w:pPr>
              <w:spacing w:line="360" w:lineRule="auto"/>
              <w:rPr>
                <w:rFonts w:ascii="Times New Roman" w:hAnsi="Times New Roman"/>
                <w:b w:val="0"/>
                <w:color w:val="auto"/>
                <w:sz w:val="24"/>
                <w:szCs w:val="24"/>
                <w:highlight w:val="cyan"/>
              </w:rPr>
            </w:pPr>
            <w:r>
              <w:rPr>
                <w:rFonts w:hint="eastAsia" w:ascii="Times New Roman" w:hAnsi="Times New Roman"/>
                <w:b w:val="0"/>
                <w:color w:val="auto"/>
                <w:sz w:val="24"/>
                <w:szCs w:val="24"/>
                <w:highlight w:val="cyan"/>
              </w:rPr>
              <w:t>长度880米， 面积约1.4公顷</w:t>
            </w:r>
          </w:p>
        </w:tc>
      </w:tr>
    </w:tbl>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钢便桥标准跨径12m，总宽度均为8m，横断面布置为0.5m（钢护栏）+7m（车行道）+0.5m（钢护栏）=8m。</w:t>
      </w:r>
    </w:p>
    <w:p>
      <w:pPr>
        <w:autoSpaceDE w:val="0"/>
        <w:autoSpaceDN w:val="0"/>
        <w:adjustRightInd w:val="0"/>
        <w:spacing w:line="360" w:lineRule="auto"/>
        <w:ind w:firstLine="562" w:firstLineChars="200"/>
        <w:jc w:val="center"/>
        <w:rPr>
          <w:rFonts w:ascii="Times New Roman" w:hAnsi="Times New Roman"/>
        </w:rPr>
      </w:pPr>
      <w:r>
        <w:rPr>
          <w:rFonts w:ascii="Times New Roman" w:hAnsi="Times New Roman"/>
        </w:rPr>
        <w:drawing>
          <wp:inline distT="0" distB="0" distL="0" distR="0">
            <wp:extent cx="3148330" cy="4026535"/>
            <wp:effectExtent l="0" t="0" r="13970" b="12065"/>
            <wp:docPr id="460" name="图片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图片 460"/>
                    <pic:cNvPicPr>
                      <a:picLocks noChangeAspect="1"/>
                    </pic:cNvPicPr>
                  </pic:nvPicPr>
                  <pic:blipFill>
                    <a:blip r:embed="rId188"/>
                    <a:stretch>
                      <a:fillRect/>
                    </a:stretch>
                  </pic:blipFill>
                  <pic:spPr>
                    <a:xfrm>
                      <a:off x="0" y="0"/>
                      <a:ext cx="3148330" cy="4026535"/>
                    </a:xfrm>
                    <a:prstGeom prst="rect">
                      <a:avLst/>
                    </a:prstGeom>
                  </pic:spPr>
                </pic:pic>
              </a:graphicData>
            </a:graphic>
          </wp:inline>
        </w:drawing>
      </w:r>
    </w:p>
    <w:p>
      <w:pPr>
        <w:spacing w:line="360" w:lineRule="auto"/>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钢便桥横断面</w:t>
      </w:r>
    </w:p>
    <w:p>
      <w:pPr>
        <w:pStyle w:val="5"/>
        <w:ind w:firstLine="482" w:firstLineChars="200"/>
        <w:rPr>
          <w:rFonts w:ascii="Times New Roman" w:hAnsi="Times New Roman"/>
          <w:highlight w:val="yellow"/>
        </w:rPr>
      </w:pPr>
      <w:r>
        <w:rPr>
          <w:rFonts w:ascii="Times New Roman" w:hAnsi="Times New Roman"/>
          <w:highlight w:val="yellow"/>
        </w:rPr>
        <w:t>施工疏解交通标志设置</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道路作业设置的临时警示和指路标志，底色为橙色或荧光橙色；临时指示和禁令标志，底色不变。作业区交通标志采用GB/T 18833-2012中的V类反光膜。作业区交通标志应易于搬动和运输，能简单快速地安装和拆除，安装后结构稳定。在作业区设置三组施工标志，在警告区起点附近设置作业区距离标志，辅助标志标注警告区长度；在缓冲区起点附近设置作业区长度标志，辅助标志标注缓冲区长度与工作区长度之和；在作业区结束位置，设置作业区终止标志，辅助标志指示“结束”字样，示意作业区结束。</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根据作业区封闭情况，在警告区中点附近设置车道变少标志以及改道标志。在作业区隔离设施端部、渠化设施端部等处，设置线形诱导标志，提示道路使用者行驶前方道路线性变化，注意谨慎驾驶。在交通引导人员前方至少100m处，设置注意引导人员标志，用以告示前方引导人员指挥作业区路段的交通。</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当作业区占用人行道、非机动车道时，设置行人、非机动车通道标志，指示临时的行人和非机动车绕行通道，设置于绕行通道前合适的位置。</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施工作业时，应在移动作业的工程车或机械后部，设置移动性作业标志，警示道路使用者前方道路有作业车正在作业，车辆驾驶人员应减速或变换车道行驶。</w:t>
      </w:r>
    </w:p>
    <w:p>
      <w:pPr>
        <w:pStyle w:val="210"/>
        <w:ind w:firstLine="420" w:firstLineChars="200"/>
        <w:rPr>
          <w:bCs/>
          <w:highlight w:val="yellow"/>
        </w:rPr>
      </w:pPr>
      <w:r>
        <w:rPr>
          <w:bCs/>
          <w:highlight w:val="yellow"/>
        </w:rPr>
        <w:drawing>
          <wp:inline distT="0" distB="0" distL="0" distR="0">
            <wp:extent cx="6223000" cy="1858645"/>
            <wp:effectExtent l="0" t="0" r="6350" b="8255"/>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pic:cNvPicPr>
                      <a:picLocks noChangeAspect="1"/>
                    </pic:cNvPicPr>
                  </pic:nvPicPr>
                  <pic:blipFill>
                    <a:blip r:embed="rId189">
                      <a:extLst>
                        <a:ext uri="{28A0092B-C50C-407E-A947-70E740481C1C}">
                          <a14:useLocalDpi xmlns:a14="http://schemas.microsoft.com/office/drawing/2010/main" val="0"/>
                        </a:ext>
                      </a:extLst>
                    </a:blip>
                    <a:stretch>
                      <a:fillRect/>
                    </a:stretch>
                  </pic:blipFill>
                  <pic:spPr>
                    <a:xfrm>
                      <a:off x="0" y="0"/>
                      <a:ext cx="6223000" cy="1858645"/>
                    </a:xfrm>
                    <a:prstGeom prst="rect">
                      <a:avLst/>
                    </a:prstGeom>
                  </pic:spPr>
                </pic:pic>
              </a:graphicData>
            </a:graphic>
          </wp:inline>
        </w:drawing>
      </w:r>
    </w:p>
    <w:p>
      <w:pPr>
        <w:pStyle w:val="210"/>
        <w:ind w:firstLine="420" w:firstLineChars="200"/>
        <w:rPr>
          <w:bCs/>
          <w:highlight w:val="yellow"/>
        </w:rPr>
      </w:pPr>
      <w:r>
        <w:rPr>
          <w:bCs/>
          <w:highlight w:val="yellow"/>
        </w:rPr>
        <w:drawing>
          <wp:inline distT="0" distB="0" distL="0" distR="0">
            <wp:extent cx="2755265" cy="1579245"/>
            <wp:effectExtent l="0" t="0" r="6985" b="1905"/>
            <wp:docPr id="212" name="图片 212" descr="C:\Users\FeiQ\Bryan\Documents\Tencent%2520Files\736458629\Image\C2C\3QE2IL9WVK36N%255d~%2525%256042)%2560Z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descr="C:\Users\FeiQ\Bryan\Documents\Tencent%2520Files\736458629\Image\C2C\3QE2IL9WVK36N%255d~%2525%256042)%2560ZI.pn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a:xfrm>
                      <a:off x="0" y="0"/>
                      <a:ext cx="2755265" cy="1579245"/>
                    </a:xfrm>
                    <a:prstGeom prst="rect">
                      <a:avLst/>
                    </a:prstGeom>
                    <a:noFill/>
                    <a:ln>
                      <a:noFill/>
                    </a:ln>
                  </pic:spPr>
                </pic:pic>
              </a:graphicData>
            </a:graphic>
          </wp:inline>
        </w:drawing>
      </w:r>
    </w:p>
    <w:p>
      <w:pPr>
        <w:spacing w:line="360" w:lineRule="auto"/>
        <w:ind w:firstLine="422" w:firstLineChars="200"/>
        <w:jc w:val="center"/>
        <w:rPr>
          <w:rFonts w:ascii="Times New Roman" w:hAnsi="Times New Roman"/>
          <w:color w:val="000000" w:themeColor="text1"/>
          <w:sz w:val="21"/>
          <w:highlight w:val="yellow"/>
          <w:lang w:val="zh-CN"/>
          <w14:textFill>
            <w14:solidFill>
              <w14:schemeClr w14:val="tx1"/>
            </w14:solidFill>
          </w14:textFill>
        </w:rPr>
      </w:pPr>
      <w:r>
        <w:rPr>
          <w:rFonts w:ascii="Times New Roman" w:hAnsi="Times New Roman"/>
          <w:color w:val="000000" w:themeColor="text1"/>
          <w:sz w:val="21"/>
          <w:highlight w:val="yellow"/>
          <w:lang w:val="zh-CN"/>
          <w14:textFill>
            <w14:solidFill>
              <w14:schemeClr w14:val="tx1"/>
            </w14:solidFill>
          </w14:textFill>
        </w:rPr>
        <w:t>橙色交通标志示例</w:t>
      </w:r>
    </w:p>
    <w:p>
      <w:pPr>
        <w:pStyle w:val="5"/>
        <w:ind w:firstLine="482" w:firstLineChars="200"/>
        <w:rPr>
          <w:rFonts w:ascii="Times New Roman" w:hAnsi="Times New Roman"/>
          <w:highlight w:val="yellow"/>
        </w:rPr>
      </w:pPr>
      <w:r>
        <w:rPr>
          <w:rFonts w:ascii="Times New Roman" w:hAnsi="Times New Roman"/>
          <w:highlight w:val="yellow"/>
        </w:rPr>
        <w:t>施工疏解交通标线设置</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作业区交通标线为临时性标线，用于管制和引导作业区的交通流，交通标线根据作业区交通组织的需要，按照GB 5768.3的相应规定选用，交通标线采用橙色，尺寸需满足GB 5768.3的规定，夜间无照明的作业区应采用反光标线材料。</w:t>
      </w:r>
    </w:p>
    <w:p>
      <w:pPr>
        <w:pStyle w:val="5"/>
        <w:ind w:firstLine="482" w:firstLineChars="200"/>
        <w:rPr>
          <w:rFonts w:ascii="Times New Roman" w:hAnsi="Times New Roman"/>
          <w:highlight w:val="yellow"/>
        </w:rPr>
      </w:pPr>
      <w:r>
        <w:rPr>
          <w:rFonts w:ascii="Times New Roman" w:hAnsi="Times New Roman"/>
          <w:highlight w:val="yellow"/>
        </w:rPr>
        <w:t>施工期间的交通管理</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为保证施工顺利进行，使施工对道路交通的影响降到最低，需对施工路段沿线及交叉口采取必要的交通管理设施，具体如下：</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（1）通过多种形式向媒体通告本项目的施工围蔽及疏导情况，让广大市民和驾驶员了解施工区域的交通组织。</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（2）市政道路工程实施范围内的各个交通要点，施工单位需派交通协管员协助辖区交警维持秩序。</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（3）市政道路施工期间要安装的各类临时交通设施必须在辖区交警部门指导下安装。</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（4）对因市政道路施工需临时拆除的交通设施设备，在施工完毕后应立刻在相关地点恢复，确保施工完成后能够正常使用。</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5、其它</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作业区围蔽区域前方的道路渐变段可设置锥形桶，提示前方车道变化情况，保证行车安全。</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6、管理措施及注意事项</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为确保本工程在施工期间施工区域内的交通状况良好，需对施工路段沿线及附近采取必要的交通管理措施，具体如下：</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（1）向传媒通告本项目的施工疏解情况，让市民特别是沿线居民了解施工区域的交通组织及绕行路网。</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（2）本工程范围内的各个交通要点、人行横道线，施工单位需在施工围蔽期间派出交通协管员，协助辖区交警维持交通秩序。</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（3）本工程范围内如出现车行通道、人行道出现破损、积水及会影响行人、车辆通行能力等情况，施工单位必须及时对其进行抢修。</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（4）本交通组织设计中的各类临时交通设施必须在辖区交警部门指导下安装，并且安装的位置不能影响现状道路其他设施的使用。</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（5）施工区域采用A2装配式H型钢结构围蔽，正式围蔽前，需利用铁马等活动围蔽设施进行试围蔽，待得到业主、交警、市政等部门认可后，方可进行正式围蔽。</w:t>
      </w:r>
    </w:p>
    <w:p>
      <w:pPr>
        <w:pStyle w:val="208"/>
        <w:ind w:firstLine="480"/>
        <w:rPr>
          <w:rFonts w:cs="Times New Roman"/>
          <w:color w:val="000000" w:themeColor="text1"/>
          <w:highlight w:val="yellow"/>
          <w14:textFill>
            <w14:solidFill>
              <w14:schemeClr w14:val="tx1"/>
            </w14:solidFill>
          </w14:textFill>
        </w:rPr>
      </w:pPr>
      <w:r>
        <w:rPr>
          <w:rFonts w:cs="Times New Roman"/>
          <w:highlight w:val="yellow"/>
        </w:rPr>
        <w:drawing>
          <wp:inline distT="0" distB="0" distL="0" distR="0">
            <wp:extent cx="6572885" cy="2791460"/>
            <wp:effectExtent l="0" t="0" r="18415" b="889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pic:cNvPicPr>
                      <a:picLocks noChangeAspect="1"/>
                    </pic:cNvPicPr>
                  </pic:nvPicPr>
                  <pic:blipFill>
                    <a:blip r:embed="rId191"/>
                    <a:stretch>
                      <a:fillRect/>
                    </a:stretch>
                  </pic:blipFill>
                  <pic:spPr>
                    <a:xfrm>
                      <a:off x="0" y="0"/>
                      <a:ext cx="6572885" cy="2791460"/>
                    </a:xfrm>
                    <a:prstGeom prst="rect">
                      <a:avLst/>
                    </a:prstGeom>
                  </pic:spPr>
                </pic:pic>
              </a:graphicData>
            </a:graphic>
          </wp:inline>
        </w:drawing>
      </w:r>
    </w:p>
    <w:p>
      <w:pPr>
        <w:pStyle w:val="208"/>
        <w:ind w:firstLine="480"/>
        <w:rPr>
          <w:rFonts w:cs="Times New Roman"/>
          <w:color w:val="000000" w:themeColor="text1"/>
          <w:highlight w:val="yellow"/>
          <w14:textFill>
            <w14:solidFill>
              <w14:schemeClr w14:val="tx1"/>
            </w14:solidFill>
          </w14:textFill>
        </w:rPr>
      </w:pPr>
      <w:r>
        <w:rPr>
          <w:rFonts w:cs="Times New Roman"/>
          <w:highlight w:val="yellow"/>
        </w:rPr>
        <w:drawing>
          <wp:inline distT="0" distB="0" distL="0" distR="0">
            <wp:extent cx="6572885" cy="4009390"/>
            <wp:effectExtent l="0" t="0" r="18415" b="1016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pic:cNvPicPr>
                      <a:picLocks noChangeAspect="1"/>
                    </pic:cNvPicPr>
                  </pic:nvPicPr>
                  <pic:blipFill>
                    <a:blip r:embed="rId192"/>
                    <a:stretch>
                      <a:fillRect/>
                    </a:stretch>
                  </pic:blipFill>
                  <pic:spPr>
                    <a:xfrm>
                      <a:off x="0" y="0"/>
                      <a:ext cx="6572885" cy="4009390"/>
                    </a:xfrm>
                    <a:prstGeom prst="rect">
                      <a:avLst/>
                    </a:prstGeom>
                  </pic:spPr>
                </pic:pic>
              </a:graphicData>
            </a:graphic>
          </wp:inline>
        </w:drawing>
      </w:r>
    </w:p>
    <w:p>
      <w:pPr>
        <w:spacing w:line="360" w:lineRule="auto"/>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highlight w:val="yellow"/>
          <w:lang w:val="zh-CN"/>
          <w14:textFill>
            <w14:solidFill>
              <w14:schemeClr w14:val="tx1"/>
            </w14:solidFill>
          </w14:textFill>
        </w:rPr>
        <w:t>A2装配式围蔽样</w:t>
      </w:r>
      <w:r>
        <w:rPr>
          <w:rFonts w:ascii="Times New Roman" w:hAnsi="Times New Roman"/>
          <w:color w:val="000000" w:themeColor="text1"/>
          <w:sz w:val="21"/>
          <w:lang w:val="zh-CN"/>
          <w14:textFill>
            <w14:solidFill>
              <w14:schemeClr w14:val="tx1"/>
            </w14:solidFill>
          </w14:textFill>
        </w:rPr>
        <w:t>式</w:t>
      </w:r>
    </w:p>
    <w:bookmarkEnd w:id="166"/>
    <w:p>
      <w:pPr>
        <w:pStyle w:val="3"/>
        <w:ind w:firstLine="562" w:firstLineChars="200"/>
      </w:pPr>
      <w:bookmarkStart w:id="186" w:name="_Toc22859"/>
      <w:bookmarkStart w:id="187" w:name="_Toc15683"/>
      <w:r>
        <w:t>管线综合工程</w:t>
      </w:r>
      <w:bookmarkEnd w:id="186"/>
      <w:bookmarkEnd w:id="187"/>
    </w:p>
    <w:p>
      <w:pPr>
        <w:pStyle w:val="4"/>
        <w:ind w:firstLine="482" w:firstLineChars="200"/>
      </w:pPr>
      <w:bookmarkStart w:id="188" w:name="_Toc5429"/>
      <w:bookmarkStart w:id="189" w:name="_Toc27212"/>
      <w:r>
        <w:t>设计依据</w:t>
      </w:r>
      <w:bookmarkEnd w:id="188"/>
      <w:bookmarkEnd w:id="189"/>
    </w:p>
    <w:p>
      <w:pPr>
        <w:spacing w:line="288" w:lineRule="auto"/>
        <w:ind w:firstLine="480" w:firstLineChars="200"/>
        <w:rPr>
          <w:rFonts w:ascii="Times New Roman" w:hAnsi="Times New Roman"/>
          <w:b w:val="0"/>
          <w:color w:val="auto"/>
          <w:sz w:val="24"/>
          <w:szCs w:val="20"/>
        </w:rPr>
      </w:pPr>
      <w:r>
        <w:rPr>
          <w:rFonts w:ascii="Times New Roman" w:hAnsi="Times New Roman"/>
          <w:b w:val="0"/>
          <w:color w:val="auto"/>
          <w:sz w:val="24"/>
        </w:rPr>
        <w:t>1.</w:t>
      </w:r>
      <w:r>
        <w:rPr>
          <w:rFonts w:ascii="Times New Roman" w:hAnsi="Times New Roman"/>
          <w:b w:val="0"/>
          <w:color w:val="auto"/>
          <w:sz w:val="24"/>
          <w:szCs w:val="20"/>
        </w:rPr>
        <w:t>《城市工程管线综合规划规范》GB 50289-2016</w:t>
      </w:r>
    </w:p>
    <w:p>
      <w:pPr>
        <w:spacing w:line="288"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2.《室外排水设计标准》GB 50014-2021</w:t>
      </w:r>
    </w:p>
    <w:p>
      <w:pPr>
        <w:spacing w:line="288"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3.《室外给水设计标准》GB 50013-2018</w:t>
      </w:r>
    </w:p>
    <w:p>
      <w:pPr>
        <w:spacing w:line="288"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4.《城市排水工程规划规范》GB 50318-2017</w:t>
      </w:r>
    </w:p>
    <w:p>
      <w:pPr>
        <w:spacing w:line="288"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5.《城市给水工程规划规范》GB 50282-2016</w:t>
      </w:r>
    </w:p>
    <w:p>
      <w:pPr>
        <w:spacing w:line="288"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6.《城市电力规划规范》GB/T 50293-2014</w:t>
      </w:r>
    </w:p>
    <w:p>
      <w:pPr>
        <w:spacing w:line="288"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7.《电力工程电缆设计标准》GB 50217-2018</w:t>
      </w:r>
    </w:p>
    <w:p>
      <w:pPr>
        <w:spacing w:line="288"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8.《城镇燃气设计规范》GB 50028-2006（2020版）</w:t>
      </w:r>
    </w:p>
    <w:p>
      <w:pPr>
        <w:spacing w:line="288"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9.《通信管道与通道工程设计标准》GB 50373-2019</w:t>
      </w:r>
    </w:p>
    <w:p>
      <w:pPr>
        <w:pStyle w:val="4"/>
        <w:ind w:firstLine="482" w:firstLineChars="200"/>
      </w:pPr>
      <w:bookmarkStart w:id="190" w:name="_Toc23433"/>
      <w:bookmarkStart w:id="191" w:name="_Toc4118"/>
      <w:r>
        <w:t>总体目标</w:t>
      </w:r>
      <w:bookmarkEnd w:id="190"/>
      <w:bookmarkEnd w:id="191"/>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城市工程管线种类很多，其功能和施工时间也不统一，在城市道路有限断面上需要综合安排、统筹规划，避免各种工程管线在平面和竖向空间位置上的互相冲突和干扰，保证城市功能的正常运转。</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工程管线综合规划与城市道路、城市环境、给水工程、排水工程、电力工程、燃气工程、电信工程、防洪工程、人防工程等专业规划相协调。满足各专业容量功能方面的要求和城市地下空间综合布置的要求，使工程管线正常运行。</w:t>
      </w:r>
    </w:p>
    <w:p>
      <w:pPr>
        <w:spacing w:line="288" w:lineRule="auto"/>
        <w:ind w:firstLine="480" w:firstLineChars="200"/>
        <w:rPr>
          <w:rFonts w:ascii="Times New Roman" w:hAnsi="Times New Roman"/>
          <w:color w:val="auto"/>
        </w:rPr>
      </w:pPr>
      <w:r>
        <w:rPr>
          <w:rFonts w:ascii="Times New Roman" w:hAnsi="Times New Roman"/>
          <w:b w:val="0"/>
          <w:color w:val="auto"/>
          <w:sz w:val="24"/>
        </w:rPr>
        <w:t>工程管线综合规划要综合安排，发现并解决各项工程管线在规划设计中存在的矛盾，使之在用地空间上占有合理位置，以指导下阶段单项工程设计，并为工程管线施工及规划管理工作创造有利条件。使得规划更趋科学、合理。</w:t>
      </w:r>
    </w:p>
    <w:p>
      <w:pPr>
        <w:pStyle w:val="4"/>
        <w:ind w:firstLine="482" w:firstLineChars="200"/>
      </w:pPr>
      <w:bookmarkStart w:id="192" w:name="_Toc1796"/>
      <w:bookmarkStart w:id="193" w:name="_Toc27000"/>
      <w:r>
        <w:t>规划设计原则</w:t>
      </w:r>
      <w:bookmarkEnd w:id="192"/>
      <w:bookmarkEnd w:id="193"/>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1.充分利用现有工程管线，在满足现行规范和不影响施工的前提下，尽可能保护现有工程管线不作迁移以节约工程投资。当现状管线不能满足需要时，经综合技术、经济比较后，可废弃或抽换。</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2.合理利用地下空间，规划与迁移的工程管线尽可能安排在道路的人行道和绿化带中，工程管线尽可能避免敷设道路的快车道中；只有当人行道和绿化带宽度不足的情况下，将排水管线布置在机动车道内。</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3.工程管线的布置应与城市现状及规划的地下铁道、地下通道、人防工程等地下隐蔽性工程协调配合。</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4.结合远、近期规划和建设情况，为近期实施道路提供建设条件，为远期建设的工程管线预留走廊的位置。</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5.综合考虑给水、排水、电力、电信、燃气等单项工程设计、布置要求，进行管线综合平衡，协调、安排各种管线的建设，以利今后的施工和管理。</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6.对于基建施工所需临时管线，在条件许可时应与永久性管线结合考虑。</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7.应结合城市道路网规划，在不妨碍工程管线正常运行、检修和合理占用土地的情况下，使线路短捷。</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8.地下管线的走向，宜沿道路或与主体建筑平行布置，并力求线型顺直、短捷和适当集中，尽量减少转弯，并应使管线之间及管线与道路之间尽量减少交叉。</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9.当管线交叉时，应符合下列原则：压力管线让重力自流管线；可弯曲管线让不易弯曲管线；分支管线让主干管线；小管径管线让大管径管线。</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10.雨、污水管道与生活给水管道相交时，应敷设在生活给水管道的下面。</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11.再生水（杂用水）管道与生活给水管道、合流管道和污水管道相交时，应敷设在生活给水管道下面，宜敷设在合流管道和污水管道的上面。</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12.电力电缆与电信管缆宜远离，并按照电力电缆在道路东侧或南侧、电信管缆在道路西侧或北侧的原则布置。</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13.雨水管道系统充分利用地形坡度，分散就近自流排入河涌或可利用的涵洞，以减少管径、控制埋深、节约投资。</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14.污水管道系统充分利用地形坡度，尽量采用自流排放、减少提升泵站数量。从系统出发，合理布置管道，并进行多方案比较，力求减少管道系统的运行费用及维护工作量。</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15.按远期设计排水管道，并根据规划和建设情况分期实施，逐步完善，充分考虑分期实施的工程技术衔接问题，与城市给水，道路交通，水利及其他专业相协调。</w:t>
      </w:r>
    </w:p>
    <w:p>
      <w:pPr>
        <w:pStyle w:val="4"/>
        <w:ind w:firstLine="482" w:firstLineChars="200"/>
      </w:pPr>
      <w:bookmarkStart w:id="194" w:name="_Toc800"/>
      <w:bookmarkStart w:id="195" w:name="_Toc98235972"/>
      <w:bookmarkStart w:id="196" w:name="_Toc18626"/>
      <w:r>
        <w:t>设计内容</w:t>
      </w:r>
      <w:bookmarkEnd w:id="194"/>
      <w:bookmarkEnd w:id="195"/>
      <w:bookmarkEnd w:id="196"/>
    </w:p>
    <w:p>
      <w:pPr>
        <w:spacing w:line="288" w:lineRule="auto"/>
        <w:ind w:firstLine="482" w:firstLineChars="200"/>
        <w:rPr>
          <w:rFonts w:ascii="Times New Roman" w:hAnsi="Times New Roman"/>
          <w:b w:val="0"/>
          <w:color w:val="auto"/>
          <w:sz w:val="24"/>
        </w:rPr>
      </w:pPr>
      <w:r>
        <w:rPr>
          <w:rFonts w:ascii="Times New Roman" w:hAnsi="Times New Roman"/>
          <w:bCs/>
          <w:color w:val="auto"/>
          <w:sz w:val="24"/>
        </w:rPr>
        <w:t>本次设计工作内容不包含燃气管线和通信管线设计，但在管线综合设计中预留上述管线位置。</w:t>
      </w:r>
      <w:r>
        <w:rPr>
          <w:rFonts w:ascii="Times New Roman" w:hAnsi="Times New Roman"/>
          <w:b w:val="0"/>
          <w:color w:val="auto"/>
          <w:sz w:val="24"/>
        </w:rPr>
        <w:t>根据规划资料并结合工程土地利用情况，本设计考虑的管线种类包括：给水管、雨水管、污水管、燃气管、电力管、通信管、电力隧道和缆线管廊。</w:t>
      </w:r>
    </w:p>
    <w:p>
      <w:pPr>
        <w:pStyle w:val="5"/>
        <w:ind w:firstLine="482" w:firstLineChars="200"/>
        <w:rPr>
          <w:rFonts w:ascii="Times New Roman" w:hAnsi="Times New Roman"/>
        </w:rPr>
      </w:pPr>
      <w:bookmarkStart w:id="197" w:name="_Toc98235973"/>
      <w:r>
        <w:rPr>
          <w:rFonts w:ascii="Times New Roman" w:hAnsi="Times New Roman"/>
        </w:rPr>
        <w:t>各工程管线的水平净距要求</w:t>
      </w:r>
      <w:bookmarkEnd w:id="197"/>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应根据各类管线的不同物性和设计要求综合布置各类管线，工程管线相互间水平距离应符合下表的要求。</w:t>
      </w:r>
    </w:p>
    <w:p>
      <w:pPr>
        <w:spacing w:line="360" w:lineRule="auto"/>
        <w:ind w:firstLine="422" w:firstLineChars="200"/>
        <w:jc w:val="center"/>
        <w:rPr>
          <w:rFonts w:ascii="Times New Roman" w:hAnsi="Times New Roman" w:eastAsia="黑体"/>
          <w:b w:val="0"/>
          <w:bCs/>
          <w:color w:val="auto"/>
          <w:szCs w:val="21"/>
        </w:rPr>
      </w:pPr>
      <w:r>
        <w:rPr>
          <w:rFonts w:ascii="Times New Roman" w:hAnsi="Times New Roman"/>
          <w:color w:val="000000" w:themeColor="text1"/>
          <w:sz w:val="21"/>
          <w14:textFill>
            <w14:solidFill>
              <w14:schemeClr w14:val="tx1"/>
            </w14:solidFill>
          </w14:textFill>
        </w:rPr>
        <w:t>5.6</w:t>
      </w:r>
      <w:r>
        <w:rPr>
          <w:rFonts w:ascii="Times New Roman" w:hAnsi="Times New Roman"/>
          <w:color w:val="000000" w:themeColor="text1"/>
          <w:sz w:val="21"/>
          <w:lang w:val="zh-CN"/>
          <w14:textFill>
            <w14:solidFill>
              <w14:schemeClr w14:val="tx1"/>
            </w14:solidFill>
          </w14:textFill>
        </w:rPr>
        <w:t>-1工程管线之间的最小水平净距（m）</w:t>
      </w:r>
    </w:p>
    <w:p>
      <w:pPr>
        <w:spacing w:line="360" w:lineRule="auto"/>
        <w:ind w:firstLine="560" w:firstLineChars="200"/>
        <w:jc w:val="center"/>
        <w:rPr>
          <w:rFonts w:ascii="Times New Roman" w:hAnsi="Times New Roman" w:eastAsia="黑体"/>
          <w:b w:val="0"/>
          <w:bCs/>
          <w:color w:val="auto"/>
          <w:szCs w:val="21"/>
        </w:rPr>
      </w:pPr>
      <w:r>
        <w:rPr>
          <w:rFonts w:ascii="Times New Roman" w:hAnsi="Times New Roman" w:eastAsia="黑体"/>
          <w:b w:val="0"/>
          <w:bCs/>
          <w:color w:val="auto"/>
          <w:szCs w:val="21"/>
        </w:rPr>
        <w:drawing>
          <wp:inline distT="0" distB="0" distL="0" distR="0">
            <wp:extent cx="5514975" cy="6031230"/>
            <wp:effectExtent l="0" t="0" r="9525" b="7620"/>
            <wp:docPr id="267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31" name="图片 27"/>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a:xfrm>
                      <a:off x="0" y="0"/>
                      <a:ext cx="5523254" cy="6040425"/>
                    </a:xfrm>
                    <a:prstGeom prst="rect">
                      <a:avLst/>
                    </a:prstGeom>
                    <a:noFill/>
                    <a:ln w="9525">
                      <a:noFill/>
                      <a:miter lim="800000"/>
                      <a:headEnd/>
                      <a:tailEnd/>
                    </a:ln>
                  </pic:spPr>
                </pic:pic>
              </a:graphicData>
            </a:graphic>
          </wp:inline>
        </w:drawing>
      </w:r>
    </w:p>
    <w:p>
      <w:pPr>
        <w:pStyle w:val="5"/>
        <w:ind w:firstLine="482" w:firstLineChars="200"/>
        <w:rPr>
          <w:rFonts w:ascii="Times New Roman" w:hAnsi="Times New Roman"/>
        </w:rPr>
      </w:pPr>
      <w:bookmarkStart w:id="198" w:name="_Toc98235974"/>
      <w:r>
        <w:rPr>
          <w:rFonts w:ascii="Times New Roman" w:hAnsi="Times New Roman"/>
        </w:rPr>
        <w:t>各工程管线交叉敷设时最小垂直净距的要求</w:t>
      </w:r>
      <w:bookmarkEnd w:id="198"/>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当工程管线交叉敷设时，自地表面向下的排列顺序宜为：电力管线、热力管线、燃气管线、给水管线、雨水排水管线、污水排水管线。工程管线交叉时的最小垂直净距，应符合下表的规定。</w:t>
      </w:r>
    </w:p>
    <w:p>
      <w:pPr>
        <w:spacing w:line="360" w:lineRule="auto"/>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14:textFill>
            <w14:solidFill>
              <w14:schemeClr w14:val="tx1"/>
            </w14:solidFill>
          </w14:textFill>
        </w:rPr>
        <w:t>5.6</w:t>
      </w:r>
      <w:r>
        <w:rPr>
          <w:rFonts w:ascii="Times New Roman" w:hAnsi="Times New Roman"/>
          <w:color w:val="000000" w:themeColor="text1"/>
          <w:sz w:val="21"/>
          <w:lang w:val="zh-CN"/>
          <w14:textFill>
            <w14:solidFill>
              <w14:schemeClr w14:val="tx1"/>
            </w14:solidFill>
          </w14:textFill>
        </w:rPr>
        <w:t>-2工程管线交叉时的最小垂直净距（m）</w:t>
      </w:r>
    </w:p>
    <w:tbl>
      <w:tblPr>
        <w:tblStyle w:val="32"/>
        <w:tblW w:w="88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9"/>
        <w:gridCol w:w="1003"/>
        <w:gridCol w:w="763"/>
        <w:gridCol w:w="796"/>
        <w:gridCol w:w="719"/>
        <w:gridCol w:w="758"/>
        <w:gridCol w:w="757"/>
        <w:gridCol w:w="882"/>
        <w:gridCol w:w="758"/>
        <w:gridCol w:w="757"/>
        <w:gridCol w:w="7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8" w:hRule="atLeast"/>
          <w:jc w:val="center"/>
        </w:trPr>
        <w:tc>
          <w:tcPr>
            <w:tcW w:w="1942" w:type="dxa"/>
            <w:gridSpan w:val="2"/>
            <w:vMerge w:val="restart"/>
            <w:tcBorders>
              <w:top w:val="single" w:color="4BACC6" w:sz="4" w:space="0"/>
              <w:left w:val="single" w:color="4BACC6" w:sz="4" w:space="0"/>
              <w:bottom w:val="single" w:color="4BACC6" w:sz="4" w:space="0"/>
              <w:right w:val="single" w:color="4BACC6" w:sz="4" w:space="0"/>
            </w:tcBorders>
            <w:shd w:val="clear" w:color="auto" w:fill="D9D9D9"/>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管线名称</w:t>
            </w:r>
          </w:p>
        </w:tc>
        <w:tc>
          <w:tcPr>
            <w:tcW w:w="763" w:type="dxa"/>
            <w:vMerge w:val="restart"/>
            <w:tcBorders>
              <w:top w:val="single" w:color="4BACC6" w:sz="4" w:space="0"/>
              <w:left w:val="single" w:color="4BACC6" w:sz="4" w:space="0"/>
              <w:bottom w:val="single" w:color="4BACC6" w:sz="4" w:space="0"/>
              <w:right w:val="single" w:color="4BACC6" w:sz="4" w:space="0"/>
            </w:tcBorders>
            <w:shd w:val="clear" w:color="auto" w:fill="D9D9D9"/>
            <w:noWrap/>
            <w:vAlign w:val="center"/>
          </w:tcPr>
          <w:p>
            <w:pPr>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给水管线</w:t>
            </w:r>
          </w:p>
        </w:tc>
        <w:tc>
          <w:tcPr>
            <w:tcW w:w="796" w:type="dxa"/>
            <w:vMerge w:val="restart"/>
            <w:tcBorders>
              <w:top w:val="single" w:color="4BACC6" w:sz="4" w:space="0"/>
              <w:left w:val="single" w:color="4BACC6" w:sz="4" w:space="0"/>
              <w:bottom w:val="single" w:color="4BACC6" w:sz="4" w:space="0"/>
              <w:right w:val="single" w:color="4BACC6" w:sz="4" w:space="0"/>
            </w:tcBorders>
            <w:shd w:val="clear" w:color="auto" w:fill="D9D9D9"/>
            <w:noWrap/>
            <w:vAlign w:val="center"/>
          </w:tcPr>
          <w:p>
            <w:pPr>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污水、雨水管线</w:t>
            </w:r>
          </w:p>
        </w:tc>
        <w:tc>
          <w:tcPr>
            <w:tcW w:w="719" w:type="dxa"/>
            <w:vMerge w:val="restart"/>
            <w:tcBorders>
              <w:top w:val="single" w:color="4BACC6" w:sz="4" w:space="0"/>
              <w:left w:val="single" w:color="4BACC6" w:sz="4" w:space="0"/>
              <w:bottom w:val="single" w:color="4BACC6" w:sz="4" w:space="0"/>
              <w:right w:val="single" w:color="4BACC6" w:sz="4" w:space="0"/>
            </w:tcBorders>
            <w:shd w:val="clear" w:color="auto" w:fill="D9D9D9"/>
            <w:noWrap/>
            <w:vAlign w:val="center"/>
          </w:tcPr>
          <w:p>
            <w:pPr>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热力管线</w:t>
            </w:r>
          </w:p>
        </w:tc>
        <w:tc>
          <w:tcPr>
            <w:tcW w:w="758" w:type="dxa"/>
            <w:vMerge w:val="restart"/>
            <w:tcBorders>
              <w:top w:val="single" w:color="4BACC6" w:sz="4" w:space="0"/>
              <w:left w:val="single" w:color="4BACC6" w:sz="4" w:space="0"/>
              <w:bottom w:val="single" w:color="4BACC6" w:sz="4" w:space="0"/>
              <w:right w:val="single" w:color="4BACC6" w:sz="4" w:space="0"/>
            </w:tcBorders>
            <w:shd w:val="clear" w:color="auto" w:fill="D9D9D9"/>
            <w:noWrap/>
            <w:vAlign w:val="center"/>
          </w:tcPr>
          <w:p>
            <w:pPr>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燃气管线</w:t>
            </w:r>
          </w:p>
        </w:tc>
        <w:tc>
          <w:tcPr>
            <w:tcW w:w="1639" w:type="dxa"/>
            <w:gridSpan w:val="2"/>
            <w:tcBorders>
              <w:top w:val="single" w:color="4BACC6" w:sz="4" w:space="0"/>
              <w:left w:val="single" w:color="4BACC6" w:sz="4" w:space="0"/>
              <w:bottom w:val="single" w:color="4BACC6" w:sz="4" w:space="0"/>
              <w:right w:val="single" w:color="4BACC6" w:sz="4" w:space="0"/>
            </w:tcBorders>
            <w:shd w:val="clear" w:color="auto" w:fill="D9D9D9"/>
            <w:noWrap/>
            <w:vAlign w:val="center"/>
          </w:tcPr>
          <w:p>
            <w:pPr>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通信管线</w:t>
            </w:r>
          </w:p>
        </w:tc>
        <w:tc>
          <w:tcPr>
            <w:tcW w:w="1515" w:type="dxa"/>
            <w:gridSpan w:val="2"/>
            <w:tcBorders>
              <w:top w:val="single" w:color="4BACC6" w:sz="4" w:space="0"/>
              <w:left w:val="single" w:color="4BACC6" w:sz="4" w:space="0"/>
              <w:bottom w:val="single" w:color="4BACC6" w:sz="4" w:space="0"/>
              <w:right w:val="single" w:color="4BACC6" w:sz="4" w:space="0"/>
            </w:tcBorders>
            <w:shd w:val="clear" w:color="auto" w:fill="D9D9D9"/>
            <w:noWrap/>
            <w:vAlign w:val="center"/>
          </w:tcPr>
          <w:p>
            <w:pPr>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电力管线</w:t>
            </w:r>
          </w:p>
        </w:tc>
        <w:tc>
          <w:tcPr>
            <w:tcW w:w="758" w:type="dxa"/>
            <w:vMerge w:val="restart"/>
            <w:tcBorders>
              <w:top w:val="single" w:color="4BACC6" w:sz="4" w:space="0"/>
              <w:left w:val="single" w:color="4BACC6" w:sz="4" w:space="0"/>
              <w:bottom w:val="single" w:color="4BACC6" w:sz="4" w:space="0"/>
              <w:right w:val="single" w:color="4BACC6" w:sz="4" w:space="0"/>
            </w:tcBorders>
            <w:shd w:val="clear" w:color="auto" w:fill="D9D9D9"/>
            <w:noWrap/>
            <w:vAlign w:val="center"/>
          </w:tcPr>
          <w:p>
            <w:pPr>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再生水管线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7" w:hRule="atLeast"/>
          <w:jc w:val="center"/>
        </w:trPr>
        <w:tc>
          <w:tcPr>
            <w:tcW w:w="1942" w:type="dxa"/>
            <w:gridSpan w:val="2"/>
            <w:vMerge w:val="continue"/>
            <w:tcBorders>
              <w:top w:val="single" w:color="4BACC6" w:sz="4" w:space="0"/>
              <w:left w:val="single" w:color="4BACC6" w:sz="4" w:space="0"/>
              <w:bottom w:val="single" w:color="4BACC6" w:sz="4" w:space="0"/>
              <w:right w:val="single" w:color="4BACC6" w:sz="4" w:space="0"/>
            </w:tcBorders>
            <w:shd w:val="clear" w:color="auto" w:fill="D9D9D9"/>
            <w:vAlign w:val="center"/>
          </w:tcPr>
          <w:p>
            <w:pPr>
              <w:widowControl/>
              <w:spacing w:line="360" w:lineRule="auto"/>
              <w:jc w:val="left"/>
              <w:rPr>
                <w:rFonts w:ascii="Times New Roman" w:hAnsi="Times New Roman"/>
                <w:b w:val="0"/>
                <w:bCs/>
                <w:color w:val="auto"/>
                <w:sz w:val="21"/>
                <w:szCs w:val="21"/>
              </w:rPr>
            </w:pPr>
          </w:p>
        </w:tc>
        <w:tc>
          <w:tcPr>
            <w:tcW w:w="763" w:type="dxa"/>
            <w:vMerge w:val="continue"/>
            <w:tcBorders>
              <w:top w:val="single" w:color="4BACC6" w:sz="4" w:space="0"/>
              <w:left w:val="single" w:color="4BACC6" w:sz="4" w:space="0"/>
              <w:bottom w:val="single" w:color="4BACC6" w:sz="4" w:space="0"/>
              <w:right w:val="single" w:color="4BACC6" w:sz="4" w:space="0"/>
            </w:tcBorders>
            <w:shd w:val="clear" w:color="auto" w:fill="D9D9D9"/>
            <w:vAlign w:val="center"/>
          </w:tcPr>
          <w:p>
            <w:pPr>
              <w:widowControl/>
              <w:spacing w:line="360" w:lineRule="auto"/>
              <w:jc w:val="left"/>
              <w:rPr>
                <w:rFonts w:ascii="Times New Roman" w:hAnsi="Times New Roman"/>
                <w:b w:val="0"/>
                <w:bCs/>
                <w:color w:val="auto"/>
                <w:sz w:val="21"/>
                <w:szCs w:val="21"/>
              </w:rPr>
            </w:pPr>
          </w:p>
        </w:tc>
        <w:tc>
          <w:tcPr>
            <w:tcW w:w="796" w:type="dxa"/>
            <w:vMerge w:val="continue"/>
            <w:tcBorders>
              <w:top w:val="single" w:color="4BACC6" w:sz="4" w:space="0"/>
              <w:left w:val="single" w:color="4BACC6" w:sz="4" w:space="0"/>
              <w:bottom w:val="single" w:color="4BACC6" w:sz="4" w:space="0"/>
              <w:right w:val="single" w:color="4BACC6" w:sz="4" w:space="0"/>
            </w:tcBorders>
            <w:shd w:val="clear" w:color="auto" w:fill="D9D9D9"/>
            <w:vAlign w:val="center"/>
          </w:tcPr>
          <w:p>
            <w:pPr>
              <w:widowControl/>
              <w:spacing w:line="360" w:lineRule="auto"/>
              <w:jc w:val="left"/>
              <w:rPr>
                <w:rFonts w:ascii="Times New Roman" w:hAnsi="Times New Roman"/>
                <w:b w:val="0"/>
                <w:bCs/>
                <w:color w:val="auto"/>
                <w:sz w:val="21"/>
                <w:szCs w:val="21"/>
              </w:rPr>
            </w:pPr>
          </w:p>
        </w:tc>
        <w:tc>
          <w:tcPr>
            <w:tcW w:w="719" w:type="dxa"/>
            <w:vMerge w:val="continue"/>
            <w:tcBorders>
              <w:top w:val="single" w:color="4BACC6" w:sz="4" w:space="0"/>
              <w:left w:val="single" w:color="4BACC6" w:sz="4" w:space="0"/>
              <w:bottom w:val="single" w:color="4BACC6" w:sz="4" w:space="0"/>
              <w:right w:val="single" w:color="4BACC6" w:sz="4" w:space="0"/>
            </w:tcBorders>
            <w:shd w:val="clear" w:color="auto" w:fill="D9D9D9"/>
            <w:vAlign w:val="center"/>
          </w:tcPr>
          <w:p>
            <w:pPr>
              <w:widowControl/>
              <w:spacing w:line="360" w:lineRule="auto"/>
              <w:jc w:val="left"/>
              <w:rPr>
                <w:rFonts w:ascii="Times New Roman" w:hAnsi="Times New Roman"/>
                <w:b w:val="0"/>
                <w:bCs/>
                <w:color w:val="auto"/>
                <w:sz w:val="21"/>
                <w:szCs w:val="21"/>
              </w:rPr>
            </w:pPr>
          </w:p>
        </w:tc>
        <w:tc>
          <w:tcPr>
            <w:tcW w:w="758" w:type="dxa"/>
            <w:vMerge w:val="continue"/>
            <w:tcBorders>
              <w:top w:val="single" w:color="4BACC6" w:sz="4" w:space="0"/>
              <w:left w:val="single" w:color="4BACC6" w:sz="4" w:space="0"/>
              <w:bottom w:val="single" w:color="4BACC6" w:sz="4" w:space="0"/>
              <w:right w:val="single" w:color="4BACC6" w:sz="4" w:space="0"/>
            </w:tcBorders>
            <w:shd w:val="clear" w:color="auto" w:fill="D9D9D9"/>
            <w:vAlign w:val="center"/>
          </w:tcPr>
          <w:p>
            <w:pPr>
              <w:widowControl/>
              <w:spacing w:line="360" w:lineRule="auto"/>
              <w:jc w:val="left"/>
              <w:rPr>
                <w:rFonts w:ascii="Times New Roman" w:hAnsi="Times New Roman"/>
                <w:b w:val="0"/>
                <w:bCs/>
                <w:color w:val="auto"/>
                <w:sz w:val="21"/>
                <w:szCs w:val="21"/>
              </w:rPr>
            </w:pPr>
          </w:p>
        </w:tc>
        <w:tc>
          <w:tcPr>
            <w:tcW w:w="757" w:type="dxa"/>
            <w:tcBorders>
              <w:top w:val="single" w:color="4BACC6" w:sz="4" w:space="0"/>
              <w:left w:val="single" w:color="4BACC6" w:sz="4" w:space="0"/>
              <w:bottom w:val="single" w:color="4BACC6" w:sz="4" w:space="0"/>
              <w:right w:val="single" w:color="4BACC6" w:sz="4" w:space="0"/>
            </w:tcBorders>
            <w:shd w:val="clear" w:color="auto" w:fill="D9D9D9"/>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直埋</w:t>
            </w:r>
          </w:p>
        </w:tc>
        <w:tc>
          <w:tcPr>
            <w:tcW w:w="882" w:type="dxa"/>
            <w:tcBorders>
              <w:top w:val="single" w:color="4BACC6" w:sz="4" w:space="0"/>
              <w:left w:val="single" w:color="4BACC6" w:sz="4" w:space="0"/>
              <w:bottom w:val="single" w:color="4BACC6" w:sz="4" w:space="0"/>
              <w:right w:val="single" w:color="4BACC6" w:sz="4" w:space="0"/>
            </w:tcBorders>
            <w:shd w:val="clear" w:color="auto" w:fill="D9D9D9"/>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保护管及通道</w:t>
            </w:r>
          </w:p>
        </w:tc>
        <w:tc>
          <w:tcPr>
            <w:tcW w:w="758" w:type="dxa"/>
            <w:tcBorders>
              <w:top w:val="single" w:color="4BACC6" w:sz="4" w:space="0"/>
              <w:left w:val="single" w:color="4BACC6" w:sz="4" w:space="0"/>
              <w:bottom w:val="single" w:color="4BACC6" w:sz="4" w:space="0"/>
              <w:right w:val="single" w:color="4BACC6" w:sz="4" w:space="0"/>
            </w:tcBorders>
            <w:shd w:val="clear" w:color="auto" w:fill="D9D9D9"/>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直埋</w:t>
            </w:r>
          </w:p>
        </w:tc>
        <w:tc>
          <w:tcPr>
            <w:tcW w:w="757" w:type="dxa"/>
            <w:tcBorders>
              <w:top w:val="single" w:color="4BACC6" w:sz="4" w:space="0"/>
              <w:left w:val="single" w:color="4BACC6" w:sz="4" w:space="0"/>
              <w:bottom w:val="single" w:color="4BACC6" w:sz="4" w:space="0"/>
              <w:right w:val="single" w:color="4BACC6" w:sz="4" w:space="0"/>
            </w:tcBorders>
            <w:shd w:val="clear" w:color="auto" w:fill="D9D9D9"/>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保护管</w:t>
            </w:r>
          </w:p>
        </w:tc>
        <w:tc>
          <w:tcPr>
            <w:tcW w:w="758" w:type="dxa"/>
            <w:vMerge w:val="continue"/>
            <w:tcBorders>
              <w:top w:val="single" w:color="4BACC6" w:sz="4" w:space="0"/>
              <w:left w:val="single" w:color="4BACC6" w:sz="4" w:space="0"/>
              <w:bottom w:val="single" w:color="4BACC6" w:sz="4" w:space="0"/>
              <w:right w:val="single" w:color="4BACC6" w:sz="4" w:space="0"/>
            </w:tcBorders>
            <w:shd w:val="clear" w:color="auto" w:fill="BFBFBF"/>
            <w:vAlign w:val="center"/>
          </w:tcPr>
          <w:p>
            <w:pPr>
              <w:widowControl/>
              <w:spacing w:line="360" w:lineRule="auto"/>
              <w:jc w:val="left"/>
              <w:rPr>
                <w:rFonts w:ascii="Times New Roman" w:hAnsi="Times New Roman"/>
                <w:b w:val="0"/>
                <w:bCs/>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1942" w:type="dxa"/>
            <w:gridSpan w:val="2"/>
            <w:tcBorders>
              <w:top w:val="single" w:color="4BACC6" w:sz="4" w:space="0"/>
              <w:left w:val="single" w:color="4BACC6" w:sz="4" w:space="0"/>
              <w:bottom w:val="single" w:color="4BACC6" w:sz="4" w:space="0"/>
              <w:right w:val="single" w:color="4BACC6" w:sz="4" w:space="0"/>
            </w:tcBorders>
            <w:shd w:val="clear" w:color="auto" w:fill="D9D9D9"/>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给水管线</w:t>
            </w:r>
          </w:p>
        </w:tc>
        <w:tc>
          <w:tcPr>
            <w:tcW w:w="763"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c>
          <w:tcPr>
            <w:tcW w:w="796"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c>
          <w:tcPr>
            <w:tcW w:w="719"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c>
          <w:tcPr>
            <w:tcW w:w="757"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c>
          <w:tcPr>
            <w:tcW w:w="882"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c>
          <w:tcPr>
            <w:tcW w:w="757"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1942" w:type="dxa"/>
            <w:gridSpan w:val="2"/>
            <w:tcBorders>
              <w:top w:val="single" w:color="4BACC6" w:sz="4" w:space="0"/>
              <w:left w:val="single" w:color="4BACC6" w:sz="4" w:space="0"/>
              <w:bottom w:val="single" w:color="4BACC6" w:sz="4" w:space="0"/>
              <w:right w:val="single" w:color="4BACC6" w:sz="4" w:space="0"/>
            </w:tcBorders>
            <w:shd w:val="clear" w:color="auto" w:fill="D9D9D9"/>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污水、雨水管线</w:t>
            </w:r>
          </w:p>
        </w:tc>
        <w:tc>
          <w:tcPr>
            <w:tcW w:w="763"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0.40</w:t>
            </w:r>
          </w:p>
        </w:tc>
        <w:tc>
          <w:tcPr>
            <w:tcW w:w="796"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c>
          <w:tcPr>
            <w:tcW w:w="719"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c>
          <w:tcPr>
            <w:tcW w:w="757"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c>
          <w:tcPr>
            <w:tcW w:w="882"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c>
          <w:tcPr>
            <w:tcW w:w="757"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1942" w:type="dxa"/>
            <w:gridSpan w:val="2"/>
            <w:tcBorders>
              <w:top w:val="single" w:color="4BACC6" w:sz="4" w:space="0"/>
              <w:left w:val="single" w:color="4BACC6" w:sz="4" w:space="0"/>
              <w:bottom w:val="single" w:color="4BACC6" w:sz="4" w:space="0"/>
              <w:right w:val="single" w:color="4BACC6" w:sz="4" w:space="0"/>
            </w:tcBorders>
            <w:shd w:val="clear" w:color="auto" w:fill="D9D9D9"/>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热力管线</w:t>
            </w:r>
          </w:p>
        </w:tc>
        <w:tc>
          <w:tcPr>
            <w:tcW w:w="763"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c>
          <w:tcPr>
            <w:tcW w:w="796"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c>
          <w:tcPr>
            <w:tcW w:w="719"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c>
          <w:tcPr>
            <w:tcW w:w="757"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c>
          <w:tcPr>
            <w:tcW w:w="882"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c>
          <w:tcPr>
            <w:tcW w:w="757"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1942" w:type="dxa"/>
            <w:gridSpan w:val="2"/>
            <w:tcBorders>
              <w:top w:val="single" w:color="4BACC6" w:sz="4" w:space="0"/>
              <w:left w:val="single" w:color="4BACC6" w:sz="4" w:space="0"/>
              <w:bottom w:val="single" w:color="4BACC6" w:sz="4" w:space="0"/>
              <w:right w:val="single" w:color="4BACC6" w:sz="4" w:space="0"/>
            </w:tcBorders>
            <w:shd w:val="clear" w:color="auto" w:fill="D9D9D9"/>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燃气管线</w:t>
            </w:r>
          </w:p>
        </w:tc>
        <w:tc>
          <w:tcPr>
            <w:tcW w:w="763"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c>
          <w:tcPr>
            <w:tcW w:w="796"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c>
          <w:tcPr>
            <w:tcW w:w="719"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c>
          <w:tcPr>
            <w:tcW w:w="757"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c>
          <w:tcPr>
            <w:tcW w:w="882"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c>
          <w:tcPr>
            <w:tcW w:w="757"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939" w:type="dxa"/>
            <w:vMerge w:val="restart"/>
            <w:tcBorders>
              <w:top w:val="single" w:color="4BACC6" w:sz="4" w:space="0"/>
              <w:left w:val="single" w:color="4BACC6" w:sz="4" w:space="0"/>
              <w:bottom w:val="single" w:color="4BACC6" w:sz="4" w:space="0"/>
              <w:right w:val="single" w:color="4BACC6" w:sz="4" w:space="0"/>
            </w:tcBorders>
            <w:shd w:val="clear" w:color="auto" w:fill="D9D9D9"/>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通信管线</w:t>
            </w:r>
          </w:p>
        </w:tc>
        <w:tc>
          <w:tcPr>
            <w:tcW w:w="1003" w:type="dxa"/>
            <w:tcBorders>
              <w:top w:val="single" w:color="4BACC6" w:sz="4" w:space="0"/>
              <w:left w:val="single" w:color="4BACC6" w:sz="4" w:space="0"/>
              <w:bottom w:val="single" w:color="4BACC6" w:sz="4" w:space="0"/>
              <w:right w:val="single" w:color="4BACC6" w:sz="4" w:space="0"/>
            </w:tcBorders>
            <w:shd w:val="clear" w:color="auto" w:fill="D9D9D9"/>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直埋</w:t>
            </w:r>
          </w:p>
        </w:tc>
        <w:tc>
          <w:tcPr>
            <w:tcW w:w="763"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0.50</w:t>
            </w:r>
          </w:p>
        </w:tc>
        <w:tc>
          <w:tcPr>
            <w:tcW w:w="796"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0.50</w:t>
            </w:r>
          </w:p>
        </w:tc>
        <w:tc>
          <w:tcPr>
            <w:tcW w:w="719"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0.25</w:t>
            </w: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0.50</w:t>
            </w:r>
          </w:p>
        </w:tc>
        <w:tc>
          <w:tcPr>
            <w:tcW w:w="757"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0.25</w:t>
            </w:r>
          </w:p>
        </w:tc>
        <w:tc>
          <w:tcPr>
            <w:tcW w:w="882"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0.25</w:t>
            </w: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c>
          <w:tcPr>
            <w:tcW w:w="757"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jc w:val="center"/>
        </w:trPr>
        <w:tc>
          <w:tcPr>
            <w:tcW w:w="939" w:type="dxa"/>
            <w:vMerge w:val="continue"/>
            <w:tcBorders>
              <w:top w:val="single" w:color="4BACC6" w:sz="4" w:space="0"/>
              <w:left w:val="single" w:color="4BACC6" w:sz="4" w:space="0"/>
              <w:bottom w:val="single" w:color="4BACC6" w:sz="4" w:space="0"/>
              <w:right w:val="single" w:color="4BACC6" w:sz="4" w:space="0"/>
            </w:tcBorders>
            <w:shd w:val="clear" w:color="auto" w:fill="D9D9D9"/>
            <w:vAlign w:val="center"/>
          </w:tcPr>
          <w:p>
            <w:pPr>
              <w:widowControl/>
              <w:spacing w:line="360" w:lineRule="auto"/>
              <w:jc w:val="left"/>
              <w:rPr>
                <w:rFonts w:ascii="Times New Roman" w:hAnsi="Times New Roman"/>
                <w:b w:val="0"/>
                <w:bCs/>
                <w:color w:val="auto"/>
                <w:sz w:val="21"/>
                <w:szCs w:val="21"/>
              </w:rPr>
            </w:pPr>
          </w:p>
        </w:tc>
        <w:tc>
          <w:tcPr>
            <w:tcW w:w="1003" w:type="dxa"/>
            <w:tcBorders>
              <w:top w:val="single" w:color="4BACC6" w:sz="4" w:space="0"/>
              <w:left w:val="single" w:color="4BACC6" w:sz="4" w:space="0"/>
              <w:bottom w:val="single" w:color="4BACC6" w:sz="4" w:space="0"/>
              <w:right w:val="single" w:color="4BACC6" w:sz="4" w:space="0"/>
            </w:tcBorders>
            <w:shd w:val="clear" w:color="auto" w:fill="D9D9D9"/>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保护管及通道</w:t>
            </w:r>
          </w:p>
        </w:tc>
        <w:tc>
          <w:tcPr>
            <w:tcW w:w="763"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c>
          <w:tcPr>
            <w:tcW w:w="796"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c>
          <w:tcPr>
            <w:tcW w:w="719"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0.25</w:t>
            </w: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c>
          <w:tcPr>
            <w:tcW w:w="757"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0.25</w:t>
            </w:r>
          </w:p>
        </w:tc>
        <w:tc>
          <w:tcPr>
            <w:tcW w:w="882"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0.25</w:t>
            </w: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c>
          <w:tcPr>
            <w:tcW w:w="757"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939" w:type="dxa"/>
            <w:vMerge w:val="restart"/>
            <w:tcBorders>
              <w:top w:val="single" w:color="4BACC6" w:sz="4" w:space="0"/>
              <w:left w:val="single" w:color="4BACC6" w:sz="4" w:space="0"/>
              <w:bottom w:val="single" w:color="4BACC6" w:sz="4" w:space="0"/>
              <w:right w:val="single" w:color="4BACC6" w:sz="4" w:space="0"/>
            </w:tcBorders>
            <w:shd w:val="clear" w:color="auto" w:fill="D9D9D9"/>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电力管线</w:t>
            </w:r>
          </w:p>
        </w:tc>
        <w:tc>
          <w:tcPr>
            <w:tcW w:w="1003" w:type="dxa"/>
            <w:tcBorders>
              <w:top w:val="single" w:color="4BACC6" w:sz="4" w:space="0"/>
              <w:left w:val="single" w:color="4BACC6" w:sz="4" w:space="0"/>
              <w:bottom w:val="single" w:color="4BACC6" w:sz="4" w:space="0"/>
              <w:right w:val="single" w:color="4BACC6" w:sz="4" w:space="0"/>
            </w:tcBorders>
            <w:shd w:val="clear" w:color="auto" w:fill="D9D9D9"/>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直埋</w:t>
            </w:r>
          </w:p>
        </w:tc>
        <w:tc>
          <w:tcPr>
            <w:tcW w:w="763"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0.50</w:t>
            </w:r>
          </w:p>
        </w:tc>
        <w:tc>
          <w:tcPr>
            <w:tcW w:w="796"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0.50</w:t>
            </w:r>
          </w:p>
        </w:tc>
        <w:tc>
          <w:tcPr>
            <w:tcW w:w="719"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0.50</w:t>
            </w: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0.50</w:t>
            </w:r>
          </w:p>
        </w:tc>
        <w:tc>
          <w:tcPr>
            <w:tcW w:w="757"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0.50</w:t>
            </w:r>
          </w:p>
        </w:tc>
        <w:tc>
          <w:tcPr>
            <w:tcW w:w="882"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0.50</w:t>
            </w: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0.50</w:t>
            </w:r>
          </w:p>
        </w:tc>
        <w:tc>
          <w:tcPr>
            <w:tcW w:w="757"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0.25</w:t>
            </w: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939" w:type="dxa"/>
            <w:vMerge w:val="continue"/>
            <w:tcBorders>
              <w:top w:val="single" w:color="4BACC6" w:sz="4" w:space="0"/>
              <w:left w:val="single" w:color="4BACC6" w:sz="4" w:space="0"/>
              <w:bottom w:val="single" w:color="4BACC6" w:sz="4" w:space="0"/>
              <w:right w:val="single" w:color="4BACC6" w:sz="4" w:space="0"/>
            </w:tcBorders>
            <w:shd w:val="clear" w:color="auto" w:fill="D9D9D9"/>
            <w:vAlign w:val="center"/>
          </w:tcPr>
          <w:p>
            <w:pPr>
              <w:widowControl/>
              <w:spacing w:line="360" w:lineRule="auto"/>
              <w:jc w:val="left"/>
              <w:rPr>
                <w:rFonts w:ascii="Times New Roman" w:hAnsi="Times New Roman"/>
                <w:b w:val="0"/>
                <w:bCs/>
                <w:color w:val="auto"/>
                <w:sz w:val="21"/>
                <w:szCs w:val="21"/>
              </w:rPr>
            </w:pPr>
          </w:p>
        </w:tc>
        <w:tc>
          <w:tcPr>
            <w:tcW w:w="1003" w:type="dxa"/>
            <w:tcBorders>
              <w:top w:val="single" w:color="4BACC6" w:sz="4" w:space="0"/>
              <w:left w:val="single" w:color="4BACC6" w:sz="4" w:space="0"/>
              <w:bottom w:val="single" w:color="4BACC6" w:sz="4" w:space="0"/>
              <w:right w:val="single" w:color="4BACC6" w:sz="4" w:space="0"/>
            </w:tcBorders>
            <w:shd w:val="clear" w:color="auto" w:fill="D9D9D9"/>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保护管</w:t>
            </w:r>
          </w:p>
        </w:tc>
        <w:tc>
          <w:tcPr>
            <w:tcW w:w="763"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0.25</w:t>
            </w:r>
          </w:p>
        </w:tc>
        <w:tc>
          <w:tcPr>
            <w:tcW w:w="796"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0.25</w:t>
            </w:r>
          </w:p>
        </w:tc>
        <w:tc>
          <w:tcPr>
            <w:tcW w:w="719"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0.25</w:t>
            </w: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c>
          <w:tcPr>
            <w:tcW w:w="757"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0.25</w:t>
            </w:r>
          </w:p>
        </w:tc>
        <w:tc>
          <w:tcPr>
            <w:tcW w:w="882"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0.25</w:t>
            </w: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0.25</w:t>
            </w:r>
          </w:p>
        </w:tc>
        <w:tc>
          <w:tcPr>
            <w:tcW w:w="757"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0.25</w:t>
            </w: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1942" w:type="dxa"/>
            <w:gridSpan w:val="2"/>
            <w:tcBorders>
              <w:top w:val="single" w:color="4BACC6" w:sz="4" w:space="0"/>
              <w:left w:val="single" w:color="4BACC6" w:sz="4" w:space="0"/>
              <w:bottom w:val="single" w:color="4BACC6" w:sz="4" w:space="0"/>
              <w:right w:val="single" w:color="4BACC6" w:sz="4" w:space="0"/>
            </w:tcBorders>
            <w:shd w:val="clear" w:color="auto" w:fill="D9D9D9"/>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再生水管线</w:t>
            </w:r>
          </w:p>
        </w:tc>
        <w:tc>
          <w:tcPr>
            <w:tcW w:w="763"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0.50</w:t>
            </w:r>
          </w:p>
        </w:tc>
        <w:tc>
          <w:tcPr>
            <w:tcW w:w="796"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0.40</w:t>
            </w:r>
          </w:p>
        </w:tc>
        <w:tc>
          <w:tcPr>
            <w:tcW w:w="719"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c>
          <w:tcPr>
            <w:tcW w:w="757"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c>
          <w:tcPr>
            <w:tcW w:w="882"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0.50</w:t>
            </w:r>
          </w:p>
        </w:tc>
        <w:tc>
          <w:tcPr>
            <w:tcW w:w="757"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0.25</w:t>
            </w: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1942" w:type="dxa"/>
            <w:gridSpan w:val="2"/>
            <w:tcBorders>
              <w:top w:val="single" w:color="4BACC6" w:sz="4" w:space="0"/>
              <w:left w:val="single" w:color="4BACC6" w:sz="4" w:space="0"/>
              <w:bottom w:val="single" w:color="4BACC6" w:sz="4" w:space="0"/>
              <w:right w:val="single" w:color="4BACC6" w:sz="4" w:space="0"/>
            </w:tcBorders>
            <w:shd w:val="clear" w:color="auto" w:fill="D9D9D9"/>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管沟</w:t>
            </w:r>
          </w:p>
        </w:tc>
        <w:tc>
          <w:tcPr>
            <w:tcW w:w="763"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c>
          <w:tcPr>
            <w:tcW w:w="796"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c>
          <w:tcPr>
            <w:tcW w:w="719"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c>
          <w:tcPr>
            <w:tcW w:w="757"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0.25</w:t>
            </w:r>
          </w:p>
        </w:tc>
        <w:tc>
          <w:tcPr>
            <w:tcW w:w="882"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0.25</w:t>
            </w: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0.50</w:t>
            </w:r>
          </w:p>
        </w:tc>
        <w:tc>
          <w:tcPr>
            <w:tcW w:w="757"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0.25</w:t>
            </w: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1942" w:type="dxa"/>
            <w:gridSpan w:val="2"/>
            <w:tcBorders>
              <w:top w:val="single" w:color="4BACC6" w:sz="4" w:space="0"/>
              <w:left w:val="single" w:color="4BACC6" w:sz="4" w:space="0"/>
              <w:bottom w:val="single" w:color="4BACC6" w:sz="4" w:space="0"/>
              <w:right w:val="single" w:color="4BACC6" w:sz="4" w:space="0"/>
            </w:tcBorders>
            <w:shd w:val="clear" w:color="auto" w:fill="D9D9D9"/>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涵洞（基底）</w:t>
            </w:r>
          </w:p>
        </w:tc>
        <w:tc>
          <w:tcPr>
            <w:tcW w:w="763"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c>
          <w:tcPr>
            <w:tcW w:w="796"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c>
          <w:tcPr>
            <w:tcW w:w="719"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c>
          <w:tcPr>
            <w:tcW w:w="757"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0.25</w:t>
            </w:r>
          </w:p>
        </w:tc>
        <w:tc>
          <w:tcPr>
            <w:tcW w:w="882"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0.25</w:t>
            </w: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0.50</w:t>
            </w:r>
          </w:p>
        </w:tc>
        <w:tc>
          <w:tcPr>
            <w:tcW w:w="757"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0.25</w:t>
            </w: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1942" w:type="dxa"/>
            <w:gridSpan w:val="2"/>
            <w:tcBorders>
              <w:top w:val="single" w:color="4BACC6" w:sz="4" w:space="0"/>
              <w:left w:val="single" w:color="4BACC6" w:sz="4" w:space="0"/>
              <w:bottom w:val="single" w:color="4BACC6" w:sz="4" w:space="0"/>
              <w:right w:val="single" w:color="4BACC6" w:sz="4" w:space="0"/>
            </w:tcBorders>
            <w:shd w:val="clear" w:color="auto" w:fill="D9D9D9"/>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电车（轨底）</w:t>
            </w:r>
          </w:p>
        </w:tc>
        <w:tc>
          <w:tcPr>
            <w:tcW w:w="763"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1.00</w:t>
            </w:r>
          </w:p>
        </w:tc>
        <w:tc>
          <w:tcPr>
            <w:tcW w:w="796"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1.00</w:t>
            </w:r>
          </w:p>
        </w:tc>
        <w:tc>
          <w:tcPr>
            <w:tcW w:w="719"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1.00</w:t>
            </w: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1.00</w:t>
            </w:r>
          </w:p>
        </w:tc>
        <w:tc>
          <w:tcPr>
            <w:tcW w:w="757"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1.00</w:t>
            </w:r>
          </w:p>
        </w:tc>
        <w:tc>
          <w:tcPr>
            <w:tcW w:w="882"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1.00</w:t>
            </w: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1.00</w:t>
            </w:r>
          </w:p>
        </w:tc>
        <w:tc>
          <w:tcPr>
            <w:tcW w:w="757"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1.00</w:t>
            </w: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1942" w:type="dxa"/>
            <w:gridSpan w:val="2"/>
            <w:tcBorders>
              <w:top w:val="single" w:color="4BACC6" w:sz="4" w:space="0"/>
              <w:left w:val="single" w:color="4BACC6" w:sz="4" w:space="0"/>
              <w:bottom w:val="single" w:color="4BACC6" w:sz="4" w:space="0"/>
              <w:right w:val="single" w:color="4BACC6" w:sz="4" w:space="0"/>
            </w:tcBorders>
            <w:shd w:val="clear" w:color="auto" w:fill="D9D9D9"/>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铁路（轨底）</w:t>
            </w:r>
          </w:p>
        </w:tc>
        <w:tc>
          <w:tcPr>
            <w:tcW w:w="763"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1.00</w:t>
            </w:r>
          </w:p>
        </w:tc>
        <w:tc>
          <w:tcPr>
            <w:tcW w:w="796"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1.20</w:t>
            </w:r>
          </w:p>
        </w:tc>
        <w:tc>
          <w:tcPr>
            <w:tcW w:w="719"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1.20</w:t>
            </w: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1.20</w:t>
            </w:r>
          </w:p>
        </w:tc>
        <w:tc>
          <w:tcPr>
            <w:tcW w:w="757"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1.50</w:t>
            </w:r>
          </w:p>
        </w:tc>
        <w:tc>
          <w:tcPr>
            <w:tcW w:w="882"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1.50</w:t>
            </w: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1.00</w:t>
            </w:r>
          </w:p>
        </w:tc>
        <w:tc>
          <w:tcPr>
            <w:tcW w:w="757"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1.00</w:t>
            </w:r>
          </w:p>
        </w:tc>
        <w:tc>
          <w:tcPr>
            <w:tcW w:w="758" w:type="dxa"/>
            <w:tcBorders>
              <w:top w:val="single" w:color="4BACC6" w:sz="4" w:space="0"/>
              <w:left w:val="single" w:color="4BACC6" w:sz="4" w:space="0"/>
              <w:bottom w:val="single" w:color="4BACC6" w:sz="4" w:space="0"/>
              <w:right w:val="single" w:color="4BACC6" w:sz="4" w:space="0"/>
            </w:tcBorders>
            <w:shd w:val="clear" w:color="auto" w:fill="B6DDE8"/>
            <w:noWrap/>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1.00</w:t>
            </w:r>
          </w:p>
        </w:tc>
      </w:tr>
    </w:tbl>
    <w:p>
      <w:pPr>
        <w:pStyle w:val="5"/>
        <w:ind w:firstLine="482" w:firstLineChars="200"/>
        <w:rPr>
          <w:rFonts w:ascii="Times New Roman" w:hAnsi="Times New Roman"/>
        </w:rPr>
      </w:pPr>
      <w:r>
        <w:rPr>
          <w:rFonts w:ascii="Times New Roman" w:hAnsi="Times New Roman"/>
        </w:rPr>
        <w:t>各工程管线与建（构）筑物之间净距要求</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应考虑不影响建筑物安全和防止管线受腐蚀、沉陷、震动及重压。各种工程管线与建筑物和构筑物之间的最小水平间距，应符合下表规定：</w:t>
      </w:r>
    </w:p>
    <w:p>
      <w:pPr>
        <w:spacing w:line="288" w:lineRule="auto"/>
        <w:ind w:firstLine="482" w:firstLineChars="200"/>
        <w:jc w:val="center"/>
        <w:rPr>
          <w:rFonts w:ascii="Times New Roman" w:hAnsi="Times New Roman"/>
          <w:color w:val="auto"/>
          <w:sz w:val="24"/>
        </w:rPr>
      </w:pPr>
      <w:r>
        <w:rPr>
          <w:rFonts w:ascii="Times New Roman" w:hAnsi="Times New Roman"/>
          <w:color w:val="auto"/>
          <w:sz w:val="24"/>
        </w:rPr>
        <w:t>5.6-3工程管线与建、构物之间的最小水平间距（m）</w:t>
      </w:r>
    </w:p>
    <w:p>
      <w:pPr>
        <w:spacing w:line="288" w:lineRule="auto"/>
        <w:ind w:firstLine="482" w:firstLineChars="200"/>
        <w:jc w:val="center"/>
        <w:rPr>
          <w:rFonts w:ascii="Times New Roman" w:hAnsi="Times New Roman"/>
          <w:color w:val="auto"/>
          <w:sz w:val="24"/>
        </w:rPr>
      </w:pPr>
      <w:r>
        <w:rPr>
          <w:rFonts w:ascii="Times New Roman" w:hAnsi="Times New Roman"/>
          <w:color w:val="auto"/>
          <w:sz w:val="24"/>
        </w:rPr>
        <w:drawing>
          <wp:inline distT="0" distB="0" distL="0" distR="0">
            <wp:extent cx="6201410" cy="4934585"/>
            <wp:effectExtent l="0" t="0" r="8890" b="18415"/>
            <wp:docPr id="2" name="图片 2" descr="C:\Users\Administrator\Documents\WeChat Files\huangsijin930550\FileStorage\Temp\1692261074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dministrator\Documents\WeChat Files\huangsijin930550\FileStorage\Temp\1692261074116.pn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a:xfrm>
                      <a:off x="0" y="0"/>
                      <a:ext cx="6201410" cy="4934837"/>
                    </a:xfrm>
                    <a:prstGeom prst="rect">
                      <a:avLst/>
                    </a:prstGeom>
                    <a:noFill/>
                    <a:ln>
                      <a:noFill/>
                    </a:ln>
                  </pic:spPr>
                </pic:pic>
              </a:graphicData>
            </a:graphic>
          </wp:inline>
        </w:drawing>
      </w:r>
    </w:p>
    <w:p>
      <w:pPr>
        <w:pStyle w:val="5"/>
        <w:ind w:firstLine="482" w:firstLineChars="200"/>
        <w:rPr>
          <w:rFonts w:ascii="Times New Roman" w:hAnsi="Times New Roman"/>
        </w:rPr>
      </w:pPr>
      <w:bookmarkStart w:id="199" w:name="_Toc98235976"/>
      <w:r>
        <w:rPr>
          <w:rFonts w:ascii="Times New Roman" w:hAnsi="Times New Roman"/>
        </w:rPr>
        <w:t>工程管线与绿化树种间最小水平净距要求</w:t>
      </w:r>
      <w:bookmarkEnd w:id="199"/>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地下管线不宜横穿公共绿地和庭院绿地，与绿化树种间的最小水平净距，宜符合下表的规定。</w:t>
      </w:r>
    </w:p>
    <w:p>
      <w:pPr>
        <w:spacing w:line="288" w:lineRule="auto"/>
        <w:ind w:firstLine="482" w:firstLineChars="200"/>
        <w:jc w:val="center"/>
        <w:rPr>
          <w:rFonts w:ascii="Times New Roman" w:hAnsi="Times New Roman"/>
          <w:color w:val="auto"/>
          <w:sz w:val="24"/>
        </w:rPr>
      </w:pPr>
      <w:r>
        <w:rPr>
          <w:rFonts w:ascii="Times New Roman" w:hAnsi="Times New Roman"/>
          <w:color w:val="auto"/>
          <w:sz w:val="24"/>
        </w:rPr>
        <w:t>5.6-4工程管线与绿化树种间的最小水平净距（m）</w:t>
      </w:r>
    </w:p>
    <w:tbl>
      <w:tblPr>
        <w:tblStyle w:val="32"/>
        <w:tblW w:w="75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34"/>
        <w:gridCol w:w="1843"/>
        <w:gridCol w:w="2038"/>
        <w:gridCol w:w="18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exact"/>
          <w:tblHeader/>
          <w:jc w:val="center"/>
        </w:trPr>
        <w:tc>
          <w:tcPr>
            <w:tcW w:w="3677" w:type="dxa"/>
            <w:gridSpan w:val="2"/>
            <w:vMerge w:val="restart"/>
            <w:tcBorders>
              <w:top w:val="single" w:color="4BACC6" w:sz="4" w:space="0"/>
              <w:left w:val="single" w:color="4BACC6" w:sz="4" w:space="0"/>
              <w:bottom w:val="single" w:color="4BACC6" w:sz="4" w:space="0"/>
              <w:right w:val="single" w:color="4BACC6" w:sz="4" w:space="0"/>
            </w:tcBorders>
            <w:shd w:val="clear" w:color="auto" w:fill="D9D9D9"/>
            <w:vAlign w:val="center"/>
          </w:tcPr>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管线名称</w:t>
            </w:r>
          </w:p>
        </w:tc>
        <w:tc>
          <w:tcPr>
            <w:tcW w:w="3880" w:type="dxa"/>
            <w:gridSpan w:val="2"/>
            <w:tcBorders>
              <w:top w:val="single" w:color="4BACC6" w:sz="4" w:space="0"/>
              <w:left w:val="single" w:color="4BACC6" w:sz="4" w:space="0"/>
              <w:bottom w:val="single" w:color="4BACC6" w:sz="4" w:space="0"/>
              <w:right w:val="single" w:color="4BACC6" w:sz="4" w:space="0"/>
            </w:tcBorders>
            <w:shd w:val="clear" w:color="auto" w:fill="D9D9D9"/>
            <w:vAlign w:val="center"/>
          </w:tcPr>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最小水平净距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exact"/>
          <w:tblHeader/>
          <w:jc w:val="center"/>
        </w:trPr>
        <w:tc>
          <w:tcPr>
            <w:tcW w:w="3677" w:type="dxa"/>
            <w:gridSpan w:val="2"/>
            <w:vMerge w:val="continue"/>
            <w:tcBorders>
              <w:top w:val="single" w:color="4BACC6" w:sz="4" w:space="0"/>
              <w:left w:val="single" w:color="4BACC6" w:sz="4" w:space="0"/>
              <w:bottom w:val="single" w:color="4BACC6" w:sz="4" w:space="0"/>
              <w:right w:val="single" w:color="4BACC6" w:sz="4" w:space="0"/>
            </w:tcBorders>
            <w:shd w:val="clear" w:color="auto" w:fill="D9D9D9"/>
            <w:vAlign w:val="center"/>
          </w:tcPr>
          <w:p>
            <w:pPr>
              <w:spacing w:line="288" w:lineRule="auto"/>
              <w:ind w:firstLine="480" w:firstLineChars="200"/>
              <w:rPr>
                <w:rFonts w:ascii="Times New Roman" w:hAnsi="Times New Roman"/>
                <w:b w:val="0"/>
                <w:color w:val="auto"/>
                <w:sz w:val="24"/>
              </w:rPr>
            </w:pPr>
          </w:p>
        </w:tc>
        <w:tc>
          <w:tcPr>
            <w:tcW w:w="2038" w:type="dxa"/>
            <w:tcBorders>
              <w:top w:val="single" w:color="4BACC6" w:sz="4" w:space="0"/>
              <w:left w:val="single" w:color="4BACC6" w:sz="4" w:space="0"/>
              <w:bottom w:val="single" w:color="4BACC6" w:sz="4" w:space="0"/>
              <w:right w:val="single" w:color="4BACC6" w:sz="4" w:space="0"/>
            </w:tcBorders>
            <w:shd w:val="clear" w:color="auto" w:fill="D9D9D9"/>
            <w:vAlign w:val="center"/>
          </w:tcPr>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乔木(至中心)</w:t>
            </w:r>
          </w:p>
        </w:tc>
        <w:tc>
          <w:tcPr>
            <w:tcW w:w="1842" w:type="dxa"/>
            <w:tcBorders>
              <w:top w:val="single" w:color="4BACC6" w:sz="4" w:space="0"/>
              <w:left w:val="single" w:color="4BACC6" w:sz="4" w:space="0"/>
              <w:bottom w:val="single" w:color="4BACC6" w:sz="4" w:space="0"/>
              <w:right w:val="single" w:color="4BACC6" w:sz="4" w:space="0"/>
            </w:tcBorders>
            <w:shd w:val="clear" w:color="auto" w:fill="D9D9D9"/>
            <w:vAlign w:val="center"/>
          </w:tcPr>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灌木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exact"/>
          <w:jc w:val="center"/>
        </w:trPr>
        <w:tc>
          <w:tcPr>
            <w:tcW w:w="3677" w:type="dxa"/>
            <w:gridSpan w:val="2"/>
            <w:tcBorders>
              <w:top w:val="single" w:color="4BACC6" w:sz="4" w:space="0"/>
              <w:left w:val="single" w:color="4BACC6" w:sz="4" w:space="0"/>
              <w:bottom w:val="single" w:color="4BACC6" w:sz="4" w:space="0"/>
              <w:right w:val="single" w:color="4BACC6" w:sz="4" w:space="0"/>
            </w:tcBorders>
            <w:shd w:val="clear" w:color="auto" w:fill="D9D9D9"/>
            <w:vAlign w:val="center"/>
          </w:tcPr>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给水管线</w:t>
            </w:r>
          </w:p>
        </w:tc>
        <w:tc>
          <w:tcPr>
            <w:tcW w:w="2038" w:type="dxa"/>
            <w:tcBorders>
              <w:top w:val="single" w:color="4BACC6" w:sz="4" w:space="0"/>
              <w:left w:val="single" w:color="4BACC6" w:sz="4" w:space="0"/>
              <w:bottom w:val="single" w:color="4BACC6" w:sz="4" w:space="0"/>
              <w:right w:val="single" w:color="4BACC6" w:sz="4" w:space="0"/>
            </w:tcBorders>
            <w:shd w:val="clear" w:color="auto" w:fill="B6DDE8"/>
            <w:vAlign w:val="center"/>
          </w:tcPr>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1.5</w:t>
            </w:r>
          </w:p>
        </w:tc>
        <w:tc>
          <w:tcPr>
            <w:tcW w:w="1842" w:type="dxa"/>
            <w:tcBorders>
              <w:top w:val="single" w:color="4BACC6" w:sz="4" w:space="0"/>
              <w:left w:val="single" w:color="4BACC6" w:sz="4" w:space="0"/>
              <w:bottom w:val="single" w:color="4BACC6" w:sz="4" w:space="0"/>
              <w:right w:val="single" w:color="4BACC6" w:sz="4" w:space="0"/>
            </w:tcBorders>
            <w:shd w:val="clear" w:color="auto" w:fill="B6DDE8"/>
            <w:vAlign w:val="center"/>
          </w:tcPr>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exact"/>
          <w:jc w:val="center"/>
        </w:trPr>
        <w:tc>
          <w:tcPr>
            <w:tcW w:w="3677" w:type="dxa"/>
            <w:gridSpan w:val="2"/>
            <w:tcBorders>
              <w:top w:val="single" w:color="4BACC6" w:sz="4" w:space="0"/>
              <w:left w:val="single" w:color="4BACC6" w:sz="4" w:space="0"/>
              <w:bottom w:val="single" w:color="4BACC6" w:sz="4" w:space="0"/>
              <w:right w:val="single" w:color="4BACC6" w:sz="4" w:space="0"/>
            </w:tcBorders>
            <w:shd w:val="clear" w:color="auto" w:fill="D9D9D9"/>
            <w:vAlign w:val="center"/>
          </w:tcPr>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污水、雨水管线</w:t>
            </w:r>
          </w:p>
        </w:tc>
        <w:tc>
          <w:tcPr>
            <w:tcW w:w="2038" w:type="dxa"/>
            <w:tcBorders>
              <w:top w:val="single" w:color="4BACC6" w:sz="4" w:space="0"/>
              <w:left w:val="single" w:color="4BACC6" w:sz="4" w:space="0"/>
              <w:bottom w:val="single" w:color="4BACC6" w:sz="4" w:space="0"/>
              <w:right w:val="single" w:color="4BACC6" w:sz="4" w:space="0"/>
            </w:tcBorders>
            <w:shd w:val="clear" w:color="auto" w:fill="B6DDE8"/>
            <w:vAlign w:val="center"/>
          </w:tcPr>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1.5</w:t>
            </w:r>
          </w:p>
        </w:tc>
        <w:tc>
          <w:tcPr>
            <w:tcW w:w="1842" w:type="dxa"/>
            <w:tcBorders>
              <w:top w:val="single" w:color="4BACC6" w:sz="4" w:space="0"/>
              <w:left w:val="single" w:color="4BACC6" w:sz="4" w:space="0"/>
              <w:bottom w:val="single" w:color="4BACC6" w:sz="4" w:space="0"/>
              <w:right w:val="single" w:color="4BACC6" w:sz="4" w:space="0"/>
            </w:tcBorders>
            <w:shd w:val="clear" w:color="auto" w:fill="B6DDE8"/>
            <w:vAlign w:val="center"/>
          </w:tcPr>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exact"/>
          <w:jc w:val="center"/>
        </w:trPr>
        <w:tc>
          <w:tcPr>
            <w:tcW w:w="3677" w:type="dxa"/>
            <w:gridSpan w:val="2"/>
            <w:tcBorders>
              <w:top w:val="single" w:color="4BACC6" w:sz="4" w:space="0"/>
              <w:left w:val="single" w:color="4BACC6" w:sz="4" w:space="0"/>
              <w:bottom w:val="single" w:color="4BACC6" w:sz="4" w:space="0"/>
              <w:right w:val="single" w:color="4BACC6" w:sz="4" w:space="0"/>
            </w:tcBorders>
            <w:shd w:val="clear" w:color="auto" w:fill="D9D9D9"/>
            <w:vAlign w:val="center"/>
          </w:tcPr>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再生水管线</w:t>
            </w:r>
          </w:p>
        </w:tc>
        <w:tc>
          <w:tcPr>
            <w:tcW w:w="2038" w:type="dxa"/>
            <w:tcBorders>
              <w:top w:val="single" w:color="4BACC6" w:sz="4" w:space="0"/>
              <w:left w:val="single" w:color="4BACC6" w:sz="4" w:space="0"/>
              <w:bottom w:val="single" w:color="4BACC6" w:sz="4" w:space="0"/>
              <w:right w:val="single" w:color="4BACC6" w:sz="4" w:space="0"/>
            </w:tcBorders>
            <w:shd w:val="clear" w:color="auto" w:fill="B6DDE8"/>
            <w:vAlign w:val="center"/>
          </w:tcPr>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1.0</w:t>
            </w:r>
          </w:p>
        </w:tc>
        <w:tc>
          <w:tcPr>
            <w:tcW w:w="1842" w:type="dxa"/>
            <w:tcBorders>
              <w:top w:val="single" w:color="4BACC6" w:sz="4" w:space="0"/>
              <w:left w:val="single" w:color="4BACC6" w:sz="4" w:space="0"/>
              <w:bottom w:val="single" w:color="4BACC6" w:sz="4" w:space="0"/>
              <w:right w:val="single" w:color="4BACC6" w:sz="4" w:space="0"/>
            </w:tcBorders>
            <w:shd w:val="clear" w:color="auto" w:fill="B6DDE8"/>
            <w:vAlign w:val="center"/>
          </w:tcPr>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exact"/>
          <w:jc w:val="center"/>
        </w:trPr>
        <w:tc>
          <w:tcPr>
            <w:tcW w:w="1834" w:type="dxa"/>
            <w:vMerge w:val="restart"/>
            <w:tcBorders>
              <w:top w:val="single" w:color="4BACC6" w:sz="4" w:space="0"/>
              <w:left w:val="single" w:color="4BACC6" w:sz="4" w:space="0"/>
              <w:bottom w:val="single" w:color="4BACC6" w:sz="4" w:space="0"/>
              <w:right w:val="single" w:color="4BACC6" w:sz="4" w:space="0"/>
            </w:tcBorders>
            <w:shd w:val="clear" w:color="auto" w:fill="D9D9D9"/>
            <w:vAlign w:val="center"/>
          </w:tcPr>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燃气管线</w:t>
            </w:r>
          </w:p>
        </w:tc>
        <w:tc>
          <w:tcPr>
            <w:tcW w:w="1843" w:type="dxa"/>
            <w:tcBorders>
              <w:top w:val="single" w:color="4BACC6" w:sz="4" w:space="0"/>
              <w:left w:val="single" w:color="4BACC6" w:sz="4" w:space="0"/>
              <w:bottom w:val="single" w:color="4BACC6" w:sz="4" w:space="0"/>
              <w:right w:val="single" w:color="4BACC6" w:sz="4" w:space="0"/>
            </w:tcBorders>
            <w:shd w:val="clear" w:color="auto" w:fill="D9D9D9"/>
            <w:vAlign w:val="center"/>
          </w:tcPr>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低压/中压</w:t>
            </w:r>
          </w:p>
        </w:tc>
        <w:tc>
          <w:tcPr>
            <w:tcW w:w="2038" w:type="dxa"/>
            <w:tcBorders>
              <w:top w:val="single" w:color="4BACC6" w:sz="4" w:space="0"/>
              <w:left w:val="single" w:color="4BACC6" w:sz="4" w:space="0"/>
              <w:bottom w:val="single" w:color="4BACC6" w:sz="4" w:space="0"/>
              <w:right w:val="single" w:color="4BACC6" w:sz="4" w:space="0"/>
            </w:tcBorders>
            <w:shd w:val="clear" w:color="auto" w:fill="B6DDE8"/>
            <w:vAlign w:val="center"/>
          </w:tcPr>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0.75</w:t>
            </w:r>
          </w:p>
        </w:tc>
        <w:tc>
          <w:tcPr>
            <w:tcW w:w="1842" w:type="dxa"/>
            <w:tcBorders>
              <w:top w:val="single" w:color="4BACC6" w:sz="4" w:space="0"/>
              <w:left w:val="single" w:color="4BACC6" w:sz="4" w:space="0"/>
              <w:bottom w:val="single" w:color="4BACC6" w:sz="4" w:space="0"/>
              <w:right w:val="single" w:color="4BACC6" w:sz="4" w:space="0"/>
            </w:tcBorders>
            <w:shd w:val="clear" w:color="auto" w:fill="B6DDE8"/>
            <w:vAlign w:val="center"/>
          </w:tcPr>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exact"/>
          <w:jc w:val="center"/>
        </w:trPr>
        <w:tc>
          <w:tcPr>
            <w:tcW w:w="1834" w:type="dxa"/>
            <w:vMerge w:val="continue"/>
            <w:tcBorders>
              <w:top w:val="single" w:color="4BACC6" w:sz="4" w:space="0"/>
              <w:left w:val="single" w:color="4BACC6" w:sz="4" w:space="0"/>
              <w:bottom w:val="single" w:color="4BACC6" w:sz="4" w:space="0"/>
              <w:right w:val="single" w:color="4BACC6" w:sz="4" w:space="0"/>
            </w:tcBorders>
            <w:shd w:val="clear" w:color="auto" w:fill="D9D9D9"/>
            <w:vAlign w:val="center"/>
          </w:tcPr>
          <w:p>
            <w:pPr>
              <w:spacing w:line="288" w:lineRule="auto"/>
              <w:ind w:firstLine="480" w:firstLineChars="200"/>
              <w:rPr>
                <w:rFonts w:ascii="Times New Roman" w:hAnsi="Times New Roman"/>
                <w:b w:val="0"/>
                <w:color w:val="auto"/>
                <w:sz w:val="24"/>
              </w:rPr>
            </w:pPr>
          </w:p>
        </w:tc>
        <w:tc>
          <w:tcPr>
            <w:tcW w:w="1843" w:type="dxa"/>
            <w:tcBorders>
              <w:top w:val="single" w:color="4BACC6" w:sz="4" w:space="0"/>
              <w:left w:val="single" w:color="4BACC6" w:sz="4" w:space="0"/>
              <w:bottom w:val="single" w:color="4BACC6" w:sz="4" w:space="0"/>
              <w:right w:val="single" w:color="4BACC6" w:sz="4" w:space="0"/>
            </w:tcBorders>
            <w:shd w:val="clear" w:color="auto" w:fill="D9D9D9"/>
            <w:vAlign w:val="center"/>
          </w:tcPr>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次高压</w:t>
            </w:r>
          </w:p>
        </w:tc>
        <w:tc>
          <w:tcPr>
            <w:tcW w:w="2038" w:type="dxa"/>
            <w:tcBorders>
              <w:top w:val="single" w:color="4BACC6" w:sz="4" w:space="0"/>
              <w:left w:val="single" w:color="4BACC6" w:sz="4" w:space="0"/>
              <w:bottom w:val="single" w:color="4BACC6" w:sz="4" w:space="0"/>
              <w:right w:val="single" w:color="4BACC6" w:sz="4" w:space="0"/>
            </w:tcBorders>
            <w:shd w:val="clear" w:color="auto" w:fill="B6DDE8"/>
            <w:vAlign w:val="center"/>
          </w:tcPr>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1.2</w:t>
            </w:r>
          </w:p>
        </w:tc>
        <w:tc>
          <w:tcPr>
            <w:tcW w:w="1842" w:type="dxa"/>
            <w:tcBorders>
              <w:top w:val="single" w:color="4BACC6" w:sz="4" w:space="0"/>
              <w:left w:val="single" w:color="4BACC6" w:sz="4" w:space="0"/>
              <w:bottom w:val="single" w:color="4BACC6" w:sz="4" w:space="0"/>
              <w:right w:val="single" w:color="4BACC6" w:sz="4" w:space="0"/>
            </w:tcBorders>
            <w:shd w:val="clear" w:color="auto" w:fill="B6DDE8"/>
            <w:vAlign w:val="center"/>
          </w:tcPr>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exact"/>
          <w:jc w:val="center"/>
        </w:trPr>
        <w:tc>
          <w:tcPr>
            <w:tcW w:w="3677" w:type="dxa"/>
            <w:gridSpan w:val="2"/>
            <w:tcBorders>
              <w:top w:val="single" w:color="4BACC6" w:sz="4" w:space="0"/>
              <w:left w:val="single" w:color="4BACC6" w:sz="4" w:space="0"/>
              <w:bottom w:val="single" w:color="4BACC6" w:sz="4" w:space="0"/>
              <w:right w:val="single" w:color="4BACC6" w:sz="4" w:space="0"/>
            </w:tcBorders>
            <w:shd w:val="clear" w:color="auto" w:fill="D9D9D9"/>
            <w:vAlign w:val="center"/>
          </w:tcPr>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直埋热力管线</w:t>
            </w:r>
          </w:p>
        </w:tc>
        <w:tc>
          <w:tcPr>
            <w:tcW w:w="2038" w:type="dxa"/>
            <w:tcBorders>
              <w:top w:val="single" w:color="4BACC6" w:sz="4" w:space="0"/>
              <w:left w:val="single" w:color="4BACC6" w:sz="4" w:space="0"/>
              <w:bottom w:val="single" w:color="4BACC6" w:sz="4" w:space="0"/>
              <w:right w:val="single" w:color="4BACC6" w:sz="4" w:space="0"/>
            </w:tcBorders>
            <w:shd w:val="clear" w:color="auto" w:fill="B6DDE8"/>
            <w:vAlign w:val="center"/>
          </w:tcPr>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1.5</w:t>
            </w:r>
          </w:p>
        </w:tc>
        <w:tc>
          <w:tcPr>
            <w:tcW w:w="1842" w:type="dxa"/>
            <w:tcBorders>
              <w:top w:val="single" w:color="4BACC6" w:sz="4" w:space="0"/>
              <w:left w:val="single" w:color="4BACC6" w:sz="4" w:space="0"/>
              <w:bottom w:val="single" w:color="4BACC6" w:sz="4" w:space="0"/>
              <w:right w:val="single" w:color="4BACC6" w:sz="4" w:space="0"/>
            </w:tcBorders>
            <w:shd w:val="clear" w:color="auto" w:fill="B6DDE8"/>
            <w:vAlign w:val="center"/>
          </w:tcPr>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exact"/>
          <w:jc w:val="center"/>
        </w:trPr>
        <w:tc>
          <w:tcPr>
            <w:tcW w:w="1834" w:type="dxa"/>
            <w:vMerge w:val="restart"/>
            <w:tcBorders>
              <w:top w:val="single" w:color="4BACC6" w:sz="4" w:space="0"/>
              <w:left w:val="single" w:color="4BACC6" w:sz="4" w:space="0"/>
              <w:bottom w:val="single" w:color="4BACC6" w:sz="4" w:space="0"/>
              <w:right w:val="single" w:color="4BACC6" w:sz="4" w:space="0"/>
            </w:tcBorders>
            <w:shd w:val="clear" w:color="auto" w:fill="D9D9D9"/>
            <w:vAlign w:val="center"/>
          </w:tcPr>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电力管线</w:t>
            </w:r>
          </w:p>
        </w:tc>
        <w:tc>
          <w:tcPr>
            <w:tcW w:w="1843" w:type="dxa"/>
            <w:tcBorders>
              <w:top w:val="single" w:color="4BACC6" w:sz="4" w:space="0"/>
              <w:left w:val="single" w:color="4BACC6" w:sz="4" w:space="0"/>
              <w:bottom w:val="single" w:color="4BACC6" w:sz="4" w:space="0"/>
              <w:right w:val="single" w:color="4BACC6" w:sz="4" w:space="0"/>
            </w:tcBorders>
            <w:shd w:val="clear" w:color="auto" w:fill="D9D9D9"/>
            <w:vAlign w:val="center"/>
          </w:tcPr>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直埋</w:t>
            </w:r>
          </w:p>
        </w:tc>
        <w:tc>
          <w:tcPr>
            <w:tcW w:w="2038" w:type="dxa"/>
            <w:tcBorders>
              <w:top w:val="single" w:color="4BACC6" w:sz="4" w:space="0"/>
              <w:left w:val="single" w:color="4BACC6" w:sz="4" w:space="0"/>
              <w:bottom w:val="single" w:color="4BACC6" w:sz="4" w:space="0"/>
              <w:right w:val="single" w:color="4BACC6" w:sz="4" w:space="0"/>
            </w:tcBorders>
            <w:shd w:val="clear" w:color="auto" w:fill="B6DDE8"/>
            <w:vAlign w:val="center"/>
          </w:tcPr>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0.7</w:t>
            </w:r>
          </w:p>
        </w:tc>
        <w:tc>
          <w:tcPr>
            <w:tcW w:w="1842" w:type="dxa"/>
            <w:tcBorders>
              <w:top w:val="single" w:color="4BACC6" w:sz="4" w:space="0"/>
              <w:left w:val="single" w:color="4BACC6" w:sz="4" w:space="0"/>
              <w:bottom w:val="single" w:color="4BACC6" w:sz="4" w:space="0"/>
              <w:right w:val="single" w:color="4BACC6" w:sz="4" w:space="0"/>
            </w:tcBorders>
            <w:shd w:val="clear" w:color="auto" w:fill="B6DDE8"/>
            <w:vAlign w:val="center"/>
          </w:tcPr>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exact"/>
          <w:jc w:val="center"/>
        </w:trPr>
        <w:tc>
          <w:tcPr>
            <w:tcW w:w="1834" w:type="dxa"/>
            <w:vMerge w:val="continue"/>
            <w:tcBorders>
              <w:top w:val="single" w:color="4BACC6" w:sz="4" w:space="0"/>
              <w:left w:val="single" w:color="4BACC6" w:sz="4" w:space="0"/>
              <w:bottom w:val="single" w:color="4BACC6" w:sz="4" w:space="0"/>
              <w:right w:val="single" w:color="4BACC6" w:sz="4" w:space="0"/>
            </w:tcBorders>
            <w:shd w:val="clear" w:color="auto" w:fill="D9D9D9"/>
            <w:vAlign w:val="center"/>
          </w:tcPr>
          <w:p>
            <w:pPr>
              <w:widowControl/>
              <w:jc w:val="center"/>
              <w:rPr>
                <w:rFonts w:ascii="Times New Roman" w:hAnsi="Times New Roman"/>
                <w:b w:val="0"/>
                <w:bCs/>
                <w:color w:val="auto"/>
                <w:sz w:val="21"/>
                <w:szCs w:val="21"/>
              </w:rPr>
            </w:pPr>
          </w:p>
        </w:tc>
        <w:tc>
          <w:tcPr>
            <w:tcW w:w="1843" w:type="dxa"/>
            <w:tcBorders>
              <w:top w:val="single" w:color="4BACC6" w:sz="4" w:space="0"/>
              <w:left w:val="single" w:color="4BACC6" w:sz="4" w:space="0"/>
              <w:bottom w:val="single" w:color="4BACC6" w:sz="4" w:space="0"/>
              <w:right w:val="single" w:color="4BACC6" w:sz="4" w:space="0"/>
            </w:tcBorders>
            <w:shd w:val="clear" w:color="auto" w:fill="D9D9D9"/>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保护管</w:t>
            </w:r>
          </w:p>
        </w:tc>
        <w:tc>
          <w:tcPr>
            <w:tcW w:w="2038" w:type="dxa"/>
            <w:tcBorders>
              <w:top w:val="single" w:color="4BACC6" w:sz="4" w:space="0"/>
              <w:left w:val="single" w:color="4BACC6" w:sz="4" w:space="0"/>
              <w:bottom w:val="single" w:color="4BACC6" w:sz="4" w:space="0"/>
              <w:right w:val="single" w:color="4BACC6" w:sz="4" w:space="0"/>
            </w:tcBorders>
            <w:shd w:val="clear" w:color="auto" w:fill="B6DDE8"/>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0.7</w:t>
            </w:r>
          </w:p>
        </w:tc>
        <w:tc>
          <w:tcPr>
            <w:tcW w:w="1842" w:type="dxa"/>
            <w:tcBorders>
              <w:top w:val="single" w:color="4BACC6" w:sz="4" w:space="0"/>
              <w:left w:val="single" w:color="4BACC6" w:sz="4" w:space="0"/>
              <w:bottom w:val="single" w:color="4BACC6" w:sz="4" w:space="0"/>
              <w:right w:val="single" w:color="4BACC6" w:sz="4" w:space="0"/>
            </w:tcBorders>
            <w:shd w:val="clear" w:color="auto" w:fill="B6DDE8"/>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exact"/>
          <w:jc w:val="center"/>
        </w:trPr>
        <w:tc>
          <w:tcPr>
            <w:tcW w:w="1834" w:type="dxa"/>
            <w:vMerge w:val="restart"/>
            <w:tcBorders>
              <w:top w:val="single" w:color="4BACC6" w:sz="4" w:space="0"/>
              <w:left w:val="single" w:color="4BACC6" w:sz="4" w:space="0"/>
              <w:bottom w:val="single" w:color="4BACC6" w:sz="4" w:space="0"/>
              <w:right w:val="single" w:color="4BACC6" w:sz="4" w:space="0"/>
            </w:tcBorders>
            <w:shd w:val="clear" w:color="auto" w:fill="D9D9D9"/>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通信管线</w:t>
            </w:r>
          </w:p>
        </w:tc>
        <w:tc>
          <w:tcPr>
            <w:tcW w:w="1843" w:type="dxa"/>
            <w:tcBorders>
              <w:top w:val="single" w:color="4BACC6" w:sz="4" w:space="0"/>
              <w:left w:val="single" w:color="4BACC6" w:sz="4" w:space="0"/>
              <w:bottom w:val="single" w:color="4BACC6" w:sz="4" w:space="0"/>
              <w:right w:val="single" w:color="4BACC6" w:sz="4" w:space="0"/>
            </w:tcBorders>
            <w:shd w:val="clear" w:color="auto" w:fill="D9D9D9"/>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直埋</w:t>
            </w:r>
          </w:p>
        </w:tc>
        <w:tc>
          <w:tcPr>
            <w:tcW w:w="2038" w:type="dxa"/>
            <w:vMerge w:val="restart"/>
            <w:tcBorders>
              <w:top w:val="single" w:color="4BACC6" w:sz="4" w:space="0"/>
              <w:left w:val="single" w:color="4BACC6" w:sz="4" w:space="0"/>
              <w:bottom w:val="single" w:color="4BACC6" w:sz="4" w:space="0"/>
              <w:right w:val="single" w:color="4BACC6" w:sz="4" w:space="0"/>
            </w:tcBorders>
            <w:shd w:val="clear" w:color="auto" w:fill="B6DDE8"/>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1.5</w:t>
            </w:r>
          </w:p>
        </w:tc>
        <w:tc>
          <w:tcPr>
            <w:tcW w:w="1842" w:type="dxa"/>
            <w:vMerge w:val="restart"/>
            <w:tcBorders>
              <w:top w:val="single" w:color="4BACC6" w:sz="4" w:space="0"/>
              <w:left w:val="single" w:color="4BACC6" w:sz="4" w:space="0"/>
              <w:bottom w:val="single" w:color="4BACC6" w:sz="4" w:space="0"/>
              <w:right w:val="single" w:color="4BACC6" w:sz="4" w:space="0"/>
            </w:tcBorders>
            <w:shd w:val="clear" w:color="auto" w:fill="B6DDE8"/>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exact"/>
          <w:jc w:val="center"/>
        </w:trPr>
        <w:tc>
          <w:tcPr>
            <w:tcW w:w="1834" w:type="dxa"/>
            <w:vMerge w:val="continue"/>
            <w:tcBorders>
              <w:top w:val="single" w:color="4BACC6" w:sz="4" w:space="0"/>
              <w:left w:val="single" w:color="4BACC6" w:sz="4" w:space="0"/>
              <w:bottom w:val="single" w:color="4BACC6" w:sz="4" w:space="0"/>
              <w:right w:val="single" w:color="4BACC6" w:sz="4" w:space="0"/>
            </w:tcBorders>
            <w:shd w:val="clear" w:color="auto" w:fill="D9D9D9"/>
            <w:vAlign w:val="center"/>
          </w:tcPr>
          <w:p>
            <w:pPr>
              <w:widowControl/>
              <w:spacing w:line="360" w:lineRule="auto"/>
              <w:jc w:val="center"/>
              <w:rPr>
                <w:rFonts w:ascii="Times New Roman" w:hAnsi="Times New Roman"/>
                <w:b w:val="0"/>
                <w:bCs/>
                <w:color w:val="auto"/>
                <w:sz w:val="21"/>
                <w:szCs w:val="21"/>
              </w:rPr>
            </w:pPr>
          </w:p>
        </w:tc>
        <w:tc>
          <w:tcPr>
            <w:tcW w:w="1843" w:type="dxa"/>
            <w:tcBorders>
              <w:top w:val="single" w:color="4BACC6" w:sz="4" w:space="0"/>
              <w:left w:val="single" w:color="4BACC6" w:sz="4" w:space="0"/>
              <w:bottom w:val="single" w:color="4BACC6" w:sz="4" w:space="0"/>
              <w:right w:val="single" w:color="4BACC6" w:sz="4" w:space="0"/>
            </w:tcBorders>
            <w:shd w:val="clear" w:color="auto" w:fill="D9D9D9"/>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管道、通道</w:t>
            </w:r>
          </w:p>
        </w:tc>
        <w:tc>
          <w:tcPr>
            <w:tcW w:w="2038" w:type="dxa"/>
            <w:vMerge w:val="continue"/>
            <w:tcBorders>
              <w:top w:val="single" w:color="4BACC6" w:sz="4" w:space="0"/>
              <w:left w:val="single" w:color="4BACC6" w:sz="4" w:space="0"/>
              <w:bottom w:val="single" w:color="4BACC6" w:sz="4" w:space="0"/>
              <w:right w:val="single" w:color="4BACC6" w:sz="4" w:space="0"/>
            </w:tcBorders>
            <w:shd w:val="clear" w:color="auto" w:fill="B6DDE8"/>
            <w:vAlign w:val="center"/>
          </w:tcPr>
          <w:p>
            <w:pPr>
              <w:widowControl/>
              <w:spacing w:line="360" w:lineRule="auto"/>
              <w:jc w:val="center"/>
              <w:rPr>
                <w:rFonts w:ascii="Times New Roman" w:hAnsi="Times New Roman"/>
                <w:b w:val="0"/>
                <w:bCs/>
                <w:color w:val="auto"/>
                <w:sz w:val="21"/>
                <w:szCs w:val="21"/>
              </w:rPr>
            </w:pPr>
          </w:p>
        </w:tc>
        <w:tc>
          <w:tcPr>
            <w:tcW w:w="1842" w:type="dxa"/>
            <w:vMerge w:val="continue"/>
            <w:tcBorders>
              <w:top w:val="single" w:color="4BACC6" w:sz="4" w:space="0"/>
              <w:left w:val="single" w:color="4BACC6" w:sz="4" w:space="0"/>
              <w:bottom w:val="single" w:color="4BACC6" w:sz="4" w:space="0"/>
              <w:right w:val="single" w:color="4BACC6" w:sz="4" w:space="0"/>
            </w:tcBorders>
            <w:shd w:val="clear" w:color="auto" w:fill="B6DDE8"/>
            <w:vAlign w:val="center"/>
          </w:tcPr>
          <w:p>
            <w:pPr>
              <w:widowControl/>
              <w:spacing w:line="360" w:lineRule="auto"/>
              <w:jc w:val="center"/>
              <w:rPr>
                <w:rFonts w:ascii="Times New Roman" w:hAnsi="Times New Roman"/>
                <w:b w:val="0"/>
                <w:bCs/>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exact"/>
          <w:jc w:val="center"/>
        </w:trPr>
        <w:tc>
          <w:tcPr>
            <w:tcW w:w="3677" w:type="dxa"/>
            <w:gridSpan w:val="2"/>
            <w:tcBorders>
              <w:top w:val="single" w:color="4BACC6" w:sz="4" w:space="0"/>
              <w:left w:val="single" w:color="4BACC6" w:sz="4" w:space="0"/>
              <w:bottom w:val="single" w:color="4BACC6" w:sz="4" w:space="0"/>
              <w:right w:val="single" w:color="4BACC6" w:sz="4" w:space="0"/>
            </w:tcBorders>
            <w:shd w:val="clear" w:color="auto" w:fill="D9D9D9"/>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管沟</w:t>
            </w:r>
          </w:p>
        </w:tc>
        <w:tc>
          <w:tcPr>
            <w:tcW w:w="2038" w:type="dxa"/>
            <w:tcBorders>
              <w:top w:val="single" w:color="4BACC6" w:sz="4" w:space="0"/>
              <w:left w:val="single" w:color="4BACC6" w:sz="4" w:space="0"/>
              <w:bottom w:val="single" w:color="4BACC6" w:sz="4" w:space="0"/>
              <w:right w:val="single" w:color="4BACC6" w:sz="4" w:space="0"/>
            </w:tcBorders>
            <w:shd w:val="clear" w:color="auto" w:fill="B6DDE8"/>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1.5</w:t>
            </w:r>
          </w:p>
        </w:tc>
        <w:tc>
          <w:tcPr>
            <w:tcW w:w="1842" w:type="dxa"/>
            <w:tcBorders>
              <w:top w:val="single" w:color="4BACC6" w:sz="4" w:space="0"/>
              <w:left w:val="single" w:color="4BACC6" w:sz="4" w:space="0"/>
              <w:bottom w:val="single" w:color="4BACC6" w:sz="4" w:space="0"/>
              <w:right w:val="single" w:color="4BACC6" w:sz="4" w:space="0"/>
            </w:tcBorders>
            <w:shd w:val="clear" w:color="auto" w:fill="B6DDE8"/>
            <w:vAlign w:val="center"/>
          </w:tcPr>
          <w:p>
            <w:pPr>
              <w:widowControl/>
              <w:spacing w:line="360" w:lineRule="auto"/>
              <w:jc w:val="center"/>
              <w:rPr>
                <w:rFonts w:ascii="Times New Roman" w:hAnsi="Times New Roman"/>
                <w:b w:val="0"/>
                <w:bCs/>
                <w:color w:val="auto"/>
                <w:sz w:val="21"/>
                <w:szCs w:val="21"/>
              </w:rPr>
            </w:pPr>
            <w:r>
              <w:rPr>
                <w:rFonts w:ascii="Times New Roman" w:hAnsi="Times New Roman"/>
                <w:b w:val="0"/>
                <w:bCs/>
                <w:color w:val="auto"/>
                <w:sz w:val="21"/>
                <w:szCs w:val="21"/>
              </w:rPr>
              <w:t>1.0</w:t>
            </w:r>
          </w:p>
        </w:tc>
      </w:tr>
    </w:tbl>
    <w:p>
      <w:pPr>
        <w:pStyle w:val="5"/>
        <w:ind w:firstLine="482" w:firstLineChars="200"/>
        <w:rPr>
          <w:rFonts w:ascii="Times New Roman" w:hAnsi="Times New Roman"/>
        </w:rPr>
      </w:pPr>
      <w:bookmarkStart w:id="200" w:name="_Toc98235977"/>
      <w:r>
        <w:rPr>
          <w:rFonts w:ascii="Times New Roman" w:hAnsi="Times New Roman"/>
        </w:rPr>
        <w:t>工程管线最小覆土深度</w:t>
      </w:r>
      <w:bookmarkEnd w:id="200"/>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地下管线应具备一定的覆土厚度，以扩散散路面交通荷载的作用，保证使用安全，各类地下管线最小覆土深度应满足下表的规定。当受条件限制不能满足要求时，可采取安全措施减少其最小覆土深度。</w:t>
      </w:r>
    </w:p>
    <w:p>
      <w:pPr>
        <w:spacing w:line="360" w:lineRule="auto"/>
        <w:ind w:firstLine="422" w:firstLineChars="200"/>
        <w:jc w:val="center"/>
        <w:rPr>
          <w:rFonts w:ascii="Times New Roman" w:hAnsi="Times New Roman" w:eastAsia="黑体"/>
          <w:b w:val="0"/>
          <w:bCs/>
          <w:color w:val="auto"/>
          <w:szCs w:val="21"/>
        </w:rPr>
      </w:pPr>
      <w:r>
        <w:rPr>
          <w:rFonts w:ascii="Times New Roman" w:hAnsi="Times New Roman"/>
          <w:color w:val="000000" w:themeColor="text1"/>
          <w:sz w:val="21"/>
          <w14:textFill>
            <w14:solidFill>
              <w14:schemeClr w14:val="tx1"/>
            </w14:solidFill>
          </w14:textFill>
        </w:rPr>
        <w:t>5.6-5</w:t>
      </w:r>
      <w:r>
        <w:rPr>
          <w:rFonts w:ascii="Times New Roman" w:hAnsi="Times New Roman"/>
          <w:color w:val="000000" w:themeColor="text1"/>
          <w:sz w:val="21"/>
          <w:lang w:val="zh-CN"/>
          <w14:textFill>
            <w14:solidFill>
              <w14:schemeClr w14:val="tx1"/>
            </w14:solidFill>
          </w14:textFill>
        </w:rPr>
        <w:t>工程管线的最小覆土深度（m）</w:t>
      </w:r>
    </w:p>
    <w:tbl>
      <w:tblPr>
        <w:tblStyle w:val="32"/>
        <w:tblW w:w="5000" w:type="pct"/>
        <w:jc w:val="center"/>
        <w:tblBorders>
          <w:top w:val="single" w:color="4BACC6" w:sz="4" w:space="0"/>
          <w:left w:val="single" w:color="4BACC6" w:sz="4" w:space="0"/>
          <w:bottom w:val="single" w:color="4BACC6" w:sz="4" w:space="0"/>
          <w:right w:val="single" w:color="4BACC6" w:sz="4" w:space="0"/>
          <w:insideH w:val="single" w:color="4BACC6" w:sz="4" w:space="0"/>
          <w:insideV w:val="single" w:color="4BACC6" w:sz="4" w:space="0"/>
        </w:tblBorders>
        <w:tblLayout w:type="autofit"/>
        <w:tblCellMar>
          <w:top w:w="0" w:type="dxa"/>
          <w:left w:w="108" w:type="dxa"/>
          <w:bottom w:w="0" w:type="dxa"/>
          <w:right w:w="108" w:type="dxa"/>
        </w:tblCellMar>
      </w:tblPr>
      <w:tblGrid>
        <w:gridCol w:w="1234"/>
        <w:gridCol w:w="1437"/>
        <w:gridCol w:w="733"/>
        <w:gridCol w:w="733"/>
        <w:gridCol w:w="733"/>
        <w:gridCol w:w="733"/>
        <w:gridCol w:w="1035"/>
        <w:gridCol w:w="1092"/>
        <w:gridCol w:w="721"/>
        <w:gridCol w:w="719"/>
        <w:gridCol w:w="711"/>
        <w:gridCol w:w="594"/>
      </w:tblGrid>
      <w:tr>
        <w:tblPrEx>
          <w:tblBorders>
            <w:top w:val="single" w:color="4BACC6" w:sz="4" w:space="0"/>
            <w:left w:val="single" w:color="4BACC6" w:sz="4" w:space="0"/>
            <w:bottom w:val="single" w:color="4BACC6" w:sz="4" w:space="0"/>
            <w:right w:val="single" w:color="4BACC6" w:sz="4" w:space="0"/>
            <w:insideH w:val="single" w:color="4BACC6" w:sz="4" w:space="0"/>
            <w:insideV w:val="single" w:color="4BACC6" w:sz="4" w:space="0"/>
          </w:tblBorders>
          <w:tblCellMar>
            <w:top w:w="0" w:type="dxa"/>
            <w:left w:w="108" w:type="dxa"/>
            <w:bottom w:w="0" w:type="dxa"/>
            <w:right w:w="108" w:type="dxa"/>
          </w:tblCellMar>
        </w:tblPrEx>
        <w:trPr>
          <w:trHeight w:val="405" w:hRule="atLeast"/>
          <w:jc w:val="center"/>
        </w:trPr>
        <w:tc>
          <w:tcPr>
            <w:tcW w:w="1275" w:type="pct"/>
            <w:gridSpan w:val="2"/>
            <w:vMerge w:val="restart"/>
            <w:shd w:val="clear" w:color="auto" w:fill="D9D9D9"/>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管线名称</w:t>
            </w:r>
          </w:p>
        </w:tc>
        <w:tc>
          <w:tcPr>
            <w:tcW w:w="350" w:type="pct"/>
            <w:vMerge w:val="restart"/>
            <w:shd w:val="clear" w:color="auto" w:fill="D9D9D9"/>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给水管线</w:t>
            </w:r>
          </w:p>
        </w:tc>
        <w:tc>
          <w:tcPr>
            <w:tcW w:w="350" w:type="pct"/>
            <w:vMerge w:val="restart"/>
            <w:shd w:val="clear" w:color="auto" w:fill="D9D9D9"/>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排水管线</w:t>
            </w:r>
          </w:p>
        </w:tc>
        <w:tc>
          <w:tcPr>
            <w:tcW w:w="350" w:type="pct"/>
            <w:vMerge w:val="restart"/>
            <w:shd w:val="clear" w:color="auto" w:fill="D9D9D9"/>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再生水管线</w:t>
            </w:r>
          </w:p>
        </w:tc>
        <w:tc>
          <w:tcPr>
            <w:tcW w:w="844" w:type="pct"/>
            <w:gridSpan w:val="2"/>
            <w:shd w:val="clear" w:color="auto" w:fill="D9D9D9"/>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电力管线</w:t>
            </w:r>
          </w:p>
        </w:tc>
        <w:tc>
          <w:tcPr>
            <w:tcW w:w="865" w:type="pct"/>
            <w:gridSpan w:val="2"/>
            <w:shd w:val="clear" w:color="auto" w:fill="D9D9D9"/>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通信管线</w:t>
            </w:r>
          </w:p>
        </w:tc>
        <w:tc>
          <w:tcPr>
            <w:tcW w:w="343" w:type="pct"/>
            <w:vMerge w:val="restart"/>
            <w:shd w:val="clear" w:color="auto" w:fill="D9D9D9"/>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直埋热力管线</w:t>
            </w:r>
          </w:p>
        </w:tc>
        <w:tc>
          <w:tcPr>
            <w:tcW w:w="339" w:type="pct"/>
            <w:vMerge w:val="restart"/>
            <w:shd w:val="clear" w:color="auto" w:fill="D9D9D9"/>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燃气管线</w:t>
            </w:r>
          </w:p>
        </w:tc>
        <w:tc>
          <w:tcPr>
            <w:tcW w:w="283" w:type="pct"/>
            <w:vMerge w:val="restart"/>
            <w:shd w:val="clear" w:color="auto" w:fill="D9D9D9"/>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管沟</w:t>
            </w:r>
          </w:p>
        </w:tc>
      </w:tr>
      <w:tr>
        <w:tblPrEx>
          <w:tblBorders>
            <w:top w:val="single" w:color="4BACC6" w:sz="4" w:space="0"/>
            <w:left w:val="single" w:color="4BACC6" w:sz="4" w:space="0"/>
            <w:bottom w:val="single" w:color="4BACC6" w:sz="4" w:space="0"/>
            <w:right w:val="single" w:color="4BACC6" w:sz="4" w:space="0"/>
            <w:insideH w:val="single" w:color="4BACC6" w:sz="4" w:space="0"/>
            <w:insideV w:val="single" w:color="4BACC6" w:sz="4" w:space="0"/>
          </w:tblBorders>
          <w:tblCellMar>
            <w:top w:w="0" w:type="dxa"/>
            <w:left w:w="108" w:type="dxa"/>
            <w:bottom w:w="0" w:type="dxa"/>
            <w:right w:w="108" w:type="dxa"/>
          </w:tblCellMar>
        </w:tblPrEx>
        <w:trPr>
          <w:trHeight w:val="928" w:hRule="atLeast"/>
          <w:jc w:val="center"/>
        </w:trPr>
        <w:tc>
          <w:tcPr>
            <w:tcW w:w="1275" w:type="pct"/>
            <w:gridSpan w:val="2"/>
            <w:vMerge w:val="continue"/>
            <w:shd w:val="clear" w:color="auto" w:fill="BFBFBF"/>
            <w:vAlign w:val="center"/>
          </w:tcPr>
          <w:p>
            <w:pPr>
              <w:widowControl/>
              <w:jc w:val="center"/>
              <w:rPr>
                <w:rFonts w:ascii="Times New Roman" w:hAnsi="Times New Roman"/>
                <w:b w:val="0"/>
                <w:bCs/>
                <w:color w:val="auto"/>
                <w:sz w:val="21"/>
                <w:szCs w:val="21"/>
              </w:rPr>
            </w:pPr>
          </w:p>
        </w:tc>
        <w:tc>
          <w:tcPr>
            <w:tcW w:w="350" w:type="pct"/>
            <w:vMerge w:val="continue"/>
            <w:shd w:val="clear" w:color="auto" w:fill="BFBFBF"/>
            <w:vAlign w:val="center"/>
          </w:tcPr>
          <w:p>
            <w:pPr>
              <w:widowControl/>
              <w:jc w:val="center"/>
              <w:rPr>
                <w:rFonts w:ascii="Times New Roman" w:hAnsi="Times New Roman"/>
                <w:b w:val="0"/>
                <w:bCs/>
                <w:color w:val="auto"/>
                <w:sz w:val="21"/>
                <w:szCs w:val="21"/>
              </w:rPr>
            </w:pPr>
          </w:p>
        </w:tc>
        <w:tc>
          <w:tcPr>
            <w:tcW w:w="350" w:type="pct"/>
            <w:vMerge w:val="continue"/>
            <w:shd w:val="clear" w:color="auto" w:fill="BFBFBF"/>
            <w:vAlign w:val="center"/>
          </w:tcPr>
          <w:p>
            <w:pPr>
              <w:widowControl/>
              <w:jc w:val="center"/>
              <w:rPr>
                <w:rFonts w:ascii="Times New Roman" w:hAnsi="Times New Roman"/>
                <w:b w:val="0"/>
                <w:bCs/>
                <w:color w:val="auto"/>
                <w:sz w:val="21"/>
                <w:szCs w:val="21"/>
              </w:rPr>
            </w:pPr>
          </w:p>
        </w:tc>
        <w:tc>
          <w:tcPr>
            <w:tcW w:w="350" w:type="pct"/>
            <w:vMerge w:val="continue"/>
            <w:shd w:val="clear" w:color="auto" w:fill="D9D9D9"/>
            <w:vAlign w:val="center"/>
          </w:tcPr>
          <w:p>
            <w:pPr>
              <w:widowControl/>
              <w:jc w:val="center"/>
              <w:rPr>
                <w:rFonts w:ascii="Times New Roman" w:hAnsi="Times New Roman"/>
                <w:b w:val="0"/>
                <w:bCs/>
                <w:color w:val="auto"/>
                <w:sz w:val="21"/>
                <w:szCs w:val="21"/>
              </w:rPr>
            </w:pPr>
          </w:p>
        </w:tc>
        <w:tc>
          <w:tcPr>
            <w:tcW w:w="350" w:type="pct"/>
            <w:shd w:val="clear" w:color="auto" w:fill="D9D9D9"/>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直埋</w:t>
            </w:r>
          </w:p>
        </w:tc>
        <w:tc>
          <w:tcPr>
            <w:tcW w:w="494" w:type="pct"/>
            <w:shd w:val="clear" w:color="auto" w:fill="D9D9D9"/>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保护管</w:t>
            </w:r>
          </w:p>
        </w:tc>
        <w:tc>
          <w:tcPr>
            <w:tcW w:w="521" w:type="pct"/>
            <w:shd w:val="clear" w:color="auto" w:fill="D9D9D9"/>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直埋及塑料、混凝土保护管</w:t>
            </w:r>
          </w:p>
        </w:tc>
        <w:tc>
          <w:tcPr>
            <w:tcW w:w="344" w:type="pct"/>
            <w:shd w:val="clear" w:color="auto" w:fill="D9D9D9"/>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钢保护管</w:t>
            </w:r>
          </w:p>
        </w:tc>
        <w:tc>
          <w:tcPr>
            <w:tcW w:w="343" w:type="pct"/>
            <w:vMerge w:val="continue"/>
            <w:shd w:val="clear" w:color="auto" w:fill="BFBFBF"/>
            <w:vAlign w:val="center"/>
          </w:tcPr>
          <w:p>
            <w:pPr>
              <w:widowControl/>
              <w:jc w:val="center"/>
              <w:rPr>
                <w:rFonts w:ascii="Times New Roman" w:hAnsi="Times New Roman"/>
                <w:b w:val="0"/>
                <w:bCs/>
                <w:color w:val="auto"/>
                <w:sz w:val="21"/>
                <w:szCs w:val="21"/>
              </w:rPr>
            </w:pPr>
          </w:p>
        </w:tc>
        <w:tc>
          <w:tcPr>
            <w:tcW w:w="339" w:type="pct"/>
            <w:vMerge w:val="continue"/>
            <w:shd w:val="clear" w:color="auto" w:fill="BFBFBF"/>
            <w:vAlign w:val="center"/>
          </w:tcPr>
          <w:p>
            <w:pPr>
              <w:widowControl/>
              <w:jc w:val="center"/>
              <w:rPr>
                <w:rFonts w:ascii="Times New Roman" w:hAnsi="Times New Roman"/>
                <w:b w:val="0"/>
                <w:bCs/>
                <w:color w:val="auto"/>
                <w:sz w:val="21"/>
                <w:szCs w:val="21"/>
              </w:rPr>
            </w:pPr>
          </w:p>
        </w:tc>
        <w:tc>
          <w:tcPr>
            <w:tcW w:w="283" w:type="pct"/>
            <w:vMerge w:val="continue"/>
            <w:shd w:val="clear" w:color="auto" w:fill="BFBFBF"/>
            <w:vAlign w:val="center"/>
          </w:tcPr>
          <w:p>
            <w:pPr>
              <w:widowControl/>
              <w:jc w:val="center"/>
              <w:rPr>
                <w:rFonts w:ascii="Times New Roman" w:hAnsi="Times New Roman"/>
                <w:b w:val="0"/>
                <w:bCs/>
                <w:color w:val="auto"/>
                <w:sz w:val="21"/>
                <w:szCs w:val="21"/>
              </w:rPr>
            </w:pPr>
          </w:p>
        </w:tc>
      </w:tr>
      <w:tr>
        <w:tblPrEx>
          <w:tblBorders>
            <w:top w:val="single" w:color="4BACC6" w:sz="4" w:space="0"/>
            <w:left w:val="single" w:color="4BACC6" w:sz="4" w:space="0"/>
            <w:bottom w:val="single" w:color="4BACC6" w:sz="4" w:space="0"/>
            <w:right w:val="single" w:color="4BACC6" w:sz="4" w:space="0"/>
            <w:insideH w:val="single" w:color="4BACC6" w:sz="4" w:space="0"/>
            <w:insideV w:val="single" w:color="4BACC6" w:sz="4" w:space="0"/>
          </w:tblBorders>
          <w:tblCellMar>
            <w:top w:w="0" w:type="dxa"/>
            <w:left w:w="108" w:type="dxa"/>
            <w:bottom w:w="0" w:type="dxa"/>
            <w:right w:w="108" w:type="dxa"/>
          </w:tblCellMar>
        </w:tblPrEx>
        <w:trPr>
          <w:trHeight w:val="648" w:hRule="atLeast"/>
          <w:jc w:val="center"/>
        </w:trPr>
        <w:tc>
          <w:tcPr>
            <w:tcW w:w="589" w:type="pct"/>
            <w:vMerge w:val="restart"/>
            <w:shd w:val="clear" w:color="auto" w:fill="D9D9D9"/>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最小覆土深度（m）</w:t>
            </w:r>
          </w:p>
        </w:tc>
        <w:tc>
          <w:tcPr>
            <w:tcW w:w="686" w:type="pct"/>
            <w:shd w:val="clear" w:color="auto" w:fill="D9D9D9"/>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非机动车道（含人行道）</w:t>
            </w:r>
          </w:p>
        </w:tc>
        <w:tc>
          <w:tcPr>
            <w:tcW w:w="350" w:type="pct"/>
            <w:shd w:val="clear" w:color="auto" w:fill="B6DDE8"/>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0.60</w:t>
            </w:r>
          </w:p>
        </w:tc>
        <w:tc>
          <w:tcPr>
            <w:tcW w:w="350" w:type="pct"/>
            <w:shd w:val="clear" w:color="auto" w:fill="B6DDE8"/>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0.60</w:t>
            </w:r>
          </w:p>
        </w:tc>
        <w:tc>
          <w:tcPr>
            <w:tcW w:w="350" w:type="pct"/>
            <w:shd w:val="clear" w:color="auto" w:fill="B6DDE8"/>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0.60</w:t>
            </w:r>
          </w:p>
        </w:tc>
        <w:tc>
          <w:tcPr>
            <w:tcW w:w="350" w:type="pct"/>
            <w:shd w:val="clear" w:color="auto" w:fill="B6DDE8"/>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0.70</w:t>
            </w:r>
          </w:p>
        </w:tc>
        <w:tc>
          <w:tcPr>
            <w:tcW w:w="494" w:type="pct"/>
            <w:shd w:val="clear" w:color="auto" w:fill="B6DDE8"/>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0.50</w:t>
            </w:r>
          </w:p>
        </w:tc>
        <w:tc>
          <w:tcPr>
            <w:tcW w:w="521" w:type="pct"/>
            <w:shd w:val="clear" w:color="auto" w:fill="B6DDE8"/>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0.60</w:t>
            </w:r>
          </w:p>
        </w:tc>
        <w:tc>
          <w:tcPr>
            <w:tcW w:w="344" w:type="pct"/>
            <w:shd w:val="clear" w:color="auto" w:fill="B6DDE8"/>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0.50</w:t>
            </w:r>
          </w:p>
        </w:tc>
        <w:tc>
          <w:tcPr>
            <w:tcW w:w="343" w:type="pct"/>
            <w:shd w:val="clear" w:color="auto" w:fill="B6DDE8"/>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0.70</w:t>
            </w:r>
          </w:p>
        </w:tc>
        <w:tc>
          <w:tcPr>
            <w:tcW w:w="339" w:type="pct"/>
            <w:shd w:val="clear" w:color="auto" w:fill="B6DDE8"/>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0.60</w:t>
            </w:r>
          </w:p>
        </w:tc>
        <w:tc>
          <w:tcPr>
            <w:tcW w:w="283" w:type="pct"/>
            <w:shd w:val="clear" w:color="auto" w:fill="B6DDE8"/>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w:t>
            </w:r>
          </w:p>
        </w:tc>
      </w:tr>
      <w:tr>
        <w:tblPrEx>
          <w:tblBorders>
            <w:top w:val="single" w:color="4BACC6" w:sz="4" w:space="0"/>
            <w:left w:val="single" w:color="4BACC6" w:sz="4" w:space="0"/>
            <w:bottom w:val="single" w:color="4BACC6" w:sz="4" w:space="0"/>
            <w:right w:val="single" w:color="4BACC6" w:sz="4" w:space="0"/>
            <w:insideH w:val="single" w:color="4BACC6" w:sz="4" w:space="0"/>
            <w:insideV w:val="single" w:color="4BACC6" w:sz="4" w:space="0"/>
          </w:tblBorders>
          <w:tblCellMar>
            <w:top w:w="0" w:type="dxa"/>
            <w:left w:w="108" w:type="dxa"/>
            <w:bottom w:w="0" w:type="dxa"/>
            <w:right w:w="108" w:type="dxa"/>
          </w:tblCellMar>
        </w:tblPrEx>
        <w:trPr>
          <w:trHeight w:val="403" w:hRule="atLeast"/>
          <w:jc w:val="center"/>
        </w:trPr>
        <w:tc>
          <w:tcPr>
            <w:tcW w:w="589" w:type="pct"/>
            <w:vMerge w:val="continue"/>
            <w:shd w:val="clear" w:color="auto" w:fill="D9D9D9"/>
            <w:vAlign w:val="center"/>
          </w:tcPr>
          <w:p>
            <w:pPr>
              <w:widowControl/>
              <w:jc w:val="center"/>
              <w:rPr>
                <w:rFonts w:ascii="Times New Roman" w:hAnsi="Times New Roman"/>
                <w:b w:val="0"/>
                <w:bCs/>
                <w:color w:val="auto"/>
                <w:sz w:val="21"/>
                <w:szCs w:val="21"/>
              </w:rPr>
            </w:pPr>
          </w:p>
        </w:tc>
        <w:tc>
          <w:tcPr>
            <w:tcW w:w="686" w:type="pct"/>
            <w:shd w:val="clear" w:color="auto" w:fill="D9D9D9"/>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机动车道</w:t>
            </w:r>
          </w:p>
        </w:tc>
        <w:tc>
          <w:tcPr>
            <w:tcW w:w="350" w:type="pct"/>
            <w:shd w:val="clear" w:color="auto" w:fill="B6DDE8"/>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0.70</w:t>
            </w:r>
          </w:p>
        </w:tc>
        <w:tc>
          <w:tcPr>
            <w:tcW w:w="350" w:type="pct"/>
            <w:shd w:val="clear" w:color="auto" w:fill="B6DDE8"/>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0.70</w:t>
            </w:r>
          </w:p>
        </w:tc>
        <w:tc>
          <w:tcPr>
            <w:tcW w:w="350" w:type="pct"/>
            <w:shd w:val="clear" w:color="auto" w:fill="B6DDE8"/>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0.70</w:t>
            </w:r>
          </w:p>
        </w:tc>
        <w:tc>
          <w:tcPr>
            <w:tcW w:w="350" w:type="pct"/>
            <w:shd w:val="clear" w:color="auto" w:fill="B6DDE8"/>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1.00</w:t>
            </w:r>
          </w:p>
        </w:tc>
        <w:tc>
          <w:tcPr>
            <w:tcW w:w="494" w:type="pct"/>
            <w:shd w:val="clear" w:color="auto" w:fill="B6DDE8"/>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0.50</w:t>
            </w:r>
          </w:p>
        </w:tc>
        <w:tc>
          <w:tcPr>
            <w:tcW w:w="521" w:type="pct"/>
            <w:shd w:val="clear" w:color="auto" w:fill="B6DDE8"/>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0.90</w:t>
            </w:r>
          </w:p>
        </w:tc>
        <w:tc>
          <w:tcPr>
            <w:tcW w:w="344" w:type="pct"/>
            <w:shd w:val="clear" w:color="auto" w:fill="B6DDE8"/>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0.60</w:t>
            </w:r>
          </w:p>
        </w:tc>
        <w:tc>
          <w:tcPr>
            <w:tcW w:w="343" w:type="pct"/>
            <w:shd w:val="clear" w:color="auto" w:fill="B6DDE8"/>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1.00</w:t>
            </w:r>
          </w:p>
        </w:tc>
        <w:tc>
          <w:tcPr>
            <w:tcW w:w="339" w:type="pct"/>
            <w:shd w:val="clear" w:color="auto" w:fill="B6DDE8"/>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0.90</w:t>
            </w:r>
          </w:p>
        </w:tc>
        <w:tc>
          <w:tcPr>
            <w:tcW w:w="283" w:type="pct"/>
            <w:shd w:val="clear" w:color="auto" w:fill="B6DDE8"/>
            <w:vAlign w:val="center"/>
          </w:tcPr>
          <w:p>
            <w:pPr>
              <w:widowControl/>
              <w:jc w:val="center"/>
              <w:rPr>
                <w:rFonts w:ascii="Times New Roman" w:hAnsi="Times New Roman"/>
                <w:b w:val="0"/>
                <w:bCs/>
                <w:color w:val="auto"/>
                <w:sz w:val="21"/>
                <w:szCs w:val="21"/>
              </w:rPr>
            </w:pPr>
            <w:r>
              <w:rPr>
                <w:rFonts w:ascii="Times New Roman" w:hAnsi="Times New Roman"/>
                <w:b w:val="0"/>
                <w:bCs/>
                <w:color w:val="auto"/>
                <w:sz w:val="21"/>
                <w:szCs w:val="21"/>
              </w:rPr>
              <w:t>0.50</w:t>
            </w:r>
          </w:p>
        </w:tc>
      </w:tr>
    </w:tbl>
    <w:p>
      <w:pPr>
        <w:pStyle w:val="4"/>
        <w:ind w:firstLine="482" w:firstLineChars="200"/>
      </w:pPr>
      <w:bookmarkStart w:id="201" w:name="_Toc98235978"/>
      <w:bookmarkStart w:id="202" w:name="_Toc25938"/>
      <w:bookmarkStart w:id="203" w:name="_Toc17789"/>
      <w:r>
        <w:t>管线综合设计</w:t>
      </w:r>
      <w:bookmarkEnd w:id="201"/>
      <w:bookmarkEnd w:id="202"/>
      <w:bookmarkEnd w:id="203"/>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根据规划资料并结合工程土地利用情况，本设计考虑的管线种类包括：给水管、雨水管、污水管、燃气管、电力管、通信管。</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本项目道路红线宽度为30~50m，其中道路红线宽度≥40m，除燃气管、电力管及通信管外，其他所有类型的管线双侧布置。</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本工程各管线的敷设位置及水平、竖向距离均按《城市工程管线综合规划规范》（GB50289-2016）要求来进行敷设，各类管线有限布置在人行道、非机动车道及绿化带下，尽量避免布置在车行道下，受条件限制时，可将雨污水管设置在车行道下。同时管线以道路中轴线往两侧的管线布置优先顺序为：雨水排水管道→→污水收集管道→→煤气压力输送管道→→给水管道→→电力(通信)管道。</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管线综合横断面图如下所示：</w:t>
      </w:r>
    </w:p>
    <w:p>
      <w:pPr>
        <w:rPr>
          <w:rFonts w:ascii="Times New Roman" w:hAnsi="Times New Roman"/>
          <w:color w:val="auto"/>
          <w:highlight w:val="yellow"/>
        </w:rPr>
      </w:pPr>
      <w:r>
        <w:rPr>
          <w:highlight w:val="yellow"/>
        </w:rPr>
        <w:drawing>
          <wp:inline distT="0" distB="0" distL="0" distR="0">
            <wp:extent cx="6551295" cy="3801110"/>
            <wp:effectExtent l="0" t="0" r="1905" b="889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pic:cNvPicPr>
                      <a:picLocks noChangeAspect="1"/>
                    </pic:cNvPicPr>
                  </pic:nvPicPr>
                  <pic:blipFill>
                    <a:blip r:embed="rId195"/>
                    <a:stretch>
                      <a:fillRect/>
                    </a:stretch>
                  </pic:blipFill>
                  <pic:spPr>
                    <a:xfrm>
                      <a:off x="0" y="0"/>
                      <a:ext cx="6551422" cy="3801600"/>
                    </a:xfrm>
                    <a:prstGeom prst="rect">
                      <a:avLst/>
                    </a:prstGeom>
                  </pic:spPr>
                </pic:pic>
              </a:graphicData>
            </a:graphic>
          </wp:inline>
        </w:drawing>
      </w:r>
    </w:p>
    <w:p>
      <w:pPr>
        <w:spacing w:before="119" w:line="220" w:lineRule="auto"/>
        <w:ind w:left="3533" w:firstLine="478" w:firstLineChars="200"/>
        <w:rPr>
          <w:rFonts w:ascii="Times New Roman" w:hAnsi="Times New Roman"/>
          <w:sz w:val="24"/>
          <w:szCs w:val="24"/>
          <w:highlight w:val="yellow"/>
        </w:rPr>
      </w:pPr>
      <w:r>
        <w:rPr>
          <w:rFonts w:ascii="Times New Roman" w:hAnsi="Times New Roman"/>
          <w:spacing w:val="-1"/>
          <w:sz w:val="24"/>
          <w:szCs w:val="24"/>
          <w:highlight w:val="yellow"/>
          <w14:textOutline w14:w="3048" w14:cap="flat" w14:cmpd="sng" w14:algn="ctr">
            <w14:solidFill>
              <w14:srgbClr w14:val="000000"/>
            </w14:solidFill>
            <w14:prstDash w14:val="solid"/>
            <w14:miter w14:val="0"/>
          </w14:textOutline>
        </w:rPr>
        <w:t>二十涌北路管线综合横断面图</w:t>
      </w:r>
    </w:p>
    <w:p>
      <w:pPr>
        <w:spacing w:line="288" w:lineRule="auto"/>
        <w:jc w:val="center"/>
        <w:rPr>
          <w:rFonts w:ascii="Times New Roman" w:hAnsi="Times New Roman"/>
          <w:b w:val="0"/>
          <w:bCs/>
          <w:color w:val="auto"/>
          <w:sz w:val="24"/>
          <w:szCs w:val="24"/>
          <w:highlight w:val="yellow"/>
        </w:rPr>
      </w:pPr>
      <w:r>
        <w:rPr>
          <w:highlight w:val="yellow"/>
        </w:rPr>
        <w:drawing>
          <wp:inline distT="0" distB="0" distL="0" distR="0">
            <wp:extent cx="5243195" cy="3887470"/>
            <wp:effectExtent l="0" t="0" r="14605" b="1778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pic:cNvPicPr>
                      <a:picLocks noChangeAspect="1"/>
                    </pic:cNvPicPr>
                  </pic:nvPicPr>
                  <pic:blipFill>
                    <a:blip r:embed="rId196"/>
                    <a:stretch>
                      <a:fillRect/>
                    </a:stretch>
                  </pic:blipFill>
                  <pic:spPr>
                    <a:xfrm>
                      <a:off x="0" y="0"/>
                      <a:ext cx="5243458" cy="3888000"/>
                    </a:xfrm>
                    <a:prstGeom prst="rect">
                      <a:avLst/>
                    </a:prstGeom>
                  </pic:spPr>
                </pic:pic>
              </a:graphicData>
            </a:graphic>
          </wp:inline>
        </w:drawing>
      </w:r>
    </w:p>
    <w:p>
      <w:pPr>
        <w:spacing w:before="96" w:line="220" w:lineRule="auto"/>
        <w:ind w:left="3360" w:firstLine="478" w:firstLineChars="200"/>
        <w:rPr>
          <w:rFonts w:ascii="Times New Roman" w:hAnsi="Times New Roman"/>
          <w:sz w:val="24"/>
          <w:szCs w:val="24"/>
        </w:rPr>
      </w:pPr>
      <w:r>
        <w:rPr>
          <w:rFonts w:ascii="Times New Roman" w:hAnsi="Times New Roman"/>
          <w:spacing w:val="-1"/>
          <w:sz w:val="24"/>
          <w:szCs w:val="24"/>
          <w:highlight w:val="yellow"/>
          <w14:textOutline w14:w="3048" w14:cap="flat" w14:cmpd="sng" w14:algn="ctr">
            <w14:solidFill>
              <w14:srgbClr w14:val="000000"/>
            </w14:solidFill>
            <w14:prstDash w14:val="solid"/>
            <w14:miter w14:val="0"/>
          </w14:textOutline>
        </w:rPr>
        <w:t>规划纵三路管线综合横断面图</w:t>
      </w:r>
    </w:p>
    <w:p>
      <w:pPr>
        <w:pStyle w:val="4"/>
        <w:ind w:firstLine="482" w:firstLineChars="200"/>
      </w:pPr>
      <w:bookmarkStart w:id="204" w:name="_Toc1185"/>
      <w:bookmarkStart w:id="205" w:name="_Toc10419"/>
      <w:r>
        <w:t>现状管线保护分类及措施</w:t>
      </w:r>
      <w:bookmarkEnd w:id="204"/>
      <w:bookmarkEnd w:id="205"/>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覆土厚度较小的地下管线永久保护方案：</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位于设计道路范围内的现状给类市政管线，当管顶覆土H≤1000mm，采用半包C25混凝土的方式进行保护，包裹厚度为200mm。</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管槽开挖过程中裸露的各种地下管线：</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对管槽开挖过程中能临时切断且能改变走向的地下管线，在征得业主单位和其管理部门同意后，进行临时切断或改迁，雨、污水管临时切断应做好管道临时封堵及临时排水；</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改迁后管线应按照原管线设计图施工。当管线原样恢复或改迁后应得到业主单位及部门验收确认。</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对管槽开挖过程中遇到不可切断或不能迁移的管线（供水、供电、电信、燃气及其它）时，应针对不同管线性质、管道材质、管径等特点采取诸如悬吊法等可靠的保护措施，确保管线安全。</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施工道路下方各种地下管线：</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当管线上部覆土厚度较小或施工荷载大于管线保护设计荷载时，采用22mm厚钢板铺管线上方地面，钢板宽度应为管线范围两侧各外延1.5m。</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施工场地内架空的高压线路：</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施工场地内遇到电压在380V及以上的架空高压线路时，施工前必须做安全防护。在高压线路下方搭钢管防护架，钢管防护架高度搭至距高压线2.5m时，换用竹竿搭设。</w:t>
      </w:r>
    </w:p>
    <w:p>
      <w:pPr>
        <w:pStyle w:val="4"/>
        <w:ind w:firstLine="482" w:firstLineChars="200"/>
      </w:pPr>
      <w:bookmarkStart w:id="206" w:name="_Toc14160"/>
      <w:r>
        <w:t>管线保护注意事项</w:t>
      </w:r>
      <w:bookmarkEnd w:id="206"/>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1.</w:t>
      </w:r>
      <w:r>
        <w:rPr>
          <w:rFonts w:ascii="Times New Roman" w:hAnsi="Times New Roman"/>
          <w:b w:val="0"/>
          <w:color w:val="auto"/>
          <w:sz w:val="24"/>
        </w:rPr>
        <w:tab/>
      </w:r>
      <w:r>
        <w:rPr>
          <w:rFonts w:ascii="Times New Roman" w:hAnsi="Times New Roman"/>
          <w:b w:val="0"/>
          <w:color w:val="auto"/>
          <w:sz w:val="24"/>
        </w:rPr>
        <w:t>管槽开挖前，施工单位应向有关单位和其管理部门提出管线临时保护的书面申请，办妥相关手续，制定好管线保护方案，再得到有关单位和其管理部门同意后方可实施。应邀请有关单位和其管理部门对需要保护的管线进行相关交底，取得管线的详细情况和相关单位对管线制定的保护措施，并向施工人员进行安全交底，建立责任制，明确各级人员的责任。</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2.</w:t>
      </w:r>
      <w:r>
        <w:rPr>
          <w:rFonts w:ascii="Times New Roman" w:hAnsi="Times New Roman"/>
          <w:b w:val="0"/>
          <w:color w:val="auto"/>
          <w:sz w:val="24"/>
        </w:rPr>
        <w:tab/>
      </w:r>
      <w:r>
        <w:rPr>
          <w:rFonts w:ascii="Times New Roman" w:hAnsi="Times New Roman"/>
          <w:b w:val="0"/>
          <w:color w:val="auto"/>
          <w:sz w:val="24"/>
        </w:rPr>
        <w:t>施工前必须进行周密细致的施工组织设计，设置必要的管线安全警戒线、安全标志牌、警示牌，在需要保护的地下管线处做出明显标志，标明每一处沿线下方的埋地设施名称、属性、材质、特征、断面尺寸和埋深。</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3.</w:t>
      </w:r>
      <w:r>
        <w:rPr>
          <w:rFonts w:ascii="Times New Roman" w:hAnsi="Times New Roman"/>
          <w:b w:val="0"/>
          <w:color w:val="auto"/>
          <w:sz w:val="24"/>
        </w:rPr>
        <w:tab/>
      </w:r>
      <w:r>
        <w:rPr>
          <w:rFonts w:ascii="Times New Roman" w:hAnsi="Times New Roman"/>
          <w:b w:val="0"/>
          <w:color w:val="auto"/>
          <w:sz w:val="24"/>
        </w:rPr>
        <w:t>管槽开挖到需保护的管线附近时，必须采用人工开挖方式进行施工，严禁超挖、深挖，严格按照批准的管线保护方案进行实施。对管槽其他土方的开挖必须在管线保护措施实施且经相关部门检验合格后进行。</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4.</w:t>
      </w:r>
      <w:r>
        <w:rPr>
          <w:rFonts w:ascii="Times New Roman" w:hAnsi="Times New Roman"/>
          <w:b w:val="0"/>
          <w:color w:val="auto"/>
          <w:sz w:val="24"/>
        </w:rPr>
        <w:tab/>
      </w:r>
      <w:r>
        <w:rPr>
          <w:rFonts w:ascii="Times New Roman" w:hAnsi="Times New Roman"/>
          <w:b w:val="0"/>
          <w:color w:val="auto"/>
          <w:sz w:val="24"/>
        </w:rPr>
        <w:t>应组织建设单位、管线管理单位和施工单位的有关人员定期检查管线保护措施的落实情况及保护措施的可靠性。施工人员必须严格遵照安全操作规程的有关规定实施作业，严禁违章操作、违章施工。</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5.</w:t>
      </w:r>
      <w:r>
        <w:rPr>
          <w:rFonts w:ascii="Times New Roman" w:hAnsi="Times New Roman"/>
          <w:b w:val="0"/>
          <w:color w:val="auto"/>
          <w:sz w:val="24"/>
        </w:rPr>
        <w:tab/>
      </w:r>
      <w:r>
        <w:rPr>
          <w:rFonts w:ascii="Times New Roman" w:hAnsi="Times New Roman"/>
          <w:b w:val="0"/>
          <w:color w:val="auto"/>
          <w:sz w:val="24"/>
        </w:rPr>
        <w:t>对管槽内裸露管线加强沉降和水平位移监测，定期向建设单位和有关管线管理单位提供沉降观测资料。当管线位移超出允许值时立即停止施工，在加固处理完成后方可继续施工。</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6.</w:t>
      </w:r>
      <w:r>
        <w:rPr>
          <w:rFonts w:ascii="Times New Roman" w:hAnsi="Times New Roman"/>
          <w:b w:val="0"/>
          <w:color w:val="auto"/>
          <w:sz w:val="24"/>
        </w:rPr>
        <w:tab/>
      </w:r>
      <w:r>
        <w:rPr>
          <w:rFonts w:ascii="Times New Roman" w:hAnsi="Times New Roman"/>
          <w:b w:val="0"/>
          <w:color w:val="auto"/>
          <w:sz w:val="24"/>
        </w:rPr>
        <w:t>施工中如遇实际情况与设计图纸不符合时，应暂时停止施工，并及时通知设计、监理、业主单位及管线单位共同协商处理。如有必要，应对地下管线需重新进行探测，以充分了解、复核各管线特性，确保施工过程中各类管线的安全。</w:t>
      </w:r>
    </w:p>
    <w:p>
      <w:pPr>
        <w:spacing w:line="288" w:lineRule="auto"/>
        <w:ind w:firstLine="480" w:firstLineChars="200"/>
        <w:rPr>
          <w:rFonts w:ascii="Times New Roman" w:hAnsi="Times New Roman"/>
          <w:b w:val="0"/>
          <w:color w:val="auto"/>
          <w:sz w:val="24"/>
        </w:rPr>
      </w:pPr>
      <w:r>
        <w:rPr>
          <w:rFonts w:ascii="Times New Roman" w:hAnsi="Times New Roman"/>
          <w:b w:val="0"/>
          <w:color w:val="auto"/>
          <w:sz w:val="24"/>
        </w:rPr>
        <w:t>7.</w:t>
      </w:r>
      <w:r>
        <w:rPr>
          <w:rFonts w:ascii="Times New Roman" w:hAnsi="Times New Roman"/>
          <w:b w:val="0"/>
          <w:color w:val="auto"/>
          <w:sz w:val="24"/>
        </w:rPr>
        <w:tab/>
      </w:r>
      <w:r>
        <w:rPr>
          <w:rFonts w:ascii="Times New Roman" w:hAnsi="Times New Roman"/>
          <w:b w:val="0"/>
          <w:color w:val="auto"/>
          <w:sz w:val="24"/>
        </w:rPr>
        <w:t>施工前应针对可能发生的意外情况或台风、暴雨等极端天气提前制定相应的应急预案。</w:t>
      </w:r>
    </w:p>
    <w:p>
      <w:pPr>
        <w:spacing w:line="288" w:lineRule="auto"/>
        <w:ind w:firstLine="480" w:firstLineChars="200"/>
        <w:rPr>
          <w:rFonts w:ascii="Times New Roman" w:hAnsi="Times New Roman"/>
          <w:lang w:val="zh-CN"/>
        </w:rPr>
      </w:pPr>
      <w:r>
        <w:rPr>
          <w:rFonts w:ascii="Times New Roman" w:hAnsi="Times New Roman"/>
          <w:b w:val="0"/>
          <w:color w:val="auto"/>
          <w:sz w:val="24"/>
        </w:rPr>
        <w:t>8.</w:t>
      </w:r>
      <w:r>
        <w:rPr>
          <w:rFonts w:ascii="Times New Roman" w:hAnsi="Times New Roman"/>
          <w:b w:val="0"/>
          <w:color w:val="auto"/>
          <w:sz w:val="24"/>
        </w:rPr>
        <w:tab/>
      </w:r>
      <w:r>
        <w:rPr>
          <w:rFonts w:ascii="Times New Roman" w:hAnsi="Times New Roman"/>
          <w:b w:val="0"/>
          <w:color w:val="auto"/>
          <w:sz w:val="24"/>
        </w:rPr>
        <w:t>其它未尽事宜遵行国家、建设部、管线管理部门制定的现行有关设计及施工验收规范、规程、规定、条例执行。</w:t>
      </w:r>
    </w:p>
    <w:p>
      <w:pPr>
        <w:pStyle w:val="3"/>
        <w:ind w:firstLine="562" w:firstLineChars="200"/>
      </w:pPr>
      <w:bookmarkStart w:id="207" w:name="_Toc8078"/>
      <w:bookmarkStart w:id="208" w:name="_Toc21873"/>
      <w:r>
        <w:t>排水工程设计方案</w:t>
      </w:r>
      <w:bookmarkEnd w:id="207"/>
      <w:bookmarkEnd w:id="208"/>
    </w:p>
    <w:p>
      <w:pPr>
        <w:pStyle w:val="4"/>
        <w:ind w:firstLine="482" w:firstLineChars="200"/>
      </w:pPr>
      <w:bookmarkStart w:id="209" w:name="_Toc1298"/>
      <w:r>
        <w:t>设计依据</w:t>
      </w:r>
      <w:bookmarkEnd w:id="209"/>
    </w:p>
    <w:p>
      <w:pPr>
        <w:numPr>
          <w:ilvl w:val="0"/>
          <w:numId w:val="22"/>
        </w:numPr>
        <w:spacing w:line="300" w:lineRule="auto"/>
        <w:ind w:left="902" w:firstLine="480" w:firstLineChars="200"/>
        <w:rPr>
          <w:rFonts w:ascii="Times New Roman" w:hAnsi="Times New Roman"/>
          <w:b w:val="0"/>
          <w:color w:val="auto"/>
          <w:sz w:val="24"/>
          <w:szCs w:val="20"/>
        </w:rPr>
      </w:pPr>
      <w:r>
        <w:rPr>
          <w:rFonts w:ascii="Times New Roman" w:hAnsi="Times New Roman"/>
          <w:b w:val="0"/>
          <w:color w:val="auto"/>
          <w:sz w:val="24"/>
          <w:szCs w:val="20"/>
        </w:rPr>
        <w:t>《广州市排水条例实施细则》（穗水规字[2022]8号，广州市水务局）</w:t>
      </w:r>
    </w:p>
    <w:p>
      <w:pPr>
        <w:numPr>
          <w:ilvl w:val="0"/>
          <w:numId w:val="22"/>
        </w:numPr>
        <w:spacing w:line="300" w:lineRule="auto"/>
        <w:ind w:left="902" w:firstLine="480" w:firstLineChars="200"/>
        <w:rPr>
          <w:rFonts w:ascii="Times New Roman" w:hAnsi="Times New Roman"/>
          <w:b w:val="0"/>
          <w:color w:val="auto"/>
          <w:sz w:val="24"/>
          <w:szCs w:val="20"/>
        </w:rPr>
      </w:pPr>
      <w:r>
        <w:rPr>
          <w:rFonts w:ascii="Times New Roman" w:hAnsi="Times New Roman"/>
          <w:b w:val="0"/>
          <w:color w:val="auto"/>
          <w:sz w:val="24"/>
          <w:szCs w:val="20"/>
        </w:rPr>
        <w:t>《广州市污水治理总体规划修编（2009批复版）》</w:t>
      </w:r>
    </w:p>
    <w:p>
      <w:pPr>
        <w:numPr>
          <w:ilvl w:val="0"/>
          <w:numId w:val="22"/>
        </w:numPr>
        <w:spacing w:line="300" w:lineRule="auto"/>
        <w:ind w:left="902" w:firstLine="480" w:firstLineChars="200"/>
        <w:rPr>
          <w:rFonts w:ascii="Times New Roman" w:hAnsi="Times New Roman"/>
          <w:b w:val="0"/>
          <w:color w:val="auto"/>
          <w:sz w:val="24"/>
          <w:szCs w:val="20"/>
        </w:rPr>
      </w:pPr>
      <w:r>
        <w:rPr>
          <w:rFonts w:ascii="Times New Roman" w:hAnsi="Times New Roman"/>
          <w:b w:val="0"/>
          <w:color w:val="auto"/>
          <w:sz w:val="24"/>
          <w:szCs w:val="20"/>
        </w:rPr>
        <w:t>《南沙新区污水专业规划（2015~2025）》（审批稿）</w:t>
      </w:r>
    </w:p>
    <w:p>
      <w:pPr>
        <w:numPr>
          <w:ilvl w:val="0"/>
          <w:numId w:val="22"/>
        </w:numPr>
        <w:spacing w:line="300" w:lineRule="auto"/>
        <w:ind w:left="902" w:firstLine="480" w:firstLineChars="200"/>
        <w:rPr>
          <w:rFonts w:ascii="Times New Roman" w:hAnsi="Times New Roman"/>
          <w:b w:val="0"/>
          <w:color w:val="auto"/>
          <w:sz w:val="24"/>
          <w:szCs w:val="20"/>
        </w:rPr>
      </w:pPr>
      <w:r>
        <w:rPr>
          <w:rFonts w:ascii="Times New Roman" w:hAnsi="Times New Roman"/>
          <w:b w:val="0"/>
          <w:color w:val="auto"/>
          <w:sz w:val="24"/>
          <w:szCs w:val="20"/>
        </w:rPr>
        <w:t>《南沙新区排水（雨水）防涝专业规划（2012~2025）》</w:t>
      </w:r>
    </w:p>
    <w:p>
      <w:pPr>
        <w:numPr>
          <w:ilvl w:val="0"/>
          <w:numId w:val="22"/>
        </w:numPr>
        <w:spacing w:line="300" w:lineRule="auto"/>
        <w:ind w:left="902" w:firstLine="480" w:firstLineChars="200"/>
        <w:rPr>
          <w:rFonts w:ascii="Times New Roman" w:hAnsi="Times New Roman"/>
          <w:b w:val="0"/>
          <w:color w:val="auto"/>
          <w:sz w:val="24"/>
          <w:szCs w:val="20"/>
        </w:rPr>
      </w:pPr>
      <w:r>
        <w:rPr>
          <w:rFonts w:ascii="Times New Roman" w:hAnsi="Times New Roman"/>
          <w:b w:val="0"/>
          <w:color w:val="auto"/>
          <w:sz w:val="24"/>
          <w:szCs w:val="20"/>
        </w:rPr>
        <w:t>《广州市污水系统总体规划（2018-2035年）》</w:t>
      </w:r>
    </w:p>
    <w:p>
      <w:pPr>
        <w:numPr>
          <w:ilvl w:val="0"/>
          <w:numId w:val="22"/>
        </w:numPr>
        <w:spacing w:line="300" w:lineRule="auto"/>
        <w:ind w:left="902" w:firstLine="480" w:firstLineChars="200"/>
        <w:rPr>
          <w:rFonts w:ascii="Times New Roman" w:hAnsi="Times New Roman"/>
          <w:b w:val="0"/>
          <w:color w:val="auto"/>
          <w:sz w:val="24"/>
          <w:szCs w:val="20"/>
        </w:rPr>
      </w:pPr>
      <w:r>
        <w:rPr>
          <w:rFonts w:ascii="Times New Roman" w:hAnsi="Times New Roman"/>
          <w:b w:val="0"/>
          <w:color w:val="auto"/>
          <w:sz w:val="24"/>
          <w:szCs w:val="20"/>
        </w:rPr>
        <w:t>《广州市雨水系统总体规划(2018-2035)》</w:t>
      </w:r>
    </w:p>
    <w:p>
      <w:pPr>
        <w:numPr>
          <w:ilvl w:val="0"/>
          <w:numId w:val="22"/>
        </w:numPr>
        <w:spacing w:line="300" w:lineRule="auto"/>
        <w:ind w:left="902" w:firstLine="480" w:firstLineChars="200"/>
        <w:rPr>
          <w:rFonts w:ascii="Times New Roman" w:hAnsi="Times New Roman"/>
          <w:b w:val="0"/>
          <w:color w:val="auto"/>
          <w:sz w:val="24"/>
          <w:szCs w:val="20"/>
        </w:rPr>
      </w:pPr>
      <w:r>
        <w:rPr>
          <w:rFonts w:ascii="Times New Roman" w:hAnsi="Times New Roman"/>
          <w:b w:val="0"/>
          <w:color w:val="auto"/>
          <w:sz w:val="24"/>
          <w:szCs w:val="20"/>
        </w:rPr>
        <w:t>《关于加强我市市政和房建工程排水设计工作的通知》（穗水排水[2011]77号，广州城乡建设委员会）</w:t>
      </w:r>
    </w:p>
    <w:p>
      <w:pPr>
        <w:numPr>
          <w:ilvl w:val="0"/>
          <w:numId w:val="22"/>
        </w:numPr>
        <w:spacing w:line="300" w:lineRule="auto"/>
        <w:ind w:left="902" w:firstLine="480" w:firstLineChars="200"/>
        <w:rPr>
          <w:rFonts w:ascii="Times New Roman" w:hAnsi="Times New Roman"/>
          <w:b w:val="0"/>
          <w:color w:val="auto"/>
          <w:sz w:val="24"/>
          <w:szCs w:val="20"/>
        </w:rPr>
      </w:pPr>
      <w:r>
        <w:rPr>
          <w:rFonts w:ascii="Times New Roman" w:hAnsi="Times New Roman"/>
          <w:b w:val="0"/>
          <w:color w:val="auto"/>
          <w:sz w:val="24"/>
          <w:szCs w:val="20"/>
        </w:rPr>
        <w:t>《广州市海绵城市规划建设管理暂行办法》</w:t>
      </w:r>
    </w:p>
    <w:p>
      <w:pPr>
        <w:numPr>
          <w:ilvl w:val="0"/>
          <w:numId w:val="22"/>
        </w:numPr>
        <w:spacing w:line="300" w:lineRule="auto"/>
        <w:ind w:left="902" w:firstLine="480" w:firstLineChars="200"/>
        <w:rPr>
          <w:rFonts w:ascii="Times New Roman" w:hAnsi="Times New Roman"/>
          <w:b w:val="0"/>
          <w:color w:val="auto"/>
          <w:sz w:val="24"/>
          <w:szCs w:val="20"/>
        </w:rPr>
      </w:pPr>
      <w:r>
        <w:rPr>
          <w:rFonts w:ascii="Times New Roman" w:hAnsi="Times New Roman"/>
          <w:b w:val="0"/>
          <w:color w:val="auto"/>
          <w:sz w:val="24"/>
          <w:szCs w:val="20"/>
        </w:rPr>
        <w:t>《广州市水务局关于进一步明确排水工程建设要求的通知》穗水规划﹝2017﹞79号</w:t>
      </w:r>
    </w:p>
    <w:p>
      <w:pPr>
        <w:numPr>
          <w:ilvl w:val="0"/>
          <w:numId w:val="22"/>
        </w:numPr>
        <w:spacing w:line="300" w:lineRule="auto"/>
        <w:ind w:left="902" w:firstLine="480" w:firstLineChars="200"/>
        <w:rPr>
          <w:rFonts w:ascii="Times New Roman" w:hAnsi="Times New Roman"/>
          <w:b w:val="0"/>
          <w:color w:val="auto"/>
          <w:sz w:val="24"/>
          <w:szCs w:val="20"/>
        </w:rPr>
      </w:pPr>
      <w:r>
        <w:rPr>
          <w:rFonts w:ascii="Times New Roman" w:hAnsi="Times New Roman"/>
          <w:b w:val="0"/>
          <w:color w:val="auto"/>
          <w:sz w:val="24"/>
          <w:szCs w:val="20"/>
        </w:rPr>
        <w:t>《广州市水务局广州市气象局关于印发广州市暴雨强度公式编制与设计暴雨雨型研究有关技术报告的通知》德水科信[2023]3号</w:t>
      </w:r>
    </w:p>
    <w:p>
      <w:pPr>
        <w:numPr>
          <w:ilvl w:val="0"/>
          <w:numId w:val="22"/>
        </w:numPr>
        <w:spacing w:line="300" w:lineRule="auto"/>
        <w:ind w:left="902" w:firstLine="480" w:firstLineChars="200"/>
        <w:rPr>
          <w:rFonts w:ascii="Times New Roman" w:hAnsi="Times New Roman"/>
          <w:b w:val="0"/>
          <w:color w:val="auto"/>
          <w:sz w:val="24"/>
          <w:szCs w:val="20"/>
        </w:rPr>
      </w:pPr>
      <w:r>
        <w:rPr>
          <w:rFonts w:ascii="Times New Roman" w:hAnsi="Times New Roman"/>
          <w:b w:val="0"/>
          <w:color w:val="auto"/>
          <w:sz w:val="24"/>
          <w:szCs w:val="20"/>
        </w:rPr>
        <w:t>《广州市排水工程技术管理规定》（2022）</w:t>
      </w:r>
    </w:p>
    <w:p>
      <w:pPr>
        <w:pStyle w:val="4"/>
        <w:ind w:firstLine="482" w:firstLineChars="200"/>
      </w:pPr>
      <w:bookmarkStart w:id="210" w:name="_Toc91195429"/>
      <w:bookmarkStart w:id="211" w:name="_Toc24171"/>
      <w:bookmarkStart w:id="212" w:name="_Toc24659"/>
      <w:r>
        <w:t>设计规范及标准</w:t>
      </w:r>
      <w:bookmarkEnd w:id="210"/>
      <w:bookmarkEnd w:id="211"/>
      <w:bookmarkEnd w:id="212"/>
    </w:p>
    <w:p>
      <w:pPr>
        <w:numPr>
          <w:ilvl w:val="0"/>
          <w:numId w:val="23"/>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《室外排水设计标准》GB 50014-2021</w:t>
      </w:r>
    </w:p>
    <w:p>
      <w:pPr>
        <w:numPr>
          <w:ilvl w:val="0"/>
          <w:numId w:val="23"/>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《城市给水工程规划规范》GB 50282-2016</w:t>
      </w:r>
    </w:p>
    <w:p>
      <w:pPr>
        <w:numPr>
          <w:ilvl w:val="0"/>
          <w:numId w:val="23"/>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《城市排水工程规划规范》GB 50318-2017</w:t>
      </w:r>
    </w:p>
    <w:p>
      <w:pPr>
        <w:numPr>
          <w:ilvl w:val="0"/>
          <w:numId w:val="23"/>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《城乡排水工程项目规范》GB 55027-2022</w:t>
      </w:r>
    </w:p>
    <w:p>
      <w:pPr>
        <w:numPr>
          <w:ilvl w:val="0"/>
          <w:numId w:val="23"/>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《城市给水工程项目规范》GB 55026-2022</w:t>
      </w:r>
    </w:p>
    <w:p>
      <w:pPr>
        <w:numPr>
          <w:ilvl w:val="0"/>
          <w:numId w:val="23"/>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《城市工程管线综合规划规范》GB 50289-2018</w:t>
      </w:r>
    </w:p>
    <w:p>
      <w:pPr>
        <w:numPr>
          <w:ilvl w:val="0"/>
          <w:numId w:val="23"/>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《混凝土和钢筋混凝土排水管》GB/T11836-2009</w:t>
      </w:r>
    </w:p>
    <w:p>
      <w:pPr>
        <w:numPr>
          <w:ilvl w:val="0"/>
          <w:numId w:val="23"/>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《给水排水管道工程施工及验收规范》GB 50268-2008</w:t>
      </w:r>
    </w:p>
    <w:p>
      <w:pPr>
        <w:numPr>
          <w:ilvl w:val="0"/>
          <w:numId w:val="23"/>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《给水排水构筑物工程施工及验收规范》GB 50141－2008</w:t>
      </w:r>
    </w:p>
    <w:p>
      <w:pPr>
        <w:numPr>
          <w:ilvl w:val="0"/>
          <w:numId w:val="23"/>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《预制装配式钢筋混凝土排水检查井标准图集》（试行）</w:t>
      </w:r>
    </w:p>
    <w:p>
      <w:pPr>
        <w:numPr>
          <w:ilvl w:val="0"/>
          <w:numId w:val="23"/>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《预制装配式钢筋混凝土排水检查井技术指引》（试行）</w:t>
      </w:r>
    </w:p>
    <w:p>
      <w:pPr>
        <w:numPr>
          <w:ilvl w:val="0"/>
          <w:numId w:val="23"/>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《预制装配式钢筋混凝土雨水口标准图集》（试行）</w:t>
      </w:r>
    </w:p>
    <w:p>
      <w:pPr>
        <w:numPr>
          <w:ilvl w:val="0"/>
          <w:numId w:val="23"/>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《广州城市道路品质建设实施指引（井盖分册）2018》（征求意见稿）</w:t>
      </w:r>
    </w:p>
    <w:p>
      <w:pPr>
        <w:numPr>
          <w:ilvl w:val="0"/>
          <w:numId w:val="23"/>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《广州市水务局关于转发《广州市河长制办公室关于提高新建污水管网管材标准，打好水污染防治攻坚战的通知》并加强污水管网建设质量管理的通知》</w:t>
      </w:r>
    </w:p>
    <w:p>
      <w:pPr>
        <w:numPr>
          <w:ilvl w:val="0"/>
          <w:numId w:val="23"/>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《关于增加污水管道CCTV验收要求说明的通知》（穗污治﹝2008﹞19号）</w:t>
      </w:r>
    </w:p>
    <w:p>
      <w:pPr>
        <w:numPr>
          <w:ilvl w:val="0"/>
          <w:numId w:val="23"/>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《污水用球墨铸铁管、管件和附件》GB/T 26081-2010</w:t>
      </w:r>
    </w:p>
    <w:p>
      <w:pPr>
        <w:numPr>
          <w:ilvl w:val="0"/>
          <w:numId w:val="23"/>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《城市防洪工程设计规范》GB/T 50805-2012</w:t>
      </w:r>
    </w:p>
    <w:p>
      <w:pPr>
        <w:numPr>
          <w:ilvl w:val="0"/>
          <w:numId w:val="23"/>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《城镇内涝防治技术规范》GB 51222-2017</w:t>
      </w:r>
    </w:p>
    <w:p>
      <w:pPr>
        <w:numPr>
          <w:ilvl w:val="0"/>
          <w:numId w:val="23"/>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《井盖设施建设技术规范》（DBJ440100/T 160-2013）</w:t>
      </w:r>
    </w:p>
    <w:p>
      <w:pPr>
        <w:numPr>
          <w:ilvl w:val="0"/>
          <w:numId w:val="23"/>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《广州市绿化条例》(2022修订)</w:t>
      </w:r>
    </w:p>
    <w:p>
      <w:pPr>
        <w:numPr>
          <w:ilvl w:val="0"/>
          <w:numId w:val="23"/>
        </w:numPr>
        <w:spacing w:line="360" w:lineRule="auto"/>
        <w:ind w:left="490" w:leftChars="175" w:firstLine="480" w:firstLineChars="200"/>
        <w:rPr>
          <w:rFonts w:ascii="Times New Roman" w:hAnsi="Times New Roman"/>
          <w:b w:val="0"/>
          <w:color w:val="auto"/>
          <w:sz w:val="24"/>
          <w:szCs w:val="20"/>
          <w:highlight w:val="yellow"/>
        </w:rPr>
      </w:pPr>
      <w:r>
        <w:rPr>
          <w:rFonts w:hint="eastAsia" w:ascii="Times New Roman" w:hAnsi="Times New Roman"/>
          <w:b w:val="0"/>
          <w:color w:val="auto"/>
          <w:sz w:val="24"/>
          <w:szCs w:val="20"/>
          <w:highlight w:val="yellow"/>
        </w:rPr>
        <w:t>《建筑与市政工程抗震通用规程》GB55002-2021</w:t>
      </w:r>
    </w:p>
    <w:p>
      <w:pPr>
        <w:pStyle w:val="4"/>
        <w:ind w:firstLine="482" w:firstLineChars="200"/>
      </w:pPr>
      <w:bookmarkStart w:id="213" w:name="_Toc30070"/>
      <w:bookmarkStart w:id="214" w:name="_Toc14230"/>
      <w:r>
        <w:t>排水工程编制思路</w:t>
      </w:r>
      <w:bookmarkEnd w:id="213"/>
      <w:bookmarkEnd w:id="214"/>
    </w:p>
    <w:p>
      <w:pPr>
        <w:spacing w:line="360" w:lineRule="auto"/>
        <w:ind w:left="900" w:firstLine="480" w:firstLineChars="200"/>
        <w:rPr>
          <w:rFonts w:ascii="Times New Roman" w:hAnsi="Times New Roman"/>
          <w:b w:val="0"/>
          <w:color w:val="auto"/>
          <w:sz w:val="24"/>
          <w:szCs w:val="20"/>
        </w:rPr>
      </w:pPr>
      <w:r>
        <w:rPr>
          <w:rFonts w:ascii="Times New Roman" w:hAnsi="Times New Roman"/>
          <w:b w:val="0"/>
          <w:color w:val="auto"/>
          <w:sz w:val="24"/>
          <w:szCs w:val="20"/>
        </w:rPr>
        <w:t>本设计以相关规划为指导，具体编制思路如下：</w:t>
      </w:r>
    </w:p>
    <w:p>
      <w:pPr>
        <w:numPr>
          <w:ilvl w:val="0"/>
          <w:numId w:val="24"/>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采用雨污分流体制，雨污水管道位置及规模根据收水面积、需求进行设置；</w:t>
      </w:r>
    </w:p>
    <w:p>
      <w:pPr>
        <w:numPr>
          <w:ilvl w:val="0"/>
          <w:numId w:val="24"/>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排水管道设计应符合城市</w:t>
      </w:r>
      <w:r>
        <w:rPr>
          <w:rFonts w:hint="eastAsia" w:ascii="Times New Roman" w:hAnsi="Times New Roman"/>
          <w:b w:val="0"/>
          <w:color w:val="auto"/>
          <w:sz w:val="24"/>
          <w:szCs w:val="20"/>
        </w:rPr>
        <w:t>排水</w:t>
      </w:r>
      <w:r>
        <w:rPr>
          <w:rFonts w:ascii="Times New Roman" w:hAnsi="Times New Roman"/>
          <w:b w:val="0"/>
          <w:color w:val="auto"/>
          <w:sz w:val="24"/>
          <w:szCs w:val="20"/>
        </w:rPr>
        <w:t>规划要求并充分考虑现有体系，近期现状与远期规划相结合；</w:t>
      </w:r>
    </w:p>
    <w:p>
      <w:pPr>
        <w:numPr>
          <w:ilvl w:val="0"/>
          <w:numId w:val="24"/>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排水管道纵向设计应充分利用地形起伏，尽量减小管道埋深，降低工程造价；</w:t>
      </w:r>
    </w:p>
    <w:p>
      <w:pPr>
        <w:numPr>
          <w:ilvl w:val="0"/>
          <w:numId w:val="24"/>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雨水工程考虑道路建成后，沿线土地尚未开发期间农田雨水进行收集和引流；雨水采用就近排放的原则，利用规划保留的河涌作为最终雨水出口；结合道路用地、规划路线位及防洪排涝需求，对部分现状河涌进行适度改造、改线，既保证工程建设期间雨水顺利排放，同时满足远期规划排水总原则；</w:t>
      </w:r>
    </w:p>
    <w:p>
      <w:pPr>
        <w:numPr>
          <w:ilvl w:val="0"/>
          <w:numId w:val="24"/>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排水管材符合国家规范及地方一般规定，管材选用兼顾经济性与适用性。</w:t>
      </w:r>
    </w:p>
    <w:p>
      <w:pPr>
        <w:pStyle w:val="4"/>
        <w:ind w:firstLine="482" w:firstLineChars="200"/>
      </w:pPr>
      <w:bookmarkStart w:id="215" w:name="_Toc17617"/>
      <w:bookmarkStart w:id="216" w:name="_Toc16490"/>
      <w:r>
        <w:t>排水工程设计目标</w:t>
      </w:r>
      <w:bookmarkEnd w:id="215"/>
      <w:bookmarkEnd w:id="216"/>
    </w:p>
    <w:p>
      <w:pPr>
        <w:numPr>
          <w:ilvl w:val="0"/>
          <w:numId w:val="25"/>
        </w:numPr>
        <w:spacing w:line="36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本次设计采用“雨、污分流制”排水体系，从根本上解决河涌受污染问题，改善周边地区自然环境。</w:t>
      </w:r>
    </w:p>
    <w:p>
      <w:pPr>
        <w:numPr>
          <w:ilvl w:val="0"/>
          <w:numId w:val="25"/>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明确排水系统的服务范围，保证对区内污水的有效收集，处理后达标排放。</w:t>
      </w:r>
    </w:p>
    <w:p>
      <w:pPr>
        <w:numPr>
          <w:ilvl w:val="0"/>
          <w:numId w:val="25"/>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由于现状河涌受到的污染主要来自工程范围内污水的直接排放，最终造成对区域内水系的污染，因此污水收集系统应从河涌入手，明确污水收集系统的服务范围，保证区域内的污水不排入河涌，改善周围水体、河涌水质。保证截污管道的实施能实现对污水的有效收集。</w:t>
      </w:r>
    </w:p>
    <w:p>
      <w:pPr>
        <w:numPr>
          <w:ilvl w:val="0"/>
          <w:numId w:val="25"/>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保证区域内雨水能有序收集，就近排放，保证区域功能使用的安全性。</w:t>
      </w:r>
    </w:p>
    <w:p>
      <w:pPr>
        <w:numPr>
          <w:ilvl w:val="0"/>
          <w:numId w:val="25"/>
        </w:numPr>
        <w:spacing w:line="360" w:lineRule="auto"/>
        <w:ind w:left="490" w:leftChars="175" w:firstLine="480" w:firstLineChars="200"/>
        <w:rPr>
          <w:rFonts w:ascii="Times New Roman" w:hAnsi="Times New Roman"/>
          <w:b w:val="0"/>
          <w:color w:val="auto"/>
          <w:sz w:val="24"/>
          <w:szCs w:val="20"/>
        </w:rPr>
      </w:pPr>
      <w:r>
        <w:rPr>
          <w:rFonts w:ascii="Times New Roman" w:hAnsi="Times New Roman"/>
          <w:b w:val="0"/>
          <w:color w:val="auto"/>
          <w:sz w:val="24"/>
          <w:szCs w:val="20"/>
        </w:rPr>
        <w:t>雨水排放系统应考虑道路沿线所服务区域的功能分区以及地势等条件的影响因素，管道应在相应的汇水范围内收集雨水，并将雨水排除，保证路面以及各功能区域不受水淹影响。</w:t>
      </w:r>
    </w:p>
    <w:p>
      <w:pPr>
        <w:pStyle w:val="4"/>
        <w:ind w:firstLine="482" w:firstLineChars="200"/>
      </w:pPr>
      <w:bookmarkStart w:id="217" w:name="_Toc25145"/>
      <w:bookmarkStart w:id="218" w:name="_Toc23817"/>
      <w:r>
        <w:t>排水现状分析</w:t>
      </w:r>
      <w:bookmarkEnd w:id="217"/>
      <w:bookmarkEnd w:id="218"/>
    </w:p>
    <w:p>
      <w:pPr>
        <w:spacing w:line="360" w:lineRule="auto"/>
        <w:ind w:firstLine="480" w:firstLineChars="200"/>
        <w:rPr>
          <w:rFonts w:ascii="Times New Roman" w:hAnsi="Times New Roman"/>
          <w:b w:val="0"/>
          <w:color w:val="auto"/>
          <w:sz w:val="24"/>
        </w:rPr>
      </w:pPr>
      <w:r>
        <w:rPr>
          <w:rFonts w:ascii="Times New Roman" w:hAnsi="Times New Roman"/>
          <w:b w:val="0"/>
          <w:color w:val="auto"/>
          <w:sz w:val="24"/>
        </w:rPr>
        <w:t>本项目周边道路两侧用地现状主要以农田和水塘为主，道路现状基本无排水管，其中与本项目相交道路即万环西路南延线及灵新大道南延线，万环西路南延线正在施工，且万环西路施工图未设计污水管，万环西路两侧分别设计了DN800和DN1200雨水管收集道路雨水，雨水管下游就近排入二十涌、二十一涌。灵新大道南延线目前尚处于建设方案阶段，两侧分别设计了DN1350和BXH=3.0mX2.0m雨水管渠收集道路雨水，下游就近排入二十涌、二十一涌。道路两侧各设计DN500污水管收集两侧地块污水。</w:t>
      </w:r>
    </w:p>
    <w:p>
      <w:pPr>
        <w:spacing w:line="360" w:lineRule="auto"/>
        <w:ind w:firstLine="480" w:firstLineChars="200"/>
        <w:rPr>
          <w:rFonts w:ascii="Times New Roman" w:hAnsi="Times New Roman"/>
          <w:b w:val="0"/>
          <w:color w:val="auto"/>
          <w:sz w:val="24"/>
        </w:rPr>
      </w:pPr>
      <w:r>
        <w:rPr>
          <w:rFonts w:ascii="Times New Roman" w:hAnsi="Times New Roman"/>
          <w:b w:val="0"/>
          <w:color w:val="auto"/>
          <w:sz w:val="24"/>
        </w:rPr>
        <w:t>项目范围内雨水以散排方式排入附近水体或低洼地带。根据《广州南沙新区防洪（潮）排涝专业规划》（2020年10月），万顷沙二十涌、二十一涌的河涌断面底标高2.2~3m（广州城建高程），管控水位6.2m，河涌常水位为5.2m，其中二十一涌（规划纵三路~灵新大道南延线段）为景观性河涌，涌底标高依据相关资料暂按4.0m。</w:t>
      </w:r>
    </w:p>
    <w:p>
      <w:pPr>
        <w:spacing w:line="360" w:lineRule="auto"/>
        <w:ind w:firstLine="562" w:firstLineChars="200"/>
        <w:rPr>
          <w:rFonts w:ascii="Times New Roman" w:hAnsi="Times New Roman"/>
          <w:b w:val="0"/>
          <w:color w:val="auto"/>
          <w:sz w:val="24"/>
          <w:szCs w:val="24"/>
          <w:lang w:val="zh-CN"/>
        </w:rPr>
      </w:pPr>
      <w:r>
        <w:rPr>
          <w:rFonts w:ascii="Times New Roman" w:hAnsi="Times New Roman"/>
          <w:position w:val="-62"/>
        </w:rPr>
        <w:drawing>
          <wp:inline distT="0" distB="0" distL="0" distR="0">
            <wp:extent cx="5287010" cy="1978660"/>
            <wp:effectExtent l="0" t="0" r="8890" b="2540"/>
            <wp:docPr id="588" name="IM 588"/>
            <wp:cNvGraphicFramePr/>
            <a:graphic xmlns:a="http://schemas.openxmlformats.org/drawingml/2006/main">
              <a:graphicData uri="http://schemas.openxmlformats.org/drawingml/2006/picture">
                <pic:pic xmlns:pic="http://schemas.openxmlformats.org/drawingml/2006/picture">
                  <pic:nvPicPr>
                    <pic:cNvPr id="588" name="IM 588"/>
                    <pic:cNvPicPr/>
                  </pic:nvPicPr>
                  <pic:blipFill>
                    <a:blip r:embed="rId197"/>
                    <a:stretch>
                      <a:fillRect/>
                    </a:stretch>
                  </pic:blipFill>
                  <pic:spPr>
                    <a:xfrm>
                      <a:off x="0" y="0"/>
                      <a:ext cx="5287517" cy="1978800"/>
                    </a:xfrm>
                    <a:prstGeom prst="rect">
                      <a:avLst/>
                    </a:prstGeom>
                  </pic:spPr>
                </pic:pic>
              </a:graphicData>
            </a:graphic>
          </wp:inline>
        </w:drawing>
      </w:r>
    </w:p>
    <w:p>
      <w:pPr>
        <w:spacing w:before="38" w:line="220" w:lineRule="auto"/>
        <w:ind w:left="4419" w:firstLine="474" w:firstLineChars="200"/>
        <w:rPr>
          <w:rFonts w:ascii="Times New Roman" w:hAnsi="Times New Roman"/>
          <w:sz w:val="24"/>
          <w:szCs w:val="24"/>
        </w:rPr>
      </w:pPr>
      <w:r>
        <w:rPr>
          <w:rFonts w:ascii="Times New Roman" w:hAnsi="Times New Roman"/>
          <w:spacing w:val="-2"/>
          <w:sz w:val="24"/>
          <w:szCs w:val="24"/>
          <w14:textOutline w14:w="3048" w14:cap="flat" w14:cmpd="sng" w14:algn="ctr">
            <w14:solidFill>
              <w14:srgbClr w14:val="000000"/>
            </w14:solidFill>
            <w14:prstDash w14:val="solid"/>
            <w14:miter w14:val="0"/>
          </w14:textOutline>
        </w:rPr>
        <w:t>项目现状照片</w:t>
      </w:r>
    </w:p>
    <w:p>
      <w:pPr>
        <w:pStyle w:val="4"/>
        <w:ind w:firstLine="482" w:firstLineChars="200"/>
      </w:pPr>
      <w:bookmarkStart w:id="219" w:name="_Toc21802"/>
      <w:bookmarkStart w:id="220" w:name="_Toc30982"/>
      <w:r>
        <w:t>相关市政管线规划分析</w:t>
      </w:r>
      <w:bookmarkEnd w:id="219"/>
      <w:bookmarkEnd w:id="220"/>
    </w:p>
    <w:p>
      <w:pPr>
        <w:pStyle w:val="5"/>
        <w:ind w:firstLine="482" w:firstLineChars="200"/>
        <w:rPr>
          <w:rFonts w:ascii="Times New Roman" w:hAnsi="Times New Roman"/>
        </w:rPr>
      </w:pPr>
      <w:r>
        <w:rPr>
          <w:rFonts w:ascii="Times New Roman" w:hAnsi="Times New Roman"/>
        </w:rPr>
        <w:t>雨水工程规划</w:t>
      </w:r>
    </w:p>
    <w:p>
      <w:pPr>
        <w:spacing w:line="36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根据《南沙新区排水（雨水）防涝专业规划(2015～2025)（报批稿）》，工程范围内现状主要为水田，</w:t>
      </w:r>
      <w:r>
        <w:rPr>
          <w:rFonts w:hint="eastAsia" w:ascii="Times New Roman" w:hAnsi="Times New Roman"/>
          <w:b w:val="0"/>
          <w:color w:val="auto"/>
          <w:sz w:val="24"/>
          <w:szCs w:val="24"/>
          <w:lang w:val="zh-CN"/>
        </w:rPr>
        <w:t>本</w:t>
      </w:r>
      <w:r>
        <w:rPr>
          <w:rFonts w:ascii="Times New Roman" w:hAnsi="Times New Roman"/>
          <w:b w:val="0"/>
          <w:color w:val="auto"/>
          <w:sz w:val="24"/>
          <w:szCs w:val="24"/>
          <w:lang w:val="zh-CN"/>
        </w:rPr>
        <w:t>规划</w:t>
      </w:r>
      <w:r>
        <w:rPr>
          <w:rFonts w:hint="eastAsia" w:ascii="Times New Roman" w:hAnsi="Times New Roman"/>
          <w:b w:val="0"/>
          <w:color w:val="auto"/>
          <w:sz w:val="24"/>
          <w:szCs w:val="24"/>
          <w:lang w:val="zh-CN"/>
        </w:rPr>
        <w:t>在该区域未涉及</w:t>
      </w:r>
      <w:r>
        <w:rPr>
          <w:rFonts w:ascii="Times New Roman" w:hAnsi="Times New Roman"/>
          <w:b w:val="0"/>
          <w:color w:val="auto"/>
          <w:sz w:val="24"/>
          <w:szCs w:val="24"/>
          <w:lang w:val="zh-CN"/>
        </w:rPr>
        <w:t>雨水管道。</w:t>
      </w:r>
    </w:p>
    <w:p>
      <w:pPr>
        <w:spacing w:line="360" w:lineRule="auto"/>
        <w:ind w:firstLine="562" w:firstLineChars="200"/>
        <w:jc w:val="center"/>
        <w:rPr>
          <w:rFonts w:ascii="Times New Roman" w:hAnsi="Times New Roman"/>
          <w:b w:val="0"/>
          <w:color w:val="auto"/>
          <w:sz w:val="24"/>
          <w:szCs w:val="24"/>
          <w:lang w:val="zh-CN"/>
        </w:rPr>
      </w:pPr>
      <w:r>
        <w:rPr>
          <w:rFonts w:ascii="Times New Roman" w:hAnsi="Times New Roman"/>
          <w:position w:val="-115"/>
        </w:rPr>
        <w:drawing>
          <wp:inline distT="0" distB="0" distL="0" distR="0">
            <wp:extent cx="4529455" cy="3677285"/>
            <wp:effectExtent l="0" t="0" r="4445" b="18415"/>
            <wp:docPr id="590" name="IM 590"/>
            <wp:cNvGraphicFramePr/>
            <a:graphic xmlns:a="http://schemas.openxmlformats.org/drawingml/2006/main">
              <a:graphicData uri="http://schemas.openxmlformats.org/drawingml/2006/picture">
                <pic:pic xmlns:pic="http://schemas.openxmlformats.org/drawingml/2006/picture">
                  <pic:nvPicPr>
                    <pic:cNvPr id="590" name="IM 590"/>
                    <pic:cNvPicPr/>
                  </pic:nvPicPr>
                  <pic:blipFill>
                    <a:blip r:embed="rId198"/>
                    <a:stretch>
                      <a:fillRect/>
                    </a:stretch>
                  </pic:blipFill>
                  <pic:spPr>
                    <a:xfrm>
                      <a:off x="0" y="0"/>
                      <a:ext cx="4530089" cy="3677411"/>
                    </a:xfrm>
                    <a:prstGeom prst="rect">
                      <a:avLst/>
                    </a:prstGeom>
                  </pic:spPr>
                </pic:pic>
              </a:graphicData>
            </a:graphic>
          </wp:inline>
        </w:drawing>
      </w:r>
    </w:p>
    <w:p>
      <w:pPr>
        <w:spacing w:before="239" w:line="220" w:lineRule="auto"/>
        <w:ind w:left="3944" w:firstLine="474" w:firstLineChars="200"/>
        <w:rPr>
          <w:rFonts w:ascii="Times New Roman" w:hAnsi="Times New Roman"/>
          <w:sz w:val="24"/>
          <w:szCs w:val="24"/>
        </w:rPr>
      </w:pPr>
      <w:r>
        <w:rPr>
          <w:rFonts w:ascii="Times New Roman" w:hAnsi="Times New Roman"/>
          <w:spacing w:val="-2"/>
          <w:sz w:val="24"/>
          <w:szCs w:val="24"/>
          <w14:textOutline w14:w="3048" w14:cap="flat" w14:cmpd="sng" w14:algn="ctr">
            <w14:solidFill>
              <w14:srgbClr w14:val="000000"/>
            </w14:solidFill>
            <w14:prstDash w14:val="solid"/>
            <w14:miter w14:val="0"/>
          </w14:textOutline>
        </w:rPr>
        <w:t>雨水工程规划总平面图</w:t>
      </w:r>
    </w:p>
    <w:p>
      <w:pPr>
        <w:spacing w:line="36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根据《南沙规划管理单元DW1005控制性详细规划调整》（2023.08），本工程范围内规划雨水管径为DN600~DN1800，就近排入二十涌和二十一涌。其中规划纵三路敷设DN600～DN1350雨水管，分段汇入二十一涌；二十涌北路未规划雨水管线。提升现有堤防至200年一遇防洪标准，堤顶高程不低于9.01m。规划扩建二十涌与外江交汇处水闸，新建二十涌排涝泵站。</w:t>
      </w:r>
    </w:p>
    <w:p>
      <w:pPr>
        <w:spacing w:line="360" w:lineRule="auto"/>
        <w:ind w:firstLine="480" w:firstLineChars="200"/>
        <w:jc w:val="left"/>
        <w:rPr>
          <w:rFonts w:ascii="Times New Roman" w:hAnsi="Times New Roman"/>
          <w:b w:val="0"/>
          <w:color w:val="auto"/>
          <w:sz w:val="24"/>
          <w:szCs w:val="24"/>
        </w:rPr>
      </w:pPr>
      <w:r>
        <w:rPr>
          <w:rFonts w:hint="eastAsia" w:ascii="Times New Roman" w:hAnsi="Times New Roman"/>
          <w:b w:val="0"/>
          <w:color w:val="auto"/>
          <w:sz w:val="24"/>
          <w:szCs w:val="24"/>
        </w:rPr>
        <w:t>本工程依据</w:t>
      </w:r>
      <w:r>
        <w:rPr>
          <w:rFonts w:ascii="Times New Roman" w:hAnsi="Times New Roman"/>
          <w:b w:val="0"/>
          <w:color w:val="auto"/>
          <w:sz w:val="24"/>
          <w:szCs w:val="24"/>
        </w:rPr>
        <w:t>《南沙规</w:t>
      </w:r>
      <w:r>
        <w:rPr>
          <w:rFonts w:hint="eastAsia" w:ascii="Times New Roman" w:hAnsi="Times New Roman"/>
          <w:b w:val="0"/>
          <w:color w:val="auto"/>
          <w:sz w:val="24"/>
          <w:szCs w:val="24"/>
        </w:rPr>
        <w:t>实施</w:t>
      </w:r>
      <w:r>
        <w:rPr>
          <w:rFonts w:ascii="Times New Roman" w:hAnsi="Times New Roman"/>
          <w:b w:val="0"/>
          <w:color w:val="auto"/>
          <w:sz w:val="24"/>
          <w:szCs w:val="24"/>
        </w:rPr>
        <w:t>划管理单元DW1005控制性详细规划调整》（2023.08）</w:t>
      </w:r>
      <w:r>
        <w:rPr>
          <w:rFonts w:hint="eastAsia" w:ascii="Times New Roman" w:hAnsi="Times New Roman"/>
          <w:b w:val="0"/>
          <w:color w:val="auto"/>
          <w:sz w:val="24"/>
          <w:szCs w:val="24"/>
        </w:rPr>
        <w:t>内容实施。</w:t>
      </w:r>
    </w:p>
    <w:p>
      <w:pPr>
        <w:spacing w:line="360" w:lineRule="auto"/>
        <w:ind w:firstLine="562" w:firstLineChars="200"/>
        <w:jc w:val="center"/>
        <w:rPr>
          <w:rFonts w:ascii="Times New Roman" w:hAnsi="Times New Roman"/>
          <w:b w:val="0"/>
          <w:color w:val="auto"/>
          <w:sz w:val="24"/>
          <w:szCs w:val="24"/>
          <w:lang w:val="zh-CN"/>
        </w:rPr>
      </w:pPr>
      <w:r>
        <w:rPr>
          <w:rFonts w:ascii="Times New Roman" w:hAnsi="Times New Roman"/>
        </w:rPr>
        <w:drawing>
          <wp:inline distT="0" distB="0" distL="0" distR="0">
            <wp:extent cx="3733800" cy="3217545"/>
            <wp:effectExtent l="0" t="0" r="0" b="190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199"/>
                    <a:stretch>
                      <a:fillRect/>
                    </a:stretch>
                  </pic:blipFill>
                  <pic:spPr>
                    <a:xfrm>
                      <a:off x="0" y="0"/>
                      <a:ext cx="3742710" cy="3225583"/>
                    </a:xfrm>
                    <a:prstGeom prst="rect">
                      <a:avLst/>
                    </a:prstGeom>
                  </pic:spPr>
                </pic:pic>
              </a:graphicData>
            </a:graphic>
          </wp:inline>
        </w:drawing>
      </w:r>
    </w:p>
    <w:p>
      <w:pPr>
        <w:spacing w:before="185" w:line="220" w:lineRule="auto"/>
        <w:ind w:left="4695" w:firstLine="470" w:firstLineChars="200"/>
        <w:rPr>
          <w:rFonts w:ascii="Times New Roman" w:hAnsi="Times New Roman"/>
          <w:spacing w:val="-3"/>
          <w:sz w:val="24"/>
          <w:szCs w:val="24"/>
          <w14:textOutline w14:w="3048" w14:cap="flat" w14:cmpd="sng" w14:algn="ctr">
            <w14:solidFill>
              <w14:srgbClr w14:val="000000"/>
            </w14:solidFill>
            <w14:prstDash w14:val="solid"/>
            <w14:miter w14:val="0"/>
          </w14:textOutline>
        </w:rPr>
      </w:pPr>
      <w:r>
        <w:rPr>
          <w:rFonts w:ascii="Times New Roman" w:hAnsi="Times New Roman"/>
          <w:spacing w:val="-3"/>
          <w:sz w:val="24"/>
          <w:szCs w:val="24"/>
          <w14:textOutline w14:w="3048" w14:cap="flat" w14:cmpd="sng" w14:algn="ctr">
            <w14:solidFill>
              <w14:srgbClr w14:val="000000"/>
            </w14:solidFill>
            <w14:prstDash w14:val="solid"/>
            <w14:miter w14:val="0"/>
          </w14:textOutline>
        </w:rPr>
        <w:t>雨水规划图</w:t>
      </w:r>
    </w:p>
    <w:p>
      <w:pPr>
        <w:pStyle w:val="5"/>
        <w:ind w:firstLine="482" w:firstLineChars="200"/>
        <w:rPr>
          <w:rFonts w:ascii="Times New Roman" w:hAnsi="Times New Roman"/>
        </w:rPr>
      </w:pPr>
      <w:r>
        <w:rPr>
          <w:rFonts w:ascii="Times New Roman" w:hAnsi="Times New Roman"/>
        </w:rPr>
        <w:t>污水工程规划</w:t>
      </w:r>
    </w:p>
    <w:p>
      <w:pPr>
        <w:spacing w:before="182" w:line="212"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根据《南沙新区污水专业规划（2015~2025）》，工程范围内现状主要为水田，未规划污水管道。</w:t>
      </w:r>
    </w:p>
    <w:p>
      <w:pPr>
        <w:spacing w:line="360" w:lineRule="auto"/>
        <w:ind w:firstLine="562" w:firstLineChars="200"/>
        <w:jc w:val="center"/>
        <w:rPr>
          <w:rFonts w:ascii="Times New Roman" w:hAnsi="Times New Roman"/>
          <w:b w:val="0"/>
          <w:color w:val="auto"/>
          <w:sz w:val="24"/>
          <w:szCs w:val="24"/>
        </w:rPr>
      </w:pPr>
      <w:r>
        <w:rPr>
          <w:rFonts w:ascii="Times New Roman" w:hAnsi="Times New Roman"/>
          <w:position w:val="-99"/>
        </w:rPr>
        <w:drawing>
          <wp:inline distT="0" distB="0" distL="0" distR="0">
            <wp:extent cx="3763645" cy="2966085"/>
            <wp:effectExtent l="0" t="0" r="8255" b="5715"/>
            <wp:docPr id="69" name="IM 598"/>
            <wp:cNvGraphicFramePr/>
            <a:graphic xmlns:a="http://schemas.openxmlformats.org/drawingml/2006/main">
              <a:graphicData uri="http://schemas.openxmlformats.org/drawingml/2006/picture">
                <pic:pic xmlns:pic="http://schemas.openxmlformats.org/drawingml/2006/picture">
                  <pic:nvPicPr>
                    <pic:cNvPr id="69" name="IM 598"/>
                    <pic:cNvPicPr/>
                  </pic:nvPicPr>
                  <pic:blipFill>
                    <a:blip r:embed="rId200"/>
                    <a:stretch>
                      <a:fillRect/>
                    </a:stretch>
                  </pic:blipFill>
                  <pic:spPr>
                    <a:xfrm>
                      <a:off x="0" y="0"/>
                      <a:ext cx="3767774" cy="2969517"/>
                    </a:xfrm>
                    <a:prstGeom prst="rect">
                      <a:avLst/>
                    </a:prstGeom>
                  </pic:spPr>
                </pic:pic>
              </a:graphicData>
            </a:graphic>
          </wp:inline>
        </w:drawing>
      </w:r>
    </w:p>
    <w:p>
      <w:pPr>
        <w:spacing w:before="188" w:line="220" w:lineRule="auto"/>
        <w:ind w:left="4085" w:firstLine="478" w:firstLineChars="200"/>
        <w:rPr>
          <w:rFonts w:ascii="Times New Roman" w:hAnsi="Times New Roman"/>
          <w:sz w:val="24"/>
          <w:szCs w:val="24"/>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污水工程规划总平面图</w:t>
      </w:r>
    </w:p>
    <w:p>
      <w:pPr>
        <w:spacing w:line="36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根据《南沙规划管理单元DW1005控制性详细规划调整》</w:t>
      </w:r>
      <w:r>
        <w:rPr>
          <w:rFonts w:ascii="Times New Roman" w:hAnsi="Times New Roman"/>
          <w:b w:val="0"/>
          <w:color w:val="auto"/>
          <w:sz w:val="24"/>
          <w:szCs w:val="24"/>
          <w:lang w:val="zh-CN"/>
        </w:rPr>
        <w:t>（2023.08）</w:t>
      </w:r>
      <w:r>
        <w:rPr>
          <w:rFonts w:ascii="Times New Roman" w:hAnsi="Times New Roman"/>
          <w:b w:val="0"/>
          <w:color w:val="auto"/>
          <w:sz w:val="24"/>
          <w:szCs w:val="24"/>
        </w:rPr>
        <w:t>，二十涌北路</w:t>
      </w:r>
      <w:r>
        <w:rPr>
          <w:rFonts w:hint="eastAsia" w:ascii="Times New Roman" w:hAnsi="Times New Roman"/>
          <w:b w:val="0"/>
          <w:color w:val="auto"/>
          <w:sz w:val="24"/>
          <w:szCs w:val="24"/>
        </w:rPr>
        <w:t>、规划纵三路暂无</w:t>
      </w:r>
      <w:r>
        <w:rPr>
          <w:rFonts w:ascii="Times New Roman" w:hAnsi="Times New Roman"/>
          <w:b w:val="0"/>
          <w:color w:val="auto"/>
          <w:sz w:val="24"/>
          <w:szCs w:val="24"/>
        </w:rPr>
        <w:t>规划</w:t>
      </w:r>
      <w:r>
        <w:rPr>
          <w:rFonts w:hint="eastAsia" w:ascii="Times New Roman" w:hAnsi="Times New Roman"/>
          <w:b w:val="0"/>
          <w:color w:val="auto"/>
          <w:sz w:val="24"/>
          <w:szCs w:val="24"/>
        </w:rPr>
        <w:t>污</w:t>
      </w:r>
      <w:r>
        <w:rPr>
          <w:rFonts w:ascii="Times New Roman" w:hAnsi="Times New Roman"/>
          <w:b w:val="0"/>
          <w:color w:val="auto"/>
          <w:sz w:val="24"/>
          <w:szCs w:val="24"/>
        </w:rPr>
        <w:t>水管线。</w:t>
      </w:r>
    </w:p>
    <w:p>
      <w:pPr>
        <w:spacing w:line="360" w:lineRule="auto"/>
        <w:ind w:firstLine="562" w:firstLineChars="200"/>
        <w:jc w:val="center"/>
        <w:rPr>
          <w:rFonts w:ascii="Times New Roman" w:hAnsi="Times New Roman"/>
          <w:b w:val="0"/>
          <w:color w:val="auto"/>
          <w:sz w:val="24"/>
          <w:szCs w:val="24"/>
        </w:rPr>
      </w:pPr>
      <w:r>
        <w:rPr>
          <w:rFonts w:ascii="Times New Roman" w:hAnsi="Times New Roman"/>
        </w:rPr>
        <w:drawing>
          <wp:inline distT="0" distB="0" distL="0" distR="0">
            <wp:extent cx="3709035" cy="3152775"/>
            <wp:effectExtent l="0" t="0" r="5715" b="952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201"/>
                    <a:stretch>
                      <a:fillRect/>
                    </a:stretch>
                  </pic:blipFill>
                  <pic:spPr>
                    <a:xfrm>
                      <a:off x="0" y="0"/>
                      <a:ext cx="3712087" cy="3155274"/>
                    </a:xfrm>
                    <a:prstGeom prst="rect">
                      <a:avLst/>
                    </a:prstGeom>
                  </pic:spPr>
                </pic:pic>
              </a:graphicData>
            </a:graphic>
          </wp:inline>
        </w:drawing>
      </w:r>
    </w:p>
    <w:p>
      <w:pPr>
        <w:spacing w:before="150" w:line="220" w:lineRule="auto"/>
        <w:ind w:left="4540" w:firstLine="474" w:firstLineChars="200"/>
        <w:rPr>
          <w:rFonts w:ascii="Times New Roman" w:hAnsi="Times New Roman"/>
          <w:sz w:val="24"/>
          <w:szCs w:val="24"/>
        </w:rPr>
      </w:pPr>
      <w:r>
        <w:rPr>
          <w:rFonts w:ascii="Times New Roman" w:hAnsi="Times New Roman"/>
          <w:spacing w:val="-2"/>
          <w:sz w:val="24"/>
          <w:szCs w:val="24"/>
          <w14:textOutline w14:w="3048" w14:cap="flat" w14:cmpd="sng" w14:algn="ctr">
            <w14:solidFill>
              <w14:srgbClr w14:val="000000"/>
            </w14:solidFill>
            <w14:prstDash w14:val="solid"/>
            <w14:miter w14:val="0"/>
          </w14:textOutline>
        </w:rPr>
        <w:t>污水规划图</w:t>
      </w:r>
    </w:p>
    <w:p>
      <w:pPr>
        <w:pStyle w:val="4"/>
        <w:ind w:firstLine="482" w:firstLineChars="200"/>
      </w:pPr>
      <w:bookmarkStart w:id="221" w:name="_Toc29310"/>
      <w:bookmarkStart w:id="222" w:name="_Toc18924"/>
      <w:r>
        <w:t>雨水工程设计</w:t>
      </w:r>
      <w:bookmarkEnd w:id="221"/>
      <w:bookmarkEnd w:id="222"/>
    </w:p>
    <w:p>
      <w:pPr>
        <w:pStyle w:val="5"/>
        <w:ind w:firstLine="482" w:firstLineChars="200"/>
        <w:rPr>
          <w:rFonts w:ascii="Times New Roman" w:hAnsi="Times New Roman"/>
        </w:rPr>
      </w:pPr>
      <w:r>
        <w:rPr>
          <w:rFonts w:ascii="Times New Roman" w:hAnsi="Times New Roman"/>
        </w:rPr>
        <w:t>雨水排放系统设计原则</w:t>
      </w:r>
    </w:p>
    <w:p>
      <w:pPr>
        <w:numPr>
          <w:ilvl w:val="0"/>
          <w:numId w:val="26"/>
        </w:numPr>
        <w:spacing w:line="36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根据地形布置，雨水排水系统要求做到自排为主；</w:t>
      </w:r>
    </w:p>
    <w:p>
      <w:pPr>
        <w:numPr>
          <w:ilvl w:val="0"/>
          <w:numId w:val="26"/>
        </w:numPr>
        <w:spacing w:line="36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雨水以最短距离就近、分散排放至附近水体，不长距离转输，以减小径，降低埋深及工程造价；</w:t>
      </w:r>
    </w:p>
    <w:p>
      <w:pPr>
        <w:numPr>
          <w:ilvl w:val="0"/>
          <w:numId w:val="26"/>
        </w:numPr>
        <w:spacing w:line="36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河涌布置在与其他规划协调的基础上，尽量维持现状走向；</w:t>
      </w:r>
    </w:p>
    <w:p>
      <w:pPr>
        <w:numPr>
          <w:ilvl w:val="0"/>
          <w:numId w:val="26"/>
        </w:numPr>
        <w:spacing w:line="36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雨水排水分区的设置要结合当地实际情况，按分片排涝、适度集中、统一调度、联合运行的原则进行；</w:t>
      </w:r>
    </w:p>
    <w:p>
      <w:pPr>
        <w:numPr>
          <w:ilvl w:val="0"/>
          <w:numId w:val="26"/>
        </w:numPr>
        <w:spacing w:line="36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本工程方案设计依据雨水规划，遵循“二级排水，蓄排结合、分散出口、就近排放”的原则，结合本工程防洪排涝规划和道路竖向规划进行雨水管网的布置，并针对原规划进行优化和深化，通过合理布管，尽可能地在管线较短和埋深较小的情况下，让最大区域的雨水能自流排放。</w:t>
      </w:r>
    </w:p>
    <w:p>
      <w:pPr>
        <w:pStyle w:val="5"/>
        <w:ind w:firstLine="482" w:firstLineChars="200"/>
        <w:rPr>
          <w:rFonts w:ascii="Times New Roman" w:hAnsi="Times New Roman"/>
        </w:rPr>
      </w:pPr>
      <w:r>
        <w:rPr>
          <w:rFonts w:ascii="Times New Roman" w:hAnsi="Times New Roman"/>
        </w:rPr>
        <w:t>设计技术标准的确定</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（一）暴雨强度公式的确定</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道路雨水设计流量采用《广州市暴雨强度公式编制与设计暴雨雨型研究技术报告》（广东省气候中心2022年12月）中的南沙暴</w:t>
      </w:r>
      <w:r>
        <w:rPr>
          <w:rFonts w:ascii="Times New Roman" w:hAnsi="Times New Roman"/>
          <w:b w:val="0"/>
          <w:color w:val="auto"/>
          <w:sz w:val="24"/>
          <w:szCs w:val="24"/>
          <w:highlight w:val="yellow"/>
        </w:rPr>
        <w:t>雨强度公式（设计重现期P取10年）</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highlight w:val="yellow"/>
        </w:rPr>
        <w:t>q=6601.844/（t+18.629）0.799（L／s•ha）</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q：设计暴雨强度（L/s·ha）</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t=t1+t2：降雨历时（分钟）；其中t1为地面集水时间，取10分钟；t2为管内流行时间。</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（二）雨水管道流量计算公式的确定</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雨水量设计采用下列公式：</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object>
          <v:shape id="_x0000_i1042" o:spt="75" type="#_x0000_t75" style="height:14.25pt;width:65.25pt;" o:ole="t" filled="f" o:preferrelative="t" stroked="f" coordsize="21600,21600">
            <v:path/>
            <v:fill on="f" focussize="0,0"/>
            <v:stroke on="f" joinstyle="miter"/>
            <v:imagedata r:id="rId203" o:title=""/>
            <o:lock v:ext="edit" aspectratio="t"/>
            <w10:wrap type="none"/>
            <w10:anchorlock/>
          </v:shape>
          <o:OLEObject Type="Embed" ProgID="Equation.3" ShapeID="_x0000_i1042" DrawAspect="Content" ObjectID="_1468075742" r:id="rId202">
            <o:LockedField>false</o:LockedField>
          </o:OLEObject>
        </w:objec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式中：Q––雨水设计流量</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q––设计暴雨强度(L/s·ha)</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object>
          <v:shape id="_x0000_i1043" o:spt="75" type="#_x0000_t75" style="height:6.75pt;width:6.75pt;" o:ole="t" filled="f" o:preferrelative="t" stroked="f" coordsize="21600,21600">
            <v:path/>
            <v:fill on="f" focussize="0,0"/>
            <v:stroke on="f" joinstyle="miter"/>
            <v:imagedata r:id="rId205" o:title=""/>
            <o:lock v:ext="edit" aspectratio="t"/>
            <w10:wrap type="none"/>
            <w10:anchorlock/>
          </v:shape>
          <o:OLEObject Type="Embed" ProgID="Equation.3" ShapeID="_x0000_i1043" DrawAspect="Content" ObjectID="_1468075743" r:id="rId204">
            <o:LockedField>false</o:LockedField>
          </o:OLEObject>
        </w:object>
      </w:r>
      <w:r>
        <w:rPr>
          <w:rFonts w:ascii="Times New Roman" w:hAnsi="Times New Roman"/>
          <w:b w:val="0"/>
          <w:color w:val="auto"/>
          <w:sz w:val="24"/>
          <w:szCs w:val="24"/>
        </w:rPr>
        <w:t>––综合径流系数；</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F––汇水面积（ha)；</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设计参数：服务范围的径流系数按地块覆盖情况确定。</w:t>
      </w:r>
    </w:p>
    <w:p>
      <w:pPr>
        <w:spacing w:line="36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综合径流系数</w:t>
      </w:r>
      <w:r>
        <w:rPr>
          <w:rFonts w:ascii="Times New Roman" w:hAnsi="Times New Roman"/>
          <w:b w:val="0"/>
          <w:color w:val="auto"/>
          <w:sz w:val="24"/>
          <w:szCs w:val="24"/>
          <w:lang w:val="zh-CN"/>
        </w:rPr>
        <w:object>
          <v:shape id="_x0000_i1044" o:spt="75" type="#_x0000_t75" style="height:6.75pt;width:6.75pt;" o:ole="t" filled="f" o:preferrelative="t" stroked="f" coordsize="21600,21600">
            <v:path/>
            <v:fill on="f" focussize="0,0"/>
            <v:stroke on="f" joinstyle="miter"/>
            <v:imagedata r:id="rId205" o:title=""/>
            <o:lock v:ext="edit" aspectratio="t"/>
            <w10:wrap type="none"/>
            <w10:anchorlock/>
          </v:shape>
          <o:OLEObject Type="Embed" ProgID="Equation.3" ShapeID="_x0000_i1044" DrawAspect="Content" ObjectID="_1468075744" r:id="rId206">
            <o:LockedField>false</o:LockedField>
          </o:OLEObject>
        </w:object>
      </w:r>
      <w:r>
        <w:rPr>
          <w:rFonts w:ascii="Times New Roman" w:hAnsi="Times New Roman"/>
          <w:b w:val="0"/>
          <w:color w:val="auto"/>
          <w:sz w:val="24"/>
          <w:szCs w:val="24"/>
          <w:lang w:val="zh-CN"/>
        </w:rPr>
        <w:t>=0.65-0.70；道路径流系数</w:t>
      </w:r>
      <w:r>
        <w:rPr>
          <w:rFonts w:ascii="Times New Roman" w:hAnsi="Times New Roman"/>
          <w:b w:val="0"/>
          <w:color w:val="auto"/>
          <w:sz w:val="24"/>
          <w:szCs w:val="24"/>
          <w:lang w:val="zh-CN"/>
        </w:rPr>
        <w:object>
          <v:shape id="_x0000_i1045" o:spt="75" type="#_x0000_t75" style="height:6.75pt;width:6.75pt;" o:ole="t" filled="f" o:preferrelative="t" stroked="f" coordsize="21600,21600">
            <v:path/>
            <v:fill on="f" focussize="0,0"/>
            <v:stroke on="f" joinstyle="miter"/>
            <v:imagedata r:id="rId205" o:title=""/>
            <o:lock v:ext="edit" aspectratio="t"/>
            <w10:wrap type="none"/>
            <w10:anchorlock/>
          </v:shape>
          <o:OLEObject Type="Embed" ProgID="Equation.3" ShapeID="_x0000_i1045" DrawAspect="Content" ObjectID="_1468075745" r:id="rId207">
            <o:LockedField>false</o:LockedField>
          </o:OLEObject>
        </w:object>
      </w:r>
      <w:r>
        <w:rPr>
          <w:rFonts w:ascii="Times New Roman" w:hAnsi="Times New Roman"/>
          <w:b w:val="0"/>
          <w:color w:val="auto"/>
          <w:sz w:val="24"/>
          <w:szCs w:val="24"/>
          <w:lang w:val="zh-CN"/>
        </w:rPr>
        <w:t>=0.9；绿地径流系数</w:t>
      </w:r>
      <w:r>
        <w:rPr>
          <w:rFonts w:ascii="Times New Roman" w:hAnsi="Times New Roman"/>
          <w:b w:val="0"/>
          <w:color w:val="auto"/>
          <w:sz w:val="24"/>
          <w:szCs w:val="24"/>
          <w:lang w:val="zh-CN"/>
        </w:rPr>
        <w:object>
          <v:shape id="_x0000_i1046" o:spt="75" type="#_x0000_t75" style="height:6.75pt;width:6.75pt;" o:ole="t" filled="f" o:preferrelative="t" stroked="f" coordsize="21600,21600">
            <v:path/>
            <v:fill on="f" focussize="0,0"/>
            <v:stroke on="f" joinstyle="miter"/>
            <v:imagedata r:id="rId205" o:title=""/>
            <o:lock v:ext="edit" aspectratio="t"/>
            <w10:wrap type="none"/>
            <w10:anchorlock/>
          </v:shape>
          <o:OLEObject Type="Embed" ProgID="Equation.3" ShapeID="_x0000_i1046" DrawAspect="Content" ObjectID="_1468075746" r:id="rId208">
            <o:LockedField>false</o:LockedField>
          </o:OLEObject>
        </w:object>
      </w:r>
      <w:r>
        <w:rPr>
          <w:rFonts w:ascii="Times New Roman" w:hAnsi="Times New Roman"/>
          <w:b w:val="0"/>
          <w:color w:val="auto"/>
          <w:sz w:val="24"/>
          <w:szCs w:val="24"/>
          <w:lang w:val="zh-CN"/>
        </w:rPr>
        <w:t>=0.15-0.30。</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（三）设计管段的管径、流速、坡度确定</w:t>
      </w:r>
    </w:p>
    <w:p>
      <w:pPr>
        <w:spacing w:line="36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雨水管管径的最小流速Vmin＝0.75m/s，最大流速Vmax＝5m/s。</w:t>
      </w:r>
    </w:p>
    <w:p>
      <w:pPr>
        <w:spacing w:line="36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雨水管按满流计算，即h/D=1.0。</w:t>
      </w:r>
    </w:p>
    <w:p>
      <w:pPr>
        <w:spacing w:line="36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一般情况下，雨水管段的连接均采用管顶平接。</w:t>
      </w:r>
    </w:p>
    <w:p>
      <w:pPr>
        <w:pStyle w:val="5"/>
        <w:ind w:firstLine="482" w:firstLineChars="200"/>
        <w:rPr>
          <w:rFonts w:ascii="Times New Roman" w:hAnsi="Times New Roman"/>
        </w:rPr>
      </w:pPr>
      <w:r>
        <w:rPr>
          <w:rFonts w:ascii="Times New Roman" w:hAnsi="Times New Roman"/>
        </w:rPr>
        <w:t>雨水工程方案设计</w:t>
      </w:r>
    </w:p>
    <w:p>
      <w:pPr>
        <w:spacing w:line="36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根据规划、现状实际情况和该片区规划河涌水系特点，并按高水高排、低水低排的原则，本工程雨水排水方案设计如下：</w:t>
      </w:r>
    </w:p>
    <w:p>
      <w:pPr>
        <w:spacing w:line="36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（1）二十涌北路北侧敷设DN600～DN1350雨水管，南侧敷设DN600～DN1000雨水管，均敷设在机动车道下，距离道路中心线11.25m，具体管位详见管线平面图和管道综合标准横断面图。</w:t>
      </w:r>
    </w:p>
    <w:p>
      <w:pPr>
        <w:spacing w:line="36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ESCBK0+000～ESCBK0+300段，北侧敷设DN600～DN1350雨水管，南侧敷设DN600～DN1000雨水管由东往西汇，ESCBK0+300～ESCBK0+600段，北侧敷设DN600～DN1350雨水管，南侧敷设DN600～DN1000雨水管由西往东汇，在ESCBK0+300汇集后汇入自北向南就近汇入二十涌；ESCBK0+660～ESCBK0+940段，北侧敷设DN600～DN1350雨水管，南侧敷设DN600～DN1000雨水管由东往西汇，ESCBK0+940~ESCBK1+180段，北侧敷设DN600～DN1350雨水管，南侧敷设DN600～DN1000雨水管由西往东汇，在ESCBK0+940汇集后汇入自北向南就近汇入二十涌；ESCBK1+180～ESCBK1+460由东往西，ESCBK1+460～ESCBK1+800由西往东，北侧敷设DN600～DN1350雨水管，南侧敷设DN600～DN1000雨水管，在ESCBK1+460汇集后汇入自北向南就近汇入二十涌。</w:t>
      </w:r>
    </w:p>
    <w:p>
      <w:pPr>
        <w:spacing w:before="182" w:line="360" w:lineRule="auto"/>
        <w:ind w:left="7" w:right="264"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w:t>
      </w:r>
      <w:r>
        <w:rPr>
          <w:rFonts w:hint="eastAsia" w:ascii="Times New Roman" w:hAnsi="Times New Roman"/>
          <w:b w:val="0"/>
          <w:color w:val="auto"/>
          <w:sz w:val="24"/>
          <w:szCs w:val="24"/>
        </w:rPr>
        <w:t>2</w:t>
      </w:r>
      <w:r>
        <w:rPr>
          <w:rFonts w:ascii="Times New Roman" w:hAnsi="Times New Roman"/>
          <w:b w:val="0"/>
          <w:color w:val="auto"/>
          <w:sz w:val="24"/>
          <w:szCs w:val="24"/>
          <w:lang w:val="zh-CN"/>
        </w:rPr>
        <w:t>）规划纵三路的ZSK0+000～ZSK0+560和ZSK0+560～ZSK0+860敷设DN600～DN1000敷设在机动车道下，距离道路中心线9.5m，具体管位详见管线平面图和管道综合标准横断面图，由南向北汇，最终汇入二十涌～二十一涌的联通涌；ZSK1+040～ZSK1+480敷设2400×2000雨水箱涵，将雨水由南往北转输至二十涌～二十一涌的联通涌。</w:t>
      </w:r>
    </w:p>
    <w:p>
      <w:pPr>
        <w:spacing w:before="182" w:line="360" w:lineRule="auto"/>
        <w:ind w:left="7" w:right="264"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并于道路交叉口设置雨水预埋管，每隔约120m设置雨水预埋支管。道路路面雨水主要采用平箅式双篦雨水口收集，雨水口连接管采用DN300钢筋砼管，坡度为0.01。</w:t>
      </w:r>
    </w:p>
    <w:p>
      <w:pPr>
        <w:spacing w:before="182" w:line="360" w:lineRule="auto"/>
        <w:ind w:left="7" w:right="264"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道路施工过程中路基外侧设置有倒梯形临时排水边沟，本设计考虑在临时排水边沟标高最低点处设置排水泵坑，采用临时排水软管连接水泵，将临时边沟内的雨水抽排至外江或现状内河涌。</w:t>
      </w:r>
    </w:p>
    <w:p>
      <w:pPr>
        <w:spacing w:before="182" w:line="360" w:lineRule="auto"/>
        <w:ind w:right="264"/>
        <w:rPr>
          <w:rFonts w:ascii="Times New Roman" w:hAnsi="Times New Roman"/>
          <w:b w:val="0"/>
          <w:color w:val="auto"/>
          <w:sz w:val="24"/>
          <w:szCs w:val="24"/>
          <w:highlight w:val="yellow"/>
          <w:lang w:val="zh-CN"/>
        </w:rPr>
      </w:pPr>
      <w:r>
        <w:rPr>
          <w:highlight w:val="yellow"/>
        </w:rPr>
        <w:drawing>
          <wp:inline distT="0" distB="0" distL="0" distR="0">
            <wp:extent cx="6514465" cy="4109720"/>
            <wp:effectExtent l="0" t="0" r="635" b="5080"/>
            <wp:docPr id="1082276364" name="图片 1082276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276364" name="图片 1082276364"/>
                    <pic:cNvPicPr>
                      <a:picLocks noChangeAspect="1"/>
                    </pic:cNvPicPr>
                  </pic:nvPicPr>
                  <pic:blipFill>
                    <a:blip r:embed="rId209"/>
                    <a:stretch>
                      <a:fillRect/>
                    </a:stretch>
                  </pic:blipFill>
                  <pic:spPr>
                    <a:xfrm>
                      <a:off x="0" y="0"/>
                      <a:ext cx="6514465" cy="4109720"/>
                    </a:xfrm>
                    <a:prstGeom prst="rect">
                      <a:avLst/>
                    </a:prstGeom>
                  </pic:spPr>
                </pic:pic>
              </a:graphicData>
            </a:graphic>
          </wp:inline>
        </w:drawing>
      </w:r>
    </w:p>
    <w:p>
      <w:pPr>
        <w:spacing w:before="254" w:line="185" w:lineRule="auto"/>
        <w:jc w:val="center"/>
        <w:rPr>
          <w:rFonts w:ascii="Times New Roman" w:hAnsi="Times New Roman"/>
          <w:spacing w:val="-2"/>
          <w:sz w:val="24"/>
          <w:szCs w:val="24"/>
          <w14:textOutline w14:w="3048" w14:cap="flat" w14:cmpd="sng" w14:algn="ctr">
            <w14:solidFill>
              <w14:srgbClr w14:val="000000"/>
            </w14:solidFill>
            <w14:prstDash w14:val="solid"/>
            <w14:miter w14:val="0"/>
          </w14:textOutline>
        </w:rPr>
      </w:pPr>
      <w:r>
        <w:rPr>
          <w:rFonts w:ascii="Times New Roman" w:hAnsi="Times New Roman"/>
          <w:spacing w:val="-2"/>
          <w:sz w:val="24"/>
          <w:szCs w:val="24"/>
          <w:highlight w:val="yellow"/>
          <w14:textOutline w14:w="3048" w14:cap="flat" w14:cmpd="sng" w14:algn="ctr">
            <w14:solidFill>
              <w14:srgbClr w14:val="000000"/>
            </w14:solidFill>
            <w14:prstDash w14:val="solid"/>
            <w14:miter w14:val="0"/>
          </w14:textOutline>
        </w:rPr>
        <w:t>雨水工程总平面布置图</w:t>
      </w:r>
    </w:p>
    <w:p>
      <w:pPr>
        <w:spacing w:before="254" w:line="185" w:lineRule="auto"/>
        <w:rPr>
          <w:rFonts w:ascii="Times New Roman" w:hAnsi="Times New Roman"/>
          <w:color w:val="auto"/>
          <w:sz w:val="24"/>
        </w:rPr>
      </w:pPr>
      <w:r>
        <w:rPr>
          <w:rFonts w:ascii="Times New Roman" w:hAnsi="Times New Roman"/>
          <w:color w:val="auto"/>
          <w:sz w:val="24"/>
        </w:rPr>
        <w:br w:type="page"/>
      </w:r>
      <w:r>
        <w:rPr>
          <w:rFonts w:ascii="Times New Roman" w:hAnsi="Times New Roman"/>
          <w:color w:val="auto"/>
          <w:sz w:val="24"/>
          <w:highlight w:val="yellow"/>
        </w:rPr>
        <w:t>5.7</w:t>
      </w:r>
      <w:r>
        <w:rPr>
          <w:rFonts w:hint="eastAsia" w:ascii="Times New Roman" w:hAnsi="Times New Roman"/>
          <w:color w:val="auto"/>
          <w:sz w:val="24"/>
          <w:highlight w:val="yellow"/>
        </w:rPr>
        <w:t>.7.4</w:t>
      </w:r>
      <w:r>
        <w:rPr>
          <w:rFonts w:ascii="Times New Roman" w:hAnsi="Times New Roman"/>
          <w:color w:val="auto"/>
          <w:sz w:val="24"/>
          <w:highlight w:val="yellow"/>
        </w:rPr>
        <w:t>雨水工程水力计算表</w:t>
      </w:r>
      <w:r>
        <w:rPr>
          <w:rFonts w:hint="eastAsia" w:ascii="Times New Roman" w:hAnsi="Times New Roman"/>
          <w:color w:val="auto"/>
          <w:sz w:val="24"/>
          <w:highlight w:val="yellow"/>
        </w:rPr>
        <w:t>.</w:t>
      </w:r>
    </w:p>
    <w:p>
      <w:pPr>
        <w:spacing w:before="254" w:line="185" w:lineRule="auto"/>
        <w:rPr>
          <w:rFonts w:ascii="Times New Roman" w:hAnsi="Times New Roman"/>
          <w:color w:val="auto"/>
          <w:sz w:val="24"/>
        </w:rPr>
      </w:pPr>
    </w:p>
    <w:p>
      <w:pPr>
        <w:spacing w:before="254" w:line="185" w:lineRule="auto"/>
        <w:rPr>
          <w:rFonts w:ascii="Times New Roman" w:hAnsi="Times New Roman"/>
        </w:rPr>
        <w:sectPr>
          <w:headerReference r:id="rId3" w:type="default"/>
          <w:footerReference r:id="rId4" w:type="default"/>
          <w:type w:val="continuous"/>
          <w:pgSz w:w="23814" w:h="16840" w:orient="landscape"/>
          <w:pgMar w:top="1134" w:right="1134" w:bottom="1106" w:left="1134" w:header="851" w:footer="170" w:gutter="0"/>
          <w:cols w:space="1028" w:num="2"/>
          <w:docGrid w:type="lines" w:linePitch="387" w:charSpace="0"/>
        </w:sectPr>
      </w:pPr>
    </w:p>
    <w:p>
      <w:pPr>
        <w:spacing w:before="254" w:line="185" w:lineRule="auto"/>
        <w:jc w:val="center"/>
        <w:rPr>
          <w:rFonts w:ascii="Times New Roman" w:hAnsi="Times New Roman"/>
        </w:rPr>
        <w:sectPr>
          <w:type w:val="continuous"/>
          <w:pgSz w:w="23814" w:h="16840" w:orient="landscape"/>
          <w:pgMar w:top="1134" w:right="1134" w:bottom="1106" w:left="1134" w:header="851" w:footer="170" w:gutter="0"/>
          <w:cols w:space="1028" w:num="1"/>
          <w:docGrid w:type="lines" w:linePitch="387" w:charSpace="0"/>
        </w:sectPr>
      </w:pPr>
      <w:r>
        <w:drawing>
          <wp:inline distT="0" distB="0" distL="0" distR="0">
            <wp:extent cx="12022455" cy="7616190"/>
            <wp:effectExtent l="0" t="0" r="17145" b="381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10"/>
                    <a:stretch>
                      <a:fillRect/>
                    </a:stretch>
                  </pic:blipFill>
                  <pic:spPr>
                    <a:xfrm>
                      <a:off x="0" y="0"/>
                      <a:ext cx="12092722" cy="7660648"/>
                    </a:xfrm>
                    <a:prstGeom prst="rect">
                      <a:avLst/>
                    </a:prstGeom>
                  </pic:spPr>
                </pic:pic>
              </a:graphicData>
            </a:graphic>
          </wp:inline>
        </w:drawing>
      </w:r>
    </w:p>
    <w:p>
      <w:pPr>
        <w:rPr>
          <w:rFonts w:ascii="Times New Roman" w:hAnsi="Times New Roman"/>
        </w:rPr>
      </w:pPr>
    </w:p>
    <w:p>
      <w:pPr>
        <w:ind w:firstLine="562" w:firstLineChars="200"/>
        <w:rPr>
          <w:rFonts w:ascii="Times New Roman" w:hAnsi="Times New Roman"/>
        </w:rPr>
        <w:sectPr>
          <w:type w:val="continuous"/>
          <w:pgSz w:w="23814" w:h="16840" w:orient="landscape"/>
          <w:pgMar w:top="1134" w:right="1134" w:bottom="1106" w:left="1134" w:header="851" w:footer="170" w:gutter="0"/>
          <w:cols w:space="1028" w:num="2"/>
          <w:docGrid w:type="lines" w:linePitch="387" w:charSpace="0"/>
        </w:sectPr>
      </w:pPr>
    </w:p>
    <w:p>
      <w:pPr>
        <w:rPr>
          <w:rFonts w:ascii="Times New Roman" w:hAnsi="Times New Roman"/>
        </w:rPr>
        <w:sectPr>
          <w:type w:val="continuous"/>
          <w:pgSz w:w="23814" w:h="16840" w:orient="landscape"/>
          <w:pgMar w:top="1134" w:right="1134" w:bottom="1106" w:left="1134" w:header="851" w:footer="283" w:gutter="0"/>
          <w:cols w:space="425" w:num="1"/>
          <w:docGrid w:type="lines" w:linePitch="387" w:charSpace="0"/>
        </w:sectPr>
      </w:pPr>
    </w:p>
    <w:p>
      <w:pPr>
        <w:rPr>
          <w:rFonts w:ascii="Times New Roman" w:hAnsi="Times New Roman"/>
        </w:rPr>
        <w:sectPr>
          <w:type w:val="continuous"/>
          <w:pgSz w:w="23814" w:h="16840" w:orient="landscape"/>
          <w:pgMar w:top="1134" w:right="1134" w:bottom="1106" w:left="1134" w:header="851" w:footer="283" w:gutter="0"/>
          <w:cols w:space="1028" w:num="2"/>
          <w:docGrid w:type="lines" w:linePitch="387" w:charSpace="0"/>
        </w:sectPr>
      </w:pPr>
      <w:r>
        <w:rPr>
          <w:rFonts w:ascii="Times New Roman" w:hAnsi="Times New Roman"/>
        </w:rPr>
        <w:br w:type="page"/>
      </w:r>
    </w:p>
    <w:p>
      <w:pPr>
        <w:rPr>
          <w:rFonts w:ascii="Times New Roman" w:hAnsi="Times New Roman"/>
        </w:rPr>
        <w:sectPr>
          <w:type w:val="continuous"/>
          <w:pgSz w:w="23814" w:h="16840" w:orient="landscape"/>
          <w:pgMar w:top="1134" w:right="1134" w:bottom="1106" w:left="1134" w:header="851" w:footer="283" w:gutter="0"/>
          <w:cols w:space="1028" w:num="1"/>
          <w:docGrid w:type="lines" w:linePitch="387" w:charSpace="0"/>
        </w:sectPr>
      </w:pPr>
      <w:r>
        <w:drawing>
          <wp:inline distT="0" distB="0" distL="0" distR="0">
            <wp:extent cx="13726160" cy="6755130"/>
            <wp:effectExtent l="0" t="0" r="889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11"/>
                    <a:stretch>
                      <a:fillRect/>
                    </a:stretch>
                  </pic:blipFill>
                  <pic:spPr>
                    <a:xfrm>
                      <a:off x="0" y="0"/>
                      <a:ext cx="13743742" cy="6764027"/>
                    </a:xfrm>
                    <a:prstGeom prst="rect">
                      <a:avLst/>
                    </a:prstGeom>
                  </pic:spPr>
                </pic:pic>
              </a:graphicData>
            </a:graphic>
          </wp:inline>
        </w:drawing>
      </w:r>
    </w:p>
    <w:p>
      <w:pPr>
        <w:rPr>
          <w:rFonts w:ascii="Times New Roman" w:hAnsi="Times New Roman"/>
        </w:rPr>
      </w:pPr>
    </w:p>
    <w:p>
      <w:pPr>
        <w:ind w:firstLine="562" w:firstLineChars="200"/>
        <w:rPr>
          <w:rFonts w:ascii="Times New Roman" w:hAnsi="Times New Roman"/>
        </w:rPr>
      </w:pPr>
    </w:p>
    <w:p>
      <w:pPr>
        <w:pStyle w:val="4"/>
        <w:ind w:firstLine="482" w:firstLineChars="200"/>
      </w:pPr>
      <w:bookmarkStart w:id="223" w:name="_Toc26318"/>
      <w:bookmarkStart w:id="224" w:name="_Toc14677"/>
      <w:r>
        <w:t>污水工程设计</w:t>
      </w:r>
      <w:bookmarkEnd w:id="223"/>
      <w:bookmarkEnd w:id="224"/>
    </w:p>
    <w:p>
      <w:pPr>
        <w:pStyle w:val="5"/>
        <w:ind w:firstLine="482" w:firstLineChars="200"/>
        <w:rPr>
          <w:rFonts w:ascii="Times New Roman" w:hAnsi="Times New Roman"/>
        </w:rPr>
      </w:pPr>
      <w:r>
        <w:rPr>
          <w:rFonts w:ascii="Times New Roman" w:hAnsi="Times New Roman"/>
        </w:rPr>
        <w:t>污水排放系统设计原则</w:t>
      </w:r>
    </w:p>
    <w:p>
      <w:pPr>
        <w:numPr>
          <w:ilvl w:val="0"/>
          <w:numId w:val="27"/>
        </w:numPr>
        <w:spacing w:line="36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贯彻高起点、高标准、全面规划、统筹安排的原则。</w:t>
      </w:r>
    </w:p>
    <w:p>
      <w:pPr>
        <w:numPr>
          <w:ilvl w:val="0"/>
          <w:numId w:val="27"/>
        </w:numPr>
        <w:spacing w:line="36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坚持以人为本的原则。满足规划设计区域污水收集、处理的要求。</w:t>
      </w:r>
    </w:p>
    <w:p>
      <w:pPr>
        <w:numPr>
          <w:ilvl w:val="0"/>
          <w:numId w:val="27"/>
        </w:numPr>
        <w:spacing w:line="36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坚持科学合理，因地制宜的原则；排水体制选择要因地制宜，经技术经济比较后，确定适合本地区实际情况的排水体制。</w:t>
      </w:r>
    </w:p>
    <w:p>
      <w:pPr>
        <w:numPr>
          <w:ilvl w:val="0"/>
          <w:numId w:val="27"/>
        </w:numPr>
        <w:spacing w:line="36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坚持全面协调的原则。在工程规划设计时注重城市发展和道路建设特点，合理选择污水管线铺设路径、管径大小及施工方法，使本次污水管网建设充分体现其经济效果、社会效果、环境效果。</w:t>
      </w:r>
    </w:p>
    <w:p>
      <w:pPr>
        <w:numPr>
          <w:ilvl w:val="0"/>
          <w:numId w:val="27"/>
        </w:numPr>
        <w:spacing w:line="36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在尽量收集污水，做到污水管网远近期合理衔接的基础上，有效控制污水管网建设工程各项技术经济指标，切实处理好与周边已建污水管网之间的衔接关系。</w:t>
      </w:r>
    </w:p>
    <w:p>
      <w:pPr>
        <w:numPr>
          <w:ilvl w:val="0"/>
          <w:numId w:val="27"/>
        </w:numPr>
        <w:spacing w:line="36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排水工程设计应在不断总结可研和生产实践经验的基础上，积极采用经过鉴定的、行之有效的新技术、新工艺、新材料及新设备，力求技术先进、经济合理、运行可靠、管理方便。</w:t>
      </w:r>
    </w:p>
    <w:p>
      <w:pPr>
        <w:numPr>
          <w:ilvl w:val="0"/>
          <w:numId w:val="27"/>
        </w:numPr>
        <w:spacing w:line="36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保护环境，避免二次污染。工程的设计应考虑对周边生态环境以及现有城市设施，尽可能减少工程的征地拆迁量，避免对城市建成区及居民生活的干扰及影响。</w:t>
      </w:r>
    </w:p>
    <w:p>
      <w:pPr>
        <w:numPr>
          <w:ilvl w:val="0"/>
          <w:numId w:val="27"/>
        </w:numPr>
        <w:spacing w:line="36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排水工程宜采用机械化和自动化设备，对操作繁重、影响安全、危害健康的，应采用机械化和自动化设备。</w:t>
      </w:r>
    </w:p>
    <w:p>
      <w:pPr>
        <w:pStyle w:val="5"/>
        <w:ind w:firstLine="482" w:firstLineChars="200"/>
        <w:rPr>
          <w:rFonts w:ascii="Times New Roman" w:hAnsi="Times New Roman"/>
        </w:rPr>
      </w:pPr>
      <w:r>
        <w:rPr>
          <w:rFonts w:ascii="Times New Roman" w:hAnsi="Times New Roman"/>
        </w:rPr>
        <w:t>污水设计参数</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规划污水量科学的预测是合理确定污水管道系统、中途泵站规模及污水处理厂规模最重要的前提和基础，本项目污水预测方法采用不同建设性质用地指标法。具体指标见《城市给水工程规划规范》（GB 50282－2016）。</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本工程综合生活污水排放系数按0.85计；地下水渗入量取污水量的15%计算；</w:t>
      </w:r>
    </w:p>
    <w:p>
      <w:pPr>
        <w:pStyle w:val="5"/>
        <w:ind w:firstLine="482" w:firstLineChars="200"/>
        <w:rPr>
          <w:rFonts w:ascii="Times New Roman" w:hAnsi="Times New Roman"/>
        </w:rPr>
      </w:pPr>
      <w:r>
        <w:rPr>
          <w:rFonts w:ascii="Times New Roman" w:hAnsi="Times New Roman"/>
        </w:rPr>
        <w:t>污水设计流量计算</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污水管道设计流量计算公式</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Q=（1＋10%）q0×F×Kz/86.4</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式中：Q—污水管道设计流量（L/s）</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q0—比流量（m3/d·ha），q0=用水指标×污水排放系数；污水排放系数取0.85；</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Kz—总变化系数，Kz＝2.7/Q0.11，但Q＜5l/s时，Kz＝2.3，Q＞1000l/s时，Kz＝1.3，其中Q为平均日平均时污水量（l/s）</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F—纳污面积（ha）</w:t>
      </w:r>
    </w:p>
    <w:p>
      <w:pPr>
        <w:pStyle w:val="5"/>
        <w:ind w:firstLine="482" w:firstLineChars="200"/>
        <w:rPr>
          <w:rFonts w:ascii="Times New Roman" w:hAnsi="Times New Roman"/>
        </w:rPr>
      </w:pPr>
      <w:r>
        <w:rPr>
          <w:rFonts w:ascii="Times New Roman" w:hAnsi="Times New Roman"/>
        </w:rPr>
        <w:t>设计流速及充满度</w:t>
      </w:r>
    </w:p>
    <w:tbl>
      <w:tblPr>
        <w:tblStyle w:val="32"/>
        <w:tblW w:w="381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17"/>
        <w:gridCol w:w="3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74" w:type="pct"/>
            <w:shd w:val="clear" w:color="auto" w:fill="FAD2B4"/>
            <w:vAlign w:val="center"/>
          </w:tcPr>
          <w:p>
            <w:pPr>
              <w:adjustRightInd w:val="0"/>
              <w:snapToGrid w:val="0"/>
              <w:ind w:firstLine="196" w:firstLineChars="82"/>
              <w:jc w:val="center"/>
              <w:rPr>
                <w:rFonts w:ascii="Times New Roman" w:hAnsi="Times New Roman"/>
                <w:b w:val="0"/>
                <w:color w:val="auto"/>
                <w:sz w:val="24"/>
                <w:szCs w:val="24"/>
              </w:rPr>
            </w:pPr>
            <w:r>
              <w:rPr>
                <w:rFonts w:ascii="Times New Roman" w:hAnsi="Times New Roman"/>
                <w:b w:val="0"/>
                <w:color w:val="auto"/>
                <w:sz w:val="24"/>
                <w:szCs w:val="24"/>
              </w:rPr>
              <w:t>管径(mm)</w:t>
            </w:r>
          </w:p>
        </w:tc>
        <w:tc>
          <w:tcPr>
            <w:tcW w:w="2426" w:type="pct"/>
            <w:shd w:val="clear" w:color="auto" w:fill="FAD2B4"/>
            <w:vAlign w:val="center"/>
          </w:tcPr>
          <w:p>
            <w:pPr>
              <w:adjustRightInd w:val="0"/>
              <w:snapToGrid w:val="0"/>
              <w:jc w:val="center"/>
              <w:rPr>
                <w:rFonts w:ascii="Times New Roman" w:hAnsi="Times New Roman"/>
                <w:b w:val="0"/>
                <w:color w:val="auto"/>
                <w:sz w:val="24"/>
                <w:szCs w:val="24"/>
              </w:rPr>
            </w:pPr>
            <w:r>
              <w:rPr>
                <w:rFonts w:ascii="Times New Roman" w:hAnsi="Times New Roman"/>
                <w:b w:val="0"/>
                <w:color w:val="auto"/>
                <w:sz w:val="24"/>
                <w:szCs w:val="24"/>
              </w:rPr>
              <w:t>设计最大充满度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74" w:type="pct"/>
            <w:shd w:val="clear" w:color="auto" w:fill="auto"/>
            <w:vAlign w:val="center"/>
          </w:tcPr>
          <w:p>
            <w:pPr>
              <w:adjustRightInd w:val="0"/>
              <w:snapToGrid w:val="0"/>
              <w:ind w:firstLine="199" w:firstLineChars="83"/>
              <w:jc w:val="center"/>
              <w:rPr>
                <w:rFonts w:ascii="Times New Roman" w:hAnsi="Times New Roman"/>
                <w:b w:val="0"/>
                <w:color w:val="auto"/>
                <w:sz w:val="24"/>
                <w:szCs w:val="24"/>
              </w:rPr>
            </w:pPr>
            <w:r>
              <w:rPr>
                <w:rFonts w:ascii="Times New Roman" w:hAnsi="Times New Roman"/>
                <w:b w:val="0"/>
                <w:color w:val="auto"/>
                <w:sz w:val="24"/>
                <w:szCs w:val="24"/>
              </w:rPr>
              <w:t>200~300</w:t>
            </w:r>
          </w:p>
        </w:tc>
        <w:tc>
          <w:tcPr>
            <w:tcW w:w="2426" w:type="pct"/>
            <w:shd w:val="clear" w:color="auto" w:fill="auto"/>
            <w:vAlign w:val="center"/>
          </w:tcPr>
          <w:p>
            <w:pPr>
              <w:adjustRightInd w:val="0"/>
              <w:snapToGrid w:val="0"/>
              <w:ind w:firstLine="199" w:firstLineChars="83"/>
              <w:jc w:val="center"/>
              <w:rPr>
                <w:rFonts w:ascii="Times New Roman" w:hAnsi="Times New Roman"/>
                <w:b w:val="0"/>
                <w:color w:val="auto"/>
                <w:sz w:val="24"/>
                <w:szCs w:val="24"/>
              </w:rPr>
            </w:pPr>
            <w:r>
              <w:rPr>
                <w:rFonts w:ascii="Times New Roman" w:hAnsi="Times New Roman"/>
                <w:b w:val="0"/>
                <w:color w:val="auto"/>
                <w:sz w:val="24"/>
                <w:szCs w:val="24"/>
              </w:rPr>
              <w:t>0.55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74" w:type="pct"/>
            <w:shd w:val="clear" w:color="auto" w:fill="auto"/>
            <w:vAlign w:val="center"/>
          </w:tcPr>
          <w:p>
            <w:pPr>
              <w:adjustRightInd w:val="0"/>
              <w:snapToGrid w:val="0"/>
              <w:ind w:firstLine="199" w:firstLineChars="83"/>
              <w:jc w:val="center"/>
              <w:rPr>
                <w:rFonts w:ascii="Times New Roman" w:hAnsi="Times New Roman"/>
                <w:b w:val="0"/>
                <w:color w:val="auto"/>
                <w:sz w:val="24"/>
                <w:szCs w:val="24"/>
              </w:rPr>
            </w:pPr>
            <w:r>
              <w:rPr>
                <w:rFonts w:ascii="Times New Roman" w:hAnsi="Times New Roman"/>
                <w:b w:val="0"/>
                <w:color w:val="auto"/>
                <w:sz w:val="24"/>
                <w:szCs w:val="24"/>
              </w:rPr>
              <w:t>350~450</w:t>
            </w:r>
          </w:p>
        </w:tc>
        <w:tc>
          <w:tcPr>
            <w:tcW w:w="2426" w:type="pct"/>
            <w:shd w:val="clear" w:color="auto" w:fill="auto"/>
            <w:vAlign w:val="center"/>
          </w:tcPr>
          <w:p>
            <w:pPr>
              <w:adjustRightInd w:val="0"/>
              <w:snapToGrid w:val="0"/>
              <w:ind w:firstLine="199" w:firstLineChars="83"/>
              <w:jc w:val="center"/>
              <w:rPr>
                <w:rFonts w:ascii="Times New Roman" w:hAnsi="Times New Roman"/>
                <w:b w:val="0"/>
                <w:color w:val="auto"/>
                <w:sz w:val="24"/>
                <w:szCs w:val="24"/>
              </w:rPr>
            </w:pPr>
            <w:r>
              <w:rPr>
                <w:rFonts w:ascii="Times New Roman" w:hAnsi="Times New Roman"/>
                <w:b w:val="0"/>
                <w:color w:val="auto"/>
                <w:sz w:val="24"/>
                <w:szCs w:val="24"/>
              </w:rPr>
              <w:t>0.65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74" w:type="pct"/>
            <w:shd w:val="clear" w:color="auto" w:fill="auto"/>
            <w:vAlign w:val="center"/>
          </w:tcPr>
          <w:p>
            <w:pPr>
              <w:adjustRightInd w:val="0"/>
              <w:snapToGrid w:val="0"/>
              <w:ind w:firstLine="199" w:firstLineChars="83"/>
              <w:jc w:val="center"/>
              <w:rPr>
                <w:rFonts w:ascii="Times New Roman" w:hAnsi="Times New Roman"/>
                <w:b w:val="0"/>
                <w:color w:val="auto"/>
                <w:sz w:val="24"/>
                <w:szCs w:val="24"/>
              </w:rPr>
            </w:pPr>
            <w:r>
              <w:rPr>
                <w:rFonts w:ascii="Times New Roman" w:hAnsi="Times New Roman"/>
                <w:b w:val="0"/>
                <w:color w:val="auto"/>
                <w:sz w:val="24"/>
                <w:szCs w:val="24"/>
              </w:rPr>
              <w:t>500~900</w:t>
            </w:r>
          </w:p>
        </w:tc>
        <w:tc>
          <w:tcPr>
            <w:tcW w:w="2426" w:type="pct"/>
            <w:shd w:val="clear" w:color="auto" w:fill="auto"/>
            <w:vAlign w:val="center"/>
          </w:tcPr>
          <w:p>
            <w:pPr>
              <w:adjustRightInd w:val="0"/>
              <w:snapToGrid w:val="0"/>
              <w:ind w:firstLine="199" w:firstLineChars="83"/>
              <w:jc w:val="center"/>
              <w:rPr>
                <w:rFonts w:ascii="Times New Roman" w:hAnsi="Times New Roman"/>
                <w:b w:val="0"/>
                <w:color w:val="auto"/>
                <w:sz w:val="24"/>
                <w:szCs w:val="24"/>
              </w:rPr>
            </w:pPr>
            <w:r>
              <w:rPr>
                <w:rFonts w:ascii="Times New Roman" w:hAnsi="Times New Roman"/>
                <w:b w:val="0"/>
                <w:color w:val="auto"/>
                <w:sz w:val="24"/>
                <w:szCs w:val="24"/>
              </w:rPr>
              <w:t>0.70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74" w:type="pct"/>
            <w:shd w:val="clear" w:color="auto" w:fill="auto"/>
            <w:vAlign w:val="center"/>
          </w:tcPr>
          <w:p>
            <w:pPr>
              <w:adjustRightInd w:val="0"/>
              <w:snapToGrid w:val="0"/>
              <w:ind w:firstLine="199" w:firstLineChars="83"/>
              <w:jc w:val="center"/>
              <w:rPr>
                <w:rFonts w:ascii="Times New Roman" w:hAnsi="Times New Roman"/>
                <w:b w:val="0"/>
                <w:color w:val="auto"/>
                <w:sz w:val="24"/>
                <w:szCs w:val="24"/>
              </w:rPr>
            </w:pPr>
            <w:r>
              <w:rPr>
                <w:rFonts w:ascii="Times New Roman" w:hAnsi="Times New Roman"/>
                <w:b w:val="0"/>
                <w:color w:val="auto"/>
                <w:sz w:val="24"/>
                <w:szCs w:val="24"/>
              </w:rPr>
              <w:t>≥1000</w:t>
            </w:r>
          </w:p>
        </w:tc>
        <w:tc>
          <w:tcPr>
            <w:tcW w:w="2426" w:type="pct"/>
            <w:shd w:val="clear" w:color="auto" w:fill="auto"/>
            <w:vAlign w:val="center"/>
          </w:tcPr>
          <w:p>
            <w:pPr>
              <w:adjustRightInd w:val="0"/>
              <w:snapToGrid w:val="0"/>
              <w:ind w:firstLine="199" w:firstLineChars="83"/>
              <w:jc w:val="center"/>
              <w:rPr>
                <w:rFonts w:ascii="Times New Roman" w:hAnsi="Times New Roman"/>
                <w:b w:val="0"/>
                <w:color w:val="auto"/>
                <w:sz w:val="24"/>
                <w:szCs w:val="24"/>
              </w:rPr>
            </w:pPr>
            <w:r>
              <w:rPr>
                <w:rFonts w:ascii="Times New Roman" w:hAnsi="Times New Roman"/>
                <w:b w:val="0"/>
                <w:color w:val="auto"/>
                <w:sz w:val="24"/>
                <w:szCs w:val="24"/>
              </w:rPr>
              <w:t>0.75</w:t>
            </w:r>
          </w:p>
        </w:tc>
      </w:tr>
    </w:tbl>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随着收集面积及设计流量的增加，下一管段的管径增大或保持不变，并且保证流速大于0.6m/s。</w:t>
      </w:r>
    </w:p>
    <w:p>
      <w:pPr>
        <w:pStyle w:val="5"/>
        <w:ind w:firstLine="482" w:firstLineChars="200"/>
        <w:rPr>
          <w:rFonts w:ascii="Times New Roman" w:hAnsi="Times New Roman"/>
        </w:rPr>
      </w:pPr>
      <w:r>
        <w:rPr>
          <w:rFonts w:ascii="Times New Roman" w:hAnsi="Times New Roman"/>
        </w:rPr>
        <w:t>污水工程方案设计</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本项目范围内沿道路敷设DN500～DN1000污水管，转输至万环西路规划的DN1000～DN1500污水管，最终汇入规划的十九涌污水处理厂。本工程污水设计方案如下：</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（1）二十涌北路ESCBK0+000～ESCBK0+820在道路两侧敷设DN1000污水管，沿线收集周边地块污水，将污水自东向西排至万环西路规划DN1500污水管。</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w:t>
      </w:r>
      <w:r>
        <w:rPr>
          <w:rFonts w:hint="eastAsia" w:ascii="Times New Roman" w:hAnsi="Times New Roman"/>
          <w:b w:val="0"/>
          <w:color w:val="auto"/>
          <w:sz w:val="24"/>
          <w:szCs w:val="24"/>
        </w:rPr>
        <w:t>2</w:t>
      </w:r>
      <w:r>
        <w:rPr>
          <w:rFonts w:ascii="Times New Roman" w:hAnsi="Times New Roman"/>
          <w:b w:val="0"/>
          <w:color w:val="auto"/>
          <w:sz w:val="24"/>
          <w:szCs w:val="24"/>
        </w:rPr>
        <w:t>）规划纵三路的ZSK0+000～ZSK0+560和ZSK0+560～ZSK0+860敷设DN500污水管，由南向北分别汇入二十涌南路和二十涌南二路DN500污水管，最终汇入万环西路规划DN1000～DN1500污水管；ZSK0+980～ZSK0+1480敷设DN500污水管，沿线收集周边地块污水，汇入滨海路DN600雨水管，经万环西路DN1000污水管进入规划的十九涌污水处理厂。</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并于道路交叉口设置污水预埋管，每隔约120m设置污水预埋支管。</w:t>
      </w:r>
    </w:p>
    <w:p>
      <w:pPr>
        <w:spacing w:line="360" w:lineRule="auto"/>
        <w:ind w:firstLine="562" w:firstLineChars="200"/>
        <w:rPr>
          <w:rFonts w:ascii="Times New Roman" w:hAnsi="Times New Roman"/>
          <w:b w:val="0"/>
          <w:color w:val="auto"/>
          <w:sz w:val="24"/>
          <w:szCs w:val="24"/>
          <w:highlight w:val="yellow"/>
        </w:rPr>
      </w:pPr>
      <w:r>
        <w:t xml:space="preserve"> </w:t>
      </w:r>
      <w:r>
        <w:rPr>
          <w:highlight w:val="yellow"/>
        </w:rPr>
        <w:drawing>
          <wp:inline distT="0" distB="0" distL="0" distR="0">
            <wp:extent cx="6514465" cy="4342765"/>
            <wp:effectExtent l="0" t="0" r="635" b="635"/>
            <wp:docPr id="1082276365" name="图片 1082276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276365" name="图片 1082276365"/>
                    <pic:cNvPicPr>
                      <a:picLocks noChangeAspect="1"/>
                    </pic:cNvPicPr>
                  </pic:nvPicPr>
                  <pic:blipFill>
                    <a:blip r:embed="rId212"/>
                    <a:stretch>
                      <a:fillRect/>
                    </a:stretch>
                  </pic:blipFill>
                  <pic:spPr>
                    <a:xfrm>
                      <a:off x="0" y="0"/>
                      <a:ext cx="6514465" cy="4342765"/>
                    </a:xfrm>
                    <a:prstGeom prst="rect">
                      <a:avLst/>
                    </a:prstGeom>
                  </pic:spPr>
                </pic:pic>
              </a:graphicData>
            </a:graphic>
          </wp:inline>
        </w:drawing>
      </w:r>
    </w:p>
    <w:p>
      <w:pPr>
        <w:spacing w:before="254" w:line="185" w:lineRule="auto"/>
        <w:ind w:left="4332" w:firstLine="474" w:firstLineChars="200"/>
        <w:rPr>
          <w:rFonts w:ascii="Times New Roman" w:hAnsi="Times New Roman"/>
          <w:sz w:val="24"/>
          <w:szCs w:val="24"/>
        </w:rPr>
      </w:pPr>
      <w:r>
        <w:rPr>
          <w:rFonts w:ascii="Times New Roman" w:hAnsi="Times New Roman"/>
          <w:spacing w:val="-2"/>
          <w:sz w:val="24"/>
          <w:szCs w:val="24"/>
          <w:highlight w:val="yellow"/>
          <w14:textOutline w14:w="3048" w14:cap="flat" w14:cmpd="sng" w14:algn="ctr">
            <w14:solidFill>
              <w14:srgbClr w14:val="000000"/>
            </w14:solidFill>
            <w14:prstDash w14:val="solid"/>
            <w14:miter w14:val="0"/>
          </w14:textOutline>
        </w:rPr>
        <w:t>污水工程总平面布置图</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因现阶段暂无道路周边地块相关雨污水管线接驳条件，后期将进一步对接道路周边拟建及在建地块，做好地块雨污水管线与市政雨污水管线的接驳。</w:t>
      </w:r>
      <w:r>
        <w:rPr>
          <w:rFonts w:ascii="Times New Roman" w:hAnsi="Times New Roman"/>
          <w:b w:val="0"/>
          <w:color w:val="auto"/>
          <w:sz w:val="24"/>
          <w:szCs w:val="24"/>
        </w:rPr>
        <w:br w:type="page"/>
      </w:r>
    </w:p>
    <w:p>
      <w:pPr>
        <w:pStyle w:val="5"/>
        <w:ind w:firstLine="482" w:firstLineChars="200"/>
        <w:rPr>
          <w:rFonts w:ascii="Times New Roman" w:hAnsi="Times New Roman"/>
          <w:highlight w:val="yellow"/>
        </w:rPr>
      </w:pPr>
      <w:r>
        <w:rPr>
          <w:rFonts w:ascii="Times New Roman" w:hAnsi="Times New Roman"/>
          <w:highlight w:val="yellow"/>
        </w:rPr>
        <w:t>污水工程水力计算</w:t>
      </w:r>
    </w:p>
    <w:p>
      <w:pPr>
        <w:pStyle w:val="5"/>
        <w:ind w:firstLine="482" w:firstLineChars="200"/>
        <w:rPr>
          <w:rFonts w:ascii="Times New Roman" w:hAnsi="Times New Roman"/>
        </w:rPr>
        <w:sectPr>
          <w:type w:val="continuous"/>
          <w:pgSz w:w="23814" w:h="16840" w:orient="landscape"/>
          <w:pgMar w:top="1134" w:right="1134" w:bottom="1106" w:left="1134" w:header="851" w:footer="283" w:gutter="0"/>
          <w:cols w:space="1028" w:num="2"/>
          <w:docGrid w:type="lines" w:linePitch="387" w:charSpace="0"/>
        </w:sectPr>
      </w:pPr>
    </w:p>
    <w:p>
      <w:pPr>
        <w:pStyle w:val="16"/>
        <w:ind w:left="-426" w:leftChars="-152" w:firstLine="422" w:firstLineChars="200"/>
        <w:rPr>
          <w:rFonts w:ascii="Times New Roman" w:hAnsi="Times New Roman"/>
        </w:rPr>
      </w:pPr>
      <w:r>
        <w:drawing>
          <wp:inline distT="0" distB="0" distL="0" distR="0">
            <wp:extent cx="13668375" cy="5039995"/>
            <wp:effectExtent l="0" t="0" r="9525"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13"/>
                    <a:stretch>
                      <a:fillRect/>
                    </a:stretch>
                  </pic:blipFill>
                  <pic:spPr>
                    <a:xfrm>
                      <a:off x="0" y="0"/>
                      <a:ext cx="13668750" cy="5040000"/>
                    </a:xfrm>
                    <a:prstGeom prst="rect">
                      <a:avLst/>
                    </a:prstGeom>
                  </pic:spPr>
                </pic:pic>
              </a:graphicData>
            </a:graphic>
          </wp:inline>
        </w:drawing>
      </w:r>
    </w:p>
    <w:p>
      <w:pPr>
        <w:rPr>
          <w:rFonts w:ascii="Times New Roman" w:hAnsi="Times New Roman"/>
        </w:rPr>
        <w:sectPr>
          <w:type w:val="continuous"/>
          <w:pgSz w:w="23814" w:h="16840" w:orient="landscape"/>
          <w:pgMar w:top="1134" w:right="1134" w:bottom="1106" w:left="1134" w:header="851" w:footer="283" w:gutter="0"/>
          <w:cols w:space="425" w:num="1"/>
          <w:docGrid w:type="lines" w:linePitch="387" w:charSpace="0"/>
        </w:sectPr>
      </w:pPr>
    </w:p>
    <w:p>
      <w:pPr>
        <w:rPr>
          <w:rFonts w:ascii="Times New Roman" w:hAnsi="Times New Roman"/>
        </w:rPr>
      </w:pPr>
      <w:r>
        <w:rPr>
          <w:rFonts w:ascii="Times New Roman" w:hAnsi="Times New Roman"/>
        </w:rPr>
        <w:br w:type="page"/>
      </w:r>
    </w:p>
    <w:p>
      <w:pPr>
        <w:pStyle w:val="16"/>
        <w:ind w:left="-426" w:leftChars="-152" w:firstLine="422" w:firstLineChars="200"/>
        <w:rPr>
          <w:rFonts w:ascii="Times New Roman" w:hAnsi="Times New Roman"/>
        </w:rPr>
      </w:pPr>
    </w:p>
    <w:p>
      <w:pPr>
        <w:pStyle w:val="4"/>
        <w:ind w:firstLine="482" w:firstLineChars="200"/>
      </w:pPr>
      <w:bookmarkStart w:id="225" w:name="_Toc2127"/>
      <w:bookmarkStart w:id="226" w:name="_Toc4794"/>
      <w:r>
        <w:t>其他要求及设施说明</w:t>
      </w:r>
      <w:bookmarkEnd w:id="225"/>
      <w:bookmarkEnd w:id="226"/>
    </w:p>
    <w:p>
      <w:pPr>
        <w:pStyle w:val="5"/>
        <w:ind w:firstLine="482" w:firstLineChars="200"/>
        <w:rPr>
          <w:rFonts w:ascii="Times New Roman" w:hAnsi="Times New Roman"/>
        </w:rPr>
      </w:pPr>
      <w:r>
        <w:rPr>
          <w:rFonts w:ascii="Times New Roman" w:hAnsi="Times New Roman"/>
        </w:rPr>
        <w:t>排水检查（沉砂）井的选择</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（1）排水检查井</w:t>
      </w:r>
    </w:p>
    <w:p>
      <w:pPr>
        <w:spacing w:line="360" w:lineRule="auto"/>
        <w:ind w:firstLine="480" w:firstLineChars="200"/>
        <w:rPr>
          <w:rFonts w:ascii="Times New Roman" w:hAnsi="Times New Roman"/>
          <w:b w:val="0"/>
          <w:color w:val="auto"/>
          <w:szCs w:val="24"/>
        </w:rPr>
      </w:pPr>
      <w:r>
        <w:rPr>
          <w:rFonts w:ascii="Times New Roman" w:hAnsi="Times New Roman"/>
          <w:b w:val="0"/>
          <w:color w:val="auto"/>
          <w:sz w:val="24"/>
          <w:szCs w:val="24"/>
        </w:rPr>
        <w:t>排水管管径≤1200mm、管顶覆土≤5m采用预制装配式钢筋混凝土排水检查井，排水管管径＞1200mm或管顶覆土＞5m采用现浇钢筋混凝土井，检查（沉砂）井井径分配如下：</w:t>
      </w:r>
    </w:p>
    <w:p>
      <w:pPr>
        <w:spacing w:line="360" w:lineRule="auto"/>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表</w:t>
      </w:r>
      <w:r>
        <w:rPr>
          <w:rFonts w:ascii="Times New Roman" w:hAnsi="Times New Roman"/>
          <w:color w:val="000000" w:themeColor="text1"/>
          <w:sz w:val="21"/>
          <w14:textFill>
            <w14:solidFill>
              <w14:schemeClr w14:val="tx1"/>
            </w14:solidFill>
          </w14:textFill>
        </w:rPr>
        <w:t>5.7-</w:t>
      </w:r>
      <w:r>
        <w:rPr>
          <w:rFonts w:ascii="Times New Roman" w:hAnsi="Times New Roman"/>
          <w:color w:val="000000" w:themeColor="text1"/>
          <w:sz w:val="21"/>
          <w:lang w:val="zh-CN"/>
          <w14:textFill>
            <w14:solidFill>
              <w14:schemeClr w14:val="tx1"/>
            </w14:solidFill>
          </w14:textFill>
        </w:rPr>
        <w:t>1排水混凝土检查井表</w:t>
      </w:r>
    </w:p>
    <w:tbl>
      <w:tblPr>
        <w:tblStyle w:val="32"/>
        <w:tblW w:w="1020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60"/>
        <w:gridCol w:w="1201"/>
        <w:gridCol w:w="1842"/>
        <w:gridCol w:w="2257"/>
        <w:gridCol w:w="1140"/>
        <w:gridCol w:w="17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1" w:hRule="atLeast"/>
        </w:trPr>
        <w:tc>
          <w:tcPr>
            <w:tcW w:w="2060" w:type="dxa"/>
            <w:shd w:val="clear" w:color="auto" w:fill="FAD2B4"/>
            <w:vAlign w:val="center"/>
          </w:tcPr>
          <w:p>
            <w:pPr>
              <w:adjustRightInd w:val="0"/>
              <w:snapToGrid w:val="0"/>
              <w:jc w:val="center"/>
              <w:rPr>
                <w:rFonts w:ascii="Times New Roman" w:hAnsi="Times New Roman"/>
                <w:b w:val="0"/>
                <w:color w:val="auto"/>
                <w:szCs w:val="24"/>
              </w:rPr>
            </w:pPr>
            <w:r>
              <w:rPr>
                <w:rFonts w:ascii="Times New Roman" w:hAnsi="Times New Roman"/>
                <w:b w:val="0"/>
                <w:color w:val="auto"/>
                <w:szCs w:val="24"/>
              </w:rPr>
              <w:t>适用管径DN（mm）</w:t>
            </w:r>
          </w:p>
        </w:tc>
        <w:tc>
          <w:tcPr>
            <w:tcW w:w="1201" w:type="dxa"/>
            <w:shd w:val="clear" w:color="auto" w:fill="FAD2B4"/>
            <w:vAlign w:val="center"/>
          </w:tcPr>
          <w:p>
            <w:pPr>
              <w:adjustRightInd w:val="0"/>
              <w:snapToGrid w:val="0"/>
              <w:jc w:val="center"/>
              <w:rPr>
                <w:rFonts w:ascii="Times New Roman" w:hAnsi="Times New Roman"/>
                <w:b w:val="0"/>
                <w:color w:val="auto"/>
                <w:sz w:val="24"/>
                <w:szCs w:val="24"/>
              </w:rPr>
            </w:pPr>
            <w:r>
              <w:rPr>
                <w:rFonts w:ascii="Times New Roman" w:hAnsi="Times New Roman"/>
                <w:b w:val="0"/>
                <w:color w:val="auto"/>
                <w:sz w:val="24"/>
                <w:szCs w:val="24"/>
              </w:rPr>
              <w:t>下游管顶覆土厚度（m）</w:t>
            </w:r>
          </w:p>
        </w:tc>
        <w:tc>
          <w:tcPr>
            <w:tcW w:w="1842" w:type="dxa"/>
            <w:shd w:val="clear" w:color="auto" w:fill="FAD2B4"/>
            <w:vAlign w:val="center"/>
          </w:tcPr>
          <w:p>
            <w:pPr>
              <w:adjustRightInd w:val="0"/>
              <w:snapToGrid w:val="0"/>
              <w:jc w:val="center"/>
              <w:rPr>
                <w:rFonts w:ascii="Times New Roman" w:hAnsi="Times New Roman"/>
                <w:b w:val="0"/>
                <w:color w:val="auto"/>
                <w:sz w:val="24"/>
                <w:szCs w:val="24"/>
              </w:rPr>
            </w:pPr>
            <w:r>
              <w:rPr>
                <w:rFonts w:ascii="Times New Roman" w:hAnsi="Times New Roman"/>
                <w:b w:val="0"/>
                <w:color w:val="auto"/>
                <w:sz w:val="24"/>
                <w:szCs w:val="24"/>
              </w:rPr>
              <w:t>预制装配式钢筋混凝土检查井井径（mm）</w:t>
            </w:r>
          </w:p>
        </w:tc>
        <w:tc>
          <w:tcPr>
            <w:tcW w:w="2257" w:type="dxa"/>
            <w:shd w:val="clear" w:color="auto" w:fill="FAD2B4"/>
            <w:vAlign w:val="center"/>
          </w:tcPr>
          <w:p>
            <w:pPr>
              <w:adjustRightInd w:val="0"/>
              <w:snapToGrid w:val="0"/>
              <w:jc w:val="center"/>
              <w:rPr>
                <w:rFonts w:ascii="Times New Roman" w:hAnsi="Times New Roman"/>
                <w:b w:val="0"/>
                <w:color w:val="auto"/>
                <w:sz w:val="24"/>
                <w:szCs w:val="24"/>
              </w:rPr>
            </w:pPr>
            <w:r>
              <w:rPr>
                <w:rFonts w:ascii="Times New Roman" w:hAnsi="Times New Roman"/>
                <w:b w:val="0"/>
                <w:color w:val="auto"/>
                <w:sz w:val="24"/>
                <w:szCs w:val="24"/>
              </w:rPr>
              <w:t>适用管径DN（mm）</w:t>
            </w:r>
          </w:p>
        </w:tc>
        <w:tc>
          <w:tcPr>
            <w:tcW w:w="1140" w:type="dxa"/>
            <w:shd w:val="clear" w:color="auto" w:fill="FAD2B4"/>
            <w:vAlign w:val="center"/>
          </w:tcPr>
          <w:p>
            <w:pPr>
              <w:adjustRightInd w:val="0"/>
              <w:snapToGrid w:val="0"/>
              <w:jc w:val="center"/>
              <w:rPr>
                <w:rFonts w:ascii="Times New Roman" w:hAnsi="Times New Roman"/>
                <w:b w:val="0"/>
                <w:color w:val="auto"/>
                <w:sz w:val="24"/>
                <w:szCs w:val="24"/>
              </w:rPr>
            </w:pPr>
            <w:r>
              <w:rPr>
                <w:rFonts w:ascii="Times New Roman" w:hAnsi="Times New Roman"/>
                <w:b w:val="0"/>
                <w:color w:val="auto"/>
                <w:sz w:val="24"/>
                <w:szCs w:val="24"/>
              </w:rPr>
              <w:t>下游管顶覆土厚度（m）</w:t>
            </w:r>
          </w:p>
        </w:tc>
        <w:tc>
          <w:tcPr>
            <w:tcW w:w="1700" w:type="dxa"/>
            <w:shd w:val="clear" w:color="auto" w:fill="FAD2B4"/>
            <w:vAlign w:val="center"/>
          </w:tcPr>
          <w:p>
            <w:pPr>
              <w:adjustRightInd w:val="0"/>
              <w:snapToGrid w:val="0"/>
              <w:jc w:val="center"/>
              <w:rPr>
                <w:rFonts w:ascii="Times New Roman" w:hAnsi="Times New Roman"/>
                <w:b w:val="0"/>
                <w:color w:val="auto"/>
                <w:sz w:val="24"/>
                <w:szCs w:val="24"/>
              </w:rPr>
            </w:pPr>
            <w:r>
              <w:rPr>
                <w:rFonts w:ascii="Times New Roman" w:hAnsi="Times New Roman"/>
                <w:b w:val="0"/>
                <w:color w:val="auto"/>
                <w:sz w:val="24"/>
                <w:szCs w:val="24"/>
              </w:rPr>
              <w:t>现浇钢筋混凝土检查井井径（mm）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trPr>
        <w:tc>
          <w:tcPr>
            <w:tcW w:w="2060" w:type="dxa"/>
            <w:shd w:val="clear" w:color="auto" w:fill="auto"/>
            <w:vAlign w:val="center"/>
          </w:tcPr>
          <w:p>
            <w:pPr>
              <w:adjustRightInd w:val="0"/>
              <w:snapToGrid w:val="0"/>
              <w:jc w:val="center"/>
              <w:rPr>
                <w:rFonts w:ascii="Times New Roman" w:hAnsi="Times New Roman"/>
                <w:b w:val="0"/>
                <w:color w:val="auto"/>
                <w:szCs w:val="24"/>
              </w:rPr>
            </w:pPr>
            <w:r>
              <w:rPr>
                <w:rFonts w:ascii="Times New Roman" w:hAnsi="Times New Roman"/>
                <w:b w:val="0"/>
                <w:color w:val="auto"/>
                <w:szCs w:val="24"/>
              </w:rPr>
              <w:t>DN300～DN500</w:t>
            </w:r>
          </w:p>
        </w:tc>
        <w:tc>
          <w:tcPr>
            <w:tcW w:w="1201" w:type="dxa"/>
            <w:shd w:val="clear" w:color="auto" w:fill="auto"/>
            <w:vAlign w:val="center"/>
          </w:tcPr>
          <w:p>
            <w:pPr>
              <w:adjustRightInd w:val="0"/>
              <w:snapToGrid w:val="0"/>
              <w:jc w:val="center"/>
              <w:rPr>
                <w:rFonts w:ascii="Times New Roman" w:hAnsi="Times New Roman"/>
                <w:b w:val="0"/>
                <w:color w:val="auto"/>
                <w:sz w:val="24"/>
                <w:szCs w:val="24"/>
              </w:rPr>
            </w:pPr>
            <w:r>
              <w:rPr>
                <w:rFonts w:ascii="Times New Roman" w:hAnsi="Times New Roman"/>
                <w:b w:val="0"/>
                <w:color w:val="auto"/>
                <w:sz w:val="24"/>
                <w:szCs w:val="24"/>
              </w:rPr>
              <w:t>≤5</w:t>
            </w:r>
          </w:p>
        </w:tc>
        <w:tc>
          <w:tcPr>
            <w:tcW w:w="1842" w:type="dxa"/>
            <w:shd w:val="clear" w:color="auto" w:fill="auto"/>
            <w:vAlign w:val="center"/>
          </w:tcPr>
          <w:p>
            <w:pPr>
              <w:adjustRightInd w:val="0"/>
              <w:snapToGrid w:val="0"/>
              <w:jc w:val="center"/>
              <w:rPr>
                <w:rFonts w:ascii="Times New Roman" w:hAnsi="Times New Roman"/>
                <w:b w:val="0"/>
                <w:color w:val="auto"/>
                <w:sz w:val="24"/>
                <w:szCs w:val="24"/>
              </w:rPr>
            </w:pPr>
            <w:r>
              <w:rPr>
                <w:rFonts w:ascii="Times New Roman" w:hAnsi="Times New Roman"/>
                <w:b w:val="0"/>
                <w:color w:val="auto"/>
                <w:sz w:val="24"/>
                <w:szCs w:val="24"/>
              </w:rPr>
              <w:t>Φ1000</w:t>
            </w:r>
          </w:p>
        </w:tc>
        <w:tc>
          <w:tcPr>
            <w:tcW w:w="2257" w:type="dxa"/>
            <w:shd w:val="clear" w:color="auto" w:fill="auto"/>
            <w:vAlign w:val="center"/>
          </w:tcPr>
          <w:p>
            <w:pPr>
              <w:adjustRightInd w:val="0"/>
              <w:snapToGrid w:val="0"/>
              <w:jc w:val="center"/>
              <w:rPr>
                <w:rFonts w:ascii="Times New Roman" w:hAnsi="Times New Roman"/>
                <w:b w:val="0"/>
                <w:color w:val="auto"/>
                <w:sz w:val="24"/>
                <w:szCs w:val="24"/>
              </w:rPr>
            </w:pPr>
            <w:r>
              <w:rPr>
                <w:rFonts w:ascii="Times New Roman" w:hAnsi="Times New Roman"/>
                <w:b w:val="0"/>
                <w:color w:val="auto"/>
                <w:sz w:val="24"/>
                <w:szCs w:val="24"/>
              </w:rPr>
              <w:t>DN500～DN600</w:t>
            </w:r>
          </w:p>
        </w:tc>
        <w:tc>
          <w:tcPr>
            <w:tcW w:w="1140" w:type="dxa"/>
            <w:shd w:val="clear" w:color="auto" w:fill="auto"/>
            <w:vAlign w:val="center"/>
          </w:tcPr>
          <w:p>
            <w:pPr>
              <w:adjustRightInd w:val="0"/>
              <w:snapToGrid w:val="0"/>
              <w:jc w:val="center"/>
              <w:rPr>
                <w:rFonts w:ascii="Times New Roman" w:hAnsi="Times New Roman"/>
                <w:b w:val="0"/>
                <w:color w:val="auto"/>
                <w:sz w:val="24"/>
                <w:szCs w:val="24"/>
              </w:rPr>
            </w:pPr>
            <w:r>
              <w:rPr>
                <w:rFonts w:ascii="Times New Roman" w:hAnsi="Times New Roman"/>
                <w:b w:val="0"/>
                <w:color w:val="auto"/>
                <w:sz w:val="24"/>
                <w:szCs w:val="24"/>
              </w:rPr>
              <w:t>＞5</w:t>
            </w:r>
          </w:p>
        </w:tc>
        <w:tc>
          <w:tcPr>
            <w:tcW w:w="1700" w:type="dxa"/>
            <w:shd w:val="clear" w:color="auto" w:fill="auto"/>
            <w:vAlign w:val="center"/>
          </w:tcPr>
          <w:p>
            <w:pPr>
              <w:adjustRightInd w:val="0"/>
              <w:snapToGrid w:val="0"/>
              <w:jc w:val="center"/>
              <w:rPr>
                <w:rFonts w:ascii="Times New Roman" w:hAnsi="Times New Roman"/>
                <w:b w:val="0"/>
                <w:color w:val="auto"/>
                <w:sz w:val="24"/>
                <w:szCs w:val="24"/>
              </w:rPr>
            </w:pPr>
            <w:r>
              <w:rPr>
                <w:rFonts w:ascii="Times New Roman" w:hAnsi="Times New Roman"/>
                <w:b w:val="0"/>
                <w:color w:val="auto"/>
                <w:sz w:val="24"/>
                <w:szCs w:val="24"/>
              </w:rPr>
              <w:t>Φ1000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trPr>
        <w:tc>
          <w:tcPr>
            <w:tcW w:w="2060" w:type="dxa"/>
            <w:shd w:val="clear" w:color="auto" w:fill="auto"/>
            <w:vAlign w:val="center"/>
          </w:tcPr>
          <w:p>
            <w:pPr>
              <w:adjustRightInd w:val="0"/>
              <w:snapToGrid w:val="0"/>
              <w:jc w:val="center"/>
              <w:rPr>
                <w:rFonts w:ascii="Times New Roman" w:hAnsi="Times New Roman"/>
                <w:b w:val="0"/>
                <w:color w:val="auto"/>
                <w:szCs w:val="24"/>
              </w:rPr>
            </w:pPr>
            <w:r>
              <w:rPr>
                <w:rFonts w:ascii="Times New Roman" w:hAnsi="Times New Roman"/>
                <w:b w:val="0"/>
                <w:color w:val="auto"/>
                <w:szCs w:val="24"/>
              </w:rPr>
              <w:t>DN600～DN700</w:t>
            </w:r>
          </w:p>
        </w:tc>
        <w:tc>
          <w:tcPr>
            <w:tcW w:w="1201" w:type="dxa"/>
            <w:shd w:val="clear" w:color="auto" w:fill="auto"/>
            <w:vAlign w:val="center"/>
          </w:tcPr>
          <w:p>
            <w:pPr>
              <w:adjustRightInd w:val="0"/>
              <w:snapToGrid w:val="0"/>
              <w:jc w:val="center"/>
              <w:rPr>
                <w:rFonts w:ascii="Times New Roman" w:hAnsi="Times New Roman"/>
                <w:b w:val="0"/>
                <w:color w:val="auto"/>
                <w:sz w:val="24"/>
                <w:szCs w:val="24"/>
              </w:rPr>
            </w:pPr>
            <w:r>
              <w:rPr>
                <w:rFonts w:ascii="Times New Roman" w:hAnsi="Times New Roman"/>
                <w:b w:val="0"/>
                <w:color w:val="auto"/>
                <w:sz w:val="24"/>
                <w:szCs w:val="24"/>
              </w:rPr>
              <w:t>≤5</w:t>
            </w:r>
          </w:p>
        </w:tc>
        <w:tc>
          <w:tcPr>
            <w:tcW w:w="1842" w:type="dxa"/>
            <w:shd w:val="clear" w:color="auto" w:fill="auto"/>
            <w:vAlign w:val="center"/>
          </w:tcPr>
          <w:p>
            <w:pPr>
              <w:adjustRightInd w:val="0"/>
              <w:snapToGrid w:val="0"/>
              <w:jc w:val="center"/>
              <w:rPr>
                <w:rFonts w:ascii="Times New Roman" w:hAnsi="Times New Roman"/>
                <w:b w:val="0"/>
                <w:color w:val="auto"/>
                <w:sz w:val="24"/>
                <w:szCs w:val="24"/>
              </w:rPr>
            </w:pPr>
            <w:r>
              <w:rPr>
                <w:rFonts w:ascii="Times New Roman" w:hAnsi="Times New Roman"/>
                <w:b w:val="0"/>
                <w:color w:val="auto"/>
                <w:sz w:val="24"/>
                <w:szCs w:val="24"/>
              </w:rPr>
              <w:t>Φ1200</w:t>
            </w:r>
          </w:p>
        </w:tc>
        <w:tc>
          <w:tcPr>
            <w:tcW w:w="2257" w:type="dxa"/>
            <w:shd w:val="clear" w:color="auto" w:fill="auto"/>
            <w:vAlign w:val="center"/>
          </w:tcPr>
          <w:p>
            <w:pPr>
              <w:adjustRightInd w:val="0"/>
              <w:snapToGrid w:val="0"/>
              <w:jc w:val="center"/>
              <w:rPr>
                <w:rFonts w:ascii="Times New Roman" w:hAnsi="Times New Roman"/>
                <w:b w:val="0"/>
                <w:color w:val="auto"/>
                <w:sz w:val="24"/>
                <w:szCs w:val="24"/>
              </w:rPr>
            </w:pPr>
            <w:r>
              <w:rPr>
                <w:rFonts w:ascii="Times New Roman" w:hAnsi="Times New Roman"/>
                <w:b w:val="0"/>
                <w:color w:val="auto"/>
                <w:sz w:val="24"/>
                <w:szCs w:val="24"/>
              </w:rPr>
              <w:t>DN700～DN800</w:t>
            </w:r>
          </w:p>
        </w:tc>
        <w:tc>
          <w:tcPr>
            <w:tcW w:w="1140" w:type="dxa"/>
            <w:shd w:val="clear" w:color="auto" w:fill="auto"/>
            <w:vAlign w:val="center"/>
          </w:tcPr>
          <w:p>
            <w:pPr>
              <w:adjustRightInd w:val="0"/>
              <w:snapToGrid w:val="0"/>
              <w:jc w:val="center"/>
              <w:rPr>
                <w:rFonts w:ascii="Times New Roman" w:hAnsi="Times New Roman"/>
                <w:b w:val="0"/>
                <w:color w:val="auto"/>
                <w:sz w:val="24"/>
                <w:szCs w:val="24"/>
              </w:rPr>
            </w:pPr>
            <w:r>
              <w:rPr>
                <w:rFonts w:ascii="Times New Roman" w:hAnsi="Times New Roman"/>
                <w:b w:val="0"/>
                <w:color w:val="auto"/>
                <w:sz w:val="24"/>
                <w:szCs w:val="24"/>
              </w:rPr>
              <w:t>＞5</w:t>
            </w:r>
          </w:p>
        </w:tc>
        <w:tc>
          <w:tcPr>
            <w:tcW w:w="1700" w:type="dxa"/>
            <w:shd w:val="clear" w:color="auto" w:fill="auto"/>
            <w:vAlign w:val="center"/>
          </w:tcPr>
          <w:p>
            <w:pPr>
              <w:adjustRightInd w:val="0"/>
              <w:snapToGrid w:val="0"/>
              <w:jc w:val="center"/>
              <w:rPr>
                <w:rFonts w:ascii="Times New Roman" w:hAnsi="Times New Roman"/>
                <w:b w:val="0"/>
                <w:color w:val="auto"/>
                <w:sz w:val="24"/>
                <w:szCs w:val="24"/>
              </w:rPr>
            </w:pPr>
            <w:r>
              <w:rPr>
                <w:rFonts w:ascii="Times New Roman" w:hAnsi="Times New Roman"/>
                <w:b w:val="0"/>
                <w:color w:val="auto"/>
                <w:sz w:val="24"/>
                <w:szCs w:val="24"/>
              </w:rPr>
              <w:t>Φ1200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0" w:hRule="atLeast"/>
        </w:trPr>
        <w:tc>
          <w:tcPr>
            <w:tcW w:w="2060" w:type="dxa"/>
            <w:shd w:val="clear" w:color="auto" w:fill="auto"/>
            <w:vAlign w:val="center"/>
          </w:tcPr>
          <w:p>
            <w:pPr>
              <w:adjustRightInd w:val="0"/>
              <w:snapToGrid w:val="0"/>
              <w:jc w:val="center"/>
              <w:rPr>
                <w:rFonts w:ascii="Times New Roman" w:hAnsi="Times New Roman"/>
                <w:b w:val="0"/>
                <w:color w:val="auto"/>
                <w:szCs w:val="24"/>
              </w:rPr>
            </w:pPr>
            <w:r>
              <w:rPr>
                <w:rFonts w:ascii="Times New Roman" w:hAnsi="Times New Roman"/>
                <w:b w:val="0"/>
                <w:color w:val="auto"/>
                <w:szCs w:val="24"/>
              </w:rPr>
              <w:t>DN800～DN1000</w:t>
            </w:r>
          </w:p>
        </w:tc>
        <w:tc>
          <w:tcPr>
            <w:tcW w:w="1201" w:type="dxa"/>
            <w:shd w:val="clear" w:color="auto" w:fill="auto"/>
            <w:vAlign w:val="center"/>
          </w:tcPr>
          <w:p>
            <w:pPr>
              <w:adjustRightInd w:val="0"/>
              <w:snapToGrid w:val="0"/>
              <w:jc w:val="center"/>
              <w:rPr>
                <w:rFonts w:ascii="Times New Roman" w:hAnsi="Times New Roman"/>
                <w:b w:val="0"/>
                <w:color w:val="auto"/>
                <w:sz w:val="24"/>
                <w:szCs w:val="24"/>
              </w:rPr>
            </w:pPr>
            <w:r>
              <w:rPr>
                <w:rFonts w:ascii="Times New Roman" w:hAnsi="Times New Roman"/>
                <w:b w:val="0"/>
                <w:color w:val="auto"/>
                <w:sz w:val="24"/>
                <w:szCs w:val="24"/>
              </w:rPr>
              <w:t>≤5</w:t>
            </w:r>
          </w:p>
        </w:tc>
        <w:tc>
          <w:tcPr>
            <w:tcW w:w="1842" w:type="dxa"/>
            <w:shd w:val="clear" w:color="auto" w:fill="auto"/>
            <w:vAlign w:val="center"/>
          </w:tcPr>
          <w:p>
            <w:pPr>
              <w:adjustRightInd w:val="0"/>
              <w:snapToGrid w:val="0"/>
              <w:jc w:val="center"/>
              <w:rPr>
                <w:rFonts w:ascii="Times New Roman" w:hAnsi="Times New Roman"/>
                <w:b w:val="0"/>
                <w:color w:val="auto"/>
                <w:sz w:val="24"/>
                <w:szCs w:val="24"/>
              </w:rPr>
            </w:pPr>
            <w:r>
              <w:rPr>
                <w:rFonts w:ascii="Times New Roman" w:hAnsi="Times New Roman"/>
                <w:b w:val="0"/>
                <w:color w:val="auto"/>
                <w:sz w:val="24"/>
                <w:szCs w:val="24"/>
              </w:rPr>
              <w:t>Φ1600</w:t>
            </w:r>
          </w:p>
        </w:tc>
        <w:tc>
          <w:tcPr>
            <w:tcW w:w="2257" w:type="dxa"/>
            <w:shd w:val="clear" w:color="auto" w:fill="auto"/>
            <w:vAlign w:val="center"/>
          </w:tcPr>
          <w:p>
            <w:pPr>
              <w:adjustRightInd w:val="0"/>
              <w:snapToGrid w:val="0"/>
              <w:jc w:val="center"/>
              <w:rPr>
                <w:rFonts w:ascii="Times New Roman" w:hAnsi="Times New Roman"/>
                <w:b w:val="0"/>
                <w:color w:val="auto"/>
                <w:sz w:val="24"/>
                <w:szCs w:val="24"/>
              </w:rPr>
            </w:pPr>
            <w:r>
              <w:rPr>
                <w:rFonts w:ascii="Times New Roman" w:hAnsi="Times New Roman"/>
                <w:b w:val="0"/>
                <w:color w:val="auto"/>
                <w:sz w:val="24"/>
                <w:szCs w:val="24"/>
              </w:rPr>
              <w:t>DN1350/DN1400</w:t>
            </w:r>
          </w:p>
        </w:tc>
        <w:tc>
          <w:tcPr>
            <w:tcW w:w="1140" w:type="dxa"/>
            <w:shd w:val="clear" w:color="auto" w:fill="auto"/>
            <w:vAlign w:val="center"/>
          </w:tcPr>
          <w:p>
            <w:pPr>
              <w:adjustRightInd w:val="0"/>
              <w:snapToGrid w:val="0"/>
              <w:jc w:val="center"/>
              <w:rPr>
                <w:rFonts w:ascii="Times New Roman" w:hAnsi="Times New Roman"/>
                <w:b w:val="0"/>
                <w:color w:val="auto"/>
                <w:sz w:val="24"/>
                <w:szCs w:val="24"/>
              </w:rPr>
            </w:pPr>
          </w:p>
        </w:tc>
        <w:tc>
          <w:tcPr>
            <w:tcW w:w="1700" w:type="dxa"/>
            <w:shd w:val="clear" w:color="auto" w:fill="auto"/>
            <w:vAlign w:val="center"/>
          </w:tcPr>
          <w:p>
            <w:pPr>
              <w:adjustRightInd w:val="0"/>
              <w:snapToGrid w:val="0"/>
              <w:jc w:val="center"/>
              <w:rPr>
                <w:rFonts w:ascii="Times New Roman" w:hAnsi="Times New Roman"/>
                <w:b w:val="0"/>
                <w:color w:val="auto"/>
                <w:sz w:val="24"/>
                <w:szCs w:val="24"/>
              </w:rPr>
            </w:pPr>
            <w:r>
              <w:rPr>
                <w:rFonts w:ascii="Times New Roman" w:hAnsi="Times New Roman"/>
                <w:b w:val="0"/>
                <w:color w:val="auto"/>
                <w:sz w:val="24"/>
                <w:szCs w:val="24"/>
              </w:rPr>
              <w:t>B=1900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0" w:hRule="atLeast"/>
        </w:trPr>
        <w:tc>
          <w:tcPr>
            <w:tcW w:w="2060" w:type="dxa"/>
            <w:shd w:val="clear" w:color="auto" w:fill="auto"/>
            <w:vAlign w:val="center"/>
          </w:tcPr>
          <w:p>
            <w:pPr>
              <w:adjustRightInd w:val="0"/>
              <w:snapToGrid w:val="0"/>
              <w:jc w:val="center"/>
              <w:rPr>
                <w:rFonts w:ascii="Times New Roman" w:hAnsi="Times New Roman"/>
                <w:b w:val="0"/>
                <w:color w:val="auto"/>
                <w:szCs w:val="24"/>
              </w:rPr>
            </w:pPr>
            <w:r>
              <w:rPr>
                <w:rFonts w:ascii="Times New Roman" w:hAnsi="Times New Roman"/>
                <w:b w:val="0"/>
                <w:color w:val="auto"/>
                <w:szCs w:val="24"/>
              </w:rPr>
              <w:t>DN1100～DN1200</w:t>
            </w:r>
          </w:p>
        </w:tc>
        <w:tc>
          <w:tcPr>
            <w:tcW w:w="1201" w:type="dxa"/>
            <w:shd w:val="clear" w:color="auto" w:fill="auto"/>
            <w:vAlign w:val="center"/>
          </w:tcPr>
          <w:p>
            <w:pPr>
              <w:adjustRightInd w:val="0"/>
              <w:snapToGrid w:val="0"/>
              <w:jc w:val="center"/>
              <w:rPr>
                <w:rFonts w:ascii="Times New Roman" w:hAnsi="Times New Roman"/>
                <w:b w:val="0"/>
                <w:color w:val="auto"/>
                <w:sz w:val="24"/>
                <w:szCs w:val="24"/>
              </w:rPr>
            </w:pPr>
            <w:r>
              <w:rPr>
                <w:rFonts w:ascii="Times New Roman" w:hAnsi="Times New Roman"/>
                <w:b w:val="0"/>
                <w:color w:val="auto"/>
                <w:sz w:val="24"/>
                <w:szCs w:val="24"/>
              </w:rPr>
              <w:t>≤5</w:t>
            </w:r>
          </w:p>
        </w:tc>
        <w:tc>
          <w:tcPr>
            <w:tcW w:w="1842" w:type="dxa"/>
            <w:shd w:val="clear" w:color="auto" w:fill="auto"/>
            <w:vAlign w:val="center"/>
          </w:tcPr>
          <w:p>
            <w:pPr>
              <w:adjustRightInd w:val="0"/>
              <w:snapToGrid w:val="0"/>
              <w:jc w:val="center"/>
              <w:rPr>
                <w:rFonts w:ascii="Times New Roman" w:hAnsi="Times New Roman"/>
                <w:b w:val="0"/>
                <w:color w:val="auto"/>
                <w:sz w:val="24"/>
                <w:szCs w:val="24"/>
              </w:rPr>
            </w:pPr>
            <w:r>
              <w:rPr>
                <w:rFonts w:ascii="Times New Roman" w:hAnsi="Times New Roman"/>
                <w:b w:val="0"/>
                <w:color w:val="auto"/>
                <w:sz w:val="24"/>
                <w:szCs w:val="24"/>
              </w:rPr>
              <w:t>B=1600</w:t>
            </w:r>
          </w:p>
        </w:tc>
        <w:tc>
          <w:tcPr>
            <w:tcW w:w="2257" w:type="dxa"/>
            <w:shd w:val="clear" w:color="auto" w:fill="auto"/>
            <w:vAlign w:val="center"/>
          </w:tcPr>
          <w:p>
            <w:pPr>
              <w:adjustRightInd w:val="0"/>
              <w:snapToGrid w:val="0"/>
              <w:jc w:val="center"/>
              <w:rPr>
                <w:rFonts w:ascii="Times New Roman" w:hAnsi="Times New Roman"/>
                <w:b w:val="0"/>
                <w:color w:val="auto"/>
                <w:sz w:val="24"/>
                <w:szCs w:val="24"/>
              </w:rPr>
            </w:pPr>
            <w:r>
              <w:rPr>
                <w:rFonts w:ascii="Times New Roman" w:hAnsi="Times New Roman"/>
                <w:b w:val="0"/>
                <w:color w:val="auto"/>
                <w:sz w:val="24"/>
                <w:szCs w:val="24"/>
              </w:rPr>
              <w:t>DN1500～DN1650</w:t>
            </w:r>
          </w:p>
        </w:tc>
        <w:tc>
          <w:tcPr>
            <w:tcW w:w="1140" w:type="dxa"/>
            <w:shd w:val="clear" w:color="auto" w:fill="auto"/>
            <w:vAlign w:val="center"/>
          </w:tcPr>
          <w:p>
            <w:pPr>
              <w:adjustRightInd w:val="0"/>
              <w:snapToGrid w:val="0"/>
              <w:jc w:val="center"/>
              <w:rPr>
                <w:rFonts w:ascii="Times New Roman" w:hAnsi="Times New Roman"/>
                <w:b w:val="0"/>
                <w:color w:val="auto"/>
                <w:sz w:val="24"/>
                <w:szCs w:val="24"/>
              </w:rPr>
            </w:pPr>
          </w:p>
        </w:tc>
        <w:tc>
          <w:tcPr>
            <w:tcW w:w="1700" w:type="dxa"/>
            <w:shd w:val="clear" w:color="auto" w:fill="auto"/>
            <w:vAlign w:val="center"/>
          </w:tcPr>
          <w:p>
            <w:pPr>
              <w:adjustRightInd w:val="0"/>
              <w:snapToGrid w:val="0"/>
              <w:jc w:val="center"/>
              <w:rPr>
                <w:rFonts w:ascii="Times New Roman" w:hAnsi="Times New Roman"/>
                <w:b w:val="0"/>
                <w:color w:val="auto"/>
                <w:sz w:val="24"/>
                <w:szCs w:val="24"/>
              </w:rPr>
            </w:pPr>
            <w:r>
              <w:rPr>
                <w:rFonts w:ascii="Times New Roman" w:hAnsi="Times New Roman"/>
                <w:b w:val="0"/>
                <w:color w:val="auto"/>
                <w:sz w:val="24"/>
                <w:szCs w:val="24"/>
              </w:rPr>
              <w:t>B=2200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0" w:hRule="atLeast"/>
        </w:trPr>
        <w:tc>
          <w:tcPr>
            <w:tcW w:w="2060" w:type="dxa"/>
            <w:shd w:val="clear" w:color="auto" w:fill="auto"/>
            <w:vAlign w:val="center"/>
          </w:tcPr>
          <w:p>
            <w:pPr>
              <w:adjustRightInd w:val="0"/>
              <w:snapToGrid w:val="0"/>
              <w:jc w:val="center"/>
              <w:rPr>
                <w:rFonts w:ascii="Times New Roman" w:hAnsi="Times New Roman"/>
                <w:b w:val="0"/>
                <w:color w:val="auto"/>
                <w:szCs w:val="24"/>
              </w:rPr>
            </w:pPr>
          </w:p>
        </w:tc>
        <w:tc>
          <w:tcPr>
            <w:tcW w:w="1201" w:type="dxa"/>
            <w:shd w:val="clear" w:color="auto" w:fill="auto"/>
            <w:vAlign w:val="center"/>
          </w:tcPr>
          <w:p>
            <w:pPr>
              <w:adjustRightInd w:val="0"/>
              <w:snapToGrid w:val="0"/>
              <w:jc w:val="center"/>
              <w:rPr>
                <w:rFonts w:ascii="Times New Roman" w:hAnsi="Times New Roman"/>
                <w:b w:val="0"/>
                <w:color w:val="auto"/>
                <w:sz w:val="24"/>
                <w:szCs w:val="24"/>
              </w:rPr>
            </w:pPr>
          </w:p>
        </w:tc>
        <w:tc>
          <w:tcPr>
            <w:tcW w:w="1842" w:type="dxa"/>
            <w:shd w:val="clear" w:color="auto" w:fill="auto"/>
            <w:vAlign w:val="center"/>
          </w:tcPr>
          <w:p>
            <w:pPr>
              <w:adjustRightInd w:val="0"/>
              <w:snapToGrid w:val="0"/>
              <w:jc w:val="center"/>
              <w:rPr>
                <w:rFonts w:ascii="Times New Roman" w:hAnsi="Times New Roman"/>
                <w:b w:val="0"/>
                <w:color w:val="auto"/>
                <w:sz w:val="24"/>
                <w:szCs w:val="24"/>
              </w:rPr>
            </w:pPr>
          </w:p>
        </w:tc>
        <w:tc>
          <w:tcPr>
            <w:tcW w:w="2257" w:type="dxa"/>
            <w:shd w:val="clear" w:color="auto" w:fill="auto"/>
            <w:vAlign w:val="center"/>
          </w:tcPr>
          <w:p>
            <w:pPr>
              <w:adjustRightInd w:val="0"/>
              <w:snapToGrid w:val="0"/>
              <w:jc w:val="center"/>
              <w:rPr>
                <w:rFonts w:ascii="Times New Roman" w:hAnsi="Times New Roman"/>
                <w:b w:val="0"/>
                <w:color w:val="auto"/>
                <w:sz w:val="24"/>
                <w:szCs w:val="24"/>
              </w:rPr>
            </w:pPr>
            <w:r>
              <w:rPr>
                <w:rFonts w:ascii="Times New Roman" w:hAnsi="Times New Roman"/>
                <w:b w:val="0"/>
                <w:color w:val="auto"/>
                <w:sz w:val="24"/>
                <w:szCs w:val="24"/>
              </w:rPr>
              <w:t>DN1800～DN2000</w:t>
            </w:r>
          </w:p>
        </w:tc>
        <w:tc>
          <w:tcPr>
            <w:tcW w:w="1140" w:type="dxa"/>
            <w:shd w:val="clear" w:color="auto" w:fill="auto"/>
            <w:vAlign w:val="center"/>
          </w:tcPr>
          <w:p>
            <w:pPr>
              <w:adjustRightInd w:val="0"/>
              <w:snapToGrid w:val="0"/>
              <w:jc w:val="center"/>
              <w:rPr>
                <w:rFonts w:ascii="Times New Roman" w:hAnsi="Times New Roman"/>
                <w:b w:val="0"/>
                <w:color w:val="auto"/>
                <w:sz w:val="24"/>
                <w:szCs w:val="24"/>
              </w:rPr>
            </w:pPr>
          </w:p>
        </w:tc>
        <w:tc>
          <w:tcPr>
            <w:tcW w:w="1700" w:type="dxa"/>
            <w:shd w:val="clear" w:color="auto" w:fill="auto"/>
            <w:vAlign w:val="center"/>
          </w:tcPr>
          <w:p>
            <w:pPr>
              <w:adjustRightInd w:val="0"/>
              <w:snapToGrid w:val="0"/>
              <w:jc w:val="center"/>
              <w:rPr>
                <w:rFonts w:ascii="Times New Roman" w:hAnsi="Times New Roman"/>
                <w:b w:val="0"/>
                <w:color w:val="auto"/>
                <w:sz w:val="24"/>
                <w:szCs w:val="24"/>
              </w:rPr>
            </w:pPr>
            <w:r>
              <w:rPr>
                <w:rFonts w:ascii="Times New Roman" w:hAnsi="Times New Roman"/>
                <w:b w:val="0"/>
                <w:color w:val="auto"/>
                <w:sz w:val="24"/>
                <w:szCs w:val="24"/>
              </w:rPr>
              <w:t>B=2600</w:t>
            </w:r>
          </w:p>
        </w:tc>
      </w:tr>
    </w:tbl>
    <w:p>
      <w:pPr>
        <w:pStyle w:val="101"/>
        <w:spacing w:before="31" w:after="31"/>
        <w:ind w:left="0" w:leftChars="0"/>
        <w:jc w:val="center"/>
        <w:rPr>
          <w:szCs w:val="24"/>
        </w:rPr>
      </w:pPr>
      <w:r>
        <w:rPr>
          <w:szCs w:val="24"/>
        </w:rPr>
        <w:drawing>
          <wp:inline distT="0" distB="0" distL="0" distR="0">
            <wp:extent cx="3543300" cy="2244090"/>
            <wp:effectExtent l="0" t="0" r="0" b="3810"/>
            <wp:docPr id="87" name="图片 87" descr="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124.jpg"/>
                    <pic:cNvPicPr>
                      <a:picLocks noChangeAspect="1" noChangeArrowheads="1"/>
                    </pic:cNvPicPr>
                  </pic:nvPicPr>
                  <pic:blipFill>
                    <a:blip r:embed="rId214" cstate="screen">
                      <a:extLst>
                        <a:ext uri="{28A0092B-C50C-407E-A947-70E740481C1C}">
                          <a14:useLocalDpi xmlns:a14="http://schemas.microsoft.com/office/drawing/2010/main" val="0"/>
                        </a:ext>
                      </a:extLst>
                    </a:blip>
                    <a:srcRect/>
                    <a:stretch>
                      <a:fillRect/>
                    </a:stretch>
                  </pic:blipFill>
                  <pic:spPr>
                    <a:xfrm>
                      <a:off x="0" y="0"/>
                      <a:ext cx="3543300" cy="2244090"/>
                    </a:xfrm>
                    <a:prstGeom prst="rect">
                      <a:avLst/>
                    </a:prstGeom>
                    <a:noFill/>
                    <a:ln>
                      <a:noFill/>
                    </a:ln>
                  </pic:spPr>
                </pic:pic>
              </a:graphicData>
            </a:graphic>
          </wp:inline>
        </w:drawing>
      </w:r>
      <w:r>
        <w:rPr>
          <w:szCs w:val="24"/>
        </w:rPr>
        <w:drawing>
          <wp:inline distT="0" distB="0" distL="0" distR="0">
            <wp:extent cx="2268220" cy="2268220"/>
            <wp:effectExtent l="0" t="0" r="17780" b="17780"/>
            <wp:docPr id="91" name="图片 91" descr="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123.jpg"/>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a:xfrm>
                      <a:off x="0" y="0"/>
                      <a:ext cx="2268220" cy="2268220"/>
                    </a:xfrm>
                    <a:prstGeom prst="rect">
                      <a:avLst/>
                    </a:prstGeom>
                    <a:noFill/>
                    <a:ln>
                      <a:noFill/>
                    </a:ln>
                  </pic:spPr>
                </pic:pic>
              </a:graphicData>
            </a:graphic>
          </wp:inline>
        </w:drawing>
      </w:r>
    </w:p>
    <w:p>
      <w:pPr>
        <w:spacing w:line="240" w:lineRule="atLeast"/>
        <w:ind w:firstLine="422" w:firstLineChars="200"/>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装配式检查井球墨铸铁防坠网</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排水管渠在管道交汇处、转弯处、管径或坡度改变处、跌水处以及直线管段上每隔一段距离处设检查井。雨水管道每隔约120m设沉泥井。检查井井口位置应安装球墨铸铁防坠网。</w:t>
      </w:r>
    </w:p>
    <w:p>
      <w:pPr>
        <w:pStyle w:val="5"/>
        <w:ind w:firstLine="482" w:firstLineChars="200"/>
        <w:rPr>
          <w:rFonts w:ascii="Times New Roman" w:hAnsi="Times New Roman"/>
        </w:rPr>
      </w:pPr>
      <w:r>
        <w:rPr>
          <w:rFonts w:ascii="Times New Roman" w:hAnsi="Times New Roman"/>
        </w:rPr>
        <w:t>排水检查井井盖</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排水检查井井盖严格按照广州市建设委员会文件《广州市道路设施检查井井盖实施指引》（穗建督[2009]1149号）、《关于规范广州市排水检查井井盖面标示的通知》（穗水排水[2009]37号）及《关于新建井盖进行编号、安装标志铭牌等增加设计要求的通知》（穗开环建[2011]103号）执行。具体参照广州市地方技术规范《井盖设施建设技术规范》（DBJ440100/T 160-2013）实施。</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检查井井盖盖面标示如下：</w:t>
      </w:r>
    </w:p>
    <w:p>
      <w:pPr>
        <w:spacing w:line="360" w:lineRule="auto"/>
        <w:ind w:firstLine="456" w:firstLineChars="200"/>
        <w:jc w:val="center"/>
        <w:rPr>
          <w:rFonts w:ascii="Times New Roman" w:hAnsi="Times New Roman"/>
          <w:b w:val="0"/>
          <w:color w:val="auto"/>
          <w:spacing w:val="-6"/>
          <w:sz w:val="24"/>
          <w:szCs w:val="24"/>
        </w:rPr>
      </w:pPr>
      <w:r>
        <w:rPr>
          <w:rFonts w:ascii="Times New Roman" w:hAnsi="Times New Roman"/>
          <w:b w:val="0"/>
          <w:color w:val="auto"/>
          <w:spacing w:val="-6"/>
          <w:sz w:val="24"/>
          <w:szCs w:val="24"/>
        </w:rPr>
        <w:drawing>
          <wp:inline distT="0" distB="0" distL="0" distR="0">
            <wp:extent cx="5522595" cy="4679950"/>
            <wp:effectExtent l="0" t="0" r="1905" b="6350"/>
            <wp:docPr id="95" name="图片 95" descr="09-机动车道沥青混合料路面污水检查井可调式防沉降井盖设施（_650×190H）设计图 Model (1)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09-机动车道沥青混合料路面污水检查井可调式防沉降井盖设施（_650×190H）设计图 Model (1)_0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a:xfrm>
                      <a:off x="0" y="0"/>
                      <a:ext cx="5522595" cy="4679950"/>
                    </a:xfrm>
                    <a:prstGeom prst="rect">
                      <a:avLst/>
                    </a:prstGeom>
                    <a:noFill/>
                    <a:ln>
                      <a:noFill/>
                    </a:ln>
                  </pic:spPr>
                </pic:pic>
              </a:graphicData>
            </a:graphic>
          </wp:inline>
        </w:drawing>
      </w:r>
    </w:p>
    <w:p>
      <w:pPr>
        <w:spacing w:line="240" w:lineRule="atLeast"/>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检查井井盖盖面标示图</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（2）根据市住建委《关于印发城市道路品质化提升建设指引的通知》穗建市政【17】309号文件，对于检查井井盖型式提出如下要求：</w:t>
      </w:r>
    </w:p>
    <w:p>
      <w:pPr>
        <w:spacing w:line="360" w:lineRule="auto"/>
        <w:ind w:firstLine="560" w:firstLineChars="200"/>
        <w:jc w:val="center"/>
        <w:rPr>
          <w:rFonts w:ascii="Times New Roman" w:hAnsi="Times New Roman"/>
          <w:b w:val="0"/>
          <w:color w:val="auto"/>
        </w:rPr>
      </w:pPr>
      <w:r>
        <w:rPr>
          <w:rFonts w:ascii="Times New Roman" w:hAnsi="Times New Roman"/>
          <w:b w:val="0"/>
          <w:color w:val="auto"/>
        </w:rPr>
        <w:drawing>
          <wp:inline distT="0" distB="0" distL="0" distR="0">
            <wp:extent cx="3301365" cy="2101850"/>
            <wp:effectExtent l="0" t="0" r="13335" b="12700"/>
            <wp:docPr id="101" name="图片 101" descr="page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page33-0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a:xfrm>
                      <a:off x="0" y="0"/>
                      <a:ext cx="3301365" cy="2101850"/>
                    </a:xfrm>
                    <a:prstGeom prst="rect">
                      <a:avLst/>
                    </a:prstGeom>
                    <a:noFill/>
                    <a:ln>
                      <a:noFill/>
                    </a:ln>
                  </pic:spPr>
                </pic:pic>
              </a:graphicData>
            </a:graphic>
          </wp:inline>
        </w:drawing>
      </w:r>
      <w:r>
        <w:rPr>
          <w:rFonts w:ascii="Times New Roman" w:hAnsi="Times New Roman"/>
          <w:b w:val="0"/>
          <w:color w:val="auto"/>
        </w:rPr>
        <w:drawing>
          <wp:inline distT="0" distB="0" distL="0" distR="0">
            <wp:extent cx="1861185" cy="2054225"/>
            <wp:effectExtent l="0" t="0" r="5715" b="3175"/>
            <wp:docPr id="102" name="图片 102" descr="可调式防沉降检查井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可调式防沉降检查井盖"/>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a:xfrm>
                      <a:off x="0" y="0"/>
                      <a:ext cx="1868076" cy="2061477"/>
                    </a:xfrm>
                    <a:prstGeom prst="rect">
                      <a:avLst/>
                    </a:prstGeom>
                    <a:noFill/>
                    <a:ln>
                      <a:noFill/>
                    </a:ln>
                  </pic:spPr>
                </pic:pic>
              </a:graphicData>
            </a:graphic>
          </wp:inline>
        </w:drawing>
      </w:r>
    </w:p>
    <w:p>
      <w:pPr>
        <w:spacing w:line="240" w:lineRule="atLeast"/>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可调式防沉降防盗井盖</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大部分道路可采用一般的防沉降井盖，在保证防沉降功能的前提下，可在保护区、历史街区等特色地区使用艺术型井盖。</w:t>
      </w:r>
    </w:p>
    <w:p>
      <w:pPr>
        <w:spacing w:line="360" w:lineRule="auto"/>
        <w:ind w:firstLine="560" w:firstLineChars="200"/>
        <w:jc w:val="center"/>
        <w:rPr>
          <w:rFonts w:ascii="Times New Roman" w:hAnsi="Times New Roman"/>
          <w:b w:val="0"/>
          <w:color w:val="auto"/>
          <w:kern w:val="0"/>
        </w:rPr>
      </w:pPr>
      <w:r>
        <w:rPr>
          <w:rFonts w:ascii="Times New Roman" w:hAnsi="Times New Roman"/>
          <w:b w:val="0"/>
          <w:color w:val="auto"/>
          <w:kern w:val="0"/>
        </w:rPr>
        <w:drawing>
          <wp:inline distT="0" distB="0" distL="0" distR="0">
            <wp:extent cx="2172970" cy="2149475"/>
            <wp:effectExtent l="0" t="0" r="17780" b="317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a:xfrm>
                      <a:off x="0" y="0"/>
                      <a:ext cx="2172970" cy="2149475"/>
                    </a:xfrm>
                    <a:prstGeom prst="rect">
                      <a:avLst/>
                    </a:prstGeom>
                    <a:noFill/>
                    <a:ln>
                      <a:noFill/>
                    </a:ln>
                  </pic:spPr>
                </pic:pic>
              </a:graphicData>
            </a:graphic>
          </wp:inline>
        </w:drawing>
      </w:r>
      <w:r>
        <w:rPr>
          <w:rFonts w:ascii="Times New Roman" w:hAnsi="Times New Roman"/>
          <w:b w:val="0"/>
          <w:color w:val="auto"/>
          <w:kern w:val="0"/>
        </w:rPr>
        <w:drawing>
          <wp:inline distT="0" distB="0" distL="0" distR="0">
            <wp:extent cx="3609975" cy="2172970"/>
            <wp:effectExtent l="0" t="0" r="9525" b="1778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noChangeArrowheads="1"/>
                    </pic:cNvPicPr>
                  </pic:nvPicPr>
                  <pic:blipFill>
                    <a:blip r:embed="rId220" cstate="screen">
                      <a:extLst>
                        <a:ext uri="{28A0092B-C50C-407E-A947-70E740481C1C}">
                          <a14:useLocalDpi xmlns:a14="http://schemas.microsoft.com/office/drawing/2010/main" val="0"/>
                        </a:ext>
                      </a:extLst>
                    </a:blip>
                    <a:srcRect/>
                    <a:stretch>
                      <a:fillRect/>
                    </a:stretch>
                  </pic:blipFill>
                  <pic:spPr>
                    <a:xfrm>
                      <a:off x="0" y="0"/>
                      <a:ext cx="3609975" cy="2172970"/>
                    </a:xfrm>
                    <a:prstGeom prst="rect">
                      <a:avLst/>
                    </a:prstGeom>
                    <a:noFill/>
                    <a:ln>
                      <a:noFill/>
                    </a:ln>
                  </pic:spPr>
                </pic:pic>
              </a:graphicData>
            </a:graphic>
          </wp:inline>
        </w:drawing>
      </w:r>
    </w:p>
    <w:p>
      <w:pPr>
        <w:spacing w:line="240" w:lineRule="atLeast"/>
        <w:ind w:firstLine="422" w:firstLineChars="200"/>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艺术型防沉降井盖人行道装饰井盖设计标准</w:t>
      </w:r>
    </w:p>
    <w:p>
      <w:pPr>
        <w:spacing w:line="360" w:lineRule="auto"/>
        <w:ind w:firstLine="480" w:firstLineChars="200"/>
        <w:jc w:val="center"/>
        <w:rPr>
          <w:rFonts w:ascii="Times New Roman" w:hAnsi="Times New Roman"/>
          <w:b w:val="0"/>
          <w:color w:val="auto"/>
          <w:sz w:val="24"/>
        </w:rPr>
      </w:pPr>
      <w:r>
        <w:rPr>
          <w:rFonts w:ascii="Times New Roman" w:hAnsi="Times New Roman"/>
          <w:b w:val="0"/>
          <w:color w:val="auto"/>
          <w:sz w:val="24"/>
        </w:rPr>
        <w:drawing>
          <wp:inline distT="0" distB="0" distL="0" distR="0">
            <wp:extent cx="2386965" cy="2161540"/>
            <wp:effectExtent l="0" t="0" r="13335" b="10160"/>
            <wp:docPr id="105" name="图片 105" descr="装饰井盖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装饰井盖10"/>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a:xfrm>
                      <a:off x="0" y="0"/>
                      <a:ext cx="2386965" cy="2161540"/>
                    </a:xfrm>
                    <a:prstGeom prst="rect">
                      <a:avLst/>
                    </a:prstGeom>
                    <a:noFill/>
                    <a:ln>
                      <a:noFill/>
                    </a:ln>
                  </pic:spPr>
                </pic:pic>
              </a:graphicData>
            </a:graphic>
          </wp:inline>
        </w:drawing>
      </w:r>
      <w:r>
        <w:rPr>
          <w:rFonts w:ascii="Times New Roman" w:hAnsi="Times New Roman"/>
          <w:b w:val="0"/>
          <w:color w:val="auto"/>
          <w:sz w:val="24"/>
        </w:rPr>
        <w:drawing>
          <wp:inline distT="0" distB="0" distL="0" distR="0">
            <wp:extent cx="2874010" cy="2161540"/>
            <wp:effectExtent l="0" t="0" r="2540" b="10160"/>
            <wp:docPr id="106" name="图片 106" descr="装饰井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descr="装饰井盖"/>
                    <pic:cNvPicPr>
                      <a:picLocks noChangeAspect="1" noChangeArrowheads="1"/>
                    </pic:cNvPicPr>
                  </pic:nvPicPr>
                  <pic:blipFill>
                    <a:blip r:embed="rId222" cstate="screen">
                      <a:extLst>
                        <a:ext uri="{28A0092B-C50C-407E-A947-70E740481C1C}">
                          <a14:useLocalDpi xmlns:a14="http://schemas.microsoft.com/office/drawing/2010/main" val="0"/>
                        </a:ext>
                      </a:extLst>
                    </a:blip>
                    <a:srcRect/>
                    <a:stretch>
                      <a:fillRect/>
                    </a:stretch>
                  </pic:blipFill>
                  <pic:spPr>
                    <a:xfrm>
                      <a:off x="0" y="0"/>
                      <a:ext cx="2874010" cy="2161540"/>
                    </a:xfrm>
                    <a:prstGeom prst="rect">
                      <a:avLst/>
                    </a:prstGeom>
                    <a:noFill/>
                    <a:ln>
                      <a:noFill/>
                    </a:ln>
                  </pic:spPr>
                </pic:pic>
              </a:graphicData>
            </a:graphic>
          </wp:inline>
        </w:drawing>
      </w:r>
    </w:p>
    <w:p>
      <w:pPr>
        <w:spacing w:line="240" w:lineRule="atLeast"/>
        <w:ind w:firstLine="422" w:firstLineChars="200"/>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人行道装饰井盖人行道装饰井盖</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（3）井盖其他技术要求</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位于车行道的检查井，应采用具有足够承载力和稳定性良好的井盖与井座。</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井盖采用球墨铸铁，抗拉强度500~1100N/mm延伸率2-15%，符合国标QT500-7/欧标GGG40-50要求。</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车行道下井盖承载等级为重型，承载能力、试压荷载和允许残留变形应符合国标/T23858-2009中“D400”承压等级要求。井面标高根据车行道路面标高调整，确保平顺美观。</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人行道和绿化带下的检查井采用装饰井盖，井盖材料为球墨铸铁，承载等级为重型，承载能力、试压荷载和允许残留变形应符合国标/T23858-2009中“D400”承压等级要求。装饰井盖盖面铺装材料与人行道或绿化带一致，使整体地面铺装达到美观协调。</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井盖及盖座必须开启方便、灵活，具备可调节高度、弹性紧锁、防沉降、防盗、防响、防滑、防跳及意外开启功能。</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井盖上应有业主标志，注明检查井类型、承压等级、抢修电话、生产日期等。</w:t>
      </w:r>
    </w:p>
    <w:p>
      <w:pPr>
        <w:pStyle w:val="5"/>
        <w:ind w:firstLine="482" w:firstLineChars="200"/>
        <w:rPr>
          <w:rFonts w:ascii="Times New Roman" w:hAnsi="Times New Roman"/>
        </w:rPr>
      </w:pPr>
      <w:r>
        <w:rPr>
          <w:rFonts w:ascii="Times New Roman" w:hAnsi="Times New Roman"/>
        </w:rPr>
        <w:t>雨水口连接管</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道路雨水口选用偏沟式双篦雨水口，标准图号。雨水篦子采用球墨铸铁，符合国标QT500-7/欧标GGG40-50要求，承压等级为“D400”，同时具备弹性紧锁、防盗、防响、防滑、防跳及意外开启功能。雨水口连接管采用DN300排水管，以1%的坡度坡向雨水检查井。检查井及雨水口间距：一般采用30~40m为宜。</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（2）如道路采用低影响开发雨水排放系统，则采用溢流式雨水口，布置于下凹式绿地内。</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（3）其余未尽事宜详见《南沙区市政基础设施设计指引》及《井盖设施建设技术规范》DBJ440100/T 160-2013。</w:t>
      </w:r>
    </w:p>
    <w:p>
      <w:pPr>
        <w:ind w:firstLine="480" w:firstLineChars="200"/>
        <w:jc w:val="center"/>
        <w:rPr>
          <w:rFonts w:ascii="Times New Roman" w:hAnsi="Times New Roman"/>
          <w:b w:val="0"/>
          <w:color w:val="auto"/>
          <w:kern w:val="0"/>
          <w:sz w:val="24"/>
          <w:szCs w:val="24"/>
        </w:rPr>
      </w:pPr>
      <w:r>
        <w:rPr>
          <w:rFonts w:ascii="Times New Roman" w:hAnsi="Times New Roman"/>
          <w:b w:val="0"/>
          <w:color w:val="auto"/>
          <w:kern w:val="0"/>
          <w:sz w:val="24"/>
          <w:szCs w:val="24"/>
        </w:rPr>
        <w:drawing>
          <wp:inline distT="0" distB="0" distL="0" distR="0">
            <wp:extent cx="3599815" cy="2173605"/>
            <wp:effectExtent l="0" t="0" r="635" b="17145"/>
            <wp:docPr id="107" name="图片 107" descr="底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底图"/>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a:xfrm>
                      <a:off x="0" y="0"/>
                      <a:ext cx="3600000" cy="2174232"/>
                    </a:xfrm>
                    <a:prstGeom prst="rect">
                      <a:avLst/>
                    </a:prstGeom>
                    <a:noFill/>
                    <a:ln>
                      <a:noFill/>
                    </a:ln>
                  </pic:spPr>
                </pic:pic>
              </a:graphicData>
            </a:graphic>
          </wp:inline>
        </w:drawing>
      </w:r>
    </w:p>
    <w:p>
      <w:pPr>
        <w:ind w:firstLine="422" w:firstLineChars="200"/>
        <w:jc w:val="center"/>
        <w:rPr>
          <w:rFonts w:ascii="Times New Roman" w:hAnsi="Times New Roman"/>
          <w:b w:val="0"/>
          <w:color w:val="auto"/>
          <w:kern w:val="0"/>
          <w:sz w:val="24"/>
          <w:szCs w:val="24"/>
        </w:rPr>
      </w:pPr>
      <w:r>
        <w:rPr>
          <w:rFonts w:ascii="Times New Roman" w:hAnsi="Times New Roman"/>
          <w:color w:val="000000" w:themeColor="text1"/>
          <w:sz w:val="21"/>
          <w:lang w:val="zh-CN"/>
          <w14:textFill>
            <w14:solidFill>
              <w14:schemeClr w14:val="tx1"/>
            </w14:solidFill>
          </w14:textFill>
        </w:rPr>
        <w:t>装饰井盖及雨水篦子安装示意图</w:t>
      </w:r>
    </w:p>
    <w:p>
      <w:pPr>
        <w:ind w:firstLine="560" w:firstLineChars="200"/>
        <w:jc w:val="center"/>
        <w:rPr>
          <w:rFonts w:ascii="Times New Roman" w:hAnsi="Times New Roman"/>
          <w:b w:val="0"/>
          <w:color w:val="auto"/>
          <w:kern w:val="0"/>
          <w:sz w:val="24"/>
        </w:rPr>
      </w:pPr>
      <w:r>
        <w:rPr>
          <w:rFonts w:ascii="Times New Roman" w:hAnsi="Times New Roman"/>
          <w:b w:val="0"/>
          <w:color w:val="auto"/>
        </w:rPr>
        <w:drawing>
          <wp:inline distT="0" distB="0" distL="0" distR="0">
            <wp:extent cx="3599815" cy="2168525"/>
            <wp:effectExtent l="0" t="0" r="635" b="3175"/>
            <wp:docPr id="108" name="图片 34" descr="https://img2.baidu.com/it/u=4050793512,2317572280&amp;fm=253&amp;fmt=auto&amp;app=138&amp;f=JPEG?w=500&amp;h=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34" descr="https://img2.baidu.com/it/u=4050793512,2317572280&amp;fm=253&amp;fmt=auto&amp;app=138&amp;f=JPEG?w=500&amp;h=667"/>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a:xfrm>
                      <a:off x="0" y="0"/>
                      <a:ext cx="3600000" cy="2169061"/>
                    </a:xfrm>
                    <a:prstGeom prst="rect">
                      <a:avLst/>
                    </a:prstGeom>
                    <a:noFill/>
                    <a:ln w="9525">
                      <a:noFill/>
                      <a:miter lim="800000"/>
                      <a:headEnd/>
                      <a:tailEnd/>
                    </a:ln>
                  </pic:spPr>
                </pic:pic>
              </a:graphicData>
            </a:graphic>
          </wp:inline>
        </w:drawing>
      </w:r>
    </w:p>
    <w:p>
      <w:pPr>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偏沟式双篦雨水口</w:t>
      </w:r>
    </w:p>
    <w:p>
      <w:pPr>
        <w:spacing w:line="360" w:lineRule="auto"/>
        <w:ind w:firstLine="480" w:firstLineChars="200"/>
        <w:jc w:val="center"/>
        <w:rPr>
          <w:rFonts w:ascii="Times New Roman" w:hAnsi="Times New Roman"/>
          <w:b w:val="0"/>
          <w:color w:val="auto"/>
          <w:sz w:val="24"/>
          <w:szCs w:val="24"/>
        </w:rPr>
      </w:pPr>
      <w:r>
        <w:rPr>
          <w:rFonts w:ascii="Times New Roman" w:hAnsi="Times New Roman"/>
          <w:b w:val="0"/>
          <w:color w:val="auto"/>
          <w:sz w:val="24"/>
          <w:szCs w:val="24"/>
        </w:rPr>
        <w:drawing>
          <wp:inline distT="0" distB="0" distL="0" distR="0">
            <wp:extent cx="4606290" cy="2910205"/>
            <wp:effectExtent l="0" t="0" r="3810" b="4445"/>
            <wp:docPr id="109" name="图片 109" descr="旋转 关于规范广州市排水检查井井盖盖面标示的通知[2009]1760号_页面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旋转 关于规范广州市排水检查井井盖盖面标示的通知[2009]1760号_页面_11"/>
                    <pic:cNvPicPr>
                      <a:picLocks noChangeAspect="1" noChangeArrowheads="1"/>
                    </pic:cNvPicPr>
                  </pic:nvPicPr>
                  <pic:blipFill>
                    <a:blip r:embed="rId225" cstate="screen">
                      <a:extLst>
                        <a:ext uri="{28A0092B-C50C-407E-A947-70E740481C1C}">
                          <a14:useLocalDpi xmlns:a14="http://schemas.microsoft.com/office/drawing/2010/main" val="0"/>
                        </a:ext>
                      </a:extLst>
                    </a:blip>
                    <a:srcRect/>
                    <a:stretch>
                      <a:fillRect/>
                    </a:stretch>
                  </pic:blipFill>
                  <pic:spPr>
                    <a:xfrm>
                      <a:off x="0" y="0"/>
                      <a:ext cx="4606290" cy="2910205"/>
                    </a:xfrm>
                    <a:prstGeom prst="rect">
                      <a:avLst/>
                    </a:prstGeom>
                    <a:noFill/>
                    <a:ln>
                      <a:noFill/>
                    </a:ln>
                  </pic:spPr>
                </pic:pic>
              </a:graphicData>
            </a:graphic>
          </wp:inline>
        </w:drawing>
      </w:r>
    </w:p>
    <w:p>
      <w:pPr>
        <w:ind w:firstLine="422" w:firstLineChars="200"/>
        <w:jc w:val="center"/>
        <w:rPr>
          <w:rFonts w:ascii="Times New Roman" w:hAnsi="Times New Roman" w:eastAsia="黑体"/>
          <w:b w:val="0"/>
          <w:color w:val="auto"/>
          <w:szCs w:val="21"/>
        </w:rPr>
      </w:pPr>
      <w:r>
        <w:rPr>
          <w:rFonts w:ascii="Times New Roman" w:hAnsi="Times New Roman"/>
          <w:color w:val="000000" w:themeColor="text1"/>
          <w:sz w:val="21"/>
          <w:lang w:val="zh-CN"/>
          <w14:textFill>
            <w14:solidFill>
              <w14:schemeClr w14:val="tx1"/>
            </w14:solidFill>
          </w14:textFill>
        </w:rPr>
        <w:t>弹性自锁平入式篦子</w:t>
      </w:r>
    </w:p>
    <w:p>
      <w:pPr>
        <w:pStyle w:val="5"/>
        <w:ind w:firstLine="482" w:firstLineChars="200"/>
        <w:rPr>
          <w:rFonts w:ascii="Times New Roman" w:hAnsi="Times New Roman"/>
        </w:rPr>
      </w:pPr>
      <w:r>
        <w:rPr>
          <w:rFonts w:ascii="Times New Roman" w:hAnsi="Times New Roman"/>
        </w:rPr>
        <w:t>雨水排出口</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采用八字式管道出水口（浆砌块石），并与河岸一起进行结构（包括基础）处理，应着重考虑与绿化、景观相结合，当施工雨水排出口时破坏现有的河道护堤或挡墙时应予以恢复，排出口与挡墙衔接处，为保证河涌过水能力八字翼墙可不做，但其下应游护砌，防止管道对下游的冲刷，保证河岸护提稳定性。</w:t>
      </w:r>
    </w:p>
    <w:p>
      <w:pPr>
        <w:pStyle w:val="5"/>
        <w:ind w:firstLine="482" w:firstLineChars="200"/>
        <w:rPr>
          <w:rFonts w:ascii="Times New Roman" w:hAnsi="Times New Roman"/>
        </w:rPr>
      </w:pPr>
      <w:r>
        <w:rPr>
          <w:rFonts w:ascii="Times New Roman" w:hAnsi="Times New Roman"/>
        </w:rPr>
        <w:t>地基基础</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（1）软基情况时</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管道地基由道路软基处理时一并考虑，道路软基不做处理且地基承载力不满足要求时，采用搅拌桩复合地基作二次加强处理，处理后承载力≥100Kpa。</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（2）一般情况时</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将地基夯实后使承载力≥100KPa。</w:t>
      </w:r>
    </w:p>
    <w:p>
      <w:pPr>
        <w:pStyle w:val="5"/>
        <w:ind w:firstLine="482" w:firstLineChars="200"/>
        <w:rPr>
          <w:rFonts w:ascii="Times New Roman" w:hAnsi="Times New Roman"/>
        </w:rPr>
      </w:pPr>
      <w:r>
        <w:rPr>
          <w:rFonts w:ascii="Times New Roman" w:hAnsi="Times New Roman"/>
        </w:rPr>
        <w:t>管道基础</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对于钢筋混凝土管考虑用120º混凝土基础；球墨铸铁管采用200mm厚中砂基础。</w:t>
      </w:r>
    </w:p>
    <w:p>
      <w:pPr>
        <w:pStyle w:val="5"/>
        <w:ind w:firstLine="482" w:firstLineChars="200"/>
        <w:rPr>
          <w:rFonts w:ascii="Times New Roman" w:hAnsi="Times New Roman"/>
        </w:rPr>
      </w:pPr>
      <w:r>
        <w:rPr>
          <w:rFonts w:ascii="Times New Roman" w:hAnsi="Times New Roman"/>
        </w:rPr>
        <w:t>管槽开挖</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排水管（渠）用中粗砂从管（渠）底回填到管顶0.5m处，管（渠）顶0.5m以上至路基底采用中粗砂分层回填。管（渠）回填的密实度及其他技术要求应满足《埋地塑料排水管道施工》（06MS201-2）和《给水排水管道工程施工及验收规范》（GB50268—2008）。</w:t>
      </w:r>
    </w:p>
    <w:p>
      <w:pPr>
        <w:pStyle w:val="4"/>
        <w:ind w:firstLine="482" w:firstLineChars="200"/>
      </w:pPr>
      <w:bookmarkStart w:id="227" w:name="_Toc4846"/>
      <w:bookmarkStart w:id="228" w:name="_Toc26076"/>
      <w:r>
        <w:t>排水管材的选择</w:t>
      </w:r>
      <w:bookmarkEnd w:id="227"/>
      <w:bookmarkEnd w:id="228"/>
    </w:p>
    <w:p>
      <w:pPr>
        <w:pStyle w:val="5"/>
        <w:ind w:firstLine="482" w:firstLineChars="200"/>
        <w:rPr>
          <w:rFonts w:ascii="Times New Roman" w:hAnsi="Times New Roman"/>
        </w:rPr>
      </w:pPr>
      <w:r>
        <w:rPr>
          <w:rFonts w:ascii="Times New Roman" w:hAnsi="Times New Roman"/>
        </w:rPr>
        <w:t>排水管材比选</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随着我国国民经济持续快速的发展，作为城市重要的基础设施——市政排水管网，也得到了政府部门的大力支持、建设和完善。传统的排水管材由于其本身固有的一些缺点，已经难以适应城市快速发展的需要。近年来出现了许多新型管材，这些管材无论是性能还是施工难易程度都优于传统管材。市政排水管网较一般排水管网来说管径相对较大，（一般都在DN400以上），市场上出现的大口径新型管材根据材质的不同，大致为以HDPE（高密度聚乙烯）为原料的HDPE管。由于传统管材钢筋混凝土管近几年也有了一些改进，如增加柔性接口，内壁采用防腐涂料等技术措施，使得钢筋混凝土管得以改进，近一年来局部地市将球墨铸铁管道运用在污水排放系统中。针对目前市场上出现的这些管材，为便于比较，现将上述管材列表比较如下：</w:t>
      </w:r>
    </w:p>
    <w:p>
      <w:pPr>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排水管管材比选表</w:t>
      </w:r>
    </w:p>
    <w:tbl>
      <w:tblPr>
        <w:tblStyle w:val="32"/>
        <w:tblW w:w="98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2"/>
        <w:gridCol w:w="2304"/>
        <w:gridCol w:w="1920"/>
        <w:gridCol w:w="2190"/>
        <w:gridCol w:w="17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tblHeader/>
          <w:jc w:val="center"/>
        </w:trPr>
        <w:tc>
          <w:tcPr>
            <w:tcW w:w="1632" w:type="dxa"/>
            <w:shd w:val="clear" w:color="auto" w:fill="FAD2B4"/>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管类项目</w:t>
            </w:r>
          </w:p>
        </w:tc>
        <w:tc>
          <w:tcPr>
            <w:tcW w:w="2304" w:type="dxa"/>
            <w:tcBorders>
              <w:bottom w:val="single" w:color="auto" w:sz="4" w:space="0"/>
            </w:tcBorders>
            <w:shd w:val="clear" w:color="auto" w:fill="FAD2B4"/>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钢筋混凝土管</w:t>
            </w:r>
          </w:p>
        </w:tc>
        <w:tc>
          <w:tcPr>
            <w:tcW w:w="1920" w:type="dxa"/>
            <w:tcBorders>
              <w:bottom w:val="single" w:color="auto" w:sz="4" w:space="0"/>
            </w:tcBorders>
            <w:shd w:val="clear" w:color="auto" w:fill="FAD2B4"/>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HDPE中空壁缠绕管</w:t>
            </w:r>
          </w:p>
        </w:tc>
        <w:tc>
          <w:tcPr>
            <w:tcW w:w="2190" w:type="dxa"/>
            <w:tcBorders>
              <w:bottom w:val="single" w:color="auto" w:sz="4" w:space="0"/>
            </w:tcBorders>
            <w:shd w:val="clear" w:color="auto" w:fill="FAD2B4"/>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HDPE内肋增强聚乙烯螺旋波纹管</w:t>
            </w:r>
          </w:p>
        </w:tc>
        <w:tc>
          <w:tcPr>
            <w:tcW w:w="1758" w:type="dxa"/>
            <w:tcBorders>
              <w:bottom w:val="single" w:color="auto" w:sz="4" w:space="0"/>
            </w:tcBorders>
            <w:shd w:val="clear" w:color="auto" w:fill="FAD2B4"/>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球墨铸铁管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1632" w:type="dxa"/>
            <w:shd w:val="clear" w:color="auto" w:fill="FAD2B4"/>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口径大小</w:t>
            </w:r>
          </w:p>
        </w:tc>
        <w:tc>
          <w:tcPr>
            <w:tcW w:w="2304"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D200~d3500</w:t>
            </w:r>
          </w:p>
        </w:tc>
        <w:tc>
          <w:tcPr>
            <w:tcW w:w="1920"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DN200~DN2000</w:t>
            </w:r>
          </w:p>
        </w:tc>
        <w:tc>
          <w:tcPr>
            <w:tcW w:w="2190"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DN600~DN2000</w:t>
            </w:r>
          </w:p>
        </w:tc>
        <w:tc>
          <w:tcPr>
            <w:tcW w:w="1758"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DN100~DN2600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jc w:val="center"/>
        </w:trPr>
        <w:tc>
          <w:tcPr>
            <w:tcW w:w="1632" w:type="dxa"/>
            <w:shd w:val="clear" w:color="auto" w:fill="FAD2B4"/>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环刚度</w:t>
            </w:r>
          </w:p>
        </w:tc>
        <w:tc>
          <w:tcPr>
            <w:tcW w:w="2304"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≥10KN/m</w:t>
            </w:r>
            <w:r>
              <w:rPr>
                <w:rFonts w:ascii="Times New Roman" w:hAnsi="Times New Roman"/>
                <w:b w:val="0"/>
                <w:color w:val="auto"/>
                <w:spacing w:val="6"/>
                <w:sz w:val="21"/>
                <w:szCs w:val="21"/>
                <w:vertAlign w:val="superscript"/>
              </w:rPr>
              <w:t>2</w:t>
            </w:r>
          </w:p>
        </w:tc>
        <w:tc>
          <w:tcPr>
            <w:tcW w:w="1920"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4~10KN/m</w:t>
            </w:r>
            <w:r>
              <w:rPr>
                <w:rFonts w:ascii="Times New Roman" w:hAnsi="Times New Roman"/>
                <w:b w:val="0"/>
                <w:color w:val="auto"/>
                <w:spacing w:val="6"/>
                <w:sz w:val="21"/>
                <w:szCs w:val="21"/>
                <w:vertAlign w:val="superscript"/>
              </w:rPr>
              <w:t>2</w:t>
            </w:r>
          </w:p>
        </w:tc>
        <w:tc>
          <w:tcPr>
            <w:tcW w:w="2190"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8~16KN/m</w:t>
            </w:r>
            <w:r>
              <w:rPr>
                <w:rFonts w:ascii="Times New Roman" w:hAnsi="Times New Roman"/>
                <w:b w:val="0"/>
                <w:color w:val="auto"/>
                <w:spacing w:val="6"/>
                <w:sz w:val="21"/>
                <w:szCs w:val="21"/>
                <w:vertAlign w:val="superscript"/>
              </w:rPr>
              <w:t>2</w:t>
            </w:r>
          </w:p>
        </w:tc>
        <w:tc>
          <w:tcPr>
            <w:tcW w:w="1758"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≥10KN/m</w:t>
            </w:r>
            <w:r>
              <w:rPr>
                <w:rFonts w:ascii="Times New Roman" w:hAnsi="Times New Roman"/>
                <w:b w:val="0"/>
                <w:color w:val="auto"/>
                <w:spacing w:val="6"/>
                <w:sz w:val="21"/>
                <w:szCs w:val="21"/>
                <w:vertAlign w:val="super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632" w:type="dxa"/>
            <w:shd w:val="clear" w:color="auto" w:fill="FAD2B4"/>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连接密封性</w:t>
            </w:r>
          </w:p>
        </w:tc>
        <w:tc>
          <w:tcPr>
            <w:tcW w:w="2304"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采用承插式弹性橡胶圈加水泥包封，密闭性较好</w:t>
            </w:r>
          </w:p>
        </w:tc>
        <w:tc>
          <w:tcPr>
            <w:tcW w:w="1920"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热熔带连接，密封性好，不易漏水</w:t>
            </w:r>
          </w:p>
        </w:tc>
        <w:tc>
          <w:tcPr>
            <w:tcW w:w="2190"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承插热熔连接，密封性好，不易漏水</w:t>
            </w:r>
          </w:p>
        </w:tc>
        <w:tc>
          <w:tcPr>
            <w:tcW w:w="1758"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橡胶圈承插连接，密封性较好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3" w:hRule="atLeast"/>
          <w:jc w:val="center"/>
        </w:trPr>
        <w:tc>
          <w:tcPr>
            <w:tcW w:w="1632" w:type="dxa"/>
            <w:shd w:val="clear" w:color="auto" w:fill="FAD2B4"/>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水力性能</w:t>
            </w:r>
          </w:p>
        </w:tc>
        <w:tc>
          <w:tcPr>
            <w:tcW w:w="2304"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粗糙系数0.013~0.014</w:t>
            </w:r>
          </w:p>
        </w:tc>
        <w:tc>
          <w:tcPr>
            <w:tcW w:w="1920"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粗糙系数0.009~0.010</w:t>
            </w:r>
          </w:p>
        </w:tc>
        <w:tc>
          <w:tcPr>
            <w:tcW w:w="2190"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粗糙系数0.009~0.010</w:t>
            </w:r>
          </w:p>
        </w:tc>
        <w:tc>
          <w:tcPr>
            <w:tcW w:w="1758"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粗糙系数0.013~0.014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9" w:hRule="atLeast"/>
          <w:jc w:val="center"/>
        </w:trPr>
        <w:tc>
          <w:tcPr>
            <w:tcW w:w="1632" w:type="dxa"/>
            <w:shd w:val="clear" w:color="auto" w:fill="FAD2B4"/>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环境适应性</w:t>
            </w:r>
          </w:p>
        </w:tc>
        <w:tc>
          <w:tcPr>
            <w:tcW w:w="2304"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抗地质沉降一般，易受化学腐蚀，道路施工不易被破坏</w:t>
            </w:r>
          </w:p>
        </w:tc>
        <w:tc>
          <w:tcPr>
            <w:tcW w:w="1920"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抗地质沉降性能好，耐酸碱等化学腐蚀，道路施工时易受野蛮施工破坏</w:t>
            </w:r>
          </w:p>
        </w:tc>
        <w:tc>
          <w:tcPr>
            <w:tcW w:w="2190"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抗地质沉降性能好，耐酸碱等化学腐蚀，道路施工时易受野蛮施工破坏</w:t>
            </w:r>
          </w:p>
        </w:tc>
        <w:tc>
          <w:tcPr>
            <w:tcW w:w="1758"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抗地质沉降性能好，耐酸碱等化学腐蚀，道路施工不易被破坏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3" w:hRule="atLeast"/>
          <w:jc w:val="center"/>
        </w:trPr>
        <w:tc>
          <w:tcPr>
            <w:tcW w:w="1632" w:type="dxa"/>
            <w:shd w:val="clear" w:color="auto" w:fill="FAD2B4"/>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管道圆度变形</w:t>
            </w:r>
          </w:p>
        </w:tc>
        <w:tc>
          <w:tcPr>
            <w:tcW w:w="2304"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管道基本不变形</w:t>
            </w:r>
          </w:p>
        </w:tc>
        <w:tc>
          <w:tcPr>
            <w:tcW w:w="1920"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管道容易变形或被顶穿，管径越大变形越大</w:t>
            </w:r>
          </w:p>
        </w:tc>
        <w:tc>
          <w:tcPr>
            <w:tcW w:w="2190"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管道变形较小</w:t>
            </w:r>
          </w:p>
        </w:tc>
        <w:tc>
          <w:tcPr>
            <w:tcW w:w="1758"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管道基本不变形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7" w:hRule="atLeast"/>
          <w:jc w:val="center"/>
        </w:trPr>
        <w:tc>
          <w:tcPr>
            <w:tcW w:w="1632" w:type="dxa"/>
            <w:shd w:val="clear" w:color="auto" w:fill="FAD2B4"/>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施工特点</w:t>
            </w:r>
          </w:p>
        </w:tc>
        <w:tc>
          <w:tcPr>
            <w:tcW w:w="2304"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管道基础要求高，重量大，施工工具、人力多</w:t>
            </w:r>
          </w:p>
        </w:tc>
        <w:tc>
          <w:tcPr>
            <w:tcW w:w="1920"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对管道基础要求低，管道可弯曲性良好，重量为混凝土管的10%</w:t>
            </w:r>
          </w:p>
        </w:tc>
        <w:tc>
          <w:tcPr>
            <w:tcW w:w="2190"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对管道基础要求低，管道可弯曲性良好，重量为混凝土管的10%</w:t>
            </w:r>
          </w:p>
        </w:tc>
        <w:tc>
          <w:tcPr>
            <w:tcW w:w="1758"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对管道基础要求低，管道可弯曲性良好，施工周期较短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1632" w:type="dxa"/>
            <w:shd w:val="clear" w:color="auto" w:fill="FAD2B4"/>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使用寿命</w:t>
            </w:r>
          </w:p>
        </w:tc>
        <w:tc>
          <w:tcPr>
            <w:tcW w:w="2304"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≥30年</w:t>
            </w:r>
          </w:p>
        </w:tc>
        <w:tc>
          <w:tcPr>
            <w:tcW w:w="1920"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≥30年</w:t>
            </w:r>
          </w:p>
        </w:tc>
        <w:tc>
          <w:tcPr>
            <w:tcW w:w="2190"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≥30年</w:t>
            </w:r>
          </w:p>
        </w:tc>
        <w:tc>
          <w:tcPr>
            <w:tcW w:w="1758"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≥30年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0" w:hRule="atLeast"/>
          <w:jc w:val="center"/>
        </w:trPr>
        <w:tc>
          <w:tcPr>
            <w:tcW w:w="1632" w:type="dxa"/>
            <w:shd w:val="clear" w:color="auto" w:fill="FAD2B4"/>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产品特点及局限性</w:t>
            </w:r>
          </w:p>
        </w:tc>
        <w:tc>
          <w:tcPr>
            <w:tcW w:w="2304"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因是刚性管，对管道地基处理要求高，须进行软基处理。由于耐腐蚀差，一般不适合污水管道，如用于污水管道，管内壁须刷防腐涂料，适用于污水顶管施工</w:t>
            </w:r>
          </w:p>
        </w:tc>
        <w:tc>
          <w:tcPr>
            <w:tcW w:w="1920"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受结构工艺影响，这种管材环刚度一般均在10KN/m</w:t>
            </w:r>
            <w:r>
              <w:rPr>
                <w:rFonts w:ascii="Times New Roman" w:hAnsi="Times New Roman"/>
                <w:b w:val="0"/>
                <w:color w:val="auto"/>
                <w:spacing w:val="6"/>
                <w:sz w:val="21"/>
                <w:szCs w:val="21"/>
                <w:vertAlign w:val="superscript"/>
              </w:rPr>
              <w:t>2</w:t>
            </w:r>
            <w:r>
              <w:rPr>
                <w:rFonts w:ascii="Times New Roman" w:hAnsi="Times New Roman"/>
                <w:b w:val="0"/>
                <w:color w:val="auto"/>
                <w:spacing w:val="6"/>
                <w:sz w:val="21"/>
                <w:szCs w:val="21"/>
              </w:rPr>
              <w:t>以下，对于大管径或埋深较大场所，变形较大，一般适用于小管径污水管道</w:t>
            </w:r>
          </w:p>
        </w:tc>
        <w:tc>
          <w:tcPr>
            <w:tcW w:w="2190" w:type="dxa"/>
            <w:shd w:val="clear" w:color="auto" w:fill="CCFFFF"/>
            <w:vAlign w:val="center"/>
          </w:tcPr>
          <w:p>
            <w:pPr>
              <w:widowControl/>
              <w:tabs>
                <w:tab w:val="left" w:pos="0"/>
              </w:tabs>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管材缠绕波纹结构合理，有利于扩大与土壤的接触面以及填入管道波谷内的回填土和管道本身共同承受周边土壤的压力，弄成管土共同作用；</w:t>
            </w:r>
          </w:p>
        </w:tc>
        <w:tc>
          <w:tcPr>
            <w:tcW w:w="1758"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具有强度高、防腐性能好、接口可靠、密封性好、安全性能较好，接口为柔性，抗震性能高的优点。但目前大管径实用度不高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1632" w:type="dxa"/>
            <w:shd w:val="clear" w:color="auto" w:fill="FAD2B4"/>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管材安装费用</w:t>
            </w:r>
          </w:p>
        </w:tc>
        <w:tc>
          <w:tcPr>
            <w:tcW w:w="2304"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与其他三种管材比较，综合造价最低</w:t>
            </w:r>
          </w:p>
        </w:tc>
        <w:tc>
          <w:tcPr>
            <w:tcW w:w="1920"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综合造价较高，相对HDPE内肋增强聚乙烯螺旋波纹管便宜</w:t>
            </w:r>
          </w:p>
        </w:tc>
        <w:tc>
          <w:tcPr>
            <w:tcW w:w="2190"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综合造价高，尤其是大管径管道</w:t>
            </w:r>
          </w:p>
        </w:tc>
        <w:tc>
          <w:tcPr>
            <w:tcW w:w="1758" w:type="dxa"/>
            <w:shd w:val="clear" w:color="auto" w:fill="CCFFFF"/>
            <w:vAlign w:val="center"/>
          </w:tcPr>
          <w:p>
            <w:pPr>
              <w:spacing w:line="276" w:lineRule="auto"/>
              <w:jc w:val="center"/>
              <w:rPr>
                <w:rFonts w:ascii="Times New Roman" w:hAnsi="Times New Roman"/>
                <w:b w:val="0"/>
                <w:color w:val="auto"/>
                <w:spacing w:val="6"/>
                <w:sz w:val="21"/>
                <w:szCs w:val="21"/>
              </w:rPr>
            </w:pPr>
            <w:r>
              <w:rPr>
                <w:rFonts w:ascii="Times New Roman" w:hAnsi="Times New Roman"/>
                <w:b w:val="0"/>
                <w:color w:val="auto"/>
                <w:spacing w:val="6"/>
                <w:sz w:val="21"/>
                <w:szCs w:val="21"/>
              </w:rPr>
              <w:t>小管径时与钢筋混凝土管价格相差不大，大管径价格较高</w:t>
            </w:r>
          </w:p>
        </w:tc>
      </w:tr>
    </w:tbl>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各种管材的图片如下：</w:t>
      </w:r>
    </w:p>
    <w:p>
      <w:pPr>
        <w:ind w:firstLine="400" w:firstLineChars="200"/>
        <w:jc w:val="center"/>
        <w:rPr>
          <w:rFonts w:ascii="Times New Roman" w:hAnsi="Times New Roman"/>
          <w:b w:val="0"/>
          <w:color w:val="auto"/>
          <w:kern w:val="0"/>
          <w:sz w:val="20"/>
        </w:rPr>
      </w:pPr>
      <w:r>
        <w:rPr>
          <w:rFonts w:ascii="Times New Roman" w:hAnsi="Times New Roman"/>
          <w:b w:val="0"/>
          <w:color w:val="auto"/>
          <w:kern w:val="0"/>
          <w:sz w:val="20"/>
        </w:rPr>
        <w:drawing>
          <wp:inline distT="0" distB="0" distL="0" distR="0">
            <wp:extent cx="4583430" cy="2566670"/>
            <wp:effectExtent l="0" t="0" r="7620" b="508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a:xfrm>
                      <a:off x="0" y="0"/>
                      <a:ext cx="4584028" cy="2567174"/>
                    </a:xfrm>
                    <a:prstGeom prst="rect">
                      <a:avLst/>
                    </a:prstGeom>
                    <a:noFill/>
                    <a:ln>
                      <a:noFill/>
                    </a:ln>
                  </pic:spPr>
                </pic:pic>
              </a:graphicData>
            </a:graphic>
          </wp:inline>
        </w:drawing>
      </w:r>
    </w:p>
    <w:p>
      <w:pPr>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HDPE内肋增强聚乙烯螺旋波纹管</w:t>
      </w:r>
    </w:p>
    <w:p>
      <w:pPr>
        <w:ind w:firstLine="400" w:firstLineChars="200"/>
        <w:jc w:val="center"/>
        <w:rPr>
          <w:rFonts w:ascii="Times New Roman" w:hAnsi="Times New Roman"/>
          <w:b w:val="0"/>
          <w:color w:val="auto"/>
          <w:kern w:val="0"/>
          <w:sz w:val="20"/>
        </w:rPr>
      </w:pPr>
      <w:r>
        <w:rPr>
          <w:rFonts w:ascii="Times New Roman" w:hAnsi="Times New Roman"/>
          <w:b w:val="0"/>
          <w:color w:val="auto"/>
          <w:kern w:val="0"/>
          <w:sz w:val="20"/>
        </w:rPr>
        <w:drawing>
          <wp:inline distT="0" distB="0" distL="0" distR="0">
            <wp:extent cx="2482215" cy="1864360"/>
            <wp:effectExtent l="0" t="0" r="13335" b="2540"/>
            <wp:docPr id="121" name="图片 121" descr="20092914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20092914281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a:xfrm>
                      <a:off x="0" y="0"/>
                      <a:ext cx="2482215" cy="1864360"/>
                    </a:xfrm>
                    <a:prstGeom prst="rect">
                      <a:avLst/>
                    </a:prstGeom>
                    <a:noFill/>
                    <a:ln>
                      <a:noFill/>
                    </a:ln>
                  </pic:spPr>
                </pic:pic>
              </a:graphicData>
            </a:graphic>
          </wp:inline>
        </w:drawing>
      </w:r>
      <w:r>
        <w:rPr>
          <w:rFonts w:ascii="Times New Roman" w:hAnsi="Times New Roman"/>
          <w:b w:val="0"/>
          <w:color w:val="auto"/>
        </w:rPr>
        <w:drawing>
          <wp:inline distT="0" distB="0" distL="0" distR="0">
            <wp:extent cx="2286000" cy="1711960"/>
            <wp:effectExtent l="0" t="0" r="0" b="2540"/>
            <wp:docPr id="124" name="图片 111" descr="http://pic16_2.qiyeku.com/qiyeku_pic/2015/11/9/xingguangshop8/product/product_pic/image/2016_01_27/201601270156337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11" descr="http://pic16_2.qiyeku.com/qiyeku_pic/2015/11/9/xingguangshop8/product/product_pic/image/2016_01_27/20160127015633724.jpg"/>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a:xfrm>
                      <a:off x="0" y="0"/>
                      <a:ext cx="2286000" cy="1711960"/>
                    </a:xfrm>
                    <a:prstGeom prst="rect">
                      <a:avLst/>
                    </a:prstGeom>
                    <a:noFill/>
                    <a:ln w="9525">
                      <a:noFill/>
                      <a:miter lim="800000"/>
                      <a:headEnd/>
                      <a:tailEnd/>
                    </a:ln>
                  </pic:spPr>
                </pic:pic>
              </a:graphicData>
            </a:graphic>
          </wp:inline>
        </w:drawing>
      </w:r>
    </w:p>
    <w:p>
      <w:pPr>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HDPE中空壁缠绕管球墨铸铁管</w:t>
      </w:r>
    </w:p>
    <w:p>
      <w:pPr>
        <w:ind w:firstLine="400" w:firstLineChars="200"/>
        <w:jc w:val="center"/>
        <w:rPr>
          <w:rFonts w:ascii="Times New Roman" w:hAnsi="Times New Roman"/>
          <w:b w:val="0"/>
          <w:color w:val="auto"/>
          <w:kern w:val="0"/>
          <w:sz w:val="20"/>
        </w:rPr>
      </w:pPr>
      <w:r>
        <w:rPr>
          <w:rFonts w:ascii="Times New Roman" w:hAnsi="Times New Roman"/>
          <w:b w:val="0"/>
          <w:color w:val="auto"/>
          <w:kern w:val="0"/>
          <w:sz w:val="20"/>
        </w:rPr>
        <w:drawing>
          <wp:inline distT="0" distB="0" distL="0" distR="0">
            <wp:extent cx="2493645" cy="2078355"/>
            <wp:effectExtent l="0" t="0" r="1905" b="17145"/>
            <wp:docPr id="126" name="图片 126" descr="钢筋混凝土管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钢筋混凝土管2"/>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a:xfrm>
                      <a:off x="0" y="0"/>
                      <a:ext cx="2493645" cy="2078355"/>
                    </a:xfrm>
                    <a:prstGeom prst="rect">
                      <a:avLst/>
                    </a:prstGeom>
                    <a:noFill/>
                    <a:ln>
                      <a:noFill/>
                    </a:ln>
                  </pic:spPr>
                </pic:pic>
              </a:graphicData>
            </a:graphic>
          </wp:inline>
        </w:drawing>
      </w:r>
      <w:r>
        <w:rPr>
          <w:rFonts w:ascii="Times New Roman" w:hAnsi="Times New Roman"/>
          <w:b w:val="0"/>
          <w:color w:val="auto"/>
          <w:kern w:val="0"/>
          <w:sz w:val="20"/>
        </w:rPr>
        <w:drawing>
          <wp:inline distT="0" distB="0" distL="0" distR="0">
            <wp:extent cx="2493645" cy="2078355"/>
            <wp:effectExtent l="0" t="0" r="1905" b="17145"/>
            <wp:docPr id="128" name="图片 128" descr="钢筋混凝土管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钢筋混凝土管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a:xfrm>
                      <a:off x="0" y="0"/>
                      <a:ext cx="2493645" cy="2078355"/>
                    </a:xfrm>
                    <a:prstGeom prst="rect">
                      <a:avLst/>
                    </a:prstGeom>
                    <a:noFill/>
                    <a:ln>
                      <a:noFill/>
                    </a:ln>
                  </pic:spPr>
                </pic:pic>
              </a:graphicData>
            </a:graphic>
          </wp:inline>
        </w:drawing>
      </w:r>
    </w:p>
    <w:p>
      <w:pPr>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普通承插口钢筋混凝土管钢承插口钢筋混凝土管</w:t>
      </w:r>
    </w:p>
    <w:p>
      <w:pPr>
        <w:pStyle w:val="5"/>
        <w:ind w:firstLine="482" w:firstLineChars="200"/>
        <w:rPr>
          <w:rFonts w:ascii="Times New Roman" w:hAnsi="Times New Roman"/>
          <w:color w:val="auto"/>
        </w:rPr>
      </w:pPr>
      <w:r>
        <w:rPr>
          <w:rFonts w:ascii="Times New Roman" w:hAnsi="Times New Roman"/>
          <w:color w:val="auto"/>
        </w:rPr>
        <w:t>排水管材的选择</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根据上述比较，各种管材各有优缺点，各地应根据各自的地质情况，经济能力以及流体性质综合考虑排水管材的选取。</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根据2017年7月10日，广州市水务局印发《关于进一步明确排水工程建设要求的通知》（穗南区环水〔2017〕290号文），该通知中指出：“为确保我市排水工程建设质量，杜绝劣质管材，建设精品工程……排水管材结合地质和技术经济条件进行方案比选后确定，应优先选用钢筋混凝土管，不宜选用HPDE管材；在地质条件良好的地区，DN500以下管道（不含DN500）经技术经济比选论证后，可合理选用其他的轻型管材或工艺配套管材……”。</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2019年9月18日，广州市水务局、广州市生态环境局、广州市发展和改革委员会印发《广州市城镇污水处理提质增效三年行动方案(2019—2021年）》（穗水排水〔2019〕70号文），该行动方案中指出“加强排水管材市场监管，鼓励主要管材采用甲方供应，并使用球墨铸铁管等高标准管材，逐步淘汰HDPE塑料管和玻璃夹砂管。”另外，根据《广州市河长制办公室关于提高新建污水管网管材标准，打好水污染防治攻坚战的通知》（穗河长办【2020】36号）。明挖施工条件下的重力流污水管管材采用压力离心球墨铸铁管。</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经综合考虑，因钢筋混凝土管和球墨铸铁管有密闭性好、管道不易变形、综合造价低的优点，本工程排水管材选取如下：</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施工条件下的重力流雨水管道采用II级钢筋混凝土管（覆土&lt;5.0m），承插橡胶圈接口；重力流污水管采用球墨铸铁管，承插橡胶圈接口，橡胶圈由管材生产厂家配套供应。</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顶管管材采用III级F型钢筋砼顶管管材，采用钢承式承插接口，过路段和过河涌段采用焊接钢管，钢管材质为Q235-B级钢板，直缝卷焊接。钢管及钢制管件压力等级为1.0MPa，管材及焊接必须符合国家及行业标准。</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各类管材连接方式分述如下：</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（1）球墨铸铁管采用承插连接；</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（2）钢筋混凝土管采用橡胶圈承插口连接；</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（3）过河段钢管采用焊接连接。</w:t>
      </w:r>
    </w:p>
    <w:p>
      <w:pPr>
        <w:pStyle w:val="5"/>
        <w:ind w:firstLine="482" w:firstLineChars="200"/>
        <w:rPr>
          <w:rFonts w:ascii="Times New Roman" w:hAnsi="Times New Roman"/>
        </w:rPr>
      </w:pPr>
      <w:r>
        <w:rPr>
          <w:rFonts w:ascii="Times New Roman" w:hAnsi="Times New Roman"/>
        </w:rPr>
        <w:t>排水管与检查井连接方式</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排水管与检查井连接方式根据《预制装配式钢筋混凝土排水检查井标准图集》选用：当检查井与混凝土管连接间隙介于100~200mm时，混凝土管应“凿毛”处理，采用1:2膨胀水泥嵌缝封堵，连接处设置C35钢筋混凝土环；当检查井与混凝土管连接间隙大于200mm时，混凝土管应在连接位置中部套上遇水膨胀橡胶密封圈，采用现浇C20混凝土封闭，连接处设置C35钢筋混凝土环；接管井筒与管道连接无需设置C35钢筋混凝土环。</w:t>
      </w:r>
    </w:p>
    <w:p>
      <w:pPr>
        <w:pStyle w:val="5"/>
        <w:ind w:firstLine="482" w:firstLineChars="200"/>
        <w:rPr>
          <w:rFonts w:ascii="Times New Roman" w:hAnsi="Times New Roman"/>
        </w:rPr>
      </w:pPr>
      <w:r>
        <w:rPr>
          <w:rFonts w:ascii="Times New Roman" w:hAnsi="Times New Roman"/>
        </w:rPr>
        <w:t>球墨铸铁管及管件防腐</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管道内涂层采用高铝水泥砂浆，其中氧化铝含量大于50%，水泥砂浆内衬应符合GB/T17457。管道外涂层采用外表面带终饰层的喷锌涂料（GB/T17456.1），锌涂层质量的平均值不应小于130g/m2，局部最小值不应小于110g/m2。综饰涂层为沥青漆，终饰层干膜的平均厚度不小于70um、不超过250um，局部最小厚度不小于50um。</w:t>
      </w:r>
    </w:p>
    <w:p>
      <w:pPr>
        <w:pStyle w:val="5"/>
        <w:ind w:firstLine="482" w:firstLineChars="200"/>
        <w:rPr>
          <w:rFonts w:ascii="Times New Roman" w:hAnsi="Times New Roman"/>
        </w:rPr>
      </w:pPr>
      <w:r>
        <w:rPr>
          <w:rFonts w:ascii="Times New Roman" w:hAnsi="Times New Roman"/>
        </w:rPr>
        <w:t>排水管</w:t>
      </w:r>
      <w:r>
        <w:rPr>
          <w:rFonts w:ascii="Times New Roman" w:hAnsi="Times New Roman"/>
          <w:color w:val="auto"/>
        </w:rPr>
        <w:t>道地基处理</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本工程道路范围内地基已由道路做真空联合堆载预压、搅拌桩处理。真空联合处理路段，管径≥DN800的雨水主管及相应检查井在道路堆载预压处理完后，需用水泥搅拌桩作二次复合地基处理；当污水管管道位于自然地面线以下时，污水主管及相应检查井在道路堆载预压处理完后，需用水泥搅拌桩作二次复合地基处理。雨污水接户管、雨污水接户井、管径小于DN800的雨水主管不做搅拌桩处理。</w:t>
      </w:r>
    </w:p>
    <w:p>
      <w:pPr>
        <w:spacing w:line="360" w:lineRule="auto"/>
        <w:ind w:firstLine="480" w:firstLineChars="200"/>
        <w:rPr>
          <w:rFonts w:ascii="Times New Roman" w:hAnsi="Times New Roman"/>
          <w:b w:val="0"/>
          <w:color w:val="auto"/>
          <w:sz w:val="24"/>
          <w:szCs w:val="24"/>
        </w:rPr>
      </w:pPr>
      <w:r>
        <w:rPr>
          <w:rFonts w:hint="eastAsia" w:ascii="Times New Roman" w:hAnsi="Times New Roman"/>
          <w:b w:val="0"/>
          <w:color w:val="auto"/>
          <w:sz w:val="24"/>
          <w:szCs w:val="24"/>
        </w:rPr>
        <w:t>软基处理方案详见5.3.2特殊路基处理设计，详细设计方案需在下阶段设计取得勘察资料的基础上进一步完善。</w:t>
      </w:r>
    </w:p>
    <w:p>
      <w:pPr>
        <w:pStyle w:val="4"/>
        <w:ind w:firstLine="482" w:firstLineChars="200"/>
      </w:pPr>
      <w:bookmarkStart w:id="229" w:name="_Toc987"/>
      <w:bookmarkStart w:id="230" w:name="_Toc3061"/>
      <w:r>
        <w:t>施工方法</w:t>
      </w:r>
      <w:bookmarkEnd w:id="229"/>
      <w:bookmarkEnd w:id="230"/>
    </w:p>
    <w:p>
      <w:pPr>
        <w:pStyle w:val="5"/>
        <w:ind w:firstLine="482" w:firstLineChars="200"/>
        <w:rPr>
          <w:rFonts w:ascii="Times New Roman" w:hAnsi="Times New Roman"/>
        </w:rPr>
      </w:pPr>
      <w:r>
        <w:rPr>
          <w:rFonts w:ascii="Times New Roman" w:hAnsi="Times New Roman"/>
        </w:rPr>
        <w:t>明挖施工</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适用于市政路有足够场地开挖施工的管段。</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（1）管道沟槽开挖及施工排水或降水</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（2）沟槽开挖应符合以下规定：</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1）放坡开挖时：</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当沟槽开挖深度较大时，应合理确定分层开挖的深度。</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人工开挖多层沟槽的槽深超过3m时应分层开挖。每层的深度不宜超过2m。</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人工开挖多层沟槽的层间留台宽度：放坡时不应小于0.8m，直槽时不宜小于0.5m，安装井点设备时不应小于1.5m。</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沟槽开挖宜分段快速施工，敞口时间不宜长，管道安装完毕及时验收，合格后立即回填。</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2）垂直开挖时：</w:t>
      </w:r>
    </w:p>
    <w:p>
      <w:pPr>
        <w:pStyle w:val="386"/>
        <w:spacing w:before="193"/>
        <w:ind w:firstLine="480"/>
        <w:jc w:val="center"/>
        <w:rPr>
          <w:rFonts w:ascii="Times New Roman" w:hAnsi="Times New Roman" w:cs="Times New Roman"/>
          <w:b w:val="0"/>
          <w:color w:val="auto"/>
          <w:sz w:val="24"/>
          <w:szCs w:val="24"/>
        </w:rPr>
      </w:pPr>
      <w:r>
        <w:rPr>
          <w:rFonts w:ascii="Times New Roman" w:hAnsi="Times New Roman" w:cs="Times New Roman"/>
          <w:b w:val="0"/>
          <w:color w:val="auto"/>
          <w:sz w:val="24"/>
          <w:szCs w:val="24"/>
        </w:rPr>
        <w:drawing>
          <wp:inline distT="0" distB="0" distL="0" distR="0">
            <wp:extent cx="4319905" cy="2633980"/>
            <wp:effectExtent l="0" t="0" r="4445" b="1397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a:xfrm>
                      <a:off x="0" y="0"/>
                      <a:ext cx="4320000" cy="2634555"/>
                    </a:xfrm>
                    <a:prstGeom prst="rect">
                      <a:avLst/>
                    </a:prstGeom>
                    <a:noFill/>
                    <a:ln>
                      <a:noFill/>
                    </a:ln>
                  </pic:spPr>
                </pic:pic>
              </a:graphicData>
            </a:graphic>
          </wp:inline>
        </w:drawing>
      </w:r>
    </w:p>
    <w:p>
      <w:pPr>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放坡开挖图</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在管道施工时，多数路段因交通问题难以让沟槽满足放坡的要求，而只能做成直槽。开挖直槽应及时支撑，以免槽壁失稳出现塌方，影响施工，甚至造成人生安全事故。在地质条件较好，槽深≤3米时一般采用木板或槽钢支撑；当槽深&gt;3米时，或者在地质条件差、地下水位高的地段可采用钢板桩支撑。必要时加水平内支撑。</w:t>
      </w:r>
    </w:p>
    <w:p>
      <w:pPr>
        <w:pStyle w:val="386"/>
        <w:spacing w:beforeLines="0"/>
        <w:ind w:firstLine="480"/>
        <w:jc w:val="center"/>
        <w:rPr>
          <w:rFonts w:ascii="Times New Roman" w:hAnsi="Times New Roman" w:cs="Times New Roman"/>
          <w:b w:val="0"/>
          <w:color w:val="auto"/>
          <w:sz w:val="24"/>
          <w:szCs w:val="24"/>
        </w:rPr>
      </w:pPr>
      <w:r>
        <w:rPr>
          <w:rFonts w:ascii="Times New Roman" w:hAnsi="Times New Roman" w:cs="Times New Roman"/>
          <w:b w:val="0"/>
          <w:color w:val="auto"/>
          <w:sz w:val="24"/>
          <w:szCs w:val="24"/>
        </w:rPr>
        <w:drawing>
          <wp:inline distT="0" distB="0" distL="0" distR="0">
            <wp:extent cx="4203700" cy="3051810"/>
            <wp:effectExtent l="0" t="0" r="6350" b="1524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a:xfrm>
                      <a:off x="0" y="0"/>
                      <a:ext cx="4203700" cy="3051810"/>
                    </a:xfrm>
                    <a:prstGeom prst="rect">
                      <a:avLst/>
                    </a:prstGeom>
                    <a:noFill/>
                    <a:ln>
                      <a:noFill/>
                    </a:ln>
                  </pic:spPr>
                </pic:pic>
              </a:graphicData>
            </a:graphic>
          </wp:inline>
        </w:drawing>
      </w:r>
    </w:p>
    <w:p>
      <w:pPr>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垂直开挖图</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（3）施工排水或降水</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一般排水管的施工大多采用明挖施工。管槽开挖的深度越大，碰到不便施工的地质异常情况就越多。虽然，南沙地区地下水充沛，给开槽施工带来不少难题，但当管槽开挖深度≤6米时，采用一般的支护结构和适当的地下水止水或降水措施就能稳定安全的施工，因此，明挖施工是较为经济的施工方法。其重要的施工措施是做好地下水的止水和降水工作。</w:t>
      </w:r>
    </w:p>
    <w:p>
      <w:pPr>
        <w:widowControl/>
        <w:spacing w:line="360" w:lineRule="auto"/>
        <w:ind w:firstLine="560" w:firstLineChars="200"/>
        <w:jc w:val="center"/>
        <w:rPr>
          <w:rFonts w:ascii="Times New Roman" w:hAnsi="Times New Roman"/>
          <w:b w:val="0"/>
          <w:color w:val="auto"/>
          <w:kern w:val="0"/>
        </w:rPr>
      </w:pPr>
      <w:r>
        <w:rPr>
          <w:rFonts w:ascii="Times New Roman" w:hAnsi="Times New Roman"/>
          <w:b w:val="0"/>
          <w:color w:val="auto"/>
          <w:kern w:val="0"/>
        </w:rPr>
        <w:drawing>
          <wp:inline distT="0" distB="0" distL="0" distR="0">
            <wp:extent cx="4524375" cy="2838450"/>
            <wp:effectExtent l="0" t="0" r="9525"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a:xfrm>
                      <a:off x="0" y="0"/>
                      <a:ext cx="4524375" cy="2838450"/>
                    </a:xfrm>
                    <a:prstGeom prst="rect">
                      <a:avLst/>
                    </a:prstGeom>
                    <a:noFill/>
                    <a:ln>
                      <a:noFill/>
                    </a:ln>
                  </pic:spPr>
                </pic:pic>
              </a:graphicData>
            </a:graphic>
          </wp:inline>
        </w:drawing>
      </w:r>
    </w:p>
    <w:p>
      <w:pPr>
        <w:ind w:firstLine="422" w:firstLineChars="200"/>
        <w:jc w:val="center"/>
        <w:rPr>
          <w:rFonts w:ascii="Times New Roman" w:hAnsi="Times New Roman" w:eastAsia="黑体"/>
          <w:b w:val="0"/>
          <w:color w:val="auto"/>
          <w:szCs w:val="21"/>
        </w:rPr>
      </w:pPr>
      <w:r>
        <w:rPr>
          <w:rFonts w:ascii="Times New Roman" w:hAnsi="Times New Roman"/>
          <w:color w:val="000000" w:themeColor="text1"/>
          <w:sz w:val="21"/>
          <w:lang w:val="zh-CN"/>
          <w14:textFill>
            <w14:solidFill>
              <w14:schemeClr w14:val="tx1"/>
            </w14:solidFill>
          </w14:textFill>
        </w:rPr>
        <w:t>井点降水法示意</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施工止水的目的：一是防止沟槽开挖过程中地面水流入沟槽内，造成槽壁塌方、漂管事故。二是开挖沟槽前，地下水位至少要降低到沟槽底下设计标高0.5米，以保证沟槽始终处于疏干状态，地基不被扰乱。所以应在施工前进行基槽外止水及槽内排水施工。</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基槽外止水：采用施打密扣拉森钢板桩，防止地下水流入基槽内。</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沟槽排水：可采用明沟排水；人工降低地下水位的方法，现多数采用井点法。</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明沟排水适用于在作业面较宽、地下水量不是较大、且沟槽深度不大于4米时采用。</w:t>
      </w:r>
    </w:p>
    <w:p>
      <w:pPr>
        <w:pStyle w:val="5"/>
        <w:ind w:firstLine="482" w:firstLineChars="200"/>
        <w:rPr>
          <w:rFonts w:ascii="Times New Roman" w:hAnsi="Times New Roman"/>
        </w:rPr>
      </w:pPr>
      <w:r>
        <w:rPr>
          <w:rFonts w:ascii="Times New Roman" w:hAnsi="Times New Roman"/>
        </w:rPr>
        <w:t>非开挖施工</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非开挖施工，根据管材和管径及地质情况又可分为：顶管施工（Ⅲ级钢筋砼管，钢管）和牵引管施工（适用于DN600以下的HDPE管）。</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（1）顶管施工：适用于穿越河涌、公路的管段，亦适用于涌边有足够场地做顶管井且管道埋深较深的管段。</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1）顶管施工的可行性</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顶管施工在国内外已广泛使用，特别是在长江三角洲和珠江三角洲等地方，回填土及淤泥层中的施工方法已有相当成熟经验。在珠江三角洲地区设计中采用的顶管设计项目很多已投入使用，效果良好。推荐在特殊地段及城市建筑密集区或埋深较深的采用顶管施工。</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2）顶管施工的优势</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顶管施工不用开挖地面，因而铺装管道的上部土层未被扰动，管道的管节端不易产生段差变形，管道的使用寿命延长。</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顶管施工，占地面积小，可节约大笔沿途拆迁费用，同时避免开挖过程中对现状管线的破坏，对当地生产生活造成巨大损失。另外，它对地面的交通影响极小，这对于交通繁忙的市区来讲，无疑是一大优势。顶管施工同时也是非常环保的施工方法，对周围环境基本没有影响。</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3）工作井及接收井的设置</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工作井的设置：根据沿线地质条件，工作井施工较困难，增加工作井会加大工程造价，所以在满足顶管顶长的前提下，尽量减少工作井数量。工作井尽量设置在顶管中部，使工作井向左、右两个方向顶管。工作井采用现浇钢筋混凝土结构，以逆作法或沉井法施工。</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接收井的设置：尽量在顶管端部，井的大小满足接收顶管机头的要求。接收井采用现浇钢筋砼结构，以逆作法或沉井施工。</w:t>
      </w:r>
    </w:p>
    <w:p>
      <w:pPr>
        <w:pStyle w:val="386"/>
        <w:spacing w:beforeLines="0" w:line="240" w:lineRule="auto"/>
        <w:ind w:firstLine="480"/>
        <w:jc w:val="center"/>
        <w:rPr>
          <w:rFonts w:ascii="Times New Roman" w:hAnsi="Times New Roman" w:eastAsia="宋体" w:cs="Times New Roman"/>
          <w:b w:val="0"/>
          <w:color w:val="auto"/>
          <w:sz w:val="24"/>
          <w:szCs w:val="24"/>
        </w:rPr>
      </w:pPr>
      <w:r>
        <w:rPr>
          <w:rFonts w:ascii="Times New Roman" w:hAnsi="Times New Roman" w:cs="Times New Roman"/>
          <w:b w:val="0"/>
          <w:color w:val="auto"/>
          <w:sz w:val="24"/>
          <w:szCs w:val="24"/>
        </w:rPr>
        <w:drawing>
          <wp:inline distT="0" distB="0" distL="0" distR="0">
            <wp:extent cx="4499610" cy="2816225"/>
            <wp:effectExtent l="0" t="0" r="15240" b="3175"/>
            <wp:docPr id="132" name="图片 132" descr="G:\南沙电力隧道投标\口岸站－凫洲站电力隧道投标资料\$方案设计 - 副本\需ps+\需ps+\顶管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G:\南沙电力隧道投标\口岸站－凫洲站电力隧道投标资料\$方案设计 - 副本\需ps+\需ps+\顶管2.jpg"/>
                    <pic:cNvPicPr>
                      <a:picLocks noChangeAspect="1" noChangeArrowheads="1"/>
                    </pic:cNvPicPr>
                  </pic:nvPicPr>
                  <pic:blipFill>
                    <a:blip r:embed="rId234" cstate="screen">
                      <a:extLst>
                        <a:ext uri="{28A0092B-C50C-407E-A947-70E740481C1C}">
                          <a14:useLocalDpi xmlns:a14="http://schemas.microsoft.com/office/drawing/2010/main" val="0"/>
                        </a:ext>
                      </a:extLst>
                    </a:blip>
                    <a:srcRect/>
                    <a:stretch>
                      <a:fillRect/>
                    </a:stretch>
                  </pic:blipFill>
                  <pic:spPr>
                    <a:xfrm>
                      <a:off x="0" y="0"/>
                      <a:ext cx="4500000" cy="2816250"/>
                    </a:xfrm>
                    <a:prstGeom prst="rect">
                      <a:avLst/>
                    </a:prstGeom>
                    <a:noFill/>
                    <a:ln>
                      <a:noFill/>
                    </a:ln>
                  </pic:spPr>
                </pic:pic>
              </a:graphicData>
            </a:graphic>
          </wp:inline>
        </w:drawing>
      </w:r>
    </w:p>
    <w:p>
      <w:pPr>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机械顶管工作示意图</w:t>
      </w:r>
    </w:p>
    <w:p>
      <w:pPr>
        <w:pStyle w:val="386"/>
        <w:spacing w:beforeLines="0" w:line="240" w:lineRule="auto"/>
        <w:ind w:firstLine="560"/>
        <w:jc w:val="center"/>
        <w:rPr>
          <w:rFonts w:ascii="Times New Roman" w:hAnsi="Times New Roman" w:cs="Times New Roman"/>
          <w:b w:val="0"/>
          <w:color w:val="auto"/>
        </w:rPr>
      </w:pPr>
      <w:r>
        <w:rPr>
          <w:rFonts w:ascii="Times New Roman" w:hAnsi="Times New Roman" w:cs="Times New Roman"/>
          <w:b w:val="0"/>
          <w:color w:val="auto"/>
        </w:rPr>
        <w:drawing>
          <wp:inline distT="0" distB="0" distL="0" distR="0">
            <wp:extent cx="4524375" cy="2660015"/>
            <wp:effectExtent l="0" t="0" r="9525" b="6985"/>
            <wp:docPr id="133" name="图片 133" descr="G:\南沙电力隧道投标\口岸站－凫洲站电力隧道投标资料\隧道盾构、顶管pic\视频剪辑\顶管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G:\南沙电力隧道投标\口岸站－凫洲站电力隧道投标资料\隧道盾构、顶管pic\视频剪辑\顶管8.jp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a:xfrm>
                      <a:off x="0" y="0"/>
                      <a:ext cx="4524375" cy="2660015"/>
                    </a:xfrm>
                    <a:prstGeom prst="rect">
                      <a:avLst/>
                    </a:prstGeom>
                    <a:noFill/>
                    <a:ln>
                      <a:noFill/>
                    </a:ln>
                  </pic:spPr>
                </pic:pic>
              </a:graphicData>
            </a:graphic>
          </wp:inline>
        </w:drawing>
      </w:r>
    </w:p>
    <w:p>
      <w:pPr>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顶管工作井</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（2）牵引管施工：适用于房屋密集道路狭窄管段。</w:t>
      </w:r>
    </w:p>
    <w:p>
      <w:pPr>
        <w:pStyle w:val="386"/>
        <w:spacing w:beforeLines="0" w:line="240" w:lineRule="auto"/>
        <w:ind w:firstLine="560"/>
        <w:jc w:val="center"/>
        <w:rPr>
          <w:rFonts w:ascii="Times New Roman" w:hAnsi="Times New Roman" w:cs="Times New Roman"/>
          <w:b w:val="0"/>
          <w:color w:val="auto"/>
        </w:rPr>
      </w:pPr>
      <w:r>
        <w:rPr>
          <w:rFonts w:ascii="Times New Roman" w:hAnsi="Times New Roman" w:cs="Times New Roman"/>
          <w:b w:val="0"/>
          <w:color w:val="auto"/>
        </w:rPr>
        <w:drawing>
          <wp:inline distT="0" distB="0" distL="0" distR="0">
            <wp:extent cx="4773930" cy="1805305"/>
            <wp:effectExtent l="0" t="0" r="7620" b="4445"/>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a:xfrm>
                      <a:off x="0" y="0"/>
                      <a:ext cx="4773930" cy="1805305"/>
                    </a:xfrm>
                    <a:prstGeom prst="rect">
                      <a:avLst/>
                    </a:prstGeom>
                    <a:noFill/>
                    <a:ln>
                      <a:noFill/>
                    </a:ln>
                  </pic:spPr>
                </pic:pic>
              </a:graphicData>
            </a:graphic>
          </wp:inline>
        </w:drawing>
      </w:r>
    </w:p>
    <w:p>
      <w:pPr>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牵引管工作示意</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牵引管施工是利用岩土钻掘手段，在非开挖地表条件下进行管道铺设的一项施工技术，与传统的挖槽埋管相比，它具有不影响交通、不破坏环境、施工周期短、综合成本低、施工安全性好等优点，适用于穿越街道、公路、铁路、建筑物、河流，以及在闹市区、古迹保护区、绿化带等无法或不宜开挖作业的地区。</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牵引管与传统顶管技术相比是一种无需砌筑工作井就能够快速铺设地下管道的施工方法，它的主要特点是根据预先设计的铺管线路，驱动装有锲形钻头的钻杆从地面钻入，再按照预定方向绕过地下障碍，直至抵达目的地，然后卸下钻头换装适当尺寸和特殊类型的回程扩孔器，使之能够在拉回钻杆的同时，回扩成大致所需的孔洞直径，来回往复后，将连接好的管材返程牵回至钻孔入口处。</w:t>
      </w:r>
    </w:p>
    <w:p>
      <w:pPr>
        <w:pStyle w:val="5"/>
        <w:ind w:firstLine="482" w:firstLineChars="200"/>
        <w:rPr>
          <w:rFonts w:ascii="Times New Roman" w:hAnsi="Times New Roman"/>
        </w:rPr>
      </w:pPr>
      <w:r>
        <w:rPr>
          <w:rFonts w:ascii="Times New Roman" w:hAnsi="Times New Roman"/>
        </w:rPr>
        <w:t>施工方法的比选</w:t>
      </w:r>
    </w:p>
    <w:p>
      <w:pPr>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开挖施工和非开挖施工对比</w:t>
      </w:r>
    </w:p>
    <w:tbl>
      <w:tblPr>
        <w:tblStyle w:val="3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61"/>
        <w:gridCol w:w="4110"/>
        <w:gridCol w:w="37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0" w:type="pct"/>
            <w:vAlign w:val="center"/>
          </w:tcPr>
          <w:p>
            <w:pPr>
              <w:spacing w:line="360" w:lineRule="auto"/>
              <w:jc w:val="center"/>
              <w:rPr>
                <w:rFonts w:ascii="Times New Roman" w:hAnsi="Times New Roman"/>
                <w:b w:val="0"/>
                <w:color w:val="auto"/>
                <w:sz w:val="24"/>
              </w:rPr>
            </w:pPr>
          </w:p>
        </w:tc>
        <w:tc>
          <w:tcPr>
            <w:tcW w:w="1962" w:type="pct"/>
            <w:vAlign w:val="center"/>
          </w:tcPr>
          <w:p>
            <w:pPr>
              <w:spacing w:line="360" w:lineRule="auto"/>
              <w:jc w:val="center"/>
              <w:rPr>
                <w:rFonts w:ascii="Times New Roman" w:hAnsi="Times New Roman"/>
                <w:b w:val="0"/>
                <w:color w:val="auto"/>
                <w:sz w:val="24"/>
              </w:rPr>
            </w:pPr>
            <w:r>
              <w:rPr>
                <w:rFonts w:ascii="Times New Roman" w:hAnsi="Times New Roman"/>
                <w:b w:val="0"/>
                <w:color w:val="auto"/>
                <w:sz w:val="24"/>
              </w:rPr>
              <w:t>开挖施工</w:t>
            </w:r>
          </w:p>
        </w:tc>
        <w:tc>
          <w:tcPr>
            <w:tcW w:w="1768" w:type="pct"/>
            <w:vAlign w:val="center"/>
          </w:tcPr>
          <w:p>
            <w:pPr>
              <w:spacing w:line="360" w:lineRule="auto"/>
              <w:jc w:val="center"/>
              <w:rPr>
                <w:rFonts w:ascii="Times New Roman" w:hAnsi="Times New Roman"/>
                <w:b w:val="0"/>
                <w:color w:val="auto"/>
                <w:sz w:val="24"/>
              </w:rPr>
            </w:pPr>
            <w:r>
              <w:rPr>
                <w:rFonts w:ascii="Times New Roman" w:hAnsi="Times New Roman"/>
                <w:b w:val="0"/>
                <w:color w:val="auto"/>
                <w:sz w:val="24"/>
              </w:rPr>
              <w:t>非开挖施工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0" w:type="pct"/>
            <w:vAlign w:val="center"/>
          </w:tcPr>
          <w:p>
            <w:pPr>
              <w:spacing w:line="360" w:lineRule="auto"/>
              <w:jc w:val="center"/>
              <w:rPr>
                <w:rFonts w:ascii="Times New Roman" w:hAnsi="Times New Roman"/>
                <w:b w:val="0"/>
                <w:color w:val="auto"/>
                <w:sz w:val="24"/>
              </w:rPr>
            </w:pPr>
            <w:r>
              <w:rPr>
                <w:rFonts w:ascii="Times New Roman" w:hAnsi="Times New Roman"/>
                <w:b w:val="0"/>
                <w:color w:val="auto"/>
                <w:sz w:val="24"/>
              </w:rPr>
              <w:t>质量监控</w:t>
            </w:r>
          </w:p>
        </w:tc>
        <w:tc>
          <w:tcPr>
            <w:tcW w:w="1962" w:type="pct"/>
            <w:vAlign w:val="center"/>
          </w:tcPr>
          <w:p>
            <w:pPr>
              <w:spacing w:line="360" w:lineRule="auto"/>
              <w:jc w:val="center"/>
              <w:rPr>
                <w:rFonts w:ascii="Times New Roman" w:hAnsi="Times New Roman"/>
                <w:b w:val="0"/>
                <w:color w:val="auto"/>
                <w:sz w:val="24"/>
              </w:rPr>
            </w:pPr>
            <w:r>
              <w:rPr>
                <w:rFonts w:ascii="Times New Roman" w:hAnsi="Times New Roman"/>
                <w:b w:val="0"/>
                <w:color w:val="auto"/>
                <w:sz w:val="24"/>
              </w:rPr>
              <w:t>现场能更好的监管，保证管道施工质量</w:t>
            </w:r>
          </w:p>
        </w:tc>
        <w:tc>
          <w:tcPr>
            <w:tcW w:w="1768" w:type="pct"/>
            <w:vAlign w:val="center"/>
          </w:tcPr>
          <w:p>
            <w:pPr>
              <w:spacing w:line="360" w:lineRule="auto"/>
              <w:jc w:val="center"/>
              <w:rPr>
                <w:rFonts w:ascii="Times New Roman" w:hAnsi="Times New Roman"/>
                <w:b w:val="0"/>
                <w:color w:val="auto"/>
                <w:sz w:val="24"/>
              </w:rPr>
            </w:pPr>
            <w:r>
              <w:rPr>
                <w:rFonts w:ascii="Times New Roman" w:hAnsi="Times New Roman"/>
                <w:b w:val="0"/>
                <w:color w:val="auto"/>
                <w:sz w:val="24"/>
              </w:rPr>
              <w:t>对施工队要求较高，质量控制难度较高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0" w:type="pct"/>
            <w:vAlign w:val="center"/>
          </w:tcPr>
          <w:p>
            <w:pPr>
              <w:spacing w:line="360" w:lineRule="auto"/>
              <w:jc w:val="center"/>
              <w:rPr>
                <w:rFonts w:ascii="Times New Roman" w:hAnsi="Times New Roman"/>
                <w:b w:val="0"/>
                <w:color w:val="auto"/>
                <w:sz w:val="24"/>
              </w:rPr>
            </w:pPr>
            <w:r>
              <w:rPr>
                <w:rFonts w:ascii="Times New Roman" w:hAnsi="Times New Roman"/>
                <w:b w:val="0"/>
                <w:color w:val="auto"/>
                <w:sz w:val="24"/>
              </w:rPr>
              <w:t>安全监控</w:t>
            </w:r>
          </w:p>
        </w:tc>
        <w:tc>
          <w:tcPr>
            <w:tcW w:w="1962" w:type="pct"/>
            <w:vAlign w:val="center"/>
          </w:tcPr>
          <w:p>
            <w:pPr>
              <w:spacing w:line="360" w:lineRule="auto"/>
              <w:jc w:val="center"/>
              <w:rPr>
                <w:rFonts w:ascii="Times New Roman" w:hAnsi="Times New Roman"/>
                <w:b w:val="0"/>
                <w:color w:val="auto"/>
                <w:sz w:val="24"/>
              </w:rPr>
            </w:pPr>
            <w:r>
              <w:rPr>
                <w:rFonts w:ascii="Times New Roman" w:hAnsi="Times New Roman"/>
                <w:b w:val="0"/>
                <w:color w:val="auto"/>
                <w:sz w:val="24"/>
              </w:rPr>
              <w:t>沟槽开挖、支撑难度高、在软土地基中有塌方危险</w:t>
            </w:r>
          </w:p>
        </w:tc>
        <w:tc>
          <w:tcPr>
            <w:tcW w:w="1768" w:type="pct"/>
            <w:vAlign w:val="center"/>
          </w:tcPr>
          <w:p>
            <w:pPr>
              <w:spacing w:line="360" w:lineRule="auto"/>
              <w:jc w:val="center"/>
              <w:rPr>
                <w:rFonts w:ascii="Times New Roman" w:hAnsi="Times New Roman"/>
                <w:b w:val="0"/>
                <w:color w:val="auto"/>
                <w:sz w:val="24"/>
              </w:rPr>
            </w:pPr>
            <w:r>
              <w:rPr>
                <w:rFonts w:ascii="Times New Roman" w:hAnsi="Times New Roman"/>
                <w:b w:val="0"/>
                <w:color w:val="auto"/>
                <w:sz w:val="24"/>
              </w:rPr>
              <w:t>工作井、接受井可采用沉井施工，安全隐患较少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0" w:type="pct"/>
            <w:vAlign w:val="center"/>
          </w:tcPr>
          <w:p>
            <w:pPr>
              <w:spacing w:line="360" w:lineRule="auto"/>
              <w:jc w:val="center"/>
              <w:rPr>
                <w:rFonts w:ascii="Times New Roman" w:hAnsi="Times New Roman"/>
                <w:b w:val="0"/>
                <w:color w:val="auto"/>
                <w:sz w:val="24"/>
              </w:rPr>
            </w:pPr>
            <w:r>
              <w:rPr>
                <w:rFonts w:ascii="Times New Roman" w:hAnsi="Times New Roman"/>
                <w:b w:val="0"/>
                <w:color w:val="auto"/>
                <w:sz w:val="24"/>
              </w:rPr>
              <w:t>预算造价</w:t>
            </w:r>
          </w:p>
        </w:tc>
        <w:tc>
          <w:tcPr>
            <w:tcW w:w="1962" w:type="pct"/>
            <w:vAlign w:val="center"/>
          </w:tcPr>
          <w:p>
            <w:pPr>
              <w:spacing w:line="360" w:lineRule="auto"/>
              <w:jc w:val="center"/>
              <w:rPr>
                <w:rFonts w:ascii="Times New Roman" w:hAnsi="Times New Roman"/>
                <w:b w:val="0"/>
                <w:color w:val="auto"/>
                <w:sz w:val="24"/>
              </w:rPr>
            </w:pPr>
            <w:r>
              <w:rPr>
                <w:rFonts w:ascii="Times New Roman" w:hAnsi="Times New Roman"/>
                <w:b w:val="0"/>
                <w:color w:val="auto"/>
                <w:sz w:val="24"/>
              </w:rPr>
              <w:t>造价低（不含额外的措施费）</w:t>
            </w:r>
          </w:p>
        </w:tc>
        <w:tc>
          <w:tcPr>
            <w:tcW w:w="1768" w:type="pct"/>
            <w:vAlign w:val="center"/>
          </w:tcPr>
          <w:p>
            <w:pPr>
              <w:spacing w:line="360" w:lineRule="auto"/>
              <w:jc w:val="center"/>
              <w:rPr>
                <w:rFonts w:ascii="Times New Roman" w:hAnsi="Times New Roman"/>
                <w:b w:val="0"/>
                <w:color w:val="auto"/>
                <w:sz w:val="24"/>
              </w:rPr>
            </w:pPr>
            <w:r>
              <w:rPr>
                <w:rFonts w:ascii="Times New Roman" w:hAnsi="Times New Roman"/>
                <w:b w:val="0"/>
                <w:color w:val="auto"/>
                <w:sz w:val="24"/>
              </w:rPr>
              <w:t>造价较高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0" w:type="pct"/>
            <w:vAlign w:val="center"/>
          </w:tcPr>
          <w:p>
            <w:pPr>
              <w:spacing w:line="360" w:lineRule="auto"/>
              <w:jc w:val="center"/>
              <w:rPr>
                <w:rFonts w:ascii="Times New Roman" w:hAnsi="Times New Roman"/>
                <w:b w:val="0"/>
                <w:color w:val="auto"/>
                <w:sz w:val="24"/>
              </w:rPr>
            </w:pPr>
            <w:r>
              <w:rPr>
                <w:rFonts w:ascii="Times New Roman" w:hAnsi="Times New Roman"/>
                <w:b w:val="0"/>
                <w:color w:val="auto"/>
                <w:sz w:val="24"/>
              </w:rPr>
              <w:t>与道路工程交错施工及对道路影响</w:t>
            </w:r>
          </w:p>
        </w:tc>
        <w:tc>
          <w:tcPr>
            <w:tcW w:w="1962" w:type="pct"/>
            <w:vAlign w:val="center"/>
          </w:tcPr>
          <w:p>
            <w:pPr>
              <w:spacing w:line="360" w:lineRule="auto"/>
              <w:jc w:val="center"/>
              <w:rPr>
                <w:rFonts w:ascii="Times New Roman" w:hAnsi="Times New Roman"/>
                <w:b w:val="0"/>
                <w:color w:val="auto"/>
                <w:sz w:val="24"/>
              </w:rPr>
            </w:pPr>
            <w:r>
              <w:rPr>
                <w:rFonts w:ascii="Times New Roman" w:hAnsi="Times New Roman"/>
                <w:b w:val="0"/>
                <w:color w:val="auto"/>
                <w:sz w:val="24"/>
              </w:rPr>
              <w:t>与道路交错施工较多，施工界面和时序需要充分协调；对线器处理的路基存在一定的影响</w:t>
            </w:r>
          </w:p>
        </w:tc>
        <w:tc>
          <w:tcPr>
            <w:tcW w:w="1768" w:type="pct"/>
            <w:vAlign w:val="center"/>
          </w:tcPr>
          <w:p>
            <w:pPr>
              <w:spacing w:line="360" w:lineRule="auto"/>
              <w:jc w:val="center"/>
              <w:rPr>
                <w:rFonts w:ascii="Times New Roman" w:hAnsi="Times New Roman"/>
                <w:b w:val="0"/>
                <w:color w:val="auto"/>
                <w:sz w:val="24"/>
              </w:rPr>
            </w:pPr>
            <w:r>
              <w:rPr>
                <w:rFonts w:ascii="Times New Roman" w:hAnsi="Times New Roman"/>
                <w:b w:val="0"/>
                <w:color w:val="auto"/>
                <w:sz w:val="24"/>
              </w:rPr>
              <w:t>可在整体路基完成后再沉井顶管，与道路施工交错较少；对道路路基影响较小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0" w:type="pct"/>
            <w:vAlign w:val="center"/>
          </w:tcPr>
          <w:p>
            <w:pPr>
              <w:spacing w:line="360" w:lineRule="auto"/>
              <w:jc w:val="center"/>
              <w:rPr>
                <w:rFonts w:ascii="Times New Roman" w:hAnsi="Times New Roman"/>
                <w:b w:val="0"/>
                <w:color w:val="auto"/>
                <w:sz w:val="24"/>
              </w:rPr>
            </w:pPr>
            <w:r>
              <w:rPr>
                <w:rFonts w:ascii="Times New Roman" w:hAnsi="Times New Roman"/>
                <w:b w:val="0"/>
                <w:color w:val="auto"/>
                <w:sz w:val="24"/>
              </w:rPr>
              <w:t>工期进度</w:t>
            </w:r>
          </w:p>
        </w:tc>
        <w:tc>
          <w:tcPr>
            <w:tcW w:w="1962" w:type="pct"/>
            <w:vAlign w:val="center"/>
          </w:tcPr>
          <w:p>
            <w:pPr>
              <w:spacing w:line="360" w:lineRule="auto"/>
              <w:jc w:val="center"/>
              <w:rPr>
                <w:rFonts w:ascii="Times New Roman" w:hAnsi="Times New Roman"/>
                <w:b w:val="0"/>
                <w:color w:val="auto"/>
                <w:sz w:val="24"/>
              </w:rPr>
            </w:pPr>
            <w:r>
              <w:rPr>
                <w:rFonts w:ascii="Times New Roman" w:hAnsi="Times New Roman"/>
                <w:b w:val="0"/>
                <w:color w:val="auto"/>
                <w:sz w:val="24"/>
              </w:rPr>
              <w:t>严格工序顺序，施工周期较长</w:t>
            </w:r>
          </w:p>
        </w:tc>
        <w:tc>
          <w:tcPr>
            <w:tcW w:w="1768" w:type="pct"/>
            <w:vAlign w:val="center"/>
          </w:tcPr>
          <w:p>
            <w:pPr>
              <w:spacing w:line="360" w:lineRule="auto"/>
              <w:jc w:val="center"/>
              <w:rPr>
                <w:rFonts w:ascii="Times New Roman" w:hAnsi="Times New Roman"/>
                <w:b w:val="0"/>
                <w:color w:val="auto"/>
                <w:sz w:val="24"/>
              </w:rPr>
            </w:pPr>
            <w:r>
              <w:rPr>
                <w:rFonts w:ascii="Times New Roman" w:hAnsi="Times New Roman"/>
                <w:b w:val="0"/>
                <w:color w:val="auto"/>
                <w:sz w:val="24"/>
              </w:rPr>
              <w:t>部分工序可同期施工，施工周期短</w:t>
            </w:r>
          </w:p>
        </w:tc>
      </w:tr>
    </w:tbl>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由上表可知，开挖施工和非开挖施工各具优缺点，应根据本工程实际情况，因地制宜，结合地质条件，合理选择管材和施工工艺，优化设计方案，才能保证施工安全和工期进度，又能控制造价、提升投资效益。</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借鉴附近工程施工经验，因本工程排水管当埋深小于5.0m，且有足够施工空间，故所有排水管线明挖施工。</w:t>
      </w:r>
    </w:p>
    <w:p>
      <w:pPr>
        <w:pStyle w:val="386"/>
        <w:spacing w:beforeLines="0"/>
        <w:ind w:firstLine="480"/>
        <w:rPr>
          <w:rFonts w:ascii="Times New Roman" w:hAnsi="Times New Roman" w:eastAsia="宋体" w:cs="Times New Roman"/>
          <w:b w:val="0"/>
          <w:color w:val="auto"/>
          <w:sz w:val="24"/>
          <w:szCs w:val="24"/>
        </w:rPr>
      </w:pPr>
      <w:r>
        <w:rPr>
          <w:rFonts w:ascii="Times New Roman" w:hAnsi="Times New Roman" w:eastAsia="宋体" w:cs="Times New Roman"/>
          <w:b w:val="0"/>
          <w:color w:val="auto"/>
          <w:sz w:val="24"/>
          <w:szCs w:val="24"/>
        </w:rPr>
        <w:t>鉴于附近工程施工经验，本工程排水管当埋深≤6m管道采用开槽明挖施工，埋深&gt;6m采用顶管施工。</w:t>
      </w:r>
    </w:p>
    <w:p>
      <w:pPr>
        <w:pStyle w:val="5"/>
        <w:ind w:firstLine="482" w:firstLineChars="200"/>
        <w:rPr>
          <w:rFonts w:ascii="Times New Roman" w:hAnsi="Times New Roman"/>
        </w:rPr>
      </w:pPr>
      <w:r>
        <w:rPr>
          <w:rFonts w:ascii="Times New Roman" w:hAnsi="Times New Roman"/>
        </w:rPr>
        <w:t>管线保护实施方案</w:t>
      </w:r>
    </w:p>
    <w:p>
      <w:pPr>
        <w:pStyle w:val="386"/>
        <w:spacing w:before="193"/>
        <w:ind w:firstLine="480"/>
        <w:rPr>
          <w:rFonts w:ascii="Times New Roman" w:hAnsi="Times New Roman" w:eastAsia="宋体" w:cs="Times New Roman"/>
          <w:b w:val="0"/>
          <w:color w:val="auto"/>
          <w:sz w:val="24"/>
          <w:szCs w:val="24"/>
        </w:rPr>
      </w:pPr>
      <w:r>
        <w:rPr>
          <w:rFonts w:ascii="Times New Roman" w:hAnsi="Times New Roman" w:eastAsia="宋体" w:cs="Times New Roman"/>
          <w:b w:val="0"/>
          <w:color w:val="auto"/>
          <w:sz w:val="24"/>
          <w:szCs w:val="24"/>
        </w:rPr>
        <w:t>首先在工程施工前，加强对施工区域管线的调查工作，将工作做在前面，防患于未然。</w:t>
      </w:r>
    </w:p>
    <w:p>
      <w:pPr>
        <w:pStyle w:val="386"/>
        <w:spacing w:before="193"/>
        <w:ind w:firstLine="480"/>
        <w:rPr>
          <w:rFonts w:ascii="Times New Roman" w:hAnsi="Times New Roman" w:eastAsia="宋体" w:cs="Times New Roman"/>
          <w:b w:val="0"/>
          <w:color w:val="auto"/>
          <w:sz w:val="24"/>
          <w:szCs w:val="24"/>
        </w:rPr>
      </w:pPr>
      <w:r>
        <w:rPr>
          <w:rFonts w:ascii="Times New Roman" w:hAnsi="Times New Roman" w:eastAsia="宋体" w:cs="Times New Roman"/>
          <w:b w:val="0"/>
          <w:color w:val="auto"/>
          <w:sz w:val="24"/>
          <w:szCs w:val="24"/>
        </w:rPr>
        <w:t>(1)从技术上引起重视:项目部技术负责人在制定施工组织设计方案时，首先从现状管线保护角度考虑方案的可操作性和安全性，从方案上保证管线无事。</w:t>
      </w:r>
    </w:p>
    <w:p>
      <w:pPr>
        <w:pStyle w:val="386"/>
        <w:spacing w:before="193"/>
        <w:ind w:firstLine="480"/>
        <w:rPr>
          <w:rFonts w:ascii="Times New Roman" w:hAnsi="Times New Roman" w:eastAsia="宋体" w:cs="Times New Roman"/>
          <w:b w:val="0"/>
          <w:color w:val="auto"/>
          <w:sz w:val="24"/>
          <w:szCs w:val="24"/>
        </w:rPr>
      </w:pPr>
      <w:r>
        <w:rPr>
          <w:rFonts w:ascii="Times New Roman" w:hAnsi="Times New Roman" w:eastAsia="宋体" w:cs="Times New Roman"/>
          <w:b w:val="0"/>
          <w:color w:val="auto"/>
          <w:sz w:val="24"/>
          <w:szCs w:val="24"/>
        </w:rPr>
        <w:t>(2)从施工过程引起重视:在施工前，首先根据管线图，摸清各管线的管位和走向，对明确的管线按20m布点进行监控，确认其埋深和走向在管线转角处，须找到转角位置，明确角度变化后管线的走向。</w:t>
      </w:r>
    </w:p>
    <w:p>
      <w:pPr>
        <w:pStyle w:val="386"/>
        <w:spacing w:beforeLines="0"/>
        <w:ind w:firstLine="480"/>
        <w:rPr>
          <w:rFonts w:ascii="Times New Roman" w:hAnsi="Times New Roman" w:eastAsia="宋体" w:cs="Times New Roman"/>
          <w:b w:val="0"/>
          <w:color w:val="auto"/>
          <w:sz w:val="24"/>
          <w:szCs w:val="24"/>
        </w:rPr>
      </w:pPr>
      <w:r>
        <w:rPr>
          <w:rFonts w:ascii="Times New Roman" w:hAnsi="Times New Roman" w:eastAsia="宋体" w:cs="Times New Roman"/>
          <w:b w:val="0"/>
          <w:color w:val="auto"/>
          <w:sz w:val="24"/>
          <w:szCs w:val="24"/>
        </w:rPr>
        <w:t>（3）如在施工路段有现状管线，则根据不同的管线性质，各管道、线材料情况，分别采取行之有效的保护措施，确保管线安全无事故。</w:t>
      </w:r>
    </w:p>
    <w:p>
      <w:pPr>
        <w:pStyle w:val="386"/>
        <w:spacing w:beforeLines="0"/>
        <w:ind w:firstLine="480"/>
        <w:rPr>
          <w:rFonts w:ascii="Times New Roman" w:hAnsi="Times New Roman" w:eastAsia="宋体" w:cs="Times New Roman"/>
          <w:b w:val="0"/>
          <w:color w:val="auto"/>
          <w:sz w:val="24"/>
          <w:szCs w:val="24"/>
        </w:rPr>
      </w:pPr>
      <w:r>
        <w:rPr>
          <w:rFonts w:ascii="Times New Roman" w:hAnsi="Times New Roman" w:eastAsia="宋体" w:cs="Times New Roman"/>
          <w:b w:val="0"/>
          <w:color w:val="auto"/>
          <w:sz w:val="24"/>
          <w:szCs w:val="24"/>
        </w:rPr>
        <w:t>二十涌地铁站范围内若存在现状管线，道路施工前建议按上述要求或会同相关管线权属部门制定相关保护方案方可实施。</w:t>
      </w:r>
    </w:p>
    <w:p>
      <w:pPr>
        <w:pStyle w:val="3"/>
        <w:ind w:firstLine="562" w:firstLineChars="200"/>
        <w:rPr>
          <w:highlight w:val="yellow"/>
        </w:rPr>
      </w:pPr>
      <w:bookmarkStart w:id="231" w:name="_Toc9252"/>
      <w:bookmarkStart w:id="232" w:name="_Toc31801"/>
      <w:bookmarkStart w:id="233" w:name="_Toc17118"/>
      <w:r>
        <w:rPr>
          <w:highlight w:val="yellow"/>
        </w:rPr>
        <w:t>给水工程方案设计</w:t>
      </w:r>
      <w:bookmarkEnd w:id="231"/>
      <w:bookmarkEnd w:id="232"/>
      <w:bookmarkEnd w:id="233"/>
    </w:p>
    <w:p>
      <w:pPr>
        <w:pStyle w:val="101"/>
        <w:spacing w:before="31" w:after="31"/>
        <w:ind w:left="0" w:leftChars="0"/>
        <w:rPr>
          <w:szCs w:val="24"/>
          <w:highlight w:val="yellow"/>
        </w:rPr>
      </w:pPr>
      <w:bookmarkStart w:id="234" w:name="_Toc14794"/>
      <w:bookmarkStart w:id="235" w:name="_Toc15135"/>
      <w:r>
        <w:rPr>
          <w:rFonts w:hint="eastAsia"/>
          <w:szCs w:val="24"/>
          <w:highlight w:val="yellow"/>
        </w:rPr>
        <w:t>根据《穗府办函〔2020〕19号 广州市人民政府办公厅关于印发广州市城市建设维护工作市区分工调整方案的通知》及《关于完善市政消火栓建设工作的若干措施》，本项目消防给水部分只包含市政</w:t>
      </w:r>
      <w:r>
        <w:rPr>
          <w:szCs w:val="24"/>
          <w:highlight w:val="yellow"/>
        </w:rPr>
        <w:t>道路室外</w:t>
      </w:r>
      <w:r>
        <w:rPr>
          <w:rFonts w:hint="eastAsia"/>
          <w:szCs w:val="24"/>
          <w:highlight w:val="yellow"/>
        </w:rPr>
        <w:t>消火栓、</w:t>
      </w:r>
      <w:r>
        <w:rPr>
          <w:szCs w:val="24"/>
          <w:highlight w:val="yellow"/>
        </w:rPr>
        <w:t>DN150小支管及</w:t>
      </w:r>
      <w:r>
        <w:rPr>
          <w:rFonts w:hint="eastAsia"/>
          <w:szCs w:val="24"/>
          <w:highlight w:val="yellow"/>
        </w:rPr>
        <w:t>消火栓</w:t>
      </w:r>
      <w:r>
        <w:rPr>
          <w:szCs w:val="24"/>
          <w:highlight w:val="yellow"/>
        </w:rPr>
        <w:t>阀门</w:t>
      </w:r>
      <w:r>
        <w:rPr>
          <w:rFonts w:hint="eastAsia"/>
          <w:szCs w:val="24"/>
          <w:highlight w:val="yellow"/>
        </w:rPr>
        <w:t>井，给水管仅预留管位。道路南侧或</w:t>
      </w:r>
      <w:r>
        <w:rPr>
          <w:szCs w:val="24"/>
          <w:highlight w:val="yellow"/>
        </w:rPr>
        <w:t>东侧</w:t>
      </w:r>
      <w:r>
        <w:rPr>
          <w:rFonts w:hint="eastAsia"/>
          <w:szCs w:val="24"/>
          <w:highlight w:val="yellow"/>
        </w:rPr>
        <w:t>人行道布置室外消火栓，室外消火栓距车行道边线1.0米，直线段道路消火栓布置间距不大于120米，以保证室外消防用水量要求。</w:t>
      </w:r>
    </w:p>
    <w:p>
      <w:pPr>
        <w:pStyle w:val="4"/>
        <w:ind w:firstLine="482" w:firstLineChars="200"/>
        <w:rPr>
          <w:highlight w:val="yellow"/>
        </w:rPr>
      </w:pPr>
      <w:bookmarkStart w:id="236" w:name="_Toc19315"/>
      <w:r>
        <w:rPr>
          <w:highlight w:val="yellow"/>
        </w:rPr>
        <w:t>设计依据及规范</w:t>
      </w:r>
      <w:bookmarkEnd w:id="234"/>
      <w:bookmarkEnd w:id="235"/>
      <w:bookmarkEnd w:id="236"/>
    </w:p>
    <w:p>
      <w:pPr>
        <w:pStyle w:val="101"/>
        <w:numPr>
          <w:ilvl w:val="0"/>
          <w:numId w:val="28"/>
        </w:numPr>
        <w:spacing w:before="31" w:after="31"/>
        <w:ind w:leftChars="0" w:firstLine="480"/>
        <w:rPr>
          <w:szCs w:val="24"/>
          <w:highlight w:val="yellow"/>
        </w:rPr>
      </w:pPr>
      <w:r>
        <w:rPr>
          <w:szCs w:val="24"/>
          <w:highlight w:val="yellow"/>
        </w:rPr>
        <w:t>《广州市城市总体规划（2017-2035年）》</w:t>
      </w:r>
    </w:p>
    <w:p>
      <w:pPr>
        <w:pStyle w:val="101"/>
        <w:numPr>
          <w:ilvl w:val="0"/>
          <w:numId w:val="28"/>
        </w:numPr>
        <w:spacing w:before="31" w:after="31"/>
        <w:ind w:leftChars="0" w:firstLine="480"/>
        <w:rPr>
          <w:szCs w:val="24"/>
          <w:highlight w:val="yellow"/>
        </w:rPr>
      </w:pPr>
      <w:r>
        <w:rPr>
          <w:szCs w:val="24"/>
          <w:highlight w:val="yellow"/>
        </w:rPr>
        <w:t>《广州市供水系统总体规划（2021-2035）》</w:t>
      </w:r>
    </w:p>
    <w:p>
      <w:pPr>
        <w:pStyle w:val="101"/>
        <w:numPr>
          <w:ilvl w:val="0"/>
          <w:numId w:val="28"/>
        </w:numPr>
        <w:spacing w:before="31" w:after="31"/>
        <w:ind w:leftChars="0" w:firstLine="480"/>
        <w:rPr>
          <w:szCs w:val="24"/>
          <w:highlight w:val="yellow"/>
        </w:rPr>
      </w:pPr>
      <w:r>
        <w:rPr>
          <w:szCs w:val="24"/>
          <w:highlight w:val="yellow"/>
        </w:rPr>
        <w:t>《广州市城乡规划技术规定》（2016）</w:t>
      </w:r>
    </w:p>
    <w:p>
      <w:pPr>
        <w:pStyle w:val="101"/>
        <w:numPr>
          <w:ilvl w:val="0"/>
          <w:numId w:val="28"/>
        </w:numPr>
        <w:spacing w:before="31" w:after="31"/>
        <w:ind w:leftChars="0" w:firstLine="480"/>
        <w:rPr>
          <w:szCs w:val="24"/>
          <w:highlight w:val="yellow"/>
        </w:rPr>
      </w:pPr>
      <w:r>
        <w:rPr>
          <w:szCs w:val="24"/>
          <w:highlight w:val="yellow"/>
        </w:rPr>
        <w:t>《广州市城市规划管理技术标准与准则》（市政规划篇）</w:t>
      </w:r>
    </w:p>
    <w:p>
      <w:pPr>
        <w:pStyle w:val="101"/>
        <w:numPr>
          <w:ilvl w:val="0"/>
          <w:numId w:val="28"/>
        </w:numPr>
        <w:spacing w:before="31" w:after="31"/>
        <w:ind w:leftChars="0" w:firstLine="480"/>
        <w:rPr>
          <w:szCs w:val="24"/>
          <w:highlight w:val="yellow"/>
        </w:rPr>
      </w:pPr>
      <w:r>
        <w:rPr>
          <w:szCs w:val="24"/>
          <w:highlight w:val="yellow"/>
        </w:rPr>
        <w:t>《南沙新区市政基础设施技术指引》（2021.10）</w:t>
      </w:r>
    </w:p>
    <w:p>
      <w:pPr>
        <w:pStyle w:val="101"/>
        <w:numPr>
          <w:ilvl w:val="0"/>
          <w:numId w:val="28"/>
        </w:numPr>
        <w:spacing w:before="31" w:after="31"/>
        <w:ind w:leftChars="0" w:firstLine="480"/>
        <w:rPr>
          <w:szCs w:val="24"/>
          <w:highlight w:val="yellow"/>
        </w:rPr>
      </w:pPr>
      <w:r>
        <w:rPr>
          <w:szCs w:val="24"/>
          <w:highlight w:val="yellow"/>
        </w:rPr>
        <w:t>《南沙新区给水专业规划（2019~2025）》</w:t>
      </w:r>
    </w:p>
    <w:p>
      <w:pPr>
        <w:pStyle w:val="101"/>
        <w:numPr>
          <w:ilvl w:val="0"/>
          <w:numId w:val="28"/>
        </w:numPr>
        <w:spacing w:before="31" w:after="31"/>
        <w:ind w:leftChars="0" w:firstLine="480"/>
        <w:rPr>
          <w:szCs w:val="24"/>
          <w:highlight w:val="yellow"/>
        </w:rPr>
      </w:pPr>
      <w:r>
        <w:rPr>
          <w:szCs w:val="24"/>
          <w:highlight w:val="yellow"/>
        </w:rPr>
        <w:t>《城市给水工程规划规范》（GB 50282-2016）</w:t>
      </w:r>
    </w:p>
    <w:p>
      <w:pPr>
        <w:pStyle w:val="101"/>
        <w:numPr>
          <w:ilvl w:val="0"/>
          <w:numId w:val="28"/>
        </w:numPr>
        <w:spacing w:before="31" w:after="31"/>
        <w:ind w:leftChars="0" w:firstLine="480"/>
        <w:rPr>
          <w:szCs w:val="24"/>
          <w:highlight w:val="yellow"/>
        </w:rPr>
      </w:pPr>
      <w:r>
        <w:rPr>
          <w:szCs w:val="24"/>
          <w:highlight w:val="yellow"/>
        </w:rPr>
        <w:t>《城市给水工程项目规范》（GB 55026-2022）</w:t>
      </w:r>
    </w:p>
    <w:p>
      <w:pPr>
        <w:pStyle w:val="101"/>
        <w:numPr>
          <w:ilvl w:val="0"/>
          <w:numId w:val="28"/>
        </w:numPr>
        <w:spacing w:before="31" w:after="31"/>
        <w:ind w:leftChars="0" w:firstLine="480"/>
        <w:rPr>
          <w:szCs w:val="24"/>
          <w:highlight w:val="yellow"/>
        </w:rPr>
      </w:pPr>
      <w:r>
        <w:rPr>
          <w:szCs w:val="24"/>
          <w:highlight w:val="yellow"/>
        </w:rPr>
        <w:t>《室外给水设计标准》（GB50013-2018）</w:t>
      </w:r>
    </w:p>
    <w:p>
      <w:pPr>
        <w:pStyle w:val="101"/>
        <w:numPr>
          <w:ilvl w:val="0"/>
          <w:numId w:val="28"/>
        </w:numPr>
        <w:spacing w:before="31" w:after="31"/>
        <w:ind w:leftChars="0" w:firstLine="480"/>
        <w:rPr>
          <w:szCs w:val="24"/>
          <w:highlight w:val="yellow"/>
        </w:rPr>
      </w:pPr>
      <w:r>
        <w:rPr>
          <w:szCs w:val="24"/>
          <w:highlight w:val="yellow"/>
        </w:rPr>
        <w:t>《消防给水及消火栓系统技术规范》（GB50974-2014）</w:t>
      </w:r>
    </w:p>
    <w:p>
      <w:pPr>
        <w:pStyle w:val="101"/>
        <w:numPr>
          <w:ilvl w:val="0"/>
          <w:numId w:val="28"/>
        </w:numPr>
        <w:spacing w:before="31" w:after="31"/>
        <w:ind w:leftChars="0" w:firstLine="480"/>
        <w:rPr>
          <w:szCs w:val="24"/>
          <w:highlight w:val="yellow"/>
        </w:rPr>
      </w:pPr>
      <w:r>
        <w:rPr>
          <w:szCs w:val="24"/>
          <w:highlight w:val="yellow"/>
        </w:rPr>
        <w:t>《城市工程管线综合规划规范》（GB50289-2016）</w:t>
      </w:r>
    </w:p>
    <w:p>
      <w:pPr>
        <w:pStyle w:val="101"/>
        <w:numPr>
          <w:ilvl w:val="0"/>
          <w:numId w:val="28"/>
        </w:numPr>
        <w:spacing w:before="31" w:after="31"/>
        <w:ind w:leftChars="0" w:firstLine="480"/>
        <w:rPr>
          <w:szCs w:val="24"/>
          <w:highlight w:val="yellow"/>
        </w:rPr>
      </w:pPr>
      <w:r>
        <w:rPr>
          <w:szCs w:val="24"/>
          <w:highlight w:val="yellow"/>
        </w:rPr>
        <w:t>《建筑设计防火规范》（GB50016-2014（2018年版））</w:t>
      </w:r>
    </w:p>
    <w:p>
      <w:pPr>
        <w:pStyle w:val="101"/>
        <w:numPr>
          <w:ilvl w:val="0"/>
          <w:numId w:val="28"/>
        </w:numPr>
        <w:spacing w:before="31" w:after="31"/>
        <w:ind w:leftChars="0" w:firstLine="480"/>
        <w:rPr>
          <w:szCs w:val="24"/>
          <w:highlight w:val="yellow"/>
        </w:rPr>
      </w:pPr>
      <w:r>
        <w:rPr>
          <w:szCs w:val="24"/>
          <w:highlight w:val="yellow"/>
        </w:rPr>
        <w:t>《水及燃气用球墨铸铁管、管件和附件》(GB/T13295-2019)</w:t>
      </w:r>
    </w:p>
    <w:p>
      <w:pPr>
        <w:pStyle w:val="101"/>
        <w:numPr>
          <w:ilvl w:val="0"/>
          <w:numId w:val="28"/>
        </w:numPr>
        <w:spacing w:before="31" w:after="31"/>
        <w:ind w:leftChars="0" w:firstLine="480"/>
        <w:rPr>
          <w:szCs w:val="24"/>
          <w:highlight w:val="yellow"/>
        </w:rPr>
      </w:pPr>
      <w:r>
        <w:rPr>
          <w:szCs w:val="24"/>
          <w:highlight w:val="yellow"/>
        </w:rPr>
        <w:t>《低压流体输送用焊接钢管》（GB/T3091-2015）</w:t>
      </w:r>
    </w:p>
    <w:p>
      <w:pPr>
        <w:pStyle w:val="101"/>
        <w:numPr>
          <w:ilvl w:val="0"/>
          <w:numId w:val="28"/>
        </w:numPr>
        <w:spacing w:before="31" w:after="31"/>
        <w:ind w:leftChars="0" w:firstLine="480"/>
        <w:rPr>
          <w:szCs w:val="24"/>
          <w:highlight w:val="yellow"/>
        </w:rPr>
      </w:pPr>
      <w:r>
        <w:rPr>
          <w:szCs w:val="24"/>
          <w:highlight w:val="yellow"/>
        </w:rPr>
        <w:t>《井盖设施建设技术规范》（DBJ440100/T 160-2013）</w:t>
      </w:r>
    </w:p>
    <w:p>
      <w:pPr>
        <w:pStyle w:val="101"/>
        <w:numPr>
          <w:ilvl w:val="0"/>
          <w:numId w:val="28"/>
        </w:numPr>
        <w:spacing w:before="31" w:after="31"/>
        <w:ind w:leftChars="0" w:firstLine="480"/>
        <w:rPr>
          <w:szCs w:val="24"/>
          <w:highlight w:val="yellow"/>
        </w:rPr>
      </w:pPr>
      <w:r>
        <w:rPr>
          <w:szCs w:val="24"/>
          <w:highlight w:val="yellow"/>
        </w:rPr>
        <w:t>《检查井盖》（GB/T 23858-2009）</w:t>
      </w:r>
    </w:p>
    <w:p>
      <w:pPr>
        <w:pStyle w:val="101"/>
        <w:numPr>
          <w:ilvl w:val="0"/>
          <w:numId w:val="28"/>
        </w:numPr>
        <w:spacing w:before="31" w:after="31"/>
        <w:ind w:leftChars="0" w:firstLine="480"/>
        <w:rPr>
          <w:szCs w:val="24"/>
          <w:highlight w:val="yellow"/>
        </w:rPr>
      </w:pPr>
      <w:r>
        <w:rPr>
          <w:szCs w:val="24"/>
          <w:highlight w:val="yellow"/>
        </w:rPr>
        <w:t>《生活饮用水输配水设备及防护材料安全性评价标准》（GB/T17219-1998）</w:t>
      </w:r>
    </w:p>
    <w:p>
      <w:pPr>
        <w:pStyle w:val="101"/>
        <w:numPr>
          <w:ilvl w:val="0"/>
          <w:numId w:val="28"/>
        </w:numPr>
        <w:spacing w:before="31" w:after="31"/>
        <w:ind w:leftChars="0" w:firstLine="480"/>
        <w:rPr>
          <w:szCs w:val="24"/>
          <w:highlight w:val="yellow"/>
        </w:rPr>
      </w:pPr>
      <w:r>
        <w:rPr>
          <w:szCs w:val="24"/>
          <w:highlight w:val="yellow"/>
        </w:rPr>
        <w:t>《涂装前钢材表面处理规范》（SYJ4007-2012）</w:t>
      </w:r>
    </w:p>
    <w:p>
      <w:pPr>
        <w:pStyle w:val="101"/>
        <w:numPr>
          <w:ilvl w:val="0"/>
          <w:numId w:val="28"/>
        </w:numPr>
        <w:spacing w:before="31" w:after="31"/>
        <w:ind w:leftChars="0" w:firstLine="480"/>
        <w:rPr>
          <w:szCs w:val="24"/>
          <w:highlight w:val="yellow"/>
        </w:rPr>
      </w:pPr>
      <w:r>
        <w:rPr>
          <w:szCs w:val="24"/>
          <w:highlight w:val="yellow"/>
        </w:rPr>
        <w:t>《涂覆涂料前钢材表面处理表面清洁度的目视评定第1部分：未涂覆过的钢材表面和全面清除原有涂层后的钢材表面的锈蚀等级和处理等级》（GB/T 8923.1-2011）</w:t>
      </w:r>
    </w:p>
    <w:p>
      <w:pPr>
        <w:pStyle w:val="101"/>
        <w:numPr>
          <w:ilvl w:val="0"/>
          <w:numId w:val="28"/>
        </w:numPr>
        <w:spacing w:before="31" w:after="31"/>
        <w:ind w:leftChars="0" w:firstLine="480"/>
        <w:rPr>
          <w:szCs w:val="24"/>
          <w:highlight w:val="yellow"/>
        </w:rPr>
      </w:pPr>
      <w:r>
        <w:rPr>
          <w:szCs w:val="24"/>
          <w:highlight w:val="yellow"/>
        </w:rPr>
        <w:t>《埋地钢质管道环氧煤沥青防腐层技术标准》（SY/T0447-2014）</w:t>
      </w:r>
    </w:p>
    <w:p>
      <w:pPr>
        <w:pStyle w:val="101"/>
        <w:numPr>
          <w:ilvl w:val="0"/>
          <w:numId w:val="28"/>
        </w:numPr>
        <w:spacing w:before="31" w:after="31"/>
        <w:ind w:leftChars="0" w:firstLine="480"/>
        <w:rPr>
          <w:szCs w:val="24"/>
          <w:highlight w:val="yellow"/>
        </w:rPr>
      </w:pPr>
      <w:r>
        <w:rPr>
          <w:szCs w:val="24"/>
          <w:highlight w:val="yellow"/>
        </w:rPr>
        <w:t>《钢质管道液体环氧涂料内防腐层技术规范》（SY/T0457-2019）</w:t>
      </w:r>
    </w:p>
    <w:p>
      <w:pPr>
        <w:pStyle w:val="101"/>
        <w:numPr>
          <w:ilvl w:val="0"/>
          <w:numId w:val="28"/>
        </w:numPr>
        <w:spacing w:before="31" w:after="31"/>
        <w:ind w:leftChars="0" w:firstLine="480"/>
        <w:rPr>
          <w:szCs w:val="24"/>
          <w:highlight w:val="yellow"/>
        </w:rPr>
      </w:pPr>
      <w:r>
        <w:rPr>
          <w:szCs w:val="24"/>
          <w:highlight w:val="yellow"/>
        </w:rPr>
        <w:t>《埋地给水钢管道水泥砂浆衬里施工及检测规程》（T/CECS10-2019）</w:t>
      </w:r>
    </w:p>
    <w:p>
      <w:pPr>
        <w:pStyle w:val="101"/>
        <w:numPr>
          <w:ilvl w:val="0"/>
          <w:numId w:val="28"/>
        </w:numPr>
        <w:spacing w:before="31" w:after="31"/>
        <w:ind w:leftChars="0" w:firstLine="480"/>
        <w:rPr>
          <w:szCs w:val="24"/>
          <w:highlight w:val="yellow"/>
        </w:rPr>
      </w:pPr>
      <w:r>
        <w:rPr>
          <w:szCs w:val="24"/>
          <w:highlight w:val="yellow"/>
        </w:rPr>
        <w:t>《球墨铸铁管外表面锌涂层-第1部分：带终饰层的金属锌涂层》GB/T 17456.1-2009</w:t>
      </w:r>
    </w:p>
    <w:p>
      <w:pPr>
        <w:pStyle w:val="101"/>
        <w:numPr>
          <w:ilvl w:val="0"/>
          <w:numId w:val="28"/>
        </w:numPr>
        <w:spacing w:before="31" w:after="31"/>
        <w:ind w:leftChars="0" w:firstLine="480"/>
        <w:rPr>
          <w:szCs w:val="24"/>
          <w:highlight w:val="yellow"/>
        </w:rPr>
      </w:pPr>
      <w:r>
        <w:rPr>
          <w:szCs w:val="24"/>
          <w:highlight w:val="yellow"/>
        </w:rPr>
        <w:t>《球墨铸铁管和管件水泥砂浆内衬》（GB/T 17457-2019）</w:t>
      </w:r>
    </w:p>
    <w:p>
      <w:pPr>
        <w:pStyle w:val="101"/>
        <w:numPr>
          <w:ilvl w:val="0"/>
          <w:numId w:val="28"/>
        </w:numPr>
        <w:spacing w:before="31" w:after="31"/>
        <w:ind w:leftChars="0" w:firstLine="480"/>
        <w:rPr>
          <w:szCs w:val="24"/>
          <w:highlight w:val="yellow"/>
        </w:rPr>
      </w:pPr>
      <w:r>
        <w:rPr>
          <w:szCs w:val="24"/>
          <w:highlight w:val="yellow"/>
        </w:rPr>
        <w:t>《工业金属管道工程施工规范》（GB50235-2010）</w:t>
      </w:r>
    </w:p>
    <w:p>
      <w:pPr>
        <w:pStyle w:val="101"/>
        <w:numPr>
          <w:ilvl w:val="0"/>
          <w:numId w:val="28"/>
        </w:numPr>
        <w:spacing w:before="31" w:after="31"/>
        <w:ind w:leftChars="0" w:firstLine="480"/>
        <w:rPr>
          <w:szCs w:val="24"/>
          <w:highlight w:val="yellow"/>
        </w:rPr>
      </w:pPr>
      <w:r>
        <w:rPr>
          <w:szCs w:val="24"/>
          <w:highlight w:val="yellow"/>
        </w:rPr>
        <w:t>《室外消火栓及消防水鹤安装》（国家建筑标准设计图集13S201）</w:t>
      </w:r>
    </w:p>
    <w:p>
      <w:pPr>
        <w:pStyle w:val="101"/>
        <w:numPr>
          <w:ilvl w:val="0"/>
          <w:numId w:val="28"/>
        </w:numPr>
        <w:spacing w:before="31" w:after="31"/>
        <w:ind w:leftChars="0" w:firstLine="480"/>
        <w:rPr>
          <w:szCs w:val="24"/>
          <w:highlight w:val="yellow"/>
        </w:rPr>
      </w:pPr>
      <w:r>
        <w:rPr>
          <w:szCs w:val="24"/>
          <w:highlight w:val="yellow"/>
        </w:rPr>
        <w:t>《市政给水管道工程及附属设施》（国家建筑标准设计图集07MS101）</w:t>
      </w:r>
    </w:p>
    <w:p>
      <w:pPr>
        <w:pStyle w:val="101"/>
        <w:numPr>
          <w:ilvl w:val="0"/>
          <w:numId w:val="28"/>
        </w:numPr>
        <w:spacing w:before="31" w:after="31"/>
        <w:ind w:leftChars="0" w:firstLine="480"/>
        <w:rPr>
          <w:szCs w:val="24"/>
          <w:highlight w:val="yellow"/>
        </w:rPr>
      </w:pPr>
      <w:r>
        <w:rPr>
          <w:szCs w:val="24"/>
          <w:highlight w:val="yellow"/>
        </w:rPr>
        <w:t>《柔性接口给水管道支墩》（国家建筑标准设计图集10S505）</w:t>
      </w:r>
    </w:p>
    <w:p>
      <w:pPr>
        <w:pStyle w:val="101"/>
        <w:numPr>
          <w:ilvl w:val="0"/>
          <w:numId w:val="28"/>
        </w:numPr>
        <w:spacing w:before="31" w:after="31"/>
        <w:ind w:leftChars="0" w:firstLine="480"/>
        <w:rPr>
          <w:szCs w:val="24"/>
          <w:highlight w:val="yellow"/>
        </w:rPr>
      </w:pPr>
      <w:r>
        <w:rPr>
          <w:szCs w:val="24"/>
          <w:highlight w:val="yellow"/>
        </w:rPr>
        <w:t>市政公用工程设计文件编制深度规定（2013年版）</w:t>
      </w:r>
    </w:p>
    <w:p>
      <w:pPr>
        <w:pStyle w:val="4"/>
        <w:ind w:firstLine="482" w:firstLineChars="200"/>
        <w:rPr>
          <w:highlight w:val="yellow"/>
        </w:rPr>
      </w:pPr>
      <w:bookmarkStart w:id="237" w:name="_Toc26184"/>
      <w:bookmarkStart w:id="238" w:name="_Toc10218"/>
      <w:bookmarkStart w:id="239" w:name="_Toc28407"/>
      <w:r>
        <w:rPr>
          <w:highlight w:val="yellow"/>
        </w:rPr>
        <w:t>给水工程目标</w:t>
      </w:r>
      <w:bookmarkEnd w:id="237"/>
      <w:bookmarkEnd w:id="238"/>
      <w:bookmarkEnd w:id="239"/>
    </w:p>
    <w:p>
      <w:pPr>
        <w:pStyle w:val="101"/>
        <w:numPr>
          <w:ilvl w:val="0"/>
          <w:numId w:val="29"/>
        </w:numPr>
        <w:spacing w:before="31" w:after="31"/>
        <w:ind w:leftChars="0" w:firstLine="480"/>
        <w:rPr>
          <w:szCs w:val="24"/>
          <w:highlight w:val="yellow"/>
        </w:rPr>
      </w:pPr>
      <w:r>
        <w:rPr>
          <w:szCs w:val="24"/>
          <w:highlight w:val="yellow"/>
        </w:rPr>
        <w:t>严格贯彻法律法规：贯彻国家、地方的法律、法规、规范及标准等，保证设计质量；</w:t>
      </w:r>
    </w:p>
    <w:p>
      <w:pPr>
        <w:pStyle w:val="101"/>
        <w:numPr>
          <w:ilvl w:val="0"/>
          <w:numId w:val="29"/>
        </w:numPr>
        <w:spacing w:before="31" w:after="31"/>
        <w:ind w:leftChars="0" w:firstLine="480"/>
        <w:rPr>
          <w:szCs w:val="24"/>
          <w:highlight w:val="yellow"/>
        </w:rPr>
      </w:pPr>
      <w:r>
        <w:rPr>
          <w:szCs w:val="24"/>
          <w:highlight w:val="yellow"/>
        </w:rPr>
        <w:t>规划为指导、现状为基础：在《城市总体规划》、《给水专项规划》的指导下，结合给水现状及远期发展规划，与原有城市给水设施的协调，充分发挥项目的经济、社会及环境效益；</w:t>
      </w:r>
    </w:p>
    <w:p>
      <w:pPr>
        <w:pStyle w:val="101"/>
        <w:numPr>
          <w:ilvl w:val="0"/>
          <w:numId w:val="29"/>
        </w:numPr>
        <w:spacing w:before="31" w:after="31"/>
        <w:ind w:leftChars="0" w:firstLine="480"/>
        <w:rPr>
          <w:szCs w:val="24"/>
          <w:highlight w:val="yellow"/>
        </w:rPr>
      </w:pPr>
      <w:r>
        <w:rPr>
          <w:szCs w:val="24"/>
          <w:highlight w:val="yellow"/>
        </w:rPr>
        <w:t>适用性、经济性及安全性：以可研报告为基础，通过进一步收集资料、调查研究，经多方案的技术经济比较后，提出本工程设计优化方案。充分注重设计方案的适用性、经济性及安全性；</w:t>
      </w:r>
    </w:p>
    <w:p>
      <w:pPr>
        <w:pStyle w:val="101"/>
        <w:numPr>
          <w:ilvl w:val="0"/>
          <w:numId w:val="29"/>
        </w:numPr>
        <w:spacing w:before="31" w:after="31"/>
        <w:ind w:leftChars="0" w:firstLine="480"/>
        <w:rPr>
          <w:szCs w:val="24"/>
          <w:highlight w:val="yellow"/>
        </w:rPr>
      </w:pPr>
      <w:r>
        <w:rPr>
          <w:szCs w:val="24"/>
          <w:highlight w:val="yellow"/>
        </w:rPr>
        <w:t>优化调度、经济运行：工程建成后，方便运行管理，实现优化调度，经济运行；</w:t>
      </w:r>
    </w:p>
    <w:p>
      <w:pPr>
        <w:pStyle w:val="101"/>
        <w:numPr>
          <w:ilvl w:val="0"/>
          <w:numId w:val="29"/>
        </w:numPr>
        <w:spacing w:before="31" w:after="31"/>
        <w:ind w:leftChars="0" w:firstLine="480"/>
        <w:rPr>
          <w:szCs w:val="24"/>
          <w:highlight w:val="yellow"/>
        </w:rPr>
      </w:pPr>
      <w:r>
        <w:rPr>
          <w:szCs w:val="24"/>
          <w:highlight w:val="yellow"/>
        </w:rPr>
        <w:t>采用新技术，降低成本：本着技术先进、运行安全、造价经济的原则，在设计中采用成熟可靠的新技术、新材料，提高供水的安全性和可靠性，力争降低工程造价，节省工程投资。</w:t>
      </w:r>
    </w:p>
    <w:p>
      <w:pPr>
        <w:pStyle w:val="4"/>
        <w:ind w:firstLine="482" w:firstLineChars="200"/>
        <w:rPr>
          <w:highlight w:val="yellow"/>
        </w:rPr>
      </w:pPr>
      <w:bookmarkStart w:id="240" w:name="_Toc26027"/>
      <w:bookmarkStart w:id="241" w:name="_Toc10433"/>
      <w:bookmarkStart w:id="242" w:name="_Toc15637"/>
      <w:r>
        <w:rPr>
          <w:highlight w:val="yellow"/>
        </w:rPr>
        <w:t>给水工程规划</w:t>
      </w:r>
      <w:bookmarkEnd w:id="240"/>
      <w:bookmarkEnd w:id="241"/>
      <w:bookmarkEnd w:id="242"/>
    </w:p>
    <w:p>
      <w:pPr>
        <w:pStyle w:val="386"/>
        <w:spacing w:beforeLines="0"/>
        <w:ind w:firstLine="480"/>
        <w:rPr>
          <w:rFonts w:ascii="Times New Roman" w:hAnsi="Times New Roman" w:eastAsia="宋体" w:cs="Times New Roman"/>
          <w:b w:val="0"/>
          <w:color w:val="auto"/>
          <w:sz w:val="24"/>
          <w:szCs w:val="24"/>
          <w:highlight w:val="yellow"/>
        </w:rPr>
      </w:pPr>
      <w:r>
        <w:rPr>
          <w:rFonts w:ascii="Times New Roman" w:hAnsi="Times New Roman" w:eastAsia="宋体" w:cs="Times New Roman"/>
          <w:b w:val="0"/>
          <w:color w:val="auto"/>
          <w:sz w:val="24"/>
          <w:szCs w:val="24"/>
          <w:highlight w:val="yellow"/>
        </w:rPr>
        <w:t>根据《南沙新区给水专项规划（2019～2025)》，在本项目位于二十涌和二十一涌附近，未规划给水管线。</w:t>
      </w:r>
    </w:p>
    <w:p>
      <w:pPr>
        <w:pStyle w:val="386"/>
        <w:spacing w:beforeLines="0"/>
        <w:ind w:firstLine="561"/>
        <w:rPr>
          <w:rFonts w:ascii="Times New Roman" w:hAnsi="Times New Roman" w:eastAsia="宋体" w:cs="Times New Roman"/>
          <w:b w:val="0"/>
          <w:color w:val="auto"/>
          <w:sz w:val="24"/>
          <w:szCs w:val="24"/>
          <w:highlight w:val="yellow"/>
        </w:rPr>
      </w:pPr>
      <w:r>
        <w:rPr>
          <w:rFonts w:ascii="Times New Roman" w:hAnsi="Times New Roman" w:cs="Times New Roman"/>
          <w:highlight w:val="yellow"/>
        </w:rPr>
        <w:drawing>
          <wp:inline distT="0" distB="0" distL="0" distR="0">
            <wp:extent cx="6141085" cy="4131945"/>
            <wp:effectExtent l="0" t="0" r="12065" b="1905"/>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pic:cNvPicPr>
                      <a:picLocks noChangeAspect="1"/>
                    </pic:cNvPicPr>
                  </pic:nvPicPr>
                  <pic:blipFill>
                    <a:blip r:embed="rId237"/>
                    <a:stretch>
                      <a:fillRect/>
                    </a:stretch>
                  </pic:blipFill>
                  <pic:spPr>
                    <a:xfrm>
                      <a:off x="0" y="0"/>
                      <a:ext cx="6148856" cy="4136956"/>
                    </a:xfrm>
                    <a:prstGeom prst="rect">
                      <a:avLst/>
                    </a:prstGeom>
                  </pic:spPr>
                </pic:pic>
              </a:graphicData>
            </a:graphic>
          </wp:inline>
        </w:drawing>
      </w:r>
    </w:p>
    <w:p>
      <w:pPr>
        <w:spacing w:before="99" w:line="220" w:lineRule="auto"/>
        <w:ind w:left="4084" w:firstLine="478" w:firstLineChars="200"/>
        <w:rPr>
          <w:rFonts w:ascii="Times New Roman" w:hAnsi="Times New Roman"/>
          <w:sz w:val="24"/>
          <w:szCs w:val="24"/>
          <w:highlight w:val="yellow"/>
        </w:rPr>
      </w:pPr>
      <w:r>
        <w:rPr>
          <w:rFonts w:ascii="Times New Roman" w:hAnsi="Times New Roman"/>
          <w:spacing w:val="-1"/>
          <w:sz w:val="24"/>
          <w:szCs w:val="24"/>
          <w:highlight w:val="yellow"/>
          <w14:textOutline w14:w="3048" w14:cap="flat" w14:cmpd="sng" w14:algn="ctr">
            <w14:solidFill>
              <w14:srgbClr w14:val="000000"/>
            </w14:solidFill>
            <w14:prstDash w14:val="solid"/>
            <w14:miter w14:val="0"/>
          </w14:textOutline>
        </w:rPr>
        <w:t>给水工程规划总平面图</w:t>
      </w:r>
    </w:p>
    <w:p>
      <w:pPr>
        <w:spacing w:line="360" w:lineRule="auto"/>
        <w:ind w:firstLine="480" w:firstLineChars="200"/>
        <w:rPr>
          <w:rFonts w:ascii="Times New Roman" w:hAnsi="Times New Roman"/>
          <w:b w:val="0"/>
          <w:color w:val="auto"/>
          <w:kern w:val="0"/>
          <w:sz w:val="24"/>
          <w:szCs w:val="24"/>
          <w:highlight w:val="yellow"/>
        </w:rPr>
      </w:pPr>
      <w:r>
        <w:rPr>
          <w:rFonts w:ascii="Times New Roman" w:hAnsi="Times New Roman"/>
          <w:b w:val="0"/>
          <w:color w:val="auto"/>
          <w:kern w:val="0"/>
          <w:sz w:val="24"/>
          <w:szCs w:val="24"/>
          <w:highlight w:val="yellow"/>
        </w:rPr>
        <w:t>根据《南沙规划管理单元DW1005控制性详细规划调整》（2023.08），规划在万环西路东侧绿化带预留临时加压泵站，用地与绿地兼容</w:t>
      </w:r>
      <w:r>
        <w:rPr>
          <w:rFonts w:hint="eastAsia" w:ascii="Times New Roman" w:hAnsi="Times New Roman"/>
          <w:b w:val="0"/>
          <w:color w:val="auto"/>
          <w:kern w:val="0"/>
          <w:sz w:val="24"/>
          <w:szCs w:val="24"/>
          <w:highlight w:val="yellow"/>
        </w:rPr>
        <w:t>，</w:t>
      </w:r>
      <w:r>
        <w:rPr>
          <w:rFonts w:hint="eastAsia" w:ascii="Times New Roman" w:hAnsi="Times New Roman"/>
          <w:b w:val="0"/>
          <w:color w:val="auto"/>
          <w:sz w:val="24"/>
          <w:szCs w:val="24"/>
          <w:highlight w:val="yellow"/>
        </w:rPr>
        <w:t>根据</w:t>
      </w:r>
      <w:r>
        <w:rPr>
          <w:rFonts w:ascii="Times New Roman" w:hAnsi="Times New Roman"/>
          <w:b w:val="0"/>
          <w:color w:val="auto"/>
          <w:kern w:val="0"/>
          <w:sz w:val="24"/>
          <w:szCs w:val="24"/>
          <w:highlight w:val="yellow"/>
        </w:rPr>
        <w:t>《南沙规划管理单元DW1005控制性详细规划调整》（2023.08）</w:t>
      </w:r>
      <w:r>
        <w:rPr>
          <w:rFonts w:hint="eastAsia" w:ascii="Times New Roman" w:hAnsi="Times New Roman"/>
          <w:b w:val="0"/>
          <w:color w:val="auto"/>
          <w:kern w:val="0"/>
          <w:sz w:val="24"/>
          <w:szCs w:val="24"/>
          <w:highlight w:val="yellow"/>
        </w:rPr>
        <w:t>，</w:t>
      </w:r>
      <w:r>
        <w:rPr>
          <w:rFonts w:ascii="Times New Roman" w:hAnsi="Times New Roman"/>
          <w:b w:val="0"/>
          <w:color w:val="auto"/>
          <w:sz w:val="24"/>
          <w:szCs w:val="24"/>
          <w:highlight w:val="yellow"/>
        </w:rPr>
        <w:t>加压泵站为远期规划，</w:t>
      </w:r>
      <w:r>
        <w:rPr>
          <w:rFonts w:hint="eastAsia" w:ascii="Times New Roman" w:hAnsi="Times New Roman"/>
          <w:b w:val="0"/>
          <w:color w:val="auto"/>
          <w:sz w:val="24"/>
          <w:szCs w:val="24"/>
          <w:highlight w:val="yellow"/>
        </w:rPr>
        <w:t>暂无建设标准与规模，后期待有相关规划后，补充相关规划和规模说明</w:t>
      </w:r>
      <w:r>
        <w:rPr>
          <w:rFonts w:ascii="Times New Roman" w:hAnsi="Times New Roman"/>
          <w:b w:val="0"/>
          <w:color w:val="auto"/>
          <w:kern w:val="0"/>
          <w:sz w:val="24"/>
          <w:szCs w:val="24"/>
          <w:highlight w:val="yellow"/>
        </w:rPr>
        <w:t>。沿万环西路规划DN600供水管、灵新大道规划DN600供水管为启动区供水，形成双通道供水</w:t>
      </w:r>
      <w:r>
        <w:rPr>
          <w:rFonts w:hint="eastAsia" w:ascii="Times New Roman" w:hAnsi="Times New Roman"/>
          <w:b w:val="0"/>
          <w:color w:val="auto"/>
          <w:kern w:val="0"/>
          <w:sz w:val="24"/>
          <w:szCs w:val="24"/>
          <w:highlight w:val="yellow"/>
        </w:rPr>
        <w:t>水源</w:t>
      </w:r>
      <w:r>
        <w:rPr>
          <w:rFonts w:ascii="Times New Roman" w:hAnsi="Times New Roman"/>
          <w:b w:val="0"/>
          <w:color w:val="auto"/>
          <w:kern w:val="0"/>
          <w:sz w:val="24"/>
          <w:szCs w:val="24"/>
          <w:highlight w:val="yellow"/>
        </w:rPr>
        <w:t>，提高供水安全保障性。项目范围内规划DN200‐DN400给水管。</w:t>
      </w:r>
    </w:p>
    <w:p>
      <w:pPr>
        <w:spacing w:line="360" w:lineRule="auto"/>
        <w:ind w:firstLine="480" w:firstLineChars="200"/>
        <w:rPr>
          <w:rFonts w:ascii="Times New Roman" w:hAnsi="Times New Roman"/>
          <w:b w:val="0"/>
          <w:color w:val="auto"/>
          <w:kern w:val="0"/>
          <w:sz w:val="24"/>
          <w:szCs w:val="24"/>
          <w:highlight w:val="yellow"/>
        </w:rPr>
      </w:pPr>
      <w:r>
        <w:rPr>
          <w:rFonts w:hint="eastAsia" w:ascii="Times New Roman" w:hAnsi="Times New Roman"/>
          <w:b w:val="0"/>
          <w:color w:val="auto"/>
          <w:kern w:val="0"/>
          <w:sz w:val="24"/>
          <w:szCs w:val="24"/>
          <w:highlight w:val="yellow"/>
        </w:rPr>
        <w:t>根据《广州南沙新区供水专项规划（</w:t>
      </w:r>
      <w:r>
        <w:rPr>
          <w:rFonts w:ascii="Times New Roman" w:hAnsi="Times New Roman"/>
          <w:b w:val="0"/>
          <w:color w:val="auto"/>
          <w:kern w:val="0"/>
          <w:sz w:val="24"/>
          <w:szCs w:val="24"/>
          <w:highlight w:val="yellow"/>
        </w:rPr>
        <w:t>2019-2025）》</w:t>
      </w:r>
      <w:r>
        <w:rPr>
          <w:rFonts w:hint="eastAsia" w:ascii="Times New Roman" w:hAnsi="Times New Roman"/>
          <w:b w:val="0"/>
          <w:color w:val="auto"/>
          <w:kern w:val="0"/>
          <w:sz w:val="24"/>
          <w:szCs w:val="24"/>
          <w:highlight w:val="yellow"/>
        </w:rPr>
        <w:t>，规划范围现状无供水设施及管道，属于黄阁水厂供水服务范围，现状水厂设计规模40万吨/天，最高日供水量38万吨/天。二期扩建工程规模为20万吨/天，计划2024年12月项目整体完工。本</w:t>
      </w:r>
      <w:r>
        <w:rPr>
          <w:rFonts w:ascii="Times New Roman" w:hAnsi="Times New Roman"/>
          <w:b w:val="0"/>
          <w:color w:val="auto"/>
          <w:kern w:val="0"/>
          <w:sz w:val="24"/>
          <w:szCs w:val="24"/>
          <w:highlight w:val="yellow"/>
        </w:rPr>
        <w:t>服务片区</w:t>
      </w:r>
      <w:r>
        <w:rPr>
          <w:rFonts w:hint="eastAsia" w:ascii="Times New Roman" w:hAnsi="Times New Roman"/>
          <w:b w:val="0"/>
          <w:color w:val="auto"/>
          <w:kern w:val="0"/>
          <w:sz w:val="24"/>
          <w:szCs w:val="24"/>
          <w:highlight w:val="yellow"/>
        </w:rPr>
        <w:t>供水</w:t>
      </w:r>
      <w:r>
        <w:rPr>
          <w:rFonts w:ascii="Times New Roman" w:hAnsi="Times New Roman"/>
          <w:b w:val="0"/>
          <w:color w:val="auto"/>
          <w:kern w:val="0"/>
          <w:sz w:val="24"/>
          <w:szCs w:val="24"/>
          <w:highlight w:val="yellow"/>
        </w:rPr>
        <w:t>水压为</w:t>
      </w:r>
      <w:r>
        <w:rPr>
          <w:rFonts w:hint="eastAsia" w:ascii="Times New Roman" w:hAnsi="Times New Roman"/>
          <w:b w:val="0"/>
          <w:color w:val="auto"/>
          <w:kern w:val="0"/>
          <w:sz w:val="24"/>
          <w:szCs w:val="24"/>
          <w:highlight w:val="yellow"/>
        </w:rPr>
        <w:t>0.1</w:t>
      </w:r>
      <w:r>
        <w:rPr>
          <w:rFonts w:ascii="Times New Roman" w:hAnsi="Times New Roman"/>
          <w:b w:val="0"/>
          <w:color w:val="auto"/>
          <w:kern w:val="0"/>
          <w:sz w:val="24"/>
          <w:szCs w:val="24"/>
          <w:highlight w:val="yellow"/>
        </w:rPr>
        <w:t>~0.2 Mpa</w:t>
      </w:r>
      <w:r>
        <w:rPr>
          <w:rFonts w:hint="eastAsia" w:ascii="Times New Roman" w:hAnsi="Times New Roman"/>
          <w:b w:val="0"/>
          <w:color w:val="auto"/>
          <w:kern w:val="0"/>
          <w:sz w:val="24"/>
          <w:szCs w:val="24"/>
          <w:highlight w:val="yellow"/>
        </w:rPr>
        <w:t>。</w:t>
      </w:r>
    </w:p>
    <w:p>
      <w:pPr>
        <w:pStyle w:val="386"/>
        <w:spacing w:beforeLines="0"/>
        <w:ind w:firstLine="561"/>
        <w:jc w:val="center"/>
        <w:rPr>
          <w:rFonts w:ascii="Times New Roman" w:hAnsi="Times New Roman" w:eastAsia="宋体" w:cs="Times New Roman"/>
          <w:b w:val="0"/>
          <w:color w:val="auto"/>
          <w:sz w:val="24"/>
          <w:szCs w:val="24"/>
          <w:highlight w:val="yellow"/>
        </w:rPr>
      </w:pPr>
      <w:r>
        <w:rPr>
          <w:rFonts w:ascii="Times New Roman" w:hAnsi="Times New Roman" w:cs="Times New Roman"/>
          <w:highlight w:val="yellow"/>
        </w:rPr>
        <w:drawing>
          <wp:inline distT="0" distB="0" distL="0" distR="0">
            <wp:extent cx="5010150" cy="4276725"/>
            <wp:effectExtent l="0" t="0" r="0" b="9525"/>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pic:cNvPicPr>
                      <a:picLocks noChangeAspect="1"/>
                    </pic:cNvPicPr>
                  </pic:nvPicPr>
                  <pic:blipFill>
                    <a:blip r:embed="rId238"/>
                    <a:stretch>
                      <a:fillRect/>
                    </a:stretch>
                  </pic:blipFill>
                  <pic:spPr>
                    <a:xfrm>
                      <a:off x="0" y="0"/>
                      <a:ext cx="5010150" cy="4276725"/>
                    </a:xfrm>
                    <a:prstGeom prst="rect">
                      <a:avLst/>
                    </a:prstGeom>
                  </pic:spPr>
                </pic:pic>
              </a:graphicData>
            </a:graphic>
          </wp:inline>
        </w:drawing>
      </w:r>
    </w:p>
    <w:p>
      <w:pPr>
        <w:spacing w:before="122" w:line="220" w:lineRule="auto"/>
        <w:ind w:left="4056" w:firstLine="478" w:firstLineChars="200"/>
        <w:rPr>
          <w:rFonts w:ascii="Times New Roman" w:hAnsi="Times New Roman"/>
          <w:sz w:val="24"/>
          <w:szCs w:val="24"/>
          <w:highlight w:val="yellow"/>
        </w:rPr>
      </w:pPr>
      <w:r>
        <w:rPr>
          <w:rFonts w:ascii="Times New Roman" w:hAnsi="Times New Roman"/>
          <w:spacing w:val="-1"/>
          <w:sz w:val="24"/>
          <w:szCs w:val="24"/>
          <w:highlight w:val="yellow"/>
          <w14:textOutline w14:w="3048" w14:cap="flat" w14:cmpd="sng" w14:algn="ctr">
            <w14:solidFill>
              <w14:srgbClr w14:val="000000"/>
            </w14:solidFill>
            <w14:prstDash w14:val="solid"/>
            <w14:miter w14:val="0"/>
          </w14:textOutline>
        </w:rPr>
        <w:t>给水工程规划平面图</w:t>
      </w:r>
    </w:p>
    <w:p>
      <w:pPr>
        <w:pStyle w:val="4"/>
        <w:ind w:firstLine="482" w:firstLineChars="200"/>
        <w:rPr>
          <w:highlight w:val="yellow"/>
        </w:rPr>
      </w:pPr>
      <w:bookmarkStart w:id="243" w:name="_Toc17794"/>
      <w:bookmarkStart w:id="244" w:name="_Toc12639"/>
      <w:bookmarkStart w:id="245" w:name="_Toc5991"/>
      <w:r>
        <w:rPr>
          <w:highlight w:val="yellow"/>
        </w:rPr>
        <w:t>设计参数</w:t>
      </w:r>
      <w:bookmarkEnd w:id="243"/>
      <w:bookmarkEnd w:id="244"/>
      <w:bookmarkEnd w:id="245"/>
    </w:p>
    <w:p>
      <w:pPr>
        <w:pStyle w:val="101"/>
        <w:numPr>
          <w:ilvl w:val="0"/>
          <w:numId w:val="30"/>
        </w:numPr>
        <w:spacing w:before="31" w:after="31"/>
        <w:ind w:leftChars="0" w:firstLine="480"/>
        <w:rPr>
          <w:szCs w:val="24"/>
          <w:highlight w:val="yellow"/>
        </w:rPr>
      </w:pPr>
      <w:r>
        <w:rPr>
          <w:szCs w:val="24"/>
          <w:highlight w:val="yellow"/>
        </w:rPr>
        <w:t>给水量按《城市给水工程规划规范》（GB50282-2016），单位建设用地综合用水量指标1.0~1.6万m3/（km2•d），本工程选取1万m³/（km2•d）。</w:t>
      </w:r>
    </w:p>
    <w:p>
      <w:pPr>
        <w:pStyle w:val="101"/>
        <w:numPr>
          <w:ilvl w:val="0"/>
          <w:numId w:val="30"/>
        </w:numPr>
        <w:spacing w:before="31" w:after="31"/>
        <w:ind w:leftChars="0" w:firstLine="480"/>
        <w:rPr>
          <w:szCs w:val="24"/>
          <w:highlight w:val="yellow"/>
        </w:rPr>
      </w:pPr>
      <w:r>
        <w:rPr>
          <w:szCs w:val="24"/>
          <w:highlight w:val="yellow"/>
        </w:rPr>
        <w:t>根据《室外给水设计标准》（GB50013-2018）有关规定，最高日城市综合用水的时变化系数采用1.6；日变化系数采用1.4。</w:t>
      </w:r>
    </w:p>
    <w:p>
      <w:pPr>
        <w:pStyle w:val="101"/>
        <w:numPr>
          <w:ilvl w:val="0"/>
          <w:numId w:val="30"/>
        </w:numPr>
        <w:spacing w:before="31" w:after="31"/>
        <w:ind w:leftChars="0" w:firstLine="480"/>
        <w:rPr>
          <w:szCs w:val="24"/>
          <w:highlight w:val="yellow"/>
        </w:rPr>
      </w:pPr>
      <w:r>
        <w:rPr>
          <w:szCs w:val="24"/>
          <w:highlight w:val="yellow"/>
        </w:rPr>
        <w:t>依据《城市给水工程规划规范》（GB50282-2016）和《消防给水及消火栓系统技术规范》（GB50974-2014），本工程设计范围内本项目室外消防按1起火灾考虑，每次室外消防水量按20L/s考虑，最不利点市政消火栓的压力不应小于0.15Mpa。</w:t>
      </w:r>
    </w:p>
    <w:p>
      <w:pPr>
        <w:pStyle w:val="4"/>
        <w:ind w:firstLine="482" w:firstLineChars="200"/>
        <w:rPr>
          <w:highlight w:val="yellow"/>
        </w:rPr>
      </w:pPr>
      <w:bookmarkStart w:id="246" w:name="_Toc29340"/>
      <w:bookmarkStart w:id="247" w:name="_Toc10072"/>
      <w:bookmarkStart w:id="248" w:name="_Toc11871"/>
      <w:r>
        <w:rPr>
          <w:highlight w:val="yellow"/>
        </w:rPr>
        <w:t>给水设计方案</w:t>
      </w:r>
      <w:bookmarkEnd w:id="246"/>
      <w:bookmarkEnd w:id="247"/>
      <w:bookmarkEnd w:id="248"/>
    </w:p>
    <w:p>
      <w:pPr>
        <w:pStyle w:val="101"/>
        <w:numPr>
          <w:ilvl w:val="0"/>
          <w:numId w:val="31"/>
        </w:numPr>
        <w:spacing w:before="31" w:after="31"/>
        <w:ind w:leftChars="0" w:firstLine="480"/>
        <w:rPr>
          <w:szCs w:val="24"/>
          <w:highlight w:val="yellow"/>
        </w:rPr>
      </w:pPr>
      <w:r>
        <w:rPr>
          <w:szCs w:val="24"/>
          <w:highlight w:val="yellow"/>
        </w:rPr>
        <w:t>根据规划</w:t>
      </w:r>
      <w:r>
        <w:rPr>
          <w:rFonts w:hint="eastAsia"/>
          <w:szCs w:val="24"/>
          <w:highlight w:val="yellow"/>
        </w:rPr>
        <w:t>及</w:t>
      </w:r>
      <w:r>
        <w:rPr>
          <w:szCs w:val="24"/>
          <w:highlight w:val="yellow"/>
        </w:rPr>
        <w:t>水务部门意见，在本次设计范围内二十涌北路</w:t>
      </w:r>
      <w:r>
        <w:rPr>
          <w:rFonts w:hint="eastAsia"/>
          <w:szCs w:val="24"/>
          <w:highlight w:val="yellow"/>
        </w:rPr>
        <w:t>北侧</w:t>
      </w:r>
      <w:r>
        <w:rPr>
          <w:szCs w:val="24"/>
          <w:highlight w:val="yellow"/>
        </w:rPr>
        <w:t>预留</w:t>
      </w:r>
      <w:r>
        <w:rPr>
          <w:rFonts w:hint="eastAsia"/>
          <w:szCs w:val="24"/>
          <w:highlight w:val="yellow"/>
        </w:rPr>
        <w:t>DN800给水</w:t>
      </w:r>
      <w:r>
        <w:rPr>
          <w:szCs w:val="24"/>
          <w:highlight w:val="yellow"/>
        </w:rPr>
        <w:t>干管，南侧</w:t>
      </w:r>
      <w:r>
        <w:rPr>
          <w:rFonts w:hint="eastAsia"/>
          <w:szCs w:val="24"/>
          <w:highlight w:val="yellow"/>
        </w:rPr>
        <w:t>预留</w:t>
      </w:r>
      <w:r>
        <w:rPr>
          <w:szCs w:val="24"/>
          <w:highlight w:val="yellow"/>
        </w:rPr>
        <w:t>DN300</w:t>
      </w:r>
      <w:r>
        <w:rPr>
          <w:rFonts w:hint="eastAsia"/>
          <w:szCs w:val="24"/>
          <w:highlight w:val="yellow"/>
        </w:rPr>
        <w:t>消防</w:t>
      </w:r>
      <w:r>
        <w:rPr>
          <w:szCs w:val="24"/>
          <w:highlight w:val="yellow"/>
        </w:rPr>
        <w:t>给水管，形成环状，布置在非机动车道内，给水管东侧接万环西路规划DN600给水管。</w:t>
      </w:r>
    </w:p>
    <w:p>
      <w:pPr>
        <w:pStyle w:val="101"/>
        <w:numPr>
          <w:ilvl w:val="0"/>
          <w:numId w:val="31"/>
        </w:numPr>
        <w:spacing w:before="31" w:after="31"/>
        <w:ind w:leftChars="0" w:firstLine="480"/>
        <w:rPr>
          <w:szCs w:val="24"/>
          <w:highlight w:val="yellow"/>
        </w:rPr>
      </w:pPr>
      <w:r>
        <w:rPr>
          <w:szCs w:val="24"/>
          <w:highlight w:val="yellow"/>
        </w:rPr>
        <w:t>规划纵三路单侧</w:t>
      </w:r>
      <w:r>
        <w:rPr>
          <w:rFonts w:hint="eastAsia"/>
          <w:szCs w:val="24"/>
          <w:highlight w:val="yellow"/>
        </w:rPr>
        <w:t>预留</w:t>
      </w:r>
      <w:r>
        <w:rPr>
          <w:szCs w:val="24"/>
          <w:highlight w:val="yellow"/>
        </w:rPr>
        <w:t>敷设DN300给水管</w:t>
      </w:r>
      <w:r>
        <w:rPr>
          <w:rFonts w:hint="eastAsia"/>
          <w:szCs w:val="24"/>
          <w:highlight w:val="yellow"/>
        </w:rPr>
        <w:t>（生活</w:t>
      </w:r>
      <w:r>
        <w:rPr>
          <w:szCs w:val="24"/>
          <w:highlight w:val="yellow"/>
        </w:rPr>
        <w:t>与消防</w:t>
      </w:r>
      <w:r>
        <w:rPr>
          <w:rFonts w:hint="eastAsia"/>
          <w:szCs w:val="24"/>
          <w:highlight w:val="yellow"/>
        </w:rPr>
        <w:t>合建）</w:t>
      </w:r>
      <w:r>
        <w:rPr>
          <w:szCs w:val="24"/>
          <w:highlight w:val="yellow"/>
        </w:rPr>
        <w:t>，布置在非机动车道内，给水管北侧接二十涌南路DN300给水管，南侧接滨海路DN300给水管。</w:t>
      </w:r>
    </w:p>
    <w:p>
      <w:pPr>
        <w:pStyle w:val="101"/>
        <w:spacing w:before="31" w:after="31"/>
        <w:ind w:left="0" w:leftChars="0"/>
        <w:rPr>
          <w:szCs w:val="24"/>
          <w:highlight w:val="yellow"/>
        </w:rPr>
      </w:pPr>
      <w:r>
        <w:rPr>
          <w:szCs w:val="24"/>
          <w:highlight w:val="yellow"/>
        </w:rPr>
        <w:t>本次建设给水管道供应道路两侧消防用水要求。道路东侧</w:t>
      </w:r>
      <w:r>
        <w:rPr>
          <w:rFonts w:hint="eastAsia"/>
          <w:szCs w:val="24"/>
          <w:highlight w:val="yellow"/>
        </w:rPr>
        <w:t>或</w:t>
      </w:r>
      <w:r>
        <w:rPr>
          <w:szCs w:val="24"/>
          <w:highlight w:val="yellow"/>
        </w:rPr>
        <w:t>南侧人行道布置室外消火栓，室外消火栓距车行道边线1.0米，直线段道路消火栓布置间距不大于120米，以保证室外消防用水量要求。</w:t>
      </w:r>
    </w:p>
    <w:p>
      <w:pPr>
        <w:pStyle w:val="4"/>
        <w:ind w:firstLine="482" w:firstLineChars="200"/>
        <w:rPr>
          <w:highlight w:val="yellow"/>
        </w:rPr>
      </w:pPr>
      <w:bookmarkStart w:id="249" w:name="_Toc32171"/>
      <w:bookmarkStart w:id="250" w:name="_Toc22043"/>
      <w:bookmarkStart w:id="251" w:name="_Toc23524"/>
      <w:r>
        <w:rPr>
          <w:highlight w:val="yellow"/>
        </w:rPr>
        <w:t>给水管道附属设施</w:t>
      </w:r>
      <w:bookmarkEnd w:id="249"/>
      <w:bookmarkEnd w:id="250"/>
      <w:bookmarkEnd w:id="251"/>
    </w:p>
    <w:p>
      <w:pPr>
        <w:pStyle w:val="101"/>
        <w:numPr>
          <w:ilvl w:val="0"/>
          <w:numId w:val="32"/>
        </w:numPr>
        <w:spacing w:before="31" w:after="31"/>
        <w:ind w:leftChars="0" w:firstLine="480"/>
        <w:rPr>
          <w:szCs w:val="24"/>
          <w:highlight w:val="yellow"/>
        </w:rPr>
      </w:pPr>
      <w:r>
        <w:rPr>
          <w:szCs w:val="24"/>
          <w:highlight w:val="yellow"/>
        </w:rPr>
        <w:t>检修阀门</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给水主干管的阀门根据配水管网分段，分区检修的需要设置，一般情况下设在连接管的下游，以保证阀门关闭时，减少对支管的供水影响，阀门间距为500~1000m。配水管网中的阀门布置，应满足事故段的切断需要，其位置结合连接管及其重要供水支管的节点设置。支管与干管相接处，一般在支管上设置阀门，以使支管的检修不影响干管的供水。管道（DN≤300）采用软密封闸阀；DN&gt;300口径管道选择软密封偏心式法兰蝶阀。</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阀门井采用砖砌立式阀门井，阀门安装参照国家建筑标准设计图集《室外给水管道附属构筑物》（07MS101-2）。井盖、井座均采用防盗型球墨铸铁井盖，井盖收口尺寸根据采购的井盖尺寸定。</w:t>
      </w:r>
      <w:bookmarkStart w:id="252" w:name="OLE_LINK15"/>
      <w:bookmarkStart w:id="253" w:name="OLE_LINK14"/>
      <w:r>
        <w:rPr>
          <w:rFonts w:ascii="Times New Roman" w:hAnsi="Times New Roman"/>
          <w:b w:val="0"/>
          <w:color w:val="auto"/>
          <w:sz w:val="24"/>
          <w:szCs w:val="24"/>
          <w:highlight w:val="yellow"/>
        </w:rPr>
        <w:t>阀门井位于路面上时，井面与道路地面标高平齐，位于绿化带内时，高于绿化带0.15米。</w:t>
      </w:r>
      <w:bookmarkEnd w:id="252"/>
      <w:bookmarkEnd w:id="253"/>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车行道和绿化带的检查井井盖采用QT500-7球墨铸铁加锁防盗井环盖，人行道和非机动车道的井盖采用装饰型井盖；球墨铸铁井盖采用新型可调式防沉降井盖，并且具备防沉降、防盗、防跳防噪音的功能，满足《井盖设施建设技术规范》(DBJ440100/T 160-2013)要求。</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非机动车道、人行道及绿化带下采用中型井盖，承载力要求：C250(试验荷载250KN)，行车道下采用重型井盖，承载力要求：重D400(试验荷载400KN)。</w:t>
      </w:r>
    </w:p>
    <w:p>
      <w:pPr>
        <w:pStyle w:val="101"/>
        <w:numPr>
          <w:ilvl w:val="0"/>
          <w:numId w:val="32"/>
        </w:numPr>
        <w:spacing w:before="31" w:after="31"/>
        <w:ind w:leftChars="0" w:firstLine="480"/>
        <w:rPr>
          <w:szCs w:val="24"/>
          <w:highlight w:val="yellow"/>
        </w:rPr>
      </w:pPr>
      <w:r>
        <w:rPr>
          <w:szCs w:val="24"/>
          <w:highlight w:val="yellow"/>
        </w:rPr>
        <w:t>室外消防栓</w:t>
      </w:r>
    </w:p>
    <w:p>
      <w:pPr>
        <w:spacing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根据《建筑设计防火规范》，消防栓应沿道路布置，并宜靠近十字路口，相互间最大间距不大于120m。本次设计道路上采用地上式防撞消火栓，型号为SSF150/65-1.0型，消火栓进出水口采用法兰连接，消火栓出水口与消防水带采用内扣式连接，与消防车吸水管采用螺纹连接，检修闸阀采用法兰连接管道采用阀门分为若干独立段，每段内的室外消火栓的数量不宜超过</w:t>
      </w:r>
      <w:r>
        <w:rPr>
          <w:rFonts w:hint="eastAsia" w:ascii="Times New Roman" w:hAnsi="Times New Roman"/>
          <w:b w:val="0"/>
          <w:color w:val="auto"/>
          <w:sz w:val="24"/>
          <w:szCs w:val="24"/>
          <w:highlight w:val="yellow"/>
        </w:rPr>
        <w:t>5个。</w:t>
      </w:r>
    </w:p>
    <w:p>
      <w:pPr>
        <w:spacing w:line="360" w:lineRule="auto"/>
        <w:ind w:firstLine="480" w:firstLineChars="200"/>
        <w:rPr>
          <w:rFonts w:ascii="Times New Roman" w:hAnsi="Times New Roman"/>
          <w:b w:val="0"/>
          <w:color w:val="auto"/>
          <w:sz w:val="24"/>
          <w:szCs w:val="24"/>
          <w:highlight w:val="yellow"/>
        </w:rPr>
      </w:pPr>
      <w:r>
        <w:rPr>
          <w:rFonts w:hint="eastAsia" w:ascii="Times New Roman" w:hAnsi="Times New Roman"/>
          <w:b w:val="0"/>
          <w:color w:val="auto"/>
          <w:sz w:val="24"/>
          <w:szCs w:val="24"/>
          <w:highlight w:val="yellow"/>
        </w:rPr>
        <w:t>新建市政消火栓，应采用依托物联网技术实现消火栓定位、水量水压数据远传、报警、后台监控等功能的一体化智慧消火栓。</w:t>
      </w:r>
    </w:p>
    <w:p>
      <w:pPr>
        <w:pStyle w:val="4"/>
        <w:ind w:firstLine="482" w:firstLineChars="200"/>
        <w:rPr>
          <w:highlight w:val="yellow"/>
        </w:rPr>
      </w:pPr>
      <w:bookmarkStart w:id="254" w:name="_Toc4124"/>
      <w:bookmarkStart w:id="255" w:name="_Toc3961"/>
      <w:r>
        <w:rPr>
          <w:highlight w:val="yellow"/>
        </w:rPr>
        <w:t>管材选用及接口</w:t>
      </w:r>
      <w:bookmarkEnd w:id="254"/>
      <w:bookmarkEnd w:id="255"/>
    </w:p>
    <w:p>
      <w:pPr>
        <w:pStyle w:val="120"/>
        <w:rPr>
          <w:highlight w:val="yellow"/>
        </w:rPr>
      </w:pPr>
      <w:bookmarkStart w:id="256" w:name="_Toc18259"/>
      <w:bookmarkStart w:id="257" w:name="_Toc18741"/>
      <w:bookmarkStart w:id="258" w:name="_Toc15836"/>
      <w:bookmarkStart w:id="259" w:name="_Toc144667851"/>
      <w:r>
        <w:rPr>
          <w:highlight w:val="yellow"/>
        </w:rPr>
        <w:t>（一）给水管材比选</w:t>
      </w:r>
      <w:bookmarkEnd w:id="256"/>
      <w:bookmarkEnd w:id="257"/>
      <w:bookmarkEnd w:id="258"/>
      <w:bookmarkEnd w:id="259"/>
    </w:p>
    <w:p>
      <w:pPr>
        <w:widowControl/>
        <w:tabs>
          <w:tab w:val="left" w:pos="0"/>
        </w:tabs>
        <w:spacing w:line="360" w:lineRule="auto"/>
        <w:ind w:firstLine="496" w:firstLineChars="200"/>
        <w:jc w:val="left"/>
        <w:rPr>
          <w:rFonts w:ascii="Times New Roman" w:hAnsi="Times New Roman"/>
          <w:b w:val="0"/>
          <w:color w:val="auto"/>
          <w:spacing w:val="4"/>
          <w:kern w:val="0"/>
          <w:sz w:val="24"/>
          <w:szCs w:val="24"/>
          <w:highlight w:val="yellow"/>
          <w:lang w:val="zh-CN"/>
        </w:rPr>
      </w:pPr>
      <w:r>
        <w:rPr>
          <w:rFonts w:ascii="Times New Roman" w:hAnsi="Times New Roman"/>
          <w:b w:val="0"/>
          <w:color w:val="auto"/>
          <w:spacing w:val="4"/>
          <w:kern w:val="0"/>
          <w:sz w:val="24"/>
          <w:szCs w:val="24"/>
          <w:highlight w:val="yellow"/>
          <w:lang w:val="zh-CN"/>
        </w:rPr>
        <w:t>目前给水常用的管材主要有钢管（SP）、球墨铸铁管（DIP）、给水用聚乙烯管（PE）及给水用硬聚氯乙烯塑料管（PVC-U）。因此，本工程选择以上四种管材进行经济技术比较，从而选择出运行安全可靠、施工方便、造价经济的管材。</w:t>
      </w:r>
    </w:p>
    <w:p>
      <w:pPr>
        <w:numPr>
          <w:ilvl w:val="0"/>
          <w:numId w:val="33"/>
        </w:numPr>
        <w:spacing w:before="31" w:after="31"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钢管（SP）</w:t>
      </w:r>
    </w:p>
    <w:p>
      <w:pPr>
        <w:widowControl/>
        <w:tabs>
          <w:tab w:val="left" w:pos="0"/>
        </w:tabs>
        <w:spacing w:line="360" w:lineRule="auto"/>
        <w:ind w:firstLine="496" w:firstLineChars="200"/>
        <w:jc w:val="left"/>
        <w:rPr>
          <w:rFonts w:ascii="Times New Roman" w:hAnsi="Times New Roman"/>
          <w:b w:val="0"/>
          <w:color w:val="auto"/>
          <w:spacing w:val="4"/>
          <w:kern w:val="0"/>
          <w:sz w:val="24"/>
          <w:szCs w:val="24"/>
          <w:highlight w:val="yellow"/>
          <w:lang w:val="zh-CN"/>
        </w:rPr>
      </w:pPr>
      <w:r>
        <w:rPr>
          <w:rFonts w:ascii="Times New Roman" w:hAnsi="Times New Roman"/>
          <w:b w:val="0"/>
          <w:color w:val="auto"/>
          <w:spacing w:val="4"/>
          <w:kern w:val="0"/>
          <w:sz w:val="24"/>
          <w:szCs w:val="24"/>
          <w:highlight w:val="yellow"/>
          <w:lang w:val="zh-CN"/>
        </w:rPr>
        <w:t>钢管是一种在各行业广泛应用管材，具有长久的应用历史，丰富的使用经验。钢管环向强度、弹性模量较高，但是防腐性能差，影响管材寿命，需要加强防腐保护涂层，必要时进行阴极保护。接口的焊接对操作工要求较高，天气恶劣时焊接质量难以保证。钢管虽然具有较好的防渗性能，但钢管的使用寿命与输送的介质和管道周围的环境介质有很大的关系。如果设计时没有相应的防腐措施，施工、运行维护不当，则达不到预期的使用年限。钢管现场焊接质量的控制难度较大，南洲水厂输水管道发生的爆漏事故中，损坏点基本上都发生在焊口位置。</w:t>
      </w:r>
    </w:p>
    <w:p>
      <w:pPr>
        <w:widowControl/>
        <w:tabs>
          <w:tab w:val="left" w:pos="0"/>
        </w:tabs>
        <w:spacing w:line="360" w:lineRule="auto"/>
        <w:ind w:firstLine="496" w:firstLineChars="200"/>
        <w:jc w:val="left"/>
        <w:rPr>
          <w:rFonts w:ascii="Times New Roman" w:hAnsi="Times New Roman"/>
          <w:b w:val="0"/>
          <w:color w:val="auto"/>
          <w:spacing w:val="4"/>
          <w:kern w:val="0"/>
          <w:sz w:val="24"/>
          <w:szCs w:val="24"/>
          <w:highlight w:val="yellow"/>
          <w:lang w:val="zh-CN"/>
        </w:rPr>
      </w:pPr>
      <w:r>
        <w:rPr>
          <w:rFonts w:ascii="Times New Roman" w:hAnsi="Times New Roman"/>
          <w:b w:val="0"/>
          <w:color w:val="auto"/>
          <w:spacing w:val="4"/>
          <w:kern w:val="0"/>
          <w:sz w:val="24"/>
          <w:szCs w:val="24"/>
          <w:highlight w:val="yellow"/>
          <w:lang w:val="zh-CN"/>
        </w:rPr>
        <w:t>钢管是一种在各行业广泛应用的管材，属市场常见管材。钢管生产厂众多，国内各大城市均有成规模的生产厂，技术成熟可靠，市场成熟，市场供应充足，价格可以形成有效竞争。</w:t>
      </w:r>
    </w:p>
    <w:p>
      <w:pPr>
        <w:numPr>
          <w:ilvl w:val="0"/>
          <w:numId w:val="33"/>
        </w:numPr>
        <w:spacing w:before="31" w:after="31"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球墨铸铁管（DIP）</w:t>
      </w:r>
    </w:p>
    <w:p>
      <w:pPr>
        <w:widowControl/>
        <w:tabs>
          <w:tab w:val="left" w:pos="0"/>
        </w:tabs>
        <w:spacing w:line="360" w:lineRule="auto"/>
        <w:ind w:firstLine="496" w:firstLineChars="200"/>
        <w:jc w:val="left"/>
        <w:rPr>
          <w:rFonts w:ascii="Times New Roman" w:hAnsi="Times New Roman"/>
          <w:b w:val="0"/>
          <w:color w:val="auto"/>
          <w:spacing w:val="4"/>
          <w:kern w:val="0"/>
          <w:sz w:val="24"/>
          <w:szCs w:val="24"/>
          <w:highlight w:val="yellow"/>
          <w:lang w:val="zh-CN"/>
        </w:rPr>
      </w:pPr>
      <w:r>
        <w:rPr>
          <w:rFonts w:ascii="Times New Roman" w:hAnsi="Times New Roman"/>
          <w:b w:val="0"/>
          <w:color w:val="auto"/>
          <w:spacing w:val="4"/>
          <w:kern w:val="0"/>
          <w:sz w:val="24"/>
          <w:szCs w:val="24"/>
          <w:highlight w:val="yellow"/>
          <w:lang w:val="zh-CN"/>
        </w:rPr>
        <w:t>球墨铸铁是一种铁、碳、硅的合金，其中碳以球状游离石墨存在。球墨铸铁管具有强度高、防腐性能好、接口可靠、密封性好、安全性能较好，接口为柔性，抗震性能高的优点。但目前国内中小口径球墨铸铁管（DN100～DN1800）技术成熟，已经具备大批量生产能力，使用广泛，管道价格也相对较低，但大口径球墨铸铁管国内生产和使用均较少，价格也较高，因而大口径球墨铸铁管竞争力较低。</w:t>
      </w:r>
    </w:p>
    <w:p>
      <w:pPr>
        <w:numPr>
          <w:ilvl w:val="0"/>
          <w:numId w:val="33"/>
        </w:numPr>
        <w:spacing w:before="31" w:after="31"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给水用聚乙烯管（PE）</w:t>
      </w:r>
    </w:p>
    <w:p>
      <w:pPr>
        <w:widowControl/>
        <w:tabs>
          <w:tab w:val="left" w:pos="0"/>
        </w:tabs>
        <w:spacing w:line="360" w:lineRule="auto"/>
        <w:ind w:firstLine="496" w:firstLineChars="200"/>
        <w:jc w:val="left"/>
        <w:rPr>
          <w:rFonts w:ascii="Times New Roman" w:hAnsi="Times New Roman"/>
          <w:b w:val="0"/>
          <w:color w:val="auto"/>
          <w:spacing w:val="4"/>
          <w:kern w:val="0"/>
          <w:sz w:val="24"/>
          <w:szCs w:val="24"/>
          <w:highlight w:val="yellow"/>
          <w:lang w:val="zh-CN"/>
        </w:rPr>
      </w:pPr>
      <w:r>
        <w:rPr>
          <w:rFonts w:ascii="Times New Roman" w:hAnsi="Times New Roman"/>
          <w:b w:val="0"/>
          <w:color w:val="auto"/>
          <w:spacing w:val="4"/>
          <w:kern w:val="0"/>
          <w:sz w:val="24"/>
          <w:szCs w:val="24"/>
          <w:highlight w:val="yellow"/>
          <w:lang w:val="zh-CN"/>
        </w:rPr>
        <w:t>PE管应用比较晚。近十年来，随着PE管道在欧洲供水行业的发展应用，PE管道才开始受到人们的关注。特别是近来PVC日益受到环保方面的压力，有关PVC管中重金属铅、镉的含量是否超标，这些都让PE管越来越受到人们的关注。PE管材材质无毒，不腐蚀，不结垢，可有效的提高管网水质；PE管道具有良好的耐水锤压力的能力，与管材一体的熔接接头及PE管对地下运动和端荷载的有效抵抗能力，大大提高供水的安全可靠性。聚乙烯（PE）管材是一种新型材料,它具有柔韧性好</w:t>
      </w:r>
      <w:r>
        <w:rPr>
          <w:rFonts w:hint="eastAsia" w:ascii="Times New Roman" w:hAnsi="Times New Roman"/>
          <w:b w:val="0"/>
          <w:color w:val="auto"/>
          <w:spacing w:val="4"/>
          <w:kern w:val="0"/>
          <w:sz w:val="24"/>
          <w:szCs w:val="24"/>
          <w:highlight w:val="yellow"/>
          <w:lang w:val="zh-CN"/>
        </w:rPr>
        <w:t>，</w:t>
      </w:r>
      <w:r>
        <w:rPr>
          <w:rFonts w:ascii="Times New Roman" w:hAnsi="Times New Roman"/>
          <w:b w:val="0"/>
          <w:color w:val="auto"/>
          <w:spacing w:val="4"/>
          <w:kern w:val="0"/>
          <w:sz w:val="24"/>
          <w:szCs w:val="24"/>
          <w:highlight w:val="yellow"/>
          <w:lang w:val="zh-CN"/>
        </w:rPr>
        <w:t>耐腐蚀性强、质轻、抗冲击性能优良等特点，管材、管件连接可采用热熔对接及电熔等连接方式，使管材、管件熔为一体，系统安全可靠，施工成本低，在工程应用中发展迅速。</w:t>
      </w:r>
    </w:p>
    <w:p>
      <w:pPr>
        <w:widowControl/>
        <w:tabs>
          <w:tab w:val="left" w:pos="0"/>
        </w:tabs>
        <w:spacing w:line="360" w:lineRule="auto"/>
        <w:ind w:firstLine="496" w:firstLineChars="200"/>
        <w:jc w:val="left"/>
        <w:rPr>
          <w:rFonts w:ascii="Times New Roman" w:hAnsi="Times New Roman"/>
          <w:b w:val="0"/>
          <w:color w:val="auto"/>
          <w:spacing w:val="4"/>
          <w:kern w:val="0"/>
          <w:sz w:val="24"/>
          <w:szCs w:val="24"/>
          <w:highlight w:val="yellow"/>
          <w:lang w:val="zh-CN"/>
        </w:rPr>
      </w:pPr>
      <w:r>
        <w:rPr>
          <w:rFonts w:ascii="Times New Roman" w:hAnsi="Times New Roman"/>
          <w:b w:val="0"/>
          <w:color w:val="auto"/>
          <w:spacing w:val="4"/>
          <w:kern w:val="0"/>
          <w:sz w:val="24"/>
          <w:szCs w:val="24"/>
          <w:highlight w:val="yellow"/>
          <w:lang w:val="zh-CN"/>
        </w:rPr>
        <w:t>PE管具有很好的柔韧性和可熔接性使其铺设时更加方便经济和更加安全可靠。PE管的铺设速度快，损坏费用和维护费用低，只要接头良好就可承受轴向负荷而不发生泄漏和脱开。因此在铺设时在接合处和弯曲处不需要进行费用不小的锚点，支墩，费用可降低。PE管道具备独特的柔韧性，其断裂伸长率均超过500％，弯曲半径可以达到管道直径的20～25倍，还有优良的耐刮伤痕的能力。因此铺设时很容易移动，弯曲和穿插，适用于非开挖顶管等多种施工方式。而且PE管对于管道基础的适应能力强，一方面对于管基的要求降低，另一方面铺设后管基发生变化，也不容易损坏。</w:t>
      </w:r>
    </w:p>
    <w:p>
      <w:pPr>
        <w:numPr>
          <w:ilvl w:val="0"/>
          <w:numId w:val="33"/>
        </w:numPr>
        <w:spacing w:before="31" w:after="31"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给水用硬聚氯乙烯塑料管（PVC-U）</w:t>
      </w:r>
    </w:p>
    <w:p>
      <w:pPr>
        <w:widowControl/>
        <w:tabs>
          <w:tab w:val="left" w:pos="0"/>
        </w:tabs>
        <w:spacing w:line="360" w:lineRule="auto"/>
        <w:ind w:firstLine="496" w:firstLineChars="200"/>
        <w:jc w:val="left"/>
        <w:rPr>
          <w:rFonts w:ascii="Times New Roman" w:hAnsi="Times New Roman"/>
          <w:b w:val="0"/>
          <w:color w:val="auto"/>
          <w:spacing w:val="4"/>
          <w:kern w:val="0"/>
          <w:sz w:val="24"/>
          <w:szCs w:val="24"/>
          <w:highlight w:val="yellow"/>
          <w:lang w:val="zh-CN"/>
        </w:rPr>
      </w:pPr>
      <w:r>
        <w:rPr>
          <w:rFonts w:ascii="Times New Roman" w:hAnsi="Times New Roman"/>
          <w:b w:val="0"/>
          <w:color w:val="auto"/>
          <w:spacing w:val="4"/>
          <w:kern w:val="0"/>
          <w:sz w:val="24"/>
          <w:szCs w:val="24"/>
          <w:highlight w:val="yellow"/>
          <w:lang w:val="zh-CN"/>
        </w:rPr>
        <w:t>给水用硬聚氯乙烯塑料管（PVC-U）具有耐腐蚀性强、化学稳定性好；水力性能好、管道内壁光滑，阻力系数小，不易积垢；质地轻、安装施工方便。且采用专用粘贴剂粘贴或弹性密封件套接，安装施工简单快捷等特点。</w:t>
      </w:r>
    </w:p>
    <w:p>
      <w:pPr>
        <w:pStyle w:val="120"/>
        <w:rPr>
          <w:highlight w:val="yellow"/>
        </w:rPr>
      </w:pPr>
      <w:bookmarkStart w:id="260" w:name="_Toc144667852"/>
      <w:bookmarkStart w:id="261" w:name="_Toc17812"/>
      <w:bookmarkStart w:id="262" w:name="_Toc10462"/>
      <w:r>
        <w:rPr>
          <w:highlight w:val="yellow"/>
        </w:rPr>
        <w:t>（二）给水管材选用</w:t>
      </w:r>
      <w:bookmarkEnd w:id="260"/>
      <w:bookmarkEnd w:id="261"/>
      <w:bookmarkEnd w:id="262"/>
    </w:p>
    <w:p>
      <w:pPr>
        <w:widowControl/>
        <w:tabs>
          <w:tab w:val="left" w:pos="0"/>
        </w:tabs>
        <w:spacing w:line="360" w:lineRule="auto"/>
        <w:ind w:firstLine="496" w:firstLineChars="200"/>
        <w:rPr>
          <w:rFonts w:ascii="Times New Roman" w:hAnsi="Times New Roman"/>
          <w:b w:val="0"/>
          <w:color w:val="auto"/>
          <w:sz w:val="24"/>
          <w:szCs w:val="24"/>
          <w:highlight w:val="yellow"/>
        </w:rPr>
      </w:pPr>
      <w:r>
        <w:rPr>
          <w:rFonts w:ascii="Times New Roman" w:hAnsi="Times New Roman"/>
          <w:b w:val="0"/>
          <w:color w:val="auto"/>
          <w:spacing w:val="4"/>
          <w:kern w:val="0"/>
          <w:sz w:val="24"/>
          <w:szCs w:val="24"/>
          <w:highlight w:val="yellow"/>
          <w:lang w:val="zh-CN"/>
        </w:rPr>
        <w:t>综上所述，本工程除特别注明外，给水管管材采用离心铸造球墨铸铁管（T型接口K9级），</w:t>
      </w:r>
      <w:r>
        <w:rPr>
          <w:rFonts w:ascii="Times New Roman" w:hAnsi="Times New Roman"/>
          <w:b w:val="0"/>
          <w:color w:val="auto"/>
          <w:sz w:val="24"/>
          <w:szCs w:val="24"/>
          <w:highlight w:val="yellow"/>
        </w:rPr>
        <w:t>过桥段、河底穿越段和箱涵等地下构筑物下方穿越段采用钢管,钢管材质为Q235-B级钢板</w:t>
      </w:r>
      <w:r>
        <w:rPr>
          <w:rFonts w:ascii="Times New Roman" w:hAnsi="Times New Roman"/>
          <w:b w:val="0"/>
          <w:color w:val="auto"/>
          <w:spacing w:val="4"/>
          <w:kern w:val="0"/>
          <w:sz w:val="24"/>
          <w:szCs w:val="24"/>
          <w:highlight w:val="yellow"/>
          <w:lang w:val="zh-CN"/>
        </w:rPr>
        <w:t>。</w:t>
      </w:r>
    </w:p>
    <w:p>
      <w:pPr>
        <w:widowControl/>
        <w:tabs>
          <w:tab w:val="left" w:pos="0"/>
        </w:tabs>
        <w:spacing w:line="360" w:lineRule="auto"/>
        <w:ind w:firstLine="420" w:firstLineChars="200"/>
        <w:rPr>
          <w:rFonts w:ascii="Times New Roman" w:hAnsi="Times New Roman"/>
          <w:b w:val="0"/>
          <w:color w:val="auto"/>
          <w:sz w:val="21"/>
          <w:szCs w:val="20"/>
          <w:highlight w:val="yellow"/>
        </w:rPr>
      </w:pPr>
      <w:r>
        <w:rPr>
          <w:rFonts w:ascii="Times New Roman" w:hAnsi="Times New Roman"/>
          <w:b w:val="0"/>
          <w:color w:val="auto"/>
          <w:sz w:val="21"/>
          <w:szCs w:val="20"/>
          <w:highlight w:val="yellow"/>
        </w:rPr>
        <w:drawing>
          <wp:inline distT="0" distB="0" distL="0" distR="0">
            <wp:extent cx="2767330" cy="1852295"/>
            <wp:effectExtent l="0" t="0" r="13970" b="14605"/>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a:xfrm>
                      <a:off x="0" y="0"/>
                      <a:ext cx="2768487" cy="1853310"/>
                    </a:xfrm>
                    <a:prstGeom prst="rect">
                      <a:avLst/>
                    </a:prstGeom>
                    <a:noFill/>
                    <a:ln>
                      <a:noFill/>
                    </a:ln>
                  </pic:spPr>
                </pic:pic>
              </a:graphicData>
            </a:graphic>
          </wp:inline>
        </w:drawing>
      </w:r>
      <w:r>
        <w:rPr>
          <w:rFonts w:ascii="Times New Roman" w:hAnsi="Times New Roman"/>
          <w:b w:val="0"/>
          <w:color w:val="auto"/>
          <w:sz w:val="21"/>
          <w:szCs w:val="20"/>
          <w:highlight w:val="yellow"/>
        </w:rPr>
        <w:drawing>
          <wp:inline distT="0" distB="0" distL="0" distR="0">
            <wp:extent cx="2711450" cy="1964055"/>
            <wp:effectExtent l="0" t="0" r="12700" b="17145"/>
            <wp:docPr id="1082276354" name="图片 1082276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276354" name="图片 1082276354"/>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a:xfrm>
                      <a:off x="0" y="0"/>
                      <a:ext cx="2711450" cy="1964055"/>
                    </a:xfrm>
                    <a:prstGeom prst="rect">
                      <a:avLst/>
                    </a:prstGeom>
                    <a:noFill/>
                    <a:ln>
                      <a:noFill/>
                    </a:ln>
                  </pic:spPr>
                </pic:pic>
              </a:graphicData>
            </a:graphic>
          </wp:inline>
        </w:drawing>
      </w:r>
    </w:p>
    <w:p>
      <w:pPr>
        <w:spacing w:before="83" w:line="219" w:lineRule="auto"/>
        <w:ind w:firstLine="478" w:firstLineChars="200"/>
        <w:jc w:val="center"/>
        <w:rPr>
          <w:rFonts w:cs="宋体"/>
          <w:spacing w:val="-1"/>
          <w:sz w:val="24"/>
          <w:szCs w:val="24"/>
          <w:highlight w:val="yellow"/>
          <w14:textOutline w14:w="3048" w14:cap="flat" w14:cmpd="sng" w14:algn="ctr">
            <w14:solidFill>
              <w14:srgbClr w14:val="000000"/>
            </w14:solidFill>
            <w14:prstDash w14:val="solid"/>
            <w14:miter w14:val="0"/>
          </w14:textOutline>
        </w:rPr>
      </w:pPr>
      <w:r>
        <w:rPr>
          <w:rFonts w:hint="eastAsia" w:cs="宋体"/>
          <w:spacing w:val="-1"/>
          <w:sz w:val="24"/>
          <w:szCs w:val="24"/>
          <w:highlight w:val="yellow"/>
          <w14:textOutline w14:w="3048" w14:cap="flat" w14:cmpd="sng" w14:algn="ctr">
            <w14:solidFill>
              <w14:srgbClr w14:val="000000"/>
            </w14:solidFill>
            <w14:prstDash w14:val="solid"/>
            <w14:miter w14:val="0"/>
          </w14:textOutline>
        </w:rPr>
        <w:t>球墨铸铁管PVC-U管</w:t>
      </w:r>
    </w:p>
    <w:p>
      <w:pPr>
        <w:widowControl/>
        <w:tabs>
          <w:tab w:val="left" w:pos="0"/>
        </w:tabs>
        <w:spacing w:line="360" w:lineRule="auto"/>
        <w:ind w:firstLine="480" w:firstLineChars="200"/>
        <w:rPr>
          <w:rFonts w:ascii="Times New Roman" w:hAnsi="Times New Roman"/>
          <w:color w:val="auto"/>
          <w:sz w:val="21"/>
          <w:szCs w:val="20"/>
          <w:highlight w:val="yellow"/>
        </w:rPr>
      </w:pPr>
      <w:r>
        <w:rPr>
          <w:rFonts w:ascii="Times New Roman" w:hAnsi="Times New Roman"/>
          <w:b w:val="0"/>
          <w:color w:val="auto"/>
          <w:sz w:val="24"/>
          <w:szCs w:val="24"/>
          <w:highlight w:val="yellow"/>
        </w:rPr>
        <w:drawing>
          <wp:inline distT="0" distB="0" distL="0" distR="0">
            <wp:extent cx="2647950" cy="2259330"/>
            <wp:effectExtent l="0" t="0" r="0" b="7620"/>
            <wp:docPr id="1082276355" name="图片 1082276355" descr="00626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276355" name="图片 1082276355" descr="00626460"/>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a:xfrm>
                      <a:off x="0" y="0"/>
                      <a:ext cx="2651389" cy="2262683"/>
                    </a:xfrm>
                    <a:prstGeom prst="rect">
                      <a:avLst/>
                    </a:prstGeom>
                    <a:noFill/>
                    <a:ln>
                      <a:noFill/>
                    </a:ln>
                  </pic:spPr>
                </pic:pic>
              </a:graphicData>
            </a:graphic>
          </wp:inline>
        </w:drawing>
      </w:r>
      <w:r>
        <w:rPr>
          <w:rFonts w:ascii="Times New Roman" w:hAnsi="Times New Roman"/>
          <w:b w:val="0"/>
          <w:color w:val="auto"/>
          <w:sz w:val="21"/>
          <w:szCs w:val="20"/>
          <w:highlight w:val="yellow"/>
        </w:rPr>
        <w:drawing>
          <wp:inline distT="0" distB="0" distL="0" distR="0">
            <wp:extent cx="2719070" cy="2226310"/>
            <wp:effectExtent l="0" t="0" r="5080" b="2540"/>
            <wp:docPr id="1082276356" name="图片 1082276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276356" name="图片 1082276356"/>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a:xfrm>
                      <a:off x="0" y="0"/>
                      <a:ext cx="2719070" cy="2226310"/>
                    </a:xfrm>
                    <a:prstGeom prst="rect">
                      <a:avLst/>
                    </a:prstGeom>
                    <a:noFill/>
                    <a:ln>
                      <a:noFill/>
                    </a:ln>
                  </pic:spPr>
                </pic:pic>
              </a:graphicData>
            </a:graphic>
          </wp:inline>
        </w:drawing>
      </w:r>
    </w:p>
    <w:p>
      <w:pPr>
        <w:spacing w:before="83" w:line="219" w:lineRule="auto"/>
        <w:ind w:firstLine="478" w:firstLineChars="200"/>
        <w:jc w:val="center"/>
        <w:rPr>
          <w:rFonts w:cs="宋体"/>
          <w:spacing w:val="-1"/>
          <w:sz w:val="24"/>
          <w:szCs w:val="24"/>
          <w:highlight w:val="yellow"/>
          <w14:textOutline w14:w="3048" w14:cap="flat" w14:cmpd="sng" w14:algn="ctr">
            <w14:solidFill>
              <w14:srgbClr w14:val="000000"/>
            </w14:solidFill>
            <w14:prstDash w14:val="solid"/>
            <w14:miter w14:val="0"/>
          </w14:textOutline>
        </w:rPr>
      </w:pPr>
      <w:r>
        <w:rPr>
          <w:rFonts w:cs="宋体"/>
          <w:spacing w:val="-1"/>
          <w:sz w:val="24"/>
          <w:szCs w:val="24"/>
          <w:highlight w:val="yellow"/>
          <w14:textOutline w14:w="3048" w14:cap="flat" w14:cmpd="sng" w14:algn="ctr">
            <w14:solidFill>
              <w14:srgbClr w14:val="000000"/>
            </w14:solidFill>
            <w14:prstDash w14:val="solid"/>
            <w14:miter w14:val="0"/>
          </w14:textOutline>
        </w:rPr>
        <w:t>钢管给水PE管</w:t>
      </w:r>
    </w:p>
    <w:p>
      <w:pPr>
        <w:pStyle w:val="4"/>
        <w:ind w:firstLine="482" w:firstLineChars="200"/>
        <w:rPr>
          <w:highlight w:val="yellow"/>
        </w:rPr>
      </w:pPr>
      <w:bookmarkStart w:id="263" w:name="_Toc31473"/>
      <w:bookmarkStart w:id="264" w:name="_Toc17913"/>
      <w:r>
        <w:rPr>
          <w:highlight w:val="yellow"/>
        </w:rPr>
        <w:t>管道防腐</w:t>
      </w:r>
      <w:bookmarkEnd w:id="263"/>
      <w:bookmarkEnd w:id="264"/>
    </w:p>
    <w:p>
      <w:pPr>
        <w:numPr>
          <w:ilvl w:val="0"/>
          <w:numId w:val="34"/>
        </w:numPr>
        <w:spacing w:before="31" w:after="31"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球墨铸铁管及管件防腐</w:t>
      </w:r>
    </w:p>
    <w:p>
      <w:pPr>
        <w:spacing w:line="360" w:lineRule="auto"/>
        <w:ind w:firstLine="496" w:firstLineChars="200"/>
        <w:rPr>
          <w:rFonts w:ascii="Times New Roman" w:hAnsi="Times New Roman"/>
          <w:b w:val="0"/>
          <w:color w:val="auto"/>
          <w:spacing w:val="4"/>
          <w:kern w:val="0"/>
          <w:sz w:val="24"/>
          <w:szCs w:val="24"/>
          <w:highlight w:val="yellow"/>
        </w:rPr>
      </w:pPr>
      <w:r>
        <w:rPr>
          <w:rFonts w:ascii="Times New Roman" w:hAnsi="Times New Roman"/>
          <w:b w:val="0"/>
          <w:color w:val="auto"/>
          <w:spacing w:val="4"/>
          <w:kern w:val="0"/>
          <w:sz w:val="24"/>
          <w:szCs w:val="24"/>
          <w:highlight w:val="yellow"/>
        </w:rPr>
        <w:t>球墨铸铁管的外防腐采用锌+终饰层，内防腐采用水泥砂浆内衬，水泥砂浆采用硅酸盐水泥或抗硫酸盐水泥；球墨铸铁管上述的内外防腐形式应在生产工艺中制作完成，无须施工安装后进行防腐处理。</w:t>
      </w:r>
    </w:p>
    <w:p>
      <w:pPr>
        <w:numPr>
          <w:ilvl w:val="0"/>
          <w:numId w:val="34"/>
        </w:numPr>
        <w:spacing w:before="31" w:after="31"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钢管及管件防腐</w:t>
      </w:r>
    </w:p>
    <w:p>
      <w:pPr>
        <w:spacing w:line="360" w:lineRule="auto"/>
        <w:ind w:firstLine="496" w:firstLineChars="200"/>
        <w:rPr>
          <w:rFonts w:ascii="Times New Roman" w:hAnsi="Times New Roman"/>
          <w:b w:val="0"/>
          <w:color w:val="auto"/>
          <w:spacing w:val="4"/>
          <w:kern w:val="0"/>
          <w:sz w:val="24"/>
          <w:szCs w:val="24"/>
          <w:highlight w:val="yellow"/>
        </w:rPr>
      </w:pPr>
      <w:r>
        <w:rPr>
          <w:rFonts w:ascii="Times New Roman" w:hAnsi="Times New Roman"/>
          <w:b w:val="0"/>
          <w:color w:val="auto"/>
          <w:spacing w:val="4"/>
          <w:kern w:val="0"/>
          <w:sz w:val="24"/>
          <w:szCs w:val="24"/>
          <w:highlight w:val="yellow"/>
        </w:rPr>
        <w:t>钢管外防腐采用特加强级（六油两布）环氧煤沥青涂料外防腐层构造，涂层干膜总厚度不小于0.6mm；内防腐采用符合饮用净水卫生标准的无毒环氧类涂料，防腐等级为特加强级，二底四面，总干膜厚度不小于0.3毫米；钢制管件（合钢制法兰盘、钢制法兰封板等）采用除锈后刷环氧底漆两遍，再涂环氧外漆两遍；</w:t>
      </w:r>
    </w:p>
    <w:p>
      <w:pPr>
        <w:spacing w:line="360" w:lineRule="auto"/>
        <w:ind w:firstLine="496" w:firstLineChars="200"/>
        <w:rPr>
          <w:rFonts w:ascii="Times New Roman" w:hAnsi="Times New Roman"/>
          <w:b w:val="0"/>
          <w:color w:val="auto"/>
          <w:spacing w:val="4"/>
          <w:kern w:val="0"/>
          <w:sz w:val="24"/>
          <w:szCs w:val="24"/>
          <w:highlight w:val="yellow"/>
        </w:rPr>
      </w:pPr>
      <w:r>
        <w:rPr>
          <w:rFonts w:ascii="Times New Roman" w:hAnsi="Times New Roman"/>
          <w:b w:val="0"/>
          <w:color w:val="auto"/>
          <w:spacing w:val="4"/>
          <w:kern w:val="0"/>
          <w:sz w:val="24"/>
          <w:szCs w:val="24"/>
          <w:highlight w:val="yellow"/>
        </w:rPr>
        <w:t>钢管内外防腐的其他要求分别见《埋地钢质管道环氧沥青防腐层技术标准》（SY/T0447-2014）和《钢质管道液体环氧涂料内防腐层技术规范》（SY/T0457-2019）以及《给水排水管道工程施工及验收规范》（GB50268-2008）。</w:t>
      </w:r>
    </w:p>
    <w:p>
      <w:pPr>
        <w:pStyle w:val="4"/>
        <w:ind w:firstLine="482" w:firstLineChars="200"/>
        <w:rPr>
          <w:highlight w:val="yellow"/>
        </w:rPr>
      </w:pPr>
      <w:bookmarkStart w:id="265" w:name="_Toc14078"/>
      <w:bookmarkStart w:id="266" w:name="_Toc23980"/>
      <w:r>
        <w:rPr>
          <w:highlight w:val="yellow"/>
        </w:rPr>
        <w:t>给水管道基础、地基处理及沟槽回填</w:t>
      </w:r>
      <w:bookmarkEnd w:id="265"/>
      <w:bookmarkEnd w:id="266"/>
    </w:p>
    <w:p>
      <w:pPr>
        <w:spacing w:line="360" w:lineRule="auto"/>
        <w:ind w:firstLine="496" w:firstLineChars="200"/>
        <w:rPr>
          <w:rFonts w:ascii="Times New Roman" w:hAnsi="Times New Roman"/>
          <w:b w:val="0"/>
          <w:color w:val="auto"/>
          <w:spacing w:val="4"/>
          <w:kern w:val="0"/>
          <w:sz w:val="24"/>
          <w:szCs w:val="24"/>
          <w:highlight w:val="yellow"/>
        </w:rPr>
      </w:pPr>
      <w:r>
        <w:rPr>
          <w:rFonts w:ascii="Times New Roman" w:hAnsi="Times New Roman"/>
          <w:b w:val="0"/>
          <w:color w:val="auto"/>
          <w:spacing w:val="4"/>
          <w:kern w:val="0"/>
          <w:sz w:val="24"/>
          <w:szCs w:val="24"/>
          <w:highlight w:val="yellow"/>
        </w:rPr>
        <w:t>（1）管道及检查井基础应坐落在良好原状土层上，其地基承载力特征值应不小于100KPa，否则应进行地基处理。</w:t>
      </w:r>
    </w:p>
    <w:p>
      <w:pPr>
        <w:spacing w:line="360" w:lineRule="auto"/>
        <w:ind w:firstLine="496" w:firstLineChars="200"/>
        <w:rPr>
          <w:rFonts w:ascii="Times New Roman" w:hAnsi="Times New Roman"/>
          <w:b w:val="0"/>
          <w:color w:val="auto"/>
          <w:spacing w:val="4"/>
          <w:kern w:val="0"/>
          <w:sz w:val="24"/>
          <w:szCs w:val="24"/>
          <w:highlight w:val="yellow"/>
        </w:rPr>
      </w:pPr>
      <w:r>
        <w:rPr>
          <w:rFonts w:ascii="Times New Roman" w:hAnsi="Times New Roman"/>
          <w:b w:val="0"/>
          <w:color w:val="auto"/>
          <w:spacing w:val="4"/>
          <w:kern w:val="0"/>
          <w:sz w:val="24"/>
          <w:szCs w:val="24"/>
          <w:highlight w:val="yellow"/>
        </w:rPr>
        <w:t>（2）管道沟槽回填</w:t>
      </w:r>
    </w:p>
    <w:p>
      <w:pPr>
        <w:spacing w:line="360" w:lineRule="auto"/>
        <w:ind w:firstLine="496" w:firstLineChars="200"/>
        <w:rPr>
          <w:rFonts w:ascii="Times New Roman" w:hAnsi="Times New Roman"/>
          <w:b w:val="0"/>
          <w:color w:val="auto"/>
          <w:spacing w:val="4"/>
          <w:kern w:val="0"/>
          <w:sz w:val="24"/>
          <w:szCs w:val="24"/>
          <w:highlight w:val="yellow"/>
        </w:rPr>
      </w:pPr>
      <w:r>
        <w:rPr>
          <w:rFonts w:ascii="Times New Roman" w:hAnsi="Times New Roman"/>
          <w:b w:val="0"/>
          <w:color w:val="auto"/>
          <w:spacing w:val="4"/>
          <w:kern w:val="0"/>
          <w:sz w:val="24"/>
          <w:szCs w:val="24"/>
          <w:highlight w:val="yellow"/>
        </w:rPr>
        <w:t>1）给水管道沟槽回填做法见通用大样图；</w:t>
      </w:r>
    </w:p>
    <w:p>
      <w:pPr>
        <w:spacing w:line="360" w:lineRule="auto"/>
        <w:ind w:firstLine="496" w:firstLineChars="200"/>
        <w:rPr>
          <w:rFonts w:ascii="Times New Roman" w:hAnsi="Times New Roman"/>
          <w:b w:val="0"/>
          <w:color w:val="auto"/>
          <w:spacing w:val="4"/>
          <w:kern w:val="0"/>
          <w:sz w:val="24"/>
          <w:szCs w:val="24"/>
          <w:highlight w:val="yellow"/>
        </w:rPr>
      </w:pPr>
      <w:r>
        <w:rPr>
          <w:rFonts w:ascii="Times New Roman" w:hAnsi="Times New Roman"/>
          <w:b w:val="0"/>
          <w:color w:val="auto"/>
          <w:spacing w:val="4"/>
          <w:kern w:val="0"/>
          <w:sz w:val="24"/>
          <w:szCs w:val="24"/>
          <w:highlight w:val="yellow"/>
        </w:rPr>
        <w:t>2）给水管道水压试验前，除接口外，管道两侧和管顶以上的回填高度不宜小于0.5m；水压试验合格后，应及时回填沟槽的其余部分。</w:t>
      </w:r>
    </w:p>
    <w:p>
      <w:pPr>
        <w:spacing w:line="360" w:lineRule="auto"/>
        <w:ind w:firstLine="496" w:firstLineChars="200"/>
        <w:rPr>
          <w:rFonts w:ascii="Times New Roman" w:hAnsi="Times New Roman"/>
          <w:b w:val="0"/>
          <w:color w:val="auto"/>
          <w:spacing w:val="4"/>
          <w:kern w:val="0"/>
          <w:sz w:val="24"/>
          <w:szCs w:val="24"/>
          <w:highlight w:val="yellow"/>
        </w:rPr>
      </w:pPr>
      <w:r>
        <w:rPr>
          <w:rFonts w:ascii="Times New Roman" w:hAnsi="Times New Roman"/>
          <w:b w:val="0"/>
          <w:color w:val="auto"/>
          <w:spacing w:val="4"/>
          <w:kern w:val="0"/>
          <w:sz w:val="24"/>
          <w:szCs w:val="24"/>
          <w:highlight w:val="yellow"/>
        </w:rPr>
        <w:t>3）从管底基础至管顶0.5m范围内，沿管道、检查井两侧必须采用人工对称、分层回填压实，严禁用机械推土回填。必要时应采用临时限位措施，防止上浮。</w:t>
      </w:r>
    </w:p>
    <w:p>
      <w:pPr>
        <w:spacing w:line="360" w:lineRule="auto"/>
        <w:ind w:firstLine="496" w:firstLineChars="200"/>
        <w:rPr>
          <w:rFonts w:ascii="Times New Roman" w:hAnsi="Times New Roman"/>
          <w:b w:val="0"/>
          <w:color w:val="auto"/>
          <w:spacing w:val="4"/>
          <w:kern w:val="0"/>
          <w:sz w:val="24"/>
          <w:szCs w:val="24"/>
          <w:highlight w:val="yellow"/>
        </w:rPr>
      </w:pPr>
      <w:r>
        <w:rPr>
          <w:rFonts w:ascii="Times New Roman" w:hAnsi="Times New Roman"/>
          <w:b w:val="0"/>
          <w:color w:val="auto"/>
          <w:spacing w:val="4"/>
          <w:kern w:val="0"/>
          <w:sz w:val="24"/>
          <w:szCs w:val="24"/>
          <w:highlight w:val="yellow"/>
        </w:rPr>
        <w:t>4）管顶0.5m以上沟槽采用机械回填时，应从管轴线两侧同时均匀进行，做到分层回填、夯实、碾压。</w:t>
      </w:r>
    </w:p>
    <w:p>
      <w:pPr>
        <w:spacing w:line="360" w:lineRule="auto"/>
        <w:ind w:firstLine="496" w:firstLineChars="200"/>
        <w:rPr>
          <w:rFonts w:ascii="Times New Roman" w:hAnsi="Times New Roman"/>
          <w:b w:val="0"/>
          <w:color w:val="auto"/>
          <w:spacing w:val="4"/>
          <w:kern w:val="0"/>
          <w:sz w:val="24"/>
          <w:szCs w:val="24"/>
          <w:highlight w:val="yellow"/>
        </w:rPr>
      </w:pPr>
      <w:r>
        <w:rPr>
          <w:rFonts w:ascii="Times New Roman" w:hAnsi="Times New Roman"/>
          <w:b w:val="0"/>
          <w:color w:val="auto"/>
          <w:spacing w:val="4"/>
          <w:kern w:val="0"/>
          <w:sz w:val="24"/>
          <w:szCs w:val="24"/>
          <w:highlight w:val="yellow"/>
        </w:rPr>
        <w:t>5）回填时沟槽内应无积水、不得带水回填，不得回填淤泥、有机物和冻土，回填土中不得含有石块、砖和其他杂硬物体。</w:t>
      </w:r>
    </w:p>
    <w:p>
      <w:pPr>
        <w:spacing w:line="360" w:lineRule="auto"/>
        <w:ind w:firstLine="496" w:firstLineChars="200"/>
        <w:rPr>
          <w:rFonts w:ascii="Times New Roman" w:hAnsi="Times New Roman"/>
          <w:b w:val="0"/>
          <w:color w:val="auto"/>
          <w:spacing w:val="4"/>
          <w:kern w:val="0"/>
          <w:sz w:val="24"/>
          <w:szCs w:val="24"/>
          <w:highlight w:val="yellow"/>
        </w:rPr>
      </w:pPr>
      <w:r>
        <w:rPr>
          <w:rFonts w:ascii="Times New Roman" w:hAnsi="Times New Roman"/>
          <w:b w:val="0"/>
          <w:color w:val="auto"/>
          <w:spacing w:val="4"/>
          <w:kern w:val="0"/>
          <w:sz w:val="24"/>
          <w:szCs w:val="24"/>
          <w:highlight w:val="yellow"/>
        </w:rPr>
        <w:t>6）管道沟槽回填其他要求见《给水排水管道工程施工及验收规范》（GB50268－2008）。</w:t>
      </w:r>
    </w:p>
    <w:p>
      <w:pPr>
        <w:pStyle w:val="4"/>
        <w:ind w:firstLine="482" w:firstLineChars="200"/>
        <w:rPr>
          <w:highlight w:val="yellow"/>
        </w:rPr>
      </w:pPr>
      <w:bookmarkStart w:id="267" w:name="_Toc26976"/>
      <w:bookmarkStart w:id="268" w:name="_Toc6188"/>
      <w:r>
        <w:rPr>
          <w:highlight w:val="yellow"/>
        </w:rPr>
        <w:t>给水管道敷设要求</w:t>
      </w:r>
      <w:bookmarkEnd w:id="267"/>
      <w:bookmarkEnd w:id="268"/>
    </w:p>
    <w:p>
      <w:pPr>
        <w:numPr>
          <w:ilvl w:val="0"/>
          <w:numId w:val="35"/>
        </w:numPr>
        <w:spacing w:before="31" w:after="31"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给水管道标高随道路纵坡起伏，管顶覆土为1.0m。遇非压力管道，从其顶部跨越，并保证覆土0.7m，当埋深不能满足要求时，应设钢套管保护；钢套管尺寸比给水管径大一级，钢套管选用见下表：</w:t>
      </w:r>
    </w:p>
    <w:tbl>
      <w:tblPr>
        <w:tblStyle w:val="379"/>
        <w:tblW w:w="10367"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368"/>
        <w:gridCol w:w="1433"/>
        <w:gridCol w:w="1384"/>
        <w:gridCol w:w="1334"/>
        <w:gridCol w:w="1416"/>
        <w:gridCol w:w="1432"/>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6" w:hRule="atLeast"/>
        </w:trPr>
        <w:tc>
          <w:tcPr>
            <w:tcW w:w="3368" w:type="dxa"/>
          </w:tcPr>
          <w:p>
            <w:pPr>
              <w:pStyle w:val="391"/>
              <w:autoSpaceDE w:val="0"/>
              <w:autoSpaceDN w:val="0"/>
              <w:spacing w:before="137" w:line="220" w:lineRule="auto"/>
              <w:ind w:left="784"/>
              <w:rPr>
                <w:rFonts w:ascii="Times New Roman" w:hAnsi="Times New Roman" w:cs="Times New Roman" w:eastAsiaTheme="minorEastAsia"/>
                <w:b w:val="0"/>
                <w:color w:val="auto"/>
                <w:highlight w:val="yellow"/>
                <w:lang w:eastAsia="zh-CN"/>
              </w:rPr>
            </w:pPr>
            <w:r>
              <w:rPr>
                <w:rFonts w:ascii="Times New Roman" w:hAnsi="Times New Roman" w:cs="Times New Roman" w:eastAsiaTheme="minorEastAsia"/>
                <w:b w:val="0"/>
                <w:color w:val="auto"/>
                <w:highlight w:val="yellow"/>
                <w:lang w:eastAsia="zh-CN"/>
              </w:rPr>
              <w:t>给水管径（mm）</w:t>
            </w:r>
          </w:p>
        </w:tc>
        <w:tc>
          <w:tcPr>
            <w:tcW w:w="1433" w:type="dxa"/>
          </w:tcPr>
          <w:p>
            <w:pPr>
              <w:autoSpaceDE w:val="0"/>
              <w:autoSpaceDN w:val="0"/>
              <w:spacing w:before="183" w:line="181" w:lineRule="auto"/>
              <w:ind w:left="460"/>
              <w:rPr>
                <w:rFonts w:ascii="Times New Roman" w:hAnsi="Times New Roman" w:eastAsiaTheme="minorEastAsia" w:cstheme="minorBidi"/>
                <w:b w:val="0"/>
                <w:color w:val="auto"/>
                <w:sz w:val="24"/>
                <w:szCs w:val="24"/>
                <w:highlight w:val="yellow"/>
                <w:lang w:eastAsia="en-US"/>
              </w:rPr>
            </w:pPr>
            <w:r>
              <w:rPr>
                <w:rFonts w:ascii="Times New Roman" w:hAnsi="Times New Roman" w:eastAsiaTheme="minorEastAsia" w:cstheme="minorBidi"/>
                <w:b w:val="0"/>
                <w:color w:val="auto"/>
                <w:sz w:val="24"/>
                <w:szCs w:val="24"/>
                <w:highlight w:val="yellow"/>
                <w:lang w:eastAsia="en-US"/>
              </w:rPr>
              <w:t>DN50</w:t>
            </w:r>
          </w:p>
        </w:tc>
        <w:tc>
          <w:tcPr>
            <w:tcW w:w="1384" w:type="dxa"/>
          </w:tcPr>
          <w:p>
            <w:pPr>
              <w:autoSpaceDE w:val="0"/>
              <w:autoSpaceDN w:val="0"/>
              <w:spacing w:before="183" w:line="181" w:lineRule="auto"/>
              <w:ind w:left="376"/>
              <w:rPr>
                <w:rFonts w:ascii="Times New Roman" w:hAnsi="Times New Roman" w:eastAsiaTheme="minorEastAsia" w:cstheme="minorBidi"/>
                <w:b w:val="0"/>
                <w:color w:val="auto"/>
                <w:sz w:val="24"/>
                <w:szCs w:val="24"/>
                <w:highlight w:val="yellow"/>
                <w:lang w:eastAsia="en-US"/>
              </w:rPr>
            </w:pPr>
            <w:r>
              <w:rPr>
                <w:rFonts w:ascii="Times New Roman" w:hAnsi="Times New Roman" w:eastAsiaTheme="minorEastAsia" w:cstheme="minorBidi"/>
                <w:b w:val="0"/>
                <w:color w:val="auto"/>
                <w:sz w:val="24"/>
                <w:szCs w:val="24"/>
                <w:highlight w:val="yellow"/>
                <w:lang w:eastAsia="en-US"/>
              </w:rPr>
              <w:t>DN100</w:t>
            </w:r>
          </w:p>
        </w:tc>
        <w:tc>
          <w:tcPr>
            <w:tcW w:w="1334" w:type="dxa"/>
          </w:tcPr>
          <w:p>
            <w:pPr>
              <w:autoSpaceDE w:val="0"/>
              <w:autoSpaceDN w:val="0"/>
              <w:spacing w:before="183" w:line="181" w:lineRule="auto"/>
              <w:ind w:left="352"/>
              <w:rPr>
                <w:rFonts w:ascii="Times New Roman" w:hAnsi="Times New Roman" w:eastAsiaTheme="minorEastAsia" w:cstheme="minorBidi"/>
                <w:b w:val="0"/>
                <w:color w:val="auto"/>
                <w:sz w:val="24"/>
                <w:szCs w:val="24"/>
                <w:highlight w:val="yellow"/>
                <w:lang w:eastAsia="en-US"/>
              </w:rPr>
            </w:pPr>
            <w:r>
              <w:rPr>
                <w:rFonts w:ascii="Times New Roman" w:hAnsi="Times New Roman" w:eastAsiaTheme="minorEastAsia" w:cstheme="minorBidi"/>
                <w:b w:val="0"/>
                <w:color w:val="auto"/>
                <w:sz w:val="24"/>
                <w:szCs w:val="24"/>
                <w:highlight w:val="yellow"/>
                <w:lang w:eastAsia="en-US"/>
              </w:rPr>
              <w:t>DN150</w:t>
            </w:r>
          </w:p>
        </w:tc>
        <w:tc>
          <w:tcPr>
            <w:tcW w:w="1416" w:type="dxa"/>
          </w:tcPr>
          <w:p>
            <w:pPr>
              <w:autoSpaceDE w:val="0"/>
              <w:autoSpaceDN w:val="0"/>
              <w:spacing w:before="183" w:line="181" w:lineRule="auto"/>
              <w:ind w:left="393"/>
              <w:rPr>
                <w:rFonts w:ascii="Times New Roman" w:hAnsi="Times New Roman" w:eastAsiaTheme="minorEastAsia" w:cstheme="minorBidi"/>
                <w:b w:val="0"/>
                <w:color w:val="auto"/>
                <w:sz w:val="24"/>
                <w:szCs w:val="24"/>
                <w:highlight w:val="yellow"/>
                <w:lang w:eastAsia="en-US"/>
              </w:rPr>
            </w:pPr>
            <w:r>
              <w:rPr>
                <w:rFonts w:ascii="Times New Roman" w:hAnsi="Times New Roman" w:eastAsiaTheme="minorEastAsia" w:cstheme="minorBidi"/>
                <w:b w:val="0"/>
                <w:color w:val="auto"/>
                <w:sz w:val="24"/>
                <w:szCs w:val="24"/>
                <w:highlight w:val="yellow"/>
                <w:lang w:eastAsia="en-US"/>
              </w:rPr>
              <w:t>DN200</w:t>
            </w:r>
          </w:p>
        </w:tc>
        <w:tc>
          <w:tcPr>
            <w:tcW w:w="1432" w:type="dxa"/>
          </w:tcPr>
          <w:p>
            <w:pPr>
              <w:autoSpaceDE w:val="0"/>
              <w:autoSpaceDN w:val="0"/>
              <w:spacing w:before="183" w:line="181" w:lineRule="auto"/>
              <w:ind w:left="395"/>
              <w:rPr>
                <w:rFonts w:ascii="Times New Roman" w:hAnsi="Times New Roman" w:eastAsiaTheme="minorEastAsia" w:cstheme="minorBidi"/>
                <w:b w:val="0"/>
                <w:color w:val="auto"/>
                <w:sz w:val="24"/>
                <w:szCs w:val="24"/>
                <w:highlight w:val="yellow"/>
                <w:lang w:eastAsia="en-US"/>
              </w:rPr>
            </w:pPr>
            <w:r>
              <w:rPr>
                <w:rFonts w:ascii="Times New Roman" w:hAnsi="Times New Roman" w:eastAsiaTheme="minorEastAsia" w:cstheme="minorBidi"/>
                <w:b w:val="0"/>
                <w:color w:val="auto"/>
                <w:sz w:val="24"/>
                <w:szCs w:val="24"/>
                <w:highlight w:val="yellow"/>
                <w:lang w:eastAsia="en-US"/>
              </w:rPr>
              <w:t>DN250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3368" w:type="dxa"/>
          </w:tcPr>
          <w:p>
            <w:pPr>
              <w:pStyle w:val="391"/>
              <w:autoSpaceDE w:val="0"/>
              <w:autoSpaceDN w:val="0"/>
              <w:spacing w:before="114" w:line="212" w:lineRule="auto"/>
              <w:ind w:left="451"/>
              <w:rPr>
                <w:rFonts w:ascii="Times New Roman" w:hAnsi="Times New Roman" w:cs="Times New Roman" w:eastAsiaTheme="minorEastAsia"/>
                <w:b w:val="0"/>
                <w:color w:val="auto"/>
                <w:highlight w:val="yellow"/>
                <w:lang w:eastAsia="zh-CN"/>
              </w:rPr>
            </w:pPr>
            <w:r>
              <w:rPr>
                <w:rFonts w:ascii="Times New Roman" w:hAnsi="Times New Roman" w:cs="Times New Roman" w:eastAsiaTheme="minorEastAsia"/>
                <w:b w:val="0"/>
                <w:color w:val="auto"/>
                <w:highlight w:val="yellow"/>
                <w:lang w:eastAsia="zh-CN"/>
              </w:rPr>
              <w:t>钢套管规格(外径×壁厚)</w:t>
            </w:r>
          </w:p>
        </w:tc>
        <w:tc>
          <w:tcPr>
            <w:tcW w:w="1433" w:type="dxa"/>
          </w:tcPr>
          <w:p>
            <w:pPr>
              <w:pStyle w:val="391"/>
              <w:autoSpaceDE w:val="0"/>
              <w:autoSpaceDN w:val="0"/>
              <w:spacing w:before="160" w:line="200" w:lineRule="auto"/>
              <w:ind w:left="235"/>
              <w:rPr>
                <w:rFonts w:ascii="Times New Roman" w:hAnsi="Times New Roman" w:cs="Times New Roman" w:eastAsiaTheme="minorEastAsia"/>
                <w:b w:val="0"/>
                <w:color w:val="auto"/>
                <w:highlight w:val="yellow"/>
                <w:lang w:eastAsia="zh-CN"/>
              </w:rPr>
            </w:pPr>
            <w:r>
              <w:rPr>
                <w:rFonts w:ascii="Times New Roman" w:hAnsi="Times New Roman" w:cs="Times New Roman" w:eastAsiaTheme="minorEastAsia"/>
                <w:b w:val="0"/>
                <w:color w:val="auto"/>
                <w:highlight w:val="yellow"/>
                <w:lang w:eastAsia="zh-CN"/>
              </w:rPr>
              <w:t>D108×4.0</w:t>
            </w:r>
          </w:p>
        </w:tc>
        <w:tc>
          <w:tcPr>
            <w:tcW w:w="1384" w:type="dxa"/>
          </w:tcPr>
          <w:p>
            <w:pPr>
              <w:pStyle w:val="391"/>
              <w:autoSpaceDE w:val="0"/>
              <w:autoSpaceDN w:val="0"/>
              <w:spacing w:before="160" w:line="200" w:lineRule="auto"/>
              <w:ind w:left="211"/>
              <w:rPr>
                <w:rFonts w:ascii="Times New Roman" w:hAnsi="Times New Roman" w:cs="Times New Roman" w:eastAsiaTheme="minorEastAsia"/>
                <w:b w:val="0"/>
                <w:color w:val="auto"/>
                <w:highlight w:val="yellow"/>
                <w:lang w:eastAsia="zh-CN"/>
              </w:rPr>
            </w:pPr>
            <w:r>
              <w:rPr>
                <w:rFonts w:ascii="Times New Roman" w:hAnsi="Times New Roman" w:cs="Times New Roman" w:eastAsiaTheme="minorEastAsia"/>
                <w:b w:val="0"/>
                <w:color w:val="auto"/>
                <w:highlight w:val="yellow"/>
                <w:lang w:eastAsia="zh-CN"/>
              </w:rPr>
              <w:t>D159×4.5</w:t>
            </w:r>
          </w:p>
        </w:tc>
        <w:tc>
          <w:tcPr>
            <w:tcW w:w="1334" w:type="dxa"/>
          </w:tcPr>
          <w:p>
            <w:pPr>
              <w:pStyle w:val="391"/>
              <w:autoSpaceDE w:val="0"/>
              <w:autoSpaceDN w:val="0"/>
              <w:spacing w:before="160" w:line="200" w:lineRule="auto"/>
              <w:ind w:left="186"/>
              <w:rPr>
                <w:rFonts w:ascii="Times New Roman" w:hAnsi="Times New Roman" w:cs="Times New Roman" w:eastAsiaTheme="minorEastAsia"/>
                <w:b w:val="0"/>
                <w:color w:val="auto"/>
                <w:highlight w:val="yellow"/>
                <w:lang w:eastAsia="zh-CN"/>
              </w:rPr>
            </w:pPr>
            <w:r>
              <w:rPr>
                <w:rFonts w:ascii="Times New Roman" w:hAnsi="Times New Roman" w:cs="Times New Roman" w:eastAsiaTheme="minorEastAsia"/>
                <w:b w:val="0"/>
                <w:color w:val="auto"/>
                <w:highlight w:val="yellow"/>
                <w:lang w:eastAsia="zh-CN"/>
              </w:rPr>
              <w:t>D219×6.0</w:t>
            </w:r>
          </w:p>
        </w:tc>
        <w:tc>
          <w:tcPr>
            <w:tcW w:w="1416" w:type="dxa"/>
          </w:tcPr>
          <w:p>
            <w:pPr>
              <w:pStyle w:val="391"/>
              <w:autoSpaceDE w:val="0"/>
              <w:autoSpaceDN w:val="0"/>
              <w:spacing w:before="160" w:line="200" w:lineRule="auto"/>
              <w:ind w:left="229"/>
              <w:rPr>
                <w:rFonts w:ascii="Times New Roman" w:hAnsi="Times New Roman" w:cs="Times New Roman" w:eastAsiaTheme="minorEastAsia"/>
                <w:b w:val="0"/>
                <w:color w:val="auto"/>
                <w:highlight w:val="yellow"/>
                <w:lang w:eastAsia="zh-CN"/>
              </w:rPr>
            </w:pPr>
            <w:r>
              <w:rPr>
                <w:rFonts w:ascii="Times New Roman" w:hAnsi="Times New Roman" w:cs="Times New Roman" w:eastAsiaTheme="minorEastAsia"/>
                <w:b w:val="0"/>
                <w:color w:val="auto"/>
                <w:highlight w:val="yellow"/>
                <w:lang w:eastAsia="zh-CN"/>
              </w:rPr>
              <w:t>D273×8.0</w:t>
            </w:r>
          </w:p>
        </w:tc>
        <w:tc>
          <w:tcPr>
            <w:tcW w:w="1432" w:type="dxa"/>
          </w:tcPr>
          <w:p>
            <w:pPr>
              <w:pStyle w:val="391"/>
              <w:autoSpaceDE w:val="0"/>
              <w:autoSpaceDN w:val="0"/>
              <w:spacing w:before="160" w:line="200" w:lineRule="auto"/>
              <w:ind w:left="229"/>
              <w:rPr>
                <w:rFonts w:ascii="Times New Roman" w:hAnsi="Times New Roman" w:cs="Times New Roman" w:eastAsiaTheme="minorEastAsia"/>
                <w:b w:val="0"/>
                <w:color w:val="auto"/>
                <w:highlight w:val="yellow"/>
                <w:lang w:eastAsia="zh-CN"/>
              </w:rPr>
            </w:pPr>
            <w:r>
              <w:rPr>
                <w:rFonts w:ascii="Times New Roman" w:hAnsi="Times New Roman" w:cs="Times New Roman" w:eastAsiaTheme="minorEastAsia"/>
                <w:b w:val="0"/>
                <w:color w:val="auto"/>
                <w:highlight w:val="yellow"/>
                <w:lang w:eastAsia="zh-CN"/>
              </w:rPr>
              <w:t>D325×8.0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3368" w:type="dxa"/>
          </w:tcPr>
          <w:p>
            <w:pPr>
              <w:pStyle w:val="391"/>
              <w:autoSpaceDE w:val="0"/>
              <w:autoSpaceDN w:val="0"/>
              <w:spacing w:before="116" w:line="220" w:lineRule="auto"/>
              <w:ind w:left="784"/>
              <w:rPr>
                <w:rFonts w:ascii="Times New Roman" w:hAnsi="Times New Roman" w:cs="Times New Roman" w:eastAsiaTheme="minorEastAsia"/>
                <w:b w:val="0"/>
                <w:color w:val="auto"/>
                <w:highlight w:val="yellow"/>
                <w:lang w:eastAsia="zh-CN"/>
              </w:rPr>
            </w:pPr>
            <w:r>
              <w:rPr>
                <w:rFonts w:ascii="Times New Roman" w:hAnsi="Times New Roman" w:cs="Times New Roman" w:eastAsiaTheme="minorEastAsia"/>
                <w:b w:val="0"/>
                <w:color w:val="auto"/>
                <w:highlight w:val="yellow"/>
                <w:lang w:eastAsia="zh-CN"/>
              </w:rPr>
              <w:t>给水管径（mm）</w:t>
            </w:r>
          </w:p>
        </w:tc>
        <w:tc>
          <w:tcPr>
            <w:tcW w:w="1433" w:type="dxa"/>
          </w:tcPr>
          <w:p>
            <w:pPr>
              <w:autoSpaceDE w:val="0"/>
              <w:autoSpaceDN w:val="0"/>
              <w:spacing w:before="162" w:line="181" w:lineRule="auto"/>
              <w:ind w:left="399"/>
              <w:rPr>
                <w:rFonts w:ascii="Times New Roman" w:hAnsi="Times New Roman" w:eastAsiaTheme="minorEastAsia" w:cstheme="minorBidi"/>
                <w:b w:val="0"/>
                <w:color w:val="auto"/>
                <w:sz w:val="24"/>
                <w:szCs w:val="24"/>
                <w:highlight w:val="yellow"/>
                <w:lang w:eastAsia="en-US"/>
              </w:rPr>
            </w:pPr>
            <w:r>
              <w:rPr>
                <w:rFonts w:ascii="Times New Roman" w:hAnsi="Times New Roman" w:eastAsiaTheme="minorEastAsia" w:cstheme="minorBidi"/>
                <w:b w:val="0"/>
                <w:color w:val="auto"/>
                <w:sz w:val="24"/>
                <w:szCs w:val="24"/>
                <w:highlight w:val="yellow"/>
                <w:lang w:eastAsia="en-US"/>
              </w:rPr>
              <w:t>DN300</w:t>
            </w:r>
          </w:p>
        </w:tc>
        <w:tc>
          <w:tcPr>
            <w:tcW w:w="1384" w:type="dxa"/>
          </w:tcPr>
          <w:p>
            <w:pPr>
              <w:autoSpaceDE w:val="0"/>
              <w:autoSpaceDN w:val="0"/>
              <w:spacing w:before="162" w:line="181" w:lineRule="auto"/>
              <w:ind w:left="376"/>
              <w:rPr>
                <w:rFonts w:ascii="Times New Roman" w:hAnsi="Times New Roman" w:eastAsiaTheme="minorEastAsia" w:cstheme="minorBidi"/>
                <w:b w:val="0"/>
                <w:color w:val="auto"/>
                <w:sz w:val="24"/>
                <w:szCs w:val="24"/>
                <w:highlight w:val="yellow"/>
                <w:lang w:eastAsia="en-US"/>
              </w:rPr>
            </w:pPr>
            <w:r>
              <w:rPr>
                <w:rFonts w:ascii="Times New Roman" w:hAnsi="Times New Roman" w:eastAsiaTheme="minorEastAsia" w:cstheme="minorBidi"/>
                <w:b w:val="0"/>
                <w:color w:val="auto"/>
                <w:sz w:val="24"/>
                <w:szCs w:val="24"/>
                <w:highlight w:val="yellow"/>
                <w:lang w:eastAsia="en-US"/>
              </w:rPr>
              <w:t>DN400</w:t>
            </w:r>
          </w:p>
        </w:tc>
        <w:tc>
          <w:tcPr>
            <w:tcW w:w="1334" w:type="dxa"/>
          </w:tcPr>
          <w:p>
            <w:pPr>
              <w:autoSpaceDE w:val="0"/>
              <w:autoSpaceDN w:val="0"/>
              <w:spacing w:before="162" w:line="181" w:lineRule="auto"/>
              <w:ind w:left="352"/>
              <w:rPr>
                <w:rFonts w:ascii="Times New Roman" w:hAnsi="Times New Roman" w:eastAsiaTheme="minorEastAsia" w:cstheme="minorBidi"/>
                <w:b w:val="0"/>
                <w:color w:val="auto"/>
                <w:sz w:val="24"/>
                <w:szCs w:val="24"/>
                <w:highlight w:val="yellow"/>
                <w:lang w:eastAsia="en-US"/>
              </w:rPr>
            </w:pPr>
            <w:r>
              <w:rPr>
                <w:rFonts w:ascii="Times New Roman" w:hAnsi="Times New Roman" w:eastAsiaTheme="minorEastAsia" w:cstheme="minorBidi"/>
                <w:b w:val="0"/>
                <w:color w:val="auto"/>
                <w:sz w:val="24"/>
                <w:szCs w:val="24"/>
                <w:highlight w:val="yellow"/>
                <w:lang w:eastAsia="en-US"/>
              </w:rPr>
              <w:t>DN500</w:t>
            </w:r>
          </w:p>
        </w:tc>
        <w:tc>
          <w:tcPr>
            <w:tcW w:w="1416" w:type="dxa"/>
          </w:tcPr>
          <w:p>
            <w:pPr>
              <w:autoSpaceDE w:val="0"/>
              <w:autoSpaceDN w:val="0"/>
              <w:spacing w:before="162" w:line="181" w:lineRule="auto"/>
              <w:ind w:left="392"/>
              <w:rPr>
                <w:rFonts w:ascii="Times New Roman" w:hAnsi="Times New Roman" w:eastAsiaTheme="minorEastAsia" w:cstheme="minorBidi"/>
                <w:b w:val="0"/>
                <w:color w:val="auto"/>
                <w:sz w:val="24"/>
                <w:szCs w:val="24"/>
                <w:highlight w:val="yellow"/>
                <w:lang w:eastAsia="en-US"/>
              </w:rPr>
            </w:pPr>
            <w:r>
              <w:rPr>
                <w:rFonts w:ascii="Times New Roman" w:hAnsi="Times New Roman" w:eastAsiaTheme="minorEastAsia" w:cstheme="minorBidi"/>
                <w:b w:val="0"/>
                <w:color w:val="auto"/>
                <w:sz w:val="24"/>
                <w:szCs w:val="24"/>
                <w:highlight w:val="yellow"/>
                <w:lang w:eastAsia="en-US"/>
              </w:rPr>
              <w:t>DN600</w:t>
            </w:r>
          </w:p>
        </w:tc>
        <w:tc>
          <w:tcPr>
            <w:tcW w:w="1432" w:type="dxa"/>
          </w:tcPr>
          <w:p>
            <w:pPr>
              <w:autoSpaceDE w:val="0"/>
              <w:autoSpaceDN w:val="0"/>
              <w:spacing w:before="162" w:line="181" w:lineRule="auto"/>
              <w:ind w:left="396"/>
              <w:rPr>
                <w:rFonts w:ascii="Times New Roman" w:hAnsi="Times New Roman" w:eastAsiaTheme="minorEastAsia" w:cstheme="minorBidi"/>
                <w:b w:val="0"/>
                <w:color w:val="auto"/>
                <w:sz w:val="24"/>
                <w:szCs w:val="24"/>
                <w:highlight w:val="yellow"/>
                <w:lang w:eastAsia="en-US"/>
              </w:rPr>
            </w:pPr>
            <w:r>
              <w:rPr>
                <w:rFonts w:ascii="Times New Roman" w:hAnsi="Times New Roman" w:eastAsiaTheme="minorEastAsia" w:cstheme="minorBidi"/>
                <w:b w:val="0"/>
                <w:color w:val="auto"/>
                <w:sz w:val="24"/>
                <w:szCs w:val="24"/>
                <w:highlight w:val="yellow"/>
                <w:lang w:eastAsia="en-US"/>
              </w:rPr>
              <w:t>DN700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5" w:hRule="atLeast"/>
        </w:trPr>
        <w:tc>
          <w:tcPr>
            <w:tcW w:w="3368" w:type="dxa"/>
          </w:tcPr>
          <w:p>
            <w:pPr>
              <w:pStyle w:val="391"/>
              <w:autoSpaceDE w:val="0"/>
              <w:autoSpaceDN w:val="0"/>
              <w:spacing w:before="118" w:line="212" w:lineRule="auto"/>
              <w:ind w:left="451"/>
              <w:rPr>
                <w:rFonts w:ascii="Times New Roman" w:hAnsi="Times New Roman" w:cs="Times New Roman" w:eastAsiaTheme="minorEastAsia"/>
                <w:b w:val="0"/>
                <w:color w:val="auto"/>
                <w:highlight w:val="yellow"/>
                <w:lang w:eastAsia="zh-CN"/>
              </w:rPr>
            </w:pPr>
            <w:r>
              <w:rPr>
                <w:rFonts w:ascii="Times New Roman" w:hAnsi="Times New Roman" w:cs="Times New Roman" w:eastAsiaTheme="minorEastAsia"/>
                <w:b w:val="0"/>
                <w:color w:val="auto"/>
                <w:highlight w:val="yellow"/>
                <w:lang w:eastAsia="zh-CN"/>
              </w:rPr>
              <w:t>钢套管规格(外径×壁厚)</w:t>
            </w:r>
          </w:p>
        </w:tc>
        <w:tc>
          <w:tcPr>
            <w:tcW w:w="1433" w:type="dxa"/>
          </w:tcPr>
          <w:p>
            <w:pPr>
              <w:pStyle w:val="391"/>
              <w:autoSpaceDE w:val="0"/>
              <w:autoSpaceDN w:val="0"/>
              <w:spacing w:before="164" w:line="200" w:lineRule="auto"/>
              <w:ind w:left="235"/>
              <w:rPr>
                <w:rFonts w:ascii="Times New Roman" w:hAnsi="Times New Roman" w:cs="Times New Roman" w:eastAsiaTheme="minorEastAsia"/>
                <w:b w:val="0"/>
                <w:color w:val="auto"/>
                <w:highlight w:val="yellow"/>
                <w:lang w:eastAsia="zh-CN"/>
              </w:rPr>
            </w:pPr>
            <w:r>
              <w:rPr>
                <w:rFonts w:ascii="Times New Roman" w:hAnsi="Times New Roman" w:cs="Times New Roman" w:eastAsiaTheme="minorEastAsia"/>
                <w:b w:val="0"/>
                <w:color w:val="auto"/>
                <w:highlight w:val="yellow"/>
                <w:lang w:eastAsia="zh-CN"/>
              </w:rPr>
              <w:t>D426×9.0</w:t>
            </w:r>
          </w:p>
        </w:tc>
        <w:tc>
          <w:tcPr>
            <w:tcW w:w="1384" w:type="dxa"/>
          </w:tcPr>
          <w:p>
            <w:pPr>
              <w:pStyle w:val="391"/>
              <w:autoSpaceDE w:val="0"/>
              <w:autoSpaceDN w:val="0"/>
              <w:spacing w:before="164" w:line="200" w:lineRule="auto"/>
              <w:ind w:left="211"/>
              <w:rPr>
                <w:rFonts w:ascii="Times New Roman" w:hAnsi="Times New Roman" w:cs="Times New Roman" w:eastAsiaTheme="minorEastAsia"/>
                <w:b w:val="0"/>
                <w:color w:val="auto"/>
                <w:highlight w:val="yellow"/>
                <w:lang w:eastAsia="zh-CN"/>
              </w:rPr>
            </w:pPr>
            <w:r>
              <w:rPr>
                <w:rFonts w:ascii="Times New Roman" w:hAnsi="Times New Roman" w:cs="Times New Roman" w:eastAsiaTheme="minorEastAsia"/>
                <w:b w:val="0"/>
                <w:color w:val="auto"/>
                <w:highlight w:val="yellow"/>
                <w:lang w:eastAsia="zh-CN"/>
              </w:rPr>
              <w:t>D530×9.0</w:t>
            </w:r>
          </w:p>
        </w:tc>
        <w:tc>
          <w:tcPr>
            <w:tcW w:w="1334" w:type="dxa"/>
          </w:tcPr>
          <w:p>
            <w:pPr>
              <w:pStyle w:val="391"/>
              <w:autoSpaceDE w:val="0"/>
              <w:autoSpaceDN w:val="0"/>
              <w:spacing w:before="164" w:line="200" w:lineRule="auto"/>
              <w:ind w:left="186"/>
              <w:rPr>
                <w:rFonts w:ascii="Times New Roman" w:hAnsi="Times New Roman" w:cs="Times New Roman" w:eastAsiaTheme="minorEastAsia"/>
                <w:b w:val="0"/>
                <w:color w:val="auto"/>
                <w:highlight w:val="yellow"/>
                <w:lang w:eastAsia="zh-CN"/>
              </w:rPr>
            </w:pPr>
            <w:r>
              <w:rPr>
                <w:rFonts w:ascii="Times New Roman" w:hAnsi="Times New Roman" w:cs="Times New Roman" w:eastAsiaTheme="minorEastAsia"/>
                <w:b w:val="0"/>
                <w:color w:val="auto"/>
                <w:highlight w:val="yellow"/>
                <w:lang w:eastAsia="zh-CN"/>
              </w:rPr>
              <w:t>D630×9.0</w:t>
            </w:r>
          </w:p>
        </w:tc>
        <w:tc>
          <w:tcPr>
            <w:tcW w:w="1416" w:type="dxa"/>
          </w:tcPr>
          <w:p>
            <w:pPr>
              <w:pStyle w:val="391"/>
              <w:autoSpaceDE w:val="0"/>
              <w:autoSpaceDN w:val="0"/>
              <w:spacing w:before="164" w:line="200" w:lineRule="auto"/>
              <w:ind w:left="229"/>
              <w:rPr>
                <w:rFonts w:ascii="Times New Roman" w:hAnsi="Times New Roman" w:cs="Times New Roman" w:eastAsiaTheme="minorEastAsia"/>
                <w:b w:val="0"/>
                <w:color w:val="auto"/>
                <w:highlight w:val="yellow"/>
                <w:lang w:eastAsia="zh-CN"/>
              </w:rPr>
            </w:pPr>
            <w:r>
              <w:rPr>
                <w:rFonts w:ascii="Times New Roman" w:hAnsi="Times New Roman" w:cs="Times New Roman" w:eastAsiaTheme="minorEastAsia"/>
                <w:b w:val="0"/>
                <w:color w:val="auto"/>
                <w:highlight w:val="yellow"/>
                <w:lang w:eastAsia="zh-CN"/>
              </w:rPr>
              <w:t>D720×9.0</w:t>
            </w:r>
          </w:p>
        </w:tc>
        <w:tc>
          <w:tcPr>
            <w:tcW w:w="1432" w:type="dxa"/>
          </w:tcPr>
          <w:p>
            <w:pPr>
              <w:pStyle w:val="391"/>
              <w:autoSpaceDE w:val="0"/>
              <w:autoSpaceDN w:val="0"/>
              <w:spacing w:before="164" w:line="200" w:lineRule="auto"/>
              <w:ind w:left="230"/>
              <w:rPr>
                <w:rFonts w:ascii="Times New Roman" w:hAnsi="Times New Roman" w:cs="Times New Roman" w:eastAsiaTheme="minorEastAsia"/>
                <w:b w:val="0"/>
                <w:color w:val="auto"/>
                <w:highlight w:val="yellow"/>
                <w:lang w:eastAsia="zh-CN"/>
              </w:rPr>
            </w:pPr>
            <w:r>
              <w:rPr>
                <w:rFonts w:ascii="Times New Roman" w:hAnsi="Times New Roman" w:cs="Times New Roman" w:eastAsiaTheme="minorEastAsia"/>
                <w:b w:val="0"/>
                <w:color w:val="auto"/>
                <w:highlight w:val="yellow"/>
                <w:lang w:eastAsia="zh-CN"/>
              </w:rPr>
              <w:t>D820×9.0</w:t>
            </w:r>
          </w:p>
        </w:tc>
      </w:tr>
    </w:tbl>
    <w:p>
      <w:pPr>
        <w:numPr>
          <w:ilvl w:val="0"/>
          <w:numId w:val="35"/>
        </w:numPr>
        <w:spacing w:before="31" w:after="31"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给水管与其他管线及建（构）筑物之间的最小水平净距和最小垂直净距应符合《城市工程管线综合规划规范》（GB50289-2016）的要求；</w:t>
      </w:r>
    </w:p>
    <w:p>
      <w:pPr>
        <w:numPr>
          <w:ilvl w:val="0"/>
          <w:numId w:val="35"/>
        </w:numPr>
        <w:spacing w:before="31" w:after="31"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非生活饮用水管网严禁与本给水管线连接，自备水源供水系统严禁与本给水管线连接；</w:t>
      </w:r>
    </w:p>
    <w:p>
      <w:pPr>
        <w:numPr>
          <w:ilvl w:val="0"/>
          <w:numId w:val="35"/>
        </w:numPr>
        <w:spacing w:before="31" w:after="31"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给水管道与污水管道或输送有毒液体管道交叉时，给水管道应敷设在上面，且不应有接口重叠；当给水管道敷设在下面时，应采用钢套管保护，钢套管伸出交叉管的长度，每端不得小于3m，钢套管的两端应采用防水材料封闭。</w:t>
      </w:r>
    </w:p>
    <w:p>
      <w:pPr>
        <w:numPr>
          <w:ilvl w:val="0"/>
          <w:numId w:val="35"/>
        </w:numPr>
        <w:spacing w:before="31" w:after="31"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铺设管道前要排除槽内积水，避免泡水施工；</w:t>
      </w:r>
    </w:p>
    <w:p>
      <w:pPr>
        <w:numPr>
          <w:ilvl w:val="0"/>
          <w:numId w:val="35"/>
        </w:numPr>
        <w:spacing w:before="31" w:after="31"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承插式管道排管应从下游排向上游，管节承口应对向上游，插口对向下游；</w:t>
      </w:r>
    </w:p>
    <w:p>
      <w:pPr>
        <w:numPr>
          <w:ilvl w:val="0"/>
          <w:numId w:val="35"/>
        </w:numPr>
        <w:spacing w:before="31" w:after="31"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管道与阀门井的连接、连接井壁部分用水泥砂浆填实，外壁做防水层以防渗漏；</w:t>
      </w:r>
    </w:p>
    <w:p>
      <w:pPr>
        <w:numPr>
          <w:ilvl w:val="0"/>
          <w:numId w:val="35"/>
        </w:numPr>
        <w:spacing w:before="31" w:after="31"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管道转弯</w:t>
      </w:r>
    </w:p>
    <w:p>
      <w:pPr>
        <w:spacing w:before="31" w:after="31"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球墨铸铁管道水平转弯采用标准弯头（45,30,22.5,11.25）和管道承口借转相结合，每根管道借转角度按下表允许转角实施：</w:t>
      </w:r>
    </w:p>
    <w:tbl>
      <w:tblPr>
        <w:tblStyle w:val="379"/>
        <w:tblW w:w="10370" w:type="dxa"/>
        <w:tblInd w:w="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271"/>
        <w:gridCol w:w="2100"/>
        <w:gridCol w:w="2028"/>
        <w:gridCol w:w="1971"/>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trPr>
        <w:tc>
          <w:tcPr>
            <w:tcW w:w="4271" w:type="dxa"/>
          </w:tcPr>
          <w:p>
            <w:pPr>
              <w:pStyle w:val="391"/>
              <w:autoSpaceDE w:val="0"/>
              <w:autoSpaceDN w:val="0"/>
              <w:spacing w:before="137" w:line="220" w:lineRule="auto"/>
              <w:ind w:left="784"/>
              <w:rPr>
                <w:rFonts w:ascii="Times New Roman" w:hAnsi="Times New Roman" w:cs="Times New Roman" w:eastAsiaTheme="minorEastAsia"/>
                <w:b w:val="0"/>
                <w:color w:val="auto"/>
                <w:highlight w:val="yellow"/>
                <w:lang w:eastAsia="zh-CN"/>
              </w:rPr>
            </w:pPr>
            <w:r>
              <w:rPr>
                <w:rFonts w:ascii="Times New Roman" w:hAnsi="Times New Roman" w:cs="Times New Roman" w:eastAsiaTheme="minorEastAsia"/>
                <w:b w:val="0"/>
                <w:color w:val="auto"/>
                <w:highlight w:val="yellow"/>
                <w:lang w:eastAsia="zh-CN"/>
              </w:rPr>
              <w:t>管径D(mm)</w:t>
            </w:r>
          </w:p>
        </w:tc>
        <w:tc>
          <w:tcPr>
            <w:tcW w:w="2100" w:type="dxa"/>
          </w:tcPr>
          <w:p>
            <w:pPr>
              <w:pStyle w:val="391"/>
              <w:autoSpaceDE w:val="0"/>
              <w:autoSpaceDN w:val="0"/>
              <w:spacing w:before="137" w:line="183" w:lineRule="auto"/>
              <w:ind w:left="784"/>
              <w:rPr>
                <w:rFonts w:ascii="Times New Roman" w:hAnsi="Times New Roman" w:cs="Times New Roman" w:eastAsiaTheme="minorEastAsia"/>
                <w:b w:val="0"/>
                <w:color w:val="auto"/>
                <w:highlight w:val="yellow"/>
                <w:lang w:eastAsia="zh-CN"/>
              </w:rPr>
            </w:pPr>
            <w:r>
              <w:rPr>
                <w:rFonts w:ascii="Times New Roman" w:hAnsi="Times New Roman" w:cs="Times New Roman" w:eastAsiaTheme="minorEastAsia"/>
                <w:b w:val="0"/>
                <w:color w:val="auto"/>
                <w:highlight w:val="yellow"/>
                <w:lang w:eastAsia="zh-CN"/>
              </w:rPr>
              <w:t>75～600</w:t>
            </w:r>
          </w:p>
        </w:tc>
        <w:tc>
          <w:tcPr>
            <w:tcW w:w="2028" w:type="dxa"/>
          </w:tcPr>
          <w:p>
            <w:pPr>
              <w:pStyle w:val="391"/>
              <w:autoSpaceDE w:val="0"/>
              <w:autoSpaceDN w:val="0"/>
              <w:spacing w:before="137" w:line="183" w:lineRule="auto"/>
              <w:ind w:left="784"/>
              <w:rPr>
                <w:rFonts w:ascii="Times New Roman" w:hAnsi="Times New Roman" w:cs="Times New Roman" w:eastAsiaTheme="minorEastAsia"/>
                <w:b w:val="0"/>
                <w:color w:val="auto"/>
                <w:highlight w:val="yellow"/>
                <w:lang w:eastAsia="zh-CN"/>
              </w:rPr>
            </w:pPr>
            <w:r>
              <w:rPr>
                <w:rFonts w:ascii="Times New Roman" w:hAnsi="Times New Roman" w:cs="Times New Roman" w:eastAsiaTheme="minorEastAsia"/>
                <w:b w:val="0"/>
                <w:color w:val="auto"/>
                <w:highlight w:val="yellow"/>
                <w:lang w:eastAsia="zh-CN"/>
              </w:rPr>
              <w:t>700～800</w:t>
            </w:r>
          </w:p>
        </w:tc>
        <w:tc>
          <w:tcPr>
            <w:tcW w:w="1971" w:type="dxa"/>
          </w:tcPr>
          <w:p>
            <w:pPr>
              <w:pStyle w:val="391"/>
              <w:autoSpaceDE w:val="0"/>
              <w:autoSpaceDN w:val="0"/>
              <w:spacing w:before="137" w:line="238" w:lineRule="auto"/>
              <w:ind w:left="784"/>
              <w:rPr>
                <w:rFonts w:ascii="Times New Roman" w:hAnsi="Times New Roman" w:cs="Times New Roman" w:eastAsiaTheme="minorEastAsia"/>
                <w:b w:val="0"/>
                <w:color w:val="auto"/>
                <w:highlight w:val="yellow"/>
                <w:lang w:eastAsia="zh-CN"/>
              </w:rPr>
            </w:pPr>
            <w:r>
              <w:rPr>
                <w:rFonts w:ascii="Times New Roman" w:hAnsi="Times New Roman" w:cs="Times New Roman" w:eastAsiaTheme="minorEastAsia"/>
                <w:b w:val="0"/>
                <w:color w:val="auto"/>
                <w:highlight w:val="yellow"/>
                <w:lang w:eastAsia="zh-CN"/>
              </w:rPr>
              <w:t>≥900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6" w:hRule="atLeast"/>
        </w:trPr>
        <w:tc>
          <w:tcPr>
            <w:tcW w:w="4271" w:type="dxa"/>
          </w:tcPr>
          <w:p>
            <w:pPr>
              <w:pStyle w:val="391"/>
              <w:autoSpaceDE w:val="0"/>
              <w:autoSpaceDN w:val="0"/>
              <w:spacing w:before="137" w:line="220" w:lineRule="auto"/>
              <w:ind w:left="784"/>
              <w:rPr>
                <w:rFonts w:ascii="Times New Roman" w:hAnsi="Times New Roman" w:cs="Times New Roman" w:eastAsiaTheme="minorEastAsia"/>
                <w:b w:val="0"/>
                <w:color w:val="auto"/>
                <w:highlight w:val="yellow"/>
                <w:lang w:eastAsia="zh-CN"/>
              </w:rPr>
            </w:pPr>
            <w:r>
              <w:rPr>
                <w:rFonts w:ascii="Times New Roman" w:hAnsi="Times New Roman" w:cs="Times New Roman" w:eastAsiaTheme="minorEastAsia"/>
                <w:b w:val="0"/>
                <w:color w:val="auto"/>
                <w:highlight w:val="yellow"/>
                <w:lang w:eastAsia="zh-CN"/>
              </w:rPr>
              <w:t>允许转角（度）</w:t>
            </w:r>
          </w:p>
        </w:tc>
        <w:tc>
          <w:tcPr>
            <w:tcW w:w="2100" w:type="dxa"/>
          </w:tcPr>
          <w:p>
            <w:pPr>
              <w:pStyle w:val="391"/>
              <w:autoSpaceDE w:val="0"/>
              <w:autoSpaceDN w:val="0"/>
              <w:spacing w:before="137" w:line="220" w:lineRule="auto"/>
              <w:ind w:left="784"/>
              <w:rPr>
                <w:rFonts w:ascii="Times New Roman" w:hAnsi="Times New Roman" w:cs="Times New Roman" w:eastAsiaTheme="minorEastAsia"/>
                <w:b w:val="0"/>
                <w:color w:val="auto"/>
                <w:highlight w:val="yellow"/>
                <w:lang w:eastAsia="zh-CN"/>
              </w:rPr>
            </w:pPr>
            <w:r>
              <w:rPr>
                <w:rFonts w:ascii="Times New Roman" w:hAnsi="Times New Roman" w:cs="Times New Roman" w:eastAsiaTheme="minorEastAsia"/>
                <w:b w:val="0"/>
                <w:color w:val="auto"/>
                <w:highlight w:val="yellow"/>
                <w:lang w:eastAsia="zh-CN"/>
              </w:rPr>
              <w:t>3</w:t>
            </w:r>
          </w:p>
        </w:tc>
        <w:tc>
          <w:tcPr>
            <w:tcW w:w="2028" w:type="dxa"/>
          </w:tcPr>
          <w:p>
            <w:pPr>
              <w:pStyle w:val="391"/>
              <w:autoSpaceDE w:val="0"/>
              <w:autoSpaceDN w:val="0"/>
              <w:spacing w:before="137" w:line="220" w:lineRule="auto"/>
              <w:ind w:left="784"/>
              <w:rPr>
                <w:rFonts w:ascii="Times New Roman" w:hAnsi="Times New Roman" w:cs="Times New Roman" w:eastAsiaTheme="minorEastAsia"/>
                <w:b w:val="0"/>
                <w:color w:val="auto"/>
                <w:highlight w:val="yellow"/>
                <w:lang w:eastAsia="zh-CN"/>
              </w:rPr>
            </w:pPr>
            <w:r>
              <w:rPr>
                <w:rFonts w:ascii="Times New Roman" w:hAnsi="Times New Roman" w:cs="Times New Roman" w:eastAsiaTheme="minorEastAsia"/>
                <w:b w:val="0"/>
                <w:color w:val="auto"/>
                <w:highlight w:val="yellow"/>
                <w:lang w:eastAsia="zh-CN"/>
              </w:rPr>
              <w:t>2</w:t>
            </w:r>
          </w:p>
        </w:tc>
        <w:tc>
          <w:tcPr>
            <w:tcW w:w="1971" w:type="dxa"/>
          </w:tcPr>
          <w:p>
            <w:pPr>
              <w:pStyle w:val="391"/>
              <w:autoSpaceDE w:val="0"/>
              <w:autoSpaceDN w:val="0"/>
              <w:spacing w:before="137" w:line="220" w:lineRule="auto"/>
              <w:ind w:left="784"/>
              <w:rPr>
                <w:rFonts w:ascii="Times New Roman" w:hAnsi="Times New Roman" w:cs="Times New Roman" w:eastAsiaTheme="minorEastAsia"/>
                <w:b w:val="0"/>
                <w:color w:val="auto"/>
                <w:highlight w:val="yellow"/>
                <w:lang w:eastAsia="zh-CN"/>
              </w:rPr>
            </w:pPr>
            <w:r>
              <w:rPr>
                <w:rFonts w:ascii="Times New Roman" w:hAnsi="Times New Roman" w:cs="Times New Roman" w:eastAsiaTheme="minorEastAsia"/>
                <w:b w:val="0"/>
                <w:color w:val="auto"/>
                <w:highlight w:val="yellow"/>
                <w:lang w:eastAsia="zh-CN"/>
              </w:rPr>
              <w:t>1</w:t>
            </w:r>
          </w:p>
        </w:tc>
      </w:tr>
    </w:tbl>
    <w:p>
      <w:pPr>
        <w:numPr>
          <w:ilvl w:val="0"/>
          <w:numId w:val="35"/>
        </w:numPr>
        <w:spacing w:before="31" w:after="31"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管道支墩</w:t>
      </w:r>
    </w:p>
    <w:p>
      <w:pPr>
        <w:spacing w:before="31" w:after="31"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1）球墨铸铁管道在水平及竖向转弯处，改变管径处，三通四堵端头和阀门处设管道支墩。管道支墩做法参见国标图集《柔性接口给水管道支墩》（10SS505）。</w:t>
      </w:r>
    </w:p>
    <w:p>
      <w:pPr>
        <w:spacing w:before="31" w:after="31"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2）水平支墩后必须是原状土，并保证支墩和土体紧密接触，否则以C15素混凝土填实；垂直向下弯管支墩必须在管道压力试验前回填并分层夯实，而且回填土应满足覆土深度要求。</w:t>
      </w:r>
    </w:p>
    <w:p>
      <w:pPr>
        <w:spacing w:before="31" w:after="31"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3）施工试压期间必须保证支墩范围内无地下水，工作期间遇有地下水时，支墩底部应铺设100mm</w:t>
      </w:r>
    </w:p>
    <w:p>
      <w:pPr>
        <w:spacing w:before="31" w:after="31"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厚碎石层，工作期间对地下水标高没有特殊规定。</w:t>
      </w:r>
    </w:p>
    <w:p>
      <w:pPr>
        <w:numPr>
          <w:ilvl w:val="0"/>
          <w:numId w:val="35"/>
        </w:numPr>
        <w:spacing w:before="31" w:after="31"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管道压力及水压试验</w:t>
      </w:r>
    </w:p>
    <w:p>
      <w:pPr>
        <w:spacing w:before="31" w:after="31"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1）本工程管道设计工作压力为0.5MPa；</w:t>
      </w:r>
    </w:p>
    <w:p>
      <w:pPr>
        <w:spacing w:before="31" w:after="31"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2）管道试验压力为1.0MPa，并应分段试压，分段长度不大于1公里；</w:t>
      </w:r>
    </w:p>
    <w:p>
      <w:pPr>
        <w:spacing w:before="31" w:after="31"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3）管道试压时，应在转弯处增加临时支撑措施，避免弯头脱节。管道进行水压试验时，管道全部回填土前需进行压力管道的强度及严密性试验，试压时需严格按照《给水排水管道工程施工及验收规范》（GB50268-2008）要求实施。</w:t>
      </w:r>
    </w:p>
    <w:p>
      <w:pPr>
        <w:numPr>
          <w:ilvl w:val="0"/>
          <w:numId w:val="35"/>
        </w:numPr>
        <w:spacing w:before="31" w:after="31" w:line="36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管道的冲洗消毒</w:t>
      </w:r>
    </w:p>
    <w:p>
      <w:pPr>
        <w:pStyle w:val="386"/>
        <w:spacing w:beforeLines="0"/>
        <w:ind w:firstLine="480"/>
        <w:rPr>
          <w:rFonts w:ascii="Times New Roman" w:hAnsi="Times New Roman" w:eastAsia="宋体" w:cs="Times New Roman"/>
          <w:b w:val="0"/>
          <w:color w:val="auto"/>
          <w:sz w:val="24"/>
          <w:szCs w:val="24"/>
        </w:rPr>
      </w:pPr>
      <w:r>
        <w:rPr>
          <w:rFonts w:ascii="Times New Roman" w:hAnsi="Times New Roman" w:eastAsia="宋体" w:cs="Times New Roman"/>
          <w:b w:val="0"/>
          <w:color w:val="auto"/>
          <w:kern w:val="2"/>
          <w:sz w:val="24"/>
          <w:szCs w:val="24"/>
          <w:highlight w:val="yellow"/>
        </w:rPr>
        <w:t>管道在水压试验合格后，竣工前应冲洗消毒，管道消毒要求按《给水排水管道工程验收规范》（GB50268-2008）有关规定执行</w:t>
      </w:r>
      <w:r>
        <w:rPr>
          <w:rFonts w:hint="eastAsia" w:ascii="Times New Roman" w:hAnsi="Times New Roman" w:eastAsia="宋体" w:cs="Times New Roman"/>
          <w:b w:val="0"/>
          <w:color w:val="auto"/>
          <w:kern w:val="2"/>
          <w:sz w:val="24"/>
          <w:szCs w:val="24"/>
          <w:highlight w:val="yellow"/>
        </w:rPr>
        <w:t>。</w:t>
      </w:r>
    </w:p>
    <w:p>
      <w:pPr>
        <w:pStyle w:val="3"/>
        <w:ind w:firstLine="562" w:firstLineChars="200"/>
      </w:pPr>
      <w:bookmarkStart w:id="269" w:name="_Toc2648"/>
      <w:r>
        <w:t>照明工程</w:t>
      </w:r>
      <w:bookmarkEnd w:id="269"/>
    </w:p>
    <w:p>
      <w:pPr>
        <w:pStyle w:val="4"/>
        <w:ind w:firstLine="482" w:firstLineChars="200"/>
      </w:pPr>
      <w:bookmarkStart w:id="270" w:name="_Toc7041"/>
      <w:r>
        <w:t>设计依据</w:t>
      </w:r>
      <w:bookmarkEnd w:id="270"/>
    </w:p>
    <w:p>
      <w:pPr>
        <w:pStyle w:val="70"/>
        <w:tabs>
          <w:tab w:val="left" w:pos="709"/>
        </w:tabs>
        <w:spacing w:line="276" w:lineRule="auto"/>
        <w:ind w:firstLine="480" w:firstLineChars="200"/>
        <w:rPr>
          <w:rFonts w:ascii="Times New Roman"/>
        </w:rPr>
      </w:pPr>
      <w:r>
        <w:rPr>
          <w:rFonts w:ascii="Times New Roman"/>
        </w:rPr>
        <w:t>（01）《城市道路照明设计标准》（CJJ 45-2015）</w:t>
      </w:r>
    </w:p>
    <w:p>
      <w:pPr>
        <w:pStyle w:val="70"/>
        <w:tabs>
          <w:tab w:val="left" w:pos="709"/>
        </w:tabs>
        <w:spacing w:line="276" w:lineRule="auto"/>
        <w:ind w:firstLine="480" w:firstLineChars="200"/>
        <w:rPr>
          <w:rFonts w:ascii="Times New Roman"/>
        </w:rPr>
      </w:pPr>
      <w:r>
        <w:rPr>
          <w:rFonts w:ascii="Times New Roman"/>
        </w:rPr>
        <w:t>（02）《城市道路照明工程施工及验收规程》（CJJ 89-2012）</w:t>
      </w:r>
    </w:p>
    <w:p>
      <w:pPr>
        <w:pStyle w:val="70"/>
        <w:tabs>
          <w:tab w:val="left" w:pos="709"/>
        </w:tabs>
        <w:spacing w:line="276" w:lineRule="auto"/>
        <w:ind w:firstLine="480" w:firstLineChars="200"/>
        <w:rPr>
          <w:rFonts w:ascii="Times New Roman"/>
        </w:rPr>
      </w:pPr>
      <w:r>
        <w:rPr>
          <w:rFonts w:ascii="Times New Roman"/>
        </w:rPr>
        <w:t>（03）《道路照明灯杆技术条件》（CJ/T 527-2018）</w:t>
      </w:r>
    </w:p>
    <w:p>
      <w:pPr>
        <w:pStyle w:val="70"/>
        <w:tabs>
          <w:tab w:val="left" w:pos="709"/>
        </w:tabs>
        <w:spacing w:line="276" w:lineRule="auto"/>
        <w:ind w:firstLine="480" w:firstLineChars="200"/>
        <w:rPr>
          <w:rFonts w:ascii="Times New Roman"/>
        </w:rPr>
      </w:pPr>
      <w:r>
        <w:rPr>
          <w:rFonts w:ascii="Times New Roman"/>
        </w:rPr>
        <w:t>（04）《LED城市道路照明应用技术要求》（GB/T 31832-2015）</w:t>
      </w:r>
    </w:p>
    <w:p>
      <w:pPr>
        <w:pStyle w:val="70"/>
        <w:tabs>
          <w:tab w:val="left" w:pos="709"/>
        </w:tabs>
        <w:spacing w:line="276" w:lineRule="auto"/>
        <w:ind w:firstLine="480" w:firstLineChars="200"/>
        <w:rPr>
          <w:rFonts w:ascii="Times New Roman"/>
        </w:rPr>
      </w:pPr>
      <w:r>
        <w:rPr>
          <w:rFonts w:ascii="Times New Roman"/>
        </w:rPr>
        <w:t>（05）《道路和隧道照明用LED灯具能效限定值及能效等级》（GB 37478-2019）</w:t>
      </w:r>
    </w:p>
    <w:p>
      <w:pPr>
        <w:pStyle w:val="70"/>
        <w:tabs>
          <w:tab w:val="left" w:pos="709"/>
        </w:tabs>
        <w:spacing w:line="276" w:lineRule="auto"/>
        <w:ind w:firstLine="480" w:firstLineChars="200"/>
        <w:rPr>
          <w:rFonts w:ascii="Times New Roman"/>
        </w:rPr>
      </w:pPr>
      <w:r>
        <w:rPr>
          <w:rFonts w:ascii="Times New Roman"/>
        </w:rPr>
        <w:t>（06）《城市道路交通工程项目规范》（GB 55011-2021）</w:t>
      </w:r>
    </w:p>
    <w:p>
      <w:pPr>
        <w:pStyle w:val="70"/>
        <w:tabs>
          <w:tab w:val="left" w:pos="709"/>
        </w:tabs>
        <w:spacing w:line="276" w:lineRule="auto"/>
        <w:ind w:firstLine="480" w:firstLineChars="200"/>
        <w:rPr>
          <w:rFonts w:ascii="Times New Roman"/>
        </w:rPr>
      </w:pPr>
      <w:r>
        <w:rPr>
          <w:rFonts w:ascii="Times New Roman"/>
        </w:rPr>
        <w:t>（07）《建筑电气与智能化通用规范》（GB 55024-2022）</w:t>
      </w:r>
    </w:p>
    <w:p>
      <w:pPr>
        <w:pStyle w:val="70"/>
        <w:tabs>
          <w:tab w:val="left" w:pos="709"/>
        </w:tabs>
        <w:spacing w:line="276" w:lineRule="auto"/>
        <w:ind w:firstLine="480" w:firstLineChars="200"/>
        <w:rPr>
          <w:rFonts w:ascii="Times New Roman"/>
        </w:rPr>
      </w:pPr>
      <w:r>
        <w:rPr>
          <w:rFonts w:ascii="Times New Roman"/>
        </w:rPr>
        <w:t>（08）《供配电系统设计规范》（GB 50052-2009）</w:t>
      </w:r>
    </w:p>
    <w:p>
      <w:pPr>
        <w:pStyle w:val="70"/>
        <w:tabs>
          <w:tab w:val="left" w:pos="709"/>
        </w:tabs>
        <w:spacing w:line="276" w:lineRule="auto"/>
        <w:ind w:firstLine="480" w:firstLineChars="200"/>
        <w:rPr>
          <w:rFonts w:ascii="Times New Roman"/>
        </w:rPr>
      </w:pPr>
      <w:r>
        <w:rPr>
          <w:rFonts w:ascii="Times New Roman"/>
        </w:rPr>
        <w:t>（09）《低压配电设计规范》（GB 50054-2011）</w:t>
      </w:r>
    </w:p>
    <w:p>
      <w:pPr>
        <w:pStyle w:val="70"/>
        <w:tabs>
          <w:tab w:val="left" w:pos="709"/>
        </w:tabs>
        <w:spacing w:line="276" w:lineRule="auto"/>
        <w:ind w:firstLine="480" w:firstLineChars="200"/>
        <w:rPr>
          <w:rFonts w:ascii="Times New Roman"/>
        </w:rPr>
      </w:pPr>
      <w:r>
        <w:rPr>
          <w:rFonts w:ascii="Times New Roman"/>
        </w:rPr>
        <w:t>（10）《建筑物防雷设计规范》（GB 50057-2010）</w:t>
      </w:r>
    </w:p>
    <w:p>
      <w:pPr>
        <w:pStyle w:val="70"/>
        <w:tabs>
          <w:tab w:val="left" w:pos="709"/>
        </w:tabs>
        <w:spacing w:line="276" w:lineRule="auto"/>
        <w:ind w:firstLine="480" w:firstLineChars="200"/>
        <w:rPr>
          <w:rFonts w:ascii="Times New Roman"/>
        </w:rPr>
      </w:pPr>
      <w:r>
        <w:rPr>
          <w:rFonts w:ascii="Times New Roman"/>
        </w:rPr>
        <w:t>（11）《交流电气装置的接地设计规范》（GB/T 50065-2011）</w:t>
      </w:r>
    </w:p>
    <w:p>
      <w:pPr>
        <w:pStyle w:val="70"/>
        <w:tabs>
          <w:tab w:val="left" w:pos="709"/>
        </w:tabs>
        <w:spacing w:line="276" w:lineRule="auto"/>
        <w:ind w:firstLine="480" w:firstLineChars="200"/>
        <w:rPr>
          <w:rFonts w:ascii="Times New Roman"/>
        </w:rPr>
      </w:pPr>
      <w:r>
        <w:rPr>
          <w:rFonts w:ascii="Times New Roman"/>
        </w:rPr>
        <w:t>（12）《电力工程电缆设计标准》（GB 50217-2018）</w:t>
      </w:r>
    </w:p>
    <w:p>
      <w:pPr>
        <w:pStyle w:val="70"/>
        <w:tabs>
          <w:tab w:val="left" w:pos="709"/>
        </w:tabs>
        <w:spacing w:line="276" w:lineRule="auto"/>
        <w:ind w:firstLine="480" w:firstLineChars="200"/>
        <w:rPr>
          <w:rFonts w:ascii="Times New Roman"/>
        </w:rPr>
      </w:pPr>
      <w:r>
        <w:rPr>
          <w:rFonts w:ascii="Times New Roman"/>
        </w:rPr>
        <w:t>（13）《城市工程管线综合规划规范》（GB 50289-2016）</w:t>
      </w:r>
    </w:p>
    <w:p>
      <w:pPr>
        <w:pStyle w:val="70"/>
        <w:tabs>
          <w:tab w:val="left" w:pos="709"/>
        </w:tabs>
        <w:spacing w:line="276" w:lineRule="auto"/>
        <w:ind w:firstLine="480" w:firstLineChars="200"/>
        <w:rPr>
          <w:rFonts w:ascii="Times New Roman"/>
        </w:rPr>
      </w:pPr>
      <w:r>
        <w:rPr>
          <w:rFonts w:ascii="Times New Roman"/>
        </w:rPr>
        <w:t>（14）《智能建筑设计标准》（GB 50314-2015）</w:t>
      </w:r>
    </w:p>
    <w:p>
      <w:pPr>
        <w:pStyle w:val="70"/>
        <w:tabs>
          <w:tab w:val="left" w:pos="709"/>
        </w:tabs>
        <w:spacing w:line="276" w:lineRule="auto"/>
        <w:ind w:firstLine="480" w:firstLineChars="200"/>
        <w:rPr>
          <w:rFonts w:ascii="Times New Roman"/>
        </w:rPr>
      </w:pPr>
      <w:r>
        <w:rPr>
          <w:rFonts w:ascii="Times New Roman"/>
        </w:rPr>
        <w:t>（15）《综合布线系统工程设计规范》（GB 50311-2016）</w:t>
      </w:r>
    </w:p>
    <w:p>
      <w:pPr>
        <w:pStyle w:val="70"/>
        <w:tabs>
          <w:tab w:val="left" w:pos="709"/>
        </w:tabs>
        <w:spacing w:line="276" w:lineRule="auto"/>
        <w:ind w:firstLine="480" w:firstLineChars="200"/>
        <w:rPr>
          <w:rFonts w:ascii="Times New Roman"/>
        </w:rPr>
      </w:pPr>
      <w:r>
        <w:rPr>
          <w:rFonts w:ascii="Times New Roman"/>
        </w:rPr>
        <w:t>（16）《建筑物电子信息系统防雷技术规范》（GB 50343-2012）</w:t>
      </w:r>
    </w:p>
    <w:p>
      <w:pPr>
        <w:pStyle w:val="70"/>
        <w:tabs>
          <w:tab w:val="left" w:pos="709"/>
        </w:tabs>
        <w:spacing w:line="276" w:lineRule="auto"/>
        <w:ind w:firstLine="480" w:firstLineChars="200"/>
        <w:rPr>
          <w:rFonts w:ascii="Times New Roman"/>
        </w:rPr>
      </w:pPr>
      <w:r>
        <w:rPr>
          <w:rFonts w:ascii="Times New Roman"/>
        </w:rPr>
        <w:t>（17）《通信管道与通道工程设计规范》（GB 50373-2019）</w:t>
      </w:r>
    </w:p>
    <w:p>
      <w:pPr>
        <w:pStyle w:val="70"/>
        <w:tabs>
          <w:tab w:val="left" w:pos="709"/>
        </w:tabs>
        <w:spacing w:line="276" w:lineRule="auto"/>
        <w:ind w:firstLine="480" w:firstLineChars="200"/>
        <w:rPr>
          <w:rFonts w:ascii="Times New Roman"/>
        </w:rPr>
      </w:pPr>
      <w:r>
        <w:rPr>
          <w:rFonts w:ascii="Times New Roman"/>
        </w:rPr>
        <w:t>（18）《通信管道工程施工及验收规范》（GB/T 50374-2018）</w:t>
      </w:r>
    </w:p>
    <w:p>
      <w:pPr>
        <w:pStyle w:val="70"/>
        <w:tabs>
          <w:tab w:val="left" w:pos="709"/>
        </w:tabs>
        <w:spacing w:line="276" w:lineRule="auto"/>
        <w:ind w:firstLine="480" w:firstLineChars="200"/>
        <w:rPr>
          <w:rFonts w:ascii="Times New Roman"/>
        </w:rPr>
      </w:pPr>
      <w:r>
        <w:rPr>
          <w:rFonts w:ascii="Times New Roman"/>
        </w:rPr>
        <w:t>（19）《城市电力电缆线路设计技术规定》（DL/T 5221-2016）</w:t>
      </w:r>
    </w:p>
    <w:p>
      <w:pPr>
        <w:pStyle w:val="70"/>
        <w:tabs>
          <w:tab w:val="left" w:pos="709"/>
        </w:tabs>
        <w:spacing w:line="276" w:lineRule="auto"/>
        <w:ind w:firstLine="480" w:firstLineChars="200"/>
        <w:rPr>
          <w:rFonts w:ascii="Times New Roman"/>
        </w:rPr>
      </w:pPr>
      <w:r>
        <w:rPr>
          <w:rFonts w:ascii="Times New Roman"/>
        </w:rPr>
        <w:t>（20）《公共场所(户外)用电设施建设及运行安全规程》（DB44/T 2157-2019）</w:t>
      </w:r>
    </w:p>
    <w:p>
      <w:pPr>
        <w:pStyle w:val="70"/>
        <w:tabs>
          <w:tab w:val="left" w:pos="709"/>
        </w:tabs>
        <w:spacing w:line="276" w:lineRule="auto"/>
        <w:ind w:firstLine="480" w:firstLineChars="200"/>
        <w:rPr>
          <w:rFonts w:ascii="Times New Roman"/>
        </w:rPr>
      </w:pPr>
      <w:r>
        <w:rPr>
          <w:rFonts w:ascii="Times New Roman"/>
        </w:rPr>
        <w:t>（21）广东省《智慧灯杆技术规范》（DBJ/T 15-164-2019）</w:t>
      </w:r>
    </w:p>
    <w:p>
      <w:pPr>
        <w:pStyle w:val="70"/>
        <w:tabs>
          <w:tab w:val="left" w:pos="709"/>
        </w:tabs>
        <w:spacing w:line="276" w:lineRule="auto"/>
        <w:ind w:firstLine="480" w:firstLineChars="200"/>
        <w:rPr>
          <w:rFonts w:ascii="Times New Roman"/>
        </w:rPr>
      </w:pPr>
      <w:r>
        <w:rPr>
          <w:rFonts w:ascii="Times New Roman"/>
        </w:rPr>
        <w:t>（22）《广州市智慧灯杆（多功能杆）系统技术及工程建设规范》（T/GZBC 13-2019）</w:t>
      </w:r>
    </w:p>
    <w:p>
      <w:pPr>
        <w:pStyle w:val="70"/>
        <w:tabs>
          <w:tab w:val="left" w:pos="709"/>
        </w:tabs>
        <w:spacing w:line="276" w:lineRule="auto"/>
        <w:ind w:firstLine="480" w:firstLineChars="200"/>
        <w:rPr>
          <w:rFonts w:ascii="Times New Roman"/>
        </w:rPr>
      </w:pPr>
      <w:r>
        <w:rPr>
          <w:rFonts w:ascii="Times New Roman"/>
        </w:rPr>
        <w:t>（23）《智慧城市智慧多功能杆服务功能与运行管理规范》（GB/T 40994-2021）</w:t>
      </w:r>
    </w:p>
    <w:p>
      <w:pPr>
        <w:pStyle w:val="70"/>
        <w:tabs>
          <w:tab w:val="left" w:pos="709"/>
        </w:tabs>
        <w:spacing w:line="276" w:lineRule="auto"/>
        <w:ind w:firstLine="480" w:firstLineChars="200"/>
        <w:rPr>
          <w:rFonts w:ascii="Times New Roman"/>
        </w:rPr>
      </w:pPr>
      <w:r>
        <w:rPr>
          <w:rFonts w:ascii="Times New Roman"/>
        </w:rPr>
        <w:t>（24）《建筑照明设计标准》（GB50034-2013）</w:t>
      </w:r>
    </w:p>
    <w:p>
      <w:pPr>
        <w:pStyle w:val="70"/>
        <w:tabs>
          <w:tab w:val="left" w:pos="709"/>
        </w:tabs>
        <w:spacing w:line="276" w:lineRule="auto"/>
        <w:ind w:firstLine="480" w:firstLineChars="200"/>
        <w:rPr>
          <w:rFonts w:ascii="Times New Roman"/>
        </w:rPr>
      </w:pPr>
      <w:r>
        <w:rPr>
          <w:rFonts w:ascii="Times New Roman"/>
        </w:rPr>
        <w:t>（25）《公共建筑节能设计标准》（GB50189-2015）</w:t>
      </w:r>
    </w:p>
    <w:p>
      <w:pPr>
        <w:pStyle w:val="70"/>
        <w:tabs>
          <w:tab w:val="left" w:pos="709"/>
        </w:tabs>
        <w:spacing w:line="276" w:lineRule="auto"/>
        <w:ind w:firstLine="480" w:firstLineChars="200"/>
        <w:rPr>
          <w:rFonts w:ascii="Times New Roman"/>
        </w:rPr>
      </w:pPr>
      <w:r>
        <w:rPr>
          <w:rFonts w:ascii="Times New Roman"/>
        </w:rPr>
        <w:t>（26）《城市夜景照明设计规范》（JGJ/T163-2008）</w:t>
      </w:r>
    </w:p>
    <w:p>
      <w:pPr>
        <w:pStyle w:val="70"/>
        <w:tabs>
          <w:tab w:val="left" w:pos="709"/>
        </w:tabs>
        <w:spacing w:line="276" w:lineRule="auto"/>
        <w:ind w:firstLine="480" w:firstLineChars="200"/>
        <w:rPr>
          <w:rFonts w:ascii="Times New Roman"/>
        </w:rPr>
      </w:pPr>
      <w:r>
        <w:rPr>
          <w:rFonts w:ascii="Times New Roman"/>
        </w:rPr>
        <w:t>（27）《市容环卫工程项目规范》（GB 55013-2021）</w:t>
      </w:r>
    </w:p>
    <w:p>
      <w:pPr>
        <w:pStyle w:val="4"/>
        <w:ind w:firstLine="482" w:firstLineChars="200"/>
      </w:pPr>
      <w:bookmarkStart w:id="271" w:name="_Toc2796"/>
      <w:r>
        <w:t>设计原则</w:t>
      </w:r>
      <w:bookmarkEnd w:id="271"/>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道路照明设计以功能性为主，并考虑一定的景观性。道路照明的质量达到国际先进水平，且符合现代都市的发展要求和品味。</w:t>
      </w:r>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道路照明除使道路表面满足亮度要求外，并且照度均匀，使驾驶人员视觉舒适，并能看清周围环境。</w:t>
      </w:r>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在道路交叉处，适当提高车行道及人行横道照度标准，以便提高其通行能力。</w:t>
      </w:r>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根据道路的现况，合理选择灯具及布置方式，力求做到与周围环境相协调。</w:t>
      </w:r>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提倡绿色照明，选择高效光源及灯具，光源选用LED(≥130lm/w）灯，灯具效率不低于0.95，</w:t>
      </w:r>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防护等级不低于IP65，灯具、灯杆造型美观、耐用。</w:t>
      </w:r>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在符合区域照明功能性及美观性等的前提下，提高控制的智能化，合理地节约投资、运行和维护费用，充分体现了现阶段节能减排和建设和谐社会的方向性目标。</w:t>
      </w:r>
    </w:p>
    <w:p>
      <w:pPr>
        <w:pStyle w:val="4"/>
        <w:ind w:firstLine="482" w:firstLineChars="200"/>
      </w:pPr>
      <w:bookmarkStart w:id="272" w:name="_Toc1573"/>
      <w:r>
        <w:t>设计范围</w:t>
      </w:r>
      <w:bookmarkEnd w:id="272"/>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本设计为道路范围内路灯箱变及其后端的路灯回路、设备（不含路灯箱变前端的线路、设备。</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本工程只在数量表预留10kV外线电缆和保护管的量，具体的箱变及外电线路以后期深化设计为准）。</w:t>
      </w:r>
    </w:p>
    <w:p>
      <w:pPr>
        <w:pStyle w:val="4"/>
        <w:ind w:firstLine="482" w:firstLineChars="200"/>
      </w:pPr>
      <w:bookmarkStart w:id="273" w:name="_Toc24952"/>
      <w:r>
        <w:t>设计标准</w:t>
      </w:r>
      <w:bookmarkEnd w:id="273"/>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确定道路照明标准时，充分考虑道路的使用性能、通行能力、通行速度，以及路面使用材料的反射特性等方面的因素。</w:t>
      </w:r>
    </w:p>
    <w:p>
      <w:pPr>
        <w:spacing w:before="90" w:line="219" w:lineRule="auto"/>
        <w:ind w:left="3466" w:firstLine="482" w:firstLineChars="200"/>
        <w:rPr>
          <w:rFonts w:ascii="Times New Roman" w:hAnsi="Times New Roman"/>
          <w:sz w:val="24"/>
          <w:szCs w:val="24"/>
        </w:rPr>
      </w:pPr>
      <w:r>
        <w:rPr>
          <w:rFonts w:ascii="Times New Roman" w:hAnsi="Times New Roman"/>
          <w:sz w:val="24"/>
          <w:szCs w:val="24"/>
          <w14:textOutline w14:w="3048" w14:cap="flat" w14:cmpd="sng" w14:algn="ctr">
            <w14:solidFill>
              <w14:srgbClr w14:val="000000"/>
            </w14:solidFill>
            <w14:prstDash w14:val="solid"/>
            <w14:miter w14:val="0"/>
          </w14:textOutline>
        </w:rPr>
        <w:t>机动车交通道路的照明功率密度值</w:t>
      </w:r>
    </w:p>
    <w:tbl>
      <w:tblPr>
        <w:tblStyle w:val="379"/>
        <w:tblW w:w="10342"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2517"/>
        <w:gridCol w:w="2509"/>
        <w:gridCol w:w="2520"/>
        <w:gridCol w:w="2796"/>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trHeight w:val="969" w:hRule="atLeast"/>
          <w:jc w:val="center"/>
        </w:trPr>
        <w:tc>
          <w:tcPr>
            <w:tcW w:w="2517" w:type="dxa"/>
            <w:tcBorders>
              <w:top w:val="single" w:color="000000" w:sz="2" w:space="0"/>
              <w:left w:val="single" w:color="000000" w:sz="2" w:space="0"/>
            </w:tcBorders>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道路级别</w:t>
            </w:r>
          </w:p>
        </w:tc>
        <w:tc>
          <w:tcPr>
            <w:tcW w:w="2509" w:type="dxa"/>
            <w:tcBorders>
              <w:top w:val="single" w:color="000000" w:sz="2" w:space="0"/>
            </w:tcBorders>
          </w:tcPr>
          <w:p>
            <w:pPr>
              <w:pStyle w:val="391"/>
              <w:autoSpaceDE w:val="0"/>
              <w:autoSpaceDN w:val="0"/>
              <w:spacing w:before="137" w:line="220" w:lineRule="auto"/>
              <w:ind w:firstLine="480" w:firstLineChars="200"/>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车路数</w:t>
            </w:r>
          </w:p>
          <w:p>
            <w:pPr>
              <w:pStyle w:val="391"/>
              <w:autoSpaceDE w:val="0"/>
              <w:autoSpaceDN w:val="0"/>
              <w:spacing w:before="137" w:line="220" w:lineRule="auto"/>
              <w:ind w:firstLine="480" w:firstLineChars="200"/>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(条)</w:t>
            </w:r>
          </w:p>
        </w:tc>
        <w:tc>
          <w:tcPr>
            <w:tcW w:w="2520" w:type="dxa"/>
            <w:tcBorders>
              <w:top w:val="single" w:color="000000" w:sz="2" w:space="0"/>
            </w:tcBorders>
          </w:tcPr>
          <w:p>
            <w:pPr>
              <w:pStyle w:val="391"/>
              <w:autoSpaceDE w:val="0"/>
              <w:autoSpaceDN w:val="0"/>
              <w:spacing w:before="137" w:line="220" w:lineRule="auto"/>
              <w:ind w:firstLine="480" w:firstLineChars="200"/>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照明功率密度值</w:t>
            </w:r>
          </w:p>
          <w:p>
            <w:pPr>
              <w:pStyle w:val="391"/>
              <w:autoSpaceDE w:val="0"/>
              <w:autoSpaceDN w:val="0"/>
              <w:spacing w:before="137" w:line="220" w:lineRule="auto"/>
              <w:ind w:firstLine="480" w:firstLineChars="200"/>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(LPD)(W/m2)</w:t>
            </w:r>
          </w:p>
        </w:tc>
        <w:tc>
          <w:tcPr>
            <w:tcW w:w="2796" w:type="dxa"/>
            <w:tcBorders>
              <w:top w:val="single" w:color="000000" w:sz="2" w:space="0"/>
              <w:right w:val="single" w:color="000000" w:sz="2" w:space="0"/>
            </w:tcBorders>
          </w:tcPr>
          <w:p>
            <w:pPr>
              <w:pStyle w:val="391"/>
              <w:autoSpaceDE w:val="0"/>
              <w:autoSpaceDN w:val="0"/>
              <w:spacing w:before="137" w:line="220" w:lineRule="auto"/>
              <w:ind w:firstLine="480" w:firstLineChars="200"/>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对应的照度值</w:t>
            </w:r>
          </w:p>
          <w:p>
            <w:pPr>
              <w:pStyle w:val="391"/>
              <w:autoSpaceDE w:val="0"/>
              <w:autoSpaceDN w:val="0"/>
              <w:spacing w:before="137" w:line="220" w:lineRule="auto"/>
              <w:ind w:firstLine="480" w:firstLineChars="200"/>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(lx)</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85" w:hRule="atLeast"/>
          <w:jc w:val="center"/>
        </w:trPr>
        <w:tc>
          <w:tcPr>
            <w:tcW w:w="2517" w:type="dxa"/>
            <w:vMerge w:val="restart"/>
            <w:tcBorders>
              <w:left w:val="single" w:color="000000" w:sz="2" w:space="0"/>
              <w:bottom w:val="nil"/>
            </w:tcBorders>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快速路、主干路</w:t>
            </w:r>
          </w:p>
        </w:tc>
        <w:tc>
          <w:tcPr>
            <w:tcW w:w="2509" w:type="dxa"/>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≥6</w:t>
            </w:r>
          </w:p>
        </w:tc>
        <w:tc>
          <w:tcPr>
            <w:tcW w:w="2520" w:type="dxa"/>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1.00</w:t>
            </w:r>
          </w:p>
        </w:tc>
        <w:tc>
          <w:tcPr>
            <w:tcW w:w="2796" w:type="dxa"/>
            <w:vMerge w:val="restart"/>
            <w:tcBorders>
              <w:bottom w:val="nil"/>
              <w:right w:val="single" w:color="000000" w:sz="2" w:space="0"/>
            </w:tcBorders>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30</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85" w:hRule="atLeast"/>
          <w:jc w:val="center"/>
        </w:trPr>
        <w:tc>
          <w:tcPr>
            <w:tcW w:w="2517" w:type="dxa"/>
            <w:vMerge w:val="continue"/>
            <w:tcBorders>
              <w:top w:val="nil"/>
              <w:left w:val="single" w:color="000000" w:sz="2" w:space="0"/>
            </w:tcBorders>
          </w:tcPr>
          <w:p>
            <w:pPr>
              <w:pStyle w:val="391"/>
              <w:autoSpaceDE w:val="0"/>
              <w:autoSpaceDN w:val="0"/>
              <w:spacing w:before="137" w:line="220" w:lineRule="auto"/>
              <w:ind w:left="784"/>
              <w:jc w:val="center"/>
              <w:rPr>
                <w:rFonts w:ascii="Times New Roman" w:hAnsi="Times New Roman" w:cs="Times New Roman" w:eastAsiaTheme="minorEastAsia"/>
                <w:b w:val="0"/>
                <w:color w:val="auto"/>
                <w:lang w:eastAsia="zh-CN"/>
              </w:rPr>
            </w:pPr>
          </w:p>
        </w:tc>
        <w:tc>
          <w:tcPr>
            <w:tcW w:w="2509" w:type="dxa"/>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＜6</w:t>
            </w:r>
          </w:p>
        </w:tc>
        <w:tc>
          <w:tcPr>
            <w:tcW w:w="2520" w:type="dxa"/>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1.20</w:t>
            </w:r>
          </w:p>
        </w:tc>
        <w:tc>
          <w:tcPr>
            <w:tcW w:w="2796" w:type="dxa"/>
            <w:vMerge w:val="continue"/>
            <w:tcBorders>
              <w:top w:val="nil"/>
              <w:right w:val="single" w:color="000000" w:sz="2" w:space="0"/>
            </w:tcBorders>
          </w:tcPr>
          <w:p>
            <w:pPr>
              <w:pStyle w:val="391"/>
              <w:autoSpaceDE w:val="0"/>
              <w:autoSpaceDN w:val="0"/>
              <w:spacing w:before="137" w:line="220" w:lineRule="auto"/>
              <w:ind w:left="784"/>
              <w:jc w:val="center"/>
              <w:rPr>
                <w:rFonts w:ascii="Times New Roman" w:hAnsi="Times New Roman" w:cs="Times New Roman" w:eastAsiaTheme="minorEastAsia"/>
                <w:b w:val="0"/>
                <w:color w:val="auto"/>
                <w:lang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85" w:hRule="atLeast"/>
          <w:jc w:val="center"/>
        </w:trPr>
        <w:tc>
          <w:tcPr>
            <w:tcW w:w="2517" w:type="dxa"/>
            <w:vMerge w:val="restart"/>
            <w:tcBorders>
              <w:left w:val="single" w:color="000000" w:sz="2" w:space="0"/>
              <w:bottom w:val="nil"/>
            </w:tcBorders>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次干路</w:t>
            </w:r>
          </w:p>
        </w:tc>
        <w:tc>
          <w:tcPr>
            <w:tcW w:w="2509" w:type="dxa"/>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≥4</w:t>
            </w:r>
          </w:p>
        </w:tc>
        <w:tc>
          <w:tcPr>
            <w:tcW w:w="2520" w:type="dxa"/>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0.80</w:t>
            </w:r>
          </w:p>
        </w:tc>
        <w:tc>
          <w:tcPr>
            <w:tcW w:w="2796" w:type="dxa"/>
            <w:vMerge w:val="restart"/>
            <w:tcBorders>
              <w:bottom w:val="nil"/>
              <w:right w:val="single" w:color="000000" w:sz="2" w:space="0"/>
            </w:tcBorders>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20</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86" w:hRule="atLeast"/>
          <w:jc w:val="center"/>
        </w:trPr>
        <w:tc>
          <w:tcPr>
            <w:tcW w:w="2517" w:type="dxa"/>
            <w:vMerge w:val="continue"/>
            <w:tcBorders>
              <w:top w:val="nil"/>
              <w:left w:val="single" w:color="000000" w:sz="2" w:space="0"/>
            </w:tcBorders>
          </w:tcPr>
          <w:p>
            <w:pPr>
              <w:pStyle w:val="391"/>
              <w:autoSpaceDE w:val="0"/>
              <w:autoSpaceDN w:val="0"/>
              <w:spacing w:before="137" w:line="220" w:lineRule="auto"/>
              <w:ind w:left="784"/>
              <w:jc w:val="center"/>
              <w:rPr>
                <w:rFonts w:ascii="Times New Roman" w:hAnsi="Times New Roman" w:cs="Times New Roman" w:eastAsiaTheme="minorEastAsia"/>
                <w:b w:val="0"/>
                <w:color w:val="auto"/>
                <w:lang w:eastAsia="zh-CN"/>
              </w:rPr>
            </w:pPr>
          </w:p>
        </w:tc>
        <w:tc>
          <w:tcPr>
            <w:tcW w:w="2509" w:type="dxa"/>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＜4</w:t>
            </w:r>
          </w:p>
        </w:tc>
        <w:tc>
          <w:tcPr>
            <w:tcW w:w="2520" w:type="dxa"/>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0.90</w:t>
            </w:r>
          </w:p>
        </w:tc>
        <w:tc>
          <w:tcPr>
            <w:tcW w:w="2796" w:type="dxa"/>
            <w:vMerge w:val="continue"/>
            <w:tcBorders>
              <w:top w:val="nil"/>
              <w:right w:val="single" w:color="000000" w:sz="2" w:space="0"/>
            </w:tcBorders>
          </w:tcPr>
          <w:p>
            <w:pPr>
              <w:pStyle w:val="391"/>
              <w:autoSpaceDE w:val="0"/>
              <w:autoSpaceDN w:val="0"/>
              <w:spacing w:before="137" w:line="220" w:lineRule="auto"/>
              <w:ind w:left="784"/>
              <w:jc w:val="center"/>
              <w:rPr>
                <w:rFonts w:ascii="Times New Roman" w:hAnsi="Times New Roman" w:cs="Times New Roman" w:eastAsiaTheme="minorEastAsia"/>
                <w:b w:val="0"/>
                <w:color w:val="auto"/>
                <w:lang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86" w:hRule="atLeast"/>
          <w:jc w:val="center"/>
        </w:trPr>
        <w:tc>
          <w:tcPr>
            <w:tcW w:w="2517" w:type="dxa"/>
            <w:vMerge w:val="restart"/>
            <w:tcBorders>
              <w:left w:val="single" w:color="000000" w:sz="2" w:space="0"/>
              <w:bottom w:val="nil"/>
            </w:tcBorders>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支路</w:t>
            </w:r>
          </w:p>
        </w:tc>
        <w:tc>
          <w:tcPr>
            <w:tcW w:w="2509" w:type="dxa"/>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≥2</w:t>
            </w:r>
          </w:p>
        </w:tc>
        <w:tc>
          <w:tcPr>
            <w:tcW w:w="2520" w:type="dxa"/>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0.50</w:t>
            </w:r>
          </w:p>
        </w:tc>
        <w:tc>
          <w:tcPr>
            <w:tcW w:w="2796" w:type="dxa"/>
            <w:vMerge w:val="restart"/>
            <w:tcBorders>
              <w:bottom w:val="nil"/>
              <w:right w:val="single" w:color="000000" w:sz="2" w:space="0"/>
            </w:tcBorders>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10</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23" w:hRule="atLeast"/>
          <w:jc w:val="center"/>
        </w:trPr>
        <w:tc>
          <w:tcPr>
            <w:tcW w:w="2517" w:type="dxa"/>
            <w:vMerge w:val="continue"/>
            <w:tcBorders>
              <w:top w:val="nil"/>
              <w:left w:val="single" w:color="000000" w:sz="2" w:space="0"/>
              <w:bottom w:val="single" w:color="000000" w:sz="2" w:space="0"/>
            </w:tcBorders>
          </w:tcPr>
          <w:p>
            <w:pPr>
              <w:autoSpaceDE w:val="0"/>
              <w:autoSpaceDN w:val="0"/>
              <w:rPr>
                <w:rFonts w:ascii="Times New Roman" w:hAnsi="Times New Roman" w:eastAsiaTheme="minorEastAsia" w:cstheme="minorBidi"/>
                <w:lang w:eastAsia="en-US"/>
              </w:rPr>
            </w:pPr>
          </w:p>
        </w:tc>
        <w:tc>
          <w:tcPr>
            <w:tcW w:w="2509" w:type="dxa"/>
            <w:tcBorders>
              <w:bottom w:val="single" w:color="000000" w:sz="2" w:space="0"/>
            </w:tcBorders>
          </w:tcPr>
          <w:p>
            <w:pPr>
              <w:pStyle w:val="391"/>
              <w:autoSpaceDE w:val="0"/>
              <w:autoSpaceDN w:val="0"/>
              <w:spacing w:before="217" w:line="183" w:lineRule="auto"/>
              <w:ind w:left="1092"/>
              <w:rPr>
                <w:rFonts w:ascii="Times New Roman" w:hAnsi="Times New Roman" w:cs="Times New Roman" w:eastAsiaTheme="minorEastAsia"/>
              </w:rPr>
            </w:pPr>
            <w:r>
              <w:rPr>
                <w:rFonts w:ascii="Times New Roman" w:hAnsi="Times New Roman" w:cs="Times New Roman" w:eastAsiaTheme="minorEastAsia"/>
                <w:spacing w:val="-14"/>
              </w:rPr>
              <w:t>＜2</w:t>
            </w:r>
          </w:p>
        </w:tc>
        <w:tc>
          <w:tcPr>
            <w:tcW w:w="2520" w:type="dxa"/>
            <w:tcBorders>
              <w:bottom w:val="single" w:color="000000" w:sz="2" w:space="0"/>
            </w:tcBorders>
          </w:tcPr>
          <w:p>
            <w:pPr>
              <w:pStyle w:val="391"/>
              <w:autoSpaceDE w:val="0"/>
              <w:autoSpaceDN w:val="0"/>
              <w:spacing w:before="217" w:line="183" w:lineRule="auto"/>
              <w:ind w:left="1024"/>
              <w:rPr>
                <w:rFonts w:ascii="Times New Roman" w:hAnsi="Times New Roman" w:cs="Times New Roman" w:eastAsiaTheme="minorEastAsia"/>
              </w:rPr>
            </w:pPr>
            <w:r>
              <w:rPr>
                <w:rFonts w:ascii="Times New Roman" w:hAnsi="Times New Roman" w:cs="Times New Roman" w:eastAsiaTheme="minorEastAsia"/>
                <w:spacing w:val="-3"/>
              </w:rPr>
              <w:t>0.60</w:t>
            </w:r>
          </w:p>
        </w:tc>
        <w:tc>
          <w:tcPr>
            <w:tcW w:w="2796" w:type="dxa"/>
            <w:vMerge w:val="continue"/>
            <w:tcBorders>
              <w:top w:val="nil"/>
              <w:bottom w:val="single" w:color="000000" w:sz="2" w:space="0"/>
              <w:right w:val="single" w:color="000000" w:sz="2" w:space="0"/>
            </w:tcBorders>
          </w:tcPr>
          <w:p>
            <w:pPr>
              <w:autoSpaceDE w:val="0"/>
              <w:autoSpaceDN w:val="0"/>
              <w:rPr>
                <w:rFonts w:ascii="Times New Roman" w:hAnsi="Times New Roman" w:eastAsiaTheme="minorEastAsia" w:cstheme="minorBidi"/>
                <w:lang w:eastAsia="en-US"/>
              </w:rPr>
            </w:pPr>
          </w:p>
        </w:tc>
      </w:tr>
    </w:tbl>
    <w:p>
      <w:pPr>
        <w:spacing w:before="191" w:line="219" w:lineRule="auto"/>
        <w:ind w:left="3949" w:firstLine="482" w:firstLineChars="200"/>
        <w:rPr>
          <w:rFonts w:ascii="Times New Roman" w:hAnsi="Times New Roman"/>
          <w:sz w:val="24"/>
          <w:szCs w:val="24"/>
          <w14:textOutline w14:w="3048" w14:cap="flat" w14:cmpd="sng" w14:algn="ctr">
            <w14:solidFill>
              <w14:srgbClr w14:val="000000"/>
            </w14:solidFill>
            <w14:prstDash w14:val="solid"/>
            <w14:miter w14:val="0"/>
          </w14:textOutline>
        </w:rPr>
      </w:pPr>
      <w:r>
        <w:rPr>
          <w:rFonts w:ascii="Times New Roman" w:hAnsi="Times New Roman"/>
          <w:sz w:val="24"/>
          <w:szCs w:val="24"/>
          <w14:textOutline w14:w="3048" w14:cap="flat" w14:cmpd="sng" w14:algn="ctr">
            <w14:solidFill>
              <w14:srgbClr w14:val="000000"/>
            </w14:solidFill>
            <w14:prstDash w14:val="solid"/>
            <w14:miter w14:val="0"/>
          </w14:textOutline>
        </w:rPr>
        <w:t>机动车交汇区照明标准值</w:t>
      </w:r>
    </w:p>
    <w:tbl>
      <w:tblPr>
        <w:tblStyle w:val="379"/>
        <w:tblW w:w="9911" w:type="dxa"/>
        <w:tblInd w:w="94"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2836"/>
        <w:gridCol w:w="2352"/>
        <w:gridCol w:w="2157"/>
        <w:gridCol w:w="2566"/>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088" w:hRule="atLeast"/>
        </w:trPr>
        <w:tc>
          <w:tcPr>
            <w:tcW w:w="2836" w:type="dxa"/>
            <w:tcBorders>
              <w:top w:val="single" w:color="000000" w:sz="2" w:space="0"/>
              <w:left w:val="single" w:color="000000" w:sz="2" w:space="0"/>
            </w:tcBorders>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交会区类型</w:t>
            </w:r>
          </w:p>
        </w:tc>
        <w:tc>
          <w:tcPr>
            <w:tcW w:w="2352" w:type="dxa"/>
            <w:tcBorders>
              <w:top w:val="single" w:color="000000" w:sz="2" w:space="0"/>
            </w:tcBorders>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路面平均照度Eav(lx)，维持值</w:t>
            </w:r>
          </w:p>
        </w:tc>
        <w:tc>
          <w:tcPr>
            <w:tcW w:w="2157" w:type="dxa"/>
            <w:tcBorders>
              <w:top w:val="single" w:color="000000" w:sz="2" w:space="0"/>
            </w:tcBorders>
          </w:tcPr>
          <w:p>
            <w:pPr>
              <w:pStyle w:val="391"/>
              <w:autoSpaceDE w:val="0"/>
              <w:autoSpaceDN w:val="0"/>
              <w:spacing w:before="137" w:line="220" w:lineRule="auto"/>
              <w:ind w:firstLine="480" w:firstLineChars="200"/>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照度均匀度</w:t>
            </w:r>
          </w:p>
          <w:p>
            <w:pPr>
              <w:pStyle w:val="391"/>
              <w:autoSpaceDE w:val="0"/>
              <w:autoSpaceDN w:val="0"/>
              <w:spacing w:before="137" w:line="220" w:lineRule="auto"/>
              <w:ind w:firstLine="480" w:firstLineChars="200"/>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UE</w:t>
            </w:r>
          </w:p>
        </w:tc>
        <w:tc>
          <w:tcPr>
            <w:tcW w:w="2566" w:type="dxa"/>
            <w:tcBorders>
              <w:top w:val="single" w:color="000000" w:sz="2" w:space="0"/>
              <w:right w:val="single" w:color="000000" w:sz="2" w:space="0"/>
            </w:tcBorders>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眩光限制</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51" w:hRule="atLeast"/>
        </w:trPr>
        <w:tc>
          <w:tcPr>
            <w:tcW w:w="2836" w:type="dxa"/>
            <w:tcBorders>
              <w:left w:val="single" w:color="000000" w:sz="2" w:space="0"/>
            </w:tcBorders>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主干路与主干路交会</w:t>
            </w:r>
          </w:p>
        </w:tc>
        <w:tc>
          <w:tcPr>
            <w:tcW w:w="2352" w:type="dxa"/>
            <w:vMerge w:val="restart"/>
            <w:tcBorders>
              <w:bottom w:val="nil"/>
            </w:tcBorders>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50</w:t>
            </w:r>
          </w:p>
        </w:tc>
        <w:tc>
          <w:tcPr>
            <w:tcW w:w="2157" w:type="dxa"/>
            <w:vMerge w:val="restart"/>
            <w:tcBorders>
              <w:bottom w:val="nil"/>
            </w:tcBorders>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0.4</w:t>
            </w:r>
          </w:p>
        </w:tc>
        <w:tc>
          <w:tcPr>
            <w:tcW w:w="2566" w:type="dxa"/>
            <w:vMerge w:val="restart"/>
            <w:tcBorders>
              <w:bottom w:val="nil"/>
              <w:right w:val="single" w:color="000000" w:sz="2" w:space="0"/>
            </w:tcBorders>
          </w:tcPr>
          <w:p>
            <w:pPr>
              <w:pStyle w:val="391"/>
              <w:autoSpaceDE w:val="0"/>
              <w:autoSpaceDN w:val="0"/>
              <w:spacing w:before="137" w:line="220" w:lineRule="auto"/>
              <w:ind w:firstLine="480" w:firstLineChars="200"/>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在驾驶员观看灯具的方</w:t>
            </w:r>
          </w:p>
          <w:p>
            <w:pPr>
              <w:pStyle w:val="391"/>
              <w:autoSpaceDE w:val="0"/>
              <w:autoSpaceDN w:val="0"/>
              <w:spacing w:before="137" w:line="220" w:lineRule="auto"/>
              <w:ind w:firstLine="480" w:firstLineChars="200"/>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位角上，灯具在80°和</w:t>
            </w:r>
          </w:p>
          <w:p>
            <w:pPr>
              <w:pStyle w:val="391"/>
              <w:autoSpaceDE w:val="0"/>
              <w:autoSpaceDN w:val="0"/>
              <w:spacing w:before="137" w:line="220" w:lineRule="auto"/>
              <w:ind w:firstLine="480" w:firstLineChars="200"/>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90°高度角方向上的光</w:t>
            </w:r>
          </w:p>
          <w:p>
            <w:pPr>
              <w:pStyle w:val="391"/>
              <w:autoSpaceDE w:val="0"/>
              <w:autoSpaceDN w:val="0"/>
              <w:spacing w:before="137" w:line="220" w:lineRule="auto"/>
              <w:ind w:firstLine="480" w:firstLineChars="200"/>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强分别不得超过</w:t>
            </w:r>
          </w:p>
          <w:p>
            <w:pPr>
              <w:pStyle w:val="391"/>
              <w:autoSpaceDE w:val="0"/>
              <w:autoSpaceDN w:val="0"/>
              <w:spacing w:before="137" w:line="220" w:lineRule="auto"/>
              <w:ind w:firstLine="480" w:firstLineChars="200"/>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30cd/1000lm和</w:t>
            </w:r>
          </w:p>
          <w:p>
            <w:pPr>
              <w:pStyle w:val="391"/>
              <w:autoSpaceDE w:val="0"/>
              <w:autoSpaceDN w:val="0"/>
              <w:spacing w:before="137" w:line="220" w:lineRule="auto"/>
              <w:ind w:firstLine="480" w:firstLineChars="200"/>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10cd/1000lm</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50" w:hRule="atLeast"/>
        </w:trPr>
        <w:tc>
          <w:tcPr>
            <w:tcW w:w="2836" w:type="dxa"/>
            <w:tcBorders>
              <w:left w:val="single" w:color="000000" w:sz="2" w:space="0"/>
            </w:tcBorders>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主干路与次干路交会</w:t>
            </w:r>
          </w:p>
        </w:tc>
        <w:tc>
          <w:tcPr>
            <w:tcW w:w="2352" w:type="dxa"/>
            <w:vMerge w:val="continue"/>
            <w:tcBorders>
              <w:top w:val="nil"/>
              <w:bottom w:val="nil"/>
            </w:tcBorders>
          </w:tcPr>
          <w:p>
            <w:pPr>
              <w:pStyle w:val="391"/>
              <w:autoSpaceDE w:val="0"/>
              <w:autoSpaceDN w:val="0"/>
              <w:spacing w:before="137" w:line="220" w:lineRule="auto"/>
              <w:ind w:left="784"/>
              <w:jc w:val="center"/>
              <w:rPr>
                <w:rFonts w:ascii="Times New Roman" w:hAnsi="Times New Roman" w:cs="Times New Roman" w:eastAsiaTheme="minorEastAsia"/>
                <w:b w:val="0"/>
                <w:color w:val="auto"/>
                <w:lang w:eastAsia="zh-CN"/>
              </w:rPr>
            </w:pPr>
          </w:p>
        </w:tc>
        <w:tc>
          <w:tcPr>
            <w:tcW w:w="2157" w:type="dxa"/>
            <w:vMerge w:val="continue"/>
            <w:tcBorders>
              <w:top w:val="nil"/>
              <w:bottom w:val="nil"/>
            </w:tcBorders>
          </w:tcPr>
          <w:p>
            <w:pPr>
              <w:autoSpaceDE w:val="0"/>
              <w:autoSpaceDN w:val="0"/>
              <w:jc w:val="center"/>
              <w:rPr>
                <w:rFonts w:ascii="Times New Roman" w:hAnsi="Times New Roman" w:eastAsiaTheme="minorEastAsia" w:cstheme="minorBidi"/>
                <w:lang w:eastAsia="en-US"/>
              </w:rPr>
            </w:pPr>
          </w:p>
        </w:tc>
        <w:tc>
          <w:tcPr>
            <w:tcW w:w="2566" w:type="dxa"/>
            <w:vMerge w:val="continue"/>
            <w:tcBorders>
              <w:top w:val="nil"/>
              <w:bottom w:val="nil"/>
              <w:right w:val="single" w:color="000000" w:sz="2" w:space="0"/>
            </w:tcBorders>
          </w:tcPr>
          <w:p>
            <w:pPr>
              <w:autoSpaceDE w:val="0"/>
              <w:autoSpaceDN w:val="0"/>
              <w:rPr>
                <w:rFonts w:ascii="Times New Roman" w:hAnsi="Times New Roman" w:eastAsiaTheme="minorEastAsia" w:cstheme="minorBidi"/>
                <w:lang w:eastAsia="en-US"/>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51" w:hRule="atLeast"/>
        </w:trPr>
        <w:tc>
          <w:tcPr>
            <w:tcW w:w="2836" w:type="dxa"/>
            <w:tcBorders>
              <w:left w:val="single" w:color="000000" w:sz="2" w:space="0"/>
            </w:tcBorders>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主干路与支路交会</w:t>
            </w:r>
          </w:p>
        </w:tc>
        <w:tc>
          <w:tcPr>
            <w:tcW w:w="2352" w:type="dxa"/>
            <w:vMerge w:val="continue"/>
            <w:tcBorders>
              <w:top w:val="nil"/>
            </w:tcBorders>
          </w:tcPr>
          <w:p>
            <w:pPr>
              <w:pStyle w:val="391"/>
              <w:autoSpaceDE w:val="0"/>
              <w:autoSpaceDN w:val="0"/>
              <w:spacing w:before="137" w:line="220" w:lineRule="auto"/>
              <w:ind w:left="784"/>
              <w:jc w:val="center"/>
              <w:rPr>
                <w:rFonts w:ascii="Times New Roman" w:hAnsi="Times New Roman" w:cs="Times New Roman" w:eastAsiaTheme="minorEastAsia"/>
                <w:b w:val="0"/>
                <w:color w:val="auto"/>
                <w:lang w:eastAsia="zh-CN"/>
              </w:rPr>
            </w:pPr>
          </w:p>
        </w:tc>
        <w:tc>
          <w:tcPr>
            <w:tcW w:w="2157" w:type="dxa"/>
            <w:vMerge w:val="continue"/>
            <w:tcBorders>
              <w:top w:val="nil"/>
              <w:bottom w:val="nil"/>
            </w:tcBorders>
          </w:tcPr>
          <w:p>
            <w:pPr>
              <w:autoSpaceDE w:val="0"/>
              <w:autoSpaceDN w:val="0"/>
              <w:jc w:val="center"/>
              <w:rPr>
                <w:rFonts w:ascii="Times New Roman" w:hAnsi="Times New Roman" w:eastAsiaTheme="minorEastAsia" w:cstheme="minorBidi"/>
                <w:lang w:eastAsia="en-US"/>
              </w:rPr>
            </w:pPr>
          </w:p>
        </w:tc>
        <w:tc>
          <w:tcPr>
            <w:tcW w:w="2566" w:type="dxa"/>
            <w:vMerge w:val="continue"/>
            <w:tcBorders>
              <w:top w:val="nil"/>
              <w:bottom w:val="nil"/>
              <w:right w:val="single" w:color="000000" w:sz="2" w:space="0"/>
            </w:tcBorders>
          </w:tcPr>
          <w:p>
            <w:pPr>
              <w:autoSpaceDE w:val="0"/>
              <w:autoSpaceDN w:val="0"/>
              <w:rPr>
                <w:rFonts w:ascii="Times New Roman" w:hAnsi="Times New Roman" w:eastAsiaTheme="minorEastAsia" w:cstheme="minorBidi"/>
                <w:lang w:eastAsia="en-US"/>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50" w:hRule="atLeast"/>
        </w:trPr>
        <w:tc>
          <w:tcPr>
            <w:tcW w:w="2836" w:type="dxa"/>
            <w:tcBorders>
              <w:left w:val="single" w:color="000000" w:sz="2" w:space="0"/>
            </w:tcBorders>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次干路与次干路交会</w:t>
            </w:r>
          </w:p>
        </w:tc>
        <w:tc>
          <w:tcPr>
            <w:tcW w:w="2352" w:type="dxa"/>
            <w:vMerge w:val="restart"/>
            <w:tcBorders>
              <w:bottom w:val="nil"/>
            </w:tcBorders>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30</w:t>
            </w:r>
          </w:p>
        </w:tc>
        <w:tc>
          <w:tcPr>
            <w:tcW w:w="2157" w:type="dxa"/>
            <w:vMerge w:val="continue"/>
            <w:tcBorders>
              <w:top w:val="nil"/>
              <w:bottom w:val="nil"/>
            </w:tcBorders>
          </w:tcPr>
          <w:p>
            <w:pPr>
              <w:autoSpaceDE w:val="0"/>
              <w:autoSpaceDN w:val="0"/>
              <w:jc w:val="center"/>
              <w:rPr>
                <w:rFonts w:ascii="Times New Roman" w:hAnsi="Times New Roman" w:eastAsiaTheme="minorEastAsia" w:cstheme="minorBidi"/>
                <w:lang w:eastAsia="en-US"/>
              </w:rPr>
            </w:pPr>
          </w:p>
        </w:tc>
        <w:tc>
          <w:tcPr>
            <w:tcW w:w="2566" w:type="dxa"/>
            <w:vMerge w:val="continue"/>
            <w:tcBorders>
              <w:top w:val="nil"/>
              <w:bottom w:val="nil"/>
              <w:right w:val="single" w:color="000000" w:sz="2" w:space="0"/>
            </w:tcBorders>
          </w:tcPr>
          <w:p>
            <w:pPr>
              <w:autoSpaceDE w:val="0"/>
              <w:autoSpaceDN w:val="0"/>
              <w:rPr>
                <w:rFonts w:ascii="Times New Roman" w:hAnsi="Times New Roman" w:eastAsiaTheme="minorEastAsia" w:cstheme="minorBidi"/>
                <w:lang w:eastAsia="en-US"/>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040" w:hRule="atLeast"/>
        </w:trPr>
        <w:tc>
          <w:tcPr>
            <w:tcW w:w="2836" w:type="dxa"/>
            <w:tcBorders>
              <w:left w:val="single" w:color="000000" w:sz="2" w:space="0"/>
              <w:bottom w:val="single" w:color="000000" w:sz="2" w:space="0"/>
            </w:tcBorders>
          </w:tcPr>
          <w:p>
            <w:pPr>
              <w:pStyle w:val="391"/>
              <w:autoSpaceDE w:val="0"/>
              <w:autoSpaceDN w:val="0"/>
              <w:spacing w:before="137" w:line="220" w:lineRule="auto"/>
              <w:jc w:val="center"/>
              <w:rPr>
                <w:rFonts w:ascii="Times New Roman" w:hAnsi="Times New Roman" w:cs="Times New Roman" w:eastAsiaTheme="minorEastAsia"/>
                <w:b w:val="0"/>
                <w:color w:val="auto"/>
                <w:lang w:eastAsia="zh-CN"/>
              </w:rPr>
            </w:pPr>
            <w:r>
              <w:rPr>
                <w:rFonts w:ascii="Times New Roman" w:hAnsi="Times New Roman" w:cs="Times New Roman" w:eastAsiaTheme="minorEastAsia"/>
                <w:b w:val="0"/>
                <w:color w:val="auto"/>
                <w:lang w:eastAsia="zh-CN"/>
              </w:rPr>
              <w:t>次干路与支路交会</w:t>
            </w:r>
          </w:p>
        </w:tc>
        <w:tc>
          <w:tcPr>
            <w:tcW w:w="2352" w:type="dxa"/>
            <w:vMerge w:val="continue"/>
            <w:tcBorders>
              <w:top w:val="nil"/>
              <w:bottom w:val="single" w:color="000000" w:sz="2" w:space="0"/>
            </w:tcBorders>
          </w:tcPr>
          <w:p>
            <w:pPr>
              <w:autoSpaceDE w:val="0"/>
              <w:autoSpaceDN w:val="0"/>
              <w:jc w:val="center"/>
              <w:rPr>
                <w:rFonts w:ascii="Times New Roman" w:hAnsi="Times New Roman" w:eastAsiaTheme="minorEastAsia" w:cstheme="minorBidi"/>
                <w:lang w:eastAsia="en-US"/>
              </w:rPr>
            </w:pPr>
          </w:p>
        </w:tc>
        <w:tc>
          <w:tcPr>
            <w:tcW w:w="2157" w:type="dxa"/>
            <w:vMerge w:val="continue"/>
            <w:tcBorders>
              <w:top w:val="nil"/>
              <w:bottom w:val="single" w:color="000000" w:sz="2" w:space="0"/>
            </w:tcBorders>
          </w:tcPr>
          <w:p>
            <w:pPr>
              <w:autoSpaceDE w:val="0"/>
              <w:autoSpaceDN w:val="0"/>
              <w:jc w:val="center"/>
              <w:rPr>
                <w:rFonts w:ascii="Times New Roman" w:hAnsi="Times New Roman" w:eastAsiaTheme="minorEastAsia" w:cstheme="minorBidi"/>
                <w:lang w:eastAsia="en-US"/>
              </w:rPr>
            </w:pPr>
          </w:p>
        </w:tc>
        <w:tc>
          <w:tcPr>
            <w:tcW w:w="2566" w:type="dxa"/>
            <w:vMerge w:val="continue"/>
            <w:tcBorders>
              <w:top w:val="nil"/>
              <w:bottom w:val="single" w:color="000000" w:sz="2" w:space="0"/>
              <w:right w:val="single" w:color="000000" w:sz="2" w:space="0"/>
            </w:tcBorders>
          </w:tcPr>
          <w:p>
            <w:pPr>
              <w:autoSpaceDE w:val="0"/>
              <w:autoSpaceDN w:val="0"/>
              <w:rPr>
                <w:rFonts w:ascii="Times New Roman" w:hAnsi="Times New Roman" w:eastAsiaTheme="minorEastAsia" w:cstheme="minorBidi"/>
                <w:lang w:eastAsia="en-US"/>
              </w:rPr>
            </w:pPr>
          </w:p>
        </w:tc>
      </w:tr>
    </w:tbl>
    <w:p>
      <w:pPr>
        <w:spacing w:before="190" w:line="219" w:lineRule="auto"/>
        <w:ind w:left="3827" w:firstLine="482" w:firstLineChars="200"/>
        <w:rPr>
          <w:rFonts w:ascii="Times New Roman" w:hAnsi="Times New Roman"/>
          <w:sz w:val="24"/>
          <w:szCs w:val="24"/>
        </w:rPr>
      </w:pPr>
      <w:r>
        <w:rPr>
          <w:rFonts w:ascii="Times New Roman" w:hAnsi="Times New Roman"/>
          <w:sz w:val="24"/>
          <w:szCs w:val="24"/>
          <w14:textOutline w14:w="3048" w14:cap="flat" w14:cmpd="sng" w14:algn="ctr">
            <w14:solidFill>
              <w14:srgbClr w14:val="000000"/>
            </w14:solidFill>
            <w14:prstDash w14:val="solid"/>
            <w14:miter w14:val="0"/>
          </w14:textOutline>
        </w:rPr>
        <w:t>机动车交通道路照明标准值</w:t>
      </w:r>
    </w:p>
    <w:tbl>
      <w:tblPr>
        <w:tblStyle w:val="392"/>
        <w:tblW w:w="9625" w:type="dxa"/>
        <w:tblInd w:w="94"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761"/>
        <w:gridCol w:w="1132"/>
        <w:gridCol w:w="1030"/>
        <w:gridCol w:w="1093"/>
        <w:gridCol w:w="1095"/>
        <w:gridCol w:w="1341"/>
        <w:gridCol w:w="1094"/>
        <w:gridCol w:w="971"/>
        <w:gridCol w:w="1108"/>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2" w:hRule="atLeast"/>
        </w:trPr>
        <w:tc>
          <w:tcPr>
            <w:tcW w:w="761" w:type="dxa"/>
            <w:vMerge w:val="restart"/>
            <w:tcBorders>
              <w:top w:val="single" w:color="000000" w:sz="2" w:space="0"/>
              <w:left w:val="single" w:color="000000" w:sz="2" w:space="0"/>
              <w:bottom w:val="nil"/>
            </w:tcBorders>
          </w:tcPr>
          <w:p>
            <w:pPr>
              <w:widowControl/>
              <w:kinsoku w:val="0"/>
              <w:autoSpaceDE w:val="0"/>
              <w:autoSpaceDN w:val="0"/>
              <w:adjustRightInd w:val="0"/>
              <w:snapToGrid w:val="0"/>
              <w:spacing w:before="78" w:line="220" w:lineRule="auto"/>
              <w:ind w:left="183"/>
              <w:jc w:val="left"/>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spacing w:val="-4"/>
                <w:kern w:val="0"/>
                <w:sz w:val="24"/>
                <w:szCs w:val="24"/>
                <w:lang w:eastAsia="en-US"/>
              </w:rPr>
              <w:t>级别</w:t>
            </w:r>
          </w:p>
        </w:tc>
        <w:tc>
          <w:tcPr>
            <w:tcW w:w="1132" w:type="dxa"/>
            <w:vMerge w:val="restart"/>
            <w:tcBorders>
              <w:top w:val="single" w:color="000000" w:sz="2" w:space="0"/>
              <w:bottom w:val="nil"/>
            </w:tcBorders>
          </w:tcPr>
          <w:p>
            <w:pPr>
              <w:widowControl/>
              <w:kinsoku w:val="0"/>
              <w:autoSpaceDE w:val="0"/>
              <w:autoSpaceDN w:val="0"/>
              <w:adjustRightInd w:val="0"/>
              <w:snapToGrid w:val="0"/>
              <w:spacing w:before="78" w:line="220" w:lineRule="auto"/>
              <w:ind w:left="125"/>
              <w:jc w:val="left"/>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spacing w:val="-2"/>
                <w:kern w:val="0"/>
                <w:sz w:val="24"/>
                <w:szCs w:val="24"/>
                <w:lang w:eastAsia="en-US"/>
              </w:rPr>
              <w:t>道路类型</w:t>
            </w:r>
          </w:p>
        </w:tc>
        <w:tc>
          <w:tcPr>
            <w:tcW w:w="3218" w:type="dxa"/>
            <w:gridSpan w:val="3"/>
            <w:tcBorders>
              <w:top w:val="single" w:color="000000" w:sz="2" w:space="0"/>
            </w:tcBorders>
          </w:tcPr>
          <w:p>
            <w:pPr>
              <w:widowControl/>
              <w:kinsoku w:val="0"/>
              <w:autoSpaceDE w:val="0"/>
              <w:autoSpaceDN w:val="0"/>
              <w:adjustRightInd w:val="0"/>
              <w:snapToGrid w:val="0"/>
              <w:spacing w:before="183" w:line="220" w:lineRule="auto"/>
              <w:ind w:left="1251"/>
              <w:jc w:val="left"/>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spacing w:val="-3"/>
                <w:kern w:val="0"/>
                <w:sz w:val="24"/>
                <w:szCs w:val="24"/>
                <w:lang w:eastAsia="en-US"/>
              </w:rPr>
              <w:t>路面亮度</w:t>
            </w:r>
          </w:p>
        </w:tc>
        <w:tc>
          <w:tcPr>
            <w:tcW w:w="2435" w:type="dxa"/>
            <w:gridSpan w:val="2"/>
            <w:tcBorders>
              <w:top w:val="single" w:color="000000" w:sz="2" w:space="0"/>
            </w:tcBorders>
          </w:tcPr>
          <w:p>
            <w:pPr>
              <w:widowControl/>
              <w:kinsoku w:val="0"/>
              <w:autoSpaceDE w:val="0"/>
              <w:autoSpaceDN w:val="0"/>
              <w:adjustRightInd w:val="0"/>
              <w:snapToGrid w:val="0"/>
              <w:spacing w:before="183" w:line="220" w:lineRule="auto"/>
              <w:ind w:left="833"/>
              <w:jc w:val="left"/>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spacing w:val="-3"/>
                <w:kern w:val="0"/>
                <w:sz w:val="24"/>
                <w:szCs w:val="24"/>
                <w:lang w:eastAsia="en-US"/>
              </w:rPr>
              <w:t>路面照度</w:t>
            </w:r>
          </w:p>
        </w:tc>
        <w:tc>
          <w:tcPr>
            <w:tcW w:w="971" w:type="dxa"/>
            <w:vMerge w:val="restart"/>
            <w:tcBorders>
              <w:top w:val="single" w:color="000000" w:sz="2" w:space="0"/>
              <w:bottom w:val="nil"/>
            </w:tcBorders>
          </w:tcPr>
          <w:p>
            <w:pPr>
              <w:widowControl/>
              <w:kinsoku w:val="0"/>
              <w:autoSpaceDE w:val="0"/>
              <w:autoSpaceDN w:val="0"/>
              <w:adjustRightInd w:val="0"/>
              <w:snapToGrid w:val="0"/>
              <w:spacing w:before="229" w:line="237" w:lineRule="auto"/>
              <w:ind w:left="166" w:right="153" w:firstLine="9"/>
              <w:jc w:val="left"/>
              <w:textAlignment w:val="baseline"/>
              <w:rPr>
                <w:rFonts w:ascii="Times New Roman" w:hAnsi="Times New Roman" w:cs="Arial"/>
                <w:b w:val="0"/>
                <w:snapToGrid w:val="0"/>
                <w:color w:val="000000"/>
                <w:kern w:val="0"/>
                <w:sz w:val="24"/>
                <w:szCs w:val="24"/>
              </w:rPr>
            </w:pPr>
            <w:r>
              <w:rPr>
                <w:rFonts w:ascii="Times New Roman" w:hAnsi="Times New Roman" w:cs="Arial"/>
                <w:b w:val="0"/>
                <w:snapToGrid w:val="0"/>
                <w:color w:val="000000"/>
                <w:spacing w:val="-7"/>
                <w:kern w:val="0"/>
                <w:sz w:val="24"/>
                <w:szCs w:val="24"/>
              </w:rPr>
              <w:t>眩光限</w:t>
            </w:r>
            <w:r>
              <w:rPr>
                <w:rFonts w:ascii="Times New Roman" w:hAnsi="Times New Roman" w:cs="Arial"/>
                <w:b w:val="0"/>
                <w:snapToGrid w:val="0"/>
                <w:color w:val="000000"/>
                <w:spacing w:val="-4"/>
                <w:kern w:val="0"/>
                <w:sz w:val="24"/>
                <w:szCs w:val="24"/>
              </w:rPr>
              <w:t>制阈值</w:t>
            </w:r>
            <w:r>
              <w:rPr>
                <w:rFonts w:ascii="Times New Roman" w:hAnsi="Times New Roman" w:cs="Arial"/>
                <w:b w:val="0"/>
                <w:snapToGrid w:val="0"/>
                <w:color w:val="000000"/>
                <w:spacing w:val="54"/>
                <w:kern w:val="0"/>
                <w:sz w:val="24"/>
                <w:szCs w:val="24"/>
              </w:rPr>
              <w:t>增量</w:t>
            </w:r>
            <w:r>
              <w:rPr>
                <w:rFonts w:ascii="Times New Roman" w:hAnsi="Times New Roman" w:cs="Arial"/>
                <w:b w:val="0"/>
                <w:snapToGrid w:val="0"/>
                <w:color w:val="000000"/>
                <w:spacing w:val="9"/>
                <w:kern w:val="0"/>
                <w:sz w:val="24"/>
                <w:szCs w:val="24"/>
              </w:rPr>
              <w:t>T1(%)</w:t>
            </w:r>
            <w:r>
              <w:rPr>
                <w:rFonts w:ascii="Times New Roman" w:hAnsi="Times New Roman" w:cs="Arial"/>
                <w:b w:val="0"/>
                <w:snapToGrid w:val="0"/>
                <w:color w:val="000000"/>
                <w:spacing w:val="-4"/>
                <w:kern w:val="0"/>
                <w:sz w:val="24"/>
                <w:szCs w:val="24"/>
              </w:rPr>
              <w:t>最大初</w:t>
            </w:r>
            <w:r>
              <w:rPr>
                <w:rFonts w:ascii="Times New Roman" w:hAnsi="Times New Roman" w:cs="Arial"/>
                <w:b w:val="0"/>
                <w:snapToGrid w:val="0"/>
                <w:color w:val="000000"/>
                <w:spacing w:val="54"/>
                <w:kern w:val="0"/>
                <w:sz w:val="24"/>
                <w:szCs w:val="24"/>
              </w:rPr>
              <w:t>始值</w:t>
            </w:r>
          </w:p>
        </w:tc>
        <w:tc>
          <w:tcPr>
            <w:tcW w:w="1108" w:type="dxa"/>
            <w:vMerge w:val="restart"/>
            <w:tcBorders>
              <w:top w:val="single" w:color="000000" w:sz="2" w:space="0"/>
              <w:bottom w:val="nil"/>
              <w:right w:val="single" w:color="000000" w:sz="2" w:space="0"/>
            </w:tcBorders>
          </w:tcPr>
          <w:p>
            <w:pPr>
              <w:widowControl/>
              <w:kinsoku w:val="0"/>
              <w:autoSpaceDE w:val="0"/>
              <w:autoSpaceDN w:val="0"/>
              <w:adjustRightInd w:val="0"/>
              <w:snapToGrid w:val="0"/>
              <w:spacing w:before="78" w:line="220" w:lineRule="auto"/>
              <w:ind w:left="231" w:firstLine="468" w:firstLineChars="200"/>
              <w:jc w:val="left"/>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spacing w:val="-3"/>
                <w:kern w:val="0"/>
                <w:sz w:val="24"/>
                <w:szCs w:val="24"/>
                <w:lang w:eastAsia="en-US"/>
              </w:rPr>
              <w:t>环境比</w:t>
            </w:r>
          </w:p>
          <w:p>
            <w:pPr>
              <w:widowControl/>
              <w:kinsoku w:val="0"/>
              <w:autoSpaceDE w:val="0"/>
              <w:autoSpaceDN w:val="0"/>
              <w:adjustRightInd w:val="0"/>
              <w:snapToGrid w:val="0"/>
              <w:spacing w:before="25" w:line="220" w:lineRule="auto"/>
              <w:ind w:left="202" w:firstLine="460" w:firstLineChars="200"/>
              <w:jc w:val="left"/>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spacing w:val="-5"/>
                <w:kern w:val="0"/>
                <w:sz w:val="24"/>
                <w:szCs w:val="24"/>
                <w:lang w:eastAsia="en-US"/>
              </w:rPr>
              <w:t>SR最小</w:t>
            </w:r>
          </w:p>
          <w:p>
            <w:pPr>
              <w:widowControl/>
              <w:kinsoku w:val="0"/>
              <w:autoSpaceDE w:val="0"/>
              <w:autoSpaceDN w:val="0"/>
              <w:adjustRightInd w:val="0"/>
              <w:snapToGrid w:val="0"/>
              <w:spacing w:before="26" w:line="220" w:lineRule="auto"/>
              <w:ind w:left="471" w:firstLine="480" w:firstLineChars="200"/>
              <w:jc w:val="left"/>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kern w:val="0"/>
                <w:sz w:val="24"/>
                <w:szCs w:val="24"/>
                <w:lang w:eastAsia="en-US"/>
              </w:rPr>
              <w:t>值</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7" w:hRule="atLeast"/>
        </w:trPr>
        <w:tc>
          <w:tcPr>
            <w:tcW w:w="761" w:type="dxa"/>
            <w:vMerge w:val="continue"/>
            <w:tcBorders>
              <w:top w:val="nil"/>
              <w:left w:val="single" w:color="000000" w:sz="2" w:space="0"/>
            </w:tcBorders>
          </w:tcPr>
          <w:p>
            <w:pPr>
              <w:widowControl/>
              <w:kinsoku w:val="0"/>
              <w:autoSpaceDE w:val="0"/>
              <w:autoSpaceDN w:val="0"/>
              <w:adjustRightInd w:val="0"/>
              <w:snapToGrid w:val="0"/>
              <w:jc w:val="left"/>
              <w:textAlignment w:val="baseline"/>
              <w:rPr>
                <w:rFonts w:ascii="Times New Roman" w:hAnsi="Times New Roman" w:eastAsia="Arial" w:cs="Arial"/>
                <w:b w:val="0"/>
                <w:snapToGrid w:val="0"/>
                <w:color w:val="000000"/>
                <w:kern w:val="0"/>
                <w:sz w:val="21"/>
                <w:szCs w:val="21"/>
                <w:lang w:eastAsia="en-US"/>
              </w:rPr>
            </w:pPr>
          </w:p>
        </w:tc>
        <w:tc>
          <w:tcPr>
            <w:tcW w:w="1132" w:type="dxa"/>
            <w:vMerge w:val="continue"/>
            <w:tcBorders>
              <w:top w:val="nil"/>
            </w:tcBorders>
          </w:tcPr>
          <w:p>
            <w:pPr>
              <w:widowControl/>
              <w:kinsoku w:val="0"/>
              <w:autoSpaceDE w:val="0"/>
              <w:autoSpaceDN w:val="0"/>
              <w:adjustRightInd w:val="0"/>
              <w:snapToGrid w:val="0"/>
              <w:jc w:val="left"/>
              <w:textAlignment w:val="baseline"/>
              <w:rPr>
                <w:rFonts w:ascii="Times New Roman" w:hAnsi="Times New Roman" w:eastAsia="Arial" w:cs="Arial"/>
                <w:b w:val="0"/>
                <w:snapToGrid w:val="0"/>
                <w:color w:val="000000"/>
                <w:kern w:val="0"/>
                <w:sz w:val="21"/>
                <w:szCs w:val="21"/>
                <w:lang w:eastAsia="en-US"/>
              </w:rPr>
            </w:pPr>
          </w:p>
        </w:tc>
        <w:tc>
          <w:tcPr>
            <w:tcW w:w="1030" w:type="dxa"/>
          </w:tcPr>
          <w:p>
            <w:pPr>
              <w:widowControl/>
              <w:kinsoku w:val="0"/>
              <w:autoSpaceDE w:val="0"/>
              <w:autoSpaceDN w:val="0"/>
              <w:adjustRightInd w:val="0"/>
              <w:snapToGrid w:val="0"/>
              <w:spacing w:before="225" w:line="220" w:lineRule="auto"/>
              <w:ind w:left="192" w:firstLine="472" w:firstLineChars="200"/>
              <w:jc w:val="left"/>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spacing w:val="-2"/>
                <w:kern w:val="0"/>
                <w:sz w:val="24"/>
                <w:szCs w:val="24"/>
                <w:lang w:eastAsia="en-US"/>
              </w:rPr>
              <w:t>平均亮</w:t>
            </w:r>
          </w:p>
          <w:p>
            <w:pPr>
              <w:widowControl/>
              <w:kinsoku w:val="0"/>
              <w:autoSpaceDE w:val="0"/>
              <w:autoSpaceDN w:val="0"/>
              <w:adjustRightInd w:val="0"/>
              <w:snapToGrid w:val="0"/>
              <w:spacing w:before="26" w:line="220" w:lineRule="auto"/>
              <w:ind w:left="462" w:firstLine="480" w:firstLineChars="200"/>
              <w:jc w:val="left"/>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kern w:val="0"/>
                <w:sz w:val="24"/>
                <w:szCs w:val="24"/>
                <w:lang w:eastAsia="en-US"/>
              </w:rPr>
              <w:t>度</w:t>
            </w:r>
          </w:p>
          <w:p>
            <w:pPr>
              <w:widowControl/>
              <w:kinsoku w:val="0"/>
              <w:autoSpaceDE w:val="0"/>
              <w:autoSpaceDN w:val="0"/>
              <w:adjustRightInd w:val="0"/>
              <w:snapToGrid w:val="0"/>
              <w:spacing w:before="26" w:line="222" w:lineRule="auto"/>
              <w:ind w:left="131" w:firstLine="476" w:firstLineChars="200"/>
              <w:jc w:val="left"/>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spacing w:val="-1"/>
                <w:kern w:val="0"/>
                <w:sz w:val="24"/>
                <w:szCs w:val="24"/>
                <w:lang w:eastAsia="en-US"/>
              </w:rPr>
              <w:t>Lav(cd/</w:t>
            </w:r>
          </w:p>
          <w:p>
            <w:pPr>
              <w:widowControl/>
              <w:kinsoku w:val="0"/>
              <w:autoSpaceDE w:val="0"/>
              <w:autoSpaceDN w:val="0"/>
              <w:adjustRightInd w:val="0"/>
              <w:snapToGrid w:val="0"/>
              <w:spacing w:before="23" w:line="222" w:lineRule="auto"/>
              <w:ind w:left="367" w:firstLine="476" w:firstLineChars="200"/>
              <w:jc w:val="left"/>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spacing w:val="-1"/>
                <w:kern w:val="0"/>
                <w:sz w:val="24"/>
                <w:szCs w:val="24"/>
                <w:lang w:eastAsia="en-US"/>
              </w:rPr>
              <w:t>m2)</w:t>
            </w:r>
          </w:p>
        </w:tc>
        <w:tc>
          <w:tcPr>
            <w:tcW w:w="1093" w:type="dxa"/>
          </w:tcPr>
          <w:p>
            <w:pPr>
              <w:widowControl/>
              <w:kinsoku w:val="0"/>
              <w:autoSpaceDE w:val="0"/>
              <w:autoSpaceDN w:val="0"/>
              <w:adjustRightInd w:val="0"/>
              <w:snapToGrid w:val="0"/>
              <w:spacing w:before="78" w:line="220" w:lineRule="auto"/>
              <w:ind w:left="115" w:firstLine="468" w:firstLineChars="200"/>
              <w:jc w:val="left"/>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spacing w:val="-3"/>
                <w:kern w:val="0"/>
                <w:sz w:val="24"/>
                <w:szCs w:val="24"/>
                <w:lang w:eastAsia="en-US"/>
              </w:rPr>
              <w:t>总均匀度</w:t>
            </w:r>
          </w:p>
          <w:p>
            <w:pPr>
              <w:widowControl/>
              <w:kinsoku w:val="0"/>
              <w:autoSpaceDE w:val="0"/>
              <w:autoSpaceDN w:val="0"/>
              <w:adjustRightInd w:val="0"/>
              <w:snapToGrid w:val="0"/>
              <w:spacing w:before="25" w:line="220" w:lineRule="auto"/>
              <w:ind w:left="193" w:firstLine="468" w:firstLineChars="200"/>
              <w:jc w:val="left"/>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spacing w:val="-3"/>
                <w:kern w:val="0"/>
                <w:sz w:val="24"/>
                <w:szCs w:val="24"/>
                <w:lang w:eastAsia="en-US"/>
              </w:rPr>
              <w:t>Uo最小</w:t>
            </w:r>
          </w:p>
          <w:p>
            <w:pPr>
              <w:widowControl/>
              <w:kinsoku w:val="0"/>
              <w:autoSpaceDE w:val="0"/>
              <w:autoSpaceDN w:val="0"/>
              <w:adjustRightInd w:val="0"/>
              <w:snapToGrid w:val="0"/>
              <w:spacing w:before="26" w:line="220" w:lineRule="auto"/>
              <w:ind w:left="469" w:firstLine="480" w:firstLineChars="200"/>
              <w:jc w:val="left"/>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kern w:val="0"/>
                <w:sz w:val="24"/>
                <w:szCs w:val="24"/>
                <w:lang w:eastAsia="en-US"/>
              </w:rPr>
              <w:t>值</w:t>
            </w:r>
          </w:p>
        </w:tc>
        <w:tc>
          <w:tcPr>
            <w:tcW w:w="1093" w:type="dxa"/>
          </w:tcPr>
          <w:p>
            <w:pPr>
              <w:widowControl/>
              <w:kinsoku w:val="0"/>
              <w:autoSpaceDE w:val="0"/>
              <w:autoSpaceDN w:val="0"/>
              <w:adjustRightInd w:val="0"/>
              <w:snapToGrid w:val="0"/>
              <w:spacing w:before="78" w:line="220" w:lineRule="auto"/>
              <w:ind w:left="113" w:firstLine="468" w:firstLineChars="200"/>
              <w:jc w:val="left"/>
              <w:textAlignment w:val="baseline"/>
              <w:rPr>
                <w:rFonts w:ascii="Times New Roman" w:hAnsi="Times New Roman" w:cs="Arial"/>
                <w:b w:val="0"/>
                <w:snapToGrid w:val="0"/>
                <w:color w:val="000000"/>
                <w:kern w:val="0"/>
                <w:sz w:val="24"/>
                <w:szCs w:val="24"/>
              </w:rPr>
            </w:pPr>
            <w:r>
              <w:rPr>
                <w:rFonts w:ascii="Times New Roman" w:hAnsi="Times New Roman" w:cs="Arial"/>
                <w:b w:val="0"/>
                <w:snapToGrid w:val="0"/>
                <w:color w:val="000000"/>
                <w:spacing w:val="-3"/>
                <w:kern w:val="0"/>
                <w:sz w:val="24"/>
                <w:szCs w:val="24"/>
              </w:rPr>
              <w:t>纵向均匀</w:t>
            </w:r>
          </w:p>
          <w:p>
            <w:pPr>
              <w:widowControl/>
              <w:kinsoku w:val="0"/>
              <w:autoSpaceDE w:val="0"/>
              <w:autoSpaceDN w:val="0"/>
              <w:adjustRightInd w:val="0"/>
              <w:snapToGrid w:val="0"/>
              <w:spacing w:before="25" w:line="220" w:lineRule="auto"/>
              <w:ind w:left="169" w:firstLine="464" w:firstLineChars="200"/>
              <w:jc w:val="left"/>
              <w:textAlignment w:val="baseline"/>
              <w:rPr>
                <w:rFonts w:ascii="Times New Roman" w:hAnsi="Times New Roman" w:cs="Arial"/>
                <w:b w:val="0"/>
                <w:snapToGrid w:val="0"/>
                <w:color w:val="000000"/>
                <w:kern w:val="0"/>
                <w:sz w:val="24"/>
                <w:szCs w:val="24"/>
              </w:rPr>
            </w:pPr>
            <w:r>
              <w:rPr>
                <w:rFonts w:ascii="Times New Roman" w:hAnsi="Times New Roman" w:cs="Arial"/>
                <w:b w:val="0"/>
                <w:snapToGrid w:val="0"/>
                <w:color w:val="000000"/>
                <w:spacing w:val="-4"/>
                <w:kern w:val="0"/>
                <w:sz w:val="24"/>
                <w:szCs w:val="24"/>
              </w:rPr>
              <w:t>度UL最</w:t>
            </w:r>
          </w:p>
          <w:p>
            <w:pPr>
              <w:widowControl/>
              <w:kinsoku w:val="0"/>
              <w:autoSpaceDE w:val="0"/>
              <w:autoSpaceDN w:val="0"/>
              <w:adjustRightInd w:val="0"/>
              <w:snapToGrid w:val="0"/>
              <w:spacing w:before="26" w:line="220" w:lineRule="auto"/>
              <w:ind w:left="356" w:firstLine="464" w:firstLineChars="200"/>
              <w:jc w:val="left"/>
              <w:textAlignment w:val="baseline"/>
              <w:rPr>
                <w:rFonts w:ascii="Times New Roman" w:hAnsi="Times New Roman" w:cs="Arial"/>
                <w:b w:val="0"/>
                <w:snapToGrid w:val="0"/>
                <w:color w:val="000000"/>
                <w:kern w:val="0"/>
                <w:sz w:val="24"/>
                <w:szCs w:val="24"/>
              </w:rPr>
            </w:pPr>
            <w:r>
              <w:rPr>
                <w:rFonts w:ascii="Times New Roman" w:hAnsi="Times New Roman" w:cs="Arial"/>
                <w:b w:val="0"/>
                <w:snapToGrid w:val="0"/>
                <w:color w:val="000000"/>
                <w:spacing w:val="-4"/>
                <w:kern w:val="0"/>
                <w:sz w:val="24"/>
                <w:szCs w:val="24"/>
              </w:rPr>
              <w:t>小值</w:t>
            </w:r>
          </w:p>
        </w:tc>
        <w:tc>
          <w:tcPr>
            <w:tcW w:w="1341" w:type="dxa"/>
          </w:tcPr>
          <w:p>
            <w:pPr>
              <w:widowControl/>
              <w:kinsoku w:val="0"/>
              <w:autoSpaceDE w:val="0"/>
              <w:autoSpaceDN w:val="0"/>
              <w:adjustRightInd w:val="0"/>
              <w:snapToGrid w:val="0"/>
              <w:spacing w:before="78" w:line="220" w:lineRule="auto"/>
              <w:ind w:left="242" w:firstLine="472" w:firstLineChars="200"/>
              <w:jc w:val="left"/>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spacing w:val="-2"/>
                <w:kern w:val="0"/>
                <w:sz w:val="24"/>
                <w:szCs w:val="24"/>
                <w:lang w:eastAsia="en-US"/>
              </w:rPr>
              <w:t>平均照度</w:t>
            </w:r>
          </w:p>
          <w:p>
            <w:pPr>
              <w:widowControl/>
              <w:kinsoku w:val="0"/>
              <w:autoSpaceDE w:val="0"/>
              <w:autoSpaceDN w:val="0"/>
              <w:adjustRightInd w:val="0"/>
              <w:snapToGrid w:val="0"/>
              <w:spacing w:before="25" w:line="220" w:lineRule="auto"/>
              <w:ind w:left="180" w:firstLine="476" w:firstLineChars="200"/>
              <w:jc w:val="left"/>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spacing w:val="-1"/>
                <w:kern w:val="0"/>
                <w:sz w:val="24"/>
                <w:szCs w:val="24"/>
                <w:lang w:eastAsia="en-US"/>
              </w:rPr>
              <w:t>Eav(lx)维</w:t>
            </w:r>
          </w:p>
          <w:p>
            <w:pPr>
              <w:widowControl/>
              <w:kinsoku w:val="0"/>
              <w:autoSpaceDE w:val="0"/>
              <w:autoSpaceDN w:val="0"/>
              <w:adjustRightInd w:val="0"/>
              <w:snapToGrid w:val="0"/>
              <w:spacing w:before="25" w:line="220" w:lineRule="auto"/>
              <w:ind w:left="486" w:firstLine="464" w:firstLineChars="200"/>
              <w:jc w:val="left"/>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spacing w:val="-4"/>
                <w:kern w:val="0"/>
                <w:sz w:val="24"/>
                <w:szCs w:val="24"/>
                <w:lang w:eastAsia="en-US"/>
              </w:rPr>
              <w:t>持值</w:t>
            </w:r>
          </w:p>
        </w:tc>
        <w:tc>
          <w:tcPr>
            <w:tcW w:w="1093" w:type="dxa"/>
          </w:tcPr>
          <w:p>
            <w:pPr>
              <w:widowControl/>
              <w:kinsoku w:val="0"/>
              <w:autoSpaceDE w:val="0"/>
              <w:autoSpaceDN w:val="0"/>
              <w:adjustRightInd w:val="0"/>
              <w:snapToGrid w:val="0"/>
              <w:spacing w:before="78" w:line="220" w:lineRule="auto"/>
              <w:ind w:left="231" w:firstLine="468" w:firstLineChars="200"/>
              <w:jc w:val="left"/>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spacing w:val="-3"/>
                <w:kern w:val="0"/>
                <w:sz w:val="24"/>
                <w:szCs w:val="24"/>
                <w:lang w:eastAsia="en-US"/>
              </w:rPr>
              <w:t>均匀度</w:t>
            </w:r>
          </w:p>
          <w:p>
            <w:pPr>
              <w:widowControl/>
              <w:kinsoku w:val="0"/>
              <w:autoSpaceDE w:val="0"/>
              <w:autoSpaceDN w:val="0"/>
              <w:adjustRightInd w:val="0"/>
              <w:snapToGrid w:val="0"/>
              <w:spacing w:before="25" w:line="220" w:lineRule="auto"/>
              <w:ind w:left="194" w:firstLine="468" w:firstLineChars="200"/>
              <w:jc w:val="left"/>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spacing w:val="-3"/>
                <w:kern w:val="0"/>
                <w:sz w:val="24"/>
                <w:szCs w:val="24"/>
                <w:lang w:eastAsia="en-US"/>
              </w:rPr>
              <w:t>UE最小</w:t>
            </w:r>
          </w:p>
          <w:p>
            <w:pPr>
              <w:widowControl/>
              <w:kinsoku w:val="0"/>
              <w:autoSpaceDE w:val="0"/>
              <w:autoSpaceDN w:val="0"/>
              <w:adjustRightInd w:val="0"/>
              <w:snapToGrid w:val="0"/>
              <w:spacing w:before="26" w:line="220" w:lineRule="auto"/>
              <w:ind w:left="470" w:firstLine="480" w:firstLineChars="200"/>
              <w:jc w:val="left"/>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kern w:val="0"/>
                <w:sz w:val="24"/>
                <w:szCs w:val="24"/>
                <w:lang w:eastAsia="en-US"/>
              </w:rPr>
              <w:t>值</w:t>
            </w:r>
          </w:p>
        </w:tc>
        <w:tc>
          <w:tcPr>
            <w:tcW w:w="971" w:type="dxa"/>
            <w:vMerge w:val="continue"/>
            <w:tcBorders>
              <w:top w:val="nil"/>
            </w:tcBorders>
          </w:tcPr>
          <w:p>
            <w:pPr>
              <w:widowControl/>
              <w:kinsoku w:val="0"/>
              <w:autoSpaceDE w:val="0"/>
              <w:autoSpaceDN w:val="0"/>
              <w:adjustRightInd w:val="0"/>
              <w:snapToGrid w:val="0"/>
              <w:jc w:val="left"/>
              <w:textAlignment w:val="baseline"/>
              <w:rPr>
                <w:rFonts w:ascii="Times New Roman" w:hAnsi="Times New Roman" w:eastAsia="Arial" w:cs="Arial"/>
                <w:b w:val="0"/>
                <w:snapToGrid w:val="0"/>
                <w:color w:val="000000"/>
                <w:kern w:val="0"/>
                <w:sz w:val="21"/>
                <w:szCs w:val="21"/>
                <w:lang w:eastAsia="en-US"/>
              </w:rPr>
            </w:pPr>
          </w:p>
        </w:tc>
        <w:tc>
          <w:tcPr>
            <w:tcW w:w="1108" w:type="dxa"/>
            <w:vMerge w:val="continue"/>
            <w:tcBorders>
              <w:top w:val="nil"/>
              <w:right w:val="single" w:color="000000" w:sz="2" w:space="0"/>
            </w:tcBorders>
          </w:tcPr>
          <w:p>
            <w:pPr>
              <w:widowControl/>
              <w:kinsoku w:val="0"/>
              <w:autoSpaceDE w:val="0"/>
              <w:autoSpaceDN w:val="0"/>
              <w:adjustRightInd w:val="0"/>
              <w:snapToGrid w:val="0"/>
              <w:jc w:val="left"/>
              <w:textAlignment w:val="baseline"/>
              <w:rPr>
                <w:rFonts w:ascii="Times New Roman" w:hAnsi="Times New Roman" w:eastAsia="Arial" w:cs="Arial"/>
                <w:b w:val="0"/>
                <w:snapToGrid w:val="0"/>
                <w:color w:val="000000"/>
                <w:kern w:val="0"/>
                <w:sz w:val="21"/>
                <w:szCs w:val="21"/>
                <w:lang w:eastAsia="en-US"/>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0" w:hRule="atLeast"/>
        </w:trPr>
        <w:tc>
          <w:tcPr>
            <w:tcW w:w="761" w:type="dxa"/>
            <w:tcBorders>
              <w:left w:val="single" w:color="000000" w:sz="2" w:space="0"/>
            </w:tcBorders>
          </w:tcPr>
          <w:p>
            <w:pPr>
              <w:widowControl/>
              <w:kinsoku w:val="0"/>
              <w:autoSpaceDE w:val="0"/>
              <w:autoSpaceDN w:val="0"/>
              <w:adjustRightInd w:val="0"/>
              <w:snapToGrid w:val="0"/>
              <w:spacing w:before="159" w:line="235" w:lineRule="auto"/>
              <w:ind w:left="377"/>
              <w:jc w:val="left"/>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kern w:val="0"/>
                <w:sz w:val="24"/>
                <w:szCs w:val="24"/>
                <w:lang w:eastAsia="en-US"/>
              </w:rPr>
              <w:t>Ⅰ</w:t>
            </w:r>
          </w:p>
        </w:tc>
        <w:tc>
          <w:tcPr>
            <w:tcW w:w="1132" w:type="dxa"/>
          </w:tcPr>
          <w:p>
            <w:pPr>
              <w:widowControl/>
              <w:kinsoku w:val="0"/>
              <w:autoSpaceDE w:val="0"/>
              <w:autoSpaceDN w:val="0"/>
              <w:adjustRightInd w:val="0"/>
              <w:snapToGrid w:val="0"/>
              <w:spacing w:before="159" w:line="219" w:lineRule="auto"/>
              <w:ind w:left="248"/>
              <w:jc w:val="center"/>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spacing w:val="-3"/>
                <w:kern w:val="0"/>
                <w:sz w:val="24"/>
                <w:szCs w:val="24"/>
                <w:lang w:eastAsia="en-US"/>
              </w:rPr>
              <w:t>主干路</w:t>
            </w:r>
          </w:p>
        </w:tc>
        <w:tc>
          <w:tcPr>
            <w:tcW w:w="1030" w:type="dxa"/>
          </w:tcPr>
          <w:p>
            <w:pPr>
              <w:widowControl/>
              <w:kinsoku w:val="0"/>
              <w:autoSpaceDE w:val="0"/>
              <w:autoSpaceDN w:val="0"/>
              <w:adjustRightInd w:val="0"/>
              <w:snapToGrid w:val="0"/>
              <w:spacing w:before="159" w:line="225" w:lineRule="auto"/>
              <w:ind w:left="271"/>
              <w:jc w:val="center"/>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spacing w:val="-6"/>
                <w:kern w:val="0"/>
                <w:sz w:val="24"/>
                <w:szCs w:val="24"/>
                <w:lang w:eastAsia="en-US"/>
              </w:rPr>
              <w:t>1.5/2</w:t>
            </w:r>
          </w:p>
        </w:tc>
        <w:tc>
          <w:tcPr>
            <w:tcW w:w="1093" w:type="dxa"/>
          </w:tcPr>
          <w:p>
            <w:pPr>
              <w:widowControl/>
              <w:kinsoku w:val="0"/>
              <w:autoSpaceDE w:val="0"/>
              <w:autoSpaceDN w:val="0"/>
              <w:adjustRightInd w:val="0"/>
              <w:snapToGrid w:val="0"/>
              <w:spacing w:before="197" w:line="183" w:lineRule="auto"/>
              <w:ind w:left="411"/>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spacing w:val="-3"/>
                <w:kern w:val="0"/>
                <w:sz w:val="24"/>
                <w:szCs w:val="24"/>
                <w:lang w:eastAsia="en-US"/>
              </w:rPr>
              <w:t>0.4</w:t>
            </w:r>
          </w:p>
        </w:tc>
        <w:tc>
          <w:tcPr>
            <w:tcW w:w="1093" w:type="dxa"/>
          </w:tcPr>
          <w:p>
            <w:pPr>
              <w:widowControl/>
              <w:kinsoku w:val="0"/>
              <w:autoSpaceDE w:val="0"/>
              <w:autoSpaceDN w:val="0"/>
              <w:adjustRightInd w:val="0"/>
              <w:snapToGrid w:val="0"/>
              <w:spacing w:before="197" w:line="183" w:lineRule="auto"/>
              <w:jc w:val="center"/>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spacing w:val="-3"/>
                <w:kern w:val="0"/>
                <w:sz w:val="24"/>
                <w:szCs w:val="24"/>
                <w:lang w:eastAsia="en-US"/>
              </w:rPr>
              <w:t>0.7</w:t>
            </w:r>
          </w:p>
        </w:tc>
        <w:tc>
          <w:tcPr>
            <w:tcW w:w="1341" w:type="dxa"/>
          </w:tcPr>
          <w:p>
            <w:pPr>
              <w:widowControl/>
              <w:kinsoku w:val="0"/>
              <w:autoSpaceDE w:val="0"/>
              <w:autoSpaceDN w:val="0"/>
              <w:adjustRightInd w:val="0"/>
              <w:snapToGrid w:val="0"/>
              <w:spacing w:before="159" w:line="225" w:lineRule="auto"/>
              <w:ind w:left="426"/>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spacing w:val="-2"/>
                <w:kern w:val="0"/>
                <w:sz w:val="24"/>
                <w:szCs w:val="24"/>
                <w:lang w:eastAsia="en-US"/>
              </w:rPr>
              <w:t>20/30</w:t>
            </w:r>
          </w:p>
        </w:tc>
        <w:tc>
          <w:tcPr>
            <w:tcW w:w="1093" w:type="dxa"/>
          </w:tcPr>
          <w:p>
            <w:pPr>
              <w:widowControl/>
              <w:kinsoku w:val="0"/>
              <w:autoSpaceDE w:val="0"/>
              <w:autoSpaceDN w:val="0"/>
              <w:adjustRightInd w:val="0"/>
              <w:snapToGrid w:val="0"/>
              <w:spacing w:before="197" w:line="183" w:lineRule="auto"/>
              <w:ind w:left="412"/>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spacing w:val="-3"/>
                <w:kern w:val="0"/>
                <w:sz w:val="24"/>
                <w:szCs w:val="24"/>
                <w:lang w:eastAsia="en-US"/>
              </w:rPr>
              <w:t>0.4</w:t>
            </w:r>
          </w:p>
        </w:tc>
        <w:tc>
          <w:tcPr>
            <w:tcW w:w="971" w:type="dxa"/>
          </w:tcPr>
          <w:p>
            <w:pPr>
              <w:widowControl/>
              <w:kinsoku w:val="0"/>
              <w:autoSpaceDE w:val="0"/>
              <w:autoSpaceDN w:val="0"/>
              <w:adjustRightInd w:val="0"/>
              <w:snapToGrid w:val="0"/>
              <w:spacing w:before="196" w:line="184" w:lineRule="auto"/>
              <w:ind w:left="422"/>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spacing w:val="-7"/>
                <w:kern w:val="0"/>
                <w:sz w:val="24"/>
                <w:szCs w:val="24"/>
                <w:lang w:eastAsia="en-US"/>
              </w:rPr>
              <w:t>10</w:t>
            </w:r>
          </w:p>
        </w:tc>
        <w:tc>
          <w:tcPr>
            <w:tcW w:w="1108" w:type="dxa"/>
            <w:tcBorders>
              <w:right w:val="single" w:color="000000" w:sz="2" w:space="0"/>
            </w:tcBorders>
          </w:tcPr>
          <w:p>
            <w:pPr>
              <w:widowControl/>
              <w:kinsoku w:val="0"/>
              <w:autoSpaceDE w:val="0"/>
              <w:autoSpaceDN w:val="0"/>
              <w:adjustRightInd w:val="0"/>
              <w:snapToGrid w:val="0"/>
              <w:spacing w:before="197" w:line="183" w:lineRule="auto"/>
              <w:ind w:left="413"/>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spacing w:val="-3"/>
                <w:kern w:val="0"/>
                <w:sz w:val="24"/>
                <w:szCs w:val="24"/>
                <w:lang w:eastAsia="en-US"/>
              </w:rPr>
              <w:t>0.5</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0" w:hRule="atLeast"/>
        </w:trPr>
        <w:tc>
          <w:tcPr>
            <w:tcW w:w="761" w:type="dxa"/>
            <w:tcBorders>
              <w:left w:val="single" w:color="000000" w:sz="2" w:space="0"/>
            </w:tcBorders>
          </w:tcPr>
          <w:p>
            <w:pPr>
              <w:pStyle w:val="391"/>
              <w:widowControl/>
              <w:kinsoku w:val="0"/>
              <w:autoSpaceDE w:val="0"/>
              <w:autoSpaceDN w:val="0"/>
              <w:adjustRightInd w:val="0"/>
              <w:snapToGrid w:val="0"/>
              <w:spacing w:before="159" w:line="235" w:lineRule="auto"/>
              <w:ind w:left="377"/>
              <w:jc w:val="left"/>
              <w:textAlignment w:val="baseline"/>
              <w:rPr>
                <w:rFonts w:ascii="Times New Roman" w:hAnsi="Times New Roman" w:cs="Times New Roman"/>
                <w:b w:val="0"/>
                <w:snapToGrid w:val="0"/>
                <w:color w:val="000000"/>
                <w:kern w:val="0"/>
              </w:rPr>
            </w:pPr>
            <w:r>
              <w:rPr>
                <w:rFonts w:ascii="Times New Roman" w:hAnsi="Times New Roman" w:cs="Times New Roman"/>
                <w:b w:val="0"/>
                <w:snapToGrid w:val="0"/>
                <w:color w:val="000000"/>
                <w:kern w:val="0"/>
              </w:rPr>
              <w:t>Ⅱ</w:t>
            </w:r>
          </w:p>
        </w:tc>
        <w:tc>
          <w:tcPr>
            <w:tcW w:w="1132" w:type="dxa"/>
          </w:tcPr>
          <w:p>
            <w:pPr>
              <w:pStyle w:val="391"/>
              <w:widowControl/>
              <w:kinsoku w:val="0"/>
              <w:autoSpaceDE w:val="0"/>
              <w:autoSpaceDN w:val="0"/>
              <w:adjustRightInd w:val="0"/>
              <w:snapToGrid w:val="0"/>
              <w:spacing w:before="159" w:line="235" w:lineRule="auto"/>
              <w:jc w:val="center"/>
              <w:textAlignment w:val="baseline"/>
              <w:rPr>
                <w:rFonts w:ascii="Times New Roman" w:hAnsi="Times New Roman" w:cs="Times New Roman"/>
                <w:b w:val="0"/>
                <w:snapToGrid w:val="0"/>
                <w:color w:val="000000"/>
                <w:kern w:val="0"/>
              </w:rPr>
            </w:pPr>
            <w:r>
              <w:rPr>
                <w:rFonts w:ascii="Times New Roman" w:hAnsi="Times New Roman" w:cs="Times New Roman"/>
                <w:b w:val="0"/>
                <w:snapToGrid w:val="0"/>
                <w:color w:val="000000"/>
                <w:kern w:val="0"/>
              </w:rPr>
              <w:t>次干路</w:t>
            </w:r>
          </w:p>
        </w:tc>
        <w:tc>
          <w:tcPr>
            <w:tcW w:w="1030" w:type="dxa"/>
          </w:tcPr>
          <w:p>
            <w:pPr>
              <w:pStyle w:val="391"/>
              <w:widowControl/>
              <w:kinsoku w:val="0"/>
              <w:autoSpaceDE w:val="0"/>
              <w:autoSpaceDN w:val="0"/>
              <w:adjustRightInd w:val="0"/>
              <w:snapToGrid w:val="0"/>
              <w:spacing w:before="159" w:line="235" w:lineRule="auto"/>
              <w:ind w:left="377" w:right="127" w:hanging="347"/>
              <w:jc w:val="center"/>
              <w:textAlignment w:val="baseline"/>
              <w:rPr>
                <w:rFonts w:ascii="Times New Roman" w:hAnsi="Times New Roman" w:cs="Times New Roman"/>
                <w:b w:val="0"/>
                <w:snapToGrid w:val="0"/>
                <w:color w:val="000000"/>
                <w:kern w:val="0"/>
              </w:rPr>
            </w:pPr>
            <w:r>
              <w:rPr>
                <w:rFonts w:ascii="Times New Roman" w:hAnsi="Times New Roman" w:cs="Times New Roman"/>
                <w:b w:val="0"/>
                <w:snapToGrid w:val="0"/>
                <w:color w:val="000000"/>
                <w:kern w:val="0"/>
              </w:rPr>
              <w:t>1.00/1.5</w:t>
            </w:r>
          </w:p>
        </w:tc>
        <w:tc>
          <w:tcPr>
            <w:tcW w:w="1093" w:type="dxa"/>
          </w:tcPr>
          <w:p>
            <w:pPr>
              <w:pStyle w:val="391"/>
              <w:widowControl/>
              <w:kinsoku w:val="0"/>
              <w:autoSpaceDE w:val="0"/>
              <w:autoSpaceDN w:val="0"/>
              <w:adjustRightInd w:val="0"/>
              <w:snapToGrid w:val="0"/>
              <w:spacing w:before="159" w:line="235" w:lineRule="auto"/>
              <w:ind w:left="377"/>
              <w:textAlignment w:val="baseline"/>
              <w:rPr>
                <w:rFonts w:ascii="Times New Roman" w:hAnsi="Times New Roman" w:cs="Times New Roman"/>
                <w:b w:val="0"/>
                <w:snapToGrid w:val="0"/>
                <w:color w:val="000000"/>
                <w:kern w:val="0"/>
              </w:rPr>
            </w:pPr>
            <w:r>
              <w:rPr>
                <w:rFonts w:ascii="Times New Roman" w:hAnsi="Times New Roman" w:cs="Times New Roman"/>
                <w:b w:val="0"/>
                <w:snapToGrid w:val="0"/>
                <w:color w:val="000000"/>
                <w:kern w:val="0"/>
              </w:rPr>
              <w:t>0.4</w:t>
            </w:r>
          </w:p>
        </w:tc>
        <w:tc>
          <w:tcPr>
            <w:tcW w:w="1093" w:type="dxa"/>
          </w:tcPr>
          <w:p>
            <w:pPr>
              <w:pStyle w:val="391"/>
              <w:widowControl/>
              <w:kinsoku w:val="0"/>
              <w:autoSpaceDE w:val="0"/>
              <w:autoSpaceDN w:val="0"/>
              <w:adjustRightInd w:val="0"/>
              <w:snapToGrid w:val="0"/>
              <w:spacing w:before="159" w:line="235" w:lineRule="auto"/>
              <w:ind w:left="377"/>
              <w:textAlignment w:val="baseline"/>
              <w:rPr>
                <w:rFonts w:ascii="Times New Roman" w:hAnsi="Times New Roman" w:cs="Times New Roman"/>
                <w:b w:val="0"/>
                <w:snapToGrid w:val="0"/>
                <w:color w:val="000000"/>
                <w:kern w:val="0"/>
              </w:rPr>
            </w:pPr>
            <w:r>
              <w:rPr>
                <w:rFonts w:ascii="Times New Roman" w:hAnsi="Times New Roman" w:cs="Times New Roman"/>
                <w:b w:val="0"/>
                <w:snapToGrid w:val="0"/>
                <w:color w:val="000000"/>
                <w:kern w:val="0"/>
              </w:rPr>
              <w:t>0.5</w:t>
            </w:r>
          </w:p>
        </w:tc>
        <w:tc>
          <w:tcPr>
            <w:tcW w:w="1341" w:type="dxa"/>
          </w:tcPr>
          <w:p>
            <w:pPr>
              <w:pStyle w:val="391"/>
              <w:widowControl/>
              <w:kinsoku w:val="0"/>
              <w:autoSpaceDE w:val="0"/>
              <w:autoSpaceDN w:val="0"/>
              <w:adjustRightInd w:val="0"/>
              <w:snapToGrid w:val="0"/>
              <w:spacing w:before="159" w:line="235" w:lineRule="auto"/>
              <w:ind w:left="377"/>
              <w:textAlignment w:val="baseline"/>
              <w:rPr>
                <w:rFonts w:ascii="Times New Roman" w:hAnsi="Times New Roman" w:cs="Times New Roman"/>
                <w:b w:val="0"/>
                <w:snapToGrid w:val="0"/>
                <w:color w:val="000000"/>
                <w:kern w:val="0"/>
              </w:rPr>
            </w:pPr>
            <w:r>
              <w:rPr>
                <w:rFonts w:ascii="Times New Roman" w:hAnsi="Times New Roman" w:cs="Times New Roman"/>
                <w:b w:val="0"/>
                <w:snapToGrid w:val="0"/>
                <w:color w:val="000000"/>
                <w:kern w:val="0"/>
              </w:rPr>
              <w:t>15/20</w:t>
            </w:r>
          </w:p>
        </w:tc>
        <w:tc>
          <w:tcPr>
            <w:tcW w:w="1093" w:type="dxa"/>
          </w:tcPr>
          <w:p>
            <w:pPr>
              <w:pStyle w:val="391"/>
              <w:widowControl/>
              <w:kinsoku w:val="0"/>
              <w:autoSpaceDE w:val="0"/>
              <w:autoSpaceDN w:val="0"/>
              <w:adjustRightInd w:val="0"/>
              <w:snapToGrid w:val="0"/>
              <w:spacing w:before="159" w:line="235" w:lineRule="auto"/>
              <w:ind w:left="377"/>
              <w:textAlignment w:val="baseline"/>
              <w:rPr>
                <w:rFonts w:ascii="Times New Roman" w:hAnsi="Times New Roman" w:cs="Times New Roman"/>
                <w:b w:val="0"/>
                <w:snapToGrid w:val="0"/>
                <w:color w:val="000000"/>
                <w:kern w:val="0"/>
              </w:rPr>
            </w:pPr>
            <w:r>
              <w:rPr>
                <w:rFonts w:ascii="Times New Roman" w:hAnsi="Times New Roman" w:cs="Times New Roman"/>
                <w:b w:val="0"/>
                <w:snapToGrid w:val="0"/>
                <w:color w:val="000000"/>
                <w:kern w:val="0"/>
              </w:rPr>
              <w:t>0.4</w:t>
            </w:r>
          </w:p>
        </w:tc>
        <w:tc>
          <w:tcPr>
            <w:tcW w:w="971" w:type="dxa"/>
          </w:tcPr>
          <w:p>
            <w:pPr>
              <w:pStyle w:val="391"/>
              <w:widowControl/>
              <w:kinsoku w:val="0"/>
              <w:autoSpaceDE w:val="0"/>
              <w:autoSpaceDN w:val="0"/>
              <w:adjustRightInd w:val="0"/>
              <w:snapToGrid w:val="0"/>
              <w:spacing w:before="159" w:line="235" w:lineRule="auto"/>
              <w:ind w:left="377"/>
              <w:textAlignment w:val="baseline"/>
              <w:rPr>
                <w:rFonts w:ascii="Times New Roman" w:hAnsi="Times New Roman" w:cs="Times New Roman"/>
                <w:b w:val="0"/>
                <w:snapToGrid w:val="0"/>
                <w:color w:val="000000"/>
                <w:kern w:val="0"/>
              </w:rPr>
            </w:pPr>
            <w:r>
              <w:rPr>
                <w:rFonts w:ascii="Times New Roman" w:hAnsi="Times New Roman" w:cs="Times New Roman"/>
                <w:b w:val="0"/>
                <w:snapToGrid w:val="0"/>
                <w:color w:val="000000"/>
                <w:kern w:val="0"/>
              </w:rPr>
              <w:t>10</w:t>
            </w:r>
          </w:p>
        </w:tc>
        <w:tc>
          <w:tcPr>
            <w:tcW w:w="1108" w:type="dxa"/>
            <w:tcBorders>
              <w:right w:val="single" w:color="000000" w:sz="2" w:space="0"/>
            </w:tcBorders>
          </w:tcPr>
          <w:p>
            <w:pPr>
              <w:pStyle w:val="391"/>
              <w:widowControl/>
              <w:kinsoku w:val="0"/>
              <w:autoSpaceDE w:val="0"/>
              <w:autoSpaceDN w:val="0"/>
              <w:adjustRightInd w:val="0"/>
              <w:snapToGrid w:val="0"/>
              <w:spacing w:before="159" w:line="235" w:lineRule="auto"/>
              <w:ind w:left="377"/>
              <w:textAlignment w:val="baseline"/>
              <w:rPr>
                <w:rFonts w:ascii="Times New Roman" w:hAnsi="Times New Roman" w:cs="Times New Roman"/>
                <w:b w:val="0"/>
                <w:snapToGrid w:val="0"/>
                <w:color w:val="000000"/>
                <w:kern w:val="0"/>
              </w:rPr>
            </w:pPr>
            <w:r>
              <w:rPr>
                <w:rFonts w:ascii="Times New Roman" w:hAnsi="Times New Roman" w:cs="Times New Roman"/>
                <w:b w:val="0"/>
                <w:snapToGrid w:val="0"/>
                <w:color w:val="000000"/>
                <w:kern w:val="0"/>
              </w:rPr>
              <w:t>0.5</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0" w:hRule="atLeast"/>
        </w:trPr>
        <w:tc>
          <w:tcPr>
            <w:tcW w:w="761" w:type="dxa"/>
            <w:tcBorders>
              <w:left w:val="single" w:color="000000" w:sz="2" w:space="0"/>
              <w:bottom w:val="single" w:color="000000" w:sz="2" w:space="0"/>
            </w:tcBorders>
          </w:tcPr>
          <w:p>
            <w:pPr>
              <w:pStyle w:val="391"/>
              <w:widowControl/>
              <w:kinsoku w:val="0"/>
              <w:autoSpaceDE w:val="0"/>
              <w:autoSpaceDN w:val="0"/>
              <w:adjustRightInd w:val="0"/>
              <w:snapToGrid w:val="0"/>
              <w:spacing w:before="159" w:line="235" w:lineRule="auto"/>
              <w:ind w:left="377"/>
              <w:jc w:val="left"/>
              <w:textAlignment w:val="baseline"/>
              <w:rPr>
                <w:rFonts w:ascii="Times New Roman" w:hAnsi="Times New Roman" w:cs="Times New Roman"/>
                <w:b w:val="0"/>
                <w:snapToGrid w:val="0"/>
                <w:color w:val="000000"/>
                <w:kern w:val="0"/>
              </w:rPr>
            </w:pPr>
            <w:r>
              <w:rPr>
                <w:rFonts w:ascii="Times New Roman" w:hAnsi="Times New Roman" w:cs="Times New Roman"/>
                <w:b w:val="0"/>
                <w:snapToGrid w:val="0"/>
                <w:color w:val="000000"/>
                <w:kern w:val="0"/>
              </w:rPr>
              <w:t>Ⅲ</w:t>
            </w:r>
          </w:p>
        </w:tc>
        <w:tc>
          <w:tcPr>
            <w:tcW w:w="1132" w:type="dxa"/>
            <w:tcBorders>
              <w:bottom w:val="single" w:color="000000" w:sz="2" w:space="0"/>
            </w:tcBorders>
          </w:tcPr>
          <w:p>
            <w:pPr>
              <w:pStyle w:val="391"/>
              <w:widowControl/>
              <w:kinsoku w:val="0"/>
              <w:autoSpaceDE w:val="0"/>
              <w:autoSpaceDN w:val="0"/>
              <w:adjustRightInd w:val="0"/>
              <w:snapToGrid w:val="0"/>
              <w:spacing w:before="159" w:line="235" w:lineRule="auto"/>
              <w:jc w:val="center"/>
              <w:textAlignment w:val="baseline"/>
              <w:rPr>
                <w:rFonts w:ascii="Times New Roman" w:hAnsi="Times New Roman" w:cs="Times New Roman"/>
                <w:b w:val="0"/>
                <w:snapToGrid w:val="0"/>
                <w:color w:val="000000"/>
                <w:kern w:val="0"/>
              </w:rPr>
            </w:pPr>
            <w:r>
              <w:rPr>
                <w:rFonts w:ascii="Times New Roman" w:hAnsi="Times New Roman" w:cs="Times New Roman"/>
                <w:b w:val="0"/>
                <w:snapToGrid w:val="0"/>
                <w:color w:val="000000"/>
                <w:kern w:val="0"/>
              </w:rPr>
              <w:t>支路</w:t>
            </w:r>
          </w:p>
        </w:tc>
        <w:tc>
          <w:tcPr>
            <w:tcW w:w="1030" w:type="dxa"/>
            <w:tcBorders>
              <w:bottom w:val="single" w:color="000000" w:sz="2" w:space="0"/>
            </w:tcBorders>
          </w:tcPr>
          <w:p>
            <w:pPr>
              <w:pStyle w:val="391"/>
              <w:widowControl/>
              <w:kinsoku w:val="0"/>
              <w:autoSpaceDE w:val="0"/>
              <w:autoSpaceDN w:val="0"/>
              <w:adjustRightInd w:val="0"/>
              <w:snapToGrid w:val="0"/>
              <w:spacing w:before="159" w:line="235" w:lineRule="auto"/>
              <w:ind w:left="377" w:right="127" w:hanging="362"/>
              <w:jc w:val="center"/>
              <w:textAlignment w:val="baseline"/>
              <w:rPr>
                <w:rFonts w:ascii="Times New Roman" w:hAnsi="Times New Roman" w:cs="Times New Roman"/>
                <w:b w:val="0"/>
                <w:snapToGrid w:val="0"/>
                <w:color w:val="000000"/>
                <w:kern w:val="0"/>
              </w:rPr>
            </w:pPr>
            <w:r>
              <w:rPr>
                <w:rFonts w:ascii="Times New Roman" w:hAnsi="Times New Roman" w:cs="Times New Roman"/>
                <w:b w:val="0"/>
                <w:snapToGrid w:val="0"/>
                <w:color w:val="000000"/>
                <w:kern w:val="0"/>
              </w:rPr>
              <w:t>0.5/0.7 5</w:t>
            </w:r>
          </w:p>
        </w:tc>
        <w:tc>
          <w:tcPr>
            <w:tcW w:w="1093" w:type="dxa"/>
            <w:tcBorders>
              <w:bottom w:val="single" w:color="000000" w:sz="2" w:space="0"/>
            </w:tcBorders>
          </w:tcPr>
          <w:p>
            <w:pPr>
              <w:pStyle w:val="391"/>
              <w:widowControl/>
              <w:kinsoku w:val="0"/>
              <w:autoSpaceDE w:val="0"/>
              <w:autoSpaceDN w:val="0"/>
              <w:adjustRightInd w:val="0"/>
              <w:snapToGrid w:val="0"/>
              <w:spacing w:before="159" w:line="235" w:lineRule="auto"/>
              <w:ind w:left="377"/>
              <w:textAlignment w:val="baseline"/>
              <w:rPr>
                <w:rFonts w:ascii="Times New Roman" w:hAnsi="Times New Roman" w:cs="Times New Roman"/>
                <w:b w:val="0"/>
                <w:snapToGrid w:val="0"/>
                <w:color w:val="000000"/>
                <w:kern w:val="0"/>
              </w:rPr>
            </w:pPr>
            <w:r>
              <w:rPr>
                <w:rFonts w:ascii="Times New Roman" w:hAnsi="Times New Roman" w:cs="Times New Roman"/>
                <w:b w:val="0"/>
                <w:snapToGrid w:val="0"/>
                <w:color w:val="000000"/>
                <w:kern w:val="0"/>
              </w:rPr>
              <w:t>0.4</w:t>
            </w:r>
          </w:p>
        </w:tc>
        <w:tc>
          <w:tcPr>
            <w:tcW w:w="1093" w:type="dxa"/>
            <w:tcBorders>
              <w:bottom w:val="single" w:color="000000" w:sz="2" w:space="0"/>
            </w:tcBorders>
          </w:tcPr>
          <w:p>
            <w:pPr>
              <w:widowControl/>
              <w:tabs>
                <w:tab w:val="left" w:pos="639"/>
              </w:tabs>
              <w:kinsoku w:val="0"/>
              <w:autoSpaceDE w:val="0"/>
              <w:autoSpaceDN w:val="0"/>
              <w:adjustRightInd w:val="0"/>
              <w:snapToGrid w:val="0"/>
              <w:spacing w:before="159" w:line="235" w:lineRule="auto"/>
              <w:jc w:val="center"/>
              <w:textAlignment w:val="baseline"/>
              <w:rPr>
                <w:rFonts w:ascii="Times New Roman" w:hAnsi="Times New Roman" w:cs="Arial"/>
                <w:b w:val="0"/>
                <w:snapToGrid w:val="0"/>
                <w:color w:val="000000"/>
                <w:kern w:val="0"/>
                <w:sz w:val="24"/>
                <w:szCs w:val="24"/>
                <w:lang w:eastAsia="en-US"/>
              </w:rPr>
            </w:pPr>
            <w:r>
              <w:rPr>
                <w:rFonts w:ascii="Times New Roman" w:hAnsi="Times New Roman" w:cs="Arial"/>
                <w:b w:val="0"/>
                <w:snapToGrid w:val="0"/>
                <w:color w:val="000000"/>
                <w:kern w:val="0"/>
              </w:rPr>
              <w:t>-</w:t>
            </w:r>
          </w:p>
        </w:tc>
        <w:tc>
          <w:tcPr>
            <w:tcW w:w="1341" w:type="dxa"/>
            <w:tcBorders>
              <w:bottom w:val="single" w:color="000000" w:sz="2" w:space="0"/>
            </w:tcBorders>
          </w:tcPr>
          <w:p>
            <w:pPr>
              <w:pStyle w:val="391"/>
              <w:widowControl/>
              <w:kinsoku w:val="0"/>
              <w:autoSpaceDE w:val="0"/>
              <w:autoSpaceDN w:val="0"/>
              <w:adjustRightInd w:val="0"/>
              <w:snapToGrid w:val="0"/>
              <w:spacing w:before="159" w:line="235" w:lineRule="auto"/>
              <w:ind w:left="377"/>
              <w:jc w:val="center"/>
              <w:textAlignment w:val="baseline"/>
              <w:rPr>
                <w:rFonts w:ascii="Times New Roman" w:hAnsi="Times New Roman" w:cs="Times New Roman"/>
                <w:b w:val="0"/>
                <w:snapToGrid w:val="0"/>
                <w:color w:val="000000"/>
                <w:kern w:val="0"/>
              </w:rPr>
            </w:pPr>
            <w:r>
              <w:rPr>
                <w:rFonts w:ascii="Times New Roman" w:hAnsi="Times New Roman" w:cs="Times New Roman"/>
                <w:b w:val="0"/>
                <w:snapToGrid w:val="0"/>
                <w:color w:val="000000"/>
                <w:kern w:val="0"/>
              </w:rPr>
              <w:t>8/10</w:t>
            </w:r>
          </w:p>
        </w:tc>
        <w:tc>
          <w:tcPr>
            <w:tcW w:w="1093" w:type="dxa"/>
            <w:tcBorders>
              <w:bottom w:val="single" w:color="000000" w:sz="2" w:space="0"/>
            </w:tcBorders>
          </w:tcPr>
          <w:p>
            <w:pPr>
              <w:pStyle w:val="391"/>
              <w:widowControl/>
              <w:kinsoku w:val="0"/>
              <w:autoSpaceDE w:val="0"/>
              <w:autoSpaceDN w:val="0"/>
              <w:adjustRightInd w:val="0"/>
              <w:snapToGrid w:val="0"/>
              <w:spacing w:before="159" w:line="235" w:lineRule="auto"/>
              <w:ind w:left="377"/>
              <w:textAlignment w:val="baseline"/>
              <w:rPr>
                <w:rFonts w:ascii="Times New Roman" w:hAnsi="Times New Roman" w:cs="Times New Roman"/>
                <w:b w:val="0"/>
                <w:snapToGrid w:val="0"/>
                <w:color w:val="000000"/>
                <w:kern w:val="0"/>
              </w:rPr>
            </w:pPr>
            <w:r>
              <w:rPr>
                <w:rFonts w:ascii="Times New Roman" w:hAnsi="Times New Roman" w:cs="Times New Roman"/>
                <w:b w:val="0"/>
                <w:snapToGrid w:val="0"/>
                <w:color w:val="000000"/>
                <w:kern w:val="0"/>
              </w:rPr>
              <w:t>0.3</w:t>
            </w:r>
          </w:p>
        </w:tc>
        <w:tc>
          <w:tcPr>
            <w:tcW w:w="971" w:type="dxa"/>
            <w:tcBorders>
              <w:bottom w:val="single" w:color="000000" w:sz="2" w:space="0"/>
            </w:tcBorders>
          </w:tcPr>
          <w:p>
            <w:pPr>
              <w:pStyle w:val="391"/>
              <w:widowControl/>
              <w:kinsoku w:val="0"/>
              <w:autoSpaceDE w:val="0"/>
              <w:autoSpaceDN w:val="0"/>
              <w:adjustRightInd w:val="0"/>
              <w:snapToGrid w:val="0"/>
              <w:spacing w:before="159" w:line="235" w:lineRule="auto"/>
              <w:ind w:left="377"/>
              <w:textAlignment w:val="baseline"/>
              <w:rPr>
                <w:rFonts w:ascii="Times New Roman" w:hAnsi="Times New Roman" w:cs="Times New Roman"/>
                <w:b w:val="0"/>
                <w:snapToGrid w:val="0"/>
                <w:color w:val="000000"/>
                <w:kern w:val="0"/>
              </w:rPr>
            </w:pPr>
            <w:r>
              <w:rPr>
                <w:rFonts w:ascii="Times New Roman" w:hAnsi="Times New Roman" w:cs="Times New Roman"/>
                <w:b w:val="0"/>
                <w:snapToGrid w:val="0"/>
                <w:color w:val="000000"/>
                <w:kern w:val="0"/>
              </w:rPr>
              <w:t>15</w:t>
            </w:r>
          </w:p>
        </w:tc>
        <w:tc>
          <w:tcPr>
            <w:tcW w:w="1108" w:type="dxa"/>
            <w:tcBorders>
              <w:bottom w:val="single" w:color="000000" w:sz="2" w:space="0"/>
              <w:right w:val="single" w:color="000000" w:sz="2" w:space="0"/>
            </w:tcBorders>
          </w:tcPr>
          <w:p>
            <w:pPr>
              <w:pStyle w:val="391"/>
              <w:widowControl/>
              <w:kinsoku w:val="0"/>
              <w:autoSpaceDE w:val="0"/>
              <w:autoSpaceDN w:val="0"/>
              <w:adjustRightInd w:val="0"/>
              <w:snapToGrid w:val="0"/>
              <w:spacing w:before="159" w:line="235" w:lineRule="auto"/>
              <w:jc w:val="center"/>
              <w:textAlignment w:val="baseline"/>
              <w:rPr>
                <w:rFonts w:ascii="Times New Roman" w:hAnsi="Times New Roman" w:cs="Times New Roman"/>
                <w:b w:val="0"/>
                <w:snapToGrid w:val="0"/>
                <w:color w:val="000000"/>
                <w:kern w:val="0"/>
              </w:rPr>
            </w:pPr>
            <w:r>
              <w:rPr>
                <w:rFonts w:ascii="Times New Roman" w:hAnsi="Times New Roman" w:cs="Times New Roman"/>
                <w:b w:val="0"/>
                <w:snapToGrid w:val="0"/>
                <w:color w:val="000000"/>
                <w:kern w:val="0"/>
              </w:rPr>
              <w:t>-</w:t>
            </w:r>
          </w:p>
        </w:tc>
      </w:tr>
    </w:tbl>
    <w:p>
      <w:pPr>
        <w:pStyle w:val="4"/>
        <w:ind w:firstLine="482" w:firstLineChars="200"/>
      </w:pPr>
      <w:bookmarkStart w:id="274" w:name="_Toc11321"/>
      <w:r>
        <w:t>道路照明设计方案</w:t>
      </w:r>
      <w:bookmarkEnd w:id="274"/>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本项目二十涌北路为城市主干路，主干路车行道的平均亮度为不低于2.0cd/m2，平均照度为不低于30lx，人行道平均照度为不低于15lx。</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本项目规划纵三路为城市次干路，次干路车行道的平均亮度为不低于1.5cd/m2，平均照度为不低于20lx，人行道平均照度为不低于10lx。</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二十涌北路机动车道灯具采用双侧对称布置方式，灯具采用250W LED灯，灯具安装高度H=12m，灯具间距S=36m，飘臂L=1.5m，仰角8°,车行道计算结果：平均照度为36.53lx；两侧非机动车道及人行道灯具采用双侧对称布置方式，灯具采用60W LED灯，灯具安装高度H=3.5m，灯具间距S=18m。非机动车道及人行道侧平均照度为17lx。</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二十一涌北路为南沙全民文化体育综合体配套骨干道路，灯杆上统筹考虑增设LED显示屏，以配合综合体赛事的宣传。LED显示屏功率为100W,底边装高6米。</w:t>
      </w:r>
    </w:p>
    <w:p>
      <w:pPr>
        <w:spacing w:line="300" w:lineRule="auto"/>
        <w:ind w:firstLine="562" w:firstLineChars="200"/>
        <w:rPr>
          <w:rFonts w:ascii="Times New Roman" w:hAnsi="Times New Roman"/>
          <w:b w:val="0"/>
          <w:color w:val="auto"/>
          <w:sz w:val="24"/>
          <w:szCs w:val="24"/>
        </w:rPr>
      </w:pPr>
      <w:r>
        <w:rPr>
          <w:rFonts w:ascii="Times New Roman" w:hAnsi="Times New Roman"/>
        </w:rPr>
        <w:drawing>
          <wp:inline distT="0" distB="0" distL="0" distR="0">
            <wp:extent cx="6514465" cy="2136775"/>
            <wp:effectExtent l="0" t="0" r="635" b="1587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pic:cNvPicPr>
                  </pic:nvPicPr>
                  <pic:blipFill>
                    <a:blip r:embed="rId243"/>
                    <a:stretch>
                      <a:fillRect/>
                    </a:stretch>
                  </pic:blipFill>
                  <pic:spPr>
                    <a:xfrm>
                      <a:off x="0" y="0"/>
                      <a:ext cx="6514465" cy="2136775"/>
                    </a:xfrm>
                    <a:prstGeom prst="rect">
                      <a:avLst/>
                    </a:prstGeom>
                  </pic:spPr>
                </pic:pic>
              </a:graphicData>
            </a:graphic>
          </wp:inline>
        </w:drawing>
      </w:r>
    </w:p>
    <w:p>
      <w:pPr>
        <w:spacing w:before="205" w:line="220" w:lineRule="auto"/>
        <w:ind w:left="3562" w:firstLine="478" w:firstLineChars="200"/>
        <w:rPr>
          <w:rFonts w:ascii="Times New Roman" w:hAnsi="Times New Roman"/>
          <w:sz w:val="24"/>
          <w:szCs w:val="24"/>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二十涌北路照明横断面示意图</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规划纵三路机动车道灯具采用双侧对称布置方式，灯具采用180W LED灯，灯具安装高度H=12m，灯具间距S=30m，飘臂L=1.5m，仰角8°,车行道计算结果：平均照度为25.7lx。人行道侧平均照度为13lx。</w:t>
      </w:r>
    </w:p>
    <w:p>
      <w:pPr>
        <w:spacing w:line="300" w:lineRule="auto"/>
        <w:ind w:firstLine="562" w:firstLineChars="200"/>
        <w:rPr>
          <w:rFonts w:ascii="Times New Roman" w:hAnsi="Times New Roman"/>
          <w:b w:val="0"/>
          <w:color w:val="auto"/>
          <w:sz w:val="24"/>
          <w:szCs w:val="24"/>
        </w:rPr>
      </w:pPr>
      <w:r>
        <w:rPr>
          <w:rFonts w:ascii="Times New Roman" w:hAnsi="Times New Roman"/>
          <w:position w:val="-88"/>
        </w:rPr>
        <w:drawing>
          <wp:inline distT="0" distB="0" distL="0" distR="0">
            <wp:extent cx="4861560" cy="2795270"/>
            <wp:effectExtent l="0" t="0" r="15240" b="5080"/>
            <wp:docPr id="116" name="IM 734"/>
            <wp:cNvGraphicFramePr/>
            <a:graphic xmlns:a="http://schemas.openxmlformats.org/drawingml/2006/main">
              <a:graphicData uri="http://schemas.openxmlformats.org/drawingml/2006/picture">
                <pic:pic xmlns:pic="http://schemas.openxmlformats.org/drawingml/2006/picture">
                  <pic:nvPicPr>
                    <pic:cNvPr id="116" name="IM 734"/>
                    <pic:cNvPicPr/>
                  </pic:nvPicPr>
                  <pic:blipFill>
                    <a:blip r:embed="rId244"/>
                    <a:stretch>
                      <a:fillRect/>
                    </a:stretch>
                  </pic:blipFill>
                  <pic:spPr>
                    <a:xfrm>
                      <a:off x="0" y="0"/>
                      <a:ext cx="4861560" cy="2795778"/>
                    </a:xfrm>
                    <a:prstGeom prst="rect">
                      <a:avLst/>
                    </a:prstGeom>
                  </pic:spPr>
                </pic:pic>
              </a:graphicData>
            </a:graphic>
          </wp:inline>
        </w:drawing>
      </w:r>
    </w:p>
    <w:p>
      <w:pPr>
        <w:spacing w:before="285" w:line="220" w:lineRule="auto"/>
        <w:ind w:left="3559" w:firstLine="478" w:firstLineChars="200"/>
        <w:rPr>
          <w:rFonts w:ascii="Times New Roman" w:hAnsi="Times New Roman"/>
          <w:sz w:val="24"/>
          <w:szCs w:val="24"/>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规划纵三路照明横断面示意图</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交叉口区域及展宽段范围，根据设计标准，适当提高车行道及人行横道照度标准；</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城市主干路交叉路口，二十涌北路与规划纵三路、万环西路的交叉路口采用12米3X250W LED三头灯，路口平均照度为58 lx；城市次干路交叉路口，采用10米3X150W LED三头灯，路口平均照度为34 lx；灯杆基础和灯具接线盒应采取防盗措施。灯杆均为圆锥型金属灯杆，灯杆内外应热镀锌防腐处理。</w:t>
      </w:r>
    </w:p>
    <w:p>
      <w:pPr>
        <w:widowControl/>
        <w:kinsoku w:val="0"/>
        <w:autoSpaceDE w:val="0"/>
        <w:autoSpaceDN w:val="0"/>
        <w:adjustRightInd w:val="0"/>
        <w:snapToGrid w:val="0"/>
        <w:spacing w:before="1" w:line="216" w:lineRule="auto"/>
        <w:ind w:left="488" w:firstLine="464" w:firstLineChars="200"/>
        <w:jc w:val="left"/>
        <w:textAlignment w:val="baseline"/>
        <w:rPr>
          <w:rFonts w:ascii="Times New Roman" w:hAnsi="Times New Roman"/>
          <w:b w:val="0"/>
          <w:snapToGrid w:val="0"/>
          <w:color w:val="000000"/>
          <w:kern w:val="0"/>
          <w:sz w:val="24"/>
          <w:szCs w:val="24"/>
        </w:rPr>
      </w:pPr>
      <w:r>
        <w:rPr>
          <w:rFonts w:ascii="Times New Roman" w:hAnsi="Times New Roman"/>
          <w:b w:val="0"/>
          <w:snapToGrid w:val="0"/>
          <w:color w:val="000000"/>
          <w:spacing w:val="-4"/>
          <w:kern w:val="0"/>
          <w:sz w:val="24"/>
          <w:szCs w:val="24"/>
        </w:rPr>
        <w:t>平均照度（Eh,av）计算公式：</w:t>
      </w:r>
    </w:p>
    <w:p>
      <w:pPr>
        <w:widowControl/>
        <w:kinsoku w:val="0"/>
        <w:autoSpaceDE w:val="0"/>
        <w:autoSpaceDN w:val="0"/>
        <w:adjustRightInd w:val="0"/>
        <w:snapToGrid w:val="0"/>
        <w:spacing w:before="223"/>
        <w:ind w:left="658" w:firstLine="500" w:firstLineChars="200"/>
        <w:jc w:val="left"/>
        <w:textAlignment w:val="baseline"/>
        <w:rPr>
          <w:rFonts w:ascii="Times New Roman" w:hAnsi="Times New Roman" w:eastAsia="Times New Roman"/>
          <w:b w:val="0"/>
          <w:snapToGrid w:val="0"/>
          <w:color w:val="000000"/>
          <w:kern w:val="0"/>
          <w:sz w:val="25"/>
          <w:szCs w:val="25"/>
        </w:rPr>
      </w:pPr>
      <w:r>
        <w:rPr>
          <w:rFonts w:ascii="Times New Roman" w:hAnsi="Times New Roman" w:eastAsia="Times New Roman"/>
          <w:b w:val="0"/>
          <w:i/>
          <w:iCs/>
          <w:snapToGrid w:val="0"/>
          <w:color w:val="000000"/>
          <w:kern w:val="0"/>
          <w:position w:val="-1"/>
          <w:sz w:val="25"/>
          <w:szCs w:val="25"/>
        </w:rPr>
        <w:t>E</w:t>
      </w:r>
      <w:r>
        <w:rPr>
          <w:rFonts w:ascii="Times New Roman" w:hAnsi="Times New Roman" w:eastAsia="Times New Roman"/>
          <w:b w:val="0"/>
          <w:i/>
          <w:iCs/>
          <w:snapToGrid w:val="0"/>
          <w:color w:val="000000"/>
          <w:spacing w:val="-9"/>
          <w:kern w:val="0"/>
          <w:position w:val="-1"/>
          <w:sz w:val="25"/>
          <w:szCs w:val="25"/>
        </w:rPr>
        <w:t xml:space="preserve"> </w:t>
      </w:r>
      <w:r>
        <w:rPr>
          <w:rFonts w:ascii="Times New Roman" w:hAnsi="Times New Roman" w:eastAsia="Times New Roman"/>
          <w:b w:val="0"/>
          <w:i/>
          <w:iCs/>
          <w:snapToGrid w:val="0"/>
          <w:color w:val="000000"/>
          <w:kern w:val="0"/>
          <w:position w:val="-8"/>
          <w:sz w:val="14"/>
          <w:szCs w:val="14"/>
        </w:rPr>
        <w:t>av</w:t>
      </w:r>
      <w:r>
        <w:rPr>
          <w:rFonts w:ascii="Times New Roman" w:hAnsi="Times New Roman" w:eastAsia="Arial"/>
          <w:b w:val="0"/>
          <w:snapToGrid w:val="0"/>
          <w:color w:val="000000"/>
          <w:spacing w:val="28"/>
          <w:kern w:val="0"/>
          <w:position w:val="-1"/>
          <w:sz w:val="25"/>
          <w:szCs w:val="25"/>
        </w:rPr>
        <w:t>=</w:t>
      </w:r>
      <w:r>
        <w:rPr>
          <w:rFonts w:ascii="Times New Roman" w:hAnsi="Times New Roman" w:eastAsia="Arial"/>
          <w:b w:val="0"/>
          <w:snapToGrid w:val="0"/>
          <w:color w:val="000000"/>
          <w:kern w:val="0"/>
          <w:position w:val="-21"/>
          <w:sz w:val="25"/>
          <w:szCs w:val="25"/>
        </w:rPr>
        <w:drawing>
          <wp:inline distT="0" distB="0" distL="0" distR="0">
            <wp:extent cx="777875" cy="340360"/>
            <wp:effectExtent l="0" t="0" r="3175" b="2540"/>
            <wp:docPr id="125" name="IM 746"/>
            <wp:cNvGraphicFramePr/>
            <a:graphic xmlns:a="http://schemas.openxmlformats.org/drawingml/2006/main">
              <a:graphicData uri="http://schemas.openxmlformats.org/drawingml/2006/picture">
                <pic:pic xmlns:pic="http://schemas.openxmlformats.org/drawingml/2006/picture">
                  <pic:nvPicPr>
                    <pic:cNvPr id="125" name="IM 746"/>
                    <pic:cNvPicPr/>
                  </pic:nvPicPr>
                  <pic:blipFill>
                    <a:blip r:embed="rId245"/>
                    <a:stretch>
                      <a:fillRect/>
                    </a:stretch>
                  </pic:blipFill>
                  <pic:spPr>
                    <a:xfrm>
                      <a:off x="0" y="0"/>
                      <a:ext cx="778005" cy="340849"/>
                    </a:xfrm>
                    <a:prstGeom prst="rect">
                      <a:avLst/>
                    </a:prstGeom>
                  </pic:spPr>
                </pic:pic>
              </a:graphicData>
            </a:graphic>
          </wp:inline>
        </w:drawing>
      </w:r>
      <w:r>
        <w:rPr>
          <w:rFonts w:ascii="Times New Roman" w:hAnsi="Times New Roman" w:eastAsia="Times New Roman"/>
          <w:b w:val="0"/>
          <w:snapToGrid w:val="0"/>
          <w:color w:val="000000"/>
          <w:spacing w:val="28"/>
          <w:kern w:val="0"/>
          <w:position w:val="-1"/>
          <w:sz w:val="25"/>
          <w:szCs w:val="25"/>
        </w:rPr>
        <w:t>(</w:t>
      </w:r>
      <w:r>
        <w:rPr>
          <w:rFonts w:ascii="Times New Roman" w:hAnsi="Times New Roman" w:eastAsia="Times New Roman"/>
          <w:b w:val="0"/>
          <w:i/>
          <w:iCs/>
          <w:snapToGrid w:val="0"/>
          <w:color w:val="000000"/>
          <w:kern w:val="0"/>
          <w:position w:val="-1"/>
          <w:sz w:val="25"/>
          <w:szCs w:val="25"/>
        </w:rPr>
        <w:t>lx</w:t>
      </w:r>
      <w:r>
        <w:rPr>
          <w:rFonts w:ascii="Times New Roman" w:hAnsi="Times New Roman" w:eastAsia="Times New Roman"/>
          <w:b w:val="0"/>
          <w:snapToGrid w:val="0"/>
          <w:color w:val="000000"/>
          <w:spacing w:val="28"/>
          <w:kern w:val="0"/>
          <w:position w:val="-1"/>
          <w:sz w:val="25"/>
          <w:szCs w:val="25"/>
        </w:rPr>
        <w:t>)</w:t>
      </w:r>
    </w:p>
    <w:p>
      <w:pPr>
        <w:widowControl/>
        <w:kinsoku w:val="0"/>
        <w:autoSpaceDE w:val="0"/>
        <w:autoSpaceDN w:val="0"/>
        <w:adjustRightInd w:val="0"/>
        <w:snapToGrid w:val="0"/>
        <w:spacing w:before="242" w:line="467" w:lineRule="exact"/>
        <w:ind w:left="490" w:firstLine="416" w:firstLineChars="200"/>
        <w:jc w:val="left"/>
        <w:textAlignment w:val="baseline"/>
        <w:rPr>
          <w:rFonts w:ascii="Times New Roman" w:hAnsi="Times New Roman"/>
          <w:b w:val="0"/>
          <w:snapToGrid w:val="0"/>
          <w:color w:val="000000"/>
          <w:kern w:val="0"/>
          <w:sz w:val="24"/>
          <w:szCs w:val="24"/>
        </w:rPr>
      </w:pPr>
      <w:r>
        <w:rPr>
          <w:rFonts w:ascii="Times New Roman" w:hAnsi="Times New Roman"/>
          <w:b w:val="0"/>
          <w:snapToGrid w:val="0"/>
          <w:color w:val="000000"/>
          <w:spacing w:val="-16"/>
          <w:kern w:val="0"/>
          <w:position w:val="17"/>
          <w:sz w:val="24"/>
          <w:szCs w:val="24"/>
        </w:rPr>
        <w:t>其中：N为与排列方式有关的数值，路灯单侧或双侧交错布置时，N=1；路灯双侧对称布置时，N=2</w:t>
      </w:r>
    </w:p>
    <w:p>
      <w:pPr>
        <w:widowControl/>
        <w:kinsoku w:val="0"/>
        <w:autoSpaceDE w:val="0"/>
        <w:autoSpaceDN w:val="0"/>
        <w:adjustRightInd w:val="0"/>
        <w:snapToGrid w:val="0"/>
        <w:spacing w:before="1" w:line="218" w:lineRule="auto"/>
        <w:ind w:left="15" w:firstLine="464" w:firstLineChars="200"/>
        <w:jc w:val="left"/>
        <w:textAlignment w:val="baseline"/>
        <w:rPr>
          <w:rFonts w:ascii="Times New Roman" w:hAnsi="Times New Roman"/>
          <w:b w:val="0"/>
          <w:snapToGrid w:val="0"/>
          <w:color w:val="000000"/>
          <w:kern w:val="0"/>
          <w:sz w:val="24"/>
          <w:szCs w:val="24"/>
        </w:rPr>
      </w:pPr>
      <w:r>
        <w:rPr>
          <w:rFonts w:ascii="Times New Roman" w:hAnsi="Times New Roman"/>
          <w:b w:val="0"/>
          <w:snapToGrid w:val="0"/>
          <w:color w:val="000000"/>
          <w:spacing w:val="-4"/>
          <w:kern w:val="0"/>
          <w:sz w:val="24"/>
          <w:szCs w:val="24"/>
        </w:rPr>
        <w:t>（有中分带时，按单侧布置计算，N=1</w:t>
      </w:r>
      <w:r>
        <w:rPr>
          <w:rFonts w:ascii="Times New Roman" w:hAnsi="Times New Roman"/>
          <w:b w:val="0"/>
          <w:snapToGrid w:val="0"/>
          <w:color w:val="000000"/>
          <w:spacing w:val="1"/>
          <w:kern w:val="0"/>
          <w:sz w:val="24"/>
          <w:szCs w:val="24"/>
        </w:rPr>
        <w:t>）；</w:t>
      </w:r>
    </w:p>
    <w:p>
      <w:pPr>
        <w:widowControl/>
        <w:kinsoku w:val="0"/>
        <w:autoSpaceDE w:val="0"/>
        <w:autoSpaceDN w:val="0"/>
        <w:adjustRightInd w:val="0"/>
        <w:snapToGrid w:val="0"/>
        <w:spacing w:before="182" w:line="220" w:lineRule="auto"/>
        <w:ind w:left="518" w:firstLine="448" w:firstLineChars="200"/>
        <w:jc w:val="left"/>
        <w:textAlignment w:val="baseline"/>
        <w:rPr>
          <w:rFonts w:ascii="Times New Roman" w:hAnsi="Times New Roman"/>
          <w:b w:val="0"/>
          <w:snapToGrid w:val="0"/>
          <w:color w:val="000000"/>
          <w:kern w:val="0"/>
          <w:sz w:val="24"/>
          <w:szCs w:val="24"/>
        </w:rPr>
      </w:pPr>
      <w:r>
        <w:rPr>
          <w:rFonts w:ascii="Times New Roman" w:hAnsi="Times New Roman"/>
          <w:b w:val="0"/>
          <w:snapToGrid w:val="0"/>
          <w:color w:val="000000"/>
          <w:spacing w:val="-8"/>
          <w:kern w:val="0"/>
          <w:sz w:val="24"/>
          <w:szCs w:val="24"/>
          <w:lang w:eastAsia="en-US"/>
        </w:rPr>
        <w:t>Φ</w:t>
      </w:r>
      <w:r>
        <w:rPr>
          <w:rFonts w:ascii="Times New Roman" w:hAnsi="Times New Roman"/>
          <w:b w:val="0"/>
          <w:snapToGrid w:val="0"/>
          <w:color w:val="000000"/>
          <w:spacing w:val="-8"/>
          <w:kern w:val="0"/>
          <w:sz w:val="24"/>
          <w:szCs w:val="24"/>
        </w:rPr>
        <w:t>为灯具光通量:lm；</w:t>
      </w:r>
    </w:p>
    <w:p>
      <w:pPr>
        <w:widowControl/>
        <w:kinsoku w:val="0"/>
        <w:autoSpaceDE w:val="0"/>
        <w:autoSpaceDN w:val="0"/>
        <w:adjustRightInd w:val="0"/>
        <w:snapToGrid w:val="0"/>
        <w:spacing w:before="181" w:line="467" w:lineRule="exact"/>
        <w:ind w:left="485" w:firstLine="456" w:firstLineChars="200"/>
        <w:jc w:val="left"/>
        <w:textAlignment w:val="baseline"/>
        <w:rPr>
          <w:rFonts w:ascii="Times New Roman" w:hAnsi="Times New Roman"/>
          <w:b w:val="0"/>
          <w:snapToGrid w:val="0"/>
          <w:color w:val="000000"/>
          <w:kern w:val="0"/>
          <w:sz w:val="24"/>
          <w:szCs w:val="24"/>
        </w:rPr>
      </w:pPr>
      <w:r>
        <w:rPr>
          <w:rFonts w:ascii="Times New Roman" w:hAnsi="Times New Roman"/>
          <w:b w:val="0"/>
          <w:snapToGrid w:val="0"/>
          <w:color w:val="000000"/>
          <w:spacing w:val="-6"/>
          <w:kern w:val="0"/>
          <w:position w:val="17"/>
          <w:sz w:val="24"/>
          <w:szCs w:val="24"/>
        </w:rPr>
        <w:t>K为维护系数；U为利用系数；</w:t>
      </w:r>
    </w:p>
    <w:p>
      <w:pPr>
        <w:widowControl/>
        <w:kinsoku w:val="0"/>
        <w:autoSpaceDE w:val="0"/>
        <w:autoSpaceDN w:val="0"/>
        <w:adjustRightInd w:val="0"/>
        <w:snapToGrid w:val="0"/>
        <w:spacing w:before="1" w:line="219" w:lineRule="auto"/>
        <w:ind w:left="490" w:firstLine="464" w:firstLineChars="200"/>
        <w:jc w:val="left"/>
        <w:textAlignment w:val="baseline"/>
        <w:rPr>
          <w:rFonts w:ascii="Times New Roman" w:hAnsi="Times New Roman"/>
          <w:b w:val="0"/>
          <w:snapToGrid w:val="0"/>
          <w:color w:val="000000"/>
          <w:kern w:val="0"/>
          <w:sz w:val="24"/>
          <w:szCs w:val="24"/>
        </w:rPr>
      </w:pPr>
      <w:r>
        <w:rPr>
          <w:rFonts w:ascii="Times New Roman" w:hAnsi="Times New Roman"/>
          <w:b w:val="0"/>
          <w:snapToGrid w:val="0"/>
          <w:color w:val="000000"/>
          <w:spacing w:val="-4"/>
          <w:kern w:val="0"/>
          <w:sz w:val="24"/>
          <w:szCs w:val="24"/>
        </w:rPr>
        <w:t>S为杆距:m；W为路面宽度:m。</w:t>
      </w:r>
    </w:p>
    <w:p>
      <w:pPr>
        <w:widowControl/>
        <w:kinsoku w:val="0"/>
        <w:autoSpaceDE w:val="0"/>
        <w:autoSpaceDN w:val="0"/>
        <w:adjustRightInd w:val="0"/>
        <w:snapToGrid w:val="0"/>
        <w:spacing w:before="181" w:line="219" w:lineRule="auto"/>
        <w:ind w:left="488" w:firstLine="468" w:firstLineChars="200"/>
        <w:jc w:val="left"/>
        <w:textAlignment w:val="baseline"/>
        <w:rPr>
          <w:rFonts w:ascii="Times New Roman" w:hAnsi="Times New Roman"/>
          <w:b w:val="0"/>
          <w:snapToGrid w:val="0"/>
          <w:color w:val="000000"/>
          <w:kern w:val="0"/>
          <w:sz w:val="24"/>
          <w:szCs w:val="24"/>
        </w:rPr>
      </w:pPr>
      <w:r>
        <w:rPr>
          <w:rFonts w:ascii="Times New Roman" w:hAnsi="Times New Roman"/>
          <w:b w:val="0"/>
          <w:snapToGrid w:val="0"/>
          <w:color w:val="000000"/>
          <w:spacing w:val="-3"/>
          <w:kern w:val="0"/>
          <w:sz w:val="24"/>
          <w:szCs w:val="24"/>
        </w:rPr>
        <w:t>机动车道的照明功率密度值（LPD）的计算公式：</w:t>
      </w:r>
    </w:p>
    <w:p>
      <w:pPr>
        <w:widowControl/>
        <w:kinsoku w:val="0"/>
        <w:autoSpaceDE w:val="0"/>
        <w:autoSpaceDN w:val="0"/>
        <w:adjustRightInd w:val="0"/>
        <w:snapToGrid w:val="0"/>
        <w:spacing w:before="233" w:line="568" w:lineRule="exact"/>
        <w:ind w:left="659" w:firstLine="500" w:firstLineChars="200"/>
        <w:jc w:val="left"/>
        <w:textAlignment w:val="baseline"/>
        <w:rPr>
          <w:rFonts w:ascii="Times New Roman" w:hAnsi="Times New Roman" w:eastAsia="Times New Roman"/>
          <w:b w:val="0"/>
          <w:snapToGrid w:val="0"/>
          <w:color w:val="000000"/>
          <w:kern w:val="0"/>
          <w:sz w:val="25"/>
          <w:szCs w:val="25"/>
        </w:rPr>
      </w:pPr>
      <w:r>
        <w:rPr>
          <w:rFonts w:ascii="Times New Roman" w:hAnsi="Times New Roman" w:eastAsia="Times New Roman"/>
          <w:b w:val="0"/>
          <w:i/>
          <w:iCs/>
          <w:snapToGrid w:val="0"/>
          <w:color w:val="000000"/>
          <w:kern w:val="0"/>
          <w:position w:val="10"/>
          <w:sz w:val="25"/>
          <w:szCs w:val="25"/>
        </w:rPr>
        <w:t>L</w:t>
      </w:r>
      <w:r>
        <w:rPr>
          <w:rFonts w:ascii="Times New Roman" w:hAnsi="Times New Roman" w:eastAsia="Times New Roman"/>
          <w:b w:val="0"/>
          <w:i/>
          <w:iCs/>
          <w:snapToGrid w:val="0"/>
          <w:color w:val="000000"/>
          <w:spacing w:val="6"/>
          <w:kern w:val="0"/>
          <w:position w:val="10"/>
          <w:sz w:val="25"/>
          <w:szCs w:val="25"/>
        </w:rPr>
        <w:t xml:space="preserve"> </w:t>
      </w:r>
      <w:r>
        <w:rPr>
          <w:rFonts w:ascii="Times New Roman" w:hAnsi="Times New Roman" w:eastAsia="Times New Roman"/>
          <w:b w:val="0"/>
          <w:i/>
          <w:iCs/>
          <w:snapToGrid w:val="0"/>
          <w:color w:val="000000"/>
          <w:kern w:val="0"/>
          <w:position w:val="10"/>
          <w:sz w:val="25"/>
          <w:szCs w:val="25"/>
        </w:rPr>
        <w:t>P</w:t>
      </w:r>
      <w:r>
        <w:rPr>
          <w:rFonts w:ascii="Times New Roman" w:hAnsi="Times New Roman" w:eastAsia="Times New Roman"/>
          <w:b w:val="0"/>
          <w:i/>
          <w:iCs/>
          <w:snapToGrid w:val="0"/>
          <w:color w:val="000000"/>
          <w:spacing w:val="6"/>
          <w:kern w:val="0"/>
          <w:position w:val="10"/>
          <w:sz w:val="25"/>
          <w:szCs w:val="25"/>
        </w:rPr>
        <w:t xml:space="preserve"> </w:t>
      </w:r>
      <w:r>
        <w:rPr>
          <w:rFonts w:ascii="Times New Roman" w:hAnsi="Times New Roman" w:eastAsia="Times New Roman"/>
          <w:b w:val="0"/>
          <w:i/>
          <w:iCs/>
          <w:snapToGrid w:val="0"/>
          <w:color w:val="000000"/>
          <w:kern w:val="0"/>
          <w:position w:val="10"/>
          <w:sz w:val="25"/>
          <w:szCs w:val="25"/>
        </w:rPr>
        <w:t>D</w:t>
      </w:r>
      <w:r>
        <w:rPr>
          <w:rFonts w:ascii="Times New Roman" w:hAnsi="Times New Roman" w:eastAsia="Arial"/>
          <w:b w:val="0"/>
          <w:snapToGrid w:val="0"/>
          <w:color w:val="000000"/>
          <w:spacing w:val="6"/>
          <w:kern w:val="0"/>
          <w:position w:val="10"/>
          <w:sz w:val="25"/>
          <w:szCs w:val="25"/>
        </w:rPr>
        <w:t>=</w:t>
      </w:r>
      <w:r>
        <w:rPr>
          <w:rFonts w:ascii="Times New Roman" w:hAnsi="Times New Roman" w:eastAsia="Arial"/>
          <w:b w:val="0"/>
          <w:snapToGrid w:val="0"/>
          <w:color w:val="000000"/>
          <w:kern w:val="0"/>
          <w:sz w:val="21"/>
          <w:szCs w:val="21"/>
          <w:lang w:eastAsia="en-US"/>
        </w:rPr>
        <w:fldChar w:fldCharType="begin"/>
      </w:r>
      <w:r>
        <w:rPr>
          <w:rFonts w:ascii="Times New Roman" w:hAnsi="Times New Roman" w:eastAsia="Arial"/>
          <w:b w:val="0"/>
          <w:snapToGrid w:val="0"/>
          <w:color w:val="000000"/>
          <w:kern w:val="0"/>
          <w:sz w:val="21"/>
          <w:szCs w:val="21"/>
        </w:rPr>
        <w:instrText xml:space="preserve">EQ\*jc3\*hps14\o\al(\s\up 8(</w:instrText>
      </w:r>
      <w:r>
        <w:rPr>
          <w:rFonts w:ascii="Times New Roman" w:hAnsi="Times New Roman" w:eastAsia="Times New Roman"/>
          <w:b w:val="0"/>
          <w:i/>
          <w:iCs/>
          <w:snapToGrid w:val="0"/>
          <w:color w:val="000000"/>
          <w:w w:val="128"/>
          <w:kern w:val="0"/>
          <w:position w:val="10"/>
          <w:sz w:val="25"/>
          <w:szCs w:val="25"/>
        </w:rPr>
        <w:instrText xml:space="preserve">P</w:instrText>
      </w:r>
      <w:r>
        <w:rPr>
          <w:rFonts w:ascii="Times New Roman" w:hAnsi="Times New Roman" w:eastAsia="Times New Roman"/>
          <w:b w:val="0"/>
          <w:i/>
          <w:iCs/>
          <w:snapToGrid w:val="0"/>
          <w:color w:val="000000"/>
          <w:w w:val="36"/>
          <w:kern w:val="0"/>
          <w:position w:val="10"/>
          <w:sz w:val="25"/>
          <w:szCs w:val="25"/>
        </w:rPr>
        <w:instrText xml:space="preserve"> </w:instrText>
      </w:r>
      <w:r>
        <w:rPr>
          <w:rFonts w:ascii="Times New Roman" w:hAnsi="Times New Roman" w:eastAsia="Times New Roman"/>
          <w:b w:val="0"/>
          <w:i/>
          <w:iCs/>
          <w:snapToGrid w:val="0"/>
          <w:color w:val="000000"/>
          <w:w w:val="128"/>
          <w:kern w:val="0"/>
          <w:position w:val="10"/>
          <w:sz w:val="14"/>
          <w:szCs w:val="14"/>
        </w:rPr>
        <w:instrText xml:space="preserve">js</w:instrText>
      </w:r>
      <w:r>
        <w:rPr>
          <w:rFonts w:ascii="Times New Roman" w:hAnsi="Times New Roman" w:eastAsia="Arial"/>
          <w:b w:val="0"/>
          <w:snapToGrid w:val="0"/>
          <w:color w:val="000000"/>
          <w:kern w:val="0"/>
          <w:sz w:val="21"/>
          <w:szCs w:val="21"/>
        </w:rPr>
        <w:instrText xml:space="preserve">),</w:instrText>
      </w:r>
      <w:r>
        <w:rPr>
          <w:rFonts w:ascii="Times New Roman" w:hAnsi="Times New Roman" w:eastAsia="Times New Roman"/>
          <w:b w:val="0"/>
          <w:i/>
          <w:iCs/>
          <w:snapToGrid w:val="0"/>
          <w:color w:val="000000"/>
          <w:w w:val="107"/>
          <w:kern w:val="0"/>
          <w:position w:val="-9"/>
          <w:sz w:val="25"/>
          <w:szCs w:val="25"/>
        </w:rPr>
        <w:instrText xml:space="preserve">S</w:instrText>
      </w:r>
      <w:r>
        <w:rPr>
          <w:rFonts w:ascii="Times New Roman" w:hAnsi="Times New Roman" w:eastAsia="Times New Roman"/>
          <w:b w:val="0"/>
          <w:i/>
          <w:iCs/>
          <w:snapToGrid w:val="0"/>
          <w:color w:val="000000"/>
          <w:w w:val="66"/>
          <w:kern w:val="0"/>
          <w:position w:val="-9"/>
          <w:sz w:val="25"/>
          <w:szCs w:val="25"/>
        </w:rPr>
        <w:instrText xml:space="preserve"> </w:instrText>
      </w:r>
      <w:r>
        <w:rPr>
          <w:rFonts w:ascii="Times New Roman" w:hAnsi="Times New Roman" w:eastAsia="Times New Roman"/>
          <w:b w:val="0"/>
          <w:i/>
          <w:iCs/>
          <w:snapToGrid w:val="0"/>
          <w:color w:val="000000"/>
          <w:w w:val="107"/>
          <w:kern w:val="0"/>
          <w:position w:val="-9"/>
          <w:sz w:val="25"/>
          <w:szCs w:val="25"/>
        </w:rPr>
        <w:instrText xml:space="preserve">B</w:instrText>
      </w:r>
      <w:r>
        <w:rPr>
          <w:rFonts w:ascii="Times New Roman" w:hAnsi="Times New Roman" w:eastAsia="Arial"/>
          <w:b w:val="0"/>
          <w:snapToGrid w:val="0"/>
          <w:color w:val="000000"/>
          <w:kern w:val="0"/>
          <w:sz w:val="21"/>
          <w:szCs w:val="21"/>
        </w:rPr>
        <w:instrText xml:space="preserve">)</w:instrText>
      </w:r>
      <w:r>
        <w:rPr>
          <w:rFonts w:ascii="Times New Roman" w:hAnsi="Times New Roman" w:eastAsia="Arial"/>
          <w:b w:val="0"/>
          <w:snapToGrid w:val="0"/>
          <w:color w:val="000000"/>
          <w:kern w:val="0"/>
          <w:sz w:val="21"/>
          <w:szCs w:val="21"/>
          <w:lang w:eastAsia="en-US"/>
        </w:rPr>
        <w:fldChar w:fldCharType="end"/>
      </w:r>
      <w:r>
        <w:rPr>
          <w:rFonts w:ascii="Times New Roman" w:hAnsi="Times New Roman" w:eastAsia="Times New Roman"/>
          <w:b w:val="0"/>
          <w:snapToGrid w:val="0"/>
          <w:color w:val="000000"/>
          <w:spacing w:val="6"/>
          <w:kern w:val="0"/>
          <w:position w:val="10"/>
          <w:sz w:val="25"/>
          <w:szCs w:val="25"/>
        </w:rPr>
        <w:t>(</w:t>
      </w:r>
      <w:r>
        <w:rPr>
          <w:rFonts w:ascii="Times New Roman" w:hAnsi="Times New Roman" w:eastAsia="Times New Roman"/>
          <w:b w:val="0"/>
          <w:i/>
          <w:iCs/>
          <w:snapToGrid w:val="0"/>
          <w:color w:val="000000"/>
          <w:spacing w:val="6"/>
          <w:kern w:val="0"/>
          <w:position w:val="10"/>
          <w:sz w:val="25"/>
          <w:szCs w:val="25"/>
        </w:rPr>
        <w:t>W</w:t>
      </w:r>
      <w:r>
        <w:rPr>
          <w:rFonts w:ascii="Times New Roman" w:hAnsi="Times New Roman" w:eastAsia="Times New Roman"/>
          <w:b w:val="0"/>
          <w:snapToGrid w:val="0"/>
          <w:color w:val="000000"/>
          <w:spacing w:val="6"/>
          <w:kern w:val="0"/>
          <w:position w:val="10"/>
          <w:sz w:val="25"/>
          <w:szCs w:val="25"/>
        </w:rPr>
        <w:t>/</w:t>
      </w:r>
      <w:r>
        <w:rPr>
          <w:rFonts w:ascii="Times New Roman" w:hAnsi="Times New Roman" w:eastAsia="Times New Roman"/>
          <w:b w:val="0"/>
          <w:i/>
          <w:iCs/>
          <w:snapToGrid w:val="0"/>
          <w:color w:val="000000"/>
          <w:spacing w:val="6"/>
          <w:kern w:val="0"/>
          <w:position w:val="10"/>
          <w:sz w:val="25"/>
          <w:szCs w:val="25"/>
        </w:rPr>
        <w:t>m</w:t>
      </w:r>
      <w:r>
        <w:rPr>
          <w:rFonts w:ascii="Times New Roman" w:hAnsi="Times New Roman" w:eastAsia="Times New Roman"/>
          <w:b w:val="0"/>
          <w:i/>
          <w:iCs/>
          <w:snapToGrid w:val="0"/>
          <w:color w:val="000000"/>
          <w:spacing w:val="36"/>
          <w:w w:val="101"/>
          <w:kern w:val="0"/>
          <w:position w:val="10"/>
          <w:sz w:val="25"/>
          <w:szCs w:val="25"/>
        </w:rPr>
        <w:t xml:space="preserve"> </w:t>
      </w:r>
      <w:r>
        <w:rPr>
          <w:rFonts w:ascii="Times New Roman" w:hAnsi="Times New Roman" w:eastAsia="Times New Roman"/>
          <w:b w:val="0"/>
          <w:snapToGrid w:val="0"/>
          <w:color w:val="000000"/>
          <w:spacing w:val="6"/>
          <w:kern w:val="0"/>
          <w:position w:val="21"/>
          <w:sz w:val="14"/>
          <w:szCs w:val="14"/>
        </w:rPr>
        <w:t>2</w:t>
      </w:r>
      <w:r>
        <w:rPr>
          <w:rFonts w:ascii="Times New Roman" w:hAnsi="Times New Roman" w:eastAsia="Times New Roman"/>
          <w:b w:val="0"/>
          <w:snapToGrid w:val="0"/>
          <w:color w:val="000000"/>
          <w:spacing w:val="6"/>
          <w:kern w:val="0"/>
          <w:position w:val="10"/>
          <w:sz w:val="25"/>
          <w:szCs w:val="25"/>
        </w:rPr>
        <w:t>)</w:t>
      </w:r>
    </w:p>
    <w:p>
      <w:pPr>
        <w:widowControl/>
        <w:kinsoku w:val="0"/>
        <w:autoSpaceDE w:val="0"/>
        <w:autoSpaceDN w:val="0"/>
        <w:adjustRightInd w:val="0"/>
        <w:snapToGrid w:val="0"/>
        <w:spacing w:before="243" w:line="465" w:lineRule="exact"/>
        <w:ind w:left="490" w:firstLine="460" w:firstLineChars="200"/>
        <w:jc w:val="left"/>
        <w:textAlignment w:val="baseline"/>
        <w:rPr>
          <w:rFonts w:ascii="Times New Roman" w:hAnsi="Times New Roman"/>
          <w:b w:val="0"/>
          <w:snapToGrid w:val="0"/>
          <w:color w:val="000000"/>
          <w:kern w:val="0"/>
          <w:sz w:val="24"/>
          <w:szCs w:val="24"/>
        </w:rPr>
      </w:pPr>
      <w:r>
        <w:rPr>
          <w:rFonts w:ascii="Times New Roman" w:hAnsi="Times New Roman"/>
          <w:b w:val="0"/>
          <w:snapToGrid w:val="0"/>
          <w:color w:val="000000"/>
          <w:spacing w:val="-5"/>
          <w:kern w:val="0"/>
          <w:position w:val="17"/>
          <w:sz w:val="24"/>
          <w:szCs w:val="24"/>
        </w:rPr>
        <w:t>其中：Pjs为光源计算功率:W；</w:t>
      </w:r>
    </w:p>
    <w:p>
      <w:pPr>
        <w:widowControl/>
        <w:kinsoku w:val="0"/>
        <w:autoSpaceDE w:val="0"/>
        <w:autoSpaceDN w:val="0"/>
        <w:adjustRightInd w:val="0"/>
        <w:snapToGrid w:val="0"/>
        <w:spacing w:before="1" w:line="219" w:lineRule="auto"/>
        <w:ind w:left="490" w:firstLine="420" w:firstLineChars="200"/>
        <w:jc w:val="left"/>
        <w:textAlignment w:val="baseline"/>
        <w:rPr>
          <w:rFonts w:ascii="Times New Roman" w:hAnsi="Times New Roman"/>
          <w:b w:val="0"/>
          <w:snapToGrid w:val="0"/>
          <w:color w:val="000000"/>
          <w:kern w:val="0"/>
          <w:sz w:val="24"/>
          <w:szCs w:val="24"/>
        </w:rPr>
      </w:pPr>
      <w:r>
        <w:rPr>
          <w:rFonts w:ascii="Times New Roman" w:hAnsi="Times New Roman"/>
          <w:b w:val="0"/>
          <w:snapToGrid w:val="0"/>
          <w:color w:val="000000"/>
          <w:spacing w:val="-15"/>
          <w:kern w:val="0"/>
          <w:sz w:val="24"/>
          <w:szCs w:val="24"/>
        </w:rPr>
        <w:t>S为杆距:m；B为路面宽度。</w:t>
      </w:r>
    </w:p>
    <w:p>
      <w:pPr>
        <w:widowControl/>
        <w:kinsoku w:val="0"/>
        <w:autoSpaceDE w:val="0"/>
        <w:autoSpaceDN w:val="0"/>
        <w:adjustRightInd w:val="0"/>
        <w:snapToGrid w:val="0"/>
        <w:spacing w:before="182" w:line="218" w:lineRule="auto"/>
        <w:ind w:firstLine="452" w:firstLineChars="200"/>
        <w:jc w:val="left"/>
        <w:textAlignment w:val="baseline"/>
        <w:rPr>
          <w:rFonts w:ascii="Times New Roman" w:hAnsi="Times New Roman"/>
          <w:b w:val="0"/>
          <w:snapToGrid w:val="0"/>
          <w:color w:val="000000"/>
          <w:kern w:val="0"/>
          <w:sz w:val="24"/>
          <w:szCs w:val="24"/>
        </w:rPr>
      </w:pPr>
      <w:r>
        <w:rPr>
          <w:rFonts w:ascii="Times New Roman" w:hAnsi="Times New Roman"/>
          <w:b w:val="0"/>
          <w:snapToGrid w:val="0"/>
          <w:color w:val="000000"/>
          <w:spacing w:val="-7"/>
          <w:kern w:val="0"/>
          <w:sz w:val="24"/>
          <w:szCs w:val="24"/>
        </w:rPr>
        <w:t>以上计算值与规范《城市道路照明设计标准》CJJ</w:t>
      </w:r>
      <w:r>
        <w:rPr>
          <w:rFonts w:ascii="Times New Roman" w:hAnsi="Times New Roman"/>
          <w:b w:val="0"/>
          <w:snapToGrid w:val="0"/>
          <w:color w:val="000000"/>
          <w:spacing w:val="-35"/>
          <w:kern w:val="0"/>
          <w:sz w:val="24"/>
          <w:szCs w:val="24"/>
        </w:rPr>
        <w:t xml:space="preserve"> </w:t>
      </w:r>
      <w:r>
        <w:rPr>
          <w:rFonts w:ascii="Times New Roman" w:hAnsi="Times New Roman"/>
          <w:b w:val="0"/>
          <w:snapToGrid w:val="0"/>
          <w:color w:val="000000"/>
          <w:spacing w:val="-7"/>
          <w:kern w:val="0"/>
          <w:sz w:val="24"/>
          <w:szCs w:val="24"/>
        </w:rPr>
        <w:t>45-2015相关标准比较，均满足设计标准要求。</w:t>
      </w:r>
    </w:p>
    <w:p>
      <w:pPr>
        <w:pStyle w:val="4"/>
        <w:ind w:firstLine="482" w:firstLineChars="200"/>
      </w:pPr>
      <w:bookmarkStart w:id="275" w:name="_Toc29710"/>
      <w:r>
        <w:t>灯具、灯杆选择及灯杆编号</w:t>
      </w:r>
      <w:bookmarkEnd w:id="275"/>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灯具采用可独立更换的光源模组，拆装方便，可达到高效散热。</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灯具电源应通过国家强制性产品认证。额定工作电压：220V+10%，50Hz，驱动电流恒流≤700mA。电源与灯具的连接为防水接头连接方式。效率≥88%，具有过流、短路、抑制涌浪电压、电流补偿等保护功能。灯具平均寿命不低于50000小时。灯具维护系数0.7；反光系统采用立体光源或透镜导光设计，防护等级不低于IP65。</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LED封装方式：整灯光效≥130lm/W，机动车道光源色温：2800K~3500K、非机动车道和人行道光源色温：2800K~4000K。</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灯杆宜选用法兰式钢杆，材质为Q235低碳钢或同等级以上，宜优先采用国内外优质的低硅低碳高强钢，Si含量低于0.04%。H≤8米，满足45m/s风速的设计要求，8&lt;H≤15米，满足52m/s风速的设计要求。</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灯杆内外应采用热镀锌防腐处理,镀锌层厚度应达到85μm以上,防腐年限不小于20年。</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LED灯在燃点3000h时，其光通维持率不低于96%；在燃点6000h时，其光通维持率不低于92%。</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灯杆外型的选用应与周边环境相协调。</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考虑本工程均为支路，统一考虑交通工程小标志牌共杆。</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路灯控制箱：采用防盗控制箱，控制元件和供电开关电器安装在同一电箱内，电箱适合室外安装，具体款式根据当地路灯管理部门的要求定。</w:t>
      </w:r>
    </w:p>
    <w:p>
      <w:pPr>
        <w:spacing w:line="300" w:lineRule="auto"/>
        <w:ind w:firstLine="562" w:firstLineChars="200"/>
        <w:rPr>
          <w:rFonts w:ascii="Times New Roman" w:hAnsi="Times New Roman"/>
          <w:b w:val="0"/>
          <w:color w:val="auto"/>
          <w:sz w:val="24"/>
          <w:szCs w:val="24"/>
        </w:rPr>
      </w:pPr>
      <w:r>
        <w:rPr>
          <w:rFonts w:ascii="Times New Roman" w:hAnsi="Times New Roman"/>
        </w:rPr>
        <w:drawing>
          <wp:inline distT="0" distB="0" distL="0" distR="0">
            <wp:extent cx="5753100" cy="3067050"/>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pic:cNvPicPr>
                  </pic:nvPicPr>
                  <pic:blipFill>
                    <a:blip r:embed="rId246"/>
                    <a:stretch>
                      <a:fillRect/>
                    </a:stretch>
                  </pic:blipFill>
                  <pic:spPr>
                    <a:xfrm>
                      <a:off x="0" y="0"/>
                      <a:ext cx="5753100" cy="3067050"/>
                    </a:xfrm>
                    <a:prstGeom prst="rect">
                      <a:avLst/>
                    </a:prstGeom>
                  </pic:spPr>
                </pic:pic>
              </a:graphicData>
            </a:graphic>
          </wp:inline>
        </w:drawing>
      </w:r>
    </w:p>
    <w:p>
      <w:pPr>
        <w:spacing w:before="206" w:line="219" w:lineRule="auto"/>
        <w:ind w:left="4283" w:firstLine="478" w:firstLineChars="200"/>
        <w:rPr>
          <w:rFonts w:ascii="Times New Roman" w:hAnsi="Times New Roman"/>
          <w:sz w:val="24"/>
          <w:szCs w:val="24"/>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单双臂路灯选型</w:t>
      </w:r>
    </w:p>
    <w:p>
      <w:pPr>
        <w:spacing w:line="300" w:lineRule="auto"/>
        <w:ind w:firstLine="562" w:firstLineChars="200"/>
        <w:jc w:val="center"/>
        <w:rPr>
          <w:rFonts w:ascii="Times New Roman" w:hAnsi="Times New Roman"/>
          <w:b w:val="0"/>
          <w:color w:val="auto"/>
          <w:sz w:val="24"/>
          <w:szCs w:val="24"/>
        </w:rPr>
      </w:pPr>
      <w:r>
        <w:rPr>
          <w:rFonts w:ascii="Times New Roman" w:hAnsi="Times New Roman"/>
        </w:rPr>
        <w:drawing>
          <wp:inline distT="0" distB="0" distL="0" distR="0">
            <wp:extent cx="5133975" cy="2924175"/>
            <wp:effectExtent l="0" t="0" r="9525" b="9525"/>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pic:cNvPicPr>
                  </pic:nvPicPr>
                  <pic:blipFill>
                    <a:blip r:embed="rId247"/>
                    <a:stretch>
                      <a:fillRect/>
                    </a:stretch>
                  </pic:blipFill>
                  <pic:spPr>
                    <a:xfrm>
                      <a:off x="0" y="0"/>
                      <a:ext cx="5133975" cy="2924175"/>
                    </a:xfrm>
                    <a:prstGeom prst="rect">
                      <a:avLst/>
                    </a:prstGeom>
                  </pic:spPr>
                </pic:pic>
              </a:graphicData>
            </a:graphic>
          </wp:inline>
        </w:drawing>
      </w:r>
    </w:p>
    <w:p>
      <w:pPr>
        <w:spacing w:before="206" w:line="219" w:lineRule="auto"/>
        <w:ind w:left="4283" w:firstLine="478" w:firstLineChars="200"/>
        <w:rPr>
          <w:rFonts w:ascii="Times New Roman" w:hAnsi="Times New Roman"/>
          <w:sz w:val="24"/>
          <w:szCs w:val="24"/>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双臂路灯选型</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灯杆编号</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每套路灯均须设置相应的标签，标签参考方式如下：</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标签版面：尺寸规格14（宽）×20（高）cm，标签底色灰色，色值：</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C=0；M=0；Y=0；K=20（即20%黑），标签纸用户外防水不干胶反光粘。</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机动车道侧路灯，标签面向来车方向呈45度角，高度为3米。</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人行道侧庭院灯，标签正面垂直于行人方向，高度为1.5米。</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标签粘贴上灯杆前，应将样品送路灯管理部门审批，待路灯管理部门同意后，方可实施。</w:t>
      </w:r>
    </w:p>
    <w:p>
      <w:pPr>
        <w:spacing w:line="300" w:lineRule="auto"/>
        <w:ind w:firstLine="562" w:firstLineChars="200"/>
        <w:jc w:val="center"/>
        <w:rPr>
          <w:rFonts w:ascii="Times New Roman" w:hAnsi="Times New Roman"/>
          <w:b w:val="0"/>
          <w:color w:val="auto"/>
          <w:sz w:val="24"/>
          <w:szCs w:val="24"/>
        </w:rPr>
      </w:pPr>
      <w:r>
        <w:rPr>
          <w:rFonts w:ascii="Times New Roman" w:hAnsi="Times New Roman"/>
          <w:position w:val="-104"/>
        </w:rPr>
        <w:drawing>
          <wp:inline distT="0" distB="0" distL="0" distR="0">
            <wp:extent cx="3510915" cy="2604770"/>
            <wp:effectExtent l="0" t="0" r="13335" b="5080"/>
            <wp:docPr id="136" name="IM 758"/>
            <wp:cNvGraphicFramePr/>
            <a:graphic xmlns:a="http://schemas.openxmlformats.org/drawingml/2006/main">
              <a:graphicData uri="http://schemas.openxmlformats.org/drawingml/2006/picture">
                <pic:pic xmlns:pic="http://schemas.openxmlformats.org/drawingml/2006/picture">
                  <pic:nvPicPr>
                    <pic:cNvPr id="136" name="IM 758"/>
                    <pic:cNvPicPr/>
                  </pic:nvPicPr>
                  <pic:blipFill>
                    <a:blip r:embed="rId248"/>
                    <a:stretch>
                      <a:fillRect/>
                    </a:stretch>
                  </pic:blipFill>
                  <pic:spPr>
                    <a:xfrm>
                      <a:off x="0" y="0"/>
                      <a:ext cx="3514497" cy="2607809"/>
                    </a:xfrm>
                    <a:prstGeom prst="rect">
                      <a:avLst/>
                    </a:prstGeom>
                  </pic:spPr>
                </pic:pic>
              </a:graphicData>
            </a:graphic>
          </wp:inline>
        </w:drawing>
      </w:r>
    </w:p>
    <w:p>
      <w:pPr>
        <w:pStyle w:val="4"/>
        <w:ind w:firstLine="482" w:firstLineChars="200"/>
      </w:pPr>
      <w:bookmarkStart w:id="276" w:name="_Toc26099"/>
      <w:r>
        <w:t>供配电系统及照明控制方式</w:t>
      </w:r>
      <w:bookmarkEnd w:id="276"/>
    </w:p>
    <w:p>
      <w:pPr>
        <w:numPr>
          <w:ilvl w:val="0"/>
          <w:numId w:val="36"/>
        </w:numPr>
        <w:spacing w:before="31" w:after="31"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负荷等级</w:t>
      </w:r>
    </w:p>
    <w:p>
      <w:pPr>
        <w:spacing w:before="31" w:after="31"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本工程按三级负荷供电，照明灯具端电压应维持在额定电压的90%～105%，配电电压220V/380V。</w:t>
      </w:r>
    </w:p>
    <w:p>
      <w:pPr>
        <w:numPr>
          <w:ilvl w:val="0"/>
          <w:numId w:val="36"/>
        </w:numPr>
        <w:spacing w:before="31" w:after="31"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供配电系统</w:t>
      </w:r>
    </w:p>
    <w:p>
      <w:pPr>
        <w:spacing w:before="31" w:after="31"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本工程电源由新设箱变提供，新建箱变给道路照明供电并为交通信号及监控、公交站照明及广</w:t>
      </w:r>
    </w:p>
    <w:p>
      <w:pPr>
        <w:spacing w:before="31" w:after="31"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告、景观照明、其他用电等预留容量。同时设置3座配电箱为区域内的道路照明配电和控制。</w:t>
      </w:r>
    </w:p>
    <w:p>
      <w:pPr>
        <w:spacing w:before="31" w:after="31" w:line="360" w:lineRule="auto"/>
        <w:ind w:firstLine="482" w:firstLineChars="200"/>
        <w:jc w:val="center"/>
        <w:rPr>
          <w:rFonts w:ascii="Times New Roman" w:hAnsi="Times New Roman"/>
          <w:b w:val="0"/>
          <w:color w:val="auto"/>
          <w:sz w:val="24"/>
          <w:szCs w:val="24"/>
        </w:rPr>
      </w:pPr>
      <w:r>
        <w:rPr>
          <w:rFonts w:hAnsi="Calibri" w:cs="宋体"/>
          <w:kern w:val="0"/>
          <w:sz w:val="24"/>
          <w:szCs w:val="24"/>
        </w:rPr>
        <w:drawing>
          <wp:inline distT="0" distB="0" distL="0" distR="0">
            <wp:extent cx="5927725" cy="3762375"/>
            <wp:effectExtent l="0" t="0" r="1587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49" cstate="print">
                      <a:extLst>
                        <a:ext uri="{28A0092B-C50C-407E-A947-70E740481C1C}">
                          <a14:useLocalDpi xmlns:a14="http://schemas.microsoft.com/office/drawing/2010/main" val="0"/>
                        </a:ext>
                      </a:extLst>
                    </a:blip>
                    <a:srcRect l="12169" t="5222" r="3236" b="7870"/>
                    <a:stretch>
                      <a:fillRect/>
                    </a:stretch>
                  </pic:blipFill>
                  <pic:spPr>
                    <a:xfrm>
                      <a:off x="0" y="0"/>
                      <a:ext cx="5947462" cy="3774732"/>
                    </a:xfrm>
                    <a:prstGeom prst="rect">
                      <a:avLst/>
                    </a:prstGeom>
                    <a:ln>
                      <a:noFill/>
                    </a:ln>
                  </pic:spPr>
                </pic:pic>
              </a:graphicData>
            </a:graphic>
          </wp:inline>
        </w:drawing>
      </w:r>
    </w:p>
    <w:p>
      <w:pPr>
        <w:spacing w:before="183" w:line="220" w:lineRule="auto"/>
        <w:ind w:left="4163" w:firstLine="474" w:firstLineChars="200"/>
        <w:rPr>
          <w:rFonts w:ascii="Times New Roman" w:hAnsi="Times New Roman"/>
          <w:sz w:val="24"/>
          <w:szCs w:val="24"/>
        </w:rPr>
      </w:pPr>
      <w:r>
        <w:rPr>
          <w:rFonts w:ascii="Times New Roman" w:hAnsi="Times New Roman"/>
          <w:spacing w:val="-2"/>
          <w:sz w:val="24"/>
          <w:szCs w:val="24"/>
          <w14:textOutline w14:w="3048" w14:cap="flat" w14:cmpd="sng" w14:algn="ctr">
            <w14:solidFill>
              <w14:srgbClr w14:val="000000"/>
            </w14:solidFill>
            <w14:prstDash w14:val="solid"/>
            <w14:miter w14:val="0"/>
          </w14:textOutline>
        </w:rPr>
        <w:t>照明配电总平面图</w:t>
      </w:r>
    </w:p>
    <w:p>
      <w:pPr>
        <w:numPr>
          <w:ilvl w:val="0"/>
          <w:numId w:val="36"/>
        </w:numPr>
        <w:spacing w:before="31" w:after="31"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功率因数补偿</w:t>
      </w:r>
    </w:p>
    <w:p>
      <w:pPr>
        <w:spacing w:before="31" w:after="31"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LED灯要求功率因数不低于0.95，灯具功率因数高有利于减小配电导线及护管截面，节省投资；本工程采用集中补偿方式：在箱变设集中电容补偿器，一方面可对箱变景观照明，绿化喷灌，</w:t>
      </w:r>
    </w:p>
    <w:p>
      <w:pPr>
        <w:spacing w:before="31" w:after="31"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公交站等用电负荷进行补偿，另一方面，当部分灯内分散补偿电容器损坏时，可起到后备补偿作用。</w:t>
      </w:r>
    </w:p>
    <w:p>
      <w:pPr>
        <w:numPr>
          <w:ilvl w:val="0"/>
          <w:numId w:val="36"/>
        </w:numPr>
        <w:spacing w:before="31" w:after="31"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照明配电控制方式</w:t>
      </w:r>
    </w:p>
    <w:p>
      <w:pPr>
        <w:spacing w:before="31" w:after="31"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照明控制方式有：手动、光控、时控、调光方式。道路照明开灯和关灯时的天然光照度水平，城市主干路宜为30lx，城市次干路宜为20lx。在路灯控制箱中设置路灯智能集中控制器，并与南沙路灯统一监管平台相匹配兼容。</w:t>
      </w:r>
    </w:p>
    <w:p>
      <w:pPr>
        <w:spacing w:before="48" w:line="359" w:lineRule="auto"/>
        <w:ind w:left="18" w:right="334" w:firstLine="480" w:firstLineChars="200"/>
        <w:rPr>
          <w:rFonts w:ascii="Times New Roman" w:hAnsi="Times New Roman"/>
          <w:b w:val="0"/>
          <w:color w:val="auto"/>
          <w:sz w:val="24"/>
          <w:szCs w:val="24"/>
        </w:rPr>
      </w:pPr>
      <w:r>
        <w:rPr>
          <w:rFonts w:ascii="Times New Roman" w:hAnsi="Times New Roman"/>
          <w:b w:val="0"/>
          <w:color w:val="auto"/>
          <w:sz w:val="24"/>
          <w:szCs w:val="24"/>
        </w:rPr>
        <w:t>根据《关于南沙新区市政道路照明工程智能控制管理系统建设指南》的要求，每杆路灯设单灯控制器，需具备智能调光、检测、远程定位等各项智能管理的要求，并满足广州市南沙区路灯智能管理系统的要求。</w:t>
      </w:r>
    </w:p>
    <w:p>
      <w:pPr>
        <w:pStyle w:val="4"/>
        <w:ind w:firstLine="482" w:firstLineChars="200"/>
      </w:pPr>
      <w:bookmarkStart w:id="277" w:name="_Toc4452"/>
      <w:r>
        <w:t>线路敷设</w:t>
      </w:r>
      <w:bookmarkEnd w:id="277"/>
    </w:p>
    <w:p>
      <w:pPr>
        <w:spacing w:before="48" w:line="359" w:lineRule="auto"/>
        <w:ind w:left="18" w:right="334" w:firstLine="480" w:firstLineChars="200"/>
        <w:rPr>
          <w:rFonts w:ascii="Times New Roman" w:hAnsi="Times New Roman"/>
          <w:b w:val="0"/>
          <w:color w:val="auto"/>
          <w:sz w:val="24"/>
          <w:szCs w:val="24"/>
        </w:rPr>
      </w:pPr>
      <w:r>
        <w:rPr>
          <w:rFonts w:ascii="Times New Roman" w:hAnsi="Times New Roman"/>
          <w:b w:val="0"/>
          <w:color w:val="auto"/>
          <w:sz w:val="24"/>
          <w:szCs w:val="24"/>
        </w:rPr>
        <w:t>路灯供电线路采用YJV.1KV导线穿PE管，埋设于人行道或绿化带下，管线埋深H≥0.7m。</w:t>
      </w:r>
    </w:p>
    <w:p>
      <w:pPr>
        <w:spacing w:before="48" w:line="359" w:lineRule="auto"/>
        <w:ind w:left="18" w:right="334" w:firstLine="480" w:firstLineChars="200"/>
        <w:rPr>
          <w:rFonts w:ascii="Times New Roman" w:hAnsi="Times New Roman"/>
          <w:b w:val="0"/>
          <w:color w:val="auto"/>
          <w:sz w:val="24"/>
          <w:szCs w:val="24"/>
        </w:rPr>
      </w:pPr>
      <w:r>
        <w:rPr>
          <w:rFonts w:ascii="Times New Roman" w:hAnsi="Times New Roman"/>
          <w:b w:val="0"/>
          <w:color w:val="auto"/>
          <w:sz w:val="24"/>
          <w:szCs w:val="24"/>
        </w:rPr>
        <w:t>过马路改用钢管，并在两端设置拉线手井。所有管线埋深H≥1.0m。</w:t>
      </w:r>
    </w:p>
    <w:p>
      <w:pPr>
        <w:spacing w:before="48" w:line="359" w:lineRule="auto"/>
        <w:ind w:left="18" w:right="334" w:firstLine="480" w:firstLineChars="200"/>
        <w:rPr>
          <w:rFonts w:ascii="Times New Roman" w:hAnsi="Times New Roman"/>
          <w:b w:val="0"/>
          <w:color w:val="auto"/>
          <w:sz w:val="24"/>
          <w:szCs w:val="24"/>
        </w:rPr>
      </w:pPr>
      <w:r>
        <w:rPr>
          <w:rFonts w:ascii="Times New Roman" w:hAnsi="Times New Roman"/>
          <w:b w:val="0"/>
          <w:color w:val="auto"/>
          <w:sz w:val="24"/>
          <w:szCs w:val="24"/>
        </w:rPr>
        <w:t>每个灯具均带30mA瞬时动作的剩余电流保护附件的C型微型断路器（电磁式）作为单独保护装置，将剩余电流保护器安装在灯杆分支进线处的接线盒内，150W及以下采用4A、150W~250W采用6A、250W~400W采用10A。</w:t>
      </w:r>
    </w:p>
    <w:p>
      <w:pPr>
        <w:spacing w:before="48" w:line="359" w:lineRule="auto"/>
        <w:ind w:left="18" w:right="334" w:firstLine="480" w:firstLineChars="200"/>
        <w:rPr>
          <w:rFonts w:ascii="Times New Roman" w:hAnsi="Times New Roman"/>
          <w:b w:val="0"/>
          <w:color w:val="auto"/>
          <w:sz w:val="24"/>
          <w:szCs w:val="24"/>
        </w:rPr>
      </w:pPr>
      <w:r>
        <w:rPr>
          <w:rFonts w:ascii="Times New Roman" w:hAnsi="Times New Roman"/>
          <w:b w:val="0"/>
          <w:color w:val="auto"/>
          <w:sz w:val="24"/>
          <w:szCs w:val="24"/>
        </w:rPr>
        <w:t>灯杆及灯基础接地极应与配电系统接地线可靠连接，连接导线线径不小于配电系统PE线。</w:t>
      </w:r>
    </w:p>
    <w:p>
      <w:pPr>
        <w:spacing w:before="48" w:line="359" w:lineRule="auto"/>
        <w:ind w:left="18" w:right="334" w:firstLine="480" w:firstLineChars="200"/>
        <w:rPr>
          <w:rFonts w:ascii="Times New Roman" w:hAnsi="Times New Roman"/>
          <w:b w:val="0"/>
          <w:color w:val="auto"/>
          <w:sz w:val="24"/>
          <w:szCs w:val="24"/>
        </w:rPr>
      </w:pPr>
      <w:r>
        <w:rPr>
          <w:rFonts w:ascii="Times New Roman" w:hAnsi="Times New Roman"/>
          <w:b w:val="0"/>
          <w:color w:val="auto"/>
          <w:sz w:val="24"/>
          <w:szCs w:val="24"/>
        </w:rPr>
        <w:t>路灯每一回路均采用三相供电，从路灯控制箱出来第一支灯起按A、B、C相别顺序取电，尽量使三相负荷平衡。</w:t>
      </w:r>
    </w:p>
    <w:p>
      <w:pPr>
        <w:pStyle w:val="4"/>
        <w:ind w:firstLine="482" w:firstLineChars="200"/>
      </w:pPr>
      <w:bookmarkStart w:id="278" w:name="_Toc2980"/>
      <w:r>
        <w:t>电气节能及环保措施</w:t>
      </w:r>
      <w:bookmarkEnd w:id="278"/>
    </w:p>
    <w:p>
      <w:pPr>
        <w:spacing w:before="48" w:line="359" w:lineRule="auto"/>
        <w:ind w:left="18" w:right="334" w:firstLine="480" w:firstLineChars="200"/>
        <w:rPr>
          <w:rFonts w:ascii="Times New Roman" w:hAnsi="Times New Roman"/>
          <w:b w:val="0"/>
          <w:color w:val="auto"/>
          <w:sz w:val="24"/>
          <w:szCs w:val="24"/>
        </w:rPr>
      </w:pPr>
      <w:r>
        <w:rPr>
          <w:rFonts w:ascii="Times New Roman" w:hAnsi="Times New Roman"/>
          <w:b w:val="0"/>
          <w:color w:val="auto"/>
          <w:sz w:val="24"/>
          <w:szCs w:val="24"/>
        </w:rPr>
        <w:t>降低配电系身能效率。</w:t>
      </w:r>
    </w:p>
    <w:p>
      <w:pPr>
        <w:spacing w:before="48" w:line="359" w:lineRule="auto"/>
        <w:ind w:left="18" w:right="334" w:firstLine="480" w:firstLineChars="200"/>
        <w:rPr>
          <w:rFonts w:ascii="Times New Roman" w:hAnsi="Times New Roman"/>
          <w:b w:val="0"/>
          <w:color w:val="auto"/>
          <w:sz w:val="24"/>
          <w:szCs w:val="24"/>
        </w:rPr>
      </w:pPr>
      <w:r>
        <w:rPr>
          <w:rFonts w:ascii="Times New Roman" w:hAnsi="Times New Roman"/>
          <w:b w:val="0"/>
          <w:color w:val="auto"/>
          <w:sz w:val="24"/>
          <w:szCs w:val="24"/>
        </w:rPr>
        <w:t>按经济电流密度合理选择导线截面积。</w:t>
      </w:r>
    </w:p>
    <w:p>
      <w:pPr>
        <w:spacing w:before="48" w:line="359" w:lineRule="auto"/>
        <w:ind w:left="18" w:right="334" w:firstLine="480" w:firstLineChars="200"/>
        <w:rPr>
          <w:rFonts w:ascii="Times New Roman" w:hAnsi="Times New Roman"/>
          <w:b w:val="0"/>
          <w:color w:val="auto"/>
          <w:sz w:val="24"/>
          <w:szCs w:val="24"/>
        </w:rPr>
      </w:pPr>
      <w:r>
        <w:rPr>
          <w:rFonts w:ascii="Times New Roman" w:hAnsi="Times New Roman"/>
          <w:b w:val="0"/>
          <w:color w:val="auto"/>
          <w:sz w:val="24"/>
          <w:szCs w:val="24"/>
        </w:rPr>
        <w:t>LED灯功率因数不低于0.95。</w:t>
      </w:r>
    </w:p>
    <w:p>
      <w:pPr>
        <w:spacing w:before="48" w:line="359" w:lineRule="auto"/>
        <w:ind w:left="18" w:right="334" w:firstLine="480" w:firstLineChars="200"/>
        <w:rPr>
          <w:rFonts w:ascii="Times New Roman" w:hAnsi="Times New Roman"/>
          <w:b w:val="0"/>
          <w:color w:val="auto"/>
          <w:sz w:val="24"/>
          <w:szCs w:val="24"/>
        </w:rPr>
      </w:pPr>
      <w:r>
        <w:rPr>
          <w:rFonts w:hint="eastAsia" w:ascii="Times New Roman" w:hAnsi="Times New Roman"/>
          <w:b w:val="0"/>
          <w:color w:val="auto"/>
          <w:sz w:val="24"/>
          <w:szCs w:val="24"/>
        </w:rPr>
        <w:t>变电所尽量深入负荷中心，减少线路损耗。</w:t>
      </w:r>
    </w:p>
    <w:p>
      <w:pPr>
        <w:spacing w:before="48" w:line="359" w:lineRule="auto"/>
        <w:ind w:left="18" w:right="334" w:firstLine="480" w:firstLineChars="200"/>
        <w:rPr>
          <w:rFonts w:ascii="Times New Roman" w:hAnsi="Times New Roman"/>
          <w:b w:val="0"/>
          <w:color w:val="auto"/>
          <w:sz w:val="24"/>
          <w:szCs w:val="24"/>
        </w:rPr>
      </w:pPr>
      <w:r>
        <w:rPr>
          <w:rFonts w:hint="eastAsia" w:ascii="Times New Roman" w:hAnsi="Times New Roman"/>
          <w:b w:val="0"/>
          <w:color w:val="auto"/>
          <w:sz w:val="24"/>
          <w:szCs w:val="24"/>
        </w:rPr>
        <w:t>按变压器经济运行条件，合理选择变压器的容量和台数，变压器负荷率控制在70%~85%范围内。变压器采用SCB12型低损耗、低噪声节能型干式变压器。</w:t>
      </w:r>
    </w:p>
    <w:p>
      <w:pPr>
        <w:spacing w:before="48" w:line="359" w:lineRule="auto"/>
        <w:ind w:left="18" w:right="334" w:firstLine="480" w:firstLineChars="200"/>
        <w:rPr>
          <w:rFonts w:ascii="Times New Roman" w:hAnsi="Times New Roman"/>
          <w:b w:val="0"/>
          <w:color w:val="auto"/>
          <w:sz w:val="24"/>
          <w:szCs w:val="24"/>
        </w:rPr>
      </w:pPr>
    </w:p>
    <w:p>
      <w:pPr>
        <w:spacing w:before="48" w:line="359" w:lineRule="auto"/>
        <w:ind w:left="18" w:right="334" w:firstLine="480" w:firstLineChars="200"/>
        <w:rPr>
          <w:rFonts w:ascii="Times New Roman" w:hAnsi="Times New Roman"/>
          <w:b w:val="0"/>
          <w:color w:val="auto"/>
          <w:sz w:val="24"/>
          <w:szCs w:val="24"/>
        </w:rPr>
      </w:pPr>
      <w:r>
        <w:rPr>
          <w:rFonts w:ascii="Times New Roman" w:hAnsi="Times New Roman"/>
          <w:b w:val="0"/>
          <w:color w:val="auto"/>
          <w:sz w:val="24"/>
          <w:szCs w:val="24"/>
        </w:rPr>
        <w:t>合理布置配电箱位置，减小低压侧线路长度，降低线路损耗。</w:t>
      </w:r>
    </w:p>
    <w:p>
      <w:pPr>
        <w:spacing w:before="48" w:line="359" w:lineRule="auto"/>
        <w:ind w:left="18" w:right="334" w:firstLine="480" w:firstLineChars="200"/>
        <w:rPr>
          <w:rFonts w:ascii="Times New Roman" w:hAnsi="Times New Roman"/>
          <w:b w:val="0"/>
          <w:color w:val="auto"/>
          <w:sz w:val="24"/>
          <w:szCs w:val="24"/>
        </w:rPr>
      </w:pPr>
      <w:r>
        <w:rPr>
          <w:rFonts w:ascii="Times New Roman" w:hAnsi="Times New Roman"/>
          <w:b w:val="0"/>
          <w:color w:val="auto"/>
          <w:sz w:val="24"/>
          <w:szCs w:val="24"/>
        </w:rPr>
        <w:t>提高照明方式与照明器具的效率，实现照明系统的实时控制。</w:t>
      </w:r>
    </w:p>
    <w:p>
      <w:pPr>
        <w:spacing w:before="48" w:line="359" w:lineRule="auto"/>
        <w:ind w:left="18" w:right="334" w:firstLine="480" w:firstLineChars="200"/>
        <w:rPr>
          <w:rFonts w:ascii="Times New Roman" w:hAnsi="Times New Roman"/>
          <w:b w:val="0"/>
          <w:color w:val="auto"/>
          <w:sz w:val="24"/>
          <w:szCs w:val="24"/>
        </w:rPr>
      </w:pPr>
      <w:r>
        <w:rPr>
          <w:rFonts w:ascii="Times New Roman" w:hAnsi="Times New Roman"/>
          <w:b w:val="0"/>
          <w:color w:val="auto"/>
          <w:sz w:val="24"/>
          <w:szCs w:val="24"/>
        </w:rPr>
        <w:t>节能控制：根据夜间车流量，照明灯具可降功率运行，以达到节能目的。</w:t>
      </w:r>
    </w:p>
    <w:p>
      <w:pPr>
        <w:spacing w:before="48" w:line="359" w:lineRule="auto"/>
        <w:ind w:left="18" w:right="334" w:firstLine="480" w:firstLineChars="200"/>
        <w:rPr>
          <w:rFonts w:ascii="Times New Roman" w:hAnsi="Times New Roman"/>
          <w:b w:val="0"/>
          <w:color w:val="auto"/>
          <w:sz w:val="24"/>
          <w:szCs w:val="24"/>
        </w:rPr>
      </w:pPr>
      <w:r>
        <w:rPr>
          <w:rFonts w:ascii="Times New Roman" w:hAnsi="Times New Roman"/>
          <w:b w:val="0"/>
          <w:color w:val="auto"/>
          <w:sz w:val="24"/>
          <w:szCs w:val="24"/>
        </w:rPr>
        <w:t>本工程路灯均为全夜灯，每日的午夜12点之后，LED灯光源功率降至所使用功率的60%~80%。LED灯具内所使用的调光控制器，具有夜晚降功率功能。</w:t>
      </w:r>
    </w:p>
    <w:p>
      <w:pPr>
        <w:pStyle w:val="3"/>
        <w:ind w:firstLine="562" w:firstLineChars="200"/>
      </w:pPr>
      <w:bookmarkStart w:id="279" w:name="_Toc26459"/>
      <w:r>
        <w:t>电力管沟工程</w:t>
      </w:r>
      <w:bookmarkEnd w:id="279"/>
    </w:p>
    <w:p>
      <w:pPr>
        <w:pStyle w:val="4"/>
        <w:ind w:firstLine="482" w:firstLineChars="200"/>
      </w:pPr>
      <w:bookmarkStart w:id="280" w:name="_Toc29755"/>
      <w:bookmarkStart w:id="281" w:name="_Toc388888534"/>
      <w:r>
        <w:t>设计依据</w:t>
      </w:r>
      <w:bookmarkEnd w:id="280"/>
    </w:p>
    <w:bookmarkEnd w:id="281"/>
    <w:p>
      <w:pPr>
        <w:numPr>
          <w:ilvl w:val="0"/>
          <w:numId w:val="37"/>
        </w:numPr>
        <w:spacing w:before="31" w:after="31" w:line="360" w:lineRule="auto"/>
        <w:ind w:firstLine="480" w:firstLineChars="200"/>
        <w:rPr>
          <w:rFonts w:ascii="Times New Roman" w:hAnsi="Times New Roman"/>
          <w:b w:val="0"/>
          <w:color w:val="auto"/>
          <w:sz w:val="24"/>
          <w:szCs w:val="24"/>
        </w:rPr>
      </w:pPr>
      <w:bookmarkStart w:id="282" w:name="_Toc388888535"/>
      <w:r>
        <w:rPr>
          <w:rFonts w:ascii="Times New Roman" w:hAnsi="Times New Roman"/>
          <w:b w:val="0"/>
          <w:color w:val="auto"/>
          <w:sz w:val="24"/>
          <w:szCs w:val="24"/>
        </w:rPr>
        <w:t>《城市电力规划规范》GB/50293-2014；</w:t>
      </w:r>
    </w:p>
    <w:p>
      <w:pPr>
        <w:numPr>
          <w:ilvl w:val="0"/>
          <w:numId w:val="37"/>
        </w:numPr>
        <w:spacing w:before="31" w:after="31"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《城市工程管线综合规划规范》GB50289-2016；</w:t>
      </w:r>
    </w:p>
    <w:p>
      <w:pPr>
        <w:numPr>
          <w:ilvl w:val="0"/>
          <w:numId w:val="37"/>
        </w:numPr>
        <w:spacing w:before="31" w:after="31"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《供配电系统设计规范》GB50052-2009；</w:t>
      </w:r>
    </w:p>
    <w:p>
      <w:pPr>
        <w:numPr>
          <w:ilvl w:val="0"/>
          <w:numId w:val="37"/>
        </w:numPr>
        <w:spacing w:before="31" w:after="31"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《电力电缆井设计与安装》07SD101-8。</w:t>
      </w:r>
    </w:p>
    <w:p>
      <w:pPr>
        <w:pStyle w:val="4"/>
        <w:ind w:firstLine="482" w:firstLineChars="200"/>
      </w:pPr>
      <w:bookmarkStart w:id="283" w:name="_Toc12094"/>
      <w:r>
        <w:t>电力线路敷设方式选择</w:t>
      </w:r>
      <w:bookmarkEnd w:id="283"/>
    </w:p>
    <w:bookmarkEnd w:id="282"/>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地下电力管沟按照结构型式可分为：电缆排管、电缆沟和电力隧道。</w:t>
      </w:r>
    </w:p>
    <w:p>
      <w:pPr>
        <w:ind w:firstLine="560" w:firstLineChars="200"/>
        <w:jc w:val="center"/>
        <w:rPr>
          <w:rFonts w:ascii="Times New Roman" w:hAnsi="Times New Roman"/>
          <w:b w:val="0"/>
          <w:color w:val="auto"/>
        </w:rPr>
      </w:pPr>
      <w:r>
        <w:rPr>
          <w:rFonts w:ascii="Times New Roman" w:hAnsi="Times New Roman"/>
          <w:b w:val="0"/>
          <w:color w:val="auto"/>
        </w:rPr>
        <w:drawing>
          <wp:inline distT="0" distB="0" distL="0" distR="0">
            <wp:extent cx="2456180" cy="1979930"/>
            <wp:effectExtent l="0" t="0" r="1270" b="1270"/>
            <wp:docPr id="70" name="图片 70" descr="电缆排管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电缆排管2"/>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a:xfrm>
                      <a:off x="0" y="0"/>
                      <a:ext cx="2456180" cy="1979930"/>
                    </a:xfrm>
                    <a:prstGeom prst="rect">
                      <a:avLst/>
                    </a:prstGeom>
                    <a:noFill/>
                    <a:ln>
                      <a:noFill/>
                    </a:ln>
                  </pic:spPr>
                </pic:pic>
              </a:graphicData>
            </a:graphic>
          </wp:inline>
        </w:drawing>
      </w:r>
      <w:r>
        <w:rPr>
          <w:rFonts w:ascii="Times New Roman" w:hAnsi="Times New Roman"/>
          <w:b w:val="0"/>
          <w:color w:val="auto"/>
        </w:rPr>
        <w:drawing>
          <wp:inline distT="0" distB="0" distL="0" distR="0">
            <wp:extent cx="2413000" cy="1979930"/>
            <wp:effectExtent l="0" t="0" r="6350" b="1270"/>
            <wp:docPr id="71" name="图片 71" descr="电缆排管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电缆排管1"/>
                    <pic:cNvPicPr>
                      <a:picLocks noChangeAspect="1" noChangeArrowheads="1"/>
                    </pic:cNvPicPr>
                  </pic:nvPicPr>
                  <pic:blipFill>
                    <a:blip r:embed="rId251" cstate="screen">
                      <a:extLst>
                        <a:ext uri="{28A0092B-C50C-407E-A947-70E740481C1C}">
                          <a14:useLocalDpi xmlns:a14="http://schemas.microsoft.com/office/drawing/2010/main" val="0"/>
                        </a:ext>
                      </a:extLst>
                    </a:blip>
                    <a:srcRect/>
                    <a:stretch>
                      <a:fillRect/>
                    </a:stretch>
                  </pic:blipFill>
                  <pic:spPr>
                    <a:xfrm>
                      <a:off x="0" y="0"/>
                      <a:ext cx="2413000" cy="1979930"/>
                    </a:xfrm>
                    <a:prstGeom prst="rect">
                      <a:avLst/>
                    </a:prstGeom>
                    <a:noFill/>
                    <a:ln>
                      <a:noFill/>
                    </a:ln>
                  </pic:spPr>
                </pic:pic>
              </a:graphicData>
            </a:graphic>
          </wp:inline>
        </w:drawing>
      </w:r>
    </w:p>
    <w:p>
      <w:pPr>
        <w:spacing w:line="360" w:lineRule="auto"/>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电缆排管案例</w:t>
      </w:r>
    </w:p>
    <w:p>
      <w:pPr>
        <w:ind w:firstLine="560" w:firstLineChars="200"/>
        <w:jc w:val="center"/>
        <w:rPr>
          <w:rFonts w:ascii="Times New Roman" w:hAnsi="Times New Roman"/>
          <w:b w:val="0"/>
          <w:color w:val="auto"/>
        </w:rPr>
      </w:pPr>
      <w:r>
        <w:rPr>
          <w:rFonts w:ascii="Times New Roman" w:hAnsi="Times New Roman"/>
          <w:b w:val="0"/>
          <w:color w:val="auto"/>
        </w:rPr>
        <w:drawing>
          <wp:inline distT="0" distB="0" distL="0" distR="0">
            <wp:extent cx="2499995" cy="1871980"/>
            <wp:effectExtent l="0" t="0" r="14605" b="13970"/>
            <wp:docPr id="72" name="图片 72" descr="电缆沟支架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电缆沟支架1"/>
                    <pic:cNvPicPr>
                      <a:picLocks noChangeAspect="1" noChangeArrowheads="1"/>
                    </pic:cNvPicPr>
                  </pic:nvPicPr>
                  <pic:blipFill>
                    <a:blip r:embed="rId252" cstate="screen">
                      <a:extLst>
                        <a:ext uri="{28A0092B-C50C-407E-A947-70E740481C1C}">
                          <a14:useLocalDpi xmlns:a14="http://schemas.microsoft.com/office/drawing/2010/main" val="0"/>
                        </a:ext>
                      </a:extLst>
                    </a:blip>
                    <a:srcRect/>
                    <a:stretch>
                      <a:fillRect/>
                    </a:stretch>
                  </pic:blipFill>
                  <pic:spPr>
                    <a:xfrm>
                      <a:off x="0" y="0"/>
                      <a:ext cx="2499995" cy="1871980"/>
                    </a:xfrm>
                    <a:prstGeom prst="rect">
                      <a:avLst/>
                    </a:prstGeom>
                    <a:noFill/>
                    <a:ln>
                      <a:noFill/>
                    </a:ln>
                  </pic:spPr>
                </pic:pic>
              </a:graphicData>
            </a:graphic>
          </wp:inline>
        </w:drawing>
      </w:r>
      <w:r>
        <w:rPr>
          <w:rFonts w:ascii="Times New Roman" w:hAnsi="Times New Roman"/>
          <w:b w:val="0"/>
          <w:color w:val="auto"/>
        </w:rPr>
        <w:drawing>
          <wp:inline distT="0" distB="0" distL="0" distR="0">
            <wp:extent cx="2504440" cy="1871980"/>
            <wp:effectExtent l="0" t="0" r="10160" b="13970"/>
            <wp:docPr id="73" name="图片 73" descr="电缆沟支架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电缆沟支架2"/>
                    <pic:cNvPicPr>
                      <a:picLocks noChangeAspect="1" noChangeArrowheads="1"/>
                    </pic:cNvPicPr>
                  </pic:nvPicPr>
                  <pic:blipFill>
                    <a:blip r:embed="rId253" cstate="screen">
                      <a:extLst>
                        <a:ext uri="{28A0092B-C50C-407E-A947-70E740481C1C}">
                          <a14:useLocalDpi xmlns:a14="http://schemas.microsoft.com/office/drawing/2010/main" val="0"/>
                        </a:ext>
                      </a:extLst>
                    </a:blip>
                    <a:srcRect/>
                    <a:stretch>
                      <a:fillRect/>
                    </a:stretch>
                  </pic:blipFill>
                  <pic:spPr>
                    <a:xfrm>
                      <a:off x="0" y="0"/>
                      <a:ext cx="2504440" cy="1871980"/>
                    </a:xfrm>
                    <a:prstGeom prst="rect">
                      <a:avLst/>
                    </a:prstGeom>
                    <a:noFill/>
                    <a:ln>
                      <a:noFill/>
                    </a:ln>
                  </pic:spPr>
                </pic:pic>
              </a:graphicData>
            </a:graphic>
          </wp:inline>
        </w:drawing>
      </w:r>
    </w:p>
    <w:p>
      <w:pPr>
        <w:autoSpaceDE w:val="0"/>
        <w:autoSpaceDN w:val="0"/>
        <w:adjustRightInd w:val="0"/>
        <w:spacing w:line="360" w:lineRule="auto"/>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电缆沟案例</w:t>
      </w:r>
    </w:p>
    <w:p>
      <w:pPr>
        <w:spacing w:line="360" w:lineRule="auto"/>
        <w:ind w:firstLine="560" w:firstLineChars="200"/>
        <w:jc w:val="center"/>
        <w:rPr>
          <w:rFonts w:ascii="Times New Roman" w:hAnsi="Times New Roman"/>
          <w:b w:val="0"/>
          <w:color w:val="auto"/>
        </w:rPr>
      </w:pPr>
      <w:r>
        <w:rPr>
          <w:rFonts w:ascii="Times New Roman" w:hAnsi="Times New Roman"/>
          <w:b w:val="0"/>
          <w:color w:val="auto"/>
        </w:rPr>
        <w:drawing>
          <wp:inline distT="0" distB="0" distL="0" distR="0">
            <wp:extent cx="2588895" cy="1864360"/>
            <wp:effectExtent l="0" t="0" r="1905" b="2540"/>
            <wp:docPr id="74" name="图片 74" descr="3880499_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3880499_s1"/>
                    <pic:cNvPicPr>
                      <a:picLocks noChangeAspect="1" noChangeArrowheads="1"/>
                    </pic:cNvPicPr>
                  </pic:nvPicPr>
                  <pic:blipFill>
                    <a:blip r:embed="rId254" cstate="screen">
                      <a:extLst>
                        <a:ext uri="{28A0092B-C50C-407E-A947-70E740481C1C}">
                          <a14:useLocalDpi xmlns:a14="http://schemas.microsoft.com/office/drawing/2010/main" val="0"/>
                        </a:ext>
                      </a:extLst>
                    </a:blip>
                    <a:srcRect/>
                    <a:stretch>
                      <a:fillRect/>
                    </a:stretch>
                  </pic:blipFill>
                  <pic:spPr>
                    <a:xfrm>
                      <a:off x="0" y="0"/>
                      <a:ext cx="2588895" cy="1864360"/>
                    </a:xfrm>
                    <a:prstGeom prst="rect">
                      <a:avLst/>
                    </a:prstGeom>
                    <a:noFill/>
                    <a:ln>
                      <a:noFill/>
                    </a:ln>
                  </pic:spPr>
                </pic:pic>
              </a:graphicData>
            </a:graphic>
          </wp:inline>
        </w:drawing>
      </w:r>
      <w:r>
        <w:rPr>
          <w:rFonts w:ascii="Times New Roman" w:hAnsi="Times New Roman"/>
          <w:b w:val="0"/>
          <w:color w:val="auto"/>
        </w:rPr>
        <w:drawing>
          <wp:inline distT="0" distB="0" distL="0" distR="0">
            <wp:extent cx="2446020" cy="1864360"/>
            <wp:effectExtent l="0" t="0" r="11430" b="2540"/>
            <wp:docPr id="75" name="图片 75" descr="th5y56h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th5y56hd"/>
                    <pic:cNvPicPr>
                      <a:picLocks noChangeAspect="1" noChangeArrowheads="1"/>
                    </pic:cNvPicPr>
                  </pic:nvPicPr>
                  <pic:blipFill>
                    <a:blip r:embed="rId255" cstate="screen">
                      <a:extLst>
                        <a:ext uri="{28A0092B-C50C-407E-A947-70E740481C1C}">
                          <a14:useLocalDpi xmlns:a14="http://schemas.microsoft.com/office/drawing/2010/main" val="0"/>
                        </a:ext>
                      </a:extLst>
                    </a:blip>
                    <a:srcRect/>
                    <a:stretch>
                      <a:fillRect/>
                    </a:stretch>
                  </pic:blipFill>
                  <pic:spPr>
                    <a:xfrm>
                      <a:off x="0" y="0"/>
                      <a:ext cx="2446020" cy="1864360"/>
                    </a:xfrm>
                    <a:prstGeom prst="rect">
                      <a:avLst/>
                    </a:prstGeom>
                    <a:noFill/>
                    <a:ln>
                      <a:noFill/>
                    </a:ln>
                  </pic:spPr>
                </pic:pic>
              </a:graphicData>
            </a:graphic>
          </wp:inline>
        </w:drawing>
      </w:r>
    </w:p>
    <w:p>
      <w:pPr>
        <w:spacing w:line="360" w:lineRule="auto"/>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电缆沟案例图过路电力排管案例考图</w:t>
      </w:r>
    </w:p>
    <w:p>
      <w:pPr>
        <w:pStyle w:val="4"/>
        <w:ind w:firstLine="482" w:firstLineChars="200"/>
      </w:pPr>
      <w:bookmarkStart w:id="284" w:name="_Toc21567"/>
      <w:r>
        <w:t>电力管沟平面布置原则</w:t>
      </w:r>
      <w:bookmarkEnd w:id="284"/>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管沟的布置应与城市总体规划相结合，应与各种管线和其他市政设施统一安排。</w:t>
      </w:r>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管沟的布置应综合考虑系统容量、路径长度、施工方式、后期运行和维修便利等因素，做到统筹兼顾、经济合理、安全适用。</w:t>
      </w:r>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管沟的布置应符合南沙市城市规划的总体要求，在有条件的情况下应布置在人行道或绿化带下。</w:t>
      </w:r>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电缆排管不应平行设于其他管线的正上方或正下方。</w:t>
      </w:r>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管沟中电力电缆相互之间允许最小间距以及电力电缆与其他管线、构筑物基础等最小允许间距应参照《电力工程电缆设计规范》、《城市电力电缆线路设计技术规定》，如局部地段不符合规定者，应采取必要的保护措施。</w:t>
      </w:r>
    </w:p>
    <w:p>
      <w:pPr>
        <w:pStyle w:val="4"/>
        <w:ind w:firstLine="482" w:firstLineChars="200"/>
      </w:pPr>
      <w:bookmarkStart w:id="285" w:name="_Toc12878"/>
      <w:r>
        <w:t>电力管沟平面布置</w:t>
      </w:r>
      <w:bookmarkEnd w:id="285"/>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根据</w:t>
      </w:r>
      <w:r>
        <w:rPr>
          <w:rFonts w:hint="eastAsia" w:ascii="Times New Roman" w:hAnsi="Times New Roman"/>
          <w:b w:val="0"/>
          <w:color w:val="auto"/>
          <w:sz w:val="24"/>
          <w:szCs w:val="24"/>
        </w:rPr>
        <w:t>南沙供电局意见，</w:t>
      </w:r>
      <w:r>
        <w:rPr>
          <w:rFonts w:hint="eastAsia" w:ascii="Times New Roman" w:hAnsi="Times New Roman"/>
          <w:b w:val="0"/>
          <w:color w:val="auto"/>
          <w:sz w:val="24"/>
          <w:szCs w:val="24"/>
          <w:lang w:val="zh-CN"/>
        </w:rPr>
        <w:t xml:space="preserve">本项目随道路配套建设电力管廊规模需求如下: </w:t>
      </w:r>
    </w:p>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1、二十涌北路，新建12回10千伏电力管廊。</w:t>
      </w:r>
    </w:p>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rPr>
        <w:t>2</w:t>
      </w:r>
      <w:r>
        <w:rPr>
          <w:rFonts w:hint="eastAsia" w:ascii="Times New Roman" w:hAnsi="Times New Roman"/>
          <w:b w:val="0"/>
          <w:color w:val="auto"/>
          <w:sz w:val="24"/>
          <w:szCs w:val="24"/>
          <w:lang w:val="zh-CN"/>
        </w:rPr>
        <w:t>、规划纵三路(二十涌北路至二十涌南路) ，新建16回10千伏电力管廊;规划纵三路 (二十涌南路至二十涌南二路)，新建16回10千优电力管廊、3回110千伏电力管廊，规划纵三路 （二十涌南二路至海滨路)，新建16回10千伏电力管廊。</w:t>
      </w:r>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新建10千伏、110千伏电力管廊采用电缆沟方式敷设。对于跨河涌段，可采用桥梁预留管道方式，不建议使用非开挖率引管方式。所有路段电缆管廊均布设在市政道路东侧或南侧。</w:t>
      </w:r>
    </w:p>
    <w:p>
      <w:pPr>
        <w:pStyle w:val="4"/>
        <w:spacing w:line="300" w:lineRule="auto"/>
        <w:ind w:firstLine="482" w:firstLineChars="200"/>
        <w:rPr>
          <w:lang w:val="zh-CN"/>
        </w:rPr>
      </w:pPr>
      <w:bookmarkStart w:id="286" w:name="_Toc860"/>
      <w:r>
        <w:t>10</w:t>
      </w:r>
      <w:r>
        <w:rPr>
          <w:rFonts w:hint="eastAsia"/>
        </w:rPr>
        <w:t>k</w:t>
      </w:r>
      <w:r>
        <w:t>V</w:t>
      </w:r>
      <w:r>
        <w:rPr>
          <w:rFonts w:hint="eastAsia"/>
          <w:lang w:val="zh-CN"/>
        </w:rPr>
        <w:t>电力管沟设计</w:t>
      </w:r>
      <w:bookmarkEnd w:id="286"/>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1.</w:t>
      </w:r>
      <w:r>
        <w:rPr>
          <w:rFonts w:hint="eastAsia" w:ascii="Times New Roman" w:hAnsi="Times New Roman"/>
          <w:b w:val="0"/>
          <w:color w:val="auto"/>
          <w:sz w:val="24"/>
          <w:szCs w:val="24"/>
          <w:lang w:val="zh-CN"/>
        </w:rPr>
        <w:t>12线电缆沟，结构内尺寸采用：1.4</w:t>
      </w:r>
      <w:r>
        <w:rPr>
          <w:rFonts w:ascii="Times New Roman" w:hAnsi="Times New Roman"/>
          <w:b w:val="0"/>
          <w:color w:val="auto"/>
          <w:sz w:val="24"/>
          <w:szCs w:val="24"/>
          <w:lang w:val="zh-CN"/>
        </w:rPr>
        <w:t>1</w:t>
      </w:r>
      <w:r>
        <w:rPr>
          <w:rFonts w:hint="eastAsia" w:ascii="Times New Roman" w:hAnsi="Times New Roman"/>
          <w:b w:val="0"/>
          <w:color w:val="auto"/>
          <w:sz w:val="24"/>
          <w:szCs w:val="24"/>
          <w:lang w:val="zh-CN"/>
        </w:rPr>
        <w:t>×1</w:t>
      </w:r>
      <w:r>
        <w:rPr>
          <w:rFonts w:ascii="Times New Roman" w:hAnsi="Times New Roman"/>
          <w:b w:val="0"/>
          <w:color w:val="auto"/>
          <w:sz w:val="24"/>
          <w:szCs w:val="24"/>
          <w:lang w:val="zh-CN"/>
        </w:rPr>
        <w:t>.05</w:t>
      </w:r>
      <w:r>
        <w:rPr>
          <w:rFonts w:hint="eastAsia" w:ascii="Times New Roman" w:hAnsi="Times New Roman"/>
          <w:b w:val="0"/>
          <w:color w:val="auto"/>
          <w:sz w:val="24"/>
          <w:szCs w:val="24"/>
          <w:lang w:val="zh-CN"/>
        </w:rPr>
        <w:t>m（宽×高），主体结构底面为C30素砼板，外侧壁结构为砌MU15砖，顶面盖板采用C30钢筋砼；</w:t>
      </w:r>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2.</w:t>
      </w:r>
      <w:r>
        <w:rPr>
          <w:rFonts w:hint="eastAsia" w:ascii="Times New Roman" w:hAnsi="Times New Roman"/>
          <w:b w:val="0"/>
          <w:color w:val="auto"/>
          <w:sz w:val="24"/>
          <w:szCs w:val="24"/>
          <w:lang w:val="zh-CN"/>
        </w:rPr>
        <w:t>24线电缆沟，结构内尺寸采用：1.</w:t>
      </w:r>
      <w:r>
        <w:rPr>
          <w:rFonts w:ascii="Times New Roman" w:hAnsi="Times New Roman"/>
          <w:b w:val="0"/>
          <w:color w:val="auto"/>
          <w:sz w:val="24"/>
          <w:szCs w:val="24"/>
          <w:lang w:val="zh-CN"/>
        </w:rPr>
        <w:t>92</w:t>
      </w:r>
      <w:r>
        <w:rPr>
          <w:rFonts w:hint="eastAsia" w:ascii="Times New Roman" w:hAnsi="Times New Roman"/>
          <w:b w:val="0"/>
          <w:color w:val="auto"/>
          <w:sz w:val="24"/>
          <w:szCs w:val="24"/>
          <w:lang w:val="zh-CN"/>
        </w:rPr>
        <w:t>×1.30m（宽×高），主体结构底面为C30素砼板，外侧壁结构为砌MU15砖，顶面盖板采用C30钢筋砼。</w:t>
      </w:r>
    </w:p>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3</w:t>
      </w:r>
      <w:r>
        <w:rPr>
          <w:rFonts w:ascii="Times New Roman" w:hAnsi="Times New Roman"/>
          <w:b w:val="0"/>
          <w:color w:val="auto"/>
          <w:sz w:val="24"/>
          <w:szCs w:val="24"/>
          <w:lang w:val="zh-CN"/>
        </w:rPr>
        <w:t>.</w:t>
      </w:r>
      <w:r>
        <w:rPr>
          <w:rFonts w:hint="eastAsia" w:ascii="Times New Roman" w:hAnsi="Times New Roman"/>
          <w:b w:val="0"/>
          <w:color w:val="auto"/>
          <w:sz w:val="24"/>
          <w:szCs w:val="24"/>
          <w:lang w:val="zh-CN"/>
        </w:rPr>
        <w:t>电缆支架的层间垂直距离，最小净距必参照《电力工程电缆设计规范》、《城市电力电缆线路设计技术规定》，并且满足下表规定：</w:t>
      </w:r>
    </w:p>
    <w:p>
      <w:pPr>
        <w:spacing w:line="300" w:lineRule="auto"/>
        <w:jc w:val="center"/>
        <w:rPr>
          <w:rFonts w:ascii="Times New Roman" w:hAnsi="Times New Roman"/>
          <w:b w:val="0"/>
          <w:color w:val="auto"/>
          <w:sz w:val="24"/>
          <w:szCs w:val="24"/>
          <w:lang w:val="zh-CN"/>
        </w:rPr>
      </w:pPr>
      <w:r>
        <w:rPr>
          <w:rFonts w:hint="eastAsia" w:ascii="Times New Roman" w:hAnsi="Times New Roman"/>
          <w:b w:val="0"/>
          <w:color w:val="auto"/>
          <w:sz w:val="24"/>
          <w:szCs w:val="24"/>
          <w:lang w:val="zh-CN"/>
        </w:rPr>
        <w:t>电缆支架的层间允许最小净距(mm)</w:t>
      </w:r>
    </w:p>
    <w:p>
      <w:pPr>
        <w:spacing w:line="300" w:lineRule="auto"/>
        <w:jc w:val="center"/>
        <w:rPr>
          <w:rFonts w:ascii="Times New Roman" w:hAnsi="Times New Roman"/>
          <w:b w:val="0"/>
          <w:color w:val="auto"/>
          <w:sz w:val="24"/>
          <w:szCs w:val="24"/>
          <w:lang w:val="zh-CN"/>
        </w:rPr>
      </w:pPr>
      <w:r>
        <w:rPr>
          <w:rFonts w:ascii="Times New Roman" w:hAnsi="Times New Roman"/>
          <w:b w:val="0"/>
          <w:color w:val="auto"/>
          <w:sz w:val="24"/>
          <w:szCs w:val="24"/>
        </w:rPr>
        <w:drawing>
          <wp:inline distT="0" distB="0" distL="114300" distR="114300">
            <wp:extent cx="4265295" cy="1657350"/>
            <wp:effectExtent l="0" t="0" r="1905" b="0"/>
            <wp:docPr id="78" name="图片 27" descr="C:\Documents and Settings\Administrator\桌面\页面提取自－ 电力管沟设计指引正式稿（正文）_页面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7" descr="C:\Documents and Settings\Administrator\桌面\页面提取自－ 电力管沟设计指引正式稿（正文）_页面_4.jpg"/>
                    <pic:cNvPicPr>
                      <a:picLocks noChangeAspect="1"/>
                    </pic:cNvPicPr>
                  </pic:nvPicPr>
                  <pic:blipFill>
                    <a:blip r:embed="rId256"/>
                    <a:srcRect l="17873" t="32100" r="17580" b="50111"/>
                    <a:stretch>
                      <a:fillRect/>
                    </a:stretch>
                  </pic:blipFill>
                  <pic:spPr>
                    <a:xfrm>
                      <a:off x="0" y="0"/>
                      <a:ext cx="4265295" cy="1657350"/>
                    </a:xfrm>
                    <a:prstGeom prst="rect">
                      <a:avLst/>
                    </a:prstGeom>
                    <a:noFill/>
                    <a:ln>
                      <a:noFill/>
                    </a:ln>
                  </pic:spPr>
                </pic:pic>
              </a:graphicData>
            </a:graphic>
          </wp:inline>
        </w:drawing>
      </w:r>
    </w:p>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4</w:t>
      </w:r>
      <w:r>
        <w:rPr>
          <w:rFonts w:ascii="Times New Roman" w:hAnsi="Times New Roman"/>
          <w:b w:val="0"/>
          <w:color w:val="auto"/>
          <w:sz w:val="24"/>
          <w:szCs w:val="24"/>
          <w:lang w:val="zh-CN"/>
        </w:rPr>
        <w:t xml:space="preserve">. </w:t>
      </w:r>
      <w:r>
        <w:rPr>
          <w:rFonts w:hint="eastAsia" w:ascii="Times New Roman" w:hAnsi="Times New Roman"/>
          <w:b w:val="0"/>
          <w:color w:val="auto"/>
          <w:sz w:val="24"/>
          <w:szCs w:val="24"/>
          <w:lang w:val="zh-CN"/>
        </w:rPr>
        <w:t>电缆沟内安装的电缆支架离底板和顶板的最小净距宜满足：最下层垂直净距在50mm～100mm之间，最上层垂直净距在150mm～200mm之间。</w:t>
      </w:r>
    </w:p>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5</w:t>
      </w:r>
      <w:r>
        <w:rPr>
          <w:rFonts w:ascii="Times New Roman" w:hAnsi="Times New Roman"/>
          <w:b w:val="0"/>
          <w:color w:val="auto"/>
          <w:sz w:val="24"/>
          <w:szCs w:val="24"/>
          <w:lang w:val="zh-CN"/>
        </w:rPr>
        <w:t>.</w:t>
      </w:r>
      <w:r>
        <w:rPr>
          <w:rFonts w:hint="eastAsia" w:ascii="Times New Roman" w:hAnsi="Times New Roman"/>
          <w:b w:val="0"/>
          <w:color w:val="auto"/>
          <w:sz w:val="24"/>
          <w:szCs w:val="24"/>
          <w:lang w:val="zh-CN"/>
        </w:rPr>
        <w:t>电缆支架间纵向间距应参照《电力工程电缆设计规范》、《城市电力电缆线路设计技术规定》 ，并且满足下表规定：</w:t>
      </w:r>
    </w:p>
    <w:p>
      <w:pPr>
        <w:spacing w:line="300" w:lineRule="auto"/>
        <w:jc w:val="center"/>
        <w:rPr>
          <w:rFonts w:ascii="Times New Roman" w:hAnsi="Times New Roman"/>
          <w:b w:val="0"/>
          <w:color w:val="auto"/>
          <w:sz w:val="24"/>
          <w:szCs w:val="24"/>
          <w:lang w:val="zh-CN"/>
        </w:rPr>
      </w:pPr>
      <w:r>
        <w:rPr>
          <w:rFonts w:hint="eastAsia" w:ascii="Times New Roman" w:hAnsi="Times New Roman"/>
          <w:b w:val="0"/>
          <w:color w:val="auto"/>
          <w:sz w:val="24"/>
          <w:szCs w:val="24"/>
          <w:lang w:val="zh-CN"/>
        </w:rPr>
        <w:t>电缆支架纵向的距离(mm)</w:t>
      </w:r>
    </w:p>
    <w:p>
      <w:pPr>
        <w:spacing w:line="300" w:lineRule="auto"/>
        <w:jc w:val="center"/>
        <w:rPr>
          <w:rFonts w:ascii="Times New Roman" w:hAnsi="Times New Roman"/>
          <w:b w:val="0"/>
          <w:color w:val="auto"/>
          <w:sz w:val="24"/>
          <w:szCs w:val="24"/>
          <w:lang w:val="zh-CN"/>
        </w:rPr>
      </w:pPr>
      <w:r>
        <w:rPr>
          <w:rFonts w:ascii="Times New Roman" w:hAnsi="Times New Roman"/>
          <w:b w:val="0"/>
          <w:color w:val="auto"/>
          <w:sz w:val="24"/>
          <w:szCs w:val="24"/>
        </w:rPr>
        <w:drawing>
          <wp:inline distT="0" distB="0" distL="114300" distR="114300">
            <wp:extent cx="4318000" cy="1507490"/>
            <wp:effectExtent l="0" t="0" r="6350" b="16510"/>
            <wp:docPr id="160" name="图片 28" descr="C:\Documents and Settings\Administrator\桌面\页面提取自－ 电力管沟设计指引正式稿（正文）_页面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28" descr="C:\Documents and Settings\Administrator\桌面\页面提取自－ 电力管沟设计指引正式稿（正文）_页面_4.jpg"/>
                    <pic:cNvPicPr>
                      <a:picLocks noChangeAspect="1"/>
                    </pic:cNvPicPr>
                  </pic:nvPicPr>
                  <pic:blipFill>
                    <a:blip r:embed="rId256"/>
                    <a:srcRect l="17873" t="63133" r="17580" b="20892"/>
                    <a:stretch>
                      <a:fillRect/>
                    </a:stretch>
                  </pic:blipFill>
                  <pic:spPr>
                    <a:xfrm>
                      <a:off x="0" y="0"/>
                      <a:ext cx="4318000" cy="1507490"/>
                    </a:xfrm>
                    <a:prstGeom prst="rect">
                      <a:avLst/>
                    </a:prstGeom>
                    <a:noFill/>
                    <a:ln>
                      <a:noFill/>
                    </a:ln>
                  </pic:spPr>
                </pic:pic>
              </a:graphicData>
            </a:graphic>
          </wp:inline>
        </w:drawing>
      </w:r>
    </w:p>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6</w:t>
      </w:r>
      <w:r>
        <w:rPr>
          <w:rFonts w:ascii="Times New Roman" w:hAnsi="Times New Roman"/>
          <w:b w:val="0"/>
          <w:color w:val="auto"/>
          <w:sz w:val="24"/>
          <w:szCs w:val="24"/>
          <w:lang w:val="zh-CN"/>
        </w:rPr>
        <w:t>.</w:t>
      </w:r>
      <w:r>
        <w:rPr>
          <w:rFonts w:hint="eastAsia" w:ascii="Times New Roman" w:hAnsi="Times New Roman"/>
          <w:b w:val="0"/>
          <w:color w:val="auto"/>
          <w:sz w:val="24"/>
          <w:szCs w:val="24"/>
          <w:lang w:val="zh-CN"/>
        </w:rPr>
        <w:t>电缆沟的转弯半径应参照《电力工程电缆设计规范》、《城市电力电缆线路设计技术规定》 ，并且满足下表规定，在穿越路口处应根据转向设置工井。</w:t>
      </w:r>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7.</w:t>
      </w:r>
      <w:r>
        <w:rPr>
          <w:rFonts w:hint="eastAsia" w:ascii="Times New Roman" w:hAnsi="Times New Roman"/>
          <w:b w:val="0"/>
          <w:color w:val="auto"/>
          <w:sz w:val="24"/>
          <w:szCs w:val="24"/>
          <w:lang w:val="zh-CN"/>
        </w:rPr>
        <w:t>电缆沟内排水措施利用电缆井井内设置</w:t>
      </w:r>
      <w:r>
        <w:rPr>
          <w:rFonts w:ascii="Times New Roman" w:hAnsi="Times New Roman"/>
          <w:b w:val="0"/>
          <w:color w:val="auto"/>
          <w:sz w:val="24"/>
          <w:szCs w:val="24"/>
          <w:lang w:val="zh-CN"/>
        </w:rPr>
        <w:t>300PVC</w:t>
      </w:r>
      <w:r>
        <w:rPr>
          <w:rFonts w:hint="eastAsia" w:ascii="Times New Roman" w:hAnsi="Times New Roman"/>
          <w:b w:val="0"/>
          <w:color w:val="auto"/>
          <w:sz w:val="24"/>
          <w:szCs w:val="24"/>
          <w:lang w:val="zh-CN"/>
        </w:rPr>
        <w:t>管，内填粗砂</w:t>
      </w:r>
      <w:r>
        <w:rPr>
          <w:rFonts w:ascii="Times New Roman" w:hAnsi="Times New Roman"/>
          <w:b w:val="0"/>
          <w:color w:val="auto"/>
          <w:sz w:val="24"/>
          <w:szCs w:val="24"/>
          <w:lang w:val="zh-CN"/>
        </w:rPr>
        <w:t>，</w:t>
      </w:r>
      <w:r>
        <w:rPr>
          <w:rFonts w:hint="eastAsia" w:ascii="Times New Roman" w:hAnsi="Times New Roman"/>
          <w:b w:val="0"/>
          <w:color w:val="auto"/>
          <w:sz w:val="24"/>
          <w:szCs w:val="24"/>
          <w:lang w:val="zh-CN"/>
        </w:rPr>
        <w:t>通过下渗排出。</w:t>
      </w:r>
    </w:p>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8</w:t>
      </w:r>
      <w:r>
        <w:rPr>
          <w:rFonts w:ascii="Times New Roman" w:hAnsi="Times New Roman"/>
          <w:b w:val="0"/>
          <w:color w:val="auto"/>
          <w:sz w:val="24"/>
          <w:szCs w:val="24"/>
          <w:lang w:val="zh-CN"/>
        </w:rPr>
        <w:t>.</w:t>
      </w:r>
      <w:r>
        <w:rPr>
          <w:rFonts w:hint="eastAsia" w:ascii="Times New Roman" w:hAnsi="Times New Roman"/>
          <w:b w:val="0"/>
          <w:color w:val="auto"/>
          <w:sz w:val="24"/>
          <w:szCs w:val="24"/>
          <w:lang w:val="zh-CN"/>
        </w:rPr>
        <w:t>电缆沟的工井设置间距不宜超过30米，在线路转角和交叉处必须设置工井。</w:t>
      </w:r>
    </w:p>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9</w:t>
      </w:r>
      <w:r>
        <w:rPr>
          <w:rFonts w:ascii="Times New Roman" w:hAnsi="Times New Roman"/>
          <w:b w:val="0"/>
          <w:color w:val="auto"/>
          <w:sz w:val="24"/>
          <w:szCs w:val="24"/>
          <w:lang w:val="zh-CN"/>
        </w:rPr>
        <w:t>.</w:t>
      </w:r>
      <w:r>
        <w:rPr>
          <w:rFonts w:hint="eastAsia" w:ascii="Times New Roman" w:hAnsi="Times New Roman"/>
          <w:b w:val="0"/>
          <w:color w:val="auto"/>
          <w:sz w:val="24"/>
          <w:szCs w:val="24"/>
          <w:lang w:val="zh-CN"/>
        </w:rPr>
        <w:t>电缆沟每隔30m设置一处沉降缝；</w:t>
      </w:r>
    </w:p>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1</w:t>
      </w:r>
      <w:r>
        <w:rPr>
          <w:rFonts w:ascii="Times New Roman" w:hAnsi="Times New Roman"/>
          <w:b w:val="0"/>
          <w:color w:val="auto"/>
          <w:sz w:val="24"/>
          <w:szCs w:val="24"/>
          <w:lang w:val="zh-CN"/>
        </w:rPr>
        <w:t>0.</w:t>
      </w:r>
      <w:r>
        <w:rPr>
          <w:rFonts w:hint="eastAsia" w:ascii="Times New Roman" w:hAnsi="Times New Roman"/>
          <w:b w:val="0"/>
          <w:color w:val="auto"/>
          <w:sz w:val="24"/>
          <w:szCs w:val="24"/>
          <w:lang w:val="zh-CN"/>
        </w:rPr>
        <w:t>电缆沟内的纵向排水坡度，不宜小于0.5%；</w:t>
      </w:r>
    </w:p>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1</w:t>
      </w:r>
      <w:r>
        <w:rPr>
          <w:rFonts w:ascii="Times New Roman" w:hAnsi="Times New Roman"/>
          <w:b w:val="0"/>
          <w:color w:val="auto"/>
          <w:sz w:val="24"/>
          <w:szCs w:val="24"/>
          <w:lang w:val="zh-CN"/>
        </w:rPr>
        <w:t>1.</w:t>
      </w:r>
      <w:r>
        <w:rPr>
          <w:rFonts w:hint="eastAsia" w:ascii="Times New Roman" w:hAnsi="Times New Roman"/>
          <w:b w:val="0"/>
          <w:color w:val="auto"/>
          <w:sz w:val="24"/>
          <w:szCs w:val="24"/>
          <w:lang w:val="zh-CN"/>
        </w:rPr>
        <w:t>电缆支架的材料采用复合材料支架，质量要求：表面光滑，无尖角和毛刺；禁止采用易燃材料制作，符合工程防火要求。</w:t>
      </w:r>
    </w:p>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1</w:t>
      </w:r>
      <w:r>
        <w:rPr>
          <w:rFonts w:ascii="Times New Roman" w:hAnsi="Times New Roman"/>
          <w:b w:val="0"/>
          <w:color w:val="auto"/>
          <w:sz w:val="24"/>
          <w:szCs w:val="24"/>
          <w:lang w:val="zh-CN"/>
        </w:rPr>
        <w:t>2.</w:t>
      </w:r>
      <w:r>
        <w:rPr>
          <w:rFonts w:hint="eastAsia" w:ascii="Times New Roman" w:hAnsi="Times New Roman"/>
          <w:b w:val="0"/>
          <w:color w:val="auto"/>
          <w:sz w:val="24"/>
          <w:szCs w:val="24"/>
          <w:lang w:val="zh-CN"/>
        </w:rPr>
        <w:t>电缆沟每隔不超过200米设置防火墙一面，防火墙采用防火环保膨胀模块。</w:t>
      </w:r>
    </w:p>
    <w:p>
      <w:pPr>
        <w:pStyle w:val="4"/>
        <w:spacing w:line="300" w:lineRule="auto"/>
        <w:ind w:firstLine="482" w:firstLineChars="200"/>
      </w:pPr>
      <w:bookmarkStart w:id="287" w:name="_Toc5939"/>
      <w:r>
        <w:t>电力排管结构设计</w:t>
      </w:r>
      <w:bookmarkEnd w:id="287"/>
    </w:p>
    <w:p>
      <w:pPr>
        <w:pStyle w:val="5"/>
        <w:ind w:firstLine="482" w:firstLineChars="200"/>
        <w:rPr>
          <w:rFonts w:ascii="Times New Roman" w:hAnsi="Times New Roman"/>
        </w:rPr>
      </w:pPr>
      <w:bookmarkStart w:id="288" w:name="_Toc464533423"/>
      <w:r>
        <w:rPr>
          <w:rFonts w:ascii="Times New Roman" w:hAnsi="Times New Roman"/>
        </w:rPr>
        <w:t>主要技术标准</w:t>
      </w:r>
      <w:bookmarkEnd w:id="288"/>
    </w:p>
    <w:p>
      <w:pPr>
        <w:widowControl/>
        <w:numPr>
          <w:ilvl w:val="0"/>
          <w:numId w:val="38"/>
        </w:numPr>
        <w:spacing w:line="300" w:lineRule="auto"/>
        <w:ind w:firstLineChars="200"/>
        <w:jc w:val="left"/>
        <w:rPr>
          <w:rFonts w:ascii="Times New Roman" w:hAnsi="Times New Roman"/>
          <w:b w:val="0"/>
          <w:color w:val="auto"/>
          <w:sz w:val="24"/>
        </w:rPr>
      </w:pPr>
      <w:r>
        <w:rPr>
          <w:rFonts w:ascii="Times New Roman" w:hAnsi="Times New Roman"/>
          <w:b w:val="0"/>
          <w:color w:val="auto"/>
          <w:sz w:val="24"/>
        </w:rPr>
        <w:t>电缆排管的结构设计使用年限按50年考虑。</w:t>
      </w:r>
    </w:p>
    <w:p>
      <w:pPr>
        <w:widowControl/>
        <w:numPr>
          <w:ilvl w:val="0"/>
          <w:numId w:val="38"/>
        </w:numPr>
        <w:spacing w:line="300" w:lineRule="auto"/>
        <w:ind w:firstLineChars="200"/>
        <w:jc w:val="left"/>
        <w:rPr>
          <w:rFonts w:ascii="Times New Roman" w:hAnsi="Times New Roman"/>
          <w:b w:val="0"/>
          <w:color w:val="auto"/>
          <w:sz w:val="24"/>
        </w:rPr>
      </w:pPr>
      <w:r>
        <w:rPr>
          <w:rFonts w:ascii="Times New Roman" w:hAnsi="Times New Roman"/>
          <w:b w:val="0"/>
          <w:color w:val="auto"/>
          <w:sz w:val="24"/>
        </w:rPr>
        <w:t>电缆排管的结构安全等级采用二级，结构中各类构件的安全等级与整个结构的安全等级相同。</w:t>
      </w:r>
    </w:p>
    <w:p>
      <w:pPr>
        <w:widowControl/>
        <w:numPr>
          <w:ilvl w:val="0"/>
          <w:numId w:val="38"/>
        </w:numPr>
        <w:spacing w:line="300" w:lineRule="auto"/>
        <w:ind w:firstLineChars="200"/>
        <w:jc w:val="left"/>
        <w:rPr>
          <w:rFonts w:ascii="Times New Roman" w:hAnsi="Times New Roman"/>
          <w:b w:val="0"/>
          <w:color w:val="auto"/>
          <w:sz w:val="24"/>
        </w:rPr>
      </w:pPr>
      <w:r>
        <w:rPr>
          <w:rFonts w:ascii="Times New Roman" w:hAnsi="Times New Roman"/>
          <w:b w:val="0"/>
          <w:color w:val="auto"/>
          <w:sz w:val="24"/>
        </w:rPr>
        <w:t>电缆排管的防水等级标准按二级考虑。</w:t>
      </w:r>
    </w:p>
    <w:p>
      <w:pPr>
        <w:widowControl/>
        <w:numPr>
          <w:ilvl w:val="0"/>
          <w:numId w:val="38"/>
        </w:numPr>
        <w:spacing w:line="300" w:lineRule="auto"/>
        <w:ind w:firstLineChars="200"/>
        <w:jc w:val="left"/>
        <w:rPr>
          <w:rFonts w:ascii="Times New Roman" w:hAnsi="Times New Roman"/>
          <w:b w:val="0"/>
          <w:color w:val="auto"/>
          <w:sz w:val="24"/>
        </w:rPr>
      </w:pPr>
      <w:r>
        <w:rPr>
          <w:rFonts w:ascii="Times New Roman" w:hAnsi="Times New Roman"/>
          <w:b w:val="0"/>
          <w:color w:val="auto"/>
          <w:sz w:val="24"/>
        </w:rPr>
        <w:t>电缆排管结构的耐火极限按不低于1h考虑。</w:t>
      </w:r>
    </w:p>
    <w:p>
      <w:pPr>
        <w:pStyle w:val="5"/>
        <w:ind w:firstLine="482" w:firstLineChars="200"/>
        <w:rPr>
          <w:rFonts w:ascii="Times New Roman" w:hAnsi="Times New Roman"/>
        </w:rPr>
      </w:pPr>
      <w:bookmarkStart w:id="289" w:name="_Toc464533424"/>
      <w:r>
        <w:rPr>
          <w:rFonts w:ascii="Times New Roman" w:hAnsi="Times New Roman"/>
        </w:rPr>
        <w:t>电缆排管设计</w:t>
      </w:r>
      <w:bookmarkEnd w:id="289"/>
    </w:p>
    <w:p>
      <w:pPr>
        <w:numPr>
          <w:ilvl w:val="0"/>
          <w:numId w:val="39"/>
        </w:numPr>
        <w:spacing w:line="300" w:lineRule="auto"/>
        <w:ind w:firstLineChars="200"/>
        <w:rPr>
          <w:rFonts w:ascii="Times New Roman" w:hAnsi="Times New Roman"/>
          <w:b w:val="0"/>
          <w:color w:val="auto"/>
          <w:sz w:val="24"/>
        </w:rPr>
      </w:pPr>
      <w:r>
        <w:rPr>
          <w:rFonts w:ascii="Times New Roman" w:hAnsi="Times New Roman"/>
          <w:b w:val="0"/>
          <w:color w:val="auto"/>
          <w:sz w:val="24"/>
        </w:rPr>
        <w:t>断面布置</w:t>
      </w:r>
    </w:p>
    <w:p>
      <w:pPr>
        <w:spacing w:line="300" w:lineRule="auto"/>
        <w:ind w:firstLine="480" w:firstLineChars="200"/>
        <w:rPr>
          <w:rFonts w:ascii="Times New Roman" w:hAnsi="Times New Roman"/>
          <w:b w:val="0"/>
          <w:color w:val="auto"/>
          <w:sz w:val="24"/>
        </w:rPr>
      </w:pPr>
      <w:r>
        <w:rPr>
          <w:rFonts w:ascii="Times New Roman" w:hAnsi="Times New Roman"/>
          <w:b w:val="0"/>
          <w:color w:val="auto"/>
          <w:sz w:val="24"/>
        </w:rPr>
        <w:t>路基段管道采用明挖施工，在电缆沟开挖至足够深度后，把沟底土层夯实，找平后，才捣垫层混凝土层。排管敷设完成后，回填中砂或石粉夯实，需按200mm逐层洒水夯实。管道埋设后，需对路面基层进行回填压实，再进行路面结构铺设。</w:t>
      </w:r>
    </w:p>
    <w:p>
      <w:pPr>
        <w:numPr>
          <w:ilvl w:val="0"/>
          <w:numId w:val="39"/>
        </w:numPr>
        <w:spacing w:line="300" w:lineRule="auto"/>
        <w:ind w:firstLineChars="200"/>
        <w:rPr>
          <w:rFonts w:ascii="Times New Roman" w:hAnsi="Times New Roman"/>
          <w:b w:val="0"/>
          <w:color w:val="auto"/>
          <w:sz w:val="24"/>
        </w:rPr>
      </w:pPr>
      <w:r>
        <w:rPr>
          <w:rFonts w:ascii="Times New Roman" w:hAnsi="Times New Roman"/>
          <w:b w:val="0"/>
          <w:color w:val="auto"/>
          <w:sz w:val="24"/>
        </w:rPr>
        <w:t>管材选择</w:t>
      </w:r>
    </w:p>
    <w:p>
      <w:pPr>
        <w:spacing w:line="300" w:lineRule="auto"/>
        <w:ind w:firstLine="480" w:firstLineChars="200"/>
        <w:rPr>
          <w:rFonts w:ascii="Times New Roman" w:hAnsi="Times New Roman"/>
          <w:b w:val="0"/>
          <w:color w:val="auto"/>
          <w:sz w:val="24"/>
        </w:rPr>
      </w:pPr>
      <w:r>
        <w:rPr>
          <w:rFonts w:ascii="Times New Roman" w:hAnsi="Times New Roman"/>
          <w:b w:val="0"/>
          <w:color w:val="auto"/>
          <w:sz w:val="24"/>
        </w:rPr>
        <w:t>电缆排管敷设于人行道下：选用HDPE200电缆保护管，电缆排管管径大小为Φ200（通信管管径大小为Φ200），管壁厚度为8mm，单条管长度6米。</w:t>
      </w:r>
    </w:p>
    <w:p>
      <w:pPr>
        <w:spacing w:line="300" w:lineRule="auto"/>
        <w:ind w:firstLine="480" w:firstLineChars="200"/>
        <w:rPr>
          <w:rFonts w:ascii="Times New Roman" w:hAnsi="Times New Roman"/>
          <w:b w:val="0"/>
          <w:color w:val="auto"/>
          <w:sz w:val="24"/>
        </w:rPr>
      </w:pPr>
      <w:r>
        <w:rPr>
          <w:rFonts w:ascii="Times New Roman" w:hAnsi="Times New Roman"/>
          <w:b w:val="0"/>
          <w:color w:val="auto"/>
          <w:sz w:val="24"/>
        </w:rPr>
        <w:t>电缆排管敷设于车行道下：选用DBW-R玻璃钢管，电缆排管管径大小为Φ200（通信管管径大小为Φ200），管壁厚度为8mm，单条管长度6米。</w:t>
      </w:r>
    </w:p>
    <w:p>
      <w:pPr>
        <w:spacing w:line="300" w:lineRule="auto"/>
        <w:ind w:firstLine="480" w:firstLineChars="200"/>
        <w:rPr>
          <w:rFonts w:ascii="Times New Roman" w:hAnsi="Times New Roman"/>
          <w:b w:val="0"/>
          <w:color w:val="auto"/>
          <w:sz w:val="24"/>
        </w:rPr>
      </w:pPr>
      <w:r>
        <w:rPr>
          <w:rFonts w:ascii="Times New Roman" w:hAnsi="Times New Roman"/>
          <w:b w:val="0"/>
          <w:color w:val="auto"/>
          <w:sz w:val="24"/>
        </w:rPr>
        <w:t>电缆保护管必须保持平直，管与管之间保持60mm间距，施工中防止水泥及砂石漏入管中，覆土前电缆管端口必须用管盖封好。</w:t>
      </w:r>
    </w:p>
    <w:p>
      <w:pPr>
        <w:numPr>
          <w:ilvl w:val="0"/>
          <w:numId w:val="39"/>
        </w:numPr>
        <w:spacing w:line="300" w:lineRule="auto"/>
        <w:ind w:firstLineChars="200"/>
        <w:rPr>
          <w:rFonts w:ascii="Times New Roman" w:hAnsi="Times New Roman"/>
          <w:b w:val="0"/>
          <w:color w:val="auto"/>
          <w:sz w:val="24"/>
        </w:rPr>
      </w:pPr>
      <w:r>
        <w:rPr>
          <w:rFonts w:ascii="Times New Roman" w:hAnsi="Times New Roman"/>
          <w:b w:val="0"/>
          <w:color w:val="auto"/>
          <w:sz w:val="24"/>
        </w:rPr>
        <w:t>排管固定与接头</w:t>
      </w:r>
    </w:p>
    <w:p>
      <w:pPr>
        <w:spacing w:line="300" w:lineRule="auto"/>
        <w:ind w:firstLine="480" w:firstLineChars="200"/>
        <w:rPr>
          <w:rFonts w:ascii="Times New Roman" w:hAnsi="Times New Roman"/>
          <w:b w:val="0"/>
          <w:color w:val="auto"/>
          <w:sz w:val="24"/>
        </w:rPr>
      </w:pPr>
      <w:r>
        <w:rPr>
          <w:rFonts w:ascii="Times New Roman" w:hAnsi="Times New Roman"/>
          <w:b w:val="0"/>
          <w:color w:val="auto"/>
          <w:sz w:val="24"/>
        </w:rPr>
        <w:t>电缆管每3m采用复合材料管枕对电缆管进行卡位和固定，施工中防止水泥及砂石漏入管中，覆土前电缆管端口必须用管盖封好。电缆排管接头处，采用承插或卡扣连接，并用C20混凝土包封。</w:t>
      </w:r>
    </w:p>
    <w:p>
      <w:pPr>
        <w:numPr>
          <w:ilvl w:val="0"/>
          <w:numId w:val="39"/>
        </w:numPr>
        <w:spacing w:line="300" w:lineRule="auto"/>
        <w:ind w:firstLineChars="200"/>
        <w:rPr>
          <w:rFonts w:ascii="Times New Roman" w:hAnsi="Times New Roman"/>
          <w:b w:val="0"/>
          <w:color w:val="auto"/>
          <w:sz w:val="24"/>
        </w:rPr>
      </w:pPr>
      <w:r>
        <w:rPr>
          <w:rFonts w:ascii="Times New Roman" w:hAnsi="Times New Roman"/>
          <w:b w:val="0"/>
          <w:color w:val="auto"/>
          <w:sz w:val="24"/>
        </w:rPr>
        <w:t>排管埋深</w:t>
      </w:r>
    </w:p>
    <w:p>
      <w:pPr>
        <w:spacing w:line="300" w:lineRule="auto"/>
        <w:ind w:firstLine="480" w:firstLineChars="200"/>
        <w:rPr>
          <w:rFonts w:ascii="Times New Roman" w:hAnsi="Times New Roman"/>
          <w:b w:val="0"/>
          <w:color w:val="auto"/>
          <w:sz w:val="24"/>
        </w:rPr>
      </w:pPr>
      <w:r>
        <w:rPr>
          <w:rFonts w:ascii="Times New Roman" w:hAnsi="Times New Roman"/>
          <w:b w:val="0"/>
          <w:color w:val="auto"/>
          <w:sz w:val="24"/>
        </w:rPr>
        <w:t>本项目电力排管敷设于人行道下，埋深不小于0.5m，敷设与行车路段下埋管深度不小于1m，局部条件限制埋深不足段，采用C20混凝土包封进行保护。</w:t>
      </w:r>
    </w:p>
    <w:p>
      <w:pPr>
        <w:numPr>
          <w:ilvl w:val="0"/>
          <w:numId w:val="39"/>
        </w:numPr>
        <w:spacing w:line="300" w:lineRule="auto"/>
        <w:ind w:firstLineChars="200"/>
        <w:rPr>
          <w:rFonts w:ascii="Times New Roman" w:hAnsi="Times New Roman"/>
          <w:b w:val="0"/>
          <w:color w:val="auto"/>
          <w:sz w:val="24"/>
        </w:rPr>
      </w:pPr>
      <w:r>
        <w:rPr>
          <w:rFonts w:ascii="Times New Roman" w:hAnsi="Times New Roman"/>
          <w:b w:val="0"/>
          <w:color w:val="auto"/>
          <w:sz w:val="24"/>
        </w:rPr>
        <w:t>敷设要求</w:t>
      </w:r>
    </w:p>
    <w:p>
      <w:pPr>
        <w:spacing w:line="300" w:lineRule="auto"/>
        <w:ind w:firstLine="480" w:firstLineChars="200"/>
        <w:rPr>
          <w:rFonts w:ascii="Times New Roman" w:hAnsi="Times New Roman"/>
          <w:b w:val="0"/>
          <w:color w:val="auto"/>
          <w:sz w:val="24"/>
        </w:rPr>
      </w:pPr>
      <w:r>
        <w:rPr>
          <w:rFonts w:ascii="Times New Roman" w:hAnsi="Times New Roman"/>
          <w:b w:val="0"/>
          <w:color w:val="auto"/>
          <w:sz w:val="24"/>
        </w:rPr>
        <w:t>电缆管必须保持平直，如需避让障碍物时，可做成圆弧状排管，但圆弧半径不得小于12米；两管镶接处的折角不得大于2.5°。</w:t>
      </w:r>
    </w:p>
    <w:p>
      <w:pPr>
        <w:numPr>
          <w:ilvl w:val="0"/>
          <w:numId w:val="39"/>
        </w:numPr>
        <w:spacing w:line="300" w:lineRule="auto"/>
        <w:ind w:firstLineChars="200"/>
        <w:rPr>
          <w:rFonts w:ascii="Times New Roman" w:hAnsi="Times New Roman"/>
          <w:b w:val="0"/>
          <w:color w:val="auto"/>
          <w:sz w:val="24"/>
        </w:rPr>
      </w:pPr>
      <w:r>
        <w:rPr>
          <w:rFonts w:ascii="Times New Roman" w:hAnsi="Times New Roman"/>
          <w:b w:val="0"/>
          <w:color w:val="auto"/>
          <w:sz w:val="24"/>
        </w:rPr>
        <w:t>防火要求</w:t>
      </w:r>
    </w:p>
    <w:p>
      <w:pPr>
        <w:spacing w:line="300" w:lineRule="auto"/>
        <w:ind w:firstLine="480" w:firstLineChars="200"/>
        <w:rPr>
          <w:rFonts w:ascii="Times New Roman" w:hAnsi="Times New Roman"/>
          <w:b w:val="0"/>
          <w:color w:val="auto"/>
          <w:sz w:val="24"/>
        </w:rPr>
      </w:pPr>
      <w:r>
        <w:rPr>
          <w:rFonts w:ascii="Times New Roman" w:hAnsi="Times New Roman"/>
          <w:b w:val="0"/>
          <w:color w:val="auto"/>
          <w:sz w:val="24"/>
        </w:rPr>
        <w:t>电缆埋管中采用的HDPE与DR玻璃钢电缆保护管，具备阻燃功能，设置于靠近建筑物一侧的最上层并与其他电力管区分，空置电缆管应用实心管塞塞住。</w:t>
      </w:r>
    </w:p>
    <w:p>
      <w:pPr>
        <w:pStyle w:val="5"/>
        <w:ind w:firstLine="482" w:firstLineChars="200"/>
        <w:rPr>
          <w:rFonts w:ascii="Times New Roman" w:hAnsi="Times New Roman"/>
        </w:rPr>
      </w:pPr>
      <w:bookmarkStart w:id="290" w:name="_Toc464533426"/>
      <w:r>
        <w:rPr>
          <w:rFonts w:ascii="Times New Roman" w:hAnsi="Times New Roman"/>
        </w:rPr>
        <w:t>电力工井设计</w:t>
      </w:r>
      <w:bookmarkEnd w:id="290"/>
    </w:p>
    <w:p>
      <w:pPr>
        <w:spacing w:line="300" w:lineRule="auto"/>
        <w:ind w:firstLine="480" w:firstLineChars="200"/>
        <w:rPr>
          <w:rFonts w:ascii="Times New Roman" w:hAnsi="Times New Roman"/>
          <w:b w:val="0"/>
          <w:color w:val="auto"/>
          <w:sz w:val="24"/>
        </w:rPr>
      </w:pPr>
      <w:r>
        <w:rPr>
          <w:rFonts w:ascii="Times New Roman" w:hAnsi="Times New Roman"/>
          <w:b w:val="0"/>
          <w:color w:val="auto"/>
          <w:sz w:val="24"/>
        </w:rPr>
        <w:t>电缆排管的工井设置应符合下列要求：</w:t>
      </w:r>
    </w:p>
    <w:p>
      <w:pPr>
        <w:numPr>
          <w:ilvl w:val="0"/>
          <w:numId w:val="40"/>
        </w:numPr>
        <w:spacing w:line="300" w:lineRule="auto"/>
        <w:ind w:firstLineChars="200"/>
        <w:rPr>
          <w:rFonts w:ascii="Times New Roman" w:hAnsi="Times New Roman"/>
          <w:b w:val="0"/>
          <w:color w:val="auto"/>
          <w:sz w:val="24"/>
        </w:rPr>
      </w:pPr>
      <w:r>
        <w:rPr>
          <w:rFonts w:ascii="Times New Roman" w:hAnsi="Times New Roman"/>
          <w:b w:val="0"/>
          <w:color w:val="auto"/>
          <w:sz w:val="24"/>
        </w:rPr>
        <w:t>直线段应每隔50m～80m设置一座工井，本项目设计每50m设置一座工井；</w:t>
      </w:r>
    </w:p>
    <w:p>
      <w:pPr>
        <w:numPr>
          <w:ilvl w:val="0"/>
          <w:numId w:val="40"/>
        </w:numPr>
        <w:spacing w:line="300" w:lineRule="auto"/>
        <w:ind w:firstLineChars="200"/>
        <w:rPr>
          <w:rFonts w:ascii="Times New Roman" w:hAnsi="Times New Roman"/>
          <w:b w:val="0"/>
          <w:color w:val="auto"/>
          <w:sz w:val="24"/>
        </w:rPr>
      </w:pPr>
      <w:r>
        <w:rPr>
          <w:rFonts w:ascii="Times New Roman" w:hAnsi="Times New Roman"/>
          <w:b w:val="0"/>
          <w:color w:val="auto"/>
          <w:sz w:val="24"/>
        </w:rPr>
        <w:t>半径在1000m以下的曲线段，工井的间距宜为直线路段间距的50%～70%，半径越小间</w:t>
      </w:r>
    </w:p>
    <w:p>
      <w:pPr>
        <w:spacing w:line="300" w:lineRule="auto"/>
        <w:ind w:firstLine="480" w:firstLineChars="200"/>
        <w:rPr>
          <w:rFonts w:ascii="Times New Roman" w:hAnsi="Times New Roman"/>
          <w:b w:val="0"/>
          <w:color w:val="auto"/>
          <w:sz w:val="24"/>
        </w:rPr>
      </w:pPr>
      <w:r>
        <w:rPr>
          <w:rFonts w:ascii="Times New Roman" w:hAnsi="Times New Roman"/>
          <w:b w:val="0"/>
          <w:color w:val="auto"/>
          <w:sz w:val="24"/>
        </w:rPr>
        <w:t>距也应越小。</w:t>
      </w:r>
    </w:p>
    <w:p>
      <w:pPr>
        <w:numPr>
          <w:ilvl w:val="0"/>
          <w:numId w:val="40"/>
        </w:numPr>
        <w:spacing w:line="300" w:lineRule="auto"/>
        <w:ind w:firstLineChars="200"/>
        <w:rPr>
          <w:rFonts w:ascii="Times New Roman" w:hAnsi="Times New Roman"/>
          <w:b w:val="0"/>
          <w:color w:val="auto"/>
          <w:sz w:val="24"/>
        </w:rPr>
      </w:pPr>
      <w:r>
        <w:rPr>
          <w:rFonts w:ascii="Times New Roman" w:hAnsi="Times New Roman"/>
          <w:b w:val="0"/>
          <w:color w:val="auto"/>
          <w:sz w:val="24"/>
        </w:rPr>
        <w:t>在交叉路口（道路等级不低于工程路段）处，应设置横过路口</w:t>
      </w:r>
      <w:r>
        <w:rPr>
          <w:rFonts w:hint="eastAsia" w:ascii="Times New Roman" w:hAnsi="Times New Roman"/>
          <w:b w:val="0"/>
          <w:color w:val="auto"/>
          <w:sz w:val="24"/>
        </w:rPr>
        <w:t>的</w:t>
      </w:r>
      <w:r>
        <w:rPr>
          <w:rFonts w:ascii="Times New Roman" w:hAnsi="Times New Roman"/>
          <w:b w:val="0"/>
          <w:color w:val="auto"/>
          <w:sz w:val="24"/>
        </w:rPr>
        <w:t>相同容量的电缆排管，排管两侧需设工井。</w:t>
      </w:r>
    </w:p>
    <w:p>
      <w:pPr>
        <w:numPr>
          <w:ilvl w:val="0"/>
          <w:numId w:val="40"/>
        </w:numPr>
        <w:spacing w:line="300" w:lineRule="auto"/>
        <w:ind w:firstLineChars="200"/>
        <w:rPr>
          <w:rFonts w:ascii="Times New Roman" w:hAnsi="Times New Roman"/>
          <w:b w:val="0"/>
          <w:color w:val="auto"/>
          <w:sz w:val="24"/>
        </w:rPr>
      </w:pPr>
      <w:r>
        <w:rPr>
          <w:rFonts w:ascii="Times New Roman" w:hAnsi="Times New Roman"/>
          <w:b w:val="0"/>
          <w:color w:val="auto"/>
          <w:sz w:val="24"/>
        </w:rPr>
        <w:t>主体结构采用M10水泥砂浆砌MU15砖，顶面盖板采用复合盖板。</w:t>
      </w:r>
    </w:p>
    <w:p>
      <w:pPr>
        <w:numPr>
          <w:ilvl w:val="0"/>
          <w:numId w:val="40"/>
        </w:numPr>
        <w:spacing w:line="300" w:lineRule="auto"/>
        <w:ind w:firstLineChars="200"/>
        <w:rPr>
          <w:rFonts w:ascii="Times New Roman" w:hAnsi="Times New Roman"/>
          <w:b w:val="0"/>
          <w:color w:val="auto"/>
          <w:sz w:val="24"/>
        </w:rPr>
      </w:pPr>
      <w:r>
        <w:rPr>
          <w:rFonts w:ascii="Times New Roman" w:hAnsi="Times New Roman"/>
          <w:b w:val="0"/>
          <w:color w:val="auto"/>
          <w:sz w:val="24"/>
        </w:rPr>
        <w:t>设置工井的间距必须按敷设在同一道线路中重量最重，允许牵引力和允许侧压力最小的一根电缆计算决定。</w:t>
      </w:r>
    </w:p>
    <w:p>
      <w:pPr>
        <w:numPr>
          <w:ilvl w:val="0"/>
          <w:numId w:val="40"/>
        </w:numPr>
        <w:spacing w:line="300" w:lineRule="auto"/>
        <w:ind w:firstLineChars="200"/>
        <w:rPr>
          <w:rFonts w:ascii="Times New Roman" w:hAnsi="Times New Roman"/>
          <w:b w:val="0"/>
          <w:color w:val="auto"/>
          <w:sz w:val="24"/>
        </w:rPr>
      </w:pPr>
      <w:r>
        <w:rPr>
          <w:rFonts w:ascii="Times New Roman" w:hAnsi="Times New Roman"/>
          <w:b w:val="0"/>
          <w:color w:val="auto"/>
          <w:sz w:val="24"/>
        </w:rPr>
        <w:t>工井长度应根据敷设在同一工井内最长的电缆接头以及能吸收来自排管内电缆的热伸缩量所需的伸缩弧尺寸决定，且伸缩弧的尺寸应满足电缆在寿命周期内电缆金属护套不出现疲劳现象。</w:t>
      </w:r>
    </w:p>
    <w:p>
      <w:pPr>
        <w:numPr>
          <w:ilvl w:val="0"/>
          <w:numId w:val="40"/>
        </w:numPr>
        <w:spacing w:line="300" w:lineRule="auto"/>
        <w:ind w:firstLineChars="200"/>
        <w:rPr>
          <w:rFonts w:ascii="Times New Roman" w:hAnsi="Times New Roman"/>
          <w:b w:val="0"/>
          <w:color w:val="auto"/>
          <w:sz w:val="24"/>
        </w:rPr>
      </w:pPr>
      <w:r>
        <w:rPr>
          <w:rFonts w:ascii="Times New Roman" w:hAnsi="Times New Roman"/>
          <w:b w:val="0"/>
          <w:color w:val="auto"/>
          <w:sz w:val="24"/>
        </w:rPr>
        <w:t>工井净宽应根据安装在同一工井内直径最大的电缆接头和接头数量以及施工机具安置所需空间设计。工井净高应根据接头数量和接头之间净距离不小于100mm设计，且净高不宜小于1.9m。</w:t>
      </w:r>
    </w:p>
    <w:p>
      <w:pPr>
        <w:numPr>
          <w:ilvl w:val="0"/>
          <w:numId w:val="40"/>
        </w:numPr>
        <w:spacing w:line="300" w:lineRule="auto"/>
        <w:ind w:firstLineChars="200"/>
        <w:rPr>
          <w:rFonts w:ascii="Times New Roman" w:hAnsi="Times New Roman"/>
          <w:b w:val="0"/>
          <w:color w:val="auto"/>
          <w:sz w:val="24"/>
        </w:rPr>
      </w:pPr>
      <w:r>
        <w:rPr>
          <w:rFonts w:ascii="Times New Roman" w:hAnsi="Times New Roman"/>
          <w:b w:val="0"/>
          <w:color w:val="auto"/>
          <w:sz w:val="24"/>
        </w:rPr>
        <w:t>每座工井内的两侧除需预埋供安装立柱支架等铁件外，在顶板和底板以及于排管接口部位，还需预埋供吊装电缆用的吊环以及供电缆敷设施工所需的拉环。</w:t>
      </w:r>
    </w:p>
    <w:p>
      <w:pPr>
        <w:numPr>
          <w:ilvl w:val="0"/>
          <w:numId w:val="40"/>
        </w:numPr>
        <w:spacing w:line="300" w:lineRule="auto"/>
        <w:ind w:firstLineChars="200"/>
        <w:rPr>
          <w:rFonts w:ascii="Times New Roman" w:hAnsi="Times New Roman"/>
          <w:b w:val="0"/>
          <w:color w:val="auto"/>
          <w:sz w:val="24"/>
        </w:rPr>
      </w:pPr>
      <w:r>
        <w:rPr>
          <w:rFonts w:ascii="Times New Roman" w:hAnsi="Times New Roman"/>
          <w:b w:val="0"/>
          <w:color w:val="auto"/>
          <w:sz w:val="24"/>
        </w:rPr>
        <w:t>电缆排管敷设时系统接地需同步实施，应设人工水平接地体，一般采用扁钢或圆钢等，圆钢直径≥10mm，扁钢截面≥-25mmx4mm。在腐蚀性较强的土壤中，应采取热镀锌等防腐措施或加大截面。要求工作井内有接地电阻测试板，系统接地电阻不应大于</w:t>
      </w:r>
      <w:r>
        <w:rPr>
          <w:rFonts w:hint="eastAsia" w:ascii="Times New Roman" w:hAnsi="Times New Roman"/>
          <w:b w:val="0"/>
          <w:color w:val="auto"/>
          <w:sz w:val="24"/>
        </w:rPr>
        <w:t>4</w:t>
      </w:r>
      <w:r>
        <w:rPr>
          <w:rFonts w:ascii="Times New Roman" w:hAnsi="Times New Roman"/>
          <w:b w:val="0"/>
          <w:color w:val="auto"/>
          <w:sz w:val="24"/>
        </w:rPr>
        <w:t>欧姆。在工井内的金属构件皆应用镀锌扁钢与接地装置连接。</w:t>
      </w:r>
    </w:p>
    <w:p>
      <w:pPr>
        <w:numPr>
          <w:ilvl w:val="0"/>
          <w:numId w:val="40"/>
        </w:numPr>
        <w:spacing w:line="300" w:lineRule="auto"/>
        <w:ind w:firstLineChars="200"/>
        <w:rPr>
          <w:rFonts w:ascii="Times New Roman" w:hAnsi="Times New Roman"/>
          <w:b w:val="0"/>
          <w:color w:val="auto"/>
          <w:sz w:val="24"/>
        </w:rPr>
      </w:pPr>
      <w:r>
        <w:rPr>
          <w:rFonts w:ascii="Times New Roman" w:hAnsi="Times New Roman"/>
          <w:b w:val="0"/>
          <w:color w:val="auto"/>
          <w:sz w:val="24"/>
        </w:rPr>
        <w:t>在10%以上的斜坡排管中，应在标高较高一端的工井内设置防止电缆因热伸缩而滑落的构件。</w:t>
      </w:r>
    </w:p>
    <w:p>
      <w:pPr>
        <w:numPr>
          <w:ilvl w:val="0"/>
          <w:numId w:val="40"/>
        </w:numPr>
        <w:spacing w:line="300" w:lineRule="auto"/>
        <w:ind w:firstLineChars="200"/>
        <w:rPr>
          <w:rFonts w:ascii="Times New Roman" w:hAnsi="Times New Roman"/>
          <w:b w:val="0"/>
          <w:color w:val="auto"/>
          <w:sz w:val="24"/>
        </w:rPr>
      </w:pPr>
      <w:r>
        <w:rPr>
          <w:rFonts w:ascii="Times New Roman" w:hAnsi="Times New Roman"/>
          <w:b w:val="0"/>
          <w:color w:val="auto"/>
          <w:sz w:val="24"/>
        </w:rPr>
        <w:t>电缆支架的层间垂直距离，最小净距必参照《电力工程电缆设计规范》、《城市电力电缆线路设计技术规定》，并且满足下表规定：</w:t>
      </w:r>
    </w:p>
    <w:p>
      <w:pPr>
        <w:spacing w:line="360" w:lineRule="auto"/>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电缆支架的层间允许最小净距(mm)</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5"/>
        <w:gridCol w:w="2538"/>
        <w:gridCol w:w="38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 w:hRule="atLeast"/>
          <w:jc w:val="center"/>
        </w:trPr>
        <w:tc>
          <w:tcPr>
            <w:tcW w:w="3803" w:type="dxa"/>
            <w:gridSpan w:val="2"/>
            <w:shd w:val="clear" w:color="auto" w:fill="FAD2B4"/>
          </w:tcPr>
          <w:p>
            <w:pPr>
              <w:widowControl/>
              <w:jc w:val="center"/>
              <w:rPr>
                <w:rFonts w:ascii="Times New Roman" w:hAnsi="Times New Roman"/>
                <w:b w:val="0"/>
                <w:color w:val="auto"/>
                <w:sz w:val="21"/>
                <w:szCs w:val="21"/>
              </w:rPr>
            </w:pPr>
            <w:r>
              <w:rPr>
                <w:rFonts w:ascii="Times New Roman" w:hAnsi="Times New Roman"/>
                <w:b w:val="0"/>
                <w:color w:val="auto"/>
                <w:sz w:val="21"/>
                <w:szCs w:val="21"/>
              </w:rPr>
              <w:t>电缆类型及敷设特征</w:t>
            </w:r>
          </w:p>
        </w:tc>
        <w:tc>
          <w:tcPr>
            <w:tcW w:w="3803" w:type="dxa"/>
            <w:tcBorders>
              <w:bottom w:val="single" w:color="auto" w:sz="4" w:space="0"/>
            </w:tcBorders>
            <w:shd w:val="clear" w:color="auto" w:fill="FAD2B4"/>
          </w:tcPr>
          <w:p>
            <w:pPr>
              <w:widowControl/>
              <w:jc w:val="center"/>
              <w:rPr>
                <w:rFonts w:ascii="Times New Roman" w:hAnsi="Times New Roman"/>
                <w:b w:val="0"/>
                <w:color w:val="auto"/>
                <w:sz w:val="21"/>
                <w:szCs w:val="21"/>
              </w:rPr>
            </w:pPr>
            <w:r>
              <w:rPr>
                <w:rFonts w:ascii="Times New Roman" w:hAnsi="Times New Roman"/>
                <w:b w:val="0"/>
                <w:color w:val="auto"/>
                <w:sz w:val="21"/>
                <w:szCs w:val="21"/>
              </w:rPr>
              <w:t>支架层间最小净距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03" w:type="dxa"/>
            <w:gridSpan w:val="2"/>
            <w:shd w:val="clear" w:color="auto" w:fill="FAD2B4"/>
          </w:tcPr>
          <w:p>
            <w:pPr>
              <w:widowControl/>
              <w:jc w:val="center"/>
              <w:rPr>
                <w:rFonts w:ascii="Times New Roman" w:hAnsi="Times New Roman"/>
                <w:b w:val="0"/>
                <w:color w:val="auto"/>
                <w:sz w:val="21"/>
                <w:szCs w:val="21"/>
              </w:rPr>
            </w:pPr>
            <w:r>
              <w:rPr>
                <w:rFonts w:ascii="Times New Roman" w:hAnsi="Times New Roman"/>
                <w:b w:val="0"/>
                <w:color w:val="auto"/>
                <w:sz w:val="21"/>
                <w:szCs w:val="21"/>
              </w:rPr>
              <w:t>控制电缆</w:t>
            </w:r>
          </w:p>
        </w:tc>
        <w:tc>
          <w:tcPr>
            <w:tcW w:w="3803" w:type="dxa"/>
            <w:shd w:val="clear" w:color="auto" w:fill="CCFFFF"/>
          </w:tcPr>
          <w:p>
            <w:pPr>
              <w:widowControl/>
              <w:jc w:val="center"/>
              <w:rPr>
                <w:rFonts w:ascii="Times New Roman" w:hAnsi="Times New Roman"/>
                <w:b w:val="0"/>
                <w:color w:val="auto"/>
                <w:sz w:val="21"/>
                <w:szCs w:val="21"/>
              </w:rPr>
            </w:pPr>
            <w:r>
              <w:rPr>
                <w:rFonts w:ascii="Times New Roman" w:hAnsi="Times New Roman"/>
                <w:b w:val="0"/>
                <w:color w:val="auto"/>
                <w:sz w:val="21"/>
                <w:szCs w:val="21"/>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65" w:type="dxa"/>
            <w:vMerge w:val="restart"/>
            <w:shd w:val="clear" w:color="auto" w:fill="FAD2B4"/>
            <w:vAlign w:val="center"/>
          </w:tcPr>
          <w:p>
            <w:pPr>
              <w:widowControl/>
              <w:jc w:val="center"/>
              <w:rPr>
                <w:rFonts w:ascii="Times New Roman" w:hAnsi="Times New Roman"/>
                <w:b w:val="0"/>
                <w:color w:val="auto"/>
                <w:spacing w:val="4"/>
                <w:sz w:val="21"/>
                <w:szCs w:val="21"/>
              </w:rPr>
            </w:pPr>
            <w:r>
              <w:rPr>
                <w:rFonts w:ascii="Times New Roman" w:hAnsi="Times New Roman"/>
                <w:b w:val="0"/>
                <w:color w:val="auto"/>
                <w:sz w:val="21"/>
                <w:szCs w:val="21"/>
              </w:rPr>
              <w:t>电力电缆</w:t>
            </w:r>
          </w:p>
        </w:tc>
        <w:tc>
          <w:tcPr>
            <w:tcW w:w="2538" w:type="dxa"/>
            <w:shd w:val="clear" w:color="auto" w:fill="FAD2B4"/>
          </w:tcPr>
          <w:p>
            <w:pPr>
              <w:widowControl/>
              <w:ind w:firstLine="420"/>
              <w:jc w:val="center"/>
              <w:rPr>
                <w:rFonts w:ascii="Times New Roman" w:hAnsi="Times New Roman"/>
                <w:b w:val="0"/>
                <w:color w:val="auto"/>
                <w:spacing w:val="4"/>
                <w:sz w:val="21"/>
                <w:szCs w:val="21"/>
              </w:rPr>
            </w:pPr>
            <w:r>
              <w:rPr>
                <w:rFonts w:ascii="Times New Roman" w:hAnsi="Times New Roman"/>
                <w:b w:val="0"/>
                <w:color w:val="auto"/>
                <w:sz w:val="21"/>
                <w:szCs w:val="21"/>
              </w:rPr>
              <w:t>电力电缆每层多一根</w:t>
            </w:r>
          </w:p>
        </w:tc>
        <w:tc>
          <w:tcPr>
            <w:tcW w:w="3803" w:type="dxa"/>
            <w:shd w:val="clear" w:color="auto" w:fill="CCFFFF"/>
          </w:tcPr>
          <w:p>
            <w:pPr>
              <w:jc w:val="center"/>
              <w:rPr>
                <w:rFonts w:ascii="Times New Roman" w:hAnsi="Times New Roman"/>
                <w:b w:val="0"/>
                <w:color w:val="auto"/>
                <w:spacing w:val="4"/>
                <w:sz w:val="21"/>
                <w:szCs w:val="21"/>
              </w:rPr>
            </w:pPr>
            <w:r>
              <w:rPr>
                <w:rFonts w:ascii="Times New Roman" w:hAnsi="Times New Roman"/>
                <w:b w:val="0"/>
                <w:color w:val="auto"/>
                <w:spacing w:val="4"/>
                <w:sz w:val="21"/>
                <w:szCs w:val="21"/>
              </w:rPr>
              <w:t>2d+50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65" w:type="dxa"/>
            <w:vMerge w:val="continue"/>
            <w:shd w:val="clear" w:color="auto" w:fill="FAD2B4"/>
          </w:tcPr>
          <w:p>
            <w:pPr>
              <w:jc w:val="center"/>
              <w:rPr>
                <w:rFonts w:ascii="Times New Roman" w:hAnsi="Times New Roman"/>
                <w:b w:val="0"/>
                <w:color w:val="auto"/>
                <w:spacing w:val="4"/>
                <w:sz w:val="21"/>
                <w:szCs w:val="21"/>
              </w:rPr>
            </w:pPr>
          </w:p>
        </w:tc>
        <w:tc>
          <w:tcPr>
            <w:tcW w:w="2538" w:type="dxa"/>
            <w:shd w:val="clear" w:color="auto" w:fill="FAD2B4"/>
          </w:tcPr>
          <w:p>
            <w:pPr>
              <w:widowControl/>
              <w:jc w:val="center"/>
              <w:rPr>
                <w:rFonts w:ascii="Times New Roman" w:hAnsi="Times New Roman"/>
                <w:b w:val="0"/>
                <w:color w:val="auto"/>
                <w:spacing w:val="4"/>
                <w:sz w:val="21"/>
                <w:szCs w:val="21"/>
              </w:rPr>
            </w:pPr>
            <w:r>
              <w:rPr>
                <w:rFonts w:ascii="Times New Roman" w:hAnsi="Times New Roman"/>
                <w:b w:val="0"/>
                <w:color w:val="auto"/>
                <w:sz w:val="21"/>
                <w:szCs w:val="21"/>
              </w:rPr>
              <w:t>电力电缆每层一根</w:t>
            </w:r>
          </w:p>
        </w:tc>
        <w:tc>
          <w:tcPr>
            <w:tcW w:w="3803" w:type="dxa"/>
            <w:shd w:val="clear" w:color="auto" w:fill="CCFFFF"/>
          </w:tcPr>
          <w:p>
            <w:pPr>
              <w:jc w:val="center"/>
              <w:rPr>
                <w:rFonts w:ascii="Times New Roman" w:hAnsi="Times New Roman"/>
                <w:b w:val="0"/>
                <w:color w:val="auto"/>
                <w:spacing w:val="4"/>
                <w:sz w:val="21"/>
                <w:szCs w:val="21"/>
              </w:rPr>
            </w:pPr>
            <w:r>
              <w:rPr>
                <w:rFonts w:ascii="Times New Roman" w:hAnsi="Times New Roman"/>
                <w:b w:val="0"/>
                <w:color w:val="auto"/>
                <w:spacing w:val="4"/>
                <w:sz w:val="21"/>
                <w:szCs w:val="21"/>
              </w:rPr>
              <w:t>d+50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 w:hRule="atLeast"/>
          <w:jc w:val="center"/>
        </w:trPr>
        <w:tc>
          <w:tcPr>
            <w:tcW w:w="1265" w:type="dxa"/>
            <w:vMerge w:val="continue"/>
            <w:shd w:val="clear" w:color="auto" w:fill="FAD2B4"/>
          </w:tcPr>
          <w:p>
            <w:pPr>
              <w:jc w:val="center"/>
              <w:rPr>
                <w:rFonts w:ascii="Times New Roman" w:hAnsi="Times New Roman"/>
                <w:b w:val="0"/>
                <w:color w:val="auto"/>
                <w:spacing w:val="4"/>
                <w:sz w:val="21"/>
                <w:szCs w:val="21"/>
              </w:rPr>
            </w:pPr>
          </w:p>
        </w:tc>
        <w:tc>
          <w:tcPr>
            <w:tcW w:w="2538" w:type="dxa"/>
            <w:shd w:val="clear" w:color="auto" w:fill="FAD2B4"/>
          </w:tcPr>
          <w:p>
            <w:pPr>
              <w:widowControl/>
              <w:jc w:val="center"/>
              <w:rPr>
                <w:rFonts w:ascii="Times New Roman" w:hAnsi="Times New Roman"/>
                <w:b w:val="0"/>
                <w:color w:val="auto"/>
                <w:spacing w:val="4"/>
                <w:sz w:val="21"/>
                <w:szCs w:val="21"/>
              </w:rPr>
            </w:pPr>
            <w:r>
              <w:rPr>
                <w:rFonts w:ascii="Times New Roman" w:hAnsi="Times New Roman"/>
                <w:b w:val="0"/>
                <w:color w:val="auto"/>
                <w:sz w:val="21"/>
                <w:szCs w:val="21"/>
              </w:rPr>
              <w:t>电力电缆三根品字型布置</w:t>
            </w:r>
          </w:p>
        </w:tc>
        <w:tc>
          <w:tcPr>
            <w:tcW w:w="3803" w:type="dxa"/>
            <w:shd w:val="clear" w:color="auto" w:fill="CCFFFF"/>
          </w:tcPr>
          <w:p>
            <w:pPr>
              <w:jc w:val="center"/>
              <w:rPr>
                <w:rFonts w:ascii="Times New Roman" w:hAnsi="Times New Roman"/>
                <w:b w:val="0"/>
                <w:color w:val="auto"/>
                <w:spacing w:val="4"/>
                <w:sz w:val="21"/>
                <w:szCs w:val="21"/>
              </w:rPr>
            </w:pPr>
            <w:r>
              <w:rPr>
                <w:rFonts w:ascii="Times New Roman" w:hAnsi="Times New Roman"/>
                <w:b w:val="0"/>
                <w:color w:val="auto"/>
                <w:spacing w:val="4"/>
                <w:sz w:val="21"/>
                <w:szCs w:val="21"/>
              </w:rPr>
              <w:t>2d+50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 w:hRule="atLeast"/>
          <w:jc w:val="center"/>
        </w:trPr>
        <w:tc>
          <w:tcPr>
            <w:tcW w:w="7607" w:type="dxa"/>
            <w:gridSpan w:val="3"/>
            <w:shd w:val="clear" w:color="auto" w:fill="auto"/>
          </w:tcPr>
          <w:p>
            <w:pPr>
              <w:widowControl/>
              <w:ind w:firstLine="199" w:firstLineChars="95"/>
              <w:jc w:val="left"/>
              <w:rPr>
                <w:rFonts w:ascii="Times New Roman" w:hAnsi="Times New Roman"/>
                <w:b w:val="0"/>
                <w:color w:val="auto"/>
                <w:spacing w:val="4"/>
                <w:sz w:val="21"/>
                <w:szCs w:val="21"/>
              </w:rPr>
            </w:pPr>
            <w:r>
              <w:rPr>
                <w:rFonts w:ascii="Times New Roman" w:hAnsi="Times New Roman"/>
                <w:b w:val="0"/>
                <w:color w:val="auto"/>
                <w:sz w:val="21"/>
                <w:szCs w:val="21"/>
              </w:rPr>
              <w:t>注：d表示电缆最大外径。</w:t>
            </w:r>
          </w:p>
        </w:tc>
      </w:tr>
    </w:tbl>
    <w:p>
      <w:pPr>
        <w:numPr>
          <w:ilvl w:val="0"/>
          <w:numId w:val="40"/>
        </w:numPr>
        <w:spacing w:line="360" w:lineRule="auto"/>
        <w:ind w:firstLineChars="200"/>
        <w:rPr>
          <w:rFonts w:ascii="Times New Roman" w:hAnsi="Times New Roman"/>
          <w:b w:val="0"/>
          <w:color w:val="auto"/>
          <w:sz w:val="24"/>
        </w:rPr>
      </w:pPr>
      <w:r>
        <w:rPr>
          <w:rFonts w:ascii="Times New Roman" w:hAnsi="Times New Roman"/>
          <w:b w:val="0"/>
          <w:color w:val="auto"/>
          <w:sz w:val="24"/>
        </w:rPr>
        <w:t>电缆支架间纵向间距应参照《电力工程电缆设计规范》、《城市电力电缆线路设计技术规定》，并且满足下表规定：</w:t>
      </w:r>
    </w:p>
    <w:p>
      <w:pPr>
        <w:spacing w:line="360" w:lineRule="auto"/>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电缆支架纵向的距离(mm)</w:t>
      </w:r>
    </w:p>
    <w:tbl>
      <w:tblPr>
        <w:tblStyle w:val="32"/>
        <w:tblW w:w="7838" w:type="dxa"/>
        <w:jc w:val="center"/>
        <w:tblBorders>
          <w:top w:val="single" w:color="333333" w:sz="6" w:space="0"/>
          <w:left w:val="single" w:color="333333" w:sz="6" w:space="0"/>
          <w:bottom w:val="single" w:color="333333" w:sz="6" w:space="0"/>
          <w:right w:val="single" w:color="333333" w:sz="6" w:space="0"/>
          <w:insideH w:val="none" w:color="auto" w:sz="0" w:space="0"/>
          <w:insideV w:val="none" w:color="auto" w:sz="0" w:space="0"/>
        </w:tblBorders>
        <w:tblLayout w:type="fixed"/>
        <w:tblCellMar>
          <w:top w:w="15" w:type="dxa"/>
          <w:left w:w="15" w:type="dxa"/>
          <w:bottom w:w="15" w:type="dxa"/>
          <w:right w:w="15" w:type="dxa"/>
        </w:tblCellMar>
      </w:tblPr>
      <w:tblGrid>
        <w:gridCol w:w="4939"/>
        <w:gridCol w:w="1646"/>
        <w:gridCol w:w="1253"/>
      </w:tblGrid>
      <w:tr>
        <w:tblPrEx>
          <w:tblBorders>
            <w:top w:val="single" w:color="333333" w:sz="6" w:space="0"/>
            <w:left w:val="single" w:color="333333" w:sz="6" w:space="0"/>
            <w:bottom w:val="single" w:color="333333" w:sz="6" w:space="0"/>
            <w:right w:val="single" w:color="333333" w:sz="6" w:space="0"/>
            <w:insideH w:val="none" w:color="auto" w:sz="0" w:space="0"/>
            <w:insideV w:val="none" w:color="auto" w:sz="0" w:space="0"/>
          </w:tblBorders>
          <w:tblCellMar>
            <w:top w:w="15" w:type="dxa"/>
            <w:left w:w="15" w:type="dxa"/>
            <w:bottom w:w="15" w:type="dxa"/>
            <w:right w:w="15" w:type="dxa"/>
          </w:tblCellMar>
        </w:tblPrEx>
        <w:trPr>
          <w:cantSplit/>
          <w:trHeight w:val="272" w:hRule="atLeast"/>
          <w:jc w:val="center"/>
        </w:trPr>
        <w:tc>
          <w:tcPr>
            <w:tcW w:w="4939" w:type="dxa"/>
            <w:vMerge w:val="restart"/>
            <w:tcBorders>
              <w:top w:val="single" w:color="333333" w:sz="6" w:space="0"/>
              <w:left w:val="single" w:color="333333" w:sz="6" w:space="0"/>
              <w:bottom w:val="single" w:color="333333" w:sz="6" w:space="0"/>
              <w:right w:val="single" w:color="333333" w:sz="6" w:space="0"/>
            </w:tcBorders>
            <w:shd w:val="clear" w:color="auto" w:fill="FAD2B4"/>
            <w:vAlign w:val="center"/>
          </w:tcPr>
          <w:p>
            <w:pPr>
              <w:spacing w:line="300" w:lineRule="auto"/>
              <w:jc w:val="center"/>
              <w:rPr>
                <w:rFonts w:ascii="Times New Roman" w:hAnsi="Times New Roman"/>
                <w:b w:val="0"/>
                <w:color w:val="auto"/>
                <w:sz w:val="21"/>
                <w:szCs w:val="21"/>
              </w:rPr>
            </w:pPr>
            <w:r>
              <w:rPr>
                <w:rFonts w:ascii="Times New Roman" w:hAnsi="Times New Roman"/>
                <w:b w:val="0"/>
                <w:color w:val="auto"/>
                <w:sz w:val="21"/>
                <w:szCs w:val="21"/>
              </w:rPr>
              <w:t>电缆特征</w:t>
            </w:r>
          </w:p>
        </w:tc>
        <w:tc>
          <w:tcPr>
            <w:tcW w:w="2899" w:type="dxa"/>
            <w:gridSpan w:val="2"/>
            <w:tcBorders>
              <w:top w:val="single" w:color="333333" w:sz="6" w:space="0"/>
              <w:left w:val="single" w:color="333333" w:sz="6" w:space="0"/>
              <w:bottom w:val="single" w:color="333333" w:sz="6" w:space="0"/>
              <w:right w:val="single" w:color="333333" w:sz="6" w:space="0"/>
            </w:tcBorders>
            <w:shd w:val="clear" w:color="auto" w:fill="FAD2B4"/>
            <w:vAlign w:val="center"/>
          </w:tcPr>
          <w:p>
            <w:pPr>
              <w:spacing w:line="300" w:lineRule="auto"/>
              <w:jc w:val="center"/>
              <w:rPr>
                <w:rFonts w:ascii="Times New Roman" w:hAnsi="Times New Roman"/>
                <w:b w:val="0"/>
                <w:color w:val="auto"/>
                <w:sz w:val="21"/>
                <w:szCs w:val="21"/>
              </w:rPr>
            </w:pPr>
            <w:r>
              <w:rPr>
                <w:rFonts w:ascii="Times New Roman" w:hAnsi="Times New Roman"/>
                <w:b w:val="0"/>
                <w:color w:val="auto"/>
                <w:sz w:val="21"/>
                <w:szCs w:val="21"/>
              </w:rPr>
              <w:t>敷设方式</w:t>
            </w:r>
          </w:p>
        </w:tc>
      </w:tr>
      <w:tr>
        <w:tblPrEx>
          <w:tblBorders>
            <w:top w:val="single" w:color="333333" w:sz="6" w:space="0"/>
            <w:left w:val="single" w:color="333333" w:sz="6" w:space="0"/>
            <w:bottom w:val="single" w:color="333333" w:sz="6" w:space="0"/>
            <w:right w:val="single" w:color="333333" w:sz="6" w:space="0"/>
            <w:insideH w:val="none" w:color="auto" w:sz="0" w:space="0"/>
            <w:insideV w:val="none" w:color="auto" w:sz="0" w:space="0"/>
          </w:tblBorders>
          <w:tblCellMar>
            <w:top w:w="15" w:type="dxa"/>
            <w:left w:w="15" w:type="dxa"/>
            <w:bottom w:w="15" w:type="dxa"/>
            <w:right w:w="15" w:type="dxa"/>
          </w:tblCellMar>
        </w:tblPrEx>
        <w:trPr>
          <w:cantSplit/>
          <w:trHeight w:val="29" w:hRule="atLeast"/>
          <w:jc w:val="center"/>
        </w:trPr>
        <w:tc>
          <w:tcPr>
            <w:tcW w:w="4939" w:type="dxa"/>
            <w:vMerge w:val="continue"/>
            <w:tcBorders>
              <w:top w:val="single" w:color="333333" w:sz="6" w:space="0"/>
              <w:left w:val="single" w:color="333333" w:sz="6" w:space="0"/>
              <w:bottom w:val="single" w:color="333333" w:sz="6" w:space="0"/>
              <w:right w:val="single" w:color="333333" w:sz="6" w:space="0"/>
            </w:tcBorders>
            <w:shd w:val="clear" w:color="auto" w:fill="FAD2B4"/>
            <w:vAlign w:val="center"/>
          </w:tcPr>
          <w:p>
            <w:pPr>
              <w:spacing w:line="300" w:lineRule="auto"/>
              <w:rPr>
                <w:rFonts w:ascii="Times New Roman" w:hAnsi="Times New Roman"/>
                <w:b w:val="0"/>
                <w:color w:val="auto"/>
                <w:sz w:val="21"/>
                <w:szCs w:val="21"/>
              </w:rPr>
            </w:pPr>
          </w:p>
        </w:tc>
        <w:tc>
          <w:tcPr>
            <w:tcW w:w="1646" w:type="dxa"/>
            <w:tcBorders>
              <w:top w:val="single" w:color="333333" w:sz="6" w:space="0"/>
              <w:left w:val="single" w:color="333333" w:sz="6" w:space="0"/>
              <w:bottom w:val="single" w:color="auto" w:sz="4" w:space="0"/>
              <w:right w:val="single" w:color="333333" w:sz="6" w:space="0"/>
            </w:tcBorders>
            <w:shd w:val="clear" w:color="auto" w:fill="FAD2B4"/>
            <w:vAlign w:val="center"/>
          </w:tcPr>
          <w:p>
            <w:pPr>
              <w:spacing w:line="300" w:lineRule="auto"/>
              <w:jc w:val="center"/>
              <w:rPr>
                <w:rFonts w:ascii="Times New Roman" w:hAnsi="Times New Roman"/>
                <w:b w:val="0"/>
                <w:color w:val="auto"/>
                <w:sz w:val="21"/>
                <w:szCs w:val="21"/>
              </w:rPr>
            </w:pPr>
            <w:r>
              <w:rPr>
                <w:rFonts w:ascii="Times New Roman" w:hAnsi="Times New Roman"/>
                <w:b w:val="0"/>
                <w:color w:val="auto"/>
                <w:sz w:val="21"/>
                <w:szCs w:val="21"/>
              </w:rPr>
              <w:t>水平</w:t>
            </w:r>
          </w:p>
        </w:tc>
        <w:tc>
          <w:tcPr>
            <w:tcW w:w="1253" w:type="dxa"/>
            <w:tcBorders>
              <w:top w:val="single" w:color="333333" w:sz="6" w:space="0"/>
              <w:left w:val="single" w:color="333333" w:sz="6" w:space="0"/>
              <w:bottom w:val="single" w:color="auto" w:sz="4" w:space="0"/>
              <w:right w:val="single" w:color="333333" w:sz="6" w:space="0"/>
            </w:tcBorders>
            <w:shd w:val="clear" w:color="auto" w:fill="FAD2B4"/>
            <w:vAlign w:val="center"/>
          </w:tcPr>
          <w:p>
            <w:pPr>
              <w:spacing w:line="300" w:lineRule="auto"/>
              <w:jc w:val="center"/>
              <w:rPr>
                <w:rFonts w:ascii="Times New Roman" w:hAnsi="Times New Roman"/>
                <w:b w:val="0"/>
                <w:color w:val="auto"/>
                <w:sz w:val="21"/>
                <w:szCs w:val="21"/>
              </w:rPr>
            </w:pPr>
            <w:r>
              <w:rPr>
                <w:rFonts w:ascii="Times New Roman" w:hAnsi="Times New Roman"/>
                <w:b w:val="0"/>
                <w:color w:val="auto"/>
                <w:sz w:val="21"/>
                <w:szCs w:val="21"/>
              </w:rPr>
              <w:t>垂直</w:t>
            </w:r>
          </w:p>
        </w:tc>
      </w:tr>
      <w:tr>
        <w:tblPrEx>
          <w:tblBorders>
            <w:top w:val="single" w:color="333333" w:sz="6" w:space="0"/>
            <w:left w:val="single" w:color="333333" w:sz="6" w:space="0"/>
            <w:bottom w:val="single" w:color="333333" w:sz="6" w:space="0"/>
            <w:right w:val="single" w:color="333333" w:sz="6" w:space="0"/>
            <w:insideH w:val="none" w:color="auto" w:sz="0" w:space="0"/>
            <w:insideV w:val="none" w:color="auto" w:sz="0" w:space="0"/>
          </w:tblBorders>
          <w:tblCellMar>
            <w:top w:w="15" w:type="dxa"/>
            <w:left w:w="15" w:type="dxa"/>
            <w:bottom w:w="15" w:type="dxa"/>
            <w:right w:w="15" w:type="dxa"/>
          </w:tblCellMar>
        </w:tblPrEx>
        <w:trPr>
          <w:trHeight w:val="100" w:hRule="atLeast"/>
          <w:jc w:val="center"/>
        </w:trPr>
        <w:tc>
          <w:tcPr>
            <w:tcW w:w="4939" w:type="dxa"/>
            <w:tcBorders>
              <w:top w:val="single" w:color="333333" w:sz="6" w:space="0"/>
              <w:left w:val="single" w:color="333333" w:sz="6" w:space="0"/>
              <w:bottom w:val="single" w:color="333333" w:sz="6" w:space="0"/>
              <w:right w:val="single" w:color="auto" w:sz="4" w:space="0"/>
            </w:tcBorders>
            <w:shd w:val="clear" w:color="auto" w:fill="FAD2B4"/>
            <w:vAlign w:val="center"/>
          </w:tcPr>
          <w:p>
            <w:pPr>
              <w:spacing w:line="300" w:lineRule="auto"/>
              <w:jc w:val="center"/>
              <w:rPr>
                <w:rFonts w:ascii="Times New Roman" w:hAnsi="Times New Roman"/>
                <w:b w:val="0"/>
                <w:color w:val="auto"/>
                <w:sz w:val="21"/>
                <w:szCs w:val="21"/>
              </w:rPr>
            </w:pPr>
            <w:r>
              <w:rPr>
                <w:rFonts w:ascii="Times New Roman" w:hAnsi="Times New Roman"/>
                <w:b w:val="0"/>
                <w:color w:val="auto"/>
                <w:sz w:val="21"/>
                <w:szCs w:val="21"/>
              </w:rPr>
              <w:t>未含金属套、铠装的全塑小截面电缆</w:t>
            </w:r>
          </w:p>
        </w:tc>
        <w:tc>
          <w:tcPr>
            <w:tcW w:w="1646" w:type="dxa"/>
            <w:tcBorders>
              <w:top w:val="single" w:color="auto" w:sz="4" w:space="0"/>
              <w:left w:val="single" w:color="auto" w:sz="4" w:space="0"/>
              <w:bottom w:val="single" w:color="auto" w:sz="4" w:space="0"/>
              <w:right w:val="single" w:color="auto" w:sz="4" w:space="0"/>
            </w:tcBorders>
            <w:shd w:val="clear" w:color="auto" w:fill="CCFFFF"/>
            <w:vAlign w:val="center"/>
          </w:tcPr>
          <w:p>
            <w:pPr>
              <w:spacing w:line="300" w:lineRule="auto"/>
              <w:jc w:val="center"/>
              <w:rPr>
                <w:rFonts w:ascii="Times New Roman" w:hAnsi="Times New Roman"/>
                <w:b w:val="0"/>
                <w:color w:val="auto"/>
                <w:sz w:val="21"/>
                <w:szCs w:val="21"/>
              </w:rPr>
            </w:pPr>
            <w:r>
              <w:rPr>
                <w:rFonts w:ascii="Times New Roman" w:hAnsi="Times New Roman"/>
                <w:b w:val="0"/>
                <w:color w:val="auto"/>
                <w:sz w:val="21"/>
                <w:szCs w:val="21"/>
              </w:rPr>
              <w:t>400*</w:t>
            </w:r>
          </w:p>
        </w:tc>
        <w:tc>
          <w:tcPr>
            <w:tcW w:w="1253" w:type="dxa"/>
            <w:tcBorders>
              <w:top w:val="single" w:color="auto" w:sz="4" w:space="0"/>
              <w:left w:val="single" w:color="auto" w:sz="4" w:space="0"/>
              <w:bottom w:val="single" w:color="auto" w:sz="4" w:space="0"/>
              <w:right w:val="single" w:color="auto" w:sz="4" w:space="0"/>
            </w:tcBorders>
            <w:shd w:val="clear" w:color="auto" w:fill="CCFFFF"/>
            <w:vAlign w:val="center"/>
          </w:tcPr>
          <w:p>
            <w:pPr>
              <w:spacing w:line="300" w:lineRule="auto"/>
              <w:jc w:val="center"/>
              <w:rPr>
                <w:rFonts w:ascii="Times New Roman" w:hAnsi="Times New Roman"/>
                <w:b w:val="0"/>
                <w:color w:val="auto"/>
                <w:sz w:val="21"/>
                <w:szCs w:val="21"/>
              </w:rPr>
            </w:pPr>
            <w:r>
              <w:rPr>
                <w:rFonts w:ascii="Times New Roman" w:hAnsi="Times New Roman"/>
                <w:b w:val="0"/>
                <w:color w:val="auto"/>
                <w:sz w:val="21"/>
                <w:szCs w:val="21"/>
              </w:rPr>
              <w:t>1000</w:t>
            </w:r>
          </w:p>
        </w:tc>
      </w:tr>
      <w:tr>
        <w:tblPrEx>
          <w:tblBorders>
            <w:top w:val="single" w:color="333333" w:sz="6" w:space="0"/>
            <w:left w:val="single" w:color="333333" w:sz="6" w:space="0"/>
            <w:bottom w:val="single" w:color="333333" w:sz="6" w:space="0"/>
            <w:right w:val="single" w:color="333333" w:sz="6" w:space="0"/>
            <w:insideH w:val="none" w:color="auto" w:sz="0" w:space="0"/>
            <w:insideV w:val="none" w:color="auto" w:sz="0" w:space="0"/>
          </w:tblBorders>
          <w:tblCellMar>
            <w:top w:w="15" w:type="dxa"/>
            <w:left w:w="15" w:type="dxa"/>
            <w:bottom w:w="15" w:type="dxa"/>
            <w:right w:w="15" w:type="dxa"/>
          </w:tblCellMar>
        </w:tblPrEx>
        <w:trPr>
          <w:trHeight w:val="77" w:hRule="atLeast"/>
          <w:jc w:val="center"/>
        </w:trPr>
        <w:tc>
          <w:tcPr>
            <w:tcW w:w="4939" w:type="dxa"/>
            <w:tcBorders>
              <w:top w:val="single" w:color="333333" w:sz="6" w:space="0"/>
              <w:left w:val="single" w:color="333333" w:sz="6" w:space="0"/>
              <w:bottom w:val="single" w:color="333333" w:sz="6" w:space="0"/>
              <w:right w:val="single" w:color="auto" w:sz="4" w:space="0"/>
            </w:tcBorders>
            <w:shd w:val="clear" w:color="auto" w:fill="FAD2B4"/>
            <w:vAlign w:val="center"/>
          </w:tcPr>
          <w:p>
            <w:pPr>
              <w:spacing w:line="300" w:lineRule="auto"/>
              <w:jc w:val="center"/>
              <w:rPr>
                <w:rFonts w:ascii="Times New Roman" w:hAnsi="Times New Roman"/>
                <w:b w:val="0"/>
                <w:color w:val="auto"/>
                <w:sz w:val="21"/>
                <w:szCs w:val="21"/>
              </w:rPr>
            </w:pPr>
            <w:r>
              <w:rPr>
                <w:rFonts w:ascii="Times New Roman" w:hAnsi="Times New Roman"/>
                <w:b w:val="0"/>
                <w:color w:val="auto"/>
                <w:sz w:val="21"/>
                <w:szCs w:val="21"/>
              </w:rPr>
              <w:t>除上述情况外的中、低压电缆</w:t>
            </w:r>
          </w:p>
        </w:tc>
        <w:tc>
          <w:tcPr>
            <w:tcW w:w="1646" w:type="dxa"/>
            <w:tcBorders>
              <w:top w:val="single" w:color="auto" w:sz="4" w:space="0"/>
              <w:left w:val="single" w:color="auto" w:sz="4" w:space="0"/>
              <w:bottom w:val="single" w:color="auto" w:sz="4" w:space="0"/>
              <w:right w:val="single" w:color="auto" w:sz="4" w:space="0"/>
            </w:tcBorders>
            <w:shd w:val="clear" w:color="auto" w:fill="CCFFFF"/>
            <w:vAlign w:val="center"/>
          </w:tcPr>
          <w:p>
            <w:pPr>
              <w:spacing w:line="300" w:lineRule="auto"/>
              <w:jc w:val="center"/>
              <w:rPr>
                <w:rFonts w:ascii="Times New Roman" w:hAnsi="Times New Roman"/>
                <w:b w:val="0"/>
                <w:color w:val="auto"/>
                <w:sz w:val="21"/>
                <w:szCs w:val="21"/>
              </w:rPr>
            </w:pPr>
            <w:r>
              <w:rPr>
                <w:rFonts w:ascii="Times New Roman" w:hAnsi="Times New Roman"/>
                <w:b w:val="0"/>
                <w:color w:val="auto"/>
                <w:sz w:val="21"/>
                <w:szCs w:val="21"/>
              </w:rPr>
              <w:t>800</w:t>
            </w:r>
          </w:p>
        </w:tc>
        <w:tc>
          <w:tcPr>
            <w:tcW w:w="1253" w:type="dxa"/>
            <w:tcBorders>
              <w:top w:val="single" w:color="auto" w:sz="4" w:space="0"/>
              <w:left w:val="single" w:color="auto" w:sz="4" w:space="0"/>
              <w:bottom w:val="single" w:color="auto" w:sz="4" w:space="0"/>
              <w:right w:val="single" w:color="auto" w:sz="4" w:space="0"/>
            </w:tcBorders>
            <w:shd w:val="clear" w:color="auto" w:fill="CCFFFF"/>
            <w:vAlign w:val="center"/>
          </w:tcPr>
          <w:p>
            <w:pPr>
              <w:spacing w:line="300" w:lineRule="auto"/>
              <w:jc w:val="center"/>
              <w:rPr>
                <w:rFonts w:ascii="Times New Roman" w:hAnsi="Times New Roman"/>
                <w:b w:val="0"/>
                <w:color w:val="auto"/>
                <w:sz w:val="21"/>
                <w:szCs w:val="21"/>
              </w:rPr>
            </w:pPr>
            <w:r>
              <w:rPr>
                <w:rFonts w:ascii="Times New Roman" w:hAnsi="Times New Roman"/>
                <w:b w:val="0"/>
                <w:color w:val="auto"/>
                <w:sz w:val="21"/>
                <w:szCs w:val="21"/>
              </w:rPr>
              <w:t>1500</w:t>
            </w:r>
          </w:p>
        </w:tc>
      </w:tr>
      <w:tr>
        <w:tblPrEx>
          <w:tblBorders>
            <w:top w:val="single" w:color="333333" w:sz="6" w:space="0"/>
            <w:left w:val="single" w:color="333333" w:sz="6" w:space="0"/>
            <w:bottom w:val="single" w:color="333333" w:sz="6" w:space="0"/>
            <w:right w:val="single" w:color="333333" w:sz="6" w:space="0"/>
            <w:insideH w:val="none" w:color="auto" w:sz="0" w:space="0"/>
            <w:insideV w:val="none" w:color="auto" w:sz="0" w:space="0"/>
          </w:tblBorders>
          <w:tblCellMar>
            <w:top w:w="15" w:type="dxa"/>
            <w:left w:w="15" w:type="dxa"/>
            <w:bottom w:w="15" w:type="dxa"/>
            <w:right w:w="15" w:type="dxa"/>
          </w:tblCellMar>
        </w:tblPrEx>
        <w:trPr>
          <w:trHeight w:val="140" w:hRule="atLeast"/>
          <w:jc w:val="center"/>
        </w:trPr>
        <w:tc>
          <w:tcPr>
            <w:tcW w:w="4939" w:type="dxa"/>
            <w:tcBorders>
              <w:top w:val="single" w:color="333333" w:sz="6" w:space="0"/>
              <w:left w:val="single" w:color="333333" w:sz="6" w:space="0"/>
              <w:bottom w:val="single" w:color="333333" w:sz="6" w:space="0"/>
              <w:right w:val="single" w:color="auto" w:sz="4" w:space="0"/>
            </w:tcBorders>
            <w:shd w:val="clear" w:color="auto" w:fill="FAD2B4"/>
            <w:vAlign w:val="center"/>
          </w:tcPr>
          <w:p>
            <w:pPr>
              <w:spacing w:line="300" w:lineRule="auto"/>
              <w:jc w:val="center"/>
              <w:rPr>
                <w:rFonts w:ascii="Times New Roman" w:hAnsi="Times New Roman"/>
                <w:b w:val="0"/>
                <w:color w:val="auto"/>
                <w:sz w:val="21"/>
                <w:szCs w:val="21"/>
              </w:rPr>
            </w:pPr>
            <w:r>
              <w:rPr>
                <w:rFonts w:ascii="Times New Roman" w:hAnsi="Times New Roman"/>
                <w:b w:val="0"/>
                <w:color w:val="auto"/>
                <w:sz w:val="21"/>
                <w:szCs w:val="21"/>
              </w:rPr>
              <w:t>35kv以上高压电缆</w:t>
            </w:r>
          </w:p>
        </w:tc>
        <w:tc>
          <w:tcPr>
            <w:tcW w:w="1646" w:type="dxa"/>
            <w:tcBorders>
              <w:top w:val="single" w:color="auto" w:sz="4" w:space="0"/>
              <w:left w:val="single" w:color="auto" w:sz="4" w:space="0"/>
              <w:bottom w:val="single" w:color="auto" w:sz="4" w:space="0"/>
              <w:right w:val="single" w:color="auto" w:sz="4" w:space="0"/>
            </w:tcBorders>
            <w:shd w:val="clear" w:color="auto" w:fill="CCFFFF"/>
            <w:vAlign w:val="center"/>
          </w:tcPr>
          <w:p>
            <w:pPr>
              <w:spacing w:line="300" w:lineRule="auto"/>
              <w:jc w:val="center"/>
              <w:rPr>
                <w:rFonts w:ascii="Times New Roman" w:hAnsi="Times New Roman"/>
                <w:b w:val="0"/>
                <w:color w:val="auto"/>
                <w:sz w:val="21"/>
                <w:szCs w:val="21"/>
              </w:rPr>
            </w:pPr>
            <w:r>
              <w:rPr>
                <w:rFonts w:ascii="Times New Roman" w:hAnsi="Times New Roman"/>
                <w:b w:val="0"/>
                <w:color w:val="auto"/>
                <w:sz w:val="21"/>
                <w:szCs w:val="21"/>
              </w:rPr>
              <w:t>1500</w:t>
            </w:r>
          </w:p>
        </w:tc>
        <w:tc>
          <w:tcPr>
            <w:tcW w:w="1253" w:type="dxa"/>
            <w:tcBorders>
              <w:top w:val="single" w:color="auto" w:sz="4" w:space="0"/>
              <w:left w:val="single" w:color="auto" w:sz="4" w:space="0"/>
              <w:bottom w:val="single" w:color="auto" w:sz="4" w:space="0"/>
              <w:right w:val="single" w:color="auto" w:sz="4" w:space="0"/>
            </w:tcBorders>
            <w:shd w:val="clear" w:color="auto" w:fill="CCFFFF"/>
            <w:vAlign w:val="center"/>
          </w:tcPr>
          <w:p>
            <w:pPr>
              <w:spacing w:line="300" w:lineRule="auto"/>
              <w:jc w:val="center"/>
              <w:rPr>
                <w:rFonts w:ascii="Times New Roman" w:hAnsi="Times New Roman"/>
                <w:b w:val="0"/>
                <w:color w:val="auto"/>
                <w:sz w:val="21"/>
                <w:szCs w:val="21"/>
              </w:rPr>
            </w:pPr>
            <w:r>
              <w:rPr>
                <w:rFonts w:ascii="Times New Roman" w:hAnsi="Times New Roman"/>
                <w:b w:val="0"/>
                <w:color w:val="auto"/>
                <w:sz w:val="21"/>
                <w:szCs w:val="21"/>
              </w:rPr>
              <w:t>3000</w:t>
            </w:r>
          </w:p>
        </w:tc>
      </w:tr>
    </w:tbl>
    <w:p>
      <w:pPr>
        <w:numPr>
          <w:ilvl w:val="0"/>
          <w:numId w:val="40"/>
        </w:numPr>
        <w:spacing w:line="300" w:lineRule="auto"/>
        <w:ind w:firstLineChars="200"/>
        <w:rPr>
          <w:rFonts w:ascii="Times New Roman" w:hAnsi="Times New Roman"/>
          <w:b w:val="0"/>
          <w:color w:val="auto"/>
          <w:sz w:val="24"/>
        </w:rPr>
      </w:pPr>
      <w:r>
        <w:rPr>
          <w:rFonts w:ascii="Times New Roman" w:hAnsi="Times New Roman"/>
          <w:b w:val="0"/>
          <w:color w:val="auto"/>
          <w:sz w:val="24"/>
        </w:rPr>
        <w:t>电缆排管敷设完成后，需在每个工作井与地面平齐设置标示，宜在两个工作井之间设置1～2处走向标识。</w:t>
      </w:r>
    </w:p>
    <w:p>
      <w:pPr>
        <w:numPr>
          <w:ilvl w:val="0"/>
          <w:numId w:val="40"/>
        </w:numPr>
        <w:spacing w:line="300" w:lineRule="auto"/>
        <w:ind w:firstLineChars="200"/>
        <w:rPr>
          <w:rFonts w:ascii="Times New Roman" w:hAnsi="Times New Roman"/>
          <w:b w:val="0"/>
          <w:color w:val="auto"/>
          <w:sz w:val="24"/>
        </w:rPr>
      </w:pPr>
      <w:r>
        <w:rPr>
          <w:rFonts w:ascii="Times New Roman" w:hAnsi="Times New Roman"/>
          <w:b w:val="0"/>
          <w:color w:val="auto"/>
          <w:sz w:val="24"/>
        </w:rPr>
        <w:t>电力井应在路基填筑完成后反开挖进行施工，排管基坑采用自然放坡进行施工，边坡坡率为1:0.75，部分条件受限位置可采用1:0.25。</w:t>
      </w:r>
    </w:p>
    <w:p>
      <w:pPr>
        <w:numPr>
          <w:ilvl w:val="0"/>
          <w:numId w:val="40"/>
        </w:numPr>
        <w:spacing w:line="300" w:lineRule="auto"/>
        <w:ind w:firstLineChars="200"/>
        <w:rPr>
          <w:rFonts w:ascii="Times New Roman" w:hAnsi="Times New Roman"/>
          <w:b w:val="0"/>
          <w:color w:val="auto"/>
          <w:sz w:val="24"/>
        </w:rPr>
      </w:pPr>
      <w:r>
        <w:rPr>
          <w:rFonts w:ascii="Times New Roman" w:hAnsi="Times New Roman"/>
          <w:b w:val="0"/>
          <w:color w:val="auto"/>
          <w:sz w:val="24"/>
        </w:rPr>
        <w:t>工作井回填材料采用中砂，回填时应分层夯实。</w:t>
      </w:r>
    </w:p>
    <w:p>
      <w:pPr>
        <w:numPr>
          <w:ilvl w:val="0"/>
          <w:numId w:val="40"/>
        </w:numPr>
        <w:spacing w:line="300" w:lineRule="auto"/>
        <w:ind w:firstLineChars="200"/>
        <w:rPr>
          <w:rFonts w:ascii="Times New Roman" w:hAnsi="Times New Roman"/>
          <w:b w:val="0"/>
          <w:color w:val="auto"/>
          <w:sz w:val="24"/>
        </w:rPr>
      </w:pPr>
      <w:r>
        <w:rPr>
          <w:rFonts w:ascii="Times New Roman" w:hAnsi="Times New Roman"/>
          <w:b w:val="0"/>
          <w:color w:val="auto"/>
          <w:sz w:val="24"/>
        </w:rPr>
        <w:t>工井盖顶面应与路面（车行道、人行道）标高一致，确保通行畅顺。</w:t>
      </w:r>
    </w:p>
    <w:p>
      <w:pPr>
        <w:numPr>
          <w:ilvl w:val="0"/>
          <w:numId w:val="40"/>
        </w:numPr>
        <w:spacing w:line="300" w:lineRule="auto"/>
        <w:ind w:firstLineChars="200"/>
        <w:rPr>
          <w:rFonts w:ascii="Times New Roman" w:hAnsi="Times New Roman"/>
          <w:b w:val="0"/>
          <w:color w:val="auto"/>
          <w:sz w:val="24"/>
        </w:rPr>
      </w:pPr>
      <w:r>
        <w:rPr>
          <w:rFonts w:ascii="Times New Roman" w:hAnsi="Times New Roman"/>
          <w:b w:val="0"/>
          <w:color w:val="auto"/>
          <w:sz w:val="24"/>
        </w:rPr>
        <w:t>工井盖盖面应明显标注：供电警示标志、权属单位、抢修电话、井盖承载等级、井盖编号等管理信息；电缆排管应标有供电警示标志。</w:t>
      </w:r>
    </w:p>
    <w:p>
      <w:pPr>
        <w:numPr>
          <w:ilvl w:val="0"/>
          <w:numId w:val="40"/>
        </w:numPr>
        <w:spacing w:line="300" w:lineRule="auto"/>
        <w:ind w:firstLineChars="200"/>
        <w:rPr>
          <w:rFonts w:ascii="Times New Roman" w:hAnsi="Times New Roman"/>
          <w:b w:val="0"/>
          <w:color w:val="auto"/>
          <w:sz w:val="24"/>
        </w:rPr>
      </w:pPr>
      <w:r>
        <w:rPr>
          <w:rFonts w:ascii="Times New Roman" w:hAnsi="Times New Roman"/>
          <w:b w:val="0"/>
          <w:color w:val="auto"/>
          <w:sz w:val="24"/>
        </w:rPr>
        <w:t>工井盖设计应具有防盗功能，位于车行道上设置的应具有防跳响功能。</w:t>
      </w:r>
    </w:p>
    <w:p>
      <w:pPr>
        <w:pStyle w:val="4"/>
        <w:ind w:firstLine="482" w:firstLineChars="200"/>
      </w:pPr>
      <w:bookmarkStart w:id="291" w:name="_Toc11420"/>
      <w:r>
        <w:t>防火设计及要求</w:t>
      </w:r>
      <w:bookmarkEnd w:id="291"/>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电缆排管在工作井内的管口施工完毕后必须用管盖进行防火封堵，封堵标准需按供电部门要求进行。电缆支架的材料采用复合材料支架，质量要求：表面光滑，无尖角和毛刺；禁止采用易燃材料制作，符合工程防火要求。</w:t>
      </w:r>
    </w:p>
    <w:p>
      <w:pPr>
        <w:pStyle w:val="4"/>
        <w:ind w:firstLine="482" w:firstLineChars="200"/>
      </w:pPr>
      <w:bookmarkStart w:id="292" w:name="_Toc1991"/>
      <w:r>
        <w:rPr>
          <w:rFonts w:hint="eastAsia"/>
        </w:rPr>
        <w:t>110kV电缆沟设计</w:t>
      </w:r>
      <w:bookmarkEnd w:id="292"/>
    </w:p>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1、电缆沟主体结构及顶面盖板采用C30钢筋砼。</w:t>
      </w:r>
    </w:p>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2、电缆支架的层间垂直距离，最小净距必参照《电力工程电缆设计标准》（GB 50217-2018）、《城市电力电缆线路设计技术规定》，并且满足下表规定：</w:t>
      </w:r>
    </w:p>
    <w:p>
      <w:pPr>
        <w:pStyle w:val="420"/>
      </w:pPr>
      <w:r>
        <w:rPr>
          <w:rFonts w:hint="eastAsia" w:ascii="黑体" w:hAnsi="黑体" w:eastAsia="黑体" w:cs="黑体"/>
          <w:b w:val="0"/>
          <w:sz w:val="24"/>
          <w:szCs w:val="24"/>
        </w:rPr>
        <w:t>电缆支架的层间允许最小净距(mm)</w:t>
      </w:r>
    </w:p>
    <w:tbl>
      <w:tblPr>
        <w:tblStyle w:val="32"/>
        <w:tblW w:w="81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6"/>
        <w:gridCol w:w="4029"/>
        <w:gridCol w:w="24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5725" w:type="dxa"/>
            <w:gridSpan w:val="2"/>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电缆类型及敷设特征</w:t>
            </w:r>
          </w:p>
        </w:tc>
        <w:tc>
          <w:tcPr>
            <w:tcW w:w="2433" w:type="dxa"/>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支架层间最小净距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5725" w:type="dxa"/>
            <w:gridSpan w:val="2"/>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控制电缆</w:t>
            </w:r>
          </w:p>
        </w:tc>
        <w:tc>
          <w:tcPr>
            <w:tcW w:w="2433" w:type="dxa"/>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1</w:t>
            </w:r>
            <w:r>
              <w:rPr>
                <w:rFonts w:ascii="Times New Roman" w:hAnsi="Times New Roman"/>
                <w:b w:val="0"/>
                <w:color w:val="auto"/>
                <w:sz w:val="24"/>
                <w:szCs w:val="24"/>
                <w:lang w:val="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1696" w:type="dxa"/>
            <w:vMerge w:val="restart"/>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电 力</w:t>
            </w:r>
          </w:p>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电 缆</w:t>
            </w:r>
          </w:p>
        </w:tc>
        <w:tc>
          <w:tcPr>
            <w:tcW w:w="4029" w:type="dxa"/>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电力电缆每层多一根</w:t>
            </w:r>
          </w:p>
        </w:tc>
        <w:tc>
          <w:tcPr>
            <w:tcW w:w="2433" w:type="dxa"/>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2d+50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696" w:type="dxa"/>
            <w:vMerge w:val="continue"/>
            <w:vAlign w:val="center"/>
          </w:tcPr>
          <w:p>
            <w:pPr>
              <w:spacing w:line="300" w:lineRule="auto"/>
              <w:ind w:firstLine="480" w:firstLineChars="200"/>
              <w:rPr>
                <w:rFonts w:ascii="Times New Roman" w:hAnsi="Times New Roman"/>
                <w:b w:val="0"/>
                <w:color w:val="auto"/>
                <w:sz w:val="24"/>
                <w:szCs w:val="24"/>
                <w:lang w:val="zh-CN"/>
              </w:rPr>
            </w:pPr>
          </w:p>
        </w:tc>
        <w:tc>
          <w:tcPr>
            <w:tcW w:w="4029" w:type="dxa"/>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电力电缆每层一根</w:t>
            </w:r>
          </w:p>
        </w:tc>
        <w:tc>
          <w:tcPr>
            <w:tcW w:w="2433" w:type="dxa"/>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d+50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696" w:type="dxa"/>
            <w:vMerge w:val="continue"/>
            <w:vAlign w:val="center"/>
          </w:tcPr>
          <w:p>
            <w:pPr>
              <w:spacing w:line="300" w:lineRule="auto"/>
              <w:ind w:firstLine="480" w:firstLineChars="200"/>
              <w:rPr>
                <w:rFonts w:ascii="Times New Roman" w:hAnsi="Times New Roman"/>
                <w:b w:val="0"/>
                <w:color w:val="auto"/>
                <w:sz w:val="24"/>
                <w:szCs w:val="24"/>
                <w:lang w:val="zh-CN"/>
              </w:rPr>
            </w:pPr>
          </w:p>
        </w:tc>
        <w:tc>
          <w:tcPr>
            <w:tcW w:w="4029" w:type="dxa"/>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电力电缆三根品字型布置</w:t>
            </w:r>
          </w:p>
        </w:tc>
        <w:tc>
          <w:tcPr>
            <w:tcW w:w="2433" w:type="dxa"/>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2</w:t>
            </w:r>
            <w:r>
              <w:rPr>
                <w:rFonts w:ascii="Times New Roman" w:hAnsi="Times New Roman"/>
                <w:b w:val="0"/>
                <w:color w:val="auto"/>
                <w:sz w:val="24"/>
                <w:szCs w:val="24"/>
                <w:lang w:val="zh-CN"/>
              </w:rPr>
              <w:t>d+50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8158" w:type="dxa"/>
            <w:gridSpan w:val="3"/>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注</w:t>
            </w:r>
            <w:r>
              <w:rPr>
                <w:rFonts w:ascii="Times New Roman" w:hAnsi="Times New Roman"/>
                <w:b w:val="0"/>
                <w:color w:val="auto"/>
                <w:sz w:val="24"/>
                <w:szCs w:val="24"/>
                <w:lang w:val="zh-CN"/>
              </w:rPr>
              <w:t>:d</w:t>
            </w:r>
            <w:r>
              <w:rPr>
                <w:rFonts w:hint="eastAsia" w:ascii="Times New Roman" w:hAnsi="Times New Roman"/>
                <w:b w:val="0"/>
                <w:color w:val="auto"/>
                <w:sz w:val="24"/>
                <w:szCs w:val="24"/>
                <w:lang w:val="zh-CN"/>
              </w:rPr>
              <w:t>表示电缆最大外径。</w:t>
            </w:r>
          </w:p>
        </w:tc>
      </w:tr>
    </w:tbl>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rPr>
        <w:t>3、</w:t>
      </w:r>
      <w:r>
        <w:rPr>
          <w:rFonts w:hint="eastAsia" w:ascii="Times New Roman" w:hAnsi="Times New Roman"/>
          <w:b w:val="0"/>
          <w:color w:val="auto"/>
          <w:sz w:val="24"/>
          <w:szCs w:val="24"/>
          <w:lang w:val="zh-CN"/>
        </w:rPr>
        <w:t>电缆沟内安装的电缆支架离底板和顶板的最小净距宜满足：最下层垂直净距在50mm～100mm之间，最上层垂直净距在150mm～200mm之间。</w:t>
      </w:r>
    </w:p>
    <w:p>
      <w:pPr>
        <w:spacing w:line="300" w:lineRule="auto"/>
        <w:ind w:firstLine="480" w:firstLineChars="200"/>
        <w:rPr>
          <w:rFonts w:ascii="Times New Roman" w:hAnsi="Times New Roman"/>
          <w:b w:val="0"/>
          <w:color w:val="auto"/>
          <w:sz w:val="24"/>
        </w:rPr>
      </w:pPr>
      <w:r>
        <w:rPr>
          <w:rFonts w:hint="eastAsia" w:ascii="Times New Roman" w:hAnsi="Times New Roman"/>
          <w:b w:val="0"/>
          <w:color w:val="auto"/>
          <w:sz w:val="24"/>
          <w:szCs w:val="24"/>
        </w:rPr>
        <w:t>4、</w:t>
      </w:r>
      <w:r>
        <w:rPr>
          <w:rFonts w:hint="eastAsia" w:ascii="Times New Roman" w:hAnsi="Times New Roman"/>
          <w:b w:val="0"/>
          <w:color w:val="auto"/>
          <w:sz w:val="24"/>
          <w:szCs w:val="24"/>
          <w:lang w:val="zh-CN"/>
        </w:rPr>
        <w:t>直接支持电缆的普通支架(臂式支架)、吊架的允许跨距宜符合表中的规定。</w:t>
      </w:r>
    </w:p>
    <w:p>
      <w:pPr>
        <w:pStyle w:val="420"/>
        <w:rPr>
          <w:rFonts w:ascii="黑体" w:hAnsi="黑体" w:eastAsia="黑体" w:cs="黑体"/>
          <w:b w:val="0"/>
          <w:sz w:val="24"/>
          <w:szCs w:val="24"/>
        </w:rPr>
      </w:pPr>
      <w:r>
        <w:rPr>
          <w:rFonts w:hint="eastAsia" w:ascii="黑体" w:hAnsi="黑体" w:eastAsia="黑体" w:cs="黑体"/>
          <w:b w:val="0"/>
          <w:sz w:val="24"/>
          <w:szCs w:val="24"/>
        </w:rPr>
        <w:t>普通支架(臂式支架)、吊架的允许跨距（mm）</w:t>
      </w:r>
    </w:p>
    <w:p>
      <w:pPr>
        <w:jc w:val="left"/>
      </w:pPr>
      <w:r>
        <w:drawing>
          <wp:inline distT="0" distB="0" distL="114300" distR="114300">
            <wp:extent cx="5564505" cy="1706880"/>
            <wp:effectExtent l="0" t="0" r="17145" b="7620"/>
            <wp:docPr id="7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5"/>
                    <pic:cNvPicPr>
                      <a:picLocks noChangeAspect="1"/>
                    </pic:cNvPicPr>
                  </pic:nvPicPr>
                  <pic:blipFill>
                    <a:blip r:embed="rId257"/>
                    <a:srcRect l="6085" t="4202" r="2443" b="11508"/>
                    <a:stretch>
                      <a:fillRect/>
                    </a:stretch>
                  </pic:blipFill>
                  <pic:spPr>
                    <a:xfrm>
                      <a:off x="0" y="0"/>
                      <a:ext cx="5564505" cy="1706880"/>
                    </a:xfrm>
                    <a:prstGeom prst="rect">
                      <a:avLst/>
                    </a:prstGeom>
                    <a:noFill/>
                    <a:ln>
                      <a:noFill/>
                    </a:ln>
                  </pic:spPr>
                </pic:pic>
              </a:graphicData>
            </a:graphic>
          </wp:inline>
        </w:drawing>
      </w:r>
    </w:p>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注:*能维持电缆较平直时，该值可增加1倍。</w:t>
      </w:r>
    </w:p>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rPr>
        <w:t>5、</w:t>
      </w:r>
      <w:r>
        <w:rPr>
          <w:rFonts w:hint="eastAsia" w:ascii="Times New Roman" w:hAnsi="Times New Roman"/>
          <w:b w:val="0"/>
          <w:color w:val="auto"/>
          <w:sz w:val="24"/>
          <w:szCs w:val="24"/>
          <w:lang w:val="zh-CN"/>
        </w:rPr>
        <w:t>电缆沟中间通道的净宽应参照《电力工程电缆设计标准》（GB 50217-2018）、《城市电力电缆线路设计技术规定》，并且满足下表规定：</w:t>
      </w:r>
    </w:p>
    <w:p>
      <w:pPr>
        <w:pStyle w:val="420"/>
        <w:rPr>
          <w:rFonts w:ascii="黑体" w:hAnsi="黑体" w:eastAsia="黑体" w:cs="黑体"/>
          <w:b w:val="0"/>
          <w:sz w:val="24"/>
          <w:szCs w:val="24"/>
        </w:rPr>
      </w:pPr>
      <w:r>
        <w:rPr>
          <w:rFonts w:hint="eastAsia" w:ascii="黑体" w:hAnsi="黑体" w:eastAsia="黑体" w:cs="黑体"/>
          <w:b w:val="0"/>
          <w:sz w:val="24"/>
          <w:szCs w:val="24"/>
        </w:rPr>
        <w:t>电沟内通道净宽允许最小值(mm)</w:t>
      </w:r>
    </w:p>
    <w:p>
      <w:pPr>
        <w:pStyle w:val="210"/>
      </w:pPr>
      <w:r>
        <w:drawing>
          <wp:inline distT="0" distB="0" distL="114300" distR="114300">
            <wp:extent cx="5132070" cy="1270000"/>
            <wp:effectExtent l="0" t="0" r="11430" b="6350"/>
            <wp:docPr id="86" name="图片 26" descr="C:\Documents and Settings\Administrator\桌面\页面提取自－ 电力管沟设计指引正式稿（正文）_页面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6" descr="C:\Documents and Settings\Administrator\桌面\页面提取自－ 电力管沟设计指引正式稿（正文）_页面_5.jpg"/>
                    <pic:cNvPicPr>
                      <a:picLocks noChangeAspect="1"/>
                    </pic:cNvPicPr>
                  </pic:nvPicPr>
                  <pic:blipFill>
                    <a:blip r:embed="rId258"/>
                    <a:srcRect l="18771" t="8440" r="18542" b="79472"/>
                    <a:stretch>
                      <a:fillRect/>
                    </a:stretch>
                  </pic:blipFill>
                  <pic:spPr>
                    <a:xfrm>
                      <a:off x="0" y="0"/>
                      <a:ext cx="5132070" cy="1270000"/>
                    </a:xfrm>
                    <a:prstGeom prst="rect">
                      <a:avLst/>
                    </a:prstGeom>
                    <a:noFill/>
                    <a:ln>
                      <a:noFill/>
                    </a:ln>
                  </pic:spPr>
                </pic:pic>
              </a:graphicData>
            </a:graphic>
          </wp:inline>
        </w:drawing>
      </w:r>
    </w:p>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6、电缆沟的转弯半径应参照《电力工程电缆设计标准》（GB 50217-2018）、《城市电力电缆线路设计技术规定》，并且满足下表规定，在穿越路口处应根据转向设置工井。</w:t>
      </w:r>
    </w:p>
    <w:p>
      <w:pPr>
        <w:pStyle w:val="420"/>
        <w:rPr>
          <w:rFonts w:ascii="黑体" w:hAnsi="黑体" w:eastAsia="黑体" w:cs="黑体"/>
          <w:b w:val="0"/>
          <w:sz w:val="24"/>
          <w:szCs w:val="24"/>
        </w:rPr>
      </w:pPr>
      <w:r>
        <w:rPr>
          <w:rFonts w:hint="eastAsia" w:ascii="黑体" w:hAnsi="黑体" w:eastAsia="黑体" w:cs="黑体"/>
          <w:b w:val="0"/>
          <w:sz w:val="24"/>
          <w:szCs w:val="24"/>
        </w:rPr>
        <w:t>电缆敷设允许最小弯曲半径</w:t>
      </w:r>
    </w:p>
    <w:tbl>
      <w:tblPr>
        <w:tblStyle w:val="32"/>
        <w:tblW w:w="102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69"/>
        <w:gridCol w:w="1404"/>
        <w:gridCol w:w="1478"/>
        <w:gridCol w:w="2184"/>
        <w:gridCol w:w="2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jc w:val="center"/>
        </w:trPr>
        <w:tc>
          <w:tcPr>
            <w:tcW w:w="5851" w:type="dxa"/>
            <w:gridSpan w:val="3"/>
            <w:vMerge w:val="restart"/>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电缆类型</w:t>
            </w:r>
          </w:p>
        </w:tc>
        <w:tc>
          <w:tcPr>
            <w:tcW w:w="4370" w:type="dxa"/>
            <w:gridSpan w:val="2"/>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支架层间最小净距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 w:hRule="atLeast"/>
          <w:jc w:val="center"/>
        </w:trPr>
        <w:tc>
          <w:tcPr>
            <w:tcW w:w="5851" w:type="dxa"/>
            <w:gridSpan w:val="3"/>
            <w:vMerge w:val="continue"/>
            <w:vAlign w:val="center"/>
          </w:tcPr>
          <w:p>
            <w:pPr>
              <w:spacing w:line="300" w:lineRule="auto"/>
              <w:ind w:firstLine="480" w:firstLineChars="200"/>
              <w:rPr>
                <w:rFonts w:ascii="Times New Roman" w:hAnsi="Times New Roman"/>
                <w:b w:val="0"/>
                <w:color w:val="auto"/>
                <w:sz w:val="24"/>
                <w:szCs w:val="24"/>
                <w:lang w:val="zh-CN"/>
              </w:rPr>
            </w:pPr>
          </w:p>
        </w:tc>
        <w:tc>
          <w:tcPr>
            <w:tcW w:w="2184" w:type="dxa"/>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单芯</w:t>
            </w:r>
          </w:p>
        </w:tc>
        <w:tc>
          <w:tcPr>
            <w:tcW w:w="2186" w:type="dxa"/>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3芯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 w:hRule="atLeast"/>
          <w:jc w:val="center"/>
        </w:trPr>
        <w:tc>
          <w:tcPr>
            <w:tcW w:w="2969" w:type="dxa"/>
            <w:vMerge w:val="restart"/>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交联聚乙烯绝缘电缆</w:t>
            </w:r>
          </w:p>
        </w:tc>
        <w:tc>
          <w:tcPr>
            <w:tcW w:w="2881" w:type="dxa"/>
            <w:gridSpan w:val="2"/>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≥6</w:t>
            </w:r>
            <w:r>
              <w:rPr>
                <w:rFonts w:ascii="Times New Roman" w:hAnsi="Times New Roman"/>
                <w:b w:val="0"/>
                <w:color w:val="auto"/>
                <w:sz w:val="24"/>
                <w:szCs w:val="24"/>
                <w:lang w:val="zh-CN"/>
              </w:rPr>
              <w:t>60</w:t>
            </w:r>
            <w:r>
              <w:rPr>
                <w:rFonts w:hint="eastAsia" w:ascii="Times New Roman" w:hAnsi="Times New Roman"/>
                <w:b w:val="0"/>
                <w:color w:val="auto"/>
                <w:sz w:val="24"/>
                <w:szCs w:val="24"/>
                <w:lang w:val="zh-CN"/>
              </w:rPr>
              <w:t>KV</w:t>
            </w:r>
          </w:p>
        </w:tc>
        <w:tc>
          <w:tcPr>
            <w:tcW w:w="2184" w:type="dxa"/>
            <w:vAlign w:val="center"/>
          </w:tcPr>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20</w:t>
            </w:r>
            <w:r>
              <w:rPr>
                <w:rFonts w:hint="eastAsia" w:ascii="Times New Roman" w:hAnsi="Times New Roman"/>
                <w:b w:val="0"/>
                <w:color w:val="auto"/>
                <w:sz w:val="24"/>
                <w:szCs w:val="24"/>
                <w:lang w:val="zh-CN"/>
              </w:rPr>
              <w:t>D</w:t>
            </w:r>
          </w:p>
        </w:tc>
        <w:tc>
          <w:tcPr>
            <w:tcW w:w="2186" w:type="dxa"/>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1</w:t>
            </w:r>
            <w:r>
              <w:rPr>
                <w:rFonts w:ascii="Times New Roman" w:hAnsi="Times New Roman"/>
                <w:b w:val="0"/>
                <w:color w:val="auto"/>
                <w:sz w:val="24"/>
                <w:szCs w:val="24"/>
                <w:lang w:val="zh-CN"/>
              </w:rPr>
              <w:t>5D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 w:hRule="atLeast"/>
          <w:jc w:val="center"/>
        </w:trPr>
        <w:tc>
          <w:tcPr>
            <w:tcW w:w="2969" w:type="dxa"/>
            <w:vMerge w:val="continue"/>
            <w:vAlign w:val="center"/>
          </w:tcPr>
          <w:p>
            <w:pPr>
              <w:spacing w:line="300" w:lineRule="auto"/>
              <w:ind w:firstLine="480" w:firstLineChars="200"/>
              <w:rPr>
                <w:rFonts w:ascii="Times New Roman" w:hAnsi="Times New Roman"/>
                <w:b w:val="0"/>
                <w:color w:val="auto"/>
                <w:sz w:val="24"/>
                <w:szCs w:val="24"/>
                <w:lang w:val="zh-CN"/>
              </w:rPr>
            </w:pPr>
          </w:p>
        </w:tc>
        <w:tc>
          <w:tcPr>
            <w:tcW w:w="2881" w:type="dxa"/>
            <w:gridSpan w:val="2"/>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≤3</w:t>
            </w:r>
            <w:r>
              <w:rPr>
                <w:rFonts w:ascii="Times New Roman" w:hAnsi="Times New Roman"/>
                <w:b w:val="0"/>
                <w:color w:val="auto"/>
                <w:sz w:val="24"/>
                <w:szCs w:val="24"/>
                <w:lang w:val="zh-CN"/>
              </w:rPr>
              <w:t>5</w:t>
            </w:r>
            <w:r>
              <w:rPr>
                <w:rFonts w:hint="eastAsia" w:ascii="Times New Roman" w:hAnsi="Times New Roman"/>
                <w:b w:val="0"/>
                <w:color w:val="auto"/>
                <w:sz w:val="24"/>
                <w:szCs w:val="24"/>
                <w:lang w:val="zh-CN"/>
              </w:rPr>
              <w:t xml:space="preserve"> KV</w:t>
            </w:r>
          </w:p>
        </w:tc>
        <w:tc>
          <w:tcPr>
            <w:tcW w:w="2184" w:type="dxa"/>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1</w:t>
            </w:r>
            <w:r>
              <w:rPr>
                <w:rFonts w:ascii="Times New Roman" w:hAnsi="Times New Roman"/>
                <w:b w:val="0"/>
                <w:color w:val="auto"/>
                <w:sz w:val="24"/>
                <w:szCs w:val="24"/>
                <w:lang w:val="zh-CN"/>
              </w:rPr>
              <w:t>2D</w:t>
            </w:r>
          </w:p>
        </w:tc>
        <w:tc>
          <w:tcPr>
            <w:tcW w:w="2186" w:type="dxa"/>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1</w:t>
            </w:r>
            <w:r>
              <w:rPr>
                <w:rFonts w:ascii="Times New Roman" w:hAnsi="Times New Roman"/>
                <w:b w:val="0"/>
                <w:color w:val="auto"/>
                <w:sz w:val="24"/>
                <w:szCs w:val="24"/>
                <w:lang w:val="zh-CN"/>
              </w:rPr>
              <w:t>0D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jc w:val="center"/>
        </w:trPr>
        <w:tc>
          <w:tcPr>
            <w:tcW w:w="2969" w:type="dxa"/>
            <w:vMerge w:val="restart"/>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油浸纸绝缘电缆</w:t>
            </w:r>
          </w:p>
        </w:tc>
        <w:tc>
          <w:tcPr>
            <w:tcW w:w="2881" w:type="dxa"/>
            <w:gridSpan w:val="2"/>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铝包</w:t>
            </w:r>
          </w:p>
        </w:tc>
        <w:tc>
          <w:tcPr>
            <w:tcW w:w="4370" w:type="dxa"/>
            <w:gridSpan w:val="2"/>
            <w:vAlign w:val="center"/>
          </w:tcPr>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30D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 w:hRule="atLeast"/>
          <w:jc w:val="center"/>
        </w:trPr>
        <w:tc>
          <w:tcPr>
            <w:tcW w:w="2969" w:type="dxa"/>
            <w:vMerge w:val="continue"/>
            <w:vAlign w:val="center"/>
          </w:tcPr>
          <w:p>
            <w:pPr>
              <w:spacing w:line="300" w:lineRule="auto"/>
              <w:ind w:firstLine="480" w:firstLineChars="200"/>
              <w:rPr>
                <w:rFonts w:ascii="Times New Roman" w:hAnsi="Times New Roman"/>
                <w:b w:val="0"/>
                <w:color w:val="auto"/>
                <w:sz w:val="24"/>
                <w:szCs w:val="24"/>
                <w:lang w:val="zh-CN"/>
              </w:rPr>
            </w:pPr>
          </w:p>
        </w:tc>
        <w:tc>
          <w:tcPr>
            <w:tcW w:w="1404" w:type="dxa"/>
            <w:vMerge w:val="restart"/>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铅包</w:t>
            </w:r>
          </w:p>
        </w:tc>
        <w:tc>
          <w:tcPr>
            <w:tcW w:w="1477" w:type="dxa"/>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有铠装</w:t>
            </w:r>
          </w:p>
        </w:tc>
        <w:tc>
          <w:tcPr>
            <w:tcW w:w="2184" w:type="dxa"/>
            <w:vAlign w:val="center"/>
          </w:tcPr>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20D</w:t>
            </w:r>
          </w:p>
        </w:tc>
        <w:tc>
          <w:tcPr>
            <w:tcW w:w="2186" w:type="dxa"/>
            <w:vAlign w:val="center"/>
          </w:tcPr>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15D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 w:hRule="atLeast"/>
          <w:jc w:val="center"/>
        </w:trPr>
        <w:tc>
          <w:tcPr>
            <w:tcW w:w="2969" w:type="dxa"/>
            <w:vMerge w:val="continue"/>
            <w:vAlign w:val="center"/>
          </w:tcPr>
          <w:p>
            <w:pPr>
              <w:spacing w:line="300" w:lineRule="auto"/>
              <w:ind w:firstLine="480" w:firstLineChars="200"/>
              <w:rPr>
                <w:rFonts w:ascii="Times New Roman" w:hAnsi="Times New Roman"/>
                <w:b w:val="0"/>
                <w:color w:val="auto"/>
                <w:sz w:val="24"/>
                <w:szCs w:val="24"/>
                <w:lang w:val="zh-CN"/>
              </w:rPr>
            </w:pPr>
          </w:p>
        </w:tc>
        <w:tc>
          <w:tcPr>
            <w:tcW w:w="1404" w:type="dxa"/>
            <w:vMerge w:val="continue"/>
            <w:vAlign w:val="center"/>
          </w:tcPr>
          <w:p>
            <w:pPr>
              <w:spacing w:line="300" w:lineRule="auto"/>
              <w:ind w:firstLine="480" w:firstLineChars="200"/>
              <w:rPr>
                <w:rFonts w:ascii="Times New Roman" w:hAnsi="Times New Roman"/>
                <w:b w:val="0"/>
                <w:color w:val="auto"/>
                <w:sz w:val="24"/>
                <w:szCs w:val="24"/>
                <w:lang w:val="zh-CN"/>
              </w:rPr>
            </w:pPr>
          </w:p>
        </w:tc>
        <w:tc>
          <w:tcPr>
            <w:tcW w:w="1477" w:type="dxa"/>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无铠装</w:t>
            </w:r>
          </w:p>
        </w:tc>
        <w:tc>
          <w:tcPr>
            <w:tcW w:w="4370" w:type="dxa"/>
            <w:gridSpan w:val="2"/>
            <w:vAlign w:val="center"/>
          </w:tcPr>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20D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 w:hRule="atLeast"/>
          <w:jc w:val="center"/>
        </w:trPr>
        <w:tc>
          <w:tcPr>
            <w:tcW w:w="10221" w:type="dxa"/>
            <w:gridSpan w:val="5"/>
            <w:vAlign w:val="center"/>
          </w:tcPr>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注1</w:t>
            </w:r>
            <w:r>
              <w:rPr>
                <w:rFonts w:ascii="Times New Roman" w:hAnsi="Times New Roman"/>
                <w:b w:val="0"/>
                <w:color w:val="auto"/>
                <w:sz w:val="24"/>
                <w:szCs w:val="24"/>
                <w:lang w:val="zh-CN"/>
              </w:rPr>
              <w:t>:</w:t>
            </w:r>
            <w:r>
              <w:rPr>
                <w:rFonts w:hint="eastAsia" w:ascii="Times New Roman" w:hAnsi="Times New Roman"/>
                <w:b w:val="0"/>
                <w:color w:val="auto"/>
                <w:sz w:val="24"/>
                <w:szCs w:val="24"/>
                <w:lang w:val="zh-CN"/>
              </w:rPr>
              <w:t>D表示电缆外径。</w:t>
            </w:r>
          </w:p>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 xml:space="preserve"> </w:t>
            </w:r>
            <w:r>
              <w:rPr>
                <w:rFonts w:ascii="Times New Roman" w:hAnsi="Times New Roman"/>
                <w:b w:val="0"/>
                <w:color w:val="auto"/>
                <w:sz w:val="24"/>
                <w:szCs w:val="24"/>
                <w:lang w:val="zh-CN"/>
              </w:rPr>
              <w:t xml:space="preserve">  2</w:t>
            </w:r>
            <w:r>
              <w:rPr>
                <w:rFonts w:hint="eastAsia" w:ascii="Times New Roman" w:hAnsi="Times New Roman"/>
                <w:b w:val="0"/>
                <w:color w:val="auto"/>
                <w:sz w:val="24"/>
                <w:szCs w:val="24"/>
                <w:lang w:val="zh-CN"/>
              </w:rPr>
              <w:t>:非本表范围电缆的最小转弯半径宜按厂家建议值。</w:t>
            </w:r>
          </w:p>
        </w:tc>
      </w:tr>
    </w:tbl>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7、电缆沟每隔30m设置一处沉降缝。</w:t>
      </w:r>
    </w:p>
    <w:p>
      <w:pPr>
        <w:pStyle w:val="3"/>
        <w:ind w:firstLine="562" w:firstLineChars="200"/>
      </w:pPr>
      <w:bookmarkStart w:id="293" w:name="_Toc98235996"/>
      <w:bookmarkStart w:id="294" w:name="_Toc14721"/>
      <w:bookmarkStart w:id="295" w:name="_Toc98236005"/>
      <w:r>
        <w:t>绿化工程概况</w:t>
      </w:r>
      <w:bookmarkEnd w:id="293"/>
      <w:bookmarkEnd w:id="294"/>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设计范围为道路中央绿化带、侧绿化带及树池绿化。</w:t>
      </w:r>
    </w:p>
    <w:p>
      <w:pPr>
        <w:pStyle w:val="4"/>
        <w:ind w:firstLine="482" w:firstLineChars="200"/>
      </w:pPr>
      <w:bookmarkStart w:id="296" w:name="_Toc98235997"/>
      <w:bookmarkStart w:id="297" w:name="_Toc23119"/>
      <w:r>
        <w:t>道路绿化方案设计</w:t>
      </w:r>
      <w:bookmarkEnd w:id="296"/>
      <w:bookmarkEnd w:id="297"/>
    </w:p>
    <w:p>
      <w:pPr>
        <w:pStyle w:val="5"/>
        <w:ind w:firstLine="482" w:firstLineChars="200"/>
        <w:rPr>
          <w:rFonts w:ascii="Times New Roman" w:hAnsi="Times New Roman"/>
          <w:color w:val="auto"/>
        </w:rPr>
      </w:pPr>
      <w:bookmarkStart w:id="298" w:name="_Toc98235998"/>
      <w:r>
        <w:rPr>
          <w:rFonts w:ascii="Times New Roman" w:hAnsi="Times New Roman"/>
          <w:color w:val="auto"/>
        </w:rPr>
        <w:t>绿化设计原则</w:t>
      </w:r>
      <w:bookmarkEnd w:id="298"/>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（1）生态优先</w:t>
      </w:r>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以乡土树种为道路绿化基调树种，以观花、观叶植物为骨干树种，点缀适用项目所在地的观赏价值较高的外来树种，形成植物群落结构多样、乔+灌+草结合、平面布置合理，立面形式多变的植物景观，最大限度地实现植物的生态效益，确保做到生态优先。</w:t>
      </w:r>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（2）适地适树</w:t>
      </w:r>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适地适树，通俗地说，就是把树木栽在适合的环境条件下；是因地制宜的原则在选用树种的具体化。也就是使树木生态习性和园林栽植地生境条件相适应，达到树和地的统一；使其生长健壮，充分发挥其园林功能。</w:t>
      </w:r>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（3）节奏与韵律</w:t>
      </w:r>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节奏与韵律是一种渐进的关系，当节奏达到一定程度时，就形成一种韵律。节奏与韵律是道路绿化中的重中之重，是道路特点呈现的重要载体，通过同种植物、同种种植模式、同种造景手法、同种植物空间营造等的重复出现，形成整条道路的节奏与韵律，使其更具特点、观赏性、识别性。</w:t>
      </w:r>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w:t>
      </w:r>
      <w:r>
        <w:rPr>
          <w:rFonts w:hint="eastAsia" w:ascii="Times New Roman" w:hAnsi="Times New Roman"/>
          <w:b w:val="0"/>
          <w:color w:val="auto"/>
          <w:sz w:val="24"/>
          <w:szCs w:val="24"/>
        </w:rPr>
        <w:t>4</w:t>
      </w:r>
      <w:r>
        <w:rPr>
          <w:rFonts w:ascii="Times New Roman" w:hAnsi="Times New Roman"/>
          <w:b w:val="0"/>
          <w:color w:val="auto"/>
          <w:sz w:val="24"/>
          <w:szCs w:val="24"/>
          <w:lang w:val="zh-CN"/>
        </w:rPr>
        <w:t>）</w:t>
      </w:r>
      <w:r>
        <w:rPr>
          <w:rFonts w:hint="eastAsia" w:ascii="Times New Roman" w:hAnsi="Times New Roman"/>
          <w:b w:val="0"/>
          <w:color w:val="auto"/>
          <w:sz w:val="24"/>
          <w:szCs w:val="24"/>
        </w:rPr>
        <w:t>科学绿化</w:t>
      </w:r>
    </w:p>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 xml:space="preserve"> 根据《广州市关于科学绿化的实施意见》，科学选择绿化树种草种。坚持适地适树原则，建立科学的树种草种选择与评价标准，编制树种多样性发展专项规划，防止“乱种树”现象。积极采用</w:t>
      </w:r>
      <w:r>
        <w:rPr>
          <w:rFonts w:hint="eastAsia" w:ascii="Times New Roman" w:hAnsi="Times New Roman"/>
          <w:b w:val="0"/>
          <w:color w:val="auto"/>
          <w:sz w:val="24"/>
          <w:szCs w:val="24"/>
        </w:rPr>
        <w:t>仁面子、小叶榄仁、麻楝</w:t>
      </w:r>
      <w:r>
        <w:rPr>
          <w:rFonts w:hint="eastAsia" w:ascii="Times New Roman" w:hAnsi="Times New Roman"/>
          <w:b w:val="0"/>
          <w:color w:val="auto"/>
          <w:sz w:val="24"/>
          <w:szCs w:val="24"/>
          <w:lang w:val="zh-CN"/>
        </w:rPr>
        <w:t>等优良乡土树种为骨干树种和基调树种，以及乡土草种进行绿化，审慎使用外来树种草种。道路绿化应选用适应道路环境条件、生长稳定、吸尘降噪、生态景观功能好、安全易管护的树种，并注重乔灌草的合理搭配。加大乡土树种草种采种生产、种苗繁育基地建设力度，避免长距离调运绿化种苗。选择适度规格的苗木，除必须截干栽植的树种外，应使用全冠苗。</w:t>
      </w:r>
    </w:p>
    <w:p>
      <w:pPr>
        <w:spacing w:line="300" w:lineRule="auto"/>
        <w:ind w:firstLine="480" w:firstLineChars="200"/>
        <w:rPr>
          <w:rFonts w:ascii="Times New Roman" w:hAnsi="Times New Roman"/>
          <w:b w:val="0"/>
          <w:color w:val="auto"/>
          <w:sz w:val="24"/>
          <w:szCs w:val="24"/>
          <w:lang w:val="zh-CN"/>
        </w:rPr>
      </w:pPr>
      <w:r>
        <w:rPr>
          <w:rFonts w:hint="eastAsia" w:ascii="Times New Roman" w:hAnsi="Times New Roman"/>
          <w:b w:val="0"/>
          <w:color w:val="auto"/>
          <w:sz w:val="24"/>
          <w:szCs w:val="24"/>
          <w:lang w:val="zh-CN"/>
        </w:rPr>
        <w:t xml:space="preserve"> 本次项目绿化设计遵循《广州市关于科学绿化的实施意见》的规定，并依照</w:t>
      </w:r>
      <w:r>
        <w:rPr>
          <w:rFonts w:hint="eastAsia" w:ascii="Times New Roman" w:hAnsi="Times New Roman"/>
          <w:b w:val="0"/>
          <w:color w:val="auto"/>
          <w:sz w:val="24"/>
          <w:szCs w:val="24"/>
        </w:rPr>
        <w:t>安全性</w:t>
      </w:r>
      <w:r>
        <w:rPr>
          <w:rFonts w:hint="eastAsia" w:ascii="Times New Roman" w:hAnsi="Times New Roman"/>
          <w:b w:val="0"/>
          <w:color w:val="auto"/>
          <w:sz w:val="24"/>
          <w:szCs w:val="24"/>
          <w:lang w:val="zh-CN"/>
        </w:rPr>
        <w:t>、</w:t>
      </w:r>
      <w:r>
        <w:rPr>
          <w:rFonts w:hint="eastAsia" w:ascii="Times New Roman" w:hAnsi="Times New Roman"/>
          <w:b w:val="0"/>
          <w:color w:val="auto"/>
          <w:sz w:val="24"/>
          <w:szCs w:val="24"/>
        </w:rPr>
        <w:t>景观性</w:t>
      </w:r>
      <w:r>
        <w:rPr>
          <w:rFonts w:hint="eastAsia" w:ascii="Times New Roman" w:hAnsi="Times New Roman"/>
          <w:b w:val="0"/>
          <w:color w:val="auto"/>
          <w:sz w:val="24"/>
          <w:szCs w:val="24"/>
          <w:lang w:val="zh-CN"/>
        </w:rPr>
        <w:t>和</w:t>
      </w:r>
      <w:r>
        <w:rPr>
          <w:rFonts w:hint="eastAsia" w:ascii="Times New Roman" w:hAnsi="Times New Roman"/>
          <w:b w:val="0"/>
          <w:color w:val="auto"/>
          <w:sz w:val="24"/>
          <w:szCs w:val="24"/>
        </w:rPr>
        <w:t>经济性</w:t>
      </w:r>
      <w:r>
        <w:rPr>
          <w:rFonts w:hint="eastAsia" w:ascii="Times New Roman" w:hAnsi="Times New Roman"/>
          <w:b w:val="0"/>
          <w:color w:val="auto"/>
          <w:sz w:val="24"/>
          <w:szCs w:val="24"/>
          <w:lang w:val="zh-CN"/>
        </w:rPr>
        <w:t>为种植思路。以下分段展开分析。</w:t>
      </w:r>
    </w:p>
    <w:p>
      <w:pPr>
        <w:pStyle w:val="5"/>
        <w:ind w:firstLine="482" w:firstLineChars="200"/>
        <w:rPr>
          <w:rFonts w:ascii="Times New Roman" w:hAnsi="Times New Roman"/>
        </w:rPr>
      </w:pPr>
      <w:bookmarkStart w:id="299" w:name="_Toc98235999"/>
      <w:r>
        <w:rPr>
          <w:rFonts w:ascii="Times New Roman" w:hAnsi="Times New Roman"/>
        </w:rPr>
        <w:t>交通绿化工程设计标准</w:t>
      </w:r>
      <w:bookmarkEnd w:id="299"/>
    </w:p>
    <w:p>
      <w:pPr>
        <w:numPr>
          <w:ilvl w:val="0"/>
          <w:numId w:val="41"/>
        </w:numPr>
        <w:spacing w:line="360" w:lineRule="auto"/>
        <w:ind w:firstLine="480" w:firstLineChars="200"/>
        <w:rPr>
          <w:rFonts w:ascii="Times New Roman" w:hAnsi="Times New Roman"/>
          <w:b w:val="0"/>
          <w:bCs/>
          <w:color w:val="auto"/>
          <w:sz w:val="24"/>
          <w:szCs w:val="24"/>
        </w:rPr>
      </w:pPr>
      <w:bookmarkStart w:id="300" w:name="_Toc98236000"/>
      <w:r>
        <w:rPr>
          <w:rFonts w:ascii="Times New Roman" w:hAnsi="Times New Roman"/>
          <w:b w:val="0"/>
          <w:bCs/>
          <w:color w:val="auto"/>
          <w:sz w:val="24"/>
          <w:szCs w:val="24"/>
        </w:rPr>
        <w:t>《城市道路绿化规划与设计规范》CJJ75-97</w:t>
      </w:r>
    </w:p>
    <w:p>
      <w:pPr>
        <w:numPr>
          <w:ilvl w:val="0"/>
          <w:numId w:val="41"/>
        </w:numPr>
        <w:spacing w:line="36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《园林绿化工程施工及验收规范》CJJ82-2012</w:t>
      </w:r>
    </w:p>
    <w:p>
      <w:pPr>
        <w:numPr>
          <w:ilvl w:val="0"/>
          <w:numId w:val="41"/>
        </w:numPr>
        <w:spacing w:line="36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《园林绿化工程项目规范》GB 55014-2021</w:t>
      </w:r>
    </w:p>
    <w:p>
      <w:pPr>
        <w:numPr>
          <w:ilvl w:val="0"/>
          <w:numId w:val="41"/>
        </w:numPr>
        <w:spacing w:line="36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《城市绿地设计规范》GB 50420-2007（2016年版）</w:t>
      </w:r>
    </w:p>
    <w:p>
      <w:pPr>
        <w:numPr>
          <w:ilvl w:val="0"/>
          <w:numId w:val="41"/>
        </w:numPr>
        <w:spacing w:line="36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《风景园林制图标准》CJJ/T 67-2015</w:t>
      </w:r>
    </w:p>
    <w:p>
      <w:pPr>
        <w:numPr>
          <w:ilvl w:val="0"/>
          <w:numId w:val="41"/>
        </w:numPr>
        <w:spacing w:line="36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《绿化种植土壤》CJ/T340-2016</w:t>
      </w:r>
    </w:p>
    <w:p>
      <w:pPr>
        <w:numPr>
          <w:ilvl w:val="0"/>
          <w:numId w:val="41"/>
        </w:numPr>
        <w:spacing w:line="360" w:lineRule="auto"/>
        <w:ind w:firstLine="480" w:firstLineChars="200"/>
        <w:rPr>
          <w:rFonts w:ascii="Times New Roman" w:hAnsi="Times New Roman"/>
          <w:b w:val="0"/>
          <w:bCs/>
          <w:color w:val="auto"/>
          <w:sz w:val="24"/>
          <w:szCs w:val="24"/>
        </w:rPr>
      </w:pPr>
      <w:r>
        <w:rPr>
          <w:rFonts w:hint="eastAsia" w:ascii="Times New Roman" w:hAnsi="Times New Roman"/>
          <w:b w:val="0"/>
          <w:bCs/>
          <w:color w:val="auto"/>
          <w:sz w:val="24"/>
          <w:szCs w:val="24"/>
        </w:rPr>
        <w:t>《广东省人民政府办公厅关于科学绿化的实施意见》（粤府办[2021]48 号）</w:t>
      </w:r>
    </w:p>
    <w:p>
      <w:pPr>
        <w:numPr>
          <w:ilvl w:val="0"/>
          <w:numId w:val="41"/>
        </w:numPr>
        <w:spacing w:line="360" w:lineRule="auto"/>
        <w:ind w:firstLine="480" w:firstLineChars="200"/>
        <w:rPr>
          <w:rFonts w:ascii="Times New Roman" w:hAnsi="Times New Roman"/>
          <w:b w:val="0"/>
          <w:bCs/>
          <w:color w:val="auto"/>
          <w:sz w:val="24"/>
          <w:szCs w:val="24"/>
        </w:rPr>
      </w:pPr>
      <w:r>
        <w:rPr>
          <w:rFonts w:hint="eastAsia" w:ascii="Times New Roman" w:hAnsi="Times New Roman"/>
          <w:b w:val="0"/>
          <w:bCs/>
          <w:color w:val="auto"/>
          <w:sz w:val="24"/>
          <w:szCs w:val="24"/>
        </w:rPr>
        <w:t>《广州市关于科学绿化的实施意见》（穗办[2021]11 号）</w:t>
      </w:r>
    </w:p>
    <w:p>
      <w:pPr>
        <w:numPr>
          <w:ilvl w:val="0"/>
          <w:numId w:val="41"/>
        </w:numPr>
        <w:spacing w:line="36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其他相关的国家和地方相关规范和标准绿化设计的主题</w:t>
      </w:r>
    </w:p>
    <w:bookmarkEnd w:id="300"/>
    <w:p>
      <w:pPr>
        <w:pStyle w:val="5"/>
        <w:ind w:firstLine="482" w:firstLineChars="200"/>
        <w:rPr>
          <w:rFonts w:ascii="Times New Roman" w:hAnsi="Times New Roman"/>
        </w:rPr>
      </w:pPr>
      <w:r>
        <w:rPr>
          <w:rFonts w:ascii="Times New Roman" w:hAnsi="Times New Roman"/>
        </w:rPr>
        <w:t>行道树选择原则</w:t>
      </w:r>
    </w:p>
    <w:p>
      <w:pPr>
        <w:spacing w:line="300" w:lineRule="auto"/>
        <w:ind w:firstLine="480" w:firstLineChars="200"/>
        <w:rPr>
          <w:rFonts w:ascii="Times New Roman" w:hAnsi="Times New Roman"/>
          <w:b w:val="0"/>
          <w:color w:val="auto"/>
          <w:sz w:val="24"/>
          <w:szCs w:val="24"/>
          <w:lang w:val="zh-CN"/>
        </w:rPr>
      </w:pPr>
      <w:bookmarkStart w:id="301" w:name="_Toc405068572"/>
      <w:r>
        <w:rPr>
          <w:rFonts w:ascii="Times New Roman" w:hAnsi="Times New Roman"/>
          <w:b w:val="0"/>
          <w:color w:val="auto"/>
          <w:sz w:val="24"/>
          <w:szCs w:val="24"/>
          <w:lang w:val="zh-CN"/>
        </w:rPr>
        <w:t>行道树具有美化、丰富城市街景的作用，同时兼具遮荫防晒、减少噪音、滞留飞尘等重要功能。但由于树木生长立地条件相对较差，土壤成分复杂、土壤易受污染、透水透气性差；同时容易受到路面热辐射使近地气温增高、空气湿度相对低、汽车尾气中的污染物浓度高等不良因素影响。</w:t>
      </w:r>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因此，行道树树种选择要求相对严格。主要遵照以下原则：</w:t>
      </w:r>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1.树干挺拔、树形端正、形态优雅、分枝点较高、冠幅较大、枝叶繁茂、蔽荫度好。</w:t>
      </w:r>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2.对环境适应性、抗逆性强；易栽植、易萌生、易管理；抗污染，抗风、耐寒、耐旱、耐涝、耐辐射、病虫害少。</w:t>
      </w:r>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3.以常绿为主，适当搭配落叶树种；以乡土树种为主，适当配置外来的优良树种；慢生树种与速生树种相结合。</w:t>
      </w:r>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4.结合城市特色，适当突出南沙滨海风光。</w:t>
      </w:r>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5.道路绿地常可配植成复层混交的群落，应选择一批耐荫的小乔木及灌木。</w:t>
      </w:r>
    </w:p>
    <w:p>
      <w:pPr>
        <w:spacing w:line="300" w:lineRule="auto"/>
        <w:ind w:firstLine="480" w:firstLineChars="200"/>
        <w:rPr>
          <w:rFonts w:ascii="Times New Roman" w:hAnsi="Times New Roman"/>
          <w:b w:val="0"/>
          <w:color w:val="auto"/>
          <w:sz w:val="24"/>
          <w:szCs w:val="24"/>
          <w:lang w:val="zh-CN"/>
        </w:rPr>
      </w:pPr>
      <w:r>
        <w:rPr>
          <w:rFonts w:ascii="Times New Roman" w:hAnsi="Times New Roman"/>
          <w:b w:val="0"/>
          <w:color w:val="auto"/>
          <w:sz w:val="24"/>
          <w:szCs w:val="24"/>
          <w:lang w:val="zh-CN"/>
        </w:rPr>
        <w:t>根据《南沙区绿化应用树种分类指引》推荐树种有：</w:t>
      </w:r>
    </w:p>
    <w:p>
      <w:pPr>
        <w:spacing w:line="300" w:lineRule="auto"/>
        <w:rPr>
          <w:rFonts w:ascii="Times New Roman" w:hAnsi="Times New Roman"/>
          <w:b w:val="0"/>
          <w:color w:val="auto"/>
          <w:sz w:val="24"/>
          <w:szCs w:val="24"/>
          <w:lang w:val="zh-CN"/>
        </w:rPr>
      </w:pPr>
      <w:r>
        <w:rPr>
          <w:rFonts w:ascii="Times New Roman" w:hAnsi="Times New Roman"/>
        </w:rPr>
        <w:drawing>
          <wp:inline distT="0" distB="0" distL="114300" distR="114300">
            <wp:extent cx="6511925" cy="6327140"/>
            <wp:effectExtent l="0" t="0" r="3175" b="16510"/>
            <wp:docPr id="437"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图片 81"/>
                    <pic:cNvPicPr>
                      <a:picLocks noChangeAspect="1"/>
                    </pic:cNvPicPr>
                  </pic:nvPicPr>
                  <pic:blipFill>
                    <a:blip r:embed="rId259"/>
                    <a:stretch>
                      <a:fillRect/>
                    </a:stretch>
                  </pic:blipFill>
                  <pic:spPr>
                    <a:xfrm>
                      <a:off x="0" y="0"/>
                      <a:ext cx="6511925" cy="6327140"/>
                    </a:xfrm>
                    <a:prstGeom prst="rect">
                      <a:avLst/>
                    </a:prstGeom>
                    <a:noFill/>
                    <a:ln>
                      <a:noFill/>
                    </a:ln>
                  </pic:spPr>
                </pic:pic>
              </a:graphicData>
            </a:graphic>
          </wp:inline>
        </w:drawing>
      </w:r>
      <w:r>
        <w:rPr>
          <w:rFonts w:ascii="Times New Roman" w:hAnsi="Times New Roman"/>
        </w:rPr>
        <w:drawing>
          <wp:inline distT="0" distB="0" distL="114300" distR="114300">
            <wp:extent cx="6508750" cy="1845310"/>
            <wp:effectExtent l="0" t="0" r="6350" b="2540"/>
            <wp:docPr id="438"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图片 82"/>
                    <pic:cNvPicPr>
                      <a:picLocks noChangeAspect="1"/>
                    </pic:cNvPicPr>
                  </pic:nvPicPr>
                  <pic:blipFill>
                    <a:blip r:embed="rId260"/>
                    <a:stretch>
                      <a:fillRect/>
                    </a:stretch>
                  </pic:blipFill>
                  <pic:spPr>
                    <a:xfrm>
                      <a:off x="0" y="0"/>
                      <a:ext cx="6508750" cy="1845310"/>
                    </a:xfrm>
                    <a:prstGeom prst="rect">
                      <a:avLst/>
                    </a:prstGeom>
                    <a:noFill/>
                    <a:ln>
                      <a:noFill/>
                    </a:ln>
                  </pic:spPr>
                </pic:pic>
              </a:graphicData>
            </a:graphic>
          </wp:inline>
        </w:drawing>
      </w:r>
      <w:r>
        <w:rPr>
          <w:rFonts w:ascii="Times New Roman" w:hAnsi="Times New Roman"/>
        </w:rPr>
        <w:drawing>
          <wp:inline distT="0" distB="0" distL="114300" distR="114300">
            <wp:extent cx="6514465" cy="6613525"/>
            <wp:effectExtent l="0" t="0" r="635" b="15875"/>
            <wp:docPr id="439"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图片 83"/>
                    <pic:cNvPicPr>
                      <a:picLocks noChangeAspect="1"/>
                    </pic:cNvPicPr>
                  </pic:nvPicPr>
                  <pic:blipFill>
                    <a:blip r:embed="rId261"/>
                    <a:stretch>
                      <a:fillRect/>
                    </a:stretch>
                  </pic:blipFill>
                  <pic:spPr>
                    <a:xfrm>
                      <a:off x="0" y="0"/>
                      <a:ext cx="6514465" cy="6613525"/>
                    </a:xfrm>
                    <a:prstGeom prst="rect">
                      <a:avLst/>
                    </a:prstGeom>
                    <a:noFill/>
                    <a:ln>
                      <a:noFill/>
                    </a:ln>
                  </pic:spPr>
                </pic:pic>
              </a:graphicData>
            </a:graphic>
          </wp:inline>
        </w:drawing>
      </w:r>
    </w:p>
    <w:p>
      <w:pPr>
        <w:pStyle w:val="5"/>
        <w:ind w:firstLine="482" w:firstLineChars="200"/>
        <w:rPr>
          <w:rFonts w:ascii="Times New Roman" w:hAnsi="Times New Roman"/>
        </w:rPr>
      </w:pPr>
      <w:bookmarkStart w:id="302" w:name="_Toc98236001"/>
      <w:r>
        <w:rPr>
          <w:rFonts w:ascii="Times New Roman" w:hAnsi="Times New Roman"/>
        </w:rPr>
        <w:t>设计定位</w:t>
      </w:r>
      <w:bookmarkEnd w:id="301"/>
      <w:bookmarkEnd w:id="302"/>
    </w:p>
    <w:p>
      <w:pPr>
        <w:spacing w:line="300" w:lineRule="auto"/>
        <w:ind w:firstLine="525" w:firstLineChars="202"/>
        <w:rPr>
          <w:b w:val="0"/>
          <w:bCs/>
          <w:color w:val="auto"/>
          <w:spacing w:val="10"/>
          <w:kern w:val="0"/>
          <w:sz w:val="24"/>
        </w:rPr>
      </w:pPr>
      <w:r>
        <w:rPr>
          <w:rFonts w:hint="eastAsia"/>
          <w:b w:val="0"/>
          <w:bCs/>
          <w:color w:val="auto"/>
          <w:spacing w:val="10"/>
          <w:kern w:val="0"/>
          <w:sz w:val="24"/>
        </w:rPr>
        <w:t>本工程绿化目标主要为营造阴凉舒适的生态林荫道，冠大荫浓的树种为首选树种，绿量优先，搭配观花观叶树种。本项目以</w:t>
      </w:r>
      <w:r>
        <w:rPr>
          <w:rFonts w:hint="eastAsia"/>
          <w:b w:val="0"/>
          <w:bCs/>
          <w:color w:val="auto"/>
          <w:spacing w:val="10"/>
          <w:kern w:val="0"/>
          <w:sz w:val="24"/>
          <w:lang w:val="zh-CN"/>
        </w:rPr>
        <w:t>“纵横森林，南沙绿网”</w:t>
      </w:r>
      <w:r>
        <w:rPr>
          <w:rFonts w:hint="eastAsia"/>
          <w:b w:val="0"/>
          <w:bCs/>
          <w:color w:val="auto"/>
          <w:spacing w:val="10"/>
          <w:kern w:val="0"/>
          <w:sz w:val="24"/>
        </w:rPr>
        <w:t>为道路绿化设计主题。行道树选用乡土树种作为行道树，为市民提供阴凉舒适的出行环境。</w:t>
      </w:r>
    </w:p>
    <w:p>
      <w:pPr>
        <w:pStyle w:val="5"/>
        <w:ind w:firstLine="482" w:firstLineChars="200"/>
        <w:rPr>
          <w:rFonts w:ascii="Times New Roman" w:hAnsi="Times New Roman"/>
        </w:rPr>
      </w:pPr>
      <w:r>
        <w:rPr>
          <w:rFonts w:ascii="Times New Roman" w:hAnsi="Times New Roman"/>
        </w:rPr>
        <w:t>设计方案</w:t>
      </w:r>
    </w:p>
    <w:p>
      <w:pPr>
        <w:spacing w:line="300" w:lineRule="auto"/>
        <w:ind w:firstLine="520" w:firstLineChars="200"/>
        <w:rPr>
          <w:rFonts w:ascii="Times New Roman" w:hAnsi="Times New Roman"/>
          <w:b w:val="0"/>
          <w:bCs/>
          <w:color w:val="auto"/>
          <w:spacing w:val="10"/>
          <w:kern w:val="0"/>
          <w:sz w:val="24"/>
        </w:rPr>
      </w:pPr>
      <w:r>
        <w:rPr>
          <w:rFonts w:ascii="Times New Roman" w:hAnsi="Times New Roman"/>
          <w:b w:val="0"/>
          <w:bCs/>
          <w:color w:val="auto"/>
          <w:spacing w:val="10"/>
          <w:kern w:val="0"/>
          <w:sz w:val="24"/>
        </w:rPr>
        <w:t>道路两侧同时设计，树种选择及配植形式等宜对称或均衡，强化道路线形；以“一路一树种”为原则，增强城市道路的识别性和特色。</w:t>
      </w:r>
    </w:p>
    <w:p>
      <w:pPr>
        <w:spacing w:line="300" w:lineRule="auto"/>
        <w:ind w:firstLine="527" w:firstLineChars="202"/>
        <w:rPr>
          <w:b w:val="0"/>
          <w:bCs/>
          <w:color w:val="auto"/>
          <w:spacing w:val="10"/>
          <w:kern w:val="0"/>
          <w:sz w:val="24"/>
        </w:rPr>
      </w:pPr>
      <w:r>
        <w:rPr>
          <w:rFonts w:hint="eastAsia"/>
          <w:color w:val="auto"/>
          <w:spacing w:val="10"/>
          <w:kern w:val="0"/>
          <w:sz w:val="24"/>
        </w:rPr>
        <w:t>二十涌北路</w:t>
      </w:r>
      <w:r>
        <w:rPr>
          <w:rFonts w:hint="eastAsia"/>
          <w:b w:val="0"/>
          <w:bCs/>
          <w:color w:val="auto"/>
          <w:spacing w:val="10"/>
          <w:kern w:val="0"/>
          <w:sz w:val="24"/>
        </w:rPr>
        <w:t>选用仁面子作为人行道（树池）的行道树品种，选用加纳利海枣、凤凰木作为中央绿化带的行道树品种，中下层种植桩景勒杜鹃、粉花朱槿球、红继木、米兰、黄洒金、黄连翘等品种，分车带选用小叶榄仁作为主要观赏树种，中下层种植龙船花、花八叶地被品种。</w:t>
      </w:r>
    </w:p>
    <w:p>
      <w:pPr>
        <w:spacing w:line="300" w:lineRule="auto"/>
        <w:ind w:firstLine="525" w:firstLineChars="202"/>
        <w:rPr>
          <w:b w:val="0"/>
          <w:bCs/>
          <w:color w:val="auto"/>
          <w:spacing w:val="10"/>
          <w:kern w:val="0"/>
          <w:sz w:val="24"/>
        </w:rPr>
      </w:pPr>
      <w:r>
        <w:rPr>
          <w:rFonts w:hint="eastAsia"/>
          <w:b w:val="0"/>
          <w:bCs/>
          <w:color w:val="auto"/>
          <w:spacing w:val="10"/>
          <w:kern w:val="0"/>
          <w:sz w:val="24"/>
        </w:rPr>
        <w:t>乔木品种选择：仁面子、凤凰木、小叶榄仁、加纳利海枣。</w:t>
      </w:r>
    </w:p>
    <w:p>
      <w:pPr>
        <w:spacing w:line="300" w:lineRule="auto"/>
        <w:ind w:firstLine="525" w:firstLineChars="202"/>
        <w:rPr>
          <w:b w:val="0"/>
          <w:bCs/>
          <w:color w:val="auto"/>
          <w:spacing w:val="10"/>
          <w:kern w:val="0"/>
          <w:sz w:val="24"/>
        </w:rPr>
      </w:pPr>
      <w:r>
        <w:rPr>
          <w:rFonts w:hint="eastAsia"/>
          <w:b w:val="0"/>
          <w:bCs/>
          <w:color w:val="auto"/>
          <w:spacing w:val="10"/>
          <w:kern w:val="0"/>
          <w:sz w:val="24"/>
        </w:rPr>
        <w:t>中下层品种选择：桩景簕杜鹃、粉花朱槿球、红继木、黄连翘、黄洒金、米兰、花百叶、龙船花、粉花朱槿。</w:t>
      </w:r>
    </w:p>
    <w:p>
      <w:pPr>
        <w:spacing w:line="300" w:lineRule="auto"/>
        <w:ind w:firstLine="527" w:firstLineChars="202"/>
        <w:rPr>
          <w:b w:val="0"/>
          <w:bCs/>
          <w:color w:val="auto"/>
          <w:spacing w:val="10"/>
          <w:kern w:val="0"/>
          <w:sz w:val="24"/>
        </w:rPr>
      </w:pPr>
      <w:r>
        <w:rPr>
          <w:rFonts w:hint="eastAsia"/>
          <w:color w:val="auto"/>
          <w:spacing w:val="10"/>
          <w:kern w:val="0"/>
          <w:sz w:val="24"/>
        </w:rPr>
        <w:t>规划纵三路</w:t>
      </w:r>
      <w:r>
        <w:rPr>
          <w:rFonts w:hint="eastAsia"/>
          <w:b w:val="0"/>
          <w:bCs/>
          <w:color w:val="auto"/>
          <w:spacing w:val="10"/>
          <w:kern w:val="0"/>
          <w:sz w:val="24"/>
        </w:rPr>
        <w:t>选用秋枫作为人行道（树池）的行道树品种；选用腊肠树作为中央绿化带的行道树品种，中下层种海桐球、金边假连翘、胡椒木、红继木等品种。</w:t>
      </w:r>
    </w:p>
    <w:p>
      <w:pPr>
        <w:spacing w:line="300" w:lineRule="auto"/>
        <w:ind w:firstLine="525" w:firstLineChars="202"/>
        <w:rPr>
          <w:b w:val="0"/>
          <w:bCs/>
          <w:color w:val="auto"/>
          <w:spacing w:val="10"/>
          <w:kern w:val="0"/>
          <w:sz w:val="24"/>
        </w:rPr>
      </w:pPr>
      <w:r>
        <w:rPr>
          <w:rFonts w:hint="eastAsia"/>
          <w:b w:val="0"/>
          <w:bCs/>
          <w:color w:val="auto"/>
          <w:spacing w:val="10"/>
          <w:kern w:val="0"/>
          <w:sz w:val="24"/>
        </w:rPr>
        <w:t>乔木品种选择：秋枫、腊肠树；</w:t>
      </w:r>
    </w:p>
    <w:p>
      <w:pPr>
        <w:spacing w:line="300" w:lineRule="auto"/>
        <w:ind w:firstLine="520" w:firstLineChars="200"/>
        <w:rPr>
          <w:rFonts w:ascii="Times New Roman" w:hAnsi="Times New Roman"/>
          <w:b w:val="0"/>
          <w:bCs/>
          <w:color w:val="auto"/>
          <w:spacing w:val="10"/>
          <w:kern w:val="0"/>
          <w:sz w:val="24"/>
        </w:rPr>
      </w:pPr>
      <w:r>
        <w:rPr>
          <w:rFonts w:hint="eastAsia"/>
          <w:b w:val="0"/>
          <w:bCs/>
          <w:color w:val="auto"/>
          <w:spacing w:val="10"/>
          <w:kern w:val="0"/>
          <w:sz w:val="24"/>
        </w:rPr>
        <w:t>中下层品种选择：海桐球、金边假连翘、胡椒木、红继木、龙船花。</w:t>
      </w:r>
    </w:p>
    <w:p>
      <w:pPr>
        <w:pStyle w:val="5"/>
        <w:ind w:firstLine="482" w:firstLineChars="200"/>
        <w:rPr>
          <w:rFonts w:ascii="Times New Roman" w:hAnsi="Times New Roman"/>
        </w:rPr>
      </w:pPr>
      <w:r>
        <w:rPr>
          <w:rFonts w:ascii="Times New Roman" w:hAnsi="Times New Roman"/>
        </w:rPr>
        <w:t>植物种植及养护要求</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1）场地整平</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种植地表应在30cm高差以内平整绿化地面至设计坡度要求，同时清除碎石及杂草杂物；平整要顺地形和周围环境，整成龟背形、斜坡形等，一般未特殊设计之地形，坡度可定在2.5％～3.0％之间以利排水。所有靠路边或路牙沿线0.5～1m宽内的绿地地面应低于路边或道牙5cm，并在地面处理时将地面水引至排水系统。</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2）种植土要求</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在栽种前应将土壤送相关部门检验后才能进行栽植。对于不合格的土壤要进行换填种植土，换填不能用深层土。种植土以当地土壤检验部门结论为依据。土壤应疏松湿润，排水良好PH5.5～7.5，含有机质的肥沃土壤，忌强酸碱，盐土、重粘土、沙土等。对于栽种乔灌木和地被的种植土，土坑内的土，任何方向上大于3cm的土杂物石块少于5%。片植地被表层45cm内，任何方向上大于1cm的杂物少于3%。对铺贴草坪的种植土，在铺贴草皮前应进行除杂、除草工作。在表层40cm范围内，瓦砾等杂物多的种植土应用10mm×10mm的网筛过一遍，以保证杂物除尽。</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种植土要求理化性质好、结构疏松、通气、保水、保肥能力强、适合园林植物的生长。若基质土壤不符合种植要求，需改良土壤或更换客土种植。</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种植或播种前应对土壤理化性质进行化验分析，采取相应的消毒、施肥和客土等措施。种植土中含有建筑废土及其他有害成分，以及强酸性土、强碱性土、盐土、盐碱土、重粘土、沙土等，均应采取客土种植或进行改良，土壤改良的厚度一般为30cm，特殊情况应根据设计要求进行处理。对草坪种植地、花卉种植地、播种地应施足底肥，翻耕25～30cm，搂平耕细，去除杂物，平整度和坡度应符合设计要求。下凹式绿地内，种植土除了满足以上要求外，还需要满足海绵设施对土壤渗透率的要求：种植土壤层由种植土和细砂按3：1混合组成，细砂粒径小于1mm，渗透系数K=1.8×10-5m/s。</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3）基肥要求</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要求施工种植前必须依实施足基肥，弥补绿地土壤肥力不足对植物生长的不良影响，以使绿化尽快见效。优先使用有机肥，按目前的园林施工要求，施工时可以使用其它基肥或有机肥，必须经该工程施工主管单位同意后施、用量依实而定。堆沤肥按充分沤熟肥、半干状计量。基肥用量结合苗木规格确定，要求与干土拌匀使用。种植乔灌木时，施放基肥并搅拌均匀后，再在基肥上铺一层10cm的干净种植土，使得苗木土球与基肥充分隔离。</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4）植物材料要求</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按苗木规格购苗，应选择枝干健壮，形体完美，无病虫害的苗木。</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草本地被：宿根花卉，根系必须完整，无腐烂变质。铺栽草坪用的草块及草卷应规格一致，边缘平直，杂草不得超过5％。草块土层厚度宜为3～5cm，草卷土层厚度宜为1～3cm。植物根、茎发育应良好，植株健壮，无病虫害。</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灌木地被：生长整齐，覆盖力强，耐修剪，植株健壮，无病虫害。</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乔木和花灌木：严格按苗木规格购苗，应选择枝干健壮，形体优美的苗木，苗木移植尽量减少截枝量，严禁出现没枝的单干苗木，乔木的分枝点应不少于四个，树型特殊的树种，分枝必须有4层以上；</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植物造景进行高低错落搭配；阵列苗木高差不大于50cm，且枝下分枝高度高差小于5cm，力求列植后整齐统一；</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孤植树应选种树形姿态优美、造型奇特、冠形圆整耐看的优质苗木；</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所有植物必须健康、新鲜、无病虫害，无缺乏矿物质症状，生长旺盛，形体完美；在保证乔灌木移植成活率的前提下，尽量保留原有冠幅，使绿化尽快见效；选择苗木时，距离地面1.3m高的平均直径范围，为确保乔灌木移植成活及迅速恢复生长，所带土球保证放入种植池内时完整不散，土球直径依乔灌木的根系分布情况按实确定；大苗移植严格按土球设计要求（土球直径大小可为苗木地径的5～8倍，土球厚度应是土球高度的2/3）；严格按设计规格选苗，花灌木尽量选用容器苗，地苗应保证移植根系，带好土球，包装结实牢靠。如苗木需选型，则应各方共同选苗确定。</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植物材料规格术语说明：</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树高、蓬径等尺寸均不包括徒长枝，以徒长枝剪除后、量得的尺寸为准。</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树高（自然高、梢高、高度、苗高）指修剪后梢顶至地面的高度。</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蓬径（树冠宽、树宽）指树冠水平方向尺寸的平均值。</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干径指树干离地面高度1.3米处量得的直径平均值（特殊情形、另定者不在此限）。</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定干高度是指乔木从地面至树冠分枝处即第一个分枝点的高度。</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土球大小（宿土球、土柱）指移植前后植株根部周围的土球的直径平均值。</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5）选苗运输</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地被植物应选择健壮无病虫害的植株，运输距离一定要缩短，同时注意运输途</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中的保湿、保温、通风等设施。</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种植穴：按设计的土球规格，挖坑时应根据植株土球的大小进行。坑的大小为植株土球大小再加20～30cm，深度为土球的高度栽植时间尽量选择无风的阴天进行，如工期紧张也应在上午10时以前，下午2时以后进行，避免中午阳光暴晒，并且在移植时应边栽植边喷水，以保持湿润，防止萎蔫。</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栽植时应先按设计密度要求计算出株距（如16株/㎡一般情况下株距为25cm），然后按株距要求栽植出轮廓线，然后再由外向内依株行距逐行栽植。裸根栽植时应将根系舒展于穴中，然后覆土。为了使根系与土壤密接，必须妥为镇压。镇压时压力应均匀向下，不应用力按茎的基部，以免压伤。带土球的苗栽植时，填土于土球四周并镇压之，不可镇压土球，以避免将土球压碎，影响成活和恢复生长。</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7）后期管理与养护要求</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植物种植后应每天浇水至少二次，集中养护管理。</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如在天气炎热情况下施工，需对新栽植物采取遮荫、洒水等降温和补水措施，以保证移栽成活率。</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苗木移栽成活后，应对植物采取适当除虫、追肥、喷药等措施，以保证所植苗木生长旺盛。</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按规范一级养护，并要求三个月存活养护，两年保存养护。</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每株乔木应做好规范支撑，要求牢固、美观、整齐。</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树木支撑技术要点：</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材料：选用杉木棒，直径5~6cm；</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乔木全部打支撑，花灌木地径大于5cm（含5cm）打一字撑。</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绿地内胸径12cm（含12cm）以下的打三脚支撑，支撑高度2m；13cm以上用四脚支撑，高度3m以上;行道树必须全部用四脚支撑。</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8）树木缠草绳技术要求</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部分难成活、易发生虫害的树木需缠草绳，乔木缠草绳高度2m，花灌木高度1m。</w:t>
      </w:r>
    </w:p>
    <w:bookmarkEnd w:id="295"/>
    <w:p>
      <w:pPr>
        <w:pStyle w:val="5"/>
        <w:ind w:firstLine="482" w:firstLineChars="200"/>
        <w:rPr>
          <w:rFonts w:ascii="Times New Roman" w:hAnsi="Times New Roman"/>
        </w:rPr>
      </w:pPr>
      <w:r>
        <w:rPr>
          <w:rFonts w:ascii="Times New Roman" w:hAnsi="Times New Roman"/>
        </w:rPr>
        <w:t>本项目绿化工程喷灌设施设置</w:t>
      </w:r>
    </w:p>
    <w:p>
      <w:pPr>
        <w:tabs>
          <w:tab w:val="left" w:pos="1827"/>
        </w:tabs>
        <w:spacing w:line="300" w:lineRule="auto"/>
        <w:ind w:firstLine="480" w:firstLineChars="200"/>
        <w:jc w:val="left"/>
        <w:rPr>
          <w:rFonts w:ascii="Times New Roman" w:hAnsi="Times New Roman"/>
          <w:b w:val="0"/>
          <w:bCs/>
          <w:color w:val="auto"/>
          <w:sz w:val="24"/>
          <w:szCs w:val="24"/>
        </w:rPr>
      </w:pPr>
      <w:r>
        <w:rPr>
          <w:rFonts w:ascii="Times New Roman" w:hAnsi="Times New Roman"/>
          <w:b w:val="0"/>
          <w:bCs/>
          <w:color w:val="auto"/>
          <w:sz w:val="24"/>
          <w:szCs w:val="24"/>
        </w:rPr>
        <w:t>1、设计依据及基础资料</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（1）道路、绿化等基础设施工程勘察设计招标文件；</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（2）自行收集的现状地形图；</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（3）国家有关规范及广东省的相关规定和设计要求。</w:t>
      </w:r>
    </w:p>
    <w:p>
      <w:pPr>
        <w:tabs>
          <w:tab w:val="left" w:pos="1827"/>
        </w:tabs>
        <w:spacing w:line="300" w:lineRule="auto"/>
        <w:ind w:firstLine="480" w:firstLineChars="200"/>
        <w:jc w:val="left"/>
        <w:rPr>
          <w:rFonts w:ascii="Times New Roman" w:hAnsi="Times New Roman"/>
          <w:b w:val="0"/>
          <w:bCs/>
          <w:color w:val="auto"/>
          <w:sz w:val="24"/>
          <w:szCs w:val="24"/>
        </w:rPr>
      </w:pPr>
      <w:r>
        <w:rPr>
          <w:rFonts w:ascii="Times New Roman" w:hAnsi="Times New Roman"/>
          <w:b w:val="0"/>
          <w:bCs/>
          <w:color w:val="auto"/>
          <w:sz w:val="24"/>
          <w:szCs w:val="24"/>
        </w:rPr>
        <w:t>2、绿化浇灌设计</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1、水源：本工程的供水水源为市政自来水预留绿化用水接口，水源压力约为0.3MPa，间隔1000m左右设置单独的绿化水表进行计量。</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2、绿化用水量</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全区域绿化用水量按照用水标准3L/㎡.d。</w:t>
      </w:r>
    </w:p>
    <w:p>
      <w:pPr>
        <w:spacing w:line="300" w:lineRule="auto"/>
        <w:ind w:firstLine="480" w:firstLineChars="200"/>
        <w:rPr>
          <w:rFonts w:ascii="Times New Roman" w:hAnsi="Times New Roman"/>
          <w:b w:val="0"/>
          <w:bCs/>
          <w:color w:val="auto"/>
          <w:sz w:val="24"/>
        </w:rPr>
      </w:pPr>
      <w:r>
        <w:rPr>
          <w:rFonts w:ascii="Times New Roman" w:hAnsi="Times New Roman"/>
          <w:b w:val="0"/>
          <w:bCs/>
          <w:color w:val="auto"/>
          <w:sz w:val="24"/>
        </w:rPr>
        <w:t>3、浇灌方式</w:t>
      </w:r>
    </w:p>
    <w:p>
      <w:pPr>
        <w:spacing w:line="300" w:lineRule="auto"/>
        <w:ind w:firstLine="560" w:firstLineChars="200"/>
        <w:rPr>
          <w:rFonts w:ascii="Times New Roman" w:hAnsi="Times New Roman"/>
          <w:b w:val="0"/>
          <w:bCs/>
          <w:color w:val="auto"/>
        </w:rPr>
      </w:pPr>
      <w:r>
        <w:rPr>
          <w:rFonts w:ascii="Times New Roman" w:hAnsi="Times New Roman"/>
          <w:b w:val="0"/>
          <w:bCs/>
          <w:color w:val="auto"/>
        </w:rPr>
        <w:drawing>
          <wp:inline distT="0" distB="0" distL="114300" distR="114300">
            <wp:extent cx="2660650" cy="2061845"/>
            <wp:effectExtent l="0" t="0" r="6350" b="14605"/>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262" cstate="screen">
                      <a:extLst>
                        <a:ext uri="{28A0092B-C50C-407E-A947-70E740481C1C}">
                          <a14:useLocalDpi xmlns:a14="http://schemas.microsoft.com/office/drawing/2010/main" val="0"/>
                        </a:ext>
                      </a:extLst>
                    </a:blip>
                    <a:stretch>
                      <a:fillRect/>
                    </a:stretch>
                  </pic:blipFill>
                  <pic:spPr>
                    <a:xfrm>
                      <a:off x="0" y="0"/>
                      <a:ext cx="2660650" cy="2061845"/>
                    </a:xfrm>
                    <a:prstGeom prst="rect">
                      <a:avLst/>
                    </a:prstGeom>
                    <a:noFill/>
                    <a:ln>
                      <a:noFill/>
                    </a:ln>
                  </pic:spPr>
                </pic:pic>
              </a:graphicData>
            </a:graphic>
          </wp:inline>
        </w:drawing>
      </w:r>
      <w:r>
        <w:rPr>
          <w:rFonts w:ascii="Times New Roman" w:hAnsi="Times New Roman"/>
          <w:b w:val="0"/>
          <w:bCs/>
          <w:color w:val="auto"/>
        </w:rPr>
        <w:drawing>
          <wp:inline distT="0" distB="0" distL="114300" distR="114300">
            <wp:extent cx="2774950" cy="2052955"/>
            <wp:effectExtent l="0" t="0" r="6350" b="4445"/>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pic:cNvPicPr>
                  </pic:nvPicPr>
                  <pic:blipFill>
                    <a:blip r:embed="rId263" cstate="screen">
                      <a:extLst>
                        <a:ext uri="{28A0092B-C50C-407E-A947-70E740481C1C}">
                          <a14:useLocalDpi xmlns:a14="http://schemas.microsoft.com/office/drawing/2010/main" val="0"/>
                        </a:ext>
                      </a:extLst>
                    </a:blip>
                    <a:stretch>
                      <a:fillRect/>
                    </a:stretch>
                  </pic:blipFill>
                  <pic:spPr>
                    <a:xfrm>
                      <a:off x="0" y="0"/>
                      <a:ext cx="2774950" cy="2052955"/>
                    </a:xfrm>
                    <a:prstGeom prst="rect">
                      <a:avLst/>
                    </a:prstGeom>
                    <a:noFill/>
                    <a:ln>
                      <a:noFill/>
                    </a:ln>
                  </pic:spPr>
                </pic:pic>
              </a:graphicData>
            </a:graphic>
          </wp:inline>
        </w:drawing>
      </w:r>
    </w:p>
    <w:p>
      <w:pPr>
        <w:spacing w:line="360" w:lineRule="auto"/>
        <w:ind w:firstLine="422" w:firstLineChars="200"/>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散射喷头旋转喷头</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（1）在绿化带内设置DN100的绿化浇灌主管，在绿化带设置自动喷灌与取水阀两种浇灌方式。其中喷灌喷头分为散射喷头和旋转喷头两种。面积较小绿化采用散射喷头，面积较大绿化采用旋转喷头。</w:t>
      </w:r>
    </w:p>
    <w:p>
      <w:pPr>
        <w:autoSpaceDE w:val="0"/>
        <w:autoSpaceDN w:val="0"/>
        <w:adjustRightInd w:val="0"/>
        <w:spacing w:line="300" w:lineRule="auto"/>
        <w:ind w:firstLine="422" w:firstLineChars="200"/>
        <w:jc w:val="center"/>
        <w:rPr>
          <w:rFonts w:ascii="Times New Roman" w:hAnsi="Times New Roman"/>
          <w:b w:val="0"/>
          <w:bCs/>
          <w:color w:val="auto"/>
          <w:szCs w:val="21"/>
        </w:rPr>
      </w:pPr>
      <w:r>
        <w:rPr>
          <w:rFonts w:ascii="Times New Roman" w:hAnsi="Times New Roman"/>
          <w:color w:val="000000" w:themeColor="text1"/>
          <w:sz w:val="21"/>
          <w:lang w:val="zh-CN"/>
          <w14:textFill>
            <w14:solidFill>
              <w14:schemeClr w14:val="tx1"/>
            </w14:solidFill>
          </w14:textFill>
        </w:rPr>
        <w:t>喷头规格表</w:t>
      </w:r>
    </w:p>
    <w:tbl>
      <w:tblPr>
        <w:tblStyle w:val="32"/>
        <w:tblW w:w="84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3"/>
        <w:gridCol w:w="1637"/>
        <w:gridCol w:w="1400"/>
        <w:gridCol w:w="1525"/>
        <w:gridCol w:w="1242"/>
        <w:gridCol w:w="12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8" w:hRule="atLeast"/>
          <w:jc w:val="center"/>
        </w:trPr>
        <w:tc>
          <w:tcPr>
            <w:tcW w:w="1433" w:type="dxa"/>
            <w:tcBorders>
              <w:bottom w:val="single" w:color="auto" w:sz="4" w:space="0"/>
            </w:tcBorders>
            <w:shd w:val="clear" w:color="auto" w:fill="FABF8F" w:themeFill="accent6" w:themeFillTint="99"/>
            <w:vAlign w:val="center"/>
          </w:tcPr>
          <w:p>
            <w:pPr>
              <w:spacing w:line="300" w:lineRule="auto"/>
              <w:jc w:val="center"/>
              <w:rPr>
                <w:rFonts w:ascii="Times New Roman" w:hAnsi="Times New Roman"/>
                <w:b w:val="0"/>
                <w:bCs/>
                <w:color w:val="auto"/>
                <w:sz w:val="21"/>
                <w:szCs w:val="21"/>
              </w:rPr>
            </w:pPr>
            <w:r>
              <w:rPr>
                <w:rFonts w:ascii="Times New Roman" w:hAnsi="Times New Roman"/>
                <w:b w:val="0"/>
                <w:bCs/>
                <w:color w:val="auto"/>
                <w:sz w:val="21"/>
                <w:szCs w:val="21"/>
              </w:rPr>
              <w:t>名称及型号</w:t>
            </w:r>
          </w:p>
        </w:tc>
        <w:tc>
          <w:tcPr>
            <w:tcW w:w="1637" w:type="dxa"/>
            <w:tcBorders>
              <w:bottom w:val="single" w:color="auto" w:sz="4" w:space="0"/>
            </w:tcBorders>
            <w:shd w:val="clear" w:color="auto" w:fill="FABF8F" w:themeFill="accent6" w:themeFillTint="99"/>
            <w:vAlign w:val="center"/>
          </w:tcPr>
          <w:p>
            <w:pPr>
              <w:spacing w:line="300" w:lineRule="auto"/>
              <w:jc w:val="center"/>
              <w:rPr>
                <w:rFonts w:ascii="Times New Roman" w:hAnsi="Times New Roman"/>
                <w:b w:val="0"/>
                <w:bCs/>
                <w:color w:val="auto"/>
                <w:sz w:val="21"/>
                <w:szCs w:val="21"/>
              </w:rPr>
            </w:pPr>
            <w:r>
              <w:rPr>
                <w:rFonts w:ascii="Times New Roman" w:hAnsi="Times New Roman"/>
                <w:b w:val="0"/>
                <w:bCs/>
                <w:color w:val="auto"/>
                <w:sz w:val="21"/>
                <w:szCs w:val="21"/>
              </w:rPr>
              <w:t>操作压力（Bars）</w:t>
            </w:r>
          </w:p>
        </w:tc>
        <w:tc>
          <w:tcPr>
            <w:tcW w:w="1400" w:type="dxa"/>
            <w:tcBorders>
              <w:bottom w:val="single" w:color="auto" w:sz="4" w:space="0"/>
            </w:tcBorders>
            <w:shd w:val="clear" w:color="auto" w:fill="FABF8F" w:themeFill="accent6" w:themeFillTint="99"/>
            <w:vAlign w:val="center"/>
          </w:tcPr>
          <w:p>
            <w:pPr>
              <w:spacing w:line="300" w:lineRule="auto"/>
              <w:ind w:firstLine="420" w:firstLineChars="200"/>
              <w:jc w:val="center"/>
              <w:rPr>
                <w:rFonts w:ascii="Times New Roman" w:hAnsi="Times New Roman"/>
                <w:b w:val="0"/>
                <w:bCs/>
                <w:color w:val="auto"/>
                <w:sz w:val="21"/>
                <w:szCs w:val="21"/>
              </w:rPr>
            </w:pPr>
            <w:r>
              <w:rPr>
                <w:rFonts w:ascii="Times New Roman" w:hAnsi="Times New Roman"/>
                <w:b w:val="0"/>
                <w:bCs/>
                <w:color w:val="auto"/>
                <w:sz w:val="21"/>
                <w:szCs w:val="21"/>
              </w:rPr>
              <w:t>喷头流量</w:t>
            </w:r>
          </w:p>
          <w:p>
            <w:pPr>
              <w:spacing w:line="300" w:lineRule="auto"/>
              <w:ind w:firstLine="420" w:firstLineChars="200"/>
              <w:jc w:val="center"/>
              <w:rPr>
                <w:rFonts w:ascii="Times New Roman" w:hAnsi="Times New Roman"/>
                <w:b w:val="0"/>
                <w:bCs/>
                <w:color w:val="auto"/>
                <w:sz w:val="21"/>
                <w:szCs w:val="21"/>
              </w:rPr>
            </w:pPr>
            <w:r>
              <w:rPr>
                <w:rFonts w:ascii="Times New Roman" w:hAnsi="Times New Roman"/>
                <w:b w:val="0"/>
                <w:bCs/>
                <w:color w:val="auto"/>
                <w:sz w:val="21"/>
                <w:szCs w:val="21"/>
              </w:rPr>
              <w:t>（m</w:t>
            </w:r>
            <w:r>
              <w:rPr>
                <w:rFonts w:ascii="Times New Roman" w:hAnsi="Times New Roman"/>
                <w:b w:val="0"/>
                <w:bCs/>
                <w:color w:val="auto"/>
                <w:sz w:val="21"/>
                <w:szCs w:val="21"/>
                <w:vertAlign w:val="superscript"/>
              </w:rPr>
              <w:t>3</w:t>
            </w:r>
            <w:r>
              <w:rPr>
                <w:rFonts w:ascii="Times New Roman" w:hAnsi="Times New Roman"/>
                <w:b w:val="0"/>
                <w:bCs/>
                <w:color w:val="auto"/>
                <w:sz w:val="21"/>
                <w:szCs w:val="21"/>
              </w:rPr>
              <w:t>/h）</w:t>
            </w:r>
          </w:p>
        </w:tc>
        <w:tc>
          <w:tcPr>
            <w:tcW w:w="1525" w:type="dxa"/>
            <w:tcBorders>
              <w:bottom w:val="single" w:color="auto" w:sz="4" w:space="0"/>
            </w:tcBorders>
            <w:shd w:val="clear" w:color="auto" w:fill="FABF8F" w:themeFill="accent6" w:themeFillTint="99"/>
            <w:vAlign w:val="center"/>
          </w:tcPr>
          <w:p>
            <w:pPr>
              <w:spacing w:line="300" w:lineRule="auto"/>
              <w:ind w:firstLine="420" w:firstLineChars="200"/>
              <w:jc w:val="center"/>
              <w:rPr>
                <w:rFonts w:ascii="Times New Roman" w:hAnsi="Times New Roman"/>
                <w:b w:val="0"/>
                <w:bCs/>
                <w:color w:val="auto"/>
                <w:sz w:val="21"/>
                <w:szCs w:val="21"/>
              </w:rPr>
            </w:pPr>
            <w:r>
              <w:rPr>
                <w:rFonts w:ascii="Times New Roman" w:hAnsi="Times New Roman"/>
                <w:b w:val="0"/>
                <w:bCs/>
                <w:color w:val="auto"/>
                <w:sz w:val="21"/>
                <w:szCs w:val="21"/>
              </w:rPr>
              <w:t>喷洒角度</w:t>
            </w:r>
          </w:p>
          <w:p>
            <w:pPr>
              <w:spacing w:line="300" w:lineRule="auto"/>
              <w:ind w:firstLine="420" w:firstLineChars="200"/>
              <w:jc w:val="center"/>
              <w:rPr>
                <w:rFonts w:ascii="Times New Roman" w:hAnsi="Times New Roman"/>
                <w:b w:val="0"/>
                <w:bCs/>
                <w:color w:val="auto"/>
                <w:sz w:val="21"/>
                <w:szCs w:val="21"/>
              </w:rPr>
            </w:pPr>
            <w:r>
              <w:rPr>
                <w:rFonts w:ascii="Times New Roman" w:hAnsi="Times New Roman"/>
                <w:b w:val="0"/>
                <w:bCs/>
                <w:color w:val="auto"/>
                <w:sz w:val="21"/>
                <w:szCs w:val="21"/>
              </w:rPr>
              <w:t>（°）</w:t>
            </w:r>
          </w:p>
        </w:tc>
        <w:tc>
          <w:tcPr>
            <w:tcW w:w="1242" w:type="dxa"/>
            <w:tcBorders>
              <w:bottom w:val="single" w:color="auto" w:sz="4" w:space="0"/>
            </w:tcBorders>
            <w:shd w:val="clear" w:color="auto" w:fill="FABF8F" w:themeFill="accent6" w:themeFillTint="99"/>
            <w:vAlign w:val="center"/>
          </w:tcPr>
          <w:p>
            <w:pPr>
              <w:spacing w:line="300" w:lineRule="auto"/>
              <w:jc w:val="center"/>
              <w:rPr>
                <w:rFonts w:ascii="Times New Roman" w:hAnsi="Times New Roman"/>
                <w:b w:val="0"/>
                <w:bCs/>
                <w:color w:val="auto"/>
                <w:sz w:val="21"/>
                <w:szCs w:val="21"/>
              </w:rPr>
            </w:pPr>
            <w:r>
              <w:rPr>
                <w:rFonts w:ascii="Times New Roman" w:hAnsi="Times New Roman"/>
                <w:b w:val="0"/>
                <w:bCs/>
                <w:color w:val="auto"/>
                <w:sz w:val="21"/>
                <w:szCs w:val="21"/>
              </w:rPr>
              <w:t>喷洒半径（m）</w:t>
            </w:r>
          </w:p>
        </w:tc>
        <w:tc>
          <w:tcPr>
            <w:tcW w:w="1210" w:type="dxa"/>
            <w:tcBorders>
              <w:bottom w:val="single" w:color="auto" w:sz="4" w:space="0"/>
            </w:tcBorders>
            <w:shd w:val="clear" w:color="auto" w:fill="FABF8F" w:themeFill="accent6" w:themeFillTint="99"/>
            <w:vAlign w:val="center"/>
          </w:tcPr>
          <w:p>
            <w:pPr>
              <w:spacing w:line="300" w:lineRule="auto"/>
              <w:jc w:val="center"/>
              <w:rPr>
                <w:rFonts w:ascii="Times New Roman" w:hAnsi="Times New Roman"/>
                <w:b w:val="0"/>
                <w:bCs/>
                <w:color w:val="auto"/>
                <w:sz w:val="21"/>
                <w:szCs w:val="21"/>
              </w:rPr>
            </w:pPr>
            <w:r>
              <w:rPr>
                <w:rFonts w:ascii="Times New Roman" w:hAnsi="Times New Roman"/>
                <w:b w:val="0"/>
                <w:bCs/>
                <w:color w:val="auto"/>
                <w:sz w:val="21"/>
                <w:szCs w:val="21"/>
              </w:rPr>
              <w:t>进水管径（mm）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1433" w:type="dxa"/>
            <w:shd w:val="clear" w:color="auto" w:fill="FABF8F" w:themeFill="accent6" w:themeFillTint="99"/>
            <w:vAlign w:val="center"/>
          </w:tcPr>
          <w:p>
            <w:pPr>
              <w:spacing w:line="300" w:lineRule="auto"/>
              <w:jc w:val="center"/>
              <w:rPr>
                <w:rFonts w:ascii="Times New Roman" w:hAnsi="Times New Roman"/>
                <w:b w:val="0"/>
                <w:bCs/>
                <w:color w:val="auto"/>
                <w:sz w:val="21"/>
                <w:szCs w:val="21"/>
              </w:rPr>
            </w:pPr>
            <w:r>
              <w:rPr>
                <w:rFonts w:ascii="Times New Roman" w:hAnsi="Times New Roman"/>
                <w:b w:val="0"/>
                <w:bCs/>
                <w:color w:val="auto"/>
                <w:sz w:val="21"/>
                <w:szCs w:val="21"/>
              </w:rPr>
              <w:t>散射喷头</w:t>
            </w:r>
          </w:p>
        </w:tc>
        <w:tc>
          <w:tcPr>
            <w:tcW w:w="1637" w:type="dxa"/>
            <w:shd w:val="clear" w:color="auto" w:fill="CCFFFF"/>
            <w:vAlign w:val="center"/>
          </w:tcPr>
          <w:p>
            <w:pPr>
              <w:spacing w:line="300" w:lineRule="auto"/>
              <w:jc w:val="center"/>
              <w:rPr>
                <w:rFonts w:ascii="Times New Roman" w:hAnsi="Times New Roman"/>
                <w:b w:val="0"/>
                <w:bCs/>
                <w:color w:val="auto"/>
                <w:sz w:val="21"/>
                <w:szCs w:val="21"/>
              </w:rPr>
            </w:pPr>
            <w:r>
              <w:rPr>
                <w:rFonts w:ascii="Times New Roman" w:hAnsi="Times New Roman"/>
                <w:b w:val="0"/>
                <w:bCs/>
                <w:color w:val="auto"/>
                <w:sz w:val="21"/>
                <w:szCs w:val="21"/>
              </w:rPr>
              <w:t>1.0~3.0</w:t>
            </w:r>
          </w:p>
        </w:tc>
        <w:tc>
          <w:tcPr>
            <w:tcW w:w="1400" w:type="dxa"/>
            <w:shd w:val="clear" w:color="auto" w:fill="CCFFFF"/>
            <w:vAlign w:val="center"/>
          </w:tcPr>
          <w:p>
            <w:pPr>
              <w:spacing w:line="300" w:lineRule="auto"/>
              <w:jc w:val="center"/>
              <w:rPr>
                <w:rFonts w:ascii="Times New Roman" w:hAnsi="Times New Roman"/>
                <w:b w:val="0"/>
                <w:bCs/>
                <w:color w:val="auto"/>
                <w:sz w:val="21"/>
                <w:szCs w:val="21"/>
              </w:rPr>
            </w:pPr>
            <w:r>
              <w:rPr>
                <w:rFonts w:ascii="Times New Roman" w:hAnsi="Times New Roman"/>
                <w:b w:val="0"/>
                <w:bCs/>
                <w:color w:val="auto"/>
                <w:sz w:val="21"/>
                <w:szCs w:val="21"/>
              </w:rPr>
              <w:t>0.1-1.0</w:t>
            </w:r>
          </w:p>
        </w:tc>
        <w:tc>
          <w:tcPr>
            <w:tcW w:w="1525" w:type="dxa"/>
            <w:shd w:val="clear" w:color="auto" w:fill="CCFFFF"/>
            <w:vAlign w:val="center"/>
          </w:tcPr>
          <w:p>
            <w:pPr>
              <w:spacing w:line="300" w:lineRule="auto"/>
              <w:jc w:val="center"/>
              <w:rPr>
                <w:rFonts w:ascii="Times New Roman" w:hAnsi="Times New Roman"/>
                <w:b w:val="0"/>
                <w:bCs/>
                <w:color w:val="auto"/>
                <w:sz w:val="21"/>
                <w:szCs w:val="21"/>
              </w:rPr>
            </w:pPr>
            <w:r>
              <w:rPr>
                <w:rFonts w:ascii="Times New Roman" w:hAnsi="Times New Roman"/>
                <w:b w:val="0"/>
                <w:bCs/>
                <w:color w:val="auto"/>
                <w:sz w:val="21"/>
                <w:szCs w:val="21"/>
              </w:rPr>
              <w:t>90-360</w:t>
            </w:r>
          </w:p>
        </w:tc>
        <w:tc>
          <w:tcPr>
            <w:tcW w:w="1242" w:type="dxa"/>
            <w:shd w:val="clear" w:color="auto" w:fill="CCFFFF"/>
            <w:vAlign w:val="center"/>
          </w:tcPr>
          <w:p>
            <w:pPr>
              <w:spacing w:line="300" w:lineRule="auto"/>
              <w:jc w:val="center"/>
              <w:rPr>
                <w:rFonts w:ascii="Times New Roman" w:hAnsi="Times New Roman"/>
                <w:b w:val="0"/>
                <w:bCs/>
                <w:color w:val="auto"/>
                <w:sz w:val="21"/>
                <w:szCs w:val="21"/>
              </w:rPr>
            </w:pPr>
            <w:r>
              <w:rPr>
                <w:rFonts w:ascii="Times New Roman" w:hAnsi="Times New Roman"/>
                <w:b w:val="0"/>
                <w:bCs/>
                <w:color w:val="auto"/>
                <w:sz w:val="21"/>
                <w:szCs w:val="21"/>
              </w:rPr>
              <w:t>1.5~5.0</w:t>
            </w:r>
          </w:p>
        </w:tc>
        <w:tc>
          <w:tcPr>
            <w:tcW w:w="1210" w:type="dxa"/>
            <w:shd w:val="clear" w:color="auto" w:fill="CCFFFF"/>
            <w:vAlign w:val="center"/>
          </w:tcPr>
          <w:p>
            <w:pPr>
              <w:spacing w:line="300" w:lineRule="auto"/>
              <w:jc w:val="center"/>
              <w:rPr>
                <w:rFonts w:ascii="Times New Roman" w:hAnsi="Times New Roman"/>
                <w:b w:val="0"/>
                <w:bCs/>
                <w:color w:val="auto"/>
                <w:sz w:val="21"/>
                <w:szCs w:val="21"/>
              </w:rPr>
            </w:pPr>
            <w:r>
              <w:rPr>
                <w:rFonts w:ascii="Times New Roman" w:hAnsi="Times New Roman"/>
                <w:b w:val="0"/>
                <w:bCs/>
                <w:color w:val="auto"/>
                <w:sz w:val="21"/>
                <w:szCs w:val="21"/>
              </w:rPr>
              <w:t>DN20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1433" w:type="dxa"/>
            <w:shd w:val="clear" w:color="auto" w:fill="FABF8F" w:themeFill="accent6" w:themeFillTint="99"/>
            <w:vAlign w:val="center"/>
          </w:tcPr>
          <w:p>
            <w:pPr>
              <w:spacing w:line="300" w:lineRule="auto"/>
              <w:jc w:val="center"/>
              <w:rPr>
                <w:rFonts w:ascii="Times New Roman" w:hAnsi="Times New Roman"/>
                <w:b w:val="0"/>
                <w:bCs/>
                <w:color w:val="auto"/>
                <w:sz w:val="21"/>
                <w:szCs w:val="21"/>
              </w:rPr>
            </w:pPr>
            <w:r>
              <w:rPr>
                <w:rFonts w:ascii="Times New Roman" w:hAnsi="Times New Roman"/>
                <w:b w:val="0"/>
                <w:bCs/>
                <w:color w:val="auto"/>
                <w:sz w:val="21"/>
                <w:szCs w:val="21"/>
              </w:rPr>
              <w:t>旋转喷头</w:t>
            </w:r>
          </w:p>
        </w:tc>
        <w:tc>
          <w:tcPr>
            <w:tcW w:w="1637" w:type="dxa"/>
            <w:shd w:val="clear" w:color="auto" w:fill="CCFFFF"/>
            <w:vAlign w:val="center"/>
          </w:tcPr>
          <w:p>
            <w:pPr>
              <w:spacing w:line="300" w:lineRule="auto"/>
              <w:jc w:val="center"/>
              <w:rPr>
                <w:rFonts w:ascii="Times New Roman" w:hAnsi="Times New Roman"/>
                <w:b w:val="0"/>
                <w:bCs/>
                <w:color w:val="auto"/>
                <w:sz w:val="21"/>
                <w:szCs w:val="21"/>
              </w:rPr>
            </w:pPr>
            <w:r>
              <w:rPr>
                <w:rFonts w:ascii="Times New Roman" w:hAnsi="Times New Roman"/>
                <w:b w:val="0"/>
                <w:bCs/>
                <w:color w:val="auto"/>
                <w:sz w:val="21"/>
                <w:szCs w:val="21"/>
              </w:rPr>
              <w:t>2.0~3.0</w:t>
            </w:r>
          </w:p>
        </w:tc>
        <w:tc>
          <w:tcPr>
            <w:tcW w:w="1400" w:type="dxa"/>
            <w:shd w:val="clear" w:color="auto" w:fill="CCFFFF"/>
            <w:vAlign w:val="center"/>
          </w:tcPr>
          <w:p>
            <w:pPr>
              <w:spacing w:line="300" w:lineRule="auto"/>
              <w:jc w:val="center"/>
              <w:rPr>
                <w:rFonts w:ascii="Times New Roman" w:hAnsi="Times New Roman"/>
                <w:b w:val="0"/>
                <w:bCs/>
                <w:color w:val="auto"/>
                <w:sz w:val="21"/>
                <w:szCs w:val="21"/>
              </w:rPr>
            </w:pPr>
            <w:r>
              <w:rPr>
                <w:rFonts w:ascii="Times New Roman" w:hAnsi="Times New Roman"/>
                <w:b w:val="0"/>
                <w:bCs/>
                <w:color w:val="auto"/>
                <w:sz w:val="21"/>
                <w:szCs w:val="21"/>
              </w:rPr>
              <w:t>0.8-3.0</w:t>
            </w:r>
          </w:p>
        </w:tc>
        <w:tc>
          <w:tcPr>
            <w:tcW w:w="1525" w:type="dxa"/>
            <w:shd w:val="clear" w:color="auto" w:fill="CCFFFF"/>
            <w:vAlign w:val="center"/>
          </w:tcPr>
          <w:p>
            <w:pPr>
              <w:spacing w:line="300" w:lineRule="auto"/>
              <w:jc w:val="center"/>
              <w:rPr>
                <w:rFonts w:ascii="Times New Roman" w:hAnsi="Times New Roman"/>
                <w:b w:val="0"/>
                <w:bCs/>
                <w:color w:val="auto"/>
                <w:sz w:val="21"/>
                <w:szCs w:val="21"/>
              </w:rPr>
            </w:pPr>
            <w:r>
              <w:rPr>
                <w:rFonts w:ascii="Times New Roman" w:hAnsi="Times New Roman"/>
                <w:b w:val="0"/>
                <w:bCs/>
                <w:color w:val="auto"/>
                <w:sz w:val="21"/>
                <w:szCs w:val="21"/>
              </w:rPr>
              <w:t>0~360</w:t>
            </w:r>
          </w:p>
        </w:tc>
        <w:tc>
          <w:tcPr>
            <w:tcW w:w="1242" w:type="dxa"/>
            <w:shd w:val="clear" w:color="auto" w:fill="CCFFFF"/>
            <w:vAlign w:val="center"/>
          </w:tcPr>
          <w:p>
            <w:pPr>
              <w:spacing w:line="300" w:lineRule="auto"/>
              <w:jc w:val="center"/>
              <w:rPr>
                <w:rFonts w:ascii="Times New Roman" w:hAnsi="Times New Roman"/>
                <w:b w:val="0"/>
                <w:bCs/>
                <w:color w:val="auto"/>
                <w:sz w:val="21"/>
                <w:szCs w:val="21"/>
              </w:rPr>
            </w:pPr>
            <w:r>
              <w:rPr>
                <w:rFonts w:ascii="Times New Roman" w:hAnsi="Times New Roman"/>
                <w:b w:val="0"/>
                <w:bCs/>
                <w:color w:val="auto"/>
                <w:sz w:val="21"/>
                <w:szCs w:val="21"/>
              </w:rPr>
              <w:t>5.0~9.0</w:t>
            </w:r>
          </w:p>
        </w:tc>
        <w:tc>
          <w:tcPr>
            <w:tcW w:w="1210" w:type="dxa"/>
            <w:shd w:val="clear" w:color="auto" w:fill="CCFFFF"/>
            <w:vAlign w:val="center"/>
          </w:tcPr>
          <w:p>
            <w:pPr>
              <w:spacing w:line="300" w:lineRule="auto"/>
              <w:jc w:val="center"/>
              <w:rPr>
                <w:rFonts w:ascii="Times New Roman" w:hAnsi="Times New Roman"/>
                <w:b w:val="0"/>
                <w:bCs/>
                <w:color w:val="auto"/>
                <w:sz w:val="21"/>
                <w:szCs w:val="21"/>
              </w:rPr>
            </w:pPr>
            <w:r>
              <w:rPr>
                <w:rFonts w:ascii="Times New Roman" w:hAnsi="Times New Roman"/>
                <w:b w:val="0"/>
                <w:bCs/>
                <w:color w:val="auto"/>
                <w:sz w:val="21"/>
                <w:szCs w:val="21"/>
              </w:rPr>
              <w:t>DN25</w:t>
            </w:r>
          </w:p>
        </w:tc>
      </w:tr>
    </w:tbl>
    <w:p>
      <w:pPr>
        <w:spacing w:line="300" w:lineRule="auto"/>
        <w:ind w:firstLine="560" w:firstLineChars="200"/>
        <w:rPr>
          <w:rFonts w:ascii="Times New Roman" w:hAnsi="Times New Roman"/>
          <w:b w:val="0"/>
          <w:bCs/>
          <w:color w:val="auto"/>
        </w:rPr>
      </w:pPr>
      <w:r>
        <w:rPr>
          <w:rFonts w:ascii="Times New Roman" w:hAnsi="Times New Roman"/>
          <w:b w:val="0"/>
          <w:bCs/>
          <w:color w:val="auto"/>
        </w:rPr>
        <w:t>（2）</w:t>
      </w:r>
      <w:r>
        <w:rPr>
          <w:rFonts w:ascii="Times New Roman" w:hAnsi="Times New Roman"/>
          <w:b w:val="0"/>
          <w:bCs/>
          <w:color w:val="auto"/>
          <w:sz w:val="24"/>
          <w:szCs w:val="24"/>
        </w:rPr>
        <w:t>喷头按射程的0.8-1.2倍间距布置，取水按40m间距进行布置。喷头安装高度与绿化顶平齐，弹出高度10cm。</w:t>
      </w:r>
    </w:p>
    <w:p>
      <w:pPr>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4、绿化给水管材</w:t>
      </w:r>
    </w:p>
    <w:p>
      <w:pPr>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绿化给水管道管材采用PE给水管道，电热熔连接，公称压力为1.25MPa。</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5、绿化喷头控制</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（1）采用无线自动控制系统，系统由雨量传感器、土壤湿度传感器、电磁阀、阀门箱和无线控制器等组成。全部喷灌设施分成多个喷灌组进行浇灌，每个喷灌组包括3-6个电磁阀。</w:t>
      </w:r>
    </w:p>
    <w:p>
      <w:pPr>
        <w:tabs>
          <w:tab w:val="left" w:pos="1827"/>
        </w:tabs>
        <w:spacing w:line="300" w:lineRule="auto"/>
        <w:ind w:firstLine="480" w:firstLineChars="200"/>
        <w:rPr>
          <w:rFonts w:ascii="Times New Roman" w:hAnsi="Times New Roman"/>
          <w:b w:val="0"/>
          <w:bCs/>
          <w:color w:val="auto"/>
        </w:rPr>
      </w:pPr>
      <w:r>
        <w:rPr>
          <w:rFonts w:ascii="Times New Roman" w:hAnsi="Times New Roman"/>
          <w:b w:val="0"/>
          <w:bCs/>
          <w:color w:val="auto"/>
          <w:sz w:val="24"/>
          <w:szCs w:val="24"/>
        </w:rPr>
        <w:t>（2）在绿化给水管网最高处安装排气阀，最低处安装泄水阀。给水阀门、排气阀、泄水阀、电磁阀等均安装在塑料阀门箱内，埋地安装。</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6、喷灌管道安装</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喷灌管道主管在绿化带下埋深0.8米，浇灌支管埋深0.6米，管道横过机动车道时埋深1.0米，并外套大两级钢套管。水管敷设时管坑若是原状土且沟底平顺，原土回填。采用原状土回填（不得回填淤泥或淤泥质土），压实度系不低于0.9，沟槽槽底净宽宜按管外径加0.3m。</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7、节水，节能，节材及环保措施</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（1）尽可能利用市政水压直接供水。</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（2）控制合适的供水水压，减少非正常出流，避免高压力大流量出流。</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（3）绿化给水设置单独用水计量装置。</w:t>
      </w: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（4）市政引入管的总水表后安装倒流防止器防止水流倒流进入市政管网。</w:t>
      </w:r>
    </w:p>
    <w:p>
      <w:pPr>
        <w:spacing w:line="300" w:lineRule="auto"/>
        <w:ind w:firstLine="420" w:firstLineChars="200"/>
        <w:rPr>
          <w:rFonts w:ascii="Times New Roman" w:hAnsi="Times New Roman"/>
          <w:b w:val="0"/>
          <w:bCs/>
          <w:color w:val="auto"/>
          <w:sz w:val="21"/>
          <w:szCs w:val="21"/>
        </w:rPr>
        <w:sectPr>
          <w:headerReference r:id="rId5" w:type="default"/>
          <w:footerReference r:id="rId6" w:type="default"/>
          <w:type w:val="continuous"/>
          <w:pgSz w:w="23814" w:h="16840" w:orient="landscape"/>
          <w:pgMar w:top="1134" w:right="1134" w:bottom="1106" w:left="1134" w:header="851" w:footer="283" w:gutter="0"/>
          <w:cols w:space="1028" w:num="2"/>
          <w:docGrid w:type="lines" w:linePitch="387" w:charSpace="0"/>
        </w:sectPr>
      </w:pPr>
    </w:p>
    <w:p>
      <w:pPr>
        <w:tabs>
          <w:tab w:val="left" w:pos="1827"/>
        </w:tabs>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w:t>
      </w:r>
    </w:p>
    <w:p>
      <w:pPr>
        <w:spacing w:line="300" w:lineRule="auto"/>
        <w:ind w:firstLine="420" w:firstLineChars="200"/>
        <w:rPr>
          <w:rFonts w:ascii="Times New Roman" w:hAnsi="Times New Roman"/>
          <w:b w:val="0"/>
          <w:bCs/>
          <w:color w:val="auto"/>
          <w:sz w:val="21"/>
          <w:szCs w:val="21"/>
        </w:rPr>
        <w:sectPr>
          <w:type w:val="continuous"/>
          <w:pgSz w:w="23814" w:h="16840" w:orient="landscape"/>
          <w:pgMar w:top="1134" w:right="1134" w:bottom="1106" w:left="1134" w:header="851" w:footer="283" w:gutter="0"/>
          <w:cols w:space="1028" w:num="2"/>
          <w:docGrid w:type="lines" w:linePitch="387" w:charSpace="0"/>
        </w:sectPr>
      </w:pPr>
    </w:p>
    <w:p>
      <w:pPr>
        <w:pStyle w:val="3"/>
        <w:ind w:firstLine="562" w:firstLineChars="200"/>
      </w:pPr>
      <w:bookmarkStart w:id="303" w:name="_Toc139635500"/>
      <w:bookmarkStart w:id="304" w:name="_Toc5859"/>
      <w:r>
        <w:t>建设管理方案</w:t>
      </w:r>
      <w:bookmarkEnd w:id="303"/>
      <w:bookmarkEnd w:id="304"/>
    </w:p>
    <w:p>
      <w:pPr>
        <w:pStyle w:val="4"/>
        <w:spacing w:line="300" w:lineRule="auto"/>
        <w:ind w:firstLine="482" w:firstLineChars="200"/>
      </w:pPr>
      <w:bookmarkStart w:id="305" w:name="_Toc349"/>
      <w:r>
        <w:t>施工组织</w:t>
      </w:r>
      <w:bookmarkEnd w:id="305"/>
    </w:p>
    <w:p>
      <w:pPr>
        <w:pStyle w:val="120"/>
        <w:spacing w:line="300" w:lineRule="auto"/>
        <w:ind w:firstLineChars="200"/>
        <w:rPr>
          <w:rFonts w:ascii="Times New Roman" w:hAnsi="Times New Roman"/>
        </w:rPr>
      </w:pPr>
      <w:r>
        <w:rPr>
          <w:rFonts w:ascii="Times New Roman" w:hAnsi="Times New Roman"/>
        </w:rPr>
        <w:t>（1）施工招标工作必须按照规定程度严格执行，选择资质优良、实力雄厚施工单位进行施工，确保施工进度和工程质量。</w:t>
      </w:r>
    </w:p>
    <w:p>
      <w:pPr>
        <w:pStyle w:val="120"/>
        <w:spacing w:line="300" w:lineRule="auto"/>
        <w:ind w:firstLineChars="200"/>
        <w:rPr>
          <w:rFonts w:ascii="Times New Roman" w:hAnsi="Times New Roman"/>
        </w:rPr>
      </w:pPr>
      <w:r>
        <w:rPr>
          <w:rFonts w:ascii="Times New Roman" w:hAnsi="Times New Roman"/>
        </w:rPr>
        <w:t>（2）严格项目管理，要求施工单位必须做好施工组织设计，施工方案</w:t>
      </w:r>
      <w:r>
        <w:rPr>
          <w:rFonts w:hint="eastAsia" w:ascii="Times New Roman" w:hAnsi="Times New Roman"/>
        </w:rPr>
        <w:t>切合实际</w:t>
      </w:r>
      <w:r>
        <w:rPr>
          <w:rFonts w:ascii="Times New Roman" w:hAnsi="Times New Roman"/>
        </w:rPr>
        <w:t>。技术管理人员明确施工的岗位职责和权限，上岗人员必须严格按照施工规范及技术要求操作、施工。</w:t>
      </w:r>
    </w:p>
    <w:p>
      <w:pPr>
        <w:pStyle w:val="120"/>
        <w:spacing w:line="300" w:lineRule="auto"/>
        <w:ind w:firstLineChars="200"/>
        <w:rPr>
          <w:rFonts w:ascii="Times New Roman" w:hAnsi="Times New Roman"/>
        </w:rPr>
      </w:pPr>
      <w:r>
        <w:rPr>
          <w:rFonts w:ascii="Times New Roman" w:hAnsi="Times New Roman"/>
        </w:rPr>
        <w:t>（3）施工过程中做好材料检验、测试工作，加强工程监理，以确保施工质量。严格按施工进度计划用款，注意控制成本，节省投资。</w:t>
      </w:r>
    </w:p>
    <w:p>
      <w:pPr>
        <w:pStyle w:val="120"/>
        <w:spacing w:line="300" w:lineRule="auto"/>
        <w:ind w:firstLineChars="200"/>
        <w:rPr>
          <w:rFonts w:ascii="Times New Roman" w:hAnsi="Times New Roman"/>
        </w:rPr>
      </w:pPr>
      <w:r>
        <w:rPr>
          <w:rFonts w:ascii="Times New Roman" w:hAnsi="Times New Roman"/>
        </w:rPr>
        <w:t>（4）做好交通疏导，施工前应制定工程运输车辆行车路线，车辆所经过的道路进行统一维护和管理。</w:t>
      </w:r>
    </w:p>
    <w:p>
      <w:pPr>
        <w:pStyle w:val="4"/>
        <w:spacing w:line="300" w:lineRule="auto"/>
        <w:ind w:firstLine="482" w:firstLineChars="200"/>
      </w:pPr>
      <w:bookmarkStart w:id="306" w:name="_Toc139635502"/>
      <w:bookmarkStart w:id="307" w:name="_Toc10682"/>
      <w:r>
        <w:t>项目建设进度及招标</w:t>
      </w:r>
      <w:bookmarkEnd w:id="306"/>
      <w:bookmarkEnd w:id="307"/>
    </w:p>
    <w:p>
      <w:pPr>
        <w:pStyle w:val="5"/>
        <w:ind w:firstLine="482" w:firstLineChars="200"/>
        <w:rPr>
          <w:rFonts w:ascii="Times New Roman" w:hAnsi="Times New Roman"/>
        </w:rPr>
      </w:pPr>
      <w:r>
        <w:rPr>
          <w:rFonts w:ascii="Times New Roman" w:hAnsi="Times New Roman"/>
        </w:rPr>
        <w:t>项目建设进度</w:t>
      </w:r>
    </w:p>
    <w:p>
      <w:pPr>
        <w:pStyle w:val="120"/>
        <w:spacing w:line="300" w:lineRule="auto"/>
        <w:ind w:firstLineChars="200"/>
        <w:rPr>
          <w:rFonts w:ascii="Times New Roman" w:hAnsi="Times New Roman"/>
        </w:rPr>
      </w:pPr>
      <w:r>
        <w:rPr>
          <w:rFonts w:ascii="Times New Roman" w:hAnsi="Times New Roman"/>
        </w:rPr>
        <w:t>本项目计划将于2025年3月底建成通车。从工程可行性研究报告计起，经勘察及初步设计、施工图设计及施工、竣工验收等阶段，本项目整个建设进度计划如下：</w:t>
      </w:r>
    </w:p>
    <w:p>
      <w:pPr>
        <w:pStyle w:val="120"/>
        <w:spacing w:line="300" w:lineRule="auto"/>
        <w:ind w:firstLineChars="200"/>
        <w:rPr>
          <w:rFonts w:ascii="Times New Roman" w:hAnsi="Times New Roman"/>
        </w:rPr>
      </w:pPr>
      <w:r>
        <w:rPr>
          <w:rFonts w:ascii="Times New Roman" w:hAnsi="Times New Roman"/>
        </w:rPr>
        <w:t>2023年</w:t>
      </w:r>
      <w:r>
        <w:rPr>
          <w:rFonts w:hint="eastAsia" w:ascii="Times New Roman" w:hAnsi="Times New Roman"/>
        </w:rPr>
        <w:t>10</w:t>
      </w:r>
      <w:r>
        <w:rPr>
          <w:rFonts w:ascii="Times New Roman" w:hAnsi="Times New Roman"/>
        </w:rPr>
        <w:t>月完成可行性研究报告</w:t>
      </w:r>
      <w:r>
        <w:rPr>
          <w:rFonts w:hint="eastAsia" w:ascii="Times New Roman" w:hAnsi="Times New Roman"/>
        </w:rPr>
        <w:t>编制、</w:t>
      </w:r>
      <w:r>
        <w:rPr>
          <w:rFonts w:ascii="Times New Roman" w:hAnsi="Times New Roman"/>
        </w:rPr>
        <w:t>勘察及初步设计工作；</w:t>
      </w:r>
    </w:p>
    <w:p>
      <w:pPr>
        <w:pStyle w:val="120"/>
        <w:spacing w:line="300" w:lineRule="auto"/>
        <w:ind w:firstLineChars="200"/>
        <w:rPr>
          <w:rFonts w:ascii="Times New Roman" w:hAnsi="Times New Roman"/>
        </w:rPr>
      </w:pPr>
      <w:r>
        <w:rPr>
          <w:rFonts w:ascii="Times New Roman" w:hAnsi="Times New Roman"/>
        </w:rPr>
        <w:t>2023年11月完成项目EPC及监理招标；</w:t>
      </w:r>
    </w:p>
    <w:p>
      <w:pPr>
        <w:pStyle w:val="120"/>
        <w:spacing w:line="300" w:lineRule="auto"/>
        <w:ind w:firstLineChars="200"/>
        <w:rPr>
          <w:rFonts w:ascii="Times New Roman" w:hAnsi="Times New Roman"/>
        </w:rPr>
      </w:pPr>
      <w:r>
        <w:rPr>
          <w:rFonts w:ascii="Times New Roman" w:hAnsi="Times New Roman"/>
        </w:rPr>
        <w:t>2023年12月开工建设</w:t>
      </w:r>
      <w:r>
        <w:rPr>
          <w:rFonts w:hint="eastAsia" w:ascii="Times New Roman" w:hAnsi="Times New Roman"/>
        </w:rPr>
        <w:t>；</w:t>
      </w:r>
    </w:p>
    <w:p>
      <w:pPr>
        <w:pStyle w:val="120"/>
        <w:spacing w:line="300" w:lineRule="auto"/>
        <w:ind w:firstLineChars="200"/>
        <w:rPr>
          <w:rFonts w:ascii="Times New Roman" w:hAnsi="Times New Roman"/>
        </w:rPr>
      </w:pPr>
      <w:r>
        <w:rPr>
          <w:rFonts w:ascii="Times New Roman" w:hAnsi="Times New Roman"/>
        </w:rPr>
        <w:t>2025年3月底建成通车。</w:t>
      </w:r>
    </w:p>
    <w:p>
      <w:pPr>
        <w:pStyle w:val="5"/>
        <w:ind w:firstLine="482" w:firstLineChars="200"/>
        <w:rPr>
          <w:rFonts w:ascii="Times New Roman" w:hAnsi="Times New Roman"/>
        </w:rPr>
      </w:pPr>
      <w:bookmarkStart w:id="308" w:name="_Toc87278313"/>
      <w:bookmarkStart w:id="309" w:name="_Toc85909685"/>
      <w:r>
        <w:rPr>
          <w:rFonts w:ascii="Times New Roman" w:hAnsi="Times New Roman"/>
        </w:rPr>
        <w:t>招标方式</w:t>
      </w:r>
      <w:bookmarkEnd w:id="308"/>
      <w:bookmarkEnd w:id="309"/>
      <w:r>
        <w:rPr>
          <w:rFonts w:ascii="Times New Roman" w:hAnsi="Times New Roman"/>
        </w:rPr>
        <w:t>及内容</w:t>
      </w:r>
    </w:p>
    <w:p>
      <w:pPr>
        <w:pStyle w:val="120"/>
        <w:spacing w:line="300" w:lineRule="auto"/>
        <w:ind w:firstLineChars="200"/>
        <w:rPr>
          <w:rFonts w:ascii="Times New Roman" w:hAnsi="Times New Roman"/>
        </w:rPr>
      </w:pPr>
      <w:r>
        <w:rPr>
          <w:rFonts w:ascii="Times New Roman" w:hAnsi="Times New Roman"/>
        </w:rPr>
        <w:t>根据《中华人民共和国招标投标法》、《广东省建设工程招标投标管理条例》等有关规定，项目的设计和施工均采用公开招标方式进行。</w:t>
      </w:r>
    </w:p>
    <w:p>
      <w:pPr>
        <w:pStyle w:val="120"/>
        <w:spacing w:line="300" w:lineRule="auto"/>
        <w:ind w:firstLineChars="200"/>
        <w:rPr>
          <w:rFonts w:ascii="Times New Roman" w:hAnsi="Times New Roman"/>
        </w:rPr>
      </w:pPr>
      <w:r>
        <w:rPr>
          <w:rFonts w:ascii="Times New Roman" w:hAnsi="Times New Roman"/>
        </w:rPr>
        <w:t>本项目的招标范围为：勘察、设计、施工、监理以及重要设备、材料的采购。招标方式为公开招标，通过公开招标，可以在较广的范围内择优选择信誉良好、技术过硬、具有专业特长及丰富经验的设计单位、监理公司、施工企业和生产供应商，以保证工程的质量和降低工程造价，提高工程项目的社会效益和影响。</w:t>
      </w:r>
    </w:p>
    <w:p>
      <w:pPr>
        <w:pStyle w:val="120"/>
        <w:spacing w:line="300" w:lineRule="auto"/>
        <w:ind w:firstLineChars="200"/>
        <w:rPr>
          <w:rFonts w:ascii="Times New Roman" w:hAnsi="Times New Roman"/>
        </w:rPr>
      </w:pPr>
      <w:r>
        <w:rPr>
          <w:rFonts w:ascii="Times New Roman" w:hAnsi="Times New Roman"/>
        </w:rPr>
        <w:t>本项目招标基本情况详见下表。</w:t>
      </w:r>
    </w:p>
    <w:p>
      <w:pPr>
        <w:spacing w:line="440" w:lineRule="exact"/>
        <w:ind w:firstLine="480" w:firstLineChars="200"/>
        <w:jc w:val="center"/>
        <w:rPr>
          <w:rFonts w:ascii="Times New Roman" w:hAnsi="Times New Roman"/>
          <w:b w:val="0"/>
          <w:color w:val="auto"/>
          <w:sz w:val="24"/>
        </w:rPr>
      </w:pPr>
    </w:p>
    <w:p>
      <w:pPr>
        <w:spacing w:line="440" w:lineRule="exact"/>
        <w:ind w:firstLine="480" w:firstLineChars="200"/>
        <w:jc w:val="center"/>
        <w:rPr>
          <w:rFonts w:ascii="Times New Roman" w:hAnsi="Times New Roman"/>
          <w:b w:val="0"/>
          <w:color w:val="auto"/>
          <w:sz w:val="24"/>
        </w:rPr>
      </w:pPr>
    </w:p>
    <w:p>
      <w:pPr>
        <w:spacing w:line="440" w:lineRule="exact"/>
        <w:ind w:firstLine="480" w:firstLineChars="200"/>
        <w:jc w:val="center"/>
        <w:rPr>
          <w:rFonts w:ascii="Times New Roman" w:hAnsi="Times New Roman"/>
          <w:b w:val="0"/>
          <w:color w:val="auto"/>
          <w:sz w:val="24"/>
        </w:rPr>
      </w:pPr>
    </w:p>
    <w:p>
      <w:pPr>
        <w:spacing w:line="440" w:lineRule="exact"/>
        <w:ind w:firstLine="480" w:firstLineChars="200"/>
        <w:jc w:val="center"/>
        <w:rPr>
          <w:rFonts w:ascii="Times New Roman" w:hAnsi="Times New Roman"/>
          <w:b w:val="0"/>
          <w:color w:val="auto"/>
          <w:sz w:val="24"/>
        </w:rPr>
      </w:pPr>
    </w:p>
    <w:p>
      <w:pPr>
        <w:spacing w:line="440" w:lineRule="exact"/>
        <w:ind w:firstLine="480" w:firstLineChars="200"/>
        <w:jc w:val="center"/>
        <w:rPr>
          <w:rFonts w:ascii="Times New Roman" w:hAnsi="Times New Roman"/>
          <w:b w:val="0"/>
          <w:color w:val="auto"/>
          <w:sz w:val="24"/>
        </w:rPr>
      </w:pPr>
      <w:r>
        <w:rPr>
          <w:rFonts w:ascii="Times New Roman" w:hAnsi="Times New Roman"/>
          <w:b w:val="0"/>
          <w:color w:val="auto"/>
          <w:sz w:val="24"/>
        </w:rPr>
        <w:t>招标基本情况表</w:t>
      </w:r>
    </w:p>
    <w:tbl>
      <w:tblPr>
        <w:tblStyle w:val="32"/>
        <w:tblW w:w="90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91"/>
        <w:gridCol w:w="878"/>
        <w:gridCol w:w="861"/>
        <w:gridCol w:w="855"/>
        <w:gridCol w:w="847"/>
        <w:gridCol w:w="847"/>
        <w:gridCol w:w="848"/>
        <w:gridCol w:w="1311"/>
        <w:gridCol w:w="13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jc w:val="center"/>
        </w:trPr>
        <w:tc>
          <w:tcPr>
            <w:tcW w:w="1291" w:type="dxa"/>
            <w:vAlign w:val="center"/>
          </w:tcPr>
          <w:p>
            <w:pPr>
              <w:widowControl/>
              <w:jc w:val="center"/>
              <w:rPr>
                <w:rFonts w:ascii="Times New Roman" w:hAnsi="Times New Roman"/>
                <w:b w:val="0"/>
                <w:color w:val="auto"/>
                <w:kern w:val="0"/>
                <w:sz w:val="24"/>
                <w:szCs w:val="24"/>
              </w:rPr>
            </w:pPr>
          </w:p>
        </w:tc>
        <w:tc>
          <w:tcPr>
            <w:tcW w:w="1739" w:type="dxa"/>
            <w:gridSpan w:val="2"/>
            <w:vAlign w:val="center"/>
          </w:tcPr>
          <w:p>
            <w:pPr>
              <w:widowControl/>
              <w:jc w:val="center"/>
              <w:rPr>
                <w:rFonts w:ascii="Times New Roman" w:hAnsi="Times New Roman"/>
                <w:b w:val="0"/>
                <w:color w:val="auto"/>
                <w:kern w:val="0"/>
                <w:sz w:val="24"/>
                <w:szCs w:val="24"/>
              </w:rPr>
            </w:pPr>
            <w:r>
              <w:rPr>
                <w:rFonts w:ascii="Times New Roman" w:hAnsi="Times New Roman"/>
                <w:b w:val="0"/>
                <w:color w:val="auto"/>
                <w:kern w:val="0"/>
                <w:sz w:val="24"/>
                <w:szCs w:val="24"/>
              </w:rPr>
              <w:t>招标范围</w:t>
            </w:r>
          </w:p>
        </w:tc>
        <w:tc>
          <w:tcPr>
            <w:tcW w:w="1702" w:type="dxa"/>
            <w:gridSpan w:val="2"/>
            <w:vAlign w:val="center"/>
          </w:tcPr>
          <w:p>
            <w:pPr>
              <w:widowControl/>
              <w:jc w:val="center"/>
              <w:rPr>
                <w:rFonts w:ascii="Times New Roman" w:hAnsi="Times New Roman"/>
                <w:b w:val="0"/>
                <w:color w:val="auto"/>
                <w:kern w:val="0"/>
                <w:sz w:val="24"/>
                <w:szCs w:val="24"/>
              </w:rPr>
            </w:pPr>
            <w:r>
              <w:rPr>
                <w:rFonts w:ascii="Times New Roman" w:hAnsi="Times New Roman"/>
                <w:b w:val="0"/>
                <w:color w:val="auto"/>
                <w:kern w:val="0"/>
                <w:sz w:val="24"/>
                <w:szCs w:val="24"/>
              </w:rPr>
              <w:t>招标组织形式</w:t>
            </w:r>
          </w:p>
        </w:tc>
        <w:tc>
          <w:tcPr>
            <w:tcW w:w="1695" w:type="dxa"/>
            <w:gridSpan w:val="2"/>
            <w:vAlign w:val="center"/>
          </w:tcPr>
          <w:p>
            <w:pPr>
              <w:widowControl/>
              <w:jc w:val="center"/>
              <w:rPr>
                <w:rFonts w:ascii="Times New Roman" w:hAnsi="Times New Roman"/>
                <w:b w:val="0"/>
                <w:color w:val="auto"/>
                <w:kern w:val="0"/>
                <w:sz w:val="24"/>
                <w:szCs w:val="24"/>
              </w:rPr>
            </w:pPr>
            <w:r>
              <w:rPr>
                <w:rFonts w:ascii="Times New Roman" w:hAnsi="Times New Roman"/>
                <w:b w:val="0"/>
                <w:color w:val="auto"/>
                <w:kern w:val="0"/>
                <w:sz w:val="24"/>
                <w:szCs w:val="24"/>
              </w:rPr>
              <w:t>招标方式</w:t>
            </w:r>
          </w:p>
        </w:tc>
        <w:tc>
          <w:tcPr>
            <w:tcW w:w="1311" w:type="dxa"/>
            <w:vAlign w:val="center"/>
          </w:tcPr>
          <w:p>
            <w:pPr>
              <w:widowControl/>
              <w:rPr>
                <w:rFonts w:ascii="Times New Roman" w:hAnsi="Times New Roman"/>
                <w:b w:val="0"/>
                <w:color w:val="auto"/>
                <w:kern w:val="0"/>
                <w:sz w:val="24"/>
                <w:szCs w:val="24"/>
              </w:rPr>
            </w:pPr>
            <w:r>
              <w:rPr>
                <w:rFonts w:ascii="Times New Roman" w:hAnsi="Times New Roman"/>
                <w:b w:val="0"/>
                <w:color w:val="auto"/>
                <w:kern w:val="0"/>
                <w:sz w:val="24"/>
                <w:szCs w:val="24"/>
              </w:rPr>
              <w:t>不采用</w:t>
            </w:r>
          </w:p>
          <w:p>
            <w:pPr>
              <w:widowControl/>
              <w:rPr>
                <w:rFonts w:ascii="Times New Roman" w:hAnsi="Times New Roman"/>
                <w:b w:val="0"/>
                <w:color w:val="auto"/>
                <w:kern w:val="0"/>
                <w:sz w:val="24"/>
                <w:szCs w:val="24"/>
              </w:rPr>
            </w:pPr>
            <w:r>
              <w:rPr>
                <w:rFonts w:ascii="Times New Roman" w:hAnsi="Times New Roman"/>
                <w:b w:val="0"/>
                <w:color w:val="auto"/>
                <w:kern w:val="0"/>
                <w:sz w:val="24"/>
                <w:szCs w:val="24"/>
              </w:rPr>
              <w:t>招标方式</w:t>
            </w:r>
          </w:p>
        </w:tc>
        <w:tc>
          <w:tcPr>
            <w:tcW w:w="1311" w:type="dxa"/>
            <w:vAlign w:val="center"/>
          </w:tcPr>
          <w:p>
            <w:pPr>
              <w:widowControl/>
              <w:rPr>
                <w:rFonts w:ascii="Times New Roman" w:hAnsi="Times New Roman"/>
                <w:b w:val="0"/>
                <w:color w:val="auto"/>
                <w:kern w:val="0"/>
                <w:sz w:val="24"/>
                <w:szCs w:val="24"/>
                <w:highlight w:val="green"/>
              </w:rPr>
            </w:pPr>
            <w:r>
              <w:rPr>
                <w:rFonts w:hint="eastAsia" w:ascii="Times New Roman" w:hAnsi="Times New Roman"/>
                <w:b w:val="0"/>
                <w:color w:val="auto"/>
                <w:kern w:val="0"/>
                <w:sz w:val="24"/>
                <w:szCs w:val="24"/>
                <w:highlight w:val="green"/>
              </w:rPr>
              <w:t>招标金额（万元）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jc w:val="center"/>
        </w:trPr>
        <w:tc>
          <w:tcPr>
            <w:tcW w:w="1291" w:type="dxa"/>
            <w:vAlign w:val="center"/>
          </w:tcPr>
          <w:p>
            <w:pPr>
              <w:widowControl/>
              <w:jc w:val="center"/>
              <w:rPr>
                <w:rFonts w:ascii="Times New Roman" w:hAnsi="Times New Roman"/>
                <w:b w:val="0"/>
                <w:color w:val="auto"/>
                <w:kern w:val="0"/>
                <w:sz w:val="24"/>
                <w:szCs w:val="24"/>
              </w:rPr>
            </w:pPr>
          </w:p>
        </w:tc>
        <w:tc>
          <w:tcPr>
            <w:tcW w:w="878" w:type="dxa"/>
            <w:vAlign w:val="center"/>
          </w:tcPr>
          <w:p>
            <w:pPr>
              <w:widowControl/>
              <w:jc w:val="center"/>
              <w:rPr>
                <w:rFonts w:ascii="Times New Roman" w:hAnsi="Times New Roman"/>
                <w:b w:val="0"/>
                <w:color w:val="auto"/>
                <w:kern w:val="0"/>
                <w:sz w:val="24"/>
                <w:szCs w:val="24"/>
              </w:rPr>
            </w:pPr>
            <w:r>
              <w:rPr>
                <w:rFonts w:ascii="Times New Roman" w:hAnsi="Times New Roman"/>
                <w:b w:val="0"/>
                <w:color w:val="auto"/>
                <w:kern w:val="0"/>
                <w:sz w:val="24"/>
                <w:szCs w:val="24"/>
              </w:rPr>
              <w:t>全部招标</w:t>
            </w:r>
          </w:p>
        </w:tc>
        <w:tc>
          <w:tcPr>
            <w:tcW w:w="861" w:type="dxa"/>
            <w:vAlign w:val="center"/>
          </w:tcPr>
          <w:p>
            <w:pPr>
              <w:widowControl/>
              <w:jc w:val="center"/>
              <w:rPr>
                <w:rFonts w:ascii="Times New Roman" w:hAnsi="Times New Roman"/>
                <w:b w:val="0"/>
                <w:color w:val="auto"/>
                <w:kern w:val="0"/>
                <w:sz w:val="24"/>
                <w:szCs w:val="24"/>
              </w:rPr>
            </w:pPr>
            <w:r>
              <w:rPr>
                <w:rFonts w:ascii="Times New Roman" w:hAnsi="Times New Roman"/>
                <w:b w:val="0"/>
                <w:color w:val="auto"/>
                <w:kern w:val="0"/>
                <w:sz w:val="24"/>
                <w:szCs w:val="24"/>
              </w:rPr>
              <w:t>部分招标</w:t>
            </w:r>
          </w:p>
        </w:tc>
        <w:tc>
          <w:tcPr>
            <w:tcW w:w="855" w:type="dxa"/>
            <w:vAlign w:val="center"/>
          </w:tcPr>
          <w:p>
            <w:pPr>
              <w:widowControl/>
              <w:jc w:val="center"/>
              <w:rPr>
                <w:rFonts w:ascii="Times New Roman" w:hAnsi="Times New Roman"/>
                <w:b w:val="0"/>
                <w:color w:val="auto"/>
                <w:kern w:val="0"/>
                <w:sz w:val="24"/>
                <w:szCs w:val="24"/>
              </w:rPr>
            </w:pPr>
            <w:r>
              <w:rPr>
                <w:rFonts w:ascii="Times New Roman" w:hAnsi="Times New Roman"/>
                <w:b w:val="0"/>
                <w:color w:val="auto"/>
                <w:kern w:val="0"/>
                <w:sz w:val="24"/>
                <w:szCs w:val="24"/>
              </w:rPr>
              <w:t>自行招标</w:t>
            </w:r>
          </w:p>
        </w:tc>
        <w:tc>
          <w:tcPr>
            <w:tcW w:w="847" w:type="dxa"/>
            <w:vAlign w:val="center"/>
          </w:tcPr>
          <w:p>
            <w:pPr>
              <w:widowControl/>
              <w:jc w:val="center"/>
              <w:rPr>
                <w:rFonts w:ascii="Times New Roman" w:hAnsi="Times New Roman"/>
                <w:b w:val="0"/>
                <w:color w:val="auto"/>
                <w:kern w:val="0"/>
                <w:sz w:val="24"/>
                <w:szCs w:val="24"/>
              </w:rPr>
            </w:pPr>
            <w:r>
              <w:rPr>
                <w:rFonts w:ascii="Times New Roman" w:hAnsi="Times New Roman"/>
                <w:b w:val="0"/>
                <w:color w:val="auto"/>
                <w:kern w:val="0"/>
                <w:sz w:val="24"/>
                <w:szCs w:val="24"/>
              </w:rPr>
              <w:t>委托招标</w:t>
            </w:r>
          </w:p>
        </w:tc>
        <w:tc>
          <w:tcPr>
            <w:tcW w:w="847" w:type="dxa"/>
            <w:vAlign w:val="center"/>
          </w:tcPr>
          <w:p>
            <w:pPr>
              <w:widowControl/>
              <w:jc w:val="center"/>
              <w:rPr>
                <w:rFonts w:ascii="Times New Roman" w:hAnsi="Times New Roman"/>
                <w:b w:val="0"/>
                <w:color w:val="auto"/>
                <w:kern w:val="0"/>
                <w:sz w:val="24"/>
                <w:szCs w:val="24"/>
              </w:rPr>
            </w:pPr>
            <w:r>
              <w:rPr>
                <w:rFonts w:ascii="Times New Roman" w:hAnsi="Times New Roman"/>
                <w:b w:val="0"/>
                <w:color w:val="auto"/>
                <w:kern w:val="0"/>
                <w:sz w:val="24"/>
                <w:szCs w:val="24"/>
              </w:rPr>
              <w:t>公开招标</w:t>
            </w:r>
          </w:p>
        </w:tc>
        <w:tc>
          <w:tcPr>
            <w:tcW w:w="848" w:type="dxa"/>
            <w:vAlign w:val="center"/>
          </w:tcPr>
          <w:p>
            <w:pPr>
              <w:widowControl/>
              <w:jc w:val="center"/>
              <w:rPr>
                <w:rFonts w:ascii="Times New Roman" w:hAnsi="Times New Roman"/>
                <w:b w:val="0"/>
                <w:color w:val="auto"/>
                <w:kern w:val="0"/>
                <w:sz w:val="24"/>
                <w:szCs w:val="24"/>
              </w:rPr>
            </w:pPr>
            <w:r>
              <w:rPr>
                <w:rFonts w:ascii="Times New Roman" w:hAnsi="Times New Roman"/>
                <w:b w:val="0"/>
                <w:color w:val="auto"/>
                <w:kern w:val="0"/>
                <w:sz w:val="24"/>
                <w:szCs w:val="24"/>
              </w:rPr>
              <w:t>邀请招标</w:t>
            </w:r>
          </w:p>
        </w:tc>
        <w:tc>
          <w:tcPr>
            <w:tcW w:w="1311" w:type="dxa"/>
            <w:vAlign w:val="center"/>
          </w:tcPr>
          <w:p>
            <w:pPr>
              <w:widowControl/>
              <w:jc w:val="center"/>
              <w:rPr>
                <w:rFonts w:ascii="Times New Roman" w:hAnsi="Times New Roman"/>
                <w:b w:val="0"/>
                <w:color w:val="auto"/>
                <w:kern w:val="0"/>
                <w:sz w:val="24"/>
                <w:szCs w:val="24"/>
              </w:rPr>
            </w:pPr>
          </w:p>
        </w:tc>
        <w:tc>
          <w:tcPr>
            <w:tcW w:w="1311" w:type="dxa"/>
            <w:vAlign w:val="center"/>
          </w:tcPr>
          <w:p>
            <w:pPr>
              <w:widowControl/>
              <w:jc w:val="center"/>
              <w:rPr>
                <w:rFonts w:ascii="Times New Roman" w:hAnsi="Times New Roman"/>
                <w:b w:val="0"/>
                <w:color w:val="auto"/>
                <w:kern w:val="0"/>
                <w:sz w:val="24"/>
                <w:szCs w:val="24"/>
                <w:highlight w:val="gree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jc w:val="center"/>
        </w:trPr>
        <w:tc>
          <w:tcPr>
            <w:tcW w:w="1291" w:type="dxa"/>
            <w:vAlign w:val="center"/>
          </w:tcPr>
          <w:p>
            <w:pPr>
              <w:widowControl/>
              <w:jc w:val="center"/>
              <w:rPr>
                <w:rFonts w:ascii="Times New Roman" w:hAnsi="Times New Roman"/>
                <w:b w:val="0"/>
                <w:color w:val="auto"/>
                <w:kern w:val="0"/>
                <w:sz w:val="24"/>
                <w:szCs w:val="24"/>
              </w:rPr>
            </w:pPr>
            <w:r>
              <w:rPr>
                <w:rFonts w:ascii="Times New Roman" w:hAnsi="Times New Roman"/>
                <w:b w:val="0"/>
                <w:color w:val="auto"/>
                <w:kern w:val="0"/>
                <w:sz w:val="24"/>
                <w:szCs w:val="24"/>
              </w:rPr>
              <w:t>勘察</w:t>
            </w:r>
          </w:p>
        </w:tc>
        <w:tc>
          <w:tcPr>
            <w:tcW w:w="878" w:type="dxa"/>
            <w:vAlign w:val="center"/>
          </w:tcPr>
          <w:p>
            <w:pPr>
              <w:widowControl/>
              <w:jc w:val="center"/>
              <w:rPr>
                <w:rFonts w:ascii="Times New Roman" w:hAnsi="Times New Roman"/>
                <w:b w:val="0"/>
                <w:color w:val="auto"/>
                <w:kern w:val="0"/>
                <w:sz w:val="24"/>
                <w:szCs w:val="24"/>
              </w:rPr>
            </w:pPr>
            <w:r>
              <w:rPr>
                <w:rFonts w:ascii="Times New Roman" w:hAnsi="Times New Roman"/>
                <w:b w:val="0"/>
                <w:color w:val="auto"/>
                <w:kern w:val="0"/>
                <w:sz w:val="24"/>
                <w:szCs w:val="24"/>
              </w:rPr>
              <w:t>√</w:t>
            </w:r>
          </w:p>
        </w:tc>
        <w:tc>
          <w:tcPr>
            <w:tcW w:w="861" w:type="dxa"/>
            <w:vAlign w:val="center"/>
          </w:tcPr>
          <w:p>
            <w:pPr>
              <w:widowControl/>
              <w:jc w:val="center"/>
              <w:rPr>
                <w:rFonts w:ascii="Times New Roman" w:hAnsi="Times New Roman"/>
                <w:b w:val="0"/>
                <w:color w:val="auto"/>
                <w:kern w:val="0"/>
                <w:sz w:val="24"/>
                <w:szCs w:val="24"/>
              </w:rPr>
            </w:pPr>
          </w:p>
        </w:tc>
        <w:tc>
          <w:tcPr>
            <w:tcW w:w="855" w:type="dxa"/>
            <w:vAlign w:val="center"/>
          </w:tcPr>
          <w:p>
            <w:pPr>
              <w:widowControl/>
              <w:jc w:val="center"/>
              <w:rPr>
                <w:rFonts w:ascii="Times New Roman" w:hAnsi="Times New Roman"/>
                <w:b w:val="0"/>
                <w:color w:val="auto"/>
                <w:kern w:val="0"/>
                <w:sz w:val="24"/>
                <w:szCs w:val="24"/>
              </w:rPr>
            </w:pPr>
          </w:p>
        </w:tc>
        <w:tc>
          <w:tcPr>
            <w:tcW w:w="847" w:type="dxa"/>
            <w:vAlign w:val="center"/>
          </w:tcPr>
          <w:p>
            <w:pPr>
              <w:widowControl/>
              <w:jc w:val="center"/>
              <w:rPr>
                <w:rFonts w:ascii="Times New Roman" w:hAnsi="Times New Roman"/>
                <w:b w:val="0"/>
                <w:color w:val="auto"/>
                <w:kern w:val="0"/>
                <w:sz w:val="24"/>
                <w:szCs w:val="24"/>
              </w:rPr>
            </w:pPr>
            <w:r>
              <w:rPr>
                <w:rFonts w:ascii="Times New Roman" w:hAnsi="Times New Roman"/>
                <w:b w:val="0"/>
                <w:color w:val="auto"/>
                <w:kern w:val="0"/>
                <w:sz w:val="24"/>
                <w:szCs w:val="24"/>
              </w:rPr>
              <w:t>√</w:t>
            </w:r>
          </w:p>
        </w:tc>
        <w:tc>
          <w:tcPr>
            <w:tcW w:w="847" w:type="dxa"/>
            <w:vAlign w:val="center"/>
          </w:tcPr>
          <w:p>
            <w:pPr>
              <w:widowControl/>
              <w:jc w:val="center"/>
              <w:rPr>
                <w:rFonts w:ascii="Times New Roman" w:hAnsi="Times New Roman"/>
                <w:b w:val="0"/>
                <w:color w:val="auto"/>
                <w:kern w:val="0"/>
                <w:sz w:val="24"/>
                <w:szCs w:val="24"/>
              </w:rPr>
            </w:pPr>
            <w:r>
              <w:rPr>
                <w:rFonts w:ascii="Times New Roman" w:hAnsi="Times New Roman"/>
                <w:b w:val="0"/>
                <w:color w:val="auto"/>
                <w:kern w:val="0"/>
                <w:sz w:val="24"/>
                <w:szCs w:val="24"/>
              </w:rPr>
              <w:t>√</w:t>
            </w:r>
          </w:p>
        </w:tc>
        <w:tc>
          <w:tcPr>
            <w:tcW w:w="848" w:type="dxa"/>
            <w:vAlign w:val="center"/>
          </w:tcPr>
          <w:p>
            <w:pPr>
              <w:widowControl/>
              <w:jc w:val="center"/>
              <w:rPr>
                <w:rFonts w:ascii="Times New Roman" w:hAnsi="Times New Roman"/>
                <w:b w:val="0"/>
                <w:color w:val="auto"/>
                <w:kern w:val="0"/>
                <w:sz w:val="24"/>
                <w:szCs w:val="24"/>
              </w:rPr>
            </w:pPr>
          </w:p>
        </w:tc>
        <w:tc>
          <w:tcPr>
            <w:tcW w:w="1311" w:type="dxa"/>
            <w:vAlign w:val="center"/>
          </w:tcPr>
          <w:p>
            <w:pPr>
              <w:widowControl/>
              <w:jc w:val="center"/>
              <w:rPr>
                <w:rFonts w:ascii="Times New Roman" w:hAnsi="Times New Roman"/>
                <w:b w:val="0"/>
                <w:color w:val="auto"/>
                <w:kern w:val="0"/>
                <w:sz w:val="24"/>
                <w:szCs w:val="24"/>
                <w:highlight w:val="magenta"/>
              </w:rPr>
            </w:pPr>
          </w:p>
        </w:tc>
        <w:tc>
          <w:tcPr>
            <w:tcW w:w="1311" w:type="dxa"/>
            <w:vAlign w:val="center"/>
          </w:tcPr>
          <w:p>
            <w:pPr>
              <w:widowControl/>
              <w:rPr>
                <w:rFonts w:ascii="Times New Roman" w:hAnsi="Times New Roman"/>
                <w:b w:val="0"/>
                <w:color w:val="auto"/>
                <w:kern w:val="0"/>
                <w:sz w:val="24"/>
                <w:szCs w:val="24"/>
                <w:highlight w:val="magenta"/>
              </w:rPr>
            </w:pPr>
            <w:r>
              <w:rPr>
                <w:rFonts w:hint="eastAsia" w:ascii="Times New Roman" w:hAnsi="Times New Roman"/>
                <w:b w:val="0"/>
                <w:color w:val="auto"/>
                <w:kern w:val="0"/>
                <w:sz w:val="24"/>
                <w:szCs w:val="24"/>
                <w:highlight w:val="magenta"/>
              </w:rPr>
              <w:t xml:space="preserve">607.39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jc w:val="center"/>
        </w:trPr>
        <w:tc>
          <w:tcPr>
            <w:tcW w:w="1291" w:type="dxa"/>
            <w:vAlign w:val="center"/>
          </w:tcPr>
          <w:p>
            <w:pPr>
              <w:widowControl/>
              <w:jc w:val="center"/>
              <w:rPr>
                <w:rFonts w:ascii="Times New Roman" w:hAnsi="Times New Roman"/>
                <w:b w:val="0"/>
                <w:color w:val="auto"/>
                <w:kern w:val="0"/>
                <w:sz w:val="24"/>
                <w:szCs w:val="24"/>
              </w:rPr>
            </w:pPr>
            <w:r>
              <w:rPr>
                <w:rFonts w:ascii="Times New Roman" w:hAnsi="Times New Roman"/>
                <w:b w:val="0"/>
                <w:color w:val="auto"/>
                <w:kern w:val="0"/>
                <w:sz w:val="24"/>
                <w:szCs w:val="24"/>
              </w:rPr>
              <w:t>设计</w:t>
            </w:r>
          </w:p>
        </w:tc>
        <w:tc>
          <w:tcPr>
            <w:tcW w:w="878" w:type="dxa"/>
            <w:vAlign w:val="center"/>
          </w:tcPr>
          <w:p>
            <w:pPr>
              <w:widowControl/>
              <w:jc w:val="center"/>
              <w:rPr>
                <w:rFonts w:ascii="Times New Roman" w:hAnsi="Times New Roman"/>
                <w:b w:val="0"/>
                <w:color w:val="auto"/>
                <w:kern w:val="0"/>
                <w:sz w:val="24"/>
                <w:szCs w:val="24"/>
              </w:rPr>
            </w:pPr>
            <w:r>
              <w:rPr>
                <w:rFonts w:ascii="Times New Roman" w:hAnsi="Times New Roman"/>
                <w:b w:val="0"/>
                <w:color w:val="auto"/>
                <w:kern w:val="0"/>
                <w:sz w:val="24"/>
                <w:szCs w:val="24"/>
              </w:rPr>
              <w:t>√</w:t>
            </w:r>
          </w:p>
        </w:tc>
        <w:tc>
          <w:tcPr>
            <w:tcW w:w="861" w:type="dxa"/>
            <w:vAlign w:val="center"/>
          </w:tcPr>
          <w:p>
            <w:pPr>
              <w:widowControl/>
              <w:jc w:val="center"/>
              <w:rPr>
                <w:rFonts w:ascii="Times New Roman" w:hAnsi="Times New Roman"/>
                <w:b w:val="0"/>
                <w:color w:val="auto"/>
                <w:kern w:val="0"/>
                <w:sz w:val="24"/>
                <w:szCs w:val="24"/>
              </w:rPr>
            </w:pPr>
          </w:p>
        </w:tc>
        <w:tc>
          <w:tcPr>
            <w:tcW w:w="855" w:type="dxa"/>
            <w:vAlign w:val="center"/>
          </w:tcPr>
          <w:p>
            <w:pPr>
              <w:widowControl/>
              <w:jc w:val="center"/>
              <w:rPr>
                <w:rFonts w:ascii="Times New Roman" w:hAnsi="Times New Roman"/>
                <w:b w:val="0"/>
                <w:color w:val="auto"/>
                <w:kern w:val="0"/>
                <w:sz w:val="24"/>
                <w:szCs w:val="24"/>
              </w:rPr>
            </w:pPr>
          </w:p>
        </w:tc>
        <w:tc>
          <w:tcPr>
            <w:tcW w:w="847" w:type="dxa"/>
            <w:vAlign w:val="center"/>
          </w:tcPr>
          <w:p>
            <w:pPr>
              <w:widowControl/>
              <w:jc w:val="center"/>
              <w:rPr>
                <w:rFonts w:ascii="Times New Roman" w:hAnsi="Times New Roman"/>
                <w:b w:val="0"/>
                <w:color w:val="auto"/>
                <w:kern w:val="0"/>
                <w:sz w:val="24"/>
                <w:szCs w:val="24"/>
              </w:rPr>
            </w:pPr>
            <w:r>
              <w:rPr>
                <w:rFonts w:ascii="Times New Roman" w:hAnsi="Times New Roman"/>
                <w:b w:val="0"/>
                <w:color w:val="auto"/>
                <w:kern w:val="0"/>
                <w:sz w:val="24"/>
                <w:szCs w:val="24"/>
              </w:rPr>
              <w:t>√</w:t>
            </w:r>
          </w:p>
        </w:tc>
        <w:tc>
          <w:tcPr>
            <w:tcW w:w="847" w:type="dxa"/>
            <w:vAlign w:val="center"/>
          </w:tcPr>
          <w:p>
            <w:pPr>
              <w:widowControl/>
              <w:jc w:val="center"/>
              <w:rPr>
                <w:rFonts w:ascii="Times New Roman" w:hAnsi="Times New Roman"/>
                <w:b w:val="0"/>
                <w:color w:val="auto"/>
                <w:kern w:val="0"/>
                <w:sz w:val="24"/>
                <w:szCs w:val="24"/>
              </w:rPr>
            </w:pPr>
            <w:r>
              <w:rPr>
                <w:rFonts w:ascii="Times New Roman" w:hAnsi="Times New Roman"/>
                <w:b w:val="0"/>
                <w:color w:val="auto"/>
                <w:kern w:val="0"/>
                <w:sz w:val="24"/>
                <w:szCs w:val="24"/>
              </w:rPr>
              <w:t>√</w:t>
            </w:r>
          </w:p>
        </w:tc>
        <w:tc>
          <w:tcPr>
            <w:tcW w:w="848" w:type="dxa"/>
            <w:vAlign w:val="center"/>
          </w:tcPr>
          <w:p>
            <w:pPr>
              <w:widowControl/>
              <w:jc w:val="center"/>
              <w:rPr>
                <w:rFonts w:ascii="Times New Roman" w:hAnsi="Times New Roman"/>
                <w:b w:val="0"/>
                <w:color w:val="auto"/>
                <w:kern w:val="0"/>
                <w:sz w:val="24"/>
                <w:szCs w:val="24"/>
              </w:rPr>
            </w:pPr>
          </w:p>
        </w:tc>
        <w:tc>
          <w:tcPr>
            <w:tcW w:w="1311" w:type="dxa"/>
            <w:vAlign w:val="center"/>
          </w:tcPr>
          <w:p>
            <w:pPr>
              <w:widowControl/>
              <w:jc w:val="center"/>
              <w:rPr>
                <w:rFonts w:ascii="Times New Roman" w:hAnsi="Times New Roman"/>
                <w:b w:val="0"/>
                <w:color w:val="auto"/>
                <w:kern w:val="0"/>
                <w:sz w:val="24"/>
                <w:szCs w:val="24"/>
                <w:highlight w:val="magenta"/>
              </w:rPr>
            </w:pPr>
          </w:p>
        </w:tc>
        <w:tc>
          <w:tcPr>
            <w:tcW w:w="1311" w:type="dxa"/>
            <w:vAlign w:val="center"/>
          </w:tcPr>
          <w:p>
            <w:pPr>
              <w:widowControl/>
              <w:rPr>
                <w:rFonts w:ascii="Times New Roman" w:hAnsi="Times New Roman"/>
                <w:b w:val="0"/>
                <w:color w:val="auto"/>
                <w:kern w:val="0"/>
                <w:sz w:val="24"/>
                <w:szCs w:val="24"/>
                <w:highlight w:val="magenta"/>
              </w:rPr>
            </w:pPr>
            <w:r>
              <w:rPr>
                <w:rFonts w:hint="eastAsia" w:ascii="Times New Roman" w:hAnsi="Times New Roman"/>
                <w:b w:val="0"/>
                <w:color w:val="auto"/>
                <w:kern w:val="0"/>
                <w:sz w:val="24"/>
                <w:szCs w:val="24"/>
                <w:highlight w:val="magenta"/>
              </w:rPr>
              <w:t xml:space="preserve">1934.85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jc w:val="center"/>
        </w:trPr>
        <w:tc>
          <w:tcPr>
            <w:tcW w:w="1291" w:type="dxa"/>
            <w:vAlign w:val="center"/>
          </w:tcPr>
          <w:p>
            <w:pPr>
              <w:widowControl/>
              <w:jc w:val="center"/>
              <w:rPr>
                <w:rFonts w:ascii="Times New Roman" w:hAnsi="Times New Roman"/>
                <w:b w:val="0"/>
                <w:color w:val="auto"/>
                <w:kern w:val="0"/>
                <w:sz w:val="24"/>
                <w:szCs w:val="24"/>
              </w:rPr>
            </w:pPr>
            <w:r>
              <w:rPr>
                <w:rFonts w:ascii="Times New Roman" w:hAnsi="Times New Roman"/>
                <w:b w:val="0"/>
                <w:color w:val="auto"/>
                <w:kern w:val="0"/>
                <w:sz w:val="24"/>
                <w:szCs w:val="24"/>
              </w:rPr>
              <w:t>工程施工</w:t>
            </w:r>
          </w:p>
        </w:tc>
        <w:tc>
          <w:tcPr>
            <w:tcW w:w="878" w:type="dxa"/>
            <w:vAlign w:val="center"/>
          </w:tcPr>
          <w:p>
            <w:pPr>
              <w:widowControl/>
              <w:jc w:val="center"/>
              <w:rPr>
                <w:rFonts w:ascii="Times New Roman" w:hAnsi="Times New Roman"/>
                <w:b w:val="0"/>
                <w:color w:val="auto"/>
                <w:kern w:val="0"/>
                <w:sz w:val="24"/>
                <w:szCs w:val="24"/>
              </w:rPr>
            </w:pPr>
            <w:r>
              <w:rPr>
                <w:rFonts w:ascii="Times New Roman" w:hAnsi="Times New Roman"/>
                <w:b w:val="0"/>
                <w:color w:val="auto"/>
                <w:kern w:val="0"/>
                <w:sz w:val="24"/>
                <w:szCs w:val="24"/>
              </w:rPr>
              <w:t>√</w:t>
            </w:r>
          </w:p>
        </w:tc>
        <w:tc>
          <w:tcPr>
            <w:tcW w:w="861" w:type="dxa"/>
            <w:vAlign w:val="center"/>
          </w:tcPr>
          <w:p>
            <w:pPr>
              <w:widowControl/>
              <w:jc w:val="center"/>
              <w:rPr>
                <w:rFonts w:ascii="Times New Roman" w:hAnsi="Times New Roman"/>
                <w:b w:val="0"/>
                <w:color w:val="auto"/>
                <w:kern w:val="0"/>
                <w:sz w:val="24"/>
                <w:szCs w:val="24"/>
              </w:rPr>
            </w:pPr>
          </w:p>
        </w:tc>
        <w:tc>
          <w:tcPr>
            <w:tcW w:w="855" w:type="dxa"/>
            <w:vAlign w:val="center"/>
          </w:tcPr>
          <w:p>
            <w:pPr>
              <w:widowControl/>
              <w:jc w:val="center"/>
              <w:rPr>
                <w:rFonts w:ascii="Times New Roman" w:hAnsi="Times New Roman"/>
                <w:b w:val="0"/>
                <w:color w:val="auto"/>
                <w:kern w:val="0"/>
                <w:sz w:val="24"/>
                <w:szCs w:val="24"/>
              </w:rPr>
            </w:pPr>
          </w:p>
        </w:tc>
        <w:tc>
          <w:tcPr>
            <w:tcW w:w="847" w:type="dxa"/>
            <w:vAlign w:val="center"/>
          </w:tcPr>
          <w:p>
            <w:pPr>
              <w:widowControl/>
              <w:jc w:val="center"/>
              <w:rPr>
                <w:rFonts w:ascii="Times New Roman" w:hAnsi="Times New Roman"/>
                <w:b w:val="0"/>
                <w:color w:val="auto"/>
                <w:kern w:val="0"/>
                <w:sz w:val="24"/>
                <w:szCs w:val="24"/>
              </w:rPr>
            </w:pPr>
            <w:r>
              <w:rPr>
                <w:rFonts w:ascii="Times New Roman" w:hAnsi="Times New Roman"/>
                <w:b w:val="0"/>
                <w:color w:val="auto"/>
                <w:kern w:val="0"/>
                <w:sz w:val="24"/>
                <w:szCs w:val="24"/>
              </w:rPr>
              <w:t>√</w:t>
            </w:r>
          </w:p>
        </w:tc>
        <w:tc>
          <w:tcPr>
            <w:tcW w:w="847" w:type="dxa"/>
            <w:vAlign w:val="center"/>
          </w:tcPr>
          <w:p>
            <w:pPr>
              <w:widowControl/>
              <w:jc w:val="center"/>
              <w:rPr>
                <w:rFonts w:ascii="Times New Roman" w:hAnsi="Times New Roman"/>
                <w:b w:val="0"/>
                <w:color w:val="auto"/>
                <w:kern w:val="0"/>
                <w:sz w:val="24"/>
                <w:szCs w:val="24"/>
              </w:rPr>
            </w:pPr>
            <w:r>
              <w:rPr>
                <w:rFonts w:ascii="Times New Roman" w:hAnsi="Times New Roman"/>
                <w:b w:val="0"/>
                <w:color w:val="auto"/>
                <w:kern w:val="0"/>
                <w:sz w:val="24"/>
                <w:szCs w:val="24"/>
              </w:rPr>
              <w:t>√</w:t>
            </w:r>
          </w:p>
        </w:tc>
        <w:tc>
          <w:tcPr>
            <w:tcW w:w="848" w:type="dxa"/>
            <w:vAlign w:val="center"/>
          </w:tcPr>
          <w:p>
            <w:pPr>
              <w:widowControl/>
              <w:jc w:val="center"/>
              <w:rPr>
                <w:rFonts w:ascii="Times New Roman" w:hAnsi="Times New Roman"/>
                <w:b w:val="0"/>
                <w:color w:val="auto"/>
                <w:kern w:val="0"/>
                <w:sz w:val="24"/>
                <w:szCs w:val="24"/>
              </w:rPr>
            </w:pPr>
          </w:p>
        </w:tc>
        <w:tc>
          <w:tcPr>
            <w:tcW w:w="1311" w:type="dxa"/>
            <w:vAlign w:val="center"/>
          </w:tcPr>
          <w:p>
            <w:pPr>
              <w:widowControl/>
              <w:jc w:val="center"/>
              <w:rPr>
                <w:rFonts w:ascii="Times New Roman" w:hAnsi="Times New Roman"/>
                <w:b w:val="0"/>
                <w:color w:val="auto"/>
                <w:kern w:val="0"/>
                <w:sz w:val="24"/>
                <w:szCs w:val="24"/>
              </w:rPr>
            </w:pPr>
          </w:p>
        </w:tc>
        <w:tc>
          <w:tcPr>
            <w:tcW w:w="1311" w:type="dxa"/>
            <w:vAlign w:val="center"/>
          </w:tcPr>
          <w:p>
            <w:pPr>
              <w:widowControl/>
              <w:rPr>
                <w:rFonts w:ascii="Times New Roman" w:hAnsi="Times New Roman"/>
                <w:b w:val="0"/>
                <w:color w:val="auto"/>
                <w:kern w:val="0"/>
                <w:sz w:val="24"/>
                <w:szCs w:val="24"/>
                <w:highlight w:val="magenta"/>
              </w:rPr>
            </w:pPr>
            <w:r>
              <w:rPr>
                <w:rFonts w:hint="eastAsia" w:ascii="Times New Roman" w:hAnsi="Times New Roman"/>
                <w:b w:val="0"/>
                <w:color w:val="auto"/>
                <w:kern w:val="0"/>
                <w:sz w:val="24"/>
                <w:szCs w:val="24"/>
                <w:highlight w:val="magenta"/>
              </w:rPr>
              <w:t xml:space="preserve">75923.72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jc w:val="center"/>
        </w:trPr>
        <w:tc>
          <w:tcPr>
            <w:tcW w:w="1291" w:type="dxa"/>
            <w:vAlign w:val="center"/>
          </w:tcPr>
          <w:p>
            <w:pPr>
              <w:widowControl/>
              <w:jc w:val="center"/>
              <w:rPr>
                <w:rFonts w:ascii="Times New Roman" w:hAnsi="Times New Roman"/>
                <w:b w:val="0"/>
                <w:color w:val="auto"/>
                <w:kern w:val="0"/>
                <w:sz w:val="24"/>
                <w:szCs w:val="24"/>
              </w:rPr>
            </w:pPr>
            <w:r>
              <w:rPr>
                <w:rFonts w:ascii="Times New Roman" w:hAnsi="Times New Roman"/>
                <w:b w:val="0"/>
                <w:color w:val="auto"/>
                <w:kern w:val="0"/>
                <w:sz w:val="24"/>
                <w:szCs w:val="24"/>
              </w:rPr>
              <w:t>监理</w:t>
            </w:r>
          </w:p>
        </w:tc>
        <w:tc>
          <w:tcPr>
            <w:tcW w:w="878" w:type="dxa"/>
            <w:vAlign w:val="center"/>
          </w:tcPr>
          <w:p>
            <w:pPr>
              <w:widowControl/>
              <w:jc w:val="center"/>
              <w:rPr>
                <w:rFonts w:ascii="Times New Roman" w:hAnsi="Times New Roman"/>
                <w:b w:val="0"/>
                <w:color w:val="auto"/>
                <w:kern w:val="0"/>
                <w:sz w:val="24"/>
                <w:szCs w:val="24"/>
              </w:rPr>
            </w:pPr>
            <w:r>
              <w:rPr>
                <w:rFonts w:ascii="Times New Roman" w:hAnsi="Times New Roman"/>
                <w:b w:val="0"/>
                <w:color w:val="auto"/>
                <w:kern w:val="0"/>
                <w:sz w:val="24"/>
                <w:szCs w:val="24"/>
              </w:rPr>
              <w:t>√</w:t>
            </w:r>
          </w:p>
        </w:tc>
        <w:tc>
          <w:tcPr>
            <w:tcW w:w="861" w:type="dxa"/>
            <w:vAlign w:val="center"/>
          </w:tcPr>
          <w:p>
            <w:pPr>
              <w:widowControl/>
              <w:jc w:val="center"/>
              <w:rPr>
                <w:rFonts w:ascii="Times New Roman" w:hAnsi="Times New Roman"/>
                <w:b w:val="0"/>
                <w:color w:val="auto"/>
                <w:kern w:val="0"/>
                <w:sz w:val="24"/>
                <w:szCs w:val="24"/>
              </w:rPr>
            </w:pPr>
          </w:p>
        </w:tc>
        <w:tc>
          <w:tcPr>
            <w:tcW w:w="855" w:type="dxa"/>
            <w:vAlign w:val="center"/>
          </w:tcPr>
          <w:p>
            <w:pPr>
              <w:widowControl/>
              <w:jc w:val="center"/>
              <w:rPr>
                <w:rFonts w:ascii="Times New Roman" w:hAnsi="Times New Roman"/>
                <w:b w:val="0"/>
                <w:color w:val="auto"/>
                <w:kern w:val="0"/>
                <w:sz w:val="24"/>
                <w:szCs w:val="24"/>
              </w:rPr>
            </w:pPr>
          </w:p>
        </w:tc>
        <w:tc>
          <w:tcPr>
            <w:tcW w:w="847" w:type="dxa"/>
            <w:vAlign w:val="center"/>
          </w:tcPr>
          <w:p>
            <w:pPr>
              <w:widowControl/>
              <w:jc w:val="center"/>
              <w:rPr>
                <w:rFonts w:ascii="Times New Roman" w:hAnsi="Times New Roman"/>
                <w:b w:val="0"/>
                <w:color w:val="auto"/>
                <w:kern w:val="0"/>
                <w:sz w:val="24"/>
                <w:szCs w:val="24"/>
              </w:rPr>
            </w:pPr>
            <w:r>
              <w:rPr>
                <w:rFonts w:ascii="Times New Roman" w:hAnsi="Times New Roman"/>
                <w:b w:val="0"/>
                <w:color w:val="auto"/>
                <w:kern w:val="0"/>
                <w:sz w:val="24"/>
                <w:szCs w:val="24"/>
              </w:rPr>
              <w:t>√</w:t>
            </w:r>
          </w:p>
        </w:tc>
        <w:tc>
          <w:tcPr>
            <w:tcW w:w="847" w:type="dxa"/>
            <w:vAlign w:val="center"/>
          </w:tcPr>
          <w:p>
            <w:pPr>
              <w:widowControl/>
              <w:jc w:val="center"/>
              <w:rPr>
                <w:rFonts w:ascii="Times New Roman" w:hAnsi="Times New Roman"/>
                <w:b w:val="0"/>
                <w:color w:val="auto"/>
                <w:kern w:val="0"/>
                <w:sz w:val="24"/>
                <w:szCs w:val="24"/>
              </w:rPr>
            </w:pPr>
            <w:r>
              <w:rPr>
                <w:rFonts w:ascii="Times New Roman" w:hAnsi="Times New Roman"/>
                <w:b w:val="0"/>
                <w:color w:val="auto"/>
                <w:kern w:val="0"/>
                <w:sz w:val="24"/>
                <w:szCs w:val="24"/>
              </w:rPr>
              <w:t>√</w:t>
            </w:r>
          </w:p>
        </w:tc>
        <w:tc>
          <w:tcPr>
            <w:tcW w:w="848" w:type="dxa"/>
            <w:vAlign w:val="center"/>
          </w:tcPr>
          <w:p>
            <w:pPr>
              <w:widowControl/>
              <w:jc w:val="center"/>
              <w:rPr>
                <w:rFonts w:ascii="Times New Roman" w:hAnsi="Times New Roman"/>
                <w:b w:val="0"/>
                <w:color w:val="auto"/>
                <w:kern w:val="0"/>
                <w:sz w:val="24"/>
                <w:szCs w:val="24"/>
              </w:rPr>
            </w:pPr>
          </w:p>
        </w:tc>
        <w:tc>
          <w:tcPr>
            <w:tcW w:w="1311" w:type="dxa"/>
            <w:vAlign w:val="center"/>
          </w:tcPr>
          <w:p>
            <w:pPr>
              <w:widowControl/>
              <w:jc w:val="center"/>
              <w:rPr>
                <w:rFonts w:ascii="Times New Roman" w:hAnsi="Times New Roman"/>
                <w:b w:val="0"/>
                <w:color w:val="auto"/>
                <w:kern w:val="0"/>
                <w:sz w:val="24"/>
                <w:szCs w:val="24"/>
                <w:highlight w:val="magenta"/>
              </w:rPr>
            </w:pPr>
          </w:p>
        </w:tc>
        <w:tc>
          <w:tcPr>
            <w:tcW w:w="1311" w:type="dxa"/>
            <w:vAlign w:val="center"/>
          </w:tcPr>
          <w:p>
            <w:pPr>
              <w:widowControl/>
              <w:rPr>
                <w:rFonts w:ascii="Times New Roman" w:hAnsi="Times New Roman"/>
                <w:b w:val="0"/>
                <w:color w:val="auto"/>
                <w:kern w:val="0"/>
                <w:sz w:val="24"/>
                <w:szCs w:val="24"/>
                <w:highlight w:val="magenta"/>
              </w:rPr>
            </w:pPr>
            <w:r>
              <w:rPr>
                <w:rFonts w:hint="eastAsia" w:ascii="Times New Roman" w:hAnsi="Times New Roman"/>
                <w:b w:val="0"/>
                <w:color w:val="auto"/>
                <w:kern w:val="0"/>
                <w:sz w:val="24"/>
                <w:szCs w:val="24"/>
                <w:highlight w:val="magenta"/>
              </w:rPr>
              <w:t xml:space="preserve">1204.60 </w:t>
            </w:r>
          </w:p>
        </w:tc>
      </w:tr>
    </w:tbl>
    <w:p>
      <w:pPr>
        <w:pStyle w:val="5"/>
        <w:ind w:firstLine="482" w:firstLineChars="200"/>
        <w:rPr>
          <w:rFonts w:ascii="Times New Roman" w:hAnsi="Times New Roman"/>
        </w:rPr>
      </w:pPr>
      <w:r>
        <w:rPr>
          <w:rFonts w:ascii="Times New Roman" w:hAnsi="Times New Roman"/>
        </w:rPr>
        <w:t>投标单位的主要条件要求</w:t>
      </w:r>
    </w:p>
    <w:p>
      <w:pPr>
        <w:pStyle w:val="120"/>
        <w:spacing w:line="300" w:lineRule="auto"/>
        <w:ind w:firstLineChars="200"/>
        <w:rPr>
          <w:rFonts w:ascii="Times New Roman" w:hAnsi="Times New Roman"/>
        </w:rPr>
      </w:pPr>
      <w:r>
        <w:rPr>
          <w:rFonts w:ascii="Times New Roman" w:hAnsi="Times New Roman"/>
        </w:rPr>
        <w:t>参加本项目</w:t>
      </w:r>
      <w:r>
        <w:rPr>
          <w:rFonts w:hint="eastAsia" w:ascii="Times New Roman" w:hAnsi="Times New Roman"/>
        </w:rPr>
        <w:t>道路建设等</w:t>
      </w:r>
      <w:r>
        <w:rPr>
          <w:rFonts w:ascii="Times New Roman" w:hAnsi="Times New Roman"/>
        </w:rPr>
        <w:t>单项工程投标的投标单位，应具有相应企业资质，并有相应的业绩和经验。</w:t>
      </w:r>
    </w:p>
    <w:p>
      <w:pPr>
        <w:pStyle w:val="4"/>
        <w:spacing w:line="300" w:lineRule="auto"/>
        <w:ind w:firstLine="482" w:firstLineChars="200"/>
      </w:pPr>
      <w:bookmarkStart w:id="310" w:name="_Toc24566"/>
      <w:r>
        <w:t>项目实施初步方案</w:t>
      </w:r>
      <w:bookmarkEnd w:id="310"/>
    </w:p>
    <w:p>
      <w:pPr>
        <w:pStyle w:val="120"/>
        <w:spacing w:line="300" w:lineRule="auto"/>
        <w:ind w:firstLineChars="200"/>
        <w:rPr>
          <w:rFonts w:ascii="Times New Roman" w:hAnsi="Times New Roman"/>
        </w:rPr>
      </w:pPr>
      <w:r>
        <w:rPr>
          <w:rFonts w:ascii="Times New Roman" w:hAnsi="Times New Roman"/>
        </w:rPr>
        <w:t>本项目的建设，对于改善区域对外交通状况，改善区域之间的快速联系，从而促进整个地区的经济发展将起到重要作用。</w:t>
      </w:r>
    </w:p>
    <w:p>
      <w:pPr>
        <w:pStyle w:val="120"/>
        <w:spacing w:line="300" w:lineRule="auto"/>
        <w:ind w:firstLineChars="200"/>
        <w:rPr>
          <w:rFonts w:ascii="Times New Roman" w:hAnsi="Times New Roman"/>
        </w:rPr>
      </w:pPr>
      <w:r>
        <w:rPr>
          <w:rFonts w:ascii="Times New Roman" w:hAnsi="Times New Roman"/>
        </w:rPr>
        <w:t>本工程总体实施条件较好，具备短期进场施工条件，工期较可控。</w:t>
      </w:r>
    </w:p>
    <w:p>
      <w:pPr>
        <w:pStyle w:val="4"/>
        <w:spacing w:line="300" w:lineRule="auto"/>
        <w:ind w:firstLine="482" w:firstLineChars="200"/>
      </w:pPr>
      <w:bookmarkStart w:id="311" w:name="_Toc15164"/>
      <w:r>
        <w:t>项目工程管理和技术人员培训</w:t>
      </w:r>
      <w:bookmarkEnd w:id="311"/>
    </w:p>
    <w:p>
      <w:pPr>
        <w:pStyle w:val="120"/>
        <w:spacing w:line="300" w:lineRule="auto"/>
        <w:ind w:firstLineChars="200"/>
        <w:rPr>
          <w:rFonts w:ascii="Times New Roman" w:hAnsi="Times New Roman"/>
        </w:rPr>
      </w:pPr>
      <w:r>
        <w:rPr>
          <w:rFonts w:ascii="Times New Roman" w:hAnsi="Times New Roman"/>
        </w:rPr>
        <w:t>道路项目管理是以道路工程项目为研究对象，按项目组建管理机构，对项目实施管理，项目完成后，其管理机构随着撤销的一种管理方法，现在已被广泛采用。广义的道路项目管理，是指道路项目实施截断的管理，以实施管理的参与者来分，主要有业主的项目管理、</w:t>
      </w:r>
      <w:r>
        <w:rPr>
          <w:rFonts w:hint="eastAsia" w:ascii="Times New Roman" w:hAnsi="Times New Roman"/>
        </w:rPr>
        <w:t>监理方</w:t>
      </w:r>
      <w:r>
        <w:rPr>
          <w:rFonts w:ascii="Times New Roman" w:hAnsi="Times New Roman"/>
        </w:rPr>
        <w:t>的项目管理和施工单位的项目管理。</w:t>
      </w:r>
    </w:p>
    <w:p>
      <w:pPr>
        <w:pStyle w:val="5"/>
        <w:ind w:firstLine="482" w:firstLineChars="200"/>
        <w:rPr>
          <w:rFonts w:ascii="Times New Roman" w:hAnsi="Times New Roman"/>
        </w:rPr>
      </w:pPr>
      <w:r>
        <w:rPr>
          <w:rFonts w:ascii="Times New Roman" w:hAnsi="Times New Roman"/>
        </w:rPr>
        <w:t>项目管理</w:t>
      </w:r>
    </w:p>
    <w:p>
      <w:pPr>
        <w:pStyle w:val="120"/>
        <w:spacing w:line="300" w:lineRule="auto"/>
        <w:ind w:firstLineChars="200"/>
        <w:rPr>
          <w:rFonts w:ascii="Times New Roman" w:hAnsi="Times New Roman"/>
        </w:rPr>
      </w:pPr>
      <w:bookmarkStart w:id="312" w:name="_Toc14655"/>
      <w:bookmarkStart w:id="313" w:name="_Toc11487"/>
      <w:bookmarkStart w:id="314" w:name="_Toc144667900"/>
      <w:r>
        <w:rPr>
          <w:rFonts w:ascii="Times New Roman" w:hAnsi="Times New Roman"/>
        </w:rPr>
        <w:t>建议采用代建、监理或工程全过程咨询模式。</w:t>
      </w:r>
      <w:bookmarkEnd w:id="312"/>
      <w:bookmarkEnd w:id="313"/>
      <w:bookmarkEnd w:id="314"/>
    </w:p>
    <w:p>
      <w:pPr>
        <w:pStyle w:val="5"/>
        <w:ind w:firstLine="482" w:firstLineChars="200"/>
        <w:rPr>
          <w:rFonts w:ascii="Times New Roman" w:hAnsi="Times New Roman"/>
        </w:rPr>
      </w:pPr>
      <w:r>
        <w:rPr>
          <w:rFonts w:ascii="Times New Roman" w:hAnsi="Times New Roman"/>
        </w:rPr>
        <w:t>决策阶段</w:t>
      </w:r>
    </w:p>
    <w:p>
      <w:pPr>
        <w:pStyle w:val="120"/>
        <w:spacing w:line="300" w:lineRule="auto"/>
        <w:ind w:firstLineChars="200"/>
        <w:rPr>
          <w:rFonts w:ascii="Times New Roman" w:hAnsi="Times New Roman"/>
        </w:rPr>
      </w:pPr>
      <w:r>
        <w:rPr>
          <w:rFonts w:ascii="Times New Roman" w:hAnsi="Times New Roman"/>
        </w:rPr>
        <w:t>在尽可能的情况下，组织好专家对项目的</w:t>
      </w:r>
      <w:r>
        <w:rPr>
          <w:rFonts w:hint="eastAsia" w:ascii="Times New Roman" w:hAnsi="Times New Roman"/>
        </w:rPr>
        <w:t>建设方案</w:t>
      </w:r>
      <w:r>
        <w:rPr>
          <w:rFonts w:ascii="Times New Roman" w:hAnsi="Times New Roman"/>
        </w:rPr>
        <w:t>作出恰当的评估，在资金来源落实的前提下，合理选择建设规模、技术标准、工程措施和方案，并应具有一定的超前性，以免决策失误。</w:t>
      </w:r>
    </w:p>
    <w:p>
      <w:pPr>
        <w:pStyle w:val="5"/>
        <w:ind w:firstLine="482" w:firstLineChars="200"/>
        <w:rPr>
          <w:rFonts w:ascii="Times New Roman" w:hAnsi="Times New Roman"/>
        </w:rPr>
      </w:pPr>
      <w:r>
        <w:rPr>
          <w:rFonts w:ascii="Times New Roman" w:hAnsi="Times New Roman"/>
        </w:rPr>
        <w:t>组织计划与设计阶段</w:t>
      </w:r>
    </w:p>
    <w:p>
      <w:pPr>
        <w:pStyle w:val="120"/>
        <w:spacing w:line="300" w:lineRule="auto"/>
        <w:ind w:firstLineChars="200"/>
        <w:rPr>
          <w:rFonts w:ascii="Times New Roman" w:hAnsi="Times New Roman"/>
        </w:rPr>
      </w:pPr>
      <w:r>
        <w:rPr>
          <w:rFonts w:ascii="Times New Roman" w:hAnsi="Times New Roman"/>
        </w:rPr>
        <w:t>1、建立管理机构，落实专业管理人员，划分职责。协调设计中出现的问题。</w:t>
      </w:r>
    </w:p>
    <w:p>
      <w:pPr>
        <w:pStyle w:val="120"/>
        <w:spacing w:line="300" w:lineRule="auto"/>
        <w:ind w:firstLineChars="200"/>
        <w:rPr>
          <w:rFonts w:ascii="Times New Roman" w:hAnsi="Times New Roman"/>
        </w:rPr>
      </w:pPr>
      <w:r>
        <w:rPr>
          <w:rFonts w:ascii="Times New Roman" w:hAnsi="Times New Roman"/>
        </w:rPr>
        <w:t>2、组织初步设计、施工图设计。</w:t>
      </w:r>
    </w:p>
    <w:p>
      <w:pPr>
        <w:pStyle w:val="120"/>
        <w:spacing w:line="300" w:lineRule="auto"/>
        <w:ind w:firstLineChars="200"/>
        <w:rPr>
          <w:rFonts w:ascii="Times New Roman" w:hAnsi="Times New Roman"/>
        </w:rPr>
      </w:pPr>
      <w:r>
        <w:rPr>
          <w:rFonts w:ascii="Times New Roman" w:hAnsi="Times New Roman"/>
        </w:rPr>
        <w:t>3、组织施工招投标，委托监理单位。</w:t>
      </w:r>
    </w:p>
    <w:p>
      <w:pPr>
        <w:pStyle w:val="120"/>
        <w:spacing w:line="300" w:lineRule="auto"/>
        <w:ind w:firstLineChars="200"/>
        <w:rPr>
          <w:rFonts w:ascii="Times New Roman" w:hAnsi="Times New Roman"/>
        </w:rPr>
      </w:pPr>
      <w:r>
        <w:rPr>
          <w:rFonts w:ascii="Times New Roman" w:hAnsi="Times New Roman"/>
        </w:rPr>
        <w:t>4、其他业主应完成的工作。</w:t>
      </w:r>
    </w:p>
    <w:p>
      <w:pPr>
        <w:pStyle w:val="5"/>
        <w:ind w:firstLine="482" w:firstLineChars="200"/>
        <w:rPr>
          <w:rFonts w:ascii="Times New Roman" w:hAnsi="Times New Roman"/>
        </w:rPr>
      </w:pPr>
      <w:r>
        <w:rPr>
          <w:rFonts w:ascii="Times New Roman" w:hAnsi="Times New Roman"/>
        </w:rPr>
        <w:t>施工阶段</w:t>
      </w:r>
    </w:p>
    <w:p>
      <w:pPr>
        <w:pStyle w:val="120"/>
        <w:spacing w:line="300" w:lineRule="auto"/>
        <w:ind w:firstLineChars="200"/>
        <w:rPr>
          <w:rFonts w:ascii="Times New Roman" w:hAnsi="Times New Roman"/>
        </w:rPr>
      </w:pPr>
      <w:r>
        <w:rPr>
          <w:rFonts w:ascii="Times New Roman" w:hAnsi="Times New Roman"/>
        </w:rPr>
        <w:t>建设各方应按《合同法》及《建设工程施工合同》有关规定执行各自的职责。</w:t>
      </w:r>
    </w:p>
    <w:p>
      <w:pPr>
        <w:pStyle w:val="120"/>
        <w:spacing w:line="300" w:lineRule="auto"/>
        <w:ind w:firstLineChars="200"/>
        <w:rPr>
          <w:rFonts w:ascii="Times New Roman" w:hAnsi="Times New Roman"/>
        </w:rPr>
      </w:pPr>
      <w:r>
        <w:rPr>
          <w:rFonts w:ascii="Times New Roman" w:hAnsi="Times New Roman"/>
        </w:rPr>
        <w:t>建设单位应建立以委托的监理单位派驻的监理工程师和自身委派驻现场的法人代表为核心的管理体制，对工程进行计划、控制、监督、协调。</w:t>
      </w:r>
    </w:p>
    <w:p>
      <w:pPr>
        <w:pStyle w:val="120"/>
        <w:spacing w:line="300" w:lineRule="auto"/>
        <w:ind w:firstLineChars="200"/>
        <w:rPr>
          <w:rFonts w:ascii="Times New Roman" w:hAnsi="Times New Roman"/>
        </w:rPr>
      </w:pPr>
      <w:r>
        <w:rPr>
          <w:rFonts w:ascii="Times New Roman" w:hAnsi="Times New Roman"/>
        </w:rPr>
        <w:t>监理工程师应按投资、质量、进度三大目标对工程进行控制。</w:t>
      </w:r>
    </w:p>
    <w:p>
      <w:pPr>
        <w:pStyle w:val="120"/>
        <w:spacing w:line="300" w:lineRule="auto"/>
        <w:ind w:firstLineChars="200"/>
        <w:rPr>
          <w:rFonts w:ascii="Times New Roman" w:hAnsi="Times New Roman"/>
        </w:rPr>
      </w:pPr>
      <w:r>
        <w:rPr>
          <w:rFonts w:ascii="Times New Roman" w:hAnsi="Times New Roman"/>
        </w:rPr>
        <w:t>施工单位应建立以项目经理为主的施工管理体制，按合同要求完成工程，并正确履行自己分职责。</w:t>
      </w:r>
    </w:p>
    <w:p>
      <w:pPr>
        <w:pStyle w:val="5"/>
        <w:ind w:firstLine="482" w:firstLineChars="200"/>
        <w:rPr>
          <w:rFonts w:ascii="Times New Roman" w:hAnsi="Times New Roman"/>
        </w:rPr>
      </w:pPr>
      <w:r>
        <w:rPr>
          <w:rFonts w:ascii="Times New Roman" w:hAnsi="Times New Roman"/>
        </w:rPr>
        <w:t>工程运营期的管理</w:t>
      </w:r>
    </w:p>
    <w:p>
      <w:pPr>
        <w:pStyle w:val="120"/>
        <w:spacing w:line="300" w:lineRule="auto"/>
        <w:ind w:firstLineChars="200"/>
        <w:rPr>
          <w:rFonts w:ascii="Times New Roman" w:hAnsi="Times New Roman"/>
          <w:szCs w:val="24"/>
        </w:rPr>
      </w:pPr>
      <w:r>
        <w:rPr>
          <w:rFonts w:ascii="Times New Roman" w:hAnsi="Times New Roman"/>
          <w:szCs w:val="24"/>
        </w:rPr>
        <w:t>1、养护管理</w:t>
      </w:r>
    </w:p>
    <w:p>
      <w:pPr>
        <w:pStyle w:val="120"/>
        <w:spacing w:line="300" w:lineRule="auto"/>
        <w:ind w:firstLineChars="200"/>
        <w:rPr>
          <w:rFonts w:ascii="Times New Roman" w:hAnsi="Times New Roman"/>
          <w:szCs w:val="24"/>
        </w:rPr>
      </w:pPr>
      <w:r>
        <w:rPr>
          <w:rFonts w:ascii="Times New Roman" w:hAnsi="Times New Roman"/>
          <w:szCs w:val="24"/>
        </w:rPr>
        <w:t>进行日常和定期的全线巡视，以便了解道路的运营、设施状况以及异常现象，及时采取相应的措施；整饰路容，保证道路的清洁，提高沿线绿化水平，保持良好景观；路面修整，构造物及附属工程的维修；养护改善工作，除对灾害进行复原工程外，还应对于交通量的增加而提高道路的使用质量的补强工程，以及其它规模较大的改善工程。</w:t>
      </w:r>
    </w:p>
    <w:p>
      <w:pPr>
        <w:pStyle w:val="120"/>
        <w:spacing w:line="300" w:lineRule="auto"/>
        <w:ind w:firstLineChars="200"/>
        <w:rPr>
          <w:rFonts w:ascii="Times New Roman" w:hAnsi="Times New Roman"/>
          <w:szCs w:val="24"/>
        </w:rPr>
      </w:pPr>
      <w:r>
        <w:rPr>
          <w:rFonts w:ascii="Times New Roman" w:hAnsi="Times New Roman"/>
          <w:szCs w:val="24"/>
        </w:rPr>
        <w:t>2、交通管理</w:t>
      </w:r>
    </w:p>
    <w:p>
      <w:pPr>
        <w:pStyle w:val="120"/>
        <w:spacing w:line="300" w:lineRule="auto"/>
        <w:ind w:firstLineChars="200"/>
        <w:rPr>
          <w:rFonts w:ascii="Times New Roman" w:hAnsi="Times New Roman"/>
          <w:sz w:val="21"/>
          <w:szCs w:val="21"/>
        </w:rPr>
      </w:pPr>
      <w:r>
        <w:rPr>
          <w:rFonts w:ascii="Times New Roman" w:hAnsi="Times New Roman"/>
          <w:szCs w:val="24"/>
        </w:rPr>
        <w:t>通过日常的交通巡逻，发现交通事故、违章停车和驾驶等阻塞交通的异常现象，发现道路构造物的损坏部位和程度，以便及时排除交通障碍、对故障车辆等提供路边援助、对违章车辆进行查处和对违章司机的教育；准确而迅速地收集资料，经分析整理后，通过通讯监控系统，汇集于信息中心处理，并发布指令。</w:t>
      </w:r>
      <w:r>
        <w:rPr>
          <w:rFonts w:ascii="Times New Roman" w:hAnsi="Times New Roman"/>
          <w:szCs w:val="24"/>
        </w:rPr>
        <w:br w:type="page"/>
      </w:r>
    </w:p>
    <w:p>
      <w:pPr>
        <w:pStyle w:val="2"/>
        <w:keepNext/>
        <w:keepLines/>
        <w:numPr>
          <w:ilvl w:val="0"/>
          <w:numId w:val="2"/>
        </w:numPr>
        <w:spacing w:before="191" w:beforeLines="0" w:after="191" w:afterLines="0" w:line="360" w:lineRule="auto"/>
        <w:ind w:firstLine="643" w:firstLineChars="200"/>
        <w:jc w:val="center"/>
        <w:rPr>
          <w:rFonts w:ascii="Times New Roman" w:hAnsi="Times New Roman"/>
        </w:rPr>
      </w:pPr>
      <w:bookmarkStart w:id="315" w:name="_Toc19373"/>
      <w:r>
        <w:rPr>
          <w:rFonts w:ascii="Times New Roman" w:hAnsi="Times New Roman"/>
          <w:color w:val="auto"/>
        </w:rPr>
        <w:t>项目运营方案</w:t>
      </w:r>
      <w:bookmarkEnd w:id="315"/>
    </w:p>
    <w:p>
      <w:pPr>
        <w:pStyle w:val="3"/>
        <w:ind w:firstLine="562" w:firstLineChars="200"/>
      </w:pPr>
      <w:bookmarkStart w:id="316" w:name="_Toc139635504"/>
      <w:bookmarkStart w:id="317" w:name="_Toc85909682"/>
      <w:bookmarkStart w:id="318" w:name="_Toc87278310"/>
      <w:bookmarkStart w:id="319" w:name="_Toc7932"/>
      <w:r>
        <w:t>运营模式选择</w:t>
      </w:r>
      <w:bookmarkEnd w:id="316"/>
      <w:bookmarkEnd w:id="317"/>
      <w:bookmarkEnd w:id="318"/>
      <w:bookmarkEnd w:id="319"/>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本项目建成竣工验收后，道路工程移交南沙区政府，由南沙区政府组建或者委托专业的机构负责道路的运营管养。</w:t>
      </w:r>
    </w:p>
    <w:p>
      <w:pPr>
        <w:pStyle w:val="3"/>
        <w:ind w:firstLine="562" w:firstLineChars="200"/>
      </w:pPr>
      <w:bookmarkStart w:id="320" w:name="_Toc85909683"/>
      <w:bookmarkStart w:id="321" w:name="_Toc139635505"/>
      <w:bookmarkStart w:id="322" w:name="_Toc87278311"/>
      <w:bookmarkStart w:id="323" w:name="_Toc5333"/>
      <w:r>
        <w:t>运营组织方案</w:t>
      </w:r>
      <w:bookmarkEnd w:id="320"/>
      <w:bookmarkEnd w:id="321"/>
      <w:bookmarkEnd w:id="322"/>
      <w:bookmarkEnd w:id="323"/>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本项目为常规市政道路项目，各管养权属单位均有成熟的项目管理经验，可为本项目提供安全高效的保障措施。各管养权属单位应设置合理的组织管理架构，对上岗职工定期培训，不断更新学习相关新技术及政策规定，做到合规管理、高效治理、透明治理。应强化运营单位主体责任，落实政府监管要求。在管理过程中，应遵循有关部门颁布的各类运营管理标准（包括强制性标准和参考性标准等），确保满足产品或服务质量、安全标准等要求。</w:t>
      </w:r>
    </w:p>
    <w:p>
      <w:pPr>
        <w:pStyle w:val="3"/>
        <w:ind w:firstLine="562" w:firstLineChars="200"/>
      </w:pPr>
      <w:bookmarkStart w:id="324" w:name="_Toc139635506"/>
      <w:bookmarkStart w:id="325" w:name="_Toc10988"/>
      <w:r>
        <w:t>安全保障方案</w:t>
      </w:r>
      <w:bookmarkEnd w:id="324"/>
      <w:bookmarkEnd w:id="325"/>
    </w:p>
    <w:p>
      <w:pPr>
        <w:pStyle w:val="4"/>
        <w:ind w:firstLine="482" w:firstLineChars="200"/>
      </w:pPr>
      <w:bookmarkStart w:id="326" w:name="_Toc139635507"/>
      <w:bookmarkStart w:id="327" w:name="_Toc137302069"/>
      <w:bookmarkStart w:id="328" w:name="_Toc27890"/>
      <w:r>
        <w:t>安全技术对策措施</w:t>
      </w:r>
      <w:bookmarkEnd w:id="326"/>
      <w:bookmarkEnd w:id="327"/>
      <w:bookmarkEnd w:id="328"/>
    </w:p>
    <w:p>
      <w:pPr>
        <w:pStyle w:val="5"/>
        <w:ind w:firstLine="482" w:firstLineChars="200"/>
        <w:rPr>
          <w:rFonts w:ascii="Times New Roman" w:hAnsi="Times New Roman"/>
        </w:rPr>
      </w:pPr>
      <w:r>
        <w:rPr>
          <w:rFonts w:ascii="Times New Roman" w:hAnsi="Times New Roman"/>
        </w:rPr>
        <w:t>平面布置方面的对策措施</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本项目应尽量满足防火、防爆、安全、卫生等有关规范的要求，合理设计功能区划，力求人流、物流短捷顺畅，方便人群疏散与管理。</w:t>
      </w:r>
    </w:p>
    <w:p>
      <w:pPr>
        <w:pStyle w:val="5"/>
        <w:ind w:firstLine="482" w:firstLineChars="200"/>
        <w:rPr>
          <w:rFonts w:ascii="Times New Roman" w:hAnsi="Times New Roman"/>
        </w:rPr>
      </w:pPr>
      <w:r>
        <w:rPr>
          <w:rFonts w:ascii="Times New Roman" w:hAnsi="Times New Roman"/>
        </w:rPr>
        <w:t>确保安全的措施</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（一）强化安全生产管理体系</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（1）本工程安全生产目标为：无死亡、重伤、无火灾及设备事故发生。</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（2）按文明施工样板工程进行安全生产及管理，争取创安全文明施工管理先进工地。</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（二）安全生产的主要措施</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（1）项目各级领导应牢固树立“安全第一、预防为主”的思想，坚决贯彻“管生产必须管安全”的原则，把安全生产放在重要议事日程上作为头等大事来抓，并认真落实“安全生产、文明施工”的规定。</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（2）建立健全并全面贯彻安全管理制度和各岗位安全责任制，根据工程性质，特点成立三级安全管理机构。</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（3）加强安全教育，提高全员安全意识与知识水平。</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（4）按规定办理各项安全生产管理手续，配合业主加强工地的防火措施，严格控制施工用火，杜绝火灾事故的发生。</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（6）在工地和生活区配备必要的防火器材，做好施工和生活用电的保护，加强对夜间施工用电的管理，确保不发生意外。</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（三）冬季和雨季的施工安排</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根据本工程所处地理位置、气候属亚热带，年平均气温为19.6℃，对冬季施工作业有所影响，建议尽早安排在冬季之前施工，重点应在解决雨季施工安排，由于海洋性季风的影响，工程所在地雨量充沛，夏季高温多雨，每年3～9月为雨季，正是本项目的施工高峰期，难免会给施工作业和工程进度造成一定的困难。为此我们从以下几个方面做好雨季施工安排。</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（1）备足施工材料、工地仓库做好防雨措施，确保库存物资不变质，确保雨季材料供应不间断。</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（2）合理安排施工作业，晴天尽量抢干或多干会受雨水影响的工序施工作业，为雨季施工造成的耗能降效留有充分的时间余地。</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（3）随时掌握天气变化情况，及时调整施工组织安排，最大限度地减少雨季给施工作业带来的损失，确保按时优质完成施工任务。</w:t>
      </w:r>
    </w:p>
    <w:p>
      <w:pPr>
        <w:pStyle w:val="5"/>
        <w:ind w:firstLine="482" w:firstLineChars="200"/>
        <w:rPr>
          <w:rFonts w:ascii="Times New Roman" w:hAnsi="Times New Roman"/>
        </w:rPr>
      </w:pPr>
      <w:r>
        <w:rPr>
          <w:rFonts w:ascii="Times New Roman" w:hAnsi="Times New Roman"/>
        </w:rPr>
        <w:t>其它对策措施</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在各危险地点和危险设备处，设立安全标志或涂刷相应的安全色，并符合《安全色》（GB 2893-2008）、《安全标志及其使用导则》（GB2894-2008）等的要求。</w:t>
      </w:r>
    </w:p>
    <w:p>
      <w:pPr>
        <w:pStyle w:val="4"/>
        <w:ind w:firstLine="482" w:firstLineChars="200"/>
      </w:pPr>
      <w:bookmarkStart w:id="329" w:name="_Toc139635508"/>
      <w:bookmarkStart w:id="330" w:name="_Toc6250"/>
      <w:r>
        <w:t>劳动卫生对策措施</w:t>
      </w:r>
      <w:bookmarkEnd w:id="329"/>
      <w:bookmarkEnd w:id="330"/>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bookmarkStart w:id="331" w:name="_Toc139635509"/>
      <w:r>
        <w:rPr>
          <w:rFonts w:ascii="Times New Roman" w:hAnsi="Times New Roman"/>
          <w:b w:val="0"/>
          <w:color w:val="000000" w:themeColor="text1"/>
          <w:sz w:val="24"/>
          <w:szCs w:val="24"/>
          <w14:textFill>
            <w14:solidFill>
              <w14:schemeClr w14:val="tx1"/>
            </w14:solidFill>
          </w14:textFill>
        </w:rPr>
        <w:t>本项目经营期间一定要认真贯彻执行国家和行业有关劳动保护、安全生产与卫生法规标准，从生产工艺设计和设备选型中，特别关注生产安全与卫生可能发生的事故，并积极采取有效防范措施，确保生产经营活动的顺利进行。</w:t>
      </w:r>
    </w:p>
    <w:p>
      <w:pPr>
        <w:pStyle w:val="5"/>
        <w:ind w:firstLine="482" w:firstLineChars="200"/>
        <w:rPr>
          <w:rFonts w:ascii="Times New Roman" w:hAnsi="Times New Roman"/>
        </w:rPr>
      </w:pPr>
      <w:r>
        <w:rPr>
          <w:rFonts w:ascii="Times New Roman" w:hAnsi="Times New Roman"/>
        </w:rPr>
        <w:t>主要不安全因素及职业危害因素</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1、自然危害因素有：暴雨、洪水、雷电、地震、酷热等。</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2、生产过程中的不安全因素有：电气事故、机械伤害、操作事故、运输设备伤害等。</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3、生产过程中主要职业危害有：粉尘、烟气、噪声、CO等。</w:t>
      </w:r>
    </w:p>
    <w:p>
      <w:pPr>
        <w:pStyle w:val="5"/>
        <w:ind w:firstLine="482" w:firstLineChars="200"/>
        <w:rPr>
          <w:rFonts w:ascii="Times New Roman" w:hAnsi="Times New Roman"/>
        </w:rPr>
      </w:pPr>
      <w:r>
        <w:rPr>
          <w:rFonts w:ascii="Times New Roman" w:hAnsi="Times New Roman"/>
        </w:rPr>
        <w:t>采取的主要防范措施</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本项目生产过程中的高温、噪声、粉尘、平台作业、运转设备及电力等也有可能对员工造成伤害。针对项目不安全因素，结合起重机的生产特点，依据有关规程、规范、标准及法规，对生产过程中的主要职业危害采取如下防范措施：</w:t>
      </w:r>
    </w:p>
    <w:p>
      <w:pPr>
        <w:pStyle w:val="31"/>
        <w:spacing w:line="300" w:lineRule="auto"/>
        <w:ind w:firstLine="482" w:firstLineChars="200"/>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1、防自然灾害措施</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（1）建筑物室内地坪高于室外地坪，防止暴雨积水浸入室内，雨水排水管网按当地暴雨公式设计。</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（2）厂址标高设计考虑不低于该地区历年最高洪水水位。</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（3）防雷击、接地保护：本工程高于15米以上的建筑物（构筑物）均设有避雷针或避雷带，其接地冲击电阻小于10Ω。建筑防雷设计符合国标GB50057-2010《建筑物防雷设计》等规程要求。</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（4）正常非带电设备金属外壳、构架等均可靠接地。接地电阻不大于4Ω，管道防静电接地电阻不大于10Ω。插座选用带保护接地的安全插座。</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（5）防地震：本工程所在地的地震基本烈度为6度，技术改造房屋按地震基本烈度6度设防。</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（6）防暑、防冻措施：冶炼控制室、操作室、计算机室内设置空调机组降温，在冬季，地面以上的各种管道、水池等处设计防冻保温层。地下管道埋藏深度应大于当地冻土深度（＞65厘米）。</w:t>
      </w:r>
    </w:p>
    <w:p>
      <w:pPr>
        <w:pStyle w:val="31"/>
        <w:spacing w:line="300" w:lineRule="auto"/>
        <w:ind w:firstLine="482" w:firstLineChars="200"/>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2、电气安全保障措施</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（1）生产过程中大量动力设备需要使用电力作为能源，一旦漏电，就有可能造成员工触电，发生伤亡事故。为减少停电带来的不安全因素，本项目采用两路电源供电，同时设有保安电源。</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（2）各种电气设备的非带电金属外壳，如控制屏、高、低压开关柜、变压器等，设置可靠的接地、接零，防止发生人员触电事故。有爆炸危险的气体管道等，其防静电接地电阻小于4Ω。</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3）重要场所如主控室、变压器室等，除正常设置220V照明灯外，同时还装备事故照明灯。携带式照明灯具的电压不得超过36V，在金属容器内或潮湿外的灯具电压不得超过12V。爆炸危险的工作场所，使用防爆型电气设备。</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（4）除对所有的电气设备设置防触电接地外，还在高处的建筑物和设备上安装避雷装置。</w:t>
      </w:r>
    </w:p>
    <w:p>
      <w:pPr>
        <w:pStyle w:val="31"/>
        <w:spacing w:line="300" w:lineRule="auto"/>
        <w:ind w:firstLine="482" w:firstLineChars="200"/>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3、机械设备安全</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（1）所有运转设备的裸露部分，或设备在运转中操作者需要接近的可动零部件，应在适当位置设置防护罩或防护栏。</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（2）生产装置有较多的操作平台，如防护措施不当，有可能造成跌落，导致员工伤亡。</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因此，对所有的走廊、平台应设置防护栏，防止操作人员跌落。（3）各种坑、井、池均设防护栏杆，沟设置盖板。所有交叉动作的机械设备均设有安全连锁装置。</w:t>
      </w:r>
    </w:p>
    <w:p>
      <w:pPr>
        <w:pStyle w:val="31"/>
        <w:spacing w:line="300" w:lineRule="auto"/>
        <w:ind w:firstLine="482" w:firstLineChars="200"/>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4、安全供水</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（1）该项目厂外供水由项目建设区域自来水站提供。</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（2）厂内供水泵房采用两路独立电源供电，并设有备用泵，备用率为100%。</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（3）循环冷却水系统设有水压、水温、水位监控和报警装置。</w:t>
      </w:r>
    </w:p>
    <w:p>
      <w:pPr>
        <w:pStyle w:val="31"/>
        <w:spacing w:line="300" w:lineRule="auto"/>
        <w:ind w:firstLine="482" w:firstLineChars="200"/>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5、通风、防尘、防毒</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生产过程中有粉尘产生，这些粉尘一旦被吸入人体，有可能造成员工的结膜、呼吸系统受损。为此，所有可能产生粉尘等有害物质的场所，都要安装吸尘装置，同时，做到增湿降尘，而且要对容易产生粉尘的燃煤进行洒水减尘。热源炉采用微负压操作，防止粉尘泄漏，同时为操作人员配备口罩等劳保用品，确保其粉尘浓度符合GBZ 1-2010《工业企业设计卫生标准》的规定。</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（2）在容易发生有害气体泄漏的区域应加强通风，并设置有害气体自动报警装置和便携式报警仪，工人操作时应</w:t>
      </w:r>
      <w:r>
        <w:rPr>
          <w:rFonts w:hint="eastAsia" w:ascii="Times New Roman" w:hAnsi="Times New Roman"/>
          <w:b w:val="0"/>
          <w:color w:val="000000" w:themeColor="text1"/>
          <w:sz w:val="24"/>
          <w:szCs w:val="24"/>
          <w14:textFill>
            <w14:solidFill>
              <w14:schemeClr w14:val="tx1"/>
            </w14:solidFill>
          </w14:textFill>
        </w:rPr>
        <w:t>佩戴</w:t>
      </w:r>
      <w:r>
        <w:rPr>
          <w:rFonts w:ascii="Times New Roman" w:hAnsi="Times New Roman"/>
          <w:b w:val="0"/>
          <w:color w:val="000000" w:themeColor="text1"/>
          <w:sz w:val="24"/>
          <w:szCs w:val="24"/>
          <w14:textFill>
            <w14:solidFill>
              <w14:schemeClr w14:val="tx1"/>
            </w14:solidFill>
          </w14:textFill>
        </w:rPr>
        <w:t>防护面具和氧气呼吸器。对中毒者应迅速离开现场，呼吸新鲜空气，取半卧位休息，严重者送医院治疗。</w:t>
      </w:r>
    </w:p>
    <w:p>
      <w:pPr>
        <w:pStyle w:val="31"/>
        <w:spacing w:line="300" w:lineRule="auto"/>
        <w:ind w:firstLine="482" w:firstLineChars="200"/>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6、噪声控制</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生产过程中使用了较多的运转设备，如输送物料的机械设备、制造真空的真空泵、空气压缩机、风机等，均有较强的噪声产生，这些设备产生的噪声在55—85dBA之间。如对噪声的防范措施不当，有可能造成接触噪声员工的听力下降、神经衰弱。在优先选用噪声低的优质机械产品的同时，对于产生噪音较大的设备尽量配置消声器。在管道配置中避免管道共振长度，使由于震动产生的噪音降到最低。为保障工人的身体健康，避免操作人员长期置身于噪声环境中，该区域的值班室、休息室采取双层门窗等独立设置的隔音效果良好的房间，必要时配置降噪耳塞防护措施。</w:t>
      </w:r>
    </w:p>
    <w:p>
      <w:pPr>
        <w:pStyle w:val="31"/>
        <w:spacing w:line="300" w:lineRule="auto"/>
        <w:ind w:firstLine="482" w:firstLineChars="200"/>
        <w:rPr>
          <w:rFonts w:ascii="Times New Roman" w:hAnsi="Times New Roman"/>
          <w:bCs/>
          <w:color w:val="000000" w:themeColor="text1"/>
          <w:sz w:val="24"/>
          <w:szCs w:val="24"/>
          <w14:textFill>
            <w14:solidFill>
              <w14:schemeClr w14:val="tx1"/>
            </w14:solidFill>
          </w14:textFill>
        </w:rPr>
      </w:pPr>
      <w:r>
        <w:rPr>
          <w:rFonts w:ascii="Times New Roman" w:hAnsi="Times New Roman"/>
          <w:bCs/>
          <w:color w:val="000000" w:themeColor="text1"/>
          <w:sz w:val="24"/>
          <w:szCs w:val="24"/>
          <w14:textFill>
            <w14:solidFill>
              <w14:schemeClr w14:val="tx1"/>
            </w14:solidFill>
          </w14:textFill>
        </w:rPr>
        <w:t>7、厂区绿化</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为给生产及生活创造良好的环境，设计考虑了绿化投资，在主、辅厂房的四周、道路两侧及成块空地上植树种草，绿化不仅可美化环境，而且可以吸有害气体、净化环境、降低噪声、改善小气候、有利于工人的身心健康。</w:t>
      </w:r>
    </w:p>
    <w:p>
      <w:pPr>
        <w:pStyle w:val="4"/>
        <w:ind w:firstLine="482" w:firstLineChars="200"/>
      </w:pPr>
      <w:bookmarkStart w:id="332" w:name="_Toc1560"/>
      <w:r>
        <w:t>安全管理方面的对策措施</w:t>
      </w:r>
      <w:bookmarkEnd w:id="331"/>
      <w:bookmarkEnd w:id="332"/>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本项目运营过程中存在的风险主要有交通事故、火灾、管道破损等危险有害因素。各管养单位在保障相关专业安全运营过程中负有重要的责任。项目运营要牢固树立安全发展理念，应明确安全生产责任和应急管理要求，配备必要的人员和管理、检查、检测、培训和应急抢救仪器设备和设施。</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必须建立健全安全生产责任制，有健全的安全管理体系，制定并教育全体职工遵守《安全生产规程》，并能严格贯彻执行。应根据实际生产情况变化及时补充、修订、完善安全操作规程。</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对上岗职工必须进行专业培训和安全培训。一般岗位操作人员应具有中专、技校以上文化程度，需进行针对性的安全技术知识教育，特殊工种应持国家有关部门颁发的安全操作证上岗。</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编制岗位以及设备的安全检查表，并定期地对照安全检查表进行安全检查。</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开展安全教育活动，使每个职工都熟悉本岗位的事故案例及防范措施。并通过事故演练等方法，提高员工的安全素质和紧急情况下的应急、应变能力。</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除有专业消防人员外，还应组织义务消防队员定期进行消防训练，掌握各种消防器材的使用方法。</w:t>
      </w:r>
    </w:p>
    <w:p>
      <w:pPr>
        <w:pStyle w:val="3"/>
        <w:ind w:firstLine="562" w:firstLineChars="200"/>
      </w:pPr>
      <w:bookmarkStart w:id="333" w:name="_Toc139635510"/>
      <w:bookmarkStart w:id="334" w:name="_Toc24257"/>
      <w:r>
        <w:t>绩效管理方案</w:t>
      </w:r>
      <w:bookmarkEnd w:id="333"/>
      <w:bookmarkEnd w:id="334"/>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管养运营单位应定期对本项目各子项开展检测、维护工作，及时处理路面、管线病害，避免病害的发展。对于运营过程中路面、管线的开挖等，应统筹各类管线的建设需求，尽量避免对道路的反复开挖。总之，各权属单位应该结合专业实际，制定项目全生命周期关键绩效指标和绩效管理机制，降低后期管养费用的投入。</w:t>
      </w:r>
    </w:p>
    <w:p>
      <w:pPr>
        <w:pStyle w:val="4"/>
        <w:spacing w:line="300" w:lineRule="auto"/>
        <w:ind w:firstLine="482" w:firstLineChars="200"/>
      </w:pPr>
      <w:bookmarkStart w:id="335" w:name="_Toc22999"/>
      <w:r>
        <w:t>绩效目标</w:t>
      </w:r>
      <w:bookmarkEnd w:id="335"/>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项目可采用综合评价方法，围绕社会绩效、环境绩效两个绩效目标，设计绩效考核评价体系。</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社会绩效目标：主要从社会公益绩效和服务绩效两个方面进行评价，其中公益绩效主要反映综合体骨干道路为周边居民提供前往体育馆的通行路径，提高周边居民的运动锻炼积极性，并宣传社会公益活动；服务绩效主要衡量指公众和社会对综合体骨干路道路功能服务质量的认同情况，主要指道路的服务效益、通行时间效率等问题。</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环境绩效目标：主要从道路环境进行评价，环境包括噪音情况、道路景观效果指标等环境绩效指标。</w:t>
      </w:r>
      <w:r>
        <w:rPr>
          <w:rFonts w:ascii="Times New Roman" w:hAnsi="Times New Roman"/>
        </w:rPr>
        <w:t>境。</w:t>
      </w:r>
    </w:p>
    <w:p>
      <w:pPr>
        <w:pStyle w:val="4"/>
        <w:spacing w:line="300" w:lineRule="auto"/>
        <w:ind w:firstLine="482" w:firstLineChars="200"/>
      </w:pPr>
      <w:bookmarkStart w:id="336" w:name="_Toc23250"/>
      <w:r>
        <w:t>绩效评价程序</w:t>
      </w:r>
      <w:bookmarkEnd w:id="336"/>
    </w:p>
    <w:p>
      <w:pPr>
        <w:pStyle w:val="102"/>
        <w:rPr>
          <w:rFonts w:ascii="Times New Roman" w:hAnsi="Times New Roman"/>
        </w:rPr>
      </w:pPr>
      <w:r>
        <w:rPr>
          <w:rFonts w:ascii="Times New Roman" w:hAnsi="Times New Roman"/>
        </w:rPr>
        <w:t>（1）设定绩效评估目标；</w:t>
      </w:r>
    </w:p>
    <w:p>
      <w:pPr>
        <w:pStyle w:val="102"/>
        <w:rPr>
          <w:rFonts w:ascii="Times New Roman" w:hAnsi="Times New Roman"/>
        </w:rPr>
      </w:pPr>
      <w:r>
        <w:rPr>
          <w:rFonts w:ascii="Times New Roman" w:hAnsi="Times New Roman"/>
        </w:rPr>
        <w:t>（2）选择绩效评估方法和体系；</w:t>
      </w:r>
    </w:p>
    <w:p>
      <w:pPr>
        <w:pStyle w:val="102"/>
        <w:rPr>
          <w:rFonts w:ascii="Times New Roman" w:hAnsi="Times New Roman"/>
        </w:rPr>
      </w:pPr>
      <w:r>
        <w:rPr>
          <w:rFonts w:ascii="Times New Roman" w:hAnsi="Times New Roman"/>
        </w:rPr>
        <w:t>（3）收集评价相关资料并进行审查核实；</w:t>
      </w:r>
    </w:p>
    <w:p>
      <w:pPr>
        <w:pStyle w:val="102"/>
        <w:rPr>
          <w:rFonts w:ascii="Times New Roman" w:hAnsi="Times New Roman"/>
        </w:rPr>
      </w:pPr>
      <w:r>
        <w:rPr>
          <w:rFonts w:ascii="Times New Roman" w:hAnsi="Times New Roman"/>
        </w:rPr>
        <w:t>（4）进行现场走访和实地访谈；</w:t>
      </w:r>
    </w:p>
    <w:p>
      <w:pPr>
        <w:pStyle w:val="102"/>
        <w:rPr>
          <w:rFonts w:ascii="Times New Roman" w:hAnsi="Times New Roman"/>
        </w:rPr>
      </w:pPr>
      <w:r>
        <w:rPr>
          <w:rFonts w:ascii="Times New Roman" w:hAnsi="Times New Roman"/>
        </w:rPr>
        <w:t>（5）综合分析并编制评价报告；</w:t>
      </w:r>
    </w:p>
    <w:p>
      <w:pPr>
        <w:pStyle w:val="102"/>
        <w:rPr>
          <w:rFonts w:ascii="Times New Roman" w:hAnsi="Times New Roman"/>
        </w:rPr>
      </w:pPr>
      <w:r>
        <w:rPr>
          <w:rFonts w:ascii="Times New Roman" w:hAnsi="Times New Roman"/>
        </w:rPr>
        <w:t>（6）下达评价结论并归档。</w:t>
      </w:r>
    </w:p>
    <w:p>
      <w:pPr>
        <w:pStyle w:val="102"/>
        <w:rPr>
          <w:rFonts w:ascii="Times New Roman" w:hAnsi="Times New Roman"/>
        </w:rPr>
      </w:pPr>
      <w:r>
        <w:rPr>
          <w:rFonts w:ascii="Times New Roman" w:hAnsi="Times New Roman"/>
        </w:rPr>
        <w:t>对于绩效评价报告中指出的问题，应在接到书面通知后，在通知要求的期限内进行整改。</w:t>
      </w:r>
    </w:p>
    <w:p>
      <w:pPr>
        <w:pStyle w:val="4"/>
        <w:spacing w:line="300" w:lineRule="auto"/>
        <w:ind w:firstLine="482" w:firstLineChars="200"/>
      </w:pPr>
      <w:bookmarkStart w:id="337" w:name="_Toc15581"/>
      <w:r>
        <w:t>影响项目绩效目标实现的关键因素</w:t>
      </w:r>
      <w:bookmarkEnd w:id="337"/>
    </w:p>
    <w:p>
      <w:pPr>
        <w:pStyle w:val="102"/>
        <w:rPr>
          <w:rFonts w:ascii="Times New Roman" w:hAnsi="Times New Roman"/>
        </w:rPr>
      </w:pPr>
      <w:r>
        <w:rPr>
          <w:rFonts w:ascii="Times New Roman" w:hAnsi="Times New Roman"/>
        </w:rPr>
        <w:t>1.运营单位经营管理水平</w:t>
      </w:r>
    </w:p>
    <w:p>
      <w:pPr>
        <w:pStyle w:val="102"/>
        <w:rPr>
          <w:rFonts w:ascii="Times New Roman" w:hAnsi="Times New Roman"/>
        </w:rPr>
      </w:pPr>
      <w:r>
        <w:rPr>
          <w:rFonts w:ascii="Times New Roman" w:hAnsi="Times New Roman"/>
        </w:rPr>
        <w:t>2.道路设施设备维护条件</w:t>
      </w:r>
    </w:p>
    <w:p>
      <w:pPr>
        <w:pStyle w:val="3"/>
        <w:ind w:firstLine="562" w:firstLineChars="200"/>
      </w:pPr>
      <w:bookmarkStart w:id="338" w:name="_Toc29873"/>
      <w:r>
        <w:t>数字化方案</w:t>
      </w:r>
      <w:bookmarkEnd w:id="338"/>
    </w:p>
    <w:p>
      <w:pPr>
        <w:pStyle w:val="4"/>
        <w:spacing w:line="300" w:lineRule="auto"/>
        <w:ind w:firstLine="482" w:firstLineChars="200"/>
      </w:pPr>
      <w:bookmarkStart w:id="339" w:name="_Toc19593"/>
      <w:r>
        <w:t>BIM三维技术应用</w:t>
      </w:r>
      <w:bookmarkEnd w:id="339"/>
    </w:p>
    <w:p>
      <w:pPr>
        <w:pStyle w:val="31"/>
        <w:spacing w:line="300" w:lineRule="auto"/>
        <w:ind w:firstLine="480" w:firstLineChars="200"/>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（1）基于BIM的参数化设计：根据三维地质模型，查询地质属性，为桥梁、道路工程的三维参数化设计提供直观的参数及分析。</w:t>
      </w:r>
    </w:p>
    <w:p>
      <w:pPr>
        <w:spacing w:line="360" w:lineRule="auto"/>
        <w:ind w:firstLine="562" w:firstLineChars="200"/>
        <w:jc w:val="center"/>
        <w:rPr>
          <w:rFonts w:ascii="Times New Roman" w:hAnsi="Times New Roman"/>
        </w:rPr>
      </w:pPr>
      <w:r>
        <w:rPr>
          <w:rFonts w:ascii="Times New Roman" w:hAnsi="Times New Roman"/>
        </w:rPr>
        <w:drawing>
          <wp:inline distT="0" distB="0" distL="0" distR="0">
            <wp:extent cx="605790" cy="1175385"/>
            <wp:effectExtent l="0" t="0" r="3810" b="5715"/>
            <wp:docPr id="16396" name="图片 16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6" name="图片 16396"/>
                    <pic:cNvPicPr>
                      <a:picLocks noChangeAspect="1" noChangeArrowheads="1"/>
                    </pic:cNvPicPr>
                  </pic:nvPicPr>
                  <pic:blipFill>
                    <a:blip r:embed="rId264" cstate="print">
                      <a:extLst>
                        <a:ext uri="{28A0092B-C50C-407E-A947-70E740481C1C}">
                          <a14:useLocalDpi xmlns:a14="http://schemas.microsoft.com/office/drawing/2010/main" val="0"/>
                        </a:ext>
                      </a:extLst>
                    </a:blip>
                    <a:srcRect r="-3722" b="-78"/>
                    <a:stretch>
                      <a:fillRect/>
                    </a:stretch>
                  </pic:blipFill>
                  <pic:spPr>
                    <a:xfrm>
                      <a:off x="0" y="0"/>
                      <a:ext cx="605790" cy="1175385"/>
                    </a:xfrm>
                    <a:prstGeom prst="rect">
                      <a:avLst/>
                    </a:prstGeom>
                    <a:noFill/>
                    <a:ln>
                      <a:noFill/>
                    </a:ln>
                  </pic:spPr>
                </pic:pic>
              </a:graphicData>
            </a:graphic>
          </wp:inline>
        </w:drawing>
      </w:r>
      <w:r>
        <w:rPr>
          <w:rFonts w:ascii="Times New Roman" w:hAnsi="Times New Roman"/>
        </w:rPr>
        <w:drawing>
          <wp:inline distT="0" distB="0" distL="0" distR="0">
            <wp:extent cx="2446020" cy="1449070"/>
            <wp:effectExtent l="0" t="0" r="11430" b="17780"/>
            <wp:docPr id="16395" name="图片 16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5" name="图片 16395"/>
                    <pic:cNvPicPr>
                      <a:picLocks noChangeAspect="1" noChangeArrowheads="1"/>
                    </pic:cNvPicPr>
                  </pic:nvPicPr>
                  <pic:blipFill>
                    <a:blip r:embed="rId265" cstate="print">
                      <a:extLst>
                        <a:ext uri="{28A0092B-C50C-407E-A947-70E740481C1C}">
                          <a14:useLocalDpi xmlns:a14="http://schemas.microsoft.com/office/drawing/2010/main" val="0"/>
                        </a:ext>
                      </a:extLst>
                    </a:blip>
                    <a:srcRect l="-2"/>
                    <a:stretch>
                      <a:fillRect/>
                    </a:stretch>
                  </pic:blipFill>
                  <pic:spPr>
                    <a:xfrm>
                      <a:off x="0" y="0"/>
                      <a:ext cx="2446020" cy="1449070"/>
                    </a:xfrm>
                    <a:prstGeom prst="rect">
                      <a:avLst/>
                    </a:prstGeom>
                    <a:noFill/>
                    <a:ln>
                      <a:noFill/>
                    </a:ln>
                  </pic:spPr>
                </pic:pic>
              </a:graphicData>
            </a:graphic>
          </wp:inline>
        </w:drawing>
      </w:r>
      <w:r>
        <w:rPr>
          <w:rFonts w:ascii="Times New Roman" w:hAnsi="Times New Roman"/>
        </w:rPr>
        <w:drawing>
          <wp:inline distT="0" distB="0" distL="0" distR="0">
            <wp:extent cx="2660015" cy="1460500"/>
            <wp:effectExtent l="9525" t="9525" r="16510" b="15875"/>
            <wp:docPr id="16394" name="图片 16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4" name="图片 16394"/>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a:xfrm>
                      <a:off x="0" y="0"/>
                      <a:ext cx="2660015" cy="1460500"/>
                    </a:xfrm>
                    <a:prstGeom prst="rect">
                      <a:avLst/>
                    </a:prstGeom>
                    <a:noFill/>
                    <a:ln w="9525" cmpd="sng">
                      <a:solidFill>
                        <a:srgbClr val="D9D9D9"/>
                      </a:solidFill>
                      <a:miter lim="800000"/>
                      <a:headEnd/>
                      <a:tailEnd/>
                    </a:ln>
                    <a:effectLst/>
                  </pic:spPr>
                </pic:pic>
              </a:graphicData>
            </a:graphic>
          </wp:inline>
        </w:drawing>
      </w:r>
    </w:p>
    <w:p>
      <w:pPr>
        <w:spacing w:line="360" w:lineRule="auto"/>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BIM三维地质图桥梁三维设计图</w:t>
      </w:r>
    </w:p>
    <w:p>
      <w:pPr>
        <w:spacing w:line="360" w:lineRule="auto"/>
        <w:ind w:firstLine="482" w:firstLineChars="200"/>
        <w:jc w:val="center"/>
        <w:rPr>
          <w:rFonts w:ascii="Times New Roman" w:hAnsi="Times New Roman"/>
          <w:sz w:val="24"/>
          <w:szCs w:val="24"/>
          <w:lang w:val="zh-CN"/>
        </w:rPr>
      </w:pPr>
      <w:r>
        <w:rPr>
          <w:rFonts w:ascii="Times New Roman" w:hAnsi="Times New Roman"/>
          <w:sz w:val="24"/>
          <w:szCs w:val="24"/>
        </w:rPr>
        <w:drawing>
          <wp:inline distT="0" distB="0" distL="0" distR="0">
            <wp:extent cx="2600960" cy="1733550"/>
            <wp:effectExtent l="0" t="0" r="8890" b="0"/>
            <wp:docPr id="16393" name="图片 16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3" name="图片 16393"/>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a:xfrm>
                      <a:off x="0" y="0"/>
                      <a:ext cx="2600960" cy="1733550"/>
                    </a:xfrm>
                    <a:prstGeom prst="rect">
                      <a:avLst/>
                    </a:prstGeom>
                    <a:noFill/>
                    <a:ln>
                      <a:noFill/>
                    </a:ln>
                  </pic:spPr>
                </pic:pic>
              </a:graphicData>
            </a:graphic>
          </wp:inline>
        </w:drawing>
      </w:r>
    </w:p>
    <w:p>
      <w:pPr>
        <w:spacing w:line="360" w:lineRule="auto"/>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道路三维设计图</w:t>
      </w:r>
    </w:p>
    <w:p>
      <w:pPr>
        <w:pStyle w:val="31"/>
        <w:spacing w:line="300" w:lineRule="auto"/>
        <w:ind w:firstLine="480" w:firstLineChars="200"/>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（2）BIM+GIS（倾斜摄影、航拍）数据应用：BIM与GIS集成应用，实现了基于GIS的全线宏观管理、基于BIM的精细管理相结合的多层次设计施工规划及管理。</w:t>
      </w:r>
    </w:p>
    <w:p>
      <w:pPr>
        <w:spacing w:line="360" w:lineRule="auto"/>
        <w:ind w:firstLine="482" w:firstLineChars="200"/>
        <w:jc w:val="left"/>
        <w:rPr>
          <w:rFonts w:ascii="Times New Roman" w:hAnsi="Times New Roman"/>
          <w:sz w:val="24"/>
          <w:szCs w:val="24"/>
        </w:rPr>
      </w:pPr>
      <w:r>
        <w:rPr>
          <w:rFonts w:ascii="Times New Roman" w:hAnsi="Times New Roman"/>
          <w:sz w:val="24"/>
          <w:szCs w:val="24"/>
        </w:rPr>
        <w:drawing>
          <wp:inline distT="0" distB="0" distL="0" distR="0">
            <wp:extent cx="2992755" cy="1674495"/>
            <wp:effectExtent l="0" t="0" r="17145" b="1905"/>
            <wp:docPr id="16391" name="图片 1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1" name="图片 16391"/>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a:xfrm>
                      <a:off x="0" y="0"/>
                      <a:ext cx="2992755" cy="1674495"/>
                    </a:xfrm>
                    <a:prstGeom prst="rect">
                      <a:avLst/>
                    </a:prstGeom>
                    <a:noFill/>
                    <a:ln>
                      <a:noFill/>
                    </a:ln>
                  </pic:spPr>
                </pic:pic>
              </a:graphicData>
            </a:graphic>
          </wp:inline>
        </w:drawing>
      </w:r>
      <w:r>
        <w:rPr>
          <w:rFonts w:ascii="Times New Roman" w:hAnsi="Times New Roman"/>
          <w:sz w:val="24"/>
          <w:szCs w:val="24"/>
        </w:rPr>
        <w:drawing>
          <wp:inline distT="0" distB="0" distL="0" distR="0">
            <wp:extent cx="3016250" cy="1674495"/>
            <wp:effectExtent l="0" t="0" r="12700" b="1905"/>
            <wp:docPr id="16390" name="图片 16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0" name="图片 16390"/>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a:xfrm>
                      <a:off x="0" y="0"/>
                      <a:ext cx="3016250" cy="1674495"/>
                    </a:xfrm>
                    <a:prstGeom prst="rect">
                      <a:avLst/>
                    </a:prstGeom>
                    <a:noFill/>
                    <a:ln>
                      <a:noFill/>
                    </a:ln>
                  </pic:spPr>
                </pic:pic>
              </a:graphicData>
            </a:graphic>
          </wp:inline>
        </w:drawing>
      </w:r>
    </w:p>
    <w:p>
      <w:pPr>
        <w:spacing w:line="360" w:lineRule="auto"/>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GIS实体+BIM虚拟建造BIM三维模型与周边关系</w:t>
      </w:r>
    </w:p>
    <w:p>
      <w:pPr>
        <w:pStyle w:val="31"/>
        <w:spacing w:line="300" w:lineRule="auto"/>
        <w:ind w:firstLine="480" w:firstLineChars="200"/>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（3）三维图审及设计优化：对各专业设计图进行三维角度可视化图审；提前预见设计图的可行性和施工中可能出现的问题，并提供有效解决方案和优化建议。</w:t>
      </w:r>
    </w:p>
    <w:p>
      <w:pPr>
        <w:spacing w:line="360" w:lineRule="auto"/>
        <w:ind w:firstLine="482" w:firstLineChars="200"/>
        <w:jc w:val="left"/>
        <w:rPr>
          <w:rFonts w:ascii="Times New Roman" w:hAnsi="Times New Roman"/>
          <w:sz w:val="24"/>
          <w:szCs w:val="24"/>
          <w:lang w:val="zh-CN"/>
        </w:rPr>
      </w:pPr>
      <w:r>
        <w:rPr>
          <w:rFonts w:ascii="Times New Roman" w:hAnsi="Times New Roman"/>
          <w:sz w:val="24"/>
          <w:szCs w:val="24"/>
        </w:rPr>
        <w:drawing>
          <wp:inline distT="0" distB="0" distL="0" distR="0">
            <wp:extent cx="2816860" cy="2622550"/>
            <wp:effectExtent l="0" t="0" r="2540" b="6350"/>
            <wp:docPr id="16388" name="图片 1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8" name="图片 16388"/>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a:xfrm>
                      <a:off x="0" y="0"/>
                      <a:ext cx="2816860" cy="2622550"/>
                    </a:xfrm>
                    <a:prstGeom prst="rect">
                      <a:avLst/>
                    </a:prstGeom>
                    <a:noFill/>
                    <a:ln>
                      <a:noFill/>
                    </a:ln>
                  </pic:spPr>
                </pic:pic>
              </a:graphicData>
            </a:graphic>
          </wp:inline>
        </w:drawing>
      </w:r>
      <w:r>
        <w:rPr>
          <w:rFonts w:ascii="Times New Roman" w:hAnsi="Times New Roman"/>
          <w:sz w:val="24"/>
          <w:szCs w:val="24"/>
        </w:rPr>
        <w:drawing>
          <wp:inline distT="0" distB="0" distL="0" distR="0">
            <wp:extent cx="2702560" cy="2663825"/>
            <wp:effectExtent l="0" t="0" r="2540" b="3175"/>
            <wp:docPr id="16386" name="图片 16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 name="图片 16386"/>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a:xfrm>
                      <a:off x="0" y="0"/>
                      <a:ext cx="2702560" cy="2663825"/>
                    </a:xfrm>
                    <a:prstGeom prst="rect">
                      <a:avLst/>
                    </a:prstGeom>
                    <a:noFill/>
                    <a:ln>
                      <a:noFill/>
                    </a:ln>
                  </pic:spPr>
                </pic:pic>
              </a:graphicData>
            </a:graphic>
          </wp:inline>
        </w:drawing>
      </w:r>
    </w:p>
    <w:p>
      <w:pPr>
        <w:spacing w:line="360" w:lineRule="auto"/>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三维图纸校审</w:t>
      </w:r>
    </w:p>
    <w:p>
      <w:pPr>
        <w:pStyle w:val="31"/>
        <w:spacing w:line="300" w:lineRule="auto"/>
        <w:ind w:firstLine="480" w:firstLineChars="200"/>
        <w:rPr>
          <w:rFonts w:ascii="Times New Roman" w:hAnsi="Times New Roman"/>
          <w:b w:val="0"/>
          <w:color w:val="000000" w:themeColor="text1"/>
          <w:sz w:val="24"/>
          <w:szCs w:val="24"/>
          <w:lang w:val="zh-CN"/>
          <w14:textFill>
            <w14:solidFill>
              <w14:schemeClr w14:val="tx1"/>
            </w14:solidFill>
          </w14:textFill>
        </w:rPr>
      </w:pPr>
      <w:r>
        <w:rPr>
          <w:rFonts w:ascii="Times New Roman" w:hAnsi="Times New Roman"/>
          <w:b w:val="0"/>
          <w:color w:val="000000" w:themeColor="text1"/>
          <w:sz w:val="24"/>
          <w:szCs w:val="24"/>
          <w:lang w:val="zh-CN"/>
          <w14:textFill>
            <w14:solidFill>
              <w14:schemeClr w14:val="tx1"/>
            </w14:solidFill>
          </w14:textFill>
        </w:rPr>
        <w:t>（4）建筑物性能分析：通过数据模型转化，利用三维分析软件，对建筑物的性能进行分析模拟，以三维数据形式传递到设计模型上，作为设计人员优化设计参考数据。</w:t>
      </w:r>
    </w:p>
    <w:p>
      <w:pPr>
        <w:spacing w:line="360" w:lineRule="auto"/>
        <w:ind w:firstLine="482" w:firstLineChars="200"/>
        <w:rPr>
          <w:rFonts w:ascii="Times New Roman" w:hAnsi="Times New Roman"/>
          <w:sz w:val="24"/>
          <w:szCs w:val="24"/>
        </w:rPr>
      </w:pPr>
      <w:r>
        <w:rPr>
          <w:rFonts w:ascii="Times New Roman" w:hAnsi="Times New Roman"/>
          <w:sz w:val="24"/>
          <w:szCs w:val="24"/>
        </w:rPr>
        <w:drawing>
          <wp:inline distT="0" distB="0" distL="0" distR="0">
            <wp:extent cx="2778760" cy="1662430"/>
            <wp:effectExtent l="0" t="0" r="2540" b="13970"/>
            <wp:docPr id="16385" name="图片 16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5" name="图片 16385"/>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a:xfrm>
                      <a:off x="0" y="0"/>
                      <a:ext cx="2778760" cy="1662430"/>
                    </a:xfrm>
                    <a:prstGeom prst="rect">
                      <a:avLst/>
                    </a:prstGeom>
                    <a:noFill/>
                    <a:ln>
                      <a:noFill/>
                    </a:ln>
                  </pic:spPr>
                </pic:pic>
              </a:graphicData>
            </a:graphic>
          </wp:inline>
        </w:drawing>
      </w:r>
      <w:r>
        <w:rPr>
          <w:rFonts w:ascii="Times New Roman" w:hAnsi="Times New Roman"/>
          <w:sz w:val="24"/>
          <w:szCs w:val="24"/>
        </w:rPr>
        <w:drawing>
          <wp:inline distT="0" distB="0" distL="0" distR="0">
            <wp:extent cx="2736850" cy="1671320"/>
            <wp:effectExtent l="0" t="0" r="6350" b="5080"/>
            <wp:docPr id="16384" name="图片 16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4" name="图片 16384"/>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a:xfrm>
                      <a:off x="0" y="0"/>
                      <a:ext cx="2736850" cy="1671320"/>
                    </a:xfrm>
                    <a:prstGeom prst="rect">
                      <a:avLst/>
                    </a:prstGeom>
                    <a:noFill/>
                    <a:ln>
                      <a:noFill/>
                    </a:ln>
                  </pic:spPr>
                </pic:pic>
              </a:graphicData>
            </a:graphic>
          </wp:inline>
        </w:drawing>
      </w:r>
    </w:p>
    <w:p>
      <w:pPr>
        <w:spacing w:line="360" w:lineRule="auto"/>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隧道周边地形温度变化分析桥梁荷载分析</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（5）设计方案视图三维比选：BIM模型数据可视化功能更加准确表达设计意图，使得多方案优化、比选以及方案的评审更加直观地完成。</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（6）三维管综设计：利用BIM数据整合技术，整合多专业数字实体模型，优化管线位置和冲突，优化市政管线迁改方案，从而匹配项目的具体实施，达到成本控制的目的。</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drawing>
          <wp:inline distT="0" distB="0" distL="0" distR="0">
            <wp:extent cx="2778760" cy="1624965"/>
            <wp:effectExtent l="0" t="0" r="2540" b="13335"/>
            <wp:docPr id="21557" name="图片 2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57" name="图片 21557"/>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a:xfrm>
                      <a:off x="0" y="0"/>
                      <a:ext cx="2778760" cy="1624965"/>
                    </a:xfrm>
                    <a:prstGeom prst="rect">
                      <a:avLst/>
                    </a:prstGeom>
                    <a:noFill/>
                    <a:ln>
                      <a:noFill/>
                    </a:ln>
                  </pic:spPr>
                </pic:pic>
              </a:graphicData>
            </a:graphic>
          </wp:inline>
        </w:drawing>
      </w:r>
      <w:r>
        <w:rPr>
          <w:rFonts w:ascii="Times New Roman" w:hAnsi="Times New Roman"/>
          <w:b w:val="0"/>
          <w:color w:val="000000" w:themeColor="text1"/>
          <w:sz w:val="24"/>
          <w:szCs w:val="24"/>
          <w14:textFill>
            <w14:solidFill>
              <w14:schemeClr w14:val="tx1"/>
            </w14:solidFill>
          </w14:textFill>
        </w:rPr>
        <w:drawing>
          <wp:inline distT="0" distB="0" distL="0" distR="0">
            <wp:extent cx="2802890" cy="1626870"/>
            <wp:effectExtent l="0" t="0" r="16510" b="11430"/>
            <wp:docPr id="21556" name="图片 2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56" name="图片 21556"/>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a:xfrm>
                      <a:off x="0" y="0"/>
                      <a:ext cx="2802890" cy="1626870"/>
                    </a:xfrm>
                    <a:prstGeom prst="rect">
                      <a:avLst/>
                    </a:prstGeom>
                    <a:noFill/>
                    <a:ln>
                      <a:noFill/>
                    </a:ln>
                  </pic:spPr>
                </pic:pic>
              </a:graphicData>
            </a:graphic>
          </wp:inline>
        </w:drawing>
      </w:r>
    </w:p>
    <w:p>
      <w:pPr>
        <w:spacing w:line="360" w:lineRule="auto"/>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原有市政管网和新建市政管网冲突优化</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8）施工BIM应用：采用BIM信息集成平台,实现以进度管理为主线，以质量管理、安全文明绿色施工管理、成本管理、总平面管理、文档管理为主要内容的施工过程综合管理。通过将项目管理信息与BIM信息集成，实现海量施工信息的集成和三维可视化查询，辅助施工过程管理，提高工程管理水平，保证工程的高效优质完成。</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BIM实施架构体系</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（1）人员配备及相应职责：本方案的人员配备指的是BIM中心拟定配置人员。在项目现有条件和需求已经确定的情况下，依据项目实际需求及管理需求，BIM应用人员配备如下：</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项目BIM经理1名：负责BIM工作的人员组织、流程及标准制定、最终文件审定及提交等工作。</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技术负责人11名：负责BIM技术的指导和落实，协调各专业出现的技术问题，统筹管理BIM各阶段实施质量，组织进行设计施工图纸的审核及检查等。</w:t>
      </w:r>
    </w:p>
    <w:p>
      <w:pPr>
        <w:spacing w:line="360" w:lineRule="auto"/>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各专业BIM现场应用配备人员</w:t>
      </w:r>
    </w:p>
    <w:tbl>
      <w:tblPr>
        <w:tblStyle w:val="32"/>
        <w:tblW w:w="10200" w:type="dxa"/>
        <w:tblInd w:w="118" w:type="dxa"/>
        <w:tblLayout w:type="autofit"/>
        <w:tblCellMar>
          <w:top w:w="0" w:type="dxa"/>
          <w:left w:w="0" w:type="dxa"/>
          <w:bottom w:w="0" w:type="dxa"/>
          <w:right w:w="0" w:type="dxa"/>
        </w:tblCellMar>
      </w:tblPr>
      <w:tblGrid>
        <w:gridCol w:w="3400"/>
        <w:gridCol w:w="3400"/>
        <w:gridCol w:w="3400"/>
      </w:tblGrid>
      <w:tr>
        <w:tblPrEx>
          <w:tblCellMar>
            <w:top w:w="0" w:type="dxa"/>
            <w:left w:w="0" w:type="dxa"/>
            <w:bottom w:w="0" w:type="dxa"/>
            <w:right w:w="0" w:type="dxa"/>
          </w:tblCellMar>
        </w:tblPrEx>
        <w:trPr>
          <w:trHeight w:val="370" w:hRule="atLeast"/>
        </w:trPr>
        <w:tc>
          <w:tcPr>
            <w:tcW w:w="3400" w:type="dxa"/>
            <w:tcBorders>
              <w:top w:val="single" w:color="080000" w:sz="8" w:space="0"/>
              <w:left w:val="single" w:color="080000" w:sz="8" w:space="0"/>
              <w:bottom w:val="single" w:color="080000" w:sz="8" w:space="0"/>
              <w:right w:val="single" w:color="080000" w:sz="8" w:space="0"/>
            </w:tcBorders>
            <w:shd w:val="clear" w:color="auto" w:fill="FAD2B4"/>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岗位</w:t>
            </w:r>
          </w:p>
        </w:tc>
        <w:tc>
          <w:tcPr>
            <w:tcW w:w="3400" w:type="dxa"/>
            <w:tcBorders>
              <w:top w:val="single" w:color="080000" w:sz="8" w:space="0"/>
              <w:left w:val="single" w:color="080000" w:sz="8" w:space="0"/>
              <w:bottom w:val="single" w:color="080000" w:sz="8" w:space="0"/>
              <w:right w:val="single" w:color="080000" w:sz="8" w:space="0"/>
            </w:tcBorders>
            <w:shd w:val="clear" w:color="auto" w:fill="FAD2B4"/>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人员要求</w:t>
            </w:r>
          </w:p>
        </w:tc>
        <w:tc>
          <w:tcPr>
            <w:tcW w:w="3400" w:type="dxa"/>
            <w:tcBorders>
              <w:top w:val="single" w:color="080000" w:sz="8" w:space="0"/>
              <w:left w:val="single" w:color="080000" w:sz="8" w:space="0"/>
              <w:bottom w:val="single" w:color="080000" w:sz="8" w:space="0"/>
              <w:right w:val="single" w:color="080000" w:sz="8" w:space="0"/>
            </w:tcBorders>
            <w:shd w:val="clear" w:color="auto" w:fill="FAD2B4"/>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持证上岗要求</w:t>
            </w:r>
          </w:p>
        </w:tc>
      </w:tr>
      <w:tr>
        <w:tblPrEx>
          <w:tblCellMar>
            <w:top w:w="0" w:type="dxa"/>
            <w:left w:w="0" w:type="dxa"/>
            <w:bottom w:w="0" w:type="dxa"/>
            <w:right w:w="0" w:type="dxa"/>
          </w:tblCellMar>
        </w:tblPrEx>
        <w:trPr>
          <w:trHeight w:val="741" w:hRule="atLeast"/>
        </w:trPr>
        <w:tc>
          <w:tcPr>
            <w:tcW w:w="3400" w:type="dxa"/>
            <w:tcBorders>
              <w:top w:val="single" w:color="080000" w:sz="8" w:space="0"/>
              <w:left w:val="single" w:color="080000" w:sz="8" w:space="0"/>
              <w:bottom w:val="single" w:color="080000" w:sz="8" w:space="0"/>
              <w:right w:val="single" w:color="080000" w:sz="8" w:space="0"/>
            </w:tcBorders>
            <w:shd w:val="clear" w:color="auto" w:fill="FAD2B4"/>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项目现场负责人</w:t>
            </w:r>
          </w:p>
        </w:tc>
        <w:tc>
          <w:tcPr>
            <w:tcW w:w="3400"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1名</w:t>
            </w:r>
          </w:p>
        </w:tc>
        <w:tc>
          <w:tcPr>
            <w:tcW w:w="3400"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具备专业中级或以上职称</w:t>
            </w:r>
          </w:p>
        </w:tc>
      </w:tr>
      <w:tr>
        <w:tblPrEx>
          <w:tblCellMar>
            <w:top w:w="0" w:type="dxa"/>
            <w:left w:w="0" w:type="dxa"/>
            <w:bottom w:w="0" w:type="dxa"/>
            <w:right w:w="0" w:type="dxa"/>
          </w:tblCellMar>
        </w:tblPrEx>
        <w:trPr>
          <w:trHeight w:val="740" w:hRule="atLeast"/>
        </w:trPr>
        <w:tc>
          <w:tcPr>
            <w:tcW w:w="3400" w:type="dxa"/>
            <w:tcBorders>
              <w:top w:val="single" w:color="080000" w:sz="8" w:space="0"/>
              <w:left w:val="single" w:color="080000" w:sz="8" w:space="0"/>
              <w:bottom w:val="single" w:color="080000" w:sz="8" w:space="0"/>
              <w:right w:val="single" w:color="080000" w:sz="8" w:space="0"/>
            </w:tcBorders>
            <w:shd w:val="clear" w:color="auto" w:fill="FAD2B4"/>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专业负责人</w:t>
            </w:r>
          </w:p>
        </w:tc>
        <w:tc>
          <w:tcPr>
            <w:tcW w:w="3400"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根据专业而定（约4名）</w:t>
            </w:r>
          </w:p>
        </w:tc>
        <w:tc>
          <w:tcPr>
            <w:tcW w:w="3400"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各专业负责人具备3-5年BIM专业负责经验</w:t>
            </w:r>
          </w:p>
        </w:tc>
      </w:tr>
      <w:tr>
        <w:tblPrEx>
          <w:tblCellMar>
            <w:top w:w="0" w:type="dxa"/>
            <w:left w:w="0" w:type="dxa"/>
            <w:bottom w:w="0" w:type="dxa"/>
            <w:right w:w="0" w:type="dxa"/>
          </w:tblCellMar>
        </w:tblPrEx>
        <w:trPr>
          <w:trHeight w:val="889" w:hRule="atLeast"/>
        </w:trPr>
        <w:tc>
          <w:tcPr>
            <w:tcW w:w="3400" w:type="dxa"/>
            <w:tcBorders>
              <w:top w:val="single" w:color="080000" w:sz="8" w:space="0"/>
              <w:left w:val="single" w:color="080000" w:sz="8" w:space="0"/>
              <w:bottom w:val="single" w:color="080000" w:sz="8" w:space="0"/>
              <w:right w:val="single" w:color="080000" w:sz="8" w:space="0"/>
            </w:tcBorders>
            <w:shd w:val="clear" w:color="auto" w:fill="FAD2B4"/>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BIM技术支持人员</w:t>
            </w:r>
          </w:p>
        </w:tc>
        <w:tc>
          <w:tcPr>
            <w:tcW w:w="3400"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5名</w:t>
            </w:r>
          </w:p>
        </w:tc>
        <w:tc>
          <w:tcPr>
            <w:tcW w:w="3400"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具备BIM技能等级资格证书或具备专业助理工程师以上职称</w:t>
            </w:r>
          </w:p>
        </w:tc>
      </w:tr>
      <w:tr>
        <w:tblPrEx>
          <w:tblCellMar>
            <w:top w:w="0" w:type="dxa"/>
            <w:left w:w="0" w:type="dxa"/>
            <w:bottom w:w="0" w:type="dxa"/>
            <w:right w:w="0" w:type="dxa"/>
          </w:tblCellMar>
        </w:tblPrEx>
        <w:trPr>
          <w:trHeight w:val="1111" w:hRule="atLeast"/>
        </w:trPr>
        <w:tc>
          <w:tcPr>
            <w:tcW w:w="3400" w:type="dxa"/>
            <w:tcBorders>
              <w:top w:val="single" w:color="080000" w:sz="8" w:space="0"/>
              <w:left w:val="single" w:color="080000" w:sz="8" w:space="0"/>
              <w:bottom w:val="single" w:color="080000" w:sz="8" w:space="0"/>
              <w:right w:val="single" w:color="080000" w:sz="8" w:space="0"/>
            </w:tcBorders>
            <w:shd w:val="clear" w:color="auto" w:fill="FAD2B4"/>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BIM平台数据维护员</w:t>
            </w:r>
          </w:p>
        </w:tc>
        <w:tc>
          <w:tcPr>
            <w:tcW w:w="3400"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2名</w:t>
            </w:r>
          </w:p>
        </w:tc>
        <w:tc>
          <w:tcPr>
            <w:tcW w:w="3400"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计算机应用、软件工程等相关专业毕业，具备3年以上的系统维护经验</w:t>
            </w:r>
          </w:p>
        </w:tc>
      </w:tr>
      <w:tr>
        <w:tblPrEx>
          <w:tblCellMar>
            <w:top w:w="0" w:type="dxa"/>
            <w:left w:w="0" w:type="dxa"/>
            <w:bottom w:w="0" w:type="dxa"/>
            <w:right w:w="0" w:type="dxa"/>
          </w:tblCellMar>
        </w:tblPrEx>
        <w:trPr>
          <w:trHeight w:val="370" w:hRule="atLeast"/>
        </w:trPr>
        <w:tc>
          <w:tcPr>
            <w:tcW w:w="3400" w:type="dxa"/>
            <w:tcBorders>
              <w:top w:val="single" w:color="080000" w:sz="8" w:space="0"/>
              <w:left w:val="single" w:color="080000" w:sz="8" w:space="0"/>
              <w:bottom w:val="single" w:color="080000" w:sz="8" w:space="0"/>
              <w:right w:val="single" w:color="080000" w:sz="8" w:space="0"/>
            </w:tcBorders>
            <w:shd w:val="clear" w:color="auto" w:fill="FAD2B4"/>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总计</w:t>
            </w:r>
          </w:p>
        </w:tc>
        <w:tc>
          <w:tcPr>
            <w:tcW w:w="3400"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不少于12名</w:t>
            </w:r>
          </w:p>
        </w:tc>
        <w:tc>
          <w:tcPr>
            <w:tcW w:w="3400"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r>
    </w:tbl>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组织架构：成立项目和BIM专业架构体系，对整个项目的BIM应用工作负责，对项目全方向及全过程进行组织、监督和协调，即对人员配置、工作安排和进度把控等具有决定权，并负责与甲方及相关方的工作沟通和协调。</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BIM专业组织架构：</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drawing>
          <wp:inline distT="0" distB="0" distL="0" distR="0">
            <wp:extent cx="4797425" cy="1775460"/>
            <wp:effectExtent l="0" t="0" r="3175" b="15240"/>
            <wp:docPr id="21537" name="图片 2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37" name="图片 21537"/>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a:xfrm>
                      <a:off x="0" y="0"/>
                      <a:ext cx="4815677" cy="1782255"/>
                    </a:xfrm>
                    <a:prstGeom prst="rect">
                      <a:avLst/>
                    </a:prstGeom>
                    <a:noFill/>
                    <a:ln>
                      <a:noFill/>
                    </a:ln>
                  </pic:spPr>
                </pic:pic>
              </a:graphicData>
            </a:graphic>
          </wp:inline>
        </w:drawing>
      </w:r>
    </w:p>
    <w:p>
      <w:pPr>
        <w:spacing w:line="360" w:lineRule="auto"/>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BIM专业组织架构图</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（3）制定实施标准：根据BIM应用范围及目标，制定详细的BIM应用标准及规范。</w:t>
      </w:r>
    </w:p>
    <w:p>
      <w:pPr>
        <w:spacing w:line="360" w:lineRule="auto"/>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BIM专业实施标准表</w:t>
      </w:r>
    </w:p>
    <w:tbl>
      <w:tblPr>
        <w:tblStyle w:val="32"/>
        <w:tblW w:w="10376" w:type="dxa"/>
        <w:tblInd w:w="0" w:type="dxa"/>
        <w:tblLayout w:type="autofit"/>
        <w:tblCellMar>
          <w:top w:w="0" w:type="dxa"/>
          <w:left w:w="0" w:type="dxa"/>
          <w:bottom w:w="0" w:type="dxa"/>
          <w:right w:w="0" w:type="dxa"/>
        </w:tblCellMar>
      </w:tblPr>
      <w:tblGrid>
        <w:gridCol w:w="1096"/>
        <w:gridCol w:w="2422"/>
        <w:gridCol w:w="4207"/>
        <w:gridCol w:w="2651"/>
      </w:tblGrid>
      <w:tr>
        <w:tblPrEx>
          <w:tblCellMar>
            <w:top w:w="0" w:type="dxa"/>
            <w:left w:w="0" w:type="dxa"/>
            <w:bottom w:w="0" w:type="dxa"/>
            <w:right w:w="0" w:type="dxa"/>
          </w:tblCellMar>
        </w:tblPrEx>
        <w:trPr>
          <w:trHeight w:val="295" w:hRule="atLeast"/>
          <w:tblHeader/>
        </w:trPr>
        <w:tc>
          <w:tcPr>
            <w:tcW w:w="1096" w:type="dxa"/>
            <w:tcBorders>
              <w:top w:val="single" w:color="080000" w:sz="8" w:space="0"/>
              <w:left w:val="single" w:color="080000" w:sz="8" w:space="0"/>
              <w:bottom w:val="single" w:color="080000" w:sz="8" w:space="0"/>
              <w:right w:val="single" w:color="080000" w:sz="8" w:space="0"/>
            </w:tcBorders>
            <w:shd w:val="clear" w:color="auto" w:fill="FAD2B4"/>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序号</w:t>
            </w:r>
          </w:p>
        </w:tc>
        <w:tc>
          <w:tcPr>
            <w:tcW w:w="2422" w:type="dxa"/>
            <w:tcBorders>
              <w:top w:val="single" w:color="080000" w:sz="8" w:space="0"/>
              <w:left w:val="single" w:color="080000" w:sz="8" w:space="0"/>
              <w:bottom w:val="single" w:color="080000" w:sz="8" w:space="0"/>
              <w:right w:val="single" w:color="080000" w:sz="8" w:space="0"/>
            </w:tcBorders>
            <w:shd w:val="clear" w:color="auto" w:fill="FAD2B4"/>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规范类别</w:t>
            </w:r>
          </w:p>
        </w:tc>
        <w:tc>
          <w:tcPr>
            <w:tcW w:w="4207" w:type="dxa"/>
            <w:tcBorders>
              <w:top w:val="single" w:color="080000" w:sz="8" w:space="0"/>
              <w:left w:val="single" w:color="080000" w:sz="8" w:space="0"/>
              <w:bottom w:val="single" w:color="080000" w:sz="8" w:space="0"/>
              <w:right w:val="single" w:color="080000" w:sz="8" w:space="0"/>
            </w:tcBorders>
            <w:shd w:val="clear" w:color="auto" w:fill="FAD2B4"/>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规范具体内容</w:t>
            </w:r>
          </w:p>
        </w:tc>
        <w:tc>
          <w:tcPr>
            <w:tcW w:w="2651" w:type="dxa"/>
            <w:tcBorders>
              <w:top w:val="single" w:color="080000" w:sz="8" w:space="0"/>
              <w:left w:val="single" w:color="080000" w:sz="8" w:space="0"/>
              <w:bottom w:val="single" w:color="080000" w:sz="8" w:space="0"/>
              <w:right w:val="single" w:color="080000" w:sz="8" w:space="0"/>
            </w:tcBorders>
            <w:shd w:val="clear" w:color="auto" w:fill="FAD2B4"/>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规范价值</w:t>
            </w:r>
          </w:p>
        </w:tc>
      </w:tr>
      <w:tr>
        <w:tblPrEx>
          <w:tblCellMar>
            <w:top w:w="0" w:type="dxa"/>
            <w:left w:w="0" w:type="dxa"/>
            <w:bottom w:w="0" w:type="dxa"/>
            <w:right w:w="0" w:type="dxa"/>
          </w:tblCellMar>
        </w:tblPrEx>
        <w:trPr>
          <w:trHeight w:val="309" w:hRule="atLeast"/>
        </w:trPr>
        <w:tc>
          <w:tcPr>
            <w:tcW w:w="1096" w:type="dxa"/>
            <w:vMerge w:val="restart"/>
            <w:tcBorders>
              <w:top w:val="single" w:color="080000" w:sz="8" w:space="0"/>
              <w:left w:val="single" w:color="080000" w:sz="8" w:space="0"/>
              <w:bottom w:val="single" w:color="080000" w:sz="8" w:space="0"/>
              <w:right w:val="single" w:color="080000" w:sz="8" w:space="0"/>
            </w:tcBorders>
            <w:shd w:val="clear" w:color="auto" w:fill="FAD2B4"/>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w:t>
            </w:r>
          </w:p>
        </w:tc>
        <w:tc>
          <w:tcPr>
            <w:tcW w:w="2422" w:type="dxa"/>
            <w:vMerge w:val="restart"/>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BIM实施规范-工作规范</w:t>
            </w:r>
          </w:p>
        </w:tc>
        <w:tc>
          <w:tcPr>
            <w:tcW w:w="4207"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团队组织</w:t>
            </w:r>
          </w:p>
        </w:tc>
        <w:tc>
          <w:tcPr>
            <w:tcW w:w="2651" w:type="dxa"/>
            <w:vMerge w:val="restart"/>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指导BIM团队整体实施工作</w:t>
            </w:r>
          </w:p>
        </w:tc>
      </w:tr>
      <w:tr>
        <w:tblPrEx>
          <w:tblCellMar>
            <w:top w:w="0" w:type="dxa"/>
            <w:left w:w="0" w:type="dxa"/>
            <w:bottom w:w="0" w:type="dxa"/>
            <w:right w:w="0" w:type="dxa"/>
          </w:tblCellMar>
        </w:tblPrEx>
        <w:trPr>
          <w:trHeight w:val="308" w:hRule="atLeast"/>
        </w:trPr>
        <w:tc>
          <w:tcPr>
            <w:tcW w:w="0" w:type="auto"/>
            <w:vMerge w:val="continue"/>
            <w:tcBorders>
              <w:top w:val="single" w:color="080000" w:sz="8" w:space="0"/>
              <w:left w:val="single" w:color="080000" w:sz="8" w:space="0"/>
              <w:bottom w:val="single" w:color="080000" w:sz="8" w:space="0"/>
              <w:right w:val="single" w:color="080000" w:sz="8" w:space="0"/>
            </w:tcBorders>
            <w:shd w:val="clear" w:color="auto" w:fill="FAD2B4"/>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80000" w:sz="8" w:space="0"/>
              <w:left w:val="single" w:color="080000" w:sz="8" w:space="0"/>
              <w:bottom w:val="single" w:color="080000" w:sz="8" w:space="0"/>
              <w:right w:val="single" w:color="080000" w:sz="8" w:space="0"/>
            </w:tcBorders>
            <w:shd w:val="clear" w:color="auto" w:fill="CCFFFF"/>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4207"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工作职责分配</w:t>
            </w:r>
          </w:p>
        </w:tc>
        <w:tc>
          <w:tcPr>
            <w:tcW w:w="0" w:type="auto"/>
            <w:vMerge w:val="continue"/>
            <w:tcBorders>
              <w:top w:val="single" w:color="080000" w:sz="8" w:space="0"/>
              <w:left w:val="single" w:color="080000" w:sz="8" w:space="0"/>
              <w:bottom w:val="single" w:color="080000" w:sz="8" w:space="0"/>
              <w:right w:val="single" w:color="080000" w:sz="8" w:space="0"/>
            </w:tcBorders>
            <w:shd w:val="clear" w:color="auto" w:fill="CCFFFF"/>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329" w:hRule="atLeast"/>
        </w:trPr>
        <w:tc>
          <w:tcPr>
            <w:tcW w:w="0" w:type="auto"/>
            <w:vMerge w:val="continue"/>
            <w:tcBorders>
              <w:top w:val="single" w:color="080000" w:sz="8" w:space="0"/>
              <w:left w:val="single" w:color="080000" w:sz="8" w:space="0"/>
              <w:bottom w:val="single" w:color="080000" w:sz="8" w:space="0"/>
              <w:right w:val="single" w:color="080000" w:sz="8" w:space="0"/>
            </w:tcBorders>
            <w:shd w:val="clear" w:color="auto" w:fill="FAD2B4"/>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80000" w:sz="8" w:space="0"/>
              <w:left w:val="single" w:color="080000" w:sz="8" w:space="0"/>
              <w:bottom w:val="single" w:color="080000" w:sz="8" w:space="0"/>
              <w:right w:val="single" w:color="080000" w:sz="8" w:space="0"/>
            </w:tcBorders>
            <w:shd w:val="clear" w:color="auto" w:fill="CCFFFF"/>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4207"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专业间工作流程</w:t>
            </w:r>
          </w:p>
        </w:tc>
        <w:tc>
          <w:tcPr>
            <w:tcW w:w="0" w:type="auto"/>
            <w:vMerge w:val="continue"/>
            <w:tcBorders>
              <w:top w:val="single" w:color="080000" w:sz="8" w:space="0"/>
              <w:left w:val="single" w:color="080000" w:sz="8" w:space="0"/>
              <w:bottom w:val="single" w:color="080000" w:sz="8" w:space="0"/>
              <w:right w:val="single" w:color="080000" w:sz="8" w:space="0"/>
            </w:tcBorders>
            <w:shd w:val="clear" w:color="auto" w:fill="CCFFFF"/>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309" w:hRule="atLeast"/>
        </w:trPr>
        <w:tc>
          <w:tcPr>
            <w:tcW w:w="0" w:type="auto"/>
            <w:vMerge w:val="continue"/>
            <w:tcBorders>
              <w:top w:val="single" w:color="080000" w:sz="8" w:space="0"/>
              <w:left w:val="single" w:color="080000" w:sz="8" w:space="0"/>
              <w:bottom w:val="single" w:color="080000" w:sz="8" w:space="0"/>
              <w:right w:val="single" w:color="080000" w:sz="8" w:space="0"/>
            </w:tcBorders>
            <w:shd w:val="clear" w:color="auto" w:fill="FAD2B4"/>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80000" w:sz="8" w:space="0"/>
              <w:left w:val="single" w:color="080000" w:sz="8" w:space="0"/>
              <w:bottom w:val="single" w:color="080000" w:sz="8" w:space="0"/>
              <w:right w:val="single" w:color="080000" w:sz="8" w:space="0"/>
            </w:tcBorders>
            <w:shd w:val="clear" w:color="auto" w:fill="CCFFFF"/>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4207"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例会制度</w:t>
            </w:r>
          </w:p>
        </w:tc>
        <w:tc>
          <w:tcPr>
            <w:tcW w:w="0" w:type="auto"/>
            <w:vMerge w:val="continue"/>
            <w:tcBorders>
              <w:top w:val="single" w:color="080000" w:sz="8" w:space="0"/>
              <w:left w:val="single" w:color="080000" w:sz="8" w:space="0"/>
              <w:bottom w:val="single" w:color="080000" w:sz="8" w:space="0"/>
              <w:right w:val="single" w:color="080000" w:sz="8" w:space="0"/>
            </w:tcBorders>
            <w:shd w:val="clear" w:color="auto" w:fill="CCFFFF"/>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328" w:hRule="atLeast"/>
        </w:trPr>
        <w:tc>
          <w:tcPr>
            <w:tcW w:w="0" w:type="auto"/>
            <w:vMerge w:val="continue"/>
            <w:tcBorders>
              <w:top w:val="single" w:color="080000" w:sz="8" w:space="0"/>
              <w:left w:val="single" w:color="080000" w:sz="8" w:space="0"/>
              <w:bottom w:val="single" w:color="080000" w:sz="8" w:space="0"/>
              <w:right w:val="single" w:color="080000" w:sz="8" w:space="0"/>
            </w:tcBorders>
            <w:shd w:val="clear" w:color="auto" w:fill="FAD2B4"/>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80000" w:sz="8" w:space="0"/>
              <w:left w:val="single" w:color="080000" w:sz="8" w:space="0"/>
              <w:bottom w:val="single" w:color="080000" w:sz="8" w:space="0"/>
              <w:right w:val="single" w:color="080000" w:sz="8" w:space="0"/>
            </w:tcBorders>
            <w:shd w:val="clear" w:color="auto" w:fill="CCFFFF"/>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4207"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培训机制</w:t>
            </w:r>
          </w:p>
        </w:tc>
        <w:tc>
          <w:tcPr>
            <w:tcW w:w="0" w:type="auto"/>
            <w:vMerge w:val="continue"/>
            <w:tcBorders>
              <w:top w:val="single" w:color="080000" w:sz="8" w:space="0"/>
              <w:left w:val="single" w:color="080000" w:sz="8" w:space="0"/>
              <w:bottom w:val="single" w:color="080000" w:sz="8" w:space="0"/>
              <w:right w:val="single" w:color="080000" w:sz="8" w:space="0"/>
            </w:tcBorders>
            <w:shd w:val="clear" w:color="auto" w:fill="CCFFFF"/>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309" w:hRule="atLeast"/>
        </w:trPr>
        <w:tc>
          <w:tcPr>
            <w:tcW w:w="0" w:type="auto"/>
            <w:vMerge w:val="continue"/>
            <w:tcBorders>
              <w:top w:val="single" w:color="080000" w:sz="8" w:space="0"/>
              <w:left w:val="single" w:color="080000" w:sz="8" w:space="0"/>
              <w:bottom w:val="single" w:color="080000" w:sz="8" w:space="0"/>
              <w:right w:val="single" w:color="080000" w:sz="8" w:space="0"/>
            </w:tcBorders>
            <w:shd w:val="clear" w:color="auto" w:fill="FAD2B4"/>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80000" w:sz="8" w:space="0"/>
              <w:left w:val="single" w:color="080000" w:sz="8" w:space="0"/>
              <w:bottom w:val="single" w:color="080000" w:sz="8" w:space="0"/>
              <w:right w:val="single" w:color="080000" w:sz="8" w:space="0"/>
            </w:tcBorders>
            <w:shd w:val="clear" w:color="auto" w:fill="CCFFFF"/>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4207"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总体流程图</w:t>
            </w:r>
          </w:p>
        </w:tc>
        <w:tc>
          <w:tcPr>
            <w:tcW w:w="0" w:type="auto"/>
            <w:vMerge w:val="continue"/>
            <w:tcBorders>
              <w:top w:val="single" w:color="080000" w:sz="8" w:space="0"/>
              <w:left w:val="single" w:color="080000" w:sz="8" w:space="0"/>
              <w:bottom w:val="single" w:color="080000" w:sz="8" w:space="0"/>
              <w:right w:val="single" w:color="080000" w:sz="8" w:space="0"/>
            </w:tcBorders>
            <w:shd w:val="clear" w:color="auto" w:fill="CCFFFF"/>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309" w:hRule="atLeast"/>
        </w:trPr>
        <w:tc>
          <w:tcPr>
            <w:tcW w:w="1096" w:type="dxa"/>
            <w:vMerge w:val="restart"/>
            <w:tcBorders>
              <w:top w:val="single" w:color="080000" w:sz="8" w:space="0"/>
              <w:left w:val="single" w:color="080000" w:sz="8" w:space="0"/>
              <w:bottom w:val="single" w:color="080000" w:sz="8" w:space="0"/>
              <w:right w:val="single" w:color="080000" w:sz="8" w:space="0"/>
            </w:tcBorders>
            <w:shd w:val="clear" w:color="auto" w:fill="FAD2B4"/>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w:t>
            </w:r>
          </w:p>
        </w:tc>
        <w:tc>
          <w:tcPr>
            <w:tcW w:w="2422" w:type="dxa"/>
            <w:vMerge w:val="restart"/>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BIM实施标准-建模标准</w:t>
            </w:r>
          </w:p>
        </w:tc>
        <w:tc>
          <w:tcPr>
            <w:tcW w:w="4207"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BIM建模策略</w:t>
            </w:r>
          </w:p>
        </w:tc>
        <w:tc>
          <w:tcPr>
            <w:tcW w:w="2651" w:type="dxa"/>
            <w:vMerge w:val="restart"/>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指导项目具体建模操作</w:t>
            </w:r>
          </w:p>
        </w:tc>
      </w:tr>
      <w:tr>
        <w:tblPrEx>
          <w:tblCellMar>
            <w:top w:w="0" w:type="dxa"/>
            <w:left w:w="0" w:type="dxa"/>
            <w:bottom w:w="0" w:type="dxa"/>
            <w:right w:w="0" w:type="dxa"/>
          </w:tblCellMar>
        </w:tblPrEx>
        <w:trPr>
          <w:trHeight w:val="308" w:hRule="atLeast"/>
        </w:trPr>
        <w:tc>
          <w:tcPr>
            <w:tcW w:w="0" w:type="auto"/>
            <w:vMerge w:val="continue"/>
            <w:tcBorders>
              <w:top w:val="single" w:color="080000" w:sz="8" w:space="0"/>
              <w:left w:val="single" w:color="080000" w:sz="8" w:space="0"/>
              <w:bottom w:val="single" w:color="080000" w:sz="8" w:space="0"/>
              <w:right w:val="single" w:color="080000" w:sz="8" w:space="0"/>
            </w:tcBorders>
            <w:shd w:val="clear" w:color="auto" w:fill="FAD2B4"/>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80000" w:sz="8" w:space="0"/>
              <w:left w:val="single" w:color="080000" w:sz="8" w:space="0"/>
              <w:bottom w:val="single" w:color="080000" w:sz="8" w:space="0"/>
              <w:right w:val="single" w:color="080000" w:sz="8" w:space="0"/>
            </w:tcBorders>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4207"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BIM建模流程</w:t>
            </w:r>
          </w:p>
        </w:tc>
        <w:tc>
          <w:tcPr>
            <w:tcW w:w="0" w:type="auto"/>
            <w:vMerge w:val="continue"/>
            <w:tcBorders>
              <w:top w:val="single" w:color="080000" w:sz="8" w:space="0"/>
              <w:left w:val="single" w:color="080000" w:sz="8" w:space="0"/>
              <w:bottom w:val="single" w:color="080000" w:sz="8" w:space="0"/>
              <w:right w:val="single" w:color="080000" w:sz="8" w:space="0"/>
            </w:tcBorders>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329" w:hRule="atLeast"/>
        </w:trPr>
        <w:tc>
          <w:tcPr>
            <w:tcW w:w="0" w:type="auto"/>
            <w:vMerge w:val="continue"/>
            <w:tcBorders>
              <w:top w:val="single" w:color="080000" w:sz="8" w:space="0"/>
              <w:left w:val="single" w:color="080000" w:sz="8" w:space="0"/>
              <w:bottom w:val="single" w:color="080000" w:sz="8" w:space="0"/>
              <w:right w:val="single" w:color="080000" w:sz="8" w:space="0"/>
            </w:tcBorders>
            <w:shd w:val="clear" w:color="auto" w:fill="FAD2B4"/>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80000" w:sz="8" w:space="0"/>
              <w:left w:val="single" w:color="080000" w:sz="8" w:space="0"/>
              <w:bottom w:val="single" w:color="080000" w:sz="8" w:space="0"/>
              <w:right w:val="single" w:color="080000" w:sz="8" w:space="0"/>
            </w:tcBorders>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4207"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BIM建模工作计划</w:t>
            </w:r>
          </w:p>
        </w:tc>
        <w:tc>
          <w:tcPr>
            <w:tcW w:w="0" w:type="auto"/>
            <w:vMerge w:val="continue"/>
            <w:tcBorders>
              <w:top w:val="single" w:color="080000" w:sz="8" w:space="0"/>
              <w:left w:val="single" w:color="080000" w:sz="8" w:space="0"/>
              <w:bottom w:val="single" w:color="080000" w:sz="8" w:space="0"/>
              <w:right w:val="single" w:color="080000" w:sz="8" w:space="0"/>
            </w:tcBorders>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309" w:hRule="atLeast"/>
        </w:trPr>
        <w:tc>
          <w:tcPr>
            <w:tcW w:w="0" w:type="auto"/>
            <w:vMerge w:val="continue"/>
            <w:tcBorders>
              <w:top w:val="single" w:color="080000" w:sz="8" w:space="0"/>
              <w:left w:val="single" w:color="080000" w:sz="8" w:space="0"/>
              <w:bottom w:val="single" w:color="080000" w:sz="8" w:space="0"/>
              <w:right w:val="single" w:color="080000" w:sz="8" w:space="0"/>
            </w:tcBorders>
            <w:shd w:val="clear" w:color="auto" w:fill="FAD2B4"/>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80000" w:sz="8" w:space="0"/>
              <w:left w:val="single" w:color="080000" w:sz="8" w:space="0"/>
              <w:bottom w:val="single" w:color="080000" w:sz="8" w:space="0"/>
              <w:right w:val="single" w:color="080000" w:sz="8" w:space="0"/>
            </w:tcBorders>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4207"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命名规则</w:t>
            </w:r>
          </w:p>
        </w:tc>
        <w:tc>
          <w:tcPr>
            <w:tcW w:w="0" w:type="auto"/>
            <w:vMerge w:val="continue"/>
            <w:tcBorders>
              <w:top w:val="single" w:color="080000" w:sz="8" w:space="0"/>
              <w:left w:val="single" w:color="080000" w:sz="8" w:space="0"/>
              <w:bottom w:val="single" w:color="080000" w:sz="8" w:space="0"/>
              <w:right w:val="single" w:color="080000" w:sz="8" w:space="0"/>
            </w:tcBorders>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328" w:hRule="atLeast"/>
        </w:trPr>
        <w:tc>
          <w:tcPr>
            <w:tcW w:w="0" w:type="auto"/>
            <w:vMerge w:val="continue"/>
            <w:tcBorders>
              <w:top w:val="single" w:color="080000" w:sz="8" w:space="0"/>
              <w:left w:val="single" w:color="080000" w:sz="8" w:space="0"/>
              <w:bottom w:val="single" w:color="080000" w:sz="8" w:space="0"/>
              <w:right w:val="single" w:color="080000" w:sz="8" w:space="0"/>
            </w:tcBorders>
            <w:shd w:val="clear" w:color="auto" w:fill="FAD2B4"/>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80000" w:sz="8" w:space="0"/>
              <w:left w:val="single" w:color="080000" w:sz="8" w:space="0"/>
              <w:bottom w:val="single" w:color="080000" w:sz="8" w:space="0"/>
              <w:right w:val="single" w:color="080000" w:sz="8" w:space="0"/>
            </w:tcBorders>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4207"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模型定位及拆分</w:t>
            </w:r>
          </w:p>
        </w:tc>
        <w:tc>
          <w:tcPr>
            <w:tcW w:w="0" w:type="auto"/>
            <w:vMerge w:val="continue"/>
            <w:tcBorders>
              <w:top w:val="single" w:color="080000" w:sz="8" w:space="0"/>
              <w:left w:val="single" w:color="080000" w:sz="8" w:space="0"/>
              <w:bottom w:val="single" w:color="080000" w:sz="8" w:space="0"/>
              <w:right w:val="single" w:color="080000" w:sz="8" w:space="0"/>
            </w:tcBorders>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309" w:hRule="atLeast"/>
        </w:trPr>
        <w:tc>
          <w:tcPr>
            <w:tcW w:w="0" w:type="auto"/>
            <w:vMerge w:val="continue"/>
            <w:tcBorders>
              <w:top w:val="single" w:color="080000" w:sz="8" w:space="0"/>
              <w:left w:val="single" w:color="080000" w:sz="8" w:space="0"/>
              <w:bottom w:val="single" w:color="080000" w:sz="8" w:space="0"/>
              <w:right w:val="single" w:color="080000" w:sz="8" w:space="0"/>
            </w:tcBorders>
            <w:shd w:val="clear" w:color="auto" w:fill="FAD2B4"/>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80000" w:sz="8" w:space="0"/>
              <w:left w:val="single" w:color="080000" w:sz="8" w:space="0"/>
              <w:bottom w:val="single" w:color="080000" w:sz="8" w:space="0"/>
              <w:right w:val="single" w:color="080000" w:sz="8" w:space="0"/>
            </w:tcBorders>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4207"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模型校审及安全</w:t>
            </w:r>
          </w:p>
        </w:tc>
        <w:tc>
          <w:tcPr>
            <w:tcW w:w="0" w:type="auto"/>
            <w:vMerge w:val="continue"/>
            <w:tcBorders>
              <w:top w:val="single" w:color="080000" w:sz="8" w:space="0"/>
              <w:left w:val="single" w:color="080000" w:sz="8" w:space="0"/>
              <w:bottom w:val="single" w:color="080000" w:sz="8" w:space="0"/>
              <w:right w:val="single" w:color="080000" w:sz="8" w:space="0"/>
            </w:tcBorders>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328" w:hRule="atLeast"/>
        </w:trPr>
        <w:tc>
          <w:tcPr>
            <w:tcW w:w="0" w:type="auto"/>
            <w:vMerge w:val="continue"/>
            <w:tcBorders>
              <w:top w:val="single" w:color="080000" w:sz="8" w:space="0"/>
              <w:left w:val="single" w:color="080000" w:sz="8" w:space="0"/>
              <w:bottom w:val="single" w:color="080000" w:sz="8" w:space="0"/>
              <w:right w:val="single" w:color="080000" w:sz="8" w:space="0"/>
            </w:tcBorders>
            <w:shd w:val="clear" w:color="auto" w:fill="FAD2B4"/>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80000" w:sz="8" w:space="0"/>
              <w:left w:val="single" w:color="080000" w:sz="8" w:space="0"/>
              <w:bottom w:val="single" w:color="080000" w:sz="8" w:space="0"/>
              <w:right w:val="single" w:color="080000" w:sz="8" w:space="0"/>
            </w:tcBorders>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4207"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模型数据交换和整合</w:t>
            </w:r>
          </w:p>
        </w:tc>
        <w:tc>
          <w:tcPr>
            <w:tcW w:w="0" w:type="auto"/>
            <w:vMerge w:val="continue"/>
            <w:tcBorders>
              <w:top w:val="single" w:color="080000" w:sz="8" w:space="0"/>
              <w:left w:val="single" w:color="080000" w:sz="8" w:space="0"/>
              <w:bottom w:val="single" w:color="080000" w:sz="8" w:space="0"/>
              <w:right w:val="single" w:color="080000" w:sz="8" w:space="0"/>
            </w:tcBorders>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296" w:hRule="atLeast"/>
        </w:trPr>
        <w:tc>
          <w:tcPr>
            <w:tcW w:w="1096" w:type="dxa"/>
            <w:vMerge w:val="restart"/>
            <w:tcBorders>
              <w:top w:val="single" w:color="080000" w:sz="8" w:space="0"/>
              <w:left w:val="single" w:color="080000" w:sz="8" w:space="0"/>
              <w:bottom w:val="single" w:color="080000" w:sz="8" w:space="0"/>
              <w:right w:val="single" w:color="080000" w:sz="8" w:space="0"/>
            </w:tcBorders>
            <w:shd w:val="clear" w:color="auto" w:fill="FAD2B4"/>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3</w:t>
            </w:r>
          </w:p>
        </w:tc>
        <w:tc>
          <w:tcPr>
            <w:tcW w:w="2422" w:type="dxa"/>
            <w:vMerge w:val="restart"/>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BIM实施标准-模型应用标准</w:t>
            </w:r>
          </w:p>
        </w:tc>
        <w:tc>
          <w:tcPr>
            <w:tcW w:w="4207"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碰撞检查及优化设计</w:t>
            </w:r>
          </w:p>
        </w:tc>
        <w:tc>
          <w:tcPr>
            <w:tcW w:w="2651" w:type="dxa"/>
            <w:vMerge w:val="restart"/>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指导项目专项及综合BIM应用</w:t>
            </w:r>
          </w:p>
        </w:tc>
      </w:tr>
      <w:tr>
        <w:tblPrEx>
          <w:tblCellMar>
            <w:top w:w="0" w:type="dxa"/>
            <w:left w:w="0" w:type="dxa"/>
            <w:bottom w:w="0" w:type="dxa"/>
            <w:right w:w="0" w:type="dxa"/>
          </w:tblCellMar>
        </w:tblPrEx>
        <w:trPr>
          <w:trHeight w:val="328" w:hRule="atLeast"/>
        </w:trPr>
        <w:tc>
          <w:tcPr>
            <w:tcW w:w="0" w:type="auto"/>
            <w:vMerge w:val="continue"/>
            <w:tcBorders>
              <w:top w:val="single" w:color="080000" w:sz="8" w:space="0"/>
              <w:left w:val="single" w:color="080000" w:sz="8" w:space="0"/>
              <w:bottom w:val="single" w:color="080000" w:sz="8" w:space="0"/>
              <w:right w:val="single" w:color="080000" w:sz="8" w:space="0"/>
            </w:tcBorders>
            <w:shd w:val="clear" w:color="auto" w:fill="FAD2B4"/>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80000" w:sz="8" w:space="0"/>
              <w:left w:val="single" w:color="080000" w:sz="8" w:space="0"/>
              <w:bottom w:val="single" w:color="080000" w:sz="8" w:space="0"/>
              <w:right w:val="single" w:color="080000" w:sz="8" w:space="0"/>
            </w:tcBorders>
            <w:shd w:val="clear" w:color="auto" w:fill="CCFFFF"/>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4207"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可视化应用</w:t>
            </w:r>
          </w:p>
        </w:tc>
        <w:tc>
          <w:tcPr>
            <w:tcW w:w="0" w:type="auto"/>
            <w:vMerge w:val="continue"/>
            <w:tcBorders>
              <w:top w:val="single" w:color="080000" w:sz="8" w:space="0"/>
              <w:left w:val="single" w:color="080000" w:sz="8" w:space="0"/>
              <w:bottom w:val="single" w:color="080000" w:sz="8" w:space="0"/>
              <w:right w:val="single" w:color="080000" w:sz="8" w:space="0"/>
            </w:tcBorders>
            <w:shd w:val="clear" w:color="auto" w:fill="CCFFFF"/>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309" w:hRule="atLeast"/>
        </w:trPr>
        <w:tc>
          <w:tcPr>
            <w:tcW w:w="0" w:type="auto"/>
            <w:vMerge w:val="continue"/>
            <w:tcBorders>
              <w:top w:val="single" w:color="080000" w:sz="8" w:space="0"/>
              <w:left w:val="single" w:color="080000" w:sz="8" w:space="0"/>
              <w:bottom w:val="single" w:color="080000" w:sz="8" w:space="0"/>
              <w:right w:val="single" w:color="080000" w:sz="8" w:space="0"/>
            </w:tcBorders>
            <w:shd w:val="clear" w:color="auto" w:fill="FAD2B4"/>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80000" w:sz="8" w:space="0"/>
              <w:left w:val="single" w:color="080000" w:sz="8" w:space="0"/>
              <w:bottom w:val="single" w:color="080000" w:sz="8" w:space="0"/>
              <w:right w:val="single" w:color="080000" w:sz="8" w:space="0"/>
            </w:tcBorders>
            <w:shd w:val="clear" w:color="auto" w:fill="CCFFFF"/>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4207"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工程算量</w:t>
            </w:r>
          </w:p>
        </w:tc>
        <w:tc>
          <w:tcPr>
            <w:tcW w:w="0" w:type="auto"/>
            <w:vMerge w:val="continue"/>
            <w:tcBorders>
              <w:top w:val="single" w:color="080000" w:sz="8" w:space="0"/>
              <w:left w:val="single" w:color="080000" w:sz="8" w:space="0"/>
              <w:bottom w:val="single" w:color="080000" w:sz="8" w:space="0"/>
              <w:right w:val="single" w:color="080000" w:sz="8" w:space="0"/>
            </w:tcBorders>
            <w:shd w:val="clear" w:color="auto" w:fill="CCFFFF"/>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329" w:hRule="atLeast"/>
        </w:trPr>
        <w:tc>
          <w:tcPr>
            <w:tcW w:w="0" w:type="auto"/>
            <w:vMerge w:val="continue"/>
            <w:tcBorders>
              <w:top w:val="single" w:color="080000" w:sz="8" w:space="0"/>
              <w:left w:val="single" w:color="080000" w:sz="8" w:space="0"/>
              <w:bottom w:val="single" w:color="080000" w:sz="8" w:space="0"/>
              <w:right w:val="single" w:color="080000" w:sz="8" w:space="0"/>
            </w:tcBorders>
            <w:shd w:val="clear" w:color="auto" w:fill="FAD2B4"/>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80000" w:sz="8" w:space="0"/>
              <w:left w:val="single" w:color="080000" w:sz="8" w:space="0"/>
              <w:bottom w:val="single" w:color="080000" w:sz="8" w:space="0"/>
              <w:right w:val="single" w:color="080000" w:sz="8" w:space="0"/>
            </w:tcBorders>
            <w:shd w:val="clear" w:color="auto" w:fill="CCFFFF"/>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4207"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各专业协调应用</w:t>
            </w:r>
          </w:p>
        </w:tc>
        <w:tc>
          <w:tcPr>
            <w:tcW w:w="0" w:type="auto"/>
            <w:vMerge w:val="continue"/>
            <w:tcBorders>
              <w:top w:val="single" w:color="080000" w:sz="8" w:space="0"/>
              <w:left w:val="single" w:color="080000" w:sz="8" w:space="0"/>
              <w:bottom w:val="single" w:color="080000" w:sz="8" w:space="0"/>
              <w:right w:val="single" w:color="080000" w:sz="8" w:space="0"/>
            </w:tcBorders>
            <w:shd w:val="clear" w:color="auto" w:fill="CCFFFF"/>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308" w:hRule="atLeast"/>
        </w:trPr>
        <w:tc>
          <w:tcPr>
            <w:tcW w:w="0" w:type="auto"/>
            <w:vMerge w:val="continue"/>
            <w:tcBorders>
              <w:top w:val="single" w:color="080000" w:sz="8" w:space="0"/>
              <w:left w:val="single" w:color="080000" w:sz="8" w:space="0"/>
              <w:bottom w:val="single" w:color="080000" w:sz="8" w:space="0"/>
              <w:right w:val="single" w:color="080000" w:sz="8" w:space="0"/>
            </w:tcBorders>
            <w:shd w:val="clear" w:color="auto" w:fill="FAD2B4"/>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80000" w:sz="8" w:space="0"/>
              <w:left w:val="single" w:color="080000" w:sz="8" w:space="0"/>
              <w:bottom w:val="single" w:color="080000" w:sz="8" w:space="0"/>
              <w:right w:val="single" w:color="080000" w:sz="8" w:space="0"/>
            </w:tcBorders>
            <w:shd w:val="clear" w:color="auto" w:fill="CCFFFF"/>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4207"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BIM系统应用</w:t>
            </w:r>
          </w:p>
        </w:tc>
        <w:tc>
          <w:tcPr>
            <w:tcW w:w="0" w:type="auto"/>
            <w:vMerge w:val="continue"/>
            <w:tcBorders>
              <w:top w:val="single" w:color="080000" w:sz="8" w:space="0"/>
              <w:left w:val="single" w:color="080000" w:sz="8" w:space="0"/>
              <w:bottom w:val="single" w:color="080000" w:sz="8" w:space="0"/>
              <w:right w:val="single" w:color="080000" w:sz="8" w:space="0"/>
            </w:tcBorders>
            <w:shd w:val="clear" w:color="auto" w:fill="CCFFFF"/>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329" w:hRule="atLeast"/>
        </w:trPr>
        <w:tc>
          <w:tcPr>
            <w:tcW w:w="0" w:type="auto"/>
            <w:vMerge w:val="continue"/>
            <w:tcBorders>
              <w:top w:val="single" w:color="080000" w:sz="8" w:space="0"/>
              <w:left w:val="single" w:color="080000" w:sz="8" w:space="0"/>
              <w:bottom w:val="single" w:color="080000" w:sz="8" w:space="0"/>
              <w:right w:val="single" w:color="080000" w:sz="8" w:space="0"/>
            </w:tcBorders>
            <w:shd w:val="clear" w:color="auto" w:fill="FAD2B4"/>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80000" w:sz="8" w:space="0"/>
              <w:left w:val="single" w:color="080000" w:sz="8" w:space="0"/>
              <w:bottom w:val="single" w:color="080000" w:sz="8" w:space="0"/>
              <w:right w:val="single" w:color="080000" w:sz="8" w:space="0"/>
            </w:tcBorders>
            <w:shd w:val="clear" w:color="auto" w:fill="CCFFFF"/>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4207"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总体应用流程</w:t>
            </w:r>
          </w:p>
        </w:tc>
        <w:tc>
          <w:tcPr>
            <w:tcW w:w="0" w:type="auto"/>
            <w:vMerge w:val="continue"/>
            <w:tcBorders>
              <w:top w:val="single" w:color="080000" w:sz="8" w:space="0"/>
              <w:left w:val="single" w:color="080000" w:sz="8" w:space="0"/>
              <w:bottom w:val="single" w:color="080000" w:sz="8" w:space="0"/>
              <w:right w:val="single" w:color="080000" w:sz="8" w:space="0"/>
            </w:tcBorders>
            <w:shd w:val="clear" w:color="auto" w:fill="CCFFFF"/>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295" w:hRule="atLeast"/>
        </w:trPr>
        <w:tc>
          <w:tcPr>
            <w:tcW w:w="1096" w:type="dxa"/>
            <w:vMerge w:val="restart"/>
            <w:tcBorders>
              <w:top w:val="single" w:color="080000" w:sz="8" w:space="0"/>
              <w:left w:val="single" w:color="080000" w:sz="8" w:space="0"/>
              <w:bottom w:val="single" w:color="080000" w:sz="8" w:space="0"/>
              <w:right w:val="single" w:color="080000" w:sz="8" w:space="0"/>
            </w:tcBorders>
            <w:shd w:val="clear" w:color="auto" w:fill="FAD2B4"/>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4</w:t>
            </w:r>
          </w:p>
        </w:tc>
        <w:tc>
          <w:tcPr>
            <w:tcW w:w="2422" w:type="dxa"/>
            <w:vMerge w:val="restart"/>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BIM实施标准-交付标准</w:t>
            </w:r>
          </w:p>
        </w:tc>
        <w:tc>
          <w:tcPr>
            <w:tcW w:w="4207"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交付流程</w:t>
            </w:r>
          </w:p>
        </w:tc>
        <w:tc>
          <w:tcPr>
            <w:tcW w:w="2651" w:type="dxa"/>
            <w:vMerge w:val="restart"/>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指导项目BIM成果交付方式方法</w:t>
            </w:r>
          </w:p>
        </w:tc>
      </w:tr>
      <w:tr>
        <w:tblPrEx>
          <w:tblCellMar>
            <w:top w:w="0" w:type="dxa"/>
            <w:left w:w="0" w:type="dxa"/>
            <w:bottom w:w="0" w:type="dxa"/>
            <w:right w:w="0" w:type="dxa"/>
          </w:tblCellMar>
        </w:tblPrEx>
        <w:trPr>
          <w:trHeight w:val="329" w:hRule="atLeast"/>
        </w:trPr>
        <w:tc>
          <w:tcPr>
            <w:tcW w:w="0" w:type="auto"/>
            <w:vMerge w:val="continue"/>
            <w:tcBorders>
              <w:top w:val="single" w:color="080000" w:sz="8" w:space="0"/>
              <w:left w:val="single" w:color="080000" w:sz="8" w:space="0"/>
              <w:bottom w:val="single" w:color="080000" w:sz="8" w:space="0"/>
              <w:right w:val="single" w:color="080000" w:sz="8" w:space="0"/>
            </w:tcBorders>
            <w:shd w:val="clear" w:color="auto" w:fill="FAD2B4"/>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80000" w:sz="8" w:space="0"/>
              <w:left w:val="single" w:color="080000" w:sz="8" w:space="0"/>
              <w:bottom w:val="single" w:color="080000" w:sz="8" w:space="0"/>
              <w:right w:val="single" w:color="080000" w:sz="8" w:space="0"/>
            </w:tcBorders>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4207"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验收表格</w:t>
            </w:r>
          </w:p>
        </w:tc>
        <w:tc>
          <w:tcPr>
            <w:tcW w:w="0" w:type="auto"/>
            <w:vMerge w:val="continue"/>
            <w:tcBorders>
              <w:top w:val="single" w:color="080000" w:sz="8" w:space="0"/>
              <w:left w:val="single" w:color="080000" w:sz="8" w:space="0"/>
              <w:bottom w:val="single" w:color="080000" w:sz="8" w:space="0"/>
              <w:right w:val="single" w:color="080000" w:sz="8" w:space="0"/>
            </w:tcBorders>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308" w:hRule="atLeast"/>
        </w:trPr>
        <w:tc>
          <w:tcPr>
            <w:tcW w:w="0" w:type="auto"/>
            <w:vMerge w:val="continue"/>
            <w:tcBorders>
              <w:top w:val="single" w:color="080000" w:sz="8" w:space="0"/>
              <w:left w:val="single" w:color="080000" w:sz="8" w:space="0"/>
              <w:bottom w:val="single" w:color="080000" w:sz="8" w:space="0"/>
              <w:right w:val="single" w:color="080000" w:sz="8" w:space="0"/>
            </w:tcBorders>
            <w:shd w:val="clear" w:color="auto" w:fill="FAD2B4"/>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80000" w:sz="8" w:space="0"/>
              <w:left w:val="single" w:color="080000" w:sz="8" w:space="0"/>
              <w:bottom w:val="single" w:color="080000" w:sz="8" w:space="0"/>
              <w:right w:val="single" w:color="080000" w:sz="8" w:space="0"/>
            </w:tcBorders>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4207"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竣工BIM资料整理标准</w:t>
            </w:r>
          </w:p>
        </w:tc>
        <w:tc>
          <w:tcPr>
            <w:tcW w:w="0" w:type="auto"/>
            <w:vMerge w:val="continue"/>
            <w:tcBorders>
              <w:top w:val="single" w:color="080000" w:sz="8" w:space="0"/>
              <w:left w:val="single" w:color="080000" w:sz="8" w:space="0"/>
              <w:bottom w:val="single" w:color="080000" w:sz="8" w:space="0"/>
              <w:right w:val="single" w:color="080000" w:sz="8" w:space="0"/>
            </w:tcBorders>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309" w:hRule="atLeast"/>
        </w:trPr>
        <w:tc>
          <w:tcPr>
            <w:tcW w:w="0" w:type="auto"/>
            <w:vMerge w:val="continue"/>
            <w:tcBorders>
              <w:top w:val="single" w:color="080000" w:sz="8" w:space="0"/>
              <w:left w:val="single" w:color="080000" w:sz="8" w:space="0"/>
              <w:bottom w:val="single" w:color="080000" w:sz="8" w:space="0"/>
              <w:right w:val="single" w:color="080000" w:sz="8" w:space="0"/>
            </w:tcBorders>
            <w:shd w:val="clear" w:color="auto" w:fill="FAD2B4"/>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0" w:type="auto"/>
            <w:vMerge w:val="continue"/>
            <w:tcBorders>
              <w:top w:val="single" w:color="080000" w:sz="8" w:space="0"/>
              <w:left w:val="single" w:color="080000" w:sz="8" w:space="0"/>
              <w:bottom w:val="single" w:color="080000" w:sz="8" w:space="0"/>
              <w:right w:val="single" w:color="080000" w:sz="8" w:space="0"/>
            </w:tcBorders>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4207"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总体交付流程</w:t>
            </w:r>
          </w:p>
        </w:tc>
        <w:tc>
          <w:tcPr>
            <w:tcW w:w="0" w:type="auto"/>
            <w:vMerge w:val="continue"/>
            <w:tcBorders>
              <w:top w:val="single" w:color="080000" w:sz="8" w:space="0"/>
              <w:left w:val="single" w:color="080000" w:sz="8" w:space="0"/>
              <w:bottom w:val="single" w:color="080000" w:sz="8" w:space="0"/>
              <w:right w:val="single" w:color="080000" w:sz="8" w:space="0"/>
            </w:tcBorders>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r>
    </w:tbl>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（4）风险防范：BIM实施过程中，很多因素可能导致实施困难甚至失败。因此，增强风险防范意识，提前识别风险，才可最大限度消除隐患和可能的不利影响。初步分析，风险事件大致可归纳为以下几类：</w:t>
      </w:r>
    </w:p>
    <w:p>
      <w:pPr>
        <w:spacing w:line="360" w:lineRule="auto"/>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BIM风险防范一览表</w:t>
      </w:r>
    </w:p>
    <w:tbl>
      <w:tblPr>
        <w:tblStyle w:val="32"/>
        <w:tblW w:w="9660" w:type="dxa"/>
        <w:jc w:val="center"/>
        <w:tblLayout w:type="autofit"/>
        <w:tblCellMar>
          <w:top w:w="0" w:type="dxa"/>
          <w:left w:w="0" w:type="dxa"/>
          <w:bottom w:w="0" w:type="dxa"/>
          <w:right w:w="0" w:type="dxa"/>
        </w:tblCellMar>
      </w:tblPr>
      <w:tblGrid>
        <w:gridCol w:w="1796"/>
        <w:gridCol w:w="2835"/>
        <w:gridCol w:w="5029"/>
      </w:tblGrid>
      <w:tr>
        <w:tblPrEx>
          <w:tblCellMar>
            <w:top w:w="0" w:type="dxa"/>
            <w:left w:w="0" w:type="dxa"/>
            <w:bottom w:w="0" w:type="dxa"/>
            <w:right w:w="0" w:type="dxa"/>
          </w:tblCellMar>
        </w:tblPrEx>
        <w:trPr>
          <w:trHeight w:val="379" w:hRule="atLeast"/>
          <w:jc w:val="center"/>
        </w:trPr>
        <w:tc>
          <w:tcPr>
            <w:tcW w:w="1796" w:type="dxa"/>
            <w:tcBorders>
              <w:top w:val="single" w:color="080000" w:sz="8" w:space="0"/>
              <w:left w:val="single" w:color="080000" w:sz="8" w:space="0"/>
              <w:bottom w:val="single" w:color="080000" w:sz="8" w:space="0"/>
              <w:right w:val="single" w:color="080000" w:sz="8" w:space="0"/>
            </w:tcBorders>
            <w:shd w:val="clear" w:color="auto" w:fill="FAD2B4"/>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风险类别</w:t>
            </w:r>
          </w:p>
        </w:tc>
        <w:tc>
          <w:tcPr>
            <w:tcW w:w="2835" w:type="dxa"/>
            <w:tcBorders>
              <w:top w:val="single" w:color="080000" w:sz="8" w:space="0"/>
              <w:left w:val="single" w:color="080000" w:sz="8" w:space="0"/>
              <w:bottom w:val="single" w:color="080000" w:sz="8" w:space="0"/>
              <w:right w:val="single" w:color="080000" w:sz="8" w:space="0"/>
            </w:tcBorders>
            <w:shd w:val="clear" w:color="auto" w:fill="FAD2B4"/>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风险描述</w:t>
            </w:r>
          </w:p>
        </w:tc>
        <w:tc>
          <w:tcPr>
            <w:tcW w:w="5029" w:type="dxa"/>
            <w:tcBorders>
              <w:top w:val="single" w:color="080000" w:sz="8" w:space="0"/>
              <w:left w:val="single" w:color="080000" w:sz="8" w:space="0"/>
              <w:bottom w:val="single" w:color="080000" w:sz="8" w:space="0"/>
              <w:right w:val="single" w:color="080000" w:sz="8" w:space="0"/>
            </w:tcBorders>
            <w:shd w:val="clear" w:color="auto" w:fill="FAD2B4"/>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风险防范措施</w:t>
            </w:r>
          </w:p>
        </w:tc>
      </w:tr>
      <w:tr>
        <w:tblPrEx>
          <w:tblCellMar>
            <w:top w:w="0" w:type="dxa"/>
            <w:left w:w="0" w:type="dxa"/>
            <w:bottom w:w="0" w:type="dxa"/>
            <w:right w:w="0" w:type="dxa"/>
          </w:tblCellMar>
        </w:tblPrEx>
        <w:trPr>
          <w:trHeight w:val="989" w:hRule="atLeast"/>
          <w:jc w:val="center"/>
        </w:trPr>
        <w:tc>
          <w:tcPr>
            <w:tcW w:w="1796" w:type="dxa"/>
            <w:vMerge w:val="restart"/>
            <w:tcBorders>
              <w:top w:val="single" w:color="080000" w:sz="8" w:space="0"/>
              <w:left w:val="single" w:color="080000" w:sz="8" w:space="0"/>
              <w:bottom w:val="single" w:color="080000" w:sz="8" w:space="0"/>
              <w:right w:val="single" w:color="080000" w:sz="8" w:space="0"/>
            </w:tcBorders>
            <w:shd w:val="clear" w:color="auto" w:fill="FAD2B4"/>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技术风险</w:t>
            </w:r>
          </w:p>
        </w:tc>
        <w:tc>
          <w:tcPr>
            <w:tcW w:w="2835"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BIM软件整合困难</w:t>
            </w:r>
          </w:p>
        </w:tc>
        <w:tc>
          <w:tcPr>
            <w:tcW w:w="5029"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1甲乙双方应用软件的版本一致，且各自备案。2.软件接口规范统一，尽量使用较成熟的软件。3.使用新款软件前应由甲方审核通过并备案。</w:t>
            </w:r>
          </w:p>
        </w:tc>
      </w:tr>
      <w:tr>
        <w:tblPrEx>
          <w:tblCellMar>
            <w:top w:w="0" w:type="dxa"/>
            <w:left w:w="0" w:type="dxa"/>
            <w:bottom w:w="0" w:type="dxa"/>
            <w:right w:w="0" w:type="dxa"/>
          </w:tblCellMar>
        </w:tblPrEx>
        <w:trPr>
          <w:trHeight w:val="448" w:hRule="atLeast"/>
          <w:jc w:val="center"/>
        </w:trPr>
        <w:tc>
          <w:tcPr>
            <w:tcW w:w="0" w:type="auto"/>
            <w:vMerge w:val="continue"/>
            <w:tcBorders>
              <w:top w:val="single" w:color="080000" w:sz="8" w:space="0"/>
              <w:left w:val="single" w:color="080000" w:sz="8" w:space="0"/>
              <w:bottom w:val="single" w:color="080000" w:sz="8" w:space="0"/>
              <w:right w:val="single" w:color="080000" w:sz="8" w:space="0"/>
            </w:tcBorders>
            <w:shd w:val="clear" w:color="auto" w:fill="FAD2B4"/>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2835"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软件知识产权</w:t>
            </w:r>
          </w:p>
        </w:tc>
        <w:tc>
          <w:tcPr>
            <w:tcW w:w="5029"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甲乙双方均使用正品合法软件。</w:t>
            </w:r>
          </w:p>
        </w:tc>
      </w:tr>
      <w:tr>
        <w:tblPrEx>
          <w:tblCellMar>
            <w:top w:w="0" w:type="dxa"/>
            <w:left w:w="0" w:type="dxa"/>
            <w:bottom w:w="0" w:type="dxa"/>
            <w:right w:w="0" w:type="dxa"/>
          </w:tblCellMar>
        </w:tblPrEx>
        <w:trPr>
          <w:trHeight w:val="758" w:hRule="atLeast"/>
          <w:jc w:val="center"/>
        </w:trPr>
        <w:tc>
          <w:tcPr>
            <w:tcW w:w="1796" w:type="dxa"/>
            <w:vMerge w:val="restart"/>
            <w:tcBorders>
              <w:top w:val="single" w:color="080000" w:sz="8" w:space="0"/>
              <w:left w:val="single" w:color="080000" w:sz="8" w:space="0"/>
              <w:bottom w:val="single" w:color="080000" w:sz="8" w:space="0"/>
              <w:right w:val="single" w:color="080000" w:sz="8" w:space="0"/>
            </w:tcBorders>
            <w:shd w:val="clear" w:color="auto" w:fill="FAD2B4"/>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管理风险</w:t>
            </w:r>
          </w:p>
        </w:tc>
        <w:tc>
          <w:tcPr>
            <w:tcW w:w="2835"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前置流程不能按时完成</w:t>
            </w:r>
          </w:p>
        </w:tc>
        <w:tc>
          <w:tcPr>
            <w:tcW w:w="5029"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由甲方派出人员协调，询问所遇困难，配合乙方完成。</w:t>
            </w:r>
          </w:p>
        </w:tc>
      </w:tr>
      <w:tr>
        <w:tblPrEx>
          <w:tblCellMar>
            <w:top w:w="0" w:type="dxa"/>
            <w:left w:w="0" w:type="dxa"/>
            <w:bottom w:w="0" w:type="dxa"/>
            <w:right w:w="0" w:type="dxa"/>
          </w:tblCellMar>
        </w:tblPrEx>
        <w:trPr>
          <w:trHeight w:val="759" w:hRule="atLeast"/>
          <w:jc w:val="center"/>
        </w:trPr>
        <w:tc>
          <w:tcPr>
            <w:tcW w:w="0" w:type="auto"/>
            <w:vMerge w:val="continue"/>
            <w:tcBorders>
              <w:top w:val="single" w:color="080000" w:sz="8" w:space="0"/>
              <w:left w:val="single" w:color="080000" w:sz="8" w:space="0"/>
              <w:bottom w:val="single" w:color="080000" w:sz="8" w:space="0"/>
              <w:right w:val="single" w:color="080000" w:sz="8" w:space="0"/>
            </w:tcBorders>
            <w:shd w:val="clear" w:color="auto" w:fill="FAD2B4"/>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2835"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模型结论滞后施工进度</w:t>
            </w:r>
          </w:p>
        </w:tc>
        <w:tc>
          <w:tcPr>
            <w:tcW w:w="5029"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甲方发布要求，施工方应预留足够的时间给建模团队。</w:t>
            </w:r>
          </w:p>
        </w:tc>
      </w:tr>
      <w:tr>
        <w:tblPrEx>
          <w:tblCellMar>
            <w:top w:w="0" w:type="dxa"/>
            <w:left w:w="0" w:type="dxa"/>
            <w:bottom w:w="0" w:type="dxa"/>
            <w:right w:w="0" w:type="dxa"/>
          </w:tblCellMar>
        </w:tblPrEx>
        <w:trPr>
          <w:trHeight w:val="579" w:hRule="atLeast"/>
          <w:jc w:val="center"/>
        </w:trPr>
        <w:tc>
          <w:tcPr>
            <w:tcW w:w="1796" w:type="dxa"/>
            <w:vMerge w:val="restart"/>
            <w:tcBorders>
              <w:top w:val="single" w:color="080000" w:sz="8" w:space="0"/>
              <w:left w:val="single" w:color="080000" w:sz="8" w:space="0"/>
              <w:bottom w:val="single" w:color="080000" w:sz="8" w:space="0"/>
              <w:right w:val="single" w:color="080000" w:sz="8" w:space="0"/>
            </w:tcBorders>
            <w:shd w:val="clear" w:color="auto" w:fill="FAD2B4"/>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人力资源风险</w:t>
            </w:r>
          </w:p>
        </w:tc>
        <w:tc>
          <w:tcPr>
            <w:tcW w:w="2835"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业务繁忙，培训困难</w:t>
            </w:r>
          </w:p>
        </w:tc>
        <w:tc>
          <w:tcPr>
            <w:tcW w:w="5029"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提前一月时间通知乙方，在合同中制定详细计划。</w:t>
            </w:r>
          </w:p>
        </w:tc>
      </w:tr>
      <w:tr>
        <w:tblPrEx>
          <w:tblCellMar>
            <w:top w:w="0" w:type="dxa"/>
            <w:left w:w="0" w:type="dxa"/>
            <w:bottom w:w="0" w:type="dxa"/>
            <w:right w:w="0" w:type="dxa"/>
          </w:tblCellMar>
        </w:tblPrEx>
        <w:trPr>
          <w:trHeight w:val="546" w:hRule="atLeast"/>
          <w:jc w:val="center"/>
        </w:trPr>
        <w:tc>
          <w:tcPr>
            <w:tcW w:w="0" w:type="auto"/>
            <w:vMerge w:val="continue"/>
            <w:tcBorders>
              <w:top w:val="single" w:color="080000" w:sz="8" w:space="0"/>
              <w:left w:val="single" w:color="080000" w:sz="8" w:space="0"/>
              <w:bottom w:val="single" w:color="080000" w:sz="8" w:space="0"/>
              <w:right w:val="single" w:color="080000" w:sz="8" w:space="0"/>
            </w:tcBorders>
            <w:shd w:val="clear" w:color="auto" w:fill="FAD2B4"/>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p>
        </w:tc>
        <w:tc>
          <w:tcPr>
            <w:tcW w:w="2835"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参建单位人员配备不足</w:t>
            </w:r>
          </w:p>
        </w:tc>
        <w:tc>
          <w:tcPr>
            <w:tcW w:w="5029" w:type="dxa"/>
            <w:tcBorders>
              <w:top w:val="single" w:color="080000" w:sz="8" w:space="0"/>
              <w:left w:val="single" w:color="080000" w:sz="8" w:space="0"/>
              <w:bottom w:val="single" w:color="080000" w:sz="8" w:space="0"/>
              <w:right w:val="single" w:color="080000" w:sz="8" w:space="0"/>
            </w:tcBorders>
            <w:shd w:val="clear" w:color="auto" w:fill="CCFFFF"/>
            <w:tcMar>
              <w:top w:w="15" w:type="dxa"/>
              <w:left w:w="108" w:type="dxa"/>
              <w:bottom w:w="0" w:type="dxa"/>
              <w:right w:w="108" w:type="dxa"/>
            </w:tcMar>
            <w:vAlign w:val="center"/>
          </w:tcPr>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甲方可要求出具BIM人员配备清单。</w:t>
            </w:r>
          </w:p>
        </w:tc>
      </w:tr>
    </w:tbl>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（5）质量控制：BIM成果在提交甲方之前，由乙方BIM质量负责人对BIM成果进行质量检查确认，确保其符合要求。BIM成果质量检查应考虑以下内容：</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1）目视检查：确保没有意外的模型构件，并检查模型是否正确的表达设计意图；</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2）检查冲突：由冲突检测软件检测两个（或多个）模型之间是否有冲突问题；</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3）标准检查：确保该模型符合BIM规格书内容；</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4）内容验证：确保数据没有未定义或错误定义的内容。</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BIM项目管理平台研发</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1）管理平台方案：以项目进度为主线，建筑信息模型及非模型信息（图纸、文档等）为载体，数据为中心，实现设计施工总承包管理（EPC）中全专业全业务海量信息数据中不同深度的集成，以及快速灵活的提取应用。从设计阶段引入管理平台，通过“BIM引擎”技术，将所需数据进行提取、处理、整理和呈现。实现基于本系统的设计施工总承包项目设计、进度、质量、安全、合约、成本、工程量、碰撞检查、4D模拟、劳务、运维、GIS、建材市场平台、劳务人力管控等的数字化、精细化管理，最终形成项目群管理平台功能及内容。</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（2）平台架构体系设计：</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drawing>
          <wp:inline distT="0" distB="0" distL="0" distR="0">
            <wp:extent cx="6379210" cy="4381500"/>
            <wp:effectExtent l="0" t="0" r="2540" b="0"/>
            <wp:docPr id="21536" name="图片 2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36" name="图片 21536"/>
                    <pic:cNvPicPr>
                      <a:picLocks noChangeAspect="1" noChangeArrowheads="1"/>
                    </pic:cNvPicPr>
                  </pic:nvPicPr>
                  <pic:blipFill>
                    <a:blip r:embed="rId277" cstate="screen">
                      <a:extLst>
                        <a:ext uri="{28A0092B-C50C-407E-A947-70E740481C1C}">
                          <a14:useLocalDpi xmlns:a14="http://schemas.microsoft.com/office/drawing/2010/main" val="0"/>
                        </a:ext>
                      </a:extLst>
                    </a:blip>
                    <a:srcRect/>
                    <a:stretch>
                      <a:fillRect/>
                    </a:stretch>
                  </pic:blipFill>
                  <pic:spPr>
                    <a:xfrm>
                      <a:off x="0" y="0"/>
                      <a:ext cx="6388079" cy="4387915"/>
                    </a:xfrm>
                    <a:prstGeom prst="rect">
                      <a:avLst/>
                    </a:prstGeom>
                    <a:noFill/>
                    <a:ln>
                      <a:noFill/>
                    </a:ln>
                  </pic:spPr>
                </pic:pic>
              </a:graphicData>
            </a:graphic>
          </wp:inline>
        </w:drawing>
      </w:r>
    </w:p>
    <w:p>
      <w:pPr>
        <w:spacing w:line="360" w:lineRule="auto"/>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BIM项目管理平台</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（3）服务对象：平台将建设全过程的信息进行集成，业主、设计、生产、施工、监理等参建方能够通过平台进行协同，实现“同图、同模、同数据”，有效降低沟通成本，提高工作效率。</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drawing>
          <wp:inline distT="0" distB="0" distL="0" distR="0">
            <wp:extent cx="6294120" cy="3087370"/>
            <wp:effectExtent l="0" t="0" r="11430" b="17780"/>
            <wp:docPr id="21535" name="图片 21535" descr="C:\Users\Administrator\AppData\Roaming\Tencent\Users\290387881\QQ\WinTemp\RichOle\U6]BW40N)(OSP8([0]1[]%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35" name="图片 21535" descr="C:\Users\Administrator\AppData\Roaming\Tencent\Users\290387881\QQ\WinTemp\RichOle\U6]BW40N)(OSP8([0]1[]%O.png"/>
                    <pic:cNvPicPr>
                      <a:picLocks noChangeAspect="1" noChangeArrowheads="1"/>
                    </pic:cNvPicPr>
                  </pic:nvPicPr>
                  <pic:blipFill>
                    <a:blip r:embed="rId278" cstate="screen">
                      <a:extLst>
                        <a:ext uri="{28A0092B-C50C-407E-A947-70E740481C1C}">
                          <a14:useLocalDpi xmlns:a14="http://schemas.microsoft.com/office/drawing/2010/main" val="0"/>
                        </a:ext>
                      </a:extLst>
                    </a:blip>
                    <a:srcRect/>
                    <a:stretch>
                      <a:fillRect/>
                    </a:stretch>
                  </pic:blipFill>
                  <pic:spPr>
                    <a:xfrm>
                      <a:off x="0" y="0"/>
                      <a:ext cx="6294120" cy="3087370"/>
                    </a:xfrm>
                    <a:prstGeom prst="rect">
                      <a:avLst/>
                    </a:prstGeom>
                    <a:noFill/>
                    <a:ln>
                      <a:noFill/>
                    </a:ln>
                  </pic:spPr>
                </pic:pic>
              </a:graphicData>
            </a:graphic>
          </wp:inline>
        </w:drawing>
      </w:r>
    </w:p>
    <w:p>
      <w:pPr>
        <w:spacing w:line="360" w:lineRule="auto"/>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BIM项目管理服务对象</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4）BIM平台基本功能目标：BIM5D云提供在线模型浏览、数据协同、构件配置、模型渲染、项目看板等功能。使操作层基于协同与共享平台，提升BIM应用效率；管理层基于项目看板，随时掌控项目的进度、成本、质量安全等信息。</w:t>
      </w:r>
    </w:p>
    <w:p>
      <w:pPr>
        <w:pStyle w:val="31"/>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drawing>
          <wp:inline distT="0" distB="0" distL="0" distR="0">
            <wp:extent cx="2874010" cy="1876425"/>
            <wp:effectExtent l="0" t="0" r="2540" b="9525"/>
            <wp:docPr id="21534" name="图片 2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34" name="图片 21534"/>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a:xfrm>
                      <a:off x="0" y="0"/>
                      <a:ext cx="2874010" cy="1876425"/>
                    </a:xfrm>
                    <a:prstGeom prst="rect">
                      <a:avLst/>
                    </a:prstGeom>
                    <a:noFill/>
                    <a:ln>
                      <a:noFill/>
                    </a:ln>
                  </pic:spPr>
                </pic:pic>
              </a:graphicData>
            </a:graphic>
          </wp:inline>
        </w:drawing>
      </w:r>
      <w:r>
        <w:rPr>
          <w:rFonts w:ascii="Times New Roman" w:hAnsi="Times New Roman"/>
          <w:b w:val="0"/>
          <w:color w:val="000000" w:themeColor="text1"/>
          <w:sz w:val="24"/>
          <w:szCs w:val="24"/>
          <w14:textFill>
            <w14:solidFill>
              <w14:schemeClr w14:val="tx1"/>
            </w14:solidFill>
          </w14:textFill>
        </w:rPr>
        <w:drawing>
          <wp:inline distT="0" distB="0" distL="0" distR="0">
            <wp:extent cx="2980690" cy="1911985"/>
            <wp:effectExtent l="0" t="0" r="10160" b="12065"/>
            <wp:docPr id="21518" name="图片 2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8" name="图片 2151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a:xfrm>
                      <a:off x="0" y="0"/>
                      <a:ext cx="2980690" cy="1911985"/>
                    </a:xfrm>
                    <a:prstGeom prst="rect">
                      <a:avLst/>
                    </a:prstGeom>
                    <a:noFill/>
                    <a:ln>
                      <a:noFill/>
                    </a:ln>
                  </pic:spPr>
                </pic:pic>
              </a:graphicData>
            </a:graphic>
          </wp:inline>
        </w:drawing>
      </w:r>
    </w:p>
    <w:p>
      <w:pPr>
        <w:spacing w:line="360" w:lineRule="auto"/>
        <w:ind w:firstLine="422" w:firstLineChars="200"/>
        <w:jc w:val="center"/>
        <w:rPr>
          <w:rFonts w:ascii="Times New Roman" w:hAnsi="Times New Roman"/>
          <w:color w:val="000000" w:themeColor="text1"/>
          <w:sz w:val="21"/>
          <w:lang w:val="zh-CN"/>
          <w14:textFill>
            <w14:solidFill>
              <w14:schemeClr w14:val="tx1"/>
            </w14:solidFill>
          </w14:textFill>
        </w:rPr>
      </w:pPr>
      <w:r>
        <w:rPr>
          <w:rFonts w:ascii="Times New Roman" w:hAnsi="Times New Roman"/>
          <w:color w:val="000000" w:themeColor="text1"/>
          <w:sz w:val="21"/>
          <w:lang w:val="zh-CN"/>
          <w14:textFill>
            <w14:solidFill>
              <w14:schemeClr w14:val="tx1"/>
            </w14:solidFill>
          </w14:textFill>
        </w:rPr>
        <w:t>BIM平台基本功能目标</w:t>
      </w:r>
    </w:p>
    <w:p>
      <w:pPr>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br w:type="page"/>
      </w:r>
    </w:p>
    <w:p>
      <w:pPr>
        <w:pStyle w:val="2"/>
        <w:keepNext/>
        <w:keepLines/>
        <w:numPr>
          <w:ilvl w:val="0"/>
          <w:numId w:val="2"/>
        </w:numPr>
        <w:spacing w:before="191" w:beforeLines="0" w:after="191" w:afterLines="0" w:line="360" w:lineRule="auto"/>
        <w:ind w:firstLine="643" w:firstLineChars="200"/>
        <w:jc w:val="center"/>
        <w:rPr>
          <w:rFonts w:ascii="Times New Roman" w:hAnsi="Times New Roman"/>
        </w:rPr>
      </w:pPr>
      <w:bookmarkStart w:id="340" w:name="_Toc15227"/>
      <w:r>
        <w:rPr>
          <w:rFonts w:ascii="Times New Roman" w:hAnsi="Times New Roman"/>
          <w:color w:val="auto"/>
        </w:rPr>
        <w:t>项目投融资及财务方案</w:t>
      </w:r>
      <w:bookmarkEnd w:id="340"/>
    </w:p>
    <w:p>
      <w:pPr>
        <w:pStyle w:val="3"/>
        <w:ind w:firstLine="562" w:firstLineChars="200"/>
      </w:pPr>
      <w:bookmarkStart w:id="341" w:name="_Toc28137"/>
      <w:r>
        <w:t>投资估算</w:t>
      </w:r>
      <w:bookmarkEnd w:id="341"/>
    </w:p>
    <w:p>
      <w:pPr>
        <w:pStyle w:val="4"/>
        <w:spacing w:line="300" w:lineRule="auto"/>
        <w:ind w:firstLine="482" w:firstLineChars="200"/>
      </w:pPr>
      <w:bookmarkStart w:id="342" w:name="_Toc28862"/>
      <w:r>
        <w:t>编制范围及内容组成</w:t>
      </w:r>
      <w:bookmarkEnd w:id="342"/>
    </w:p>
    <w:p>
      <w:pPr>
        <w:numPr>
          <w:ilvl w:val="0"/>
          <w:numId w:val="42"/>
        </w:numPr>
        <w:tabs>
          <w:tab w:val="left" w:pos="709"/>
        </w:tabs>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工程概况及编制范围：本项目包含</w:t>
      </w:r>
      <w:r>
        <w:rPr>
          <w:rFonts w:hint="eastAsia" w:ascii="Times New Roman" w:hAnsi="Times New Roman"/>
          <w:b w:val="0"/>
          <w:color w:val="auto"/>
          <w:sz w:val="24"/>
          <w:szCs w:val="24"/>
        </w:rPr>
        <w:t>2</w:t>
      </w:r>
      <w:r>
        <w:rPr>
          <w:rFonts w:ascii="Times New Roman" w:hAnsi="Times New Roman"/>
          <w:b w:val="0"/>
          <w:color w:val="auto"/>
          <w:sz w:val="24"/>
          <w:szCs w:val="24"/>
        </w:rPr>
        <w:t>条新建市政道路，其中城市主干路</w:t>
      </w:r>
      <w:r>
        <w:rPr>
          <w:rFonts w:hint="eastAsia" w:ascii="Times New Roman" w:hAnsi="Times New Roman"/>
          <w:b w:val="0"/>
          <w:color w:val="auto"/>
          <w:sz w:val="24"/>
          <w:szCs w:val="24"/>
        </w:rPr>
        <w:t>1</w:t>
      </w:r>
      <w:r>
        <w:rPr>
          <w:rFonts w:ascii="Times New Roman" w:hAnsi="Times New Roman"/>
          <w:b w:val="0"/>
          <w:color w:val="auto"/>
          <w:sz w:val="24"/>
          <w:szCs w:val="24"/>
        </w:rPr>
        <w:t>条，设计速度60km/h，为二十涌北路；城市次干路</w:t>
      </w:r>
      <w:r>
        <w:rPr>
          <w:rFonts w:hint="eastAsia" w:ascii="Times New Roman" w:hAnsi="Times New Roman"/>
          <w:b w:val="0"/>
          <w:color w:val="auto"/>
          <w:sz w:val="24"/>
          <w:szCs w:val="24"/>
        </w:rPr>
        <w:t>1</w:t>
      </w:r>
      <w:r>
        <w:rPr>
          <w:rFonts w:ascii="Times New Roman" w:hAnsi="Times New Roman"/>
          <w:b w:val="0"/>
          <w:color w:val="auto"/>
          <w:sz w:val="24"/>
          <w:szCs w:val="24"/>
        </w:rPr>
        <w:t>条，设计速度40km/h，为规划纵三路。如下：</w:t>
      </w:r>
    </w:p>
    <w:p>
      <w:pPr>
        <w:tabs>
          <w:tab w:val="left" w:pos="709"/>
        </w:tabs>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二十涌北路（万环西南延线至灵新大道南延线）道路等级为城市主干路</w:t>
      </w:r>
      <w:r>
        <w:rPr>
          <w:rFonts w:hint="eastAsia" w:ascii="Times New Roman" w:hAnsi="Times New Roman"/>
          <w:b w:val="0"/>
          <w:color w:val="auto"/>
          <w:sz w:val="24"/>
          <w:szCs w:val="24"/>
        </w:rPr>
        <w:t>，</w:t>
      </w:r>
      <w:r>
        <w:rPr>
          <w:rFonts w:ascii="Times New Roman" w:hAnsi="Times New Roman"/>
          <w:b w:val="0"/>
          <w:color w:val="auto"/>
          <w:sz w:val="24"/>
          <w:szCs w:val="24"/>
        </w:rPr>
        <w:t>设计速度为60km/h，双向6车道，红线宽度为50m，路线走向为由西向东。道路起于万环西南延线，终于灵新大道南延线，路线长度为1852m。</w:t>
      </w:r>
    </w:p>
    <w:p>
      <w:pPr>
        <w:tabs>
          <w:tab w:val="left" w:pos="709"/>
        </w:tabs>
        <w:spacing w:line="300" w:lineRule="auto"/>
        <w:ind w:firstLine="480" w:firstLineChars="200"/>
        <w:rPr>
          <w:rFonts w:ascii="Times New Roman" w:hAnsi="Times New Roman"/>
          <w:b w:val="0"/>
          <w:color w:val="000000" w:themeColor="text1"/>
          <w:sz w:val="24"/>
          <w:szCs w:val="24"/>
          <w14:textFill>
            <w14:solidFill>
              <w14:schemeClr w14:val="tx1"/>
            </w14:solidFill>
          </w14:textFill>
        </w:rPr>
      </w:pPr>
      <w:r>
        <w:rPr>
          <w:rFonts w:ascii="Times New Roman" w:hAnsi="Times New Roman"/>
          <w:b w:val="0"/>
          <w:color w:val="000000" w:themeColor="text1"/>
          <w:sz w:val="24"/>
          <w:szCs w:val="24"/>
          <w14:textFill>
            <w14:solidFill>
              <w14:schemeClr w14:val="tx1"/>
            </w14:solidFill>
          </w14:textFill>
        </w:rPr>
        <w:t>规划纵三路（二十涌北路至滨海路）道路等级为城市次干路，设计速度为40km/h，红线宽度为34m，双向6车道。路线走向为由北向南，道路起点为二十涌北路，终于滨海路，道路全长约为1485m。</w:t>
      </w:r>
    </w:p>
    <w:p>
      <w:pPr>
        <w:numPr>
          <w:ilvl w:val="0"/>
          <w:numId w:val="42"/>
        </w:numPr>
        <w:tabs>
          <w:tab w:val="left" w:pos="709"/>
        </w:tabs>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建设内容：主要为道路工程、桥涵工程、排水工程、给水工程、交通工程、照明工程、绿化工程、电力管沟工程等。</w:t>
      </w:r>
    </w:p>
    <w:p>
      <w:pPr>
        <w:numPr>
          <w:ilvl w:val="0"/>
          <w:numId w:val="42"/>
        </w:numPr>
        <w:tabs>
          <w:tab w:val="left" w:pos="709"/>
        </w:tabs>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费用组成：建安工程费用、工程建设其他费用、预备费。</w:t>
      </w:r>
    </w:p>
    <w:p>
      <w:pPr>
        <w:pStyle w:val="4"/>
        <w:spacing w:line="300" w:lineRule="auto"/>
        <w:ind w:firstLine="482" w:firstLineChars="200"/>
      </w:pPr>
      <w:bookmarkStart w:id="343" w:name="_Toc4623"/>
      <w:r>
        <w:t>编制依据</w:t>
      </w:r>
      <w:bookmarkEnd w:id="343"/>
    </w:p>
    <w:p>
      <w:pPr>
        <w:numPr>
          <w:ilvl w:val="0"/>
          <w:numId w:val="43"/>
        </w:numPr>
        <w:tabs>
          <w:tab w:val="left" w:pos="709"/>
        </w:tabs>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本工程方案设计图纸。</w:t>
      </w:r>
    </w:p>
    <w:p>
      <w:pPr>
        <w:numPr>
          <w:ilvl w:val="0"/>
          <w:numId w:val="43"/>
        </w:numPr>
        <w:tabs>
          <w:tab w:val="left" w:pos="709"/>
        </w:tabs>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《建设工程工程量清单计价规范》（GB50500-2013）。</w:t>
      </w:r>
    </w:p>
    <w:p>
      <w:pPr>
        <w:numPr>
          <w:ilvl w:val="0"/>
          <w:numId w:val="43"/>
        </w:numPr>
        <w:tabs>
          <w:tab w:val="left" w:pos="709"/>
        </w:tabs>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粤建市[2019]6号《广东省建设工程计价依据（2018）》。</w:t>
      </w:r>
    </w:p>
    <w:p>
      <w:pPr>
        <w:numPr>
          <w:ilvl w:val="0"/>
          <w:numId w:val="43"/>
        </w:numPr>
        <w:tabs>
          <w:tab w:val="left" w:pos="709"/>
        </w:tabs>
        <w:spacing w:line="30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本工程采用</w:t>
      </w:r>
      <w:r>
        <w:rPr>
          <w:rFonts w:ascii="Times New Roman" w:hAnsi="Times New Roman"/>
          <w:b w:val="0"/>
          <w:color w:val="auto"/>
          <w:sz w:val="24"/>
          <w:szCs w:val="24"/>
          <w:highlight w:val="cyan"/>
        </w:rPr>
        <w:t>2023年9月份广州地区建设工程材料</w:t>
      </w:r>
      <w:r>
        <w:rPr>
          <w:rFonts w:ascii="Times New Roman" w:hAnsi="Times New Roman"/>
          <w:b w:val="0"/>
          <w:color w:val="auto"/>
          <w:sz w:val="24"/>
          <w:szCs w:val="24"/>
          <w:highlight w:val="yellow"/>
        </w:rPr>
        <w:t>综合价及厂商价格信息。</w:t>
      </w:r>
    </w:p>
    <w:p>
      <w:pPr>
        <w:numPr>
          <w:ilvl w:val="0"/>
          <w:numId w:val="43"/>
        </w:numPr>
        <w:tabs>
          <w:tab w:val="left" w:pos="709"/>
        </w:tabs>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建标［2007］164号《市政工程投资估算编制办法》。</w:t>
      </w:r>
    </w:p>
    <w:p>
      <w:pPr>
        <w:numPr>
          <w:ilvl w:val="0"/>
          <w:numId w:val="43"/>
        </w:numPr>
        <w:tabs>
          <w:tab w:val="left" w:pos="709"/>
        </w:tabs>
        <w:spacing w:line="30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财建[2016]504号关于印发《基本建设项目建设成本管理规定》的通知。</w:t>
      </w:r>
    </w:p>
    <w:p>
      <w:pPr>
        <w:numPr>
          <w:ilvl w:val="0"/>
          <w:numId w:val="43"/>
        </w:numPr>
        <w:tabs>
          <w:tab w:val="left" w:pos="709"/>
        </w:tabs>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发改价格[2007]670号《建设工程监理与相关服务收费管理规定的通知》。</w:t>
      </w:r>
    </w:p>
    <w:p>
      <w:pPr>
        <w:numPr>
          <w:ilvl w:val="0"/>
          <w:numId w:val="43"/>
        </w:numPr>
        <w:tabs>
          <w:tab w:val="left" w:pos="709"/>
        </w:tabs>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计价格[2002]1980号关于印发《招标代理服务收费管理暂行办法的通知》。</w:t>
      </w:r>
    </w:p>
    <w:p>
      <w:pPr>
        <w:numPr>
          <w:ilvl w:val="0"/>
          <w:numId w:val="43"/>
        </w:numPr>
        <w:tabs>
          <w:tab w:val="left" w:pos="709"/>
        </w:tabs>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计价格[1999]1283号《国家计委关于印发建设项目前期工作咨询收费暂行规定的通知》。</w:t>
      </w:r>
    </w:p>
    <w:p>
      <w:pPr>
        <w:numPr>
          <w:ilvl w:val="0"/>
          <w:numId w:val="43"/>
        </w:numPr>
        <w:tabs>
          <w:tab w:val="left" w:pos="709"/>
        </w:tabs>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计价格[2002]125号《国家计委国家环境保护总局关于规范环境影响咨询收费有关问题》的通知。</w:t>
      </w:r>
    </w:p>
    <w:p>
      <w:pPr>
        <w:numPr>
          <w:ilvl w:val="0"/>
          <w:numId w:val="43"/>
        </w:numPr>
        <w:tabs>
          <w:tab w:val="left" w:pos="709"/>
        </w:tabs>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计价格[2002]10号国家计委、建设部关于发布《工程勘察设计收费管理规定的通知》。</w:t>
      </w:r>
    </w:p>
    <w:p>
      <w:pPr>
        <w:numPr>
          <w:ilvl w:val="0"/>
          <w:numId w:val="43"/>
        </w:numPr>
        <w:tabs>
          <w:tab w:val="left" w:pos="709"/>
        </w:tabs>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广州市南沙区政府投资项目投资估算指导指标（2021年版）。</w:t>
      </w:r>
    </w:p>
    <w:p>
      <w:pPr>
        <w:numPr>
          <w:ilvl w:val="0"/>
          <w:numId w:val="43"/>
        </w:numPr>
        <w:tabs>
          <w:tab w:val="left" w:pos="709"/>
        </w:tabs>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广州市本级政府投资项目估算编制指引（市政交通工程）（2021年版）。</w:t>
      </w:r>
    </w:p>
    <w:p>
      <w:pPr>
        <w:pStyle w:val="4"/>
        <w:spacing w:line="300" w:lineRule="auto"/>
        <w:ind w:firstLine="482" w:firstLineChars="200"/>
        <w:rPr>
          <w:highlight w:val="cyan"/>
        </w:rPr>
      </w:pPr>
      <w:bookmarkStart w:id="344" w:name="_Toc2078"/>
      <w:r>
        <w:rPr>
          <w:highlight w:val="cyan"/>
        </w:rPr>
        <w:t>费用标准及有关问题说明</w:t>
      </w:r>
      <w:bookmarkEnd w:id="344"/>
    </w:p>
    <w:p>
      <w:pPr>
        <w:numPr>
          <w:ilvl w:val="0"/>
          <w:numId w:val="44"/>
        </w:num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建设用地费：按方案计取。</w:t>
      </w:r>
    </w:p>
    <w:p>
      <w:pPr>
        <w:numPr>
          <w:ilvl w:val="0"/>
          <w:numId w:val="44"/>
        </w:numPr>
        <w:spacing w:line="300" w:lineRule="auto"/>
        <w:ind w:firstLine="480" w:firstLineChars="200"/>
        <w:rPr>
          <w:rFonts w:ascii="Times New Roman" w:hAnsi="Times New Roman"/>
          <w:b w:val="0"/>
          <w:color w:val="auto"/>
          <w:sz w:val="24"/>
          <w:szCs w:val="24"/>
        </w:rPr>
      </w:pPr>
      <w:r>
        <w:rPr>
          <w:rFonts w:hint="eastAsia" w:ascii="Times New Roman" w:hAnsi="Times New Roman"/>
          <w:b w:val="0"/>
          <w:color w:val="auto"/>
          <w:sz w:val="24"/>
          <w:szCs w:val="24"/>
        </w:rPr>
        <w:t>项目建设</w:t>
      </w:r>
      <w:r>
        <w:rPr>
          <w:rFonts w:ascii="Times New Roman" w:hAnsi="Times New Roman"/>
          <w:b w:val="0"/>
          <w:color w:val="auto"/>
          <w:sz w:val="24"/>
          <w:szCs w:val="24"/>
        </w:rPr>
        <w:t>管理费：按财建[2016]504号文计算；</w:t>
      </w:r>
    </w:p>
    <w:p>
      <w:pPr>
        <w:numPr>
          <w:ilvl w:val="0"/>
          <w:numId w:val="44"/>
        </w:num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建设工程监理费：按</w:t>
      </w:r>
      <w:r>
        <w:rPr>
          <w:rFonts w:hint="eastAsia" w:ascii="Times New Roman" w:hAnsi="Times New Roman"/>
          <w:b w:val="0"/>
          <w:color w:val="auto"/>
          <w:sz w:val="24"/>
          <w:szCs w:val="24"/>
        </w:rPr>
        <w:t>发改价格</w:t>
      </w:r>
      <w:r>
        <w:rPr>
          <w:rFonts w:ascii="Times New Roman" w:hAnsi="Times New Roman"/>
          <w:b w:val="0"/>
          <w:color w:val="auto"/>
          <w:sz w:val="24"/>
          <w:szCs w:val="24"/>
        </w:rPr>
        <w:t>[2015]299号文及发改价格[2007]670号文规定计算；</w:t>
      </w:r>
    </w:p>
    <w:p>
      <w:pPr>
        <w:numPr>
          <w:ilvl w:val="0"/>
          <w:numId w:val="44"/>
        </w:numPr>
        <w:spacing w:line="300" w:lineRule="auto"/>
        <w:ind w:firstLine="480" w:firstLineChars="200"/>
        <w:rPr>
          <w:rFonts w:ascii="Times New Roman" w:hAnsi="Times New Roman"/>
          <w:b w:val="0"/>
          <w:color w:val="auto"/>
          <w:sz w:val="24"/>
          <w:szCs w:val="24"/>
        </w:rPr>
      </w:pPr>
      <w:r>
        <w:rPr>
          <w:rFonts w:hint="eastAsia" w:ascii="Times New Roman" w:hAnsi="Times New Roman"/>
          <w:b w:val="0"/>
          <w:color w:val="auto"/>
          <w:sz w:val="24"/>
          <w:szCs w:val="24"/>
        </w:rPr>
        <w:t>建设</w:t>
      </w:r>
      <w:r>
        <w:rPr>
          <w:rFonts w:ascii="Times New Roman" w:hAnsi="Times New Roman"/>
          <w:b w:val="0"/>
          <w:color w:val="auto"/>
          <w:sz w:val="24"/>
          <w:szCs w:val="24"/>
        </w:rPr>
        <w:t>项目前期工作咨询费：按计价格[1999]1283号文计算；</w:t>
      </w:r>
    </w:p>
    <w:p>
      <w:pPr>
        <w:numPr>
          <w:ilvl w:val="0"/>
          <w:numId w:val="44"/>
        </w:numPr>
        <w:spacing w:line="300" w:lineRule="auto"/>
        <w:ind w:firstLine="480" w:firstLineChars="200"/>
        <w:rPr>
          <w:rFonts w:ascii="Times New Roman" w:hAnsi="Times New Roman"/>
          <w:b w:val="0"/>
          <w:color w:val="auto"/>
          <w:sz w:val="24"/>
          <w:szCs w:val="24"/>
        </w:rPr>
      </w:pPr>
      <w:r>
        <w:rPr>
          <w:rFonts w:hint="eastAsia" w:ascii="Times New Roman" w:hAnsi="Times New Roman"/>
          <w:b w:val="0"/>
          <w:color w:val="auto"/>
          <w:sz w:val="24"/>
          <w:szCs w:val="24"/>
        </w:rPr>
        <w:t>检验</w:t>
      </w:r>
      <w:r>
        <w:rPr>
          <w:rFonts w:ascii="Times New Roman" w:hAnsi="Times New Roman"/>
          <w:b w:val="0"/>
          <w:color w:val="auto"/>
          <w:sz w:val="24"/>
          <w:szCs w:val="24"/>
        </w:rPr>
        <w:t>监测费：按穗建造价[2019]38号文计算；</w:t>
      </w:r>
    </w:p>
    <w:p>
      <w:pPr>
        <w:numPr>
          <w:ilvl w:val="0"/>
          <w:numId w:val="44"/>
        </w:num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工程勘察设计费：勘察费按建安工程费的0.8%，设计费按计价格[2002]10号文规定计算，</w:t>
      </w:r>
      <w:r>
        <w:rPr>
          <w:rFonts w:hint="eastAsia" w:ascii="Times New Roman" w:hAnsi="Times New Roman"/>
          <w:b w:val="0"/>
          <w:color w:val="auto"/>
          <w:sz w:val="24"/>
          <w:szCs w:val="24"/>
        </w:rPr>
        <w:t>竣</w:t>
      </w:r>
      <w:r>
        <w:rPr>
          <w:rFonts w:ascii="Times New Roman" w:hAnsi="Times New Roman"/>
          <w:b w:val="0"/>
          <w:color w:val="auto"/>
          <w:sz w:val="24"/>
          <w:szCs w:val="24"/>
        </w:rPr>
        <w:t>工图编制费按工程设计费的8%计算</w:t>
      </w:r>
      <w:r>
        <w:rPr>
          <w:rFonts w:hint="eastAsia" w:ascii="Times New Roman" w:hAnsi="Times New Roman"/>
          <w:b w:val="0"/>
          <w:color w:val="auto"/>
          <w:sz w:val="24"/>
          <w:szCs w:val="24"/>
        </w:rPr>
        <w:t>；</w:t>
      </w:r>
    </w:p>
    <w:p>
      <w:pPr>
        <w:numPr>
          <w:ilvl w:val="0"/>
          <w:numId w:val="44"/>
        </w:numPr>
        <w:spacing w:line="300" w:lineRule="auto"/>
        <w:ind w:firstLine="480" w:firstLineChars="200"/>
        <w:rPr>
          <w:rFonts w:ascii="Times New Roman" w:hAnsi="Times New Roman"/>
          <w:b w:val="0"/>
          <w:color w:val="FF0000"/>
          <w:sz w:val="24"/>
          <w:szCs w:val="24"/>
          <w:highlight w:val="yellow"/>
        </w:rPr>
      </w:pPr>
      <w:r>
        <w:rPr>
          <w:rFonts w:hint="eastAsia" w:ascii="Times New Roman" w:hAnsi="Times New Roman"/>
          <w:b w:val="0"/>
          <w:color w:val="FF0000"/>
          <w:sz w:val="24"/>
          <w:szCs w:val="24"/>
          <w:highlight w:val="yellow"/>
        </w:rPr>
        <w:t>单独编制或审核工程量清单按粤价函</w:t>
      </w:r>
      <w:r>
        <w:rPr>
          <w:rFonts w:ascii="Times New Roman" w:hAnsi="Times New Roman"/>
          <w:b w:val="0"/>
          <w:color w:val="FF0000"/>
          <w:sz w:val="24"/>
          <w:szCs w:val="24"/>
          <w:highlight w:val="yellow"/>
        </w:rPr>
        <w:t>[2011]742号文</w:t>
      </w:r>
      <w:r>
        <w:rPr>
          <w:rFonts w:hint="eastAsia" w:ascii="Times New Roman" w:hAnsi="Times New Roman"/>
          <w:b w:val="0"/>
          <w:color w:val="FF0000"/>
          <w:sz w:val="24"/>
          <w:szCs w:val="24"/>
          <w:highlight w:val="yellow"/>
        </w:rPr>
        <w:t>计算，单独编制或审核预算造价按粤价函</w:t>
      </w:r>
      <w:r>
        <w:rPr>
          <w:rFonts w:ascii="Times New Roman" w:hAnsi="Times New Roman"/>
          <w:b w:val="0"/>
          <w:color w:val="FF0000"/>
          <w:sz w:val="24"/>
          <w:szCs w:val="24"/>
          <w:highlight w:val="yellow"/>
        </w:rPr>
        <w:t>[2011]742号文</w:t>
      </w:r>
      <w:r>
        <w:rPr>
          <w:rFonts w:hint="eastAsia" w:ascii="Times New Roman" w:hAnsi="Times New Roman"/>
          <w:b w:val="0"/>
          <w:color w:val="FF0000"/>
          <w:sz w:val="24"/>
          <w:szCs w:val="24"/>
          <w:highlight w:val="yellow"/>
        </w:rPr>
        <w:t>计算；</w:t>
      </w:r>
    </w:p>
    <w:p>
      <w:pPr>
        <w:numPr>
          <w:ilvl w:val="0"/>
          <w:numId w:val="44"/>
        </w:num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BIM技术应用费：按穗建CIM[2019]3号文计算；</w:t>
      </w:r>
    </w:p>
    <w:p>
      <w:pPr>
        <w:numPr>
          <w:ilvl w:val="0"/>
          <w:numId w:val="44"/>
        </w:num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环境影响咨询服务费：按计价格[2002]125号文规定计算；</w:t>
      </w:r>
    </w:p>
    <w:p>
      <w:pPr>
        <w:numPr>
          <w:ilvl w:val="0"/>
          <w:numId w:val="44"/>
        </w:numPr>
        <w:spacing w:line="300" w:lineRule="auto"/>
        <w:ind w:firstLine="480" w:firstLineChars="200"/>
        <w:rPr>
          <w:rFonts w:ascii="Times New Roman" w:hAnsi="Times New Roman"/>
          <w:b w:val="0"/>
          <w:color w:val="FF0000"/>
          <w:sz w:val="24"/>
          <w:szCs w:val="24"/>
          <w:highlight w:val="yellow"/>
        </w:rPr>
      </w:pPr>
      <w:r>
        <w:rPr>
          <w:rFonts w:ascii="Times New Roman" w:hAnsi="Times New Roman"/>
          <w:b w:val="0"/>
          <w:color w:val="FF0000"/>
          <w:sz w:val="24"/>
          <w:szCs w:val="24"/>
          <w:highlight w:val="yellow"/>
        </w:rPr>
        <w:t>工程保险费：</w:t>
      </w:r>
      <w:r>
        <w:rPr>
          <w:rFonts w:hint="eastAsia" w:ascii="Times New Roman" w:hAnsi="Times New Roman"/>
          <w:b w:val="0"/>
          <w:color w:val="FF0000"/>
          <w:sz w:val="24"/>
          <w:szCs w:val="24"/>
          <w:highlight w:val="yellow"/>
        </w:rPr>
        <w:t>按建标</w:t>
      </w:r>
      <w:r>
        <w:rPr>
          <w:rFonts w:ascii="Times New Roman" w:hAnsi="Times New Roman"/>
          <w:b w:val="0"/>
          <w:color w:val="FF0000"/>
          <w:sz w:val="24"/>
          <w:szCs w:val="24"/>
          <w:highlight w:val="yellow"/>
        </w:rPr>
        <w:t>[2007]164号</w:t>
      </w:r>
      <w:r>
        <w:rPr>
          <w:rFonts w:hint="eastAsia" w:ascii="Times New Roman" w:hAnsi="Times New Roman"/>
          <w:b w:val="0"/>
          <w:color w:val="FF0000"/>
          <w:sz w:val="24"/>
          <w:szCs w:val="24"/>
          <w:highlight w:val="yellow"/>
        </w:rPr>
        <w:t>文</w:t>
      </w:r>
      <w:r>
        <w:rPr>
          <w:rFonts w:ascii="Times New Roman" w:hAnsi="Times New Roman"/>
          <w:b w:val="0"/>
          <w:color w:val="FF0000"/>
          <w:sz w:val="24"/>
          <w:szCs w:val="24"/>
          <w:highlight w:val="yellow"/>
        </w:rPr>
        <w:t>计算；</w:t>
      </w:r>
    </w:p>
    <w:p>
      <w:pPr>
        <w:numPr>
          <w:ilvl w:val="0"/>
          <w:numId w:val="44"/>
        </w:numPr>
        <w:spacing w:line="300" w:lineRule="auto"/>
        <w:ind w:firstLine="480" w:firstLineChars="200"/>
        <w:rPr>
          <w:rFonts w:ascii="Times New Roman" w:hAnsi="Times New Roman"/>
          <w:b w:val="0"/>
          <w:color w:val="FF0000"/>
          <w:sz w:val="24"/>
          <w:szCs w:val="24"/>
          <w:highlight w:val="yellow"/>
        </w:rPr>
      </w:pPr>
      <w:r>
        <w:rPr>
          <w:rFonts w:ascii="Times New Roman" w:hAnsi="Times New Roman"/>
          <w:b w:val="0"/>
          <w:color w:val="FF0000"/>
          <w:sz w:val="24"/>
          <w:szCs w:val="24"/>
          <w:highlight w:val="yellow"/>
        </w:rPr>
        <w:t>招标代理服务费：按发改价格[2011]534号文及计价格[2002]1980号文规定计算；</w:t>
      </w:r>
    </w:p>
    <w:p>
      <w:pPr>
        <w:numPr>
          <w:ilvl w:val="0"/>
          <w:numId w:val="44"/>
        </w:numPr>
        <w:spacing w:line="30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树木保护专章</w:t>
      </w:r>
      <w:r>
        <w:rPr>
          <w:rFonts w:hint="eastAsia" w:ascii="Times New Roman" w:hAnsi="Times New Roman"/>
          <w:b w:val="0"/>
          <w:color w:val="auto"/>
          <w:sz w:val="24"/>
          <w:szCs w:val="24"/>
          <w:highlight w:val="yellow"/>
        </w:rPr>
        <w:t>编制费</w:t>
      </w:r>
      <w:r>
        <w:rPr>
          <w:rFonts w:ascii="Times New Roman" w:hAnsi="Times New Roman"/>
          <w:b w:val="0"/>
          <w:color w:val="auto"/>
          <w:sz w:val="24"/>
          <w:szCs w:val="24"/>
          <w:highlight w:val="yellow"/>
        </w:rPr>
        <w:t>：按《广州市城市树木保护专章项目收费指导意见》</w:t>
      </w:r>
      <w:r>
        <w:rPr>
          <w:rFonts w:hint="eastAsia" w:ascii="Times New Roman" w:hAnsi="Times New Roman"/>
          <w:b w:val="0"/>
          <w:color w:val="auto"/>
          <w:sz w:val="24"/>
          <w:szCs w:val="24"/>
          <w:highlight w:val="yellow"/>
        </w:rPr>
        <w:t>试行</w:t>
      </w:r>
      <w:r>
        <w:rPr>
          <w:rFonts w:ascii="Times New Roman" w:hAnsi="Times New Roman"/>
          <w:b w:val="0"/>
          <w:color w:val="auto"/>
          <w:sz w:val="24"/>
          <w:szCs w:val="24"/>
          <w:highlight w:val="yellow"/>
        </w:rPr>
        <w:t>计算；</w:t>
      </w:r>
    </w:p>
    <w:p>
      <w:pPr>
        <w:numPr>
          <w:ilvl w:val="0"/>
          <w:numId w:val="44"/>
        </w:numPr>
        <w:spacing w:line="300" w:lineRule="auto"/>
        <w:ind w:firstLine="480" w:firstLineChars="200"/>
        <w:rPr>
          <w:rFonts w:ascii="Times New Roman" w:hAnsi="Times New Roman"/>
          <w:b w:val="0"/>
          <w:color w:val="FF0000"/>
          <w:sz w:val="24"/>
          <w:szCs w:val="24"/>
        </w:rPr>
      </w:pPr>
      <w:r>
        <w:rPr>
          <w:rFonts w:ascii="Times New Roman" w:hAnsi="Times New Roman"/>
          <w:b w:val="0"/>
          <w:color w:val="FF0000"/>
          <w:sz w:val="24"/>
          <w:szCs w:val="24"/>
        </w:rPr>
        <w:t>设计咨询服务费：按</w:t>
      </w:r>
      <w:r>
        <w:rPr>
          <w:rFonts w:hint="eastAsia" w:ascii="Times New Roman" w:hAnsi="Times New Roman"/>
          <w:b w:val="0"/>
          <w:color w:val="FF0000"/>
          <w:sz w:val="24"/>
          <w:szCs w:val="24"/>
        </w:rPr>
        <w:t>穗交运函</w:t>
      </w:r>
      <w:r>
        <w:rPr>
          <w:rFonts w:ascii="Times New Roman" w:hAnsi="Times New Roman"/>
          <w:b w:val="0"/>
          <w:color w:val="FF0000"/>
          <w:sz w:val="24"/>
          <w:szCs w:val="24"/>
        </w:rPr>
        <w:t>[2020]97号文计算；</w:t>
      </w:r>
    </w:p>
    <w:p>
      <w:pPr>
        <w:numPr>
          <w:ilvl w:val="0"/>
          <w:numId w:val="44"/>
        </w:numPr>
        <w:spacing w:line="30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防洪</w:t>
      </w:r>
      <w:r>
        <w:rPr>
          <w:rFonts w:hint="eastAsia" w:ascii="Times New Roman" w:hAnsi="Times New Roman"/>
          <w:b w:val="0"/>
          <w:color w:val="auto"/>
          <w:sz w:val="24"/>
          <w:szCs w:val="24"/>
          <w:highlight w:val="yellow"/>
        </w:rPr>
        <w:t>评价费</w:t>
      </w:r>
      <w:r>
        <w:rPr>
          <w:rFonts w:ascii="Times New Roman" w:hAnsi="Times New Roman"/>
          <w:b w:val="0"/>
          <w:color w:val="auto"/>
          <w:sz w:val="24"/>
          <w:szCs w:val="24"/>
          <w:highlight w:val="yellow"/>
        </w:rPr>
        <w:t>：按</w:t>
      </w:r>
      <w:r>
        <w:rPr>
          <w:rFonts w:hint="eastAsia" w:ascii="Times New Roman" w:hAnsi="Times New Roman"/>
          <w:b w:val="0"/>
          <w:color w:val="auto"/>
          <w:sz w:val="24"/>
          <w:szCs w:val="24"/>
          <w:highlight w:val="yellow"/>
        </w:rPr>
        <w:t>穗发改</w:t>
      </w:r>
      <w:r>
        <w:rPr>
          <w:rFonts w:ascii="Times New Roman" w:hAnsi="Times New Roman"/>
          <w:b w:val="0"/>
          <w:color w:val="auto"/>
          <w:sz w:val="24"/>
          <w:szCs w:val="24"/>
          <w:highlight w:val="yellow"/>
        </w:rPr>
        <w:t>[2021]86号文计算；</w:t>
      </w:r>
    </w:p>
    <w:p>
      <w:pPr>
        <w:numPr>
          <w:ilvl w:val="0"/>
          <w:numId w:val="44"/>
        </w:numPr>
        <w:spacing w:line="300" w:lineRule="auto"/>
        <w:ind w:firstLine="480" w:firstLineChars="200"/>
        <w:rPr>
          <w:rFonts w:ascii="Times New Roman" w:hAnsi="Times New Roman"/>
          <w:b w:val="0"/>
          <w:color w:val="auto"/>
          <w:sz w:val="24"/>
          <w:szCs w:val="24"/>
          <w:highlight w:val="yellow"/>
        </w:rPr>
      </w:pPr>
      <w:r>
        <w:rPr>
          <w:rFonts w:hint="eastAsia" w:ascii="Times New Roman" w:hAnsi="Times New Roman"/>
          <w:b w:val="0"/>
          <w:color w:val="auto"/>
          <w:sz w:val="24"/>
          <w:szCs w:val="24"/>
          <w:highlight w:val="yellow"/>
        </w:rPr>
        <w:t>洪涝安全评估费：</w:t>
      </w:r>
      <w:r>
        <w:rPr>
          <w:rFonts w:ascii="Times New Roman" w:hAnsi="Times New Roman"/>
          <w:b w:val="0"/>
          <w:color w:val="auto"/>
          <w:sz w:val="24"/>
          <w:szCs w:val="24"/>
          <w:highlight w:val="yellow"/>
        </w:rPr>
        <w:t>按穗水规计[2021]10号文计算；</w:t>
      </w:r>
    </w:p>
    <w:p>
      <w:pPr>
        <w:numPr>
          <w:ilvl w:val="0"/>
          <w:numId w:val="44"/>
        </w:numPr>
        <w:spacing w:line="300" w:lineRule="auto"/>
        <w:ind w:firstLine="480" w:firstLineChars="200"/>
        <w:rPr>
          <w:rFonts w:ascii="Times New Roman" w:hAnsi="Times New Roman"/>
          <w:b w:val="0"/>
          <w:color w:val="auto"/>
          <w:sz w:val="24"/>
          <w:szCs w:val="24"/>
          <w:highlight w:val="yellow"/>
        </w:rPr>
      </w:pPr>
      <w:r>
        <w:rPr>
          <w:rFonts w:hint="eastAsia" w:ascii="Times New Roman" w:hAnsi="Times New Roman"/>
          <w:b w:val="0"/>
          <w:color w:val="auto"/>
          <w:sz w:val="24"/>
          <w:szCs w:val="24"/>
          <w:highlight w:val="yellow"/>
        </w:rPr>
        <w:t>通航条件影响评价费：</w:t>
      </w:r>
      <w:r>
        <w:rPr>
          <w:rFonts w:ascii="Times New Roman" w:hAnsi="Times New Roman"/>
          <w:b w:val="0"/>
          <w:color w:val="auto"/>
          <w:sz w:val="24"/>
          <w:szCs w:val="24"/>
          <w:highlight w:val="yellow"/>
        </w:rPr>
        <w:t>按</w:t>
      </w:r>
      <w:r>
        <w:rPr>
          <w:rFonts w:hint="eastAsia" w:ascii="Times New Roman" w:hAnsi="Times New Roman"/>
          <w:b w:val="0"/>
          <w:color w:val="auto"/>
          <w:sz w:val="24"/>
          <w:szCs w:val="24"/>
          <w:highlight w:val="yellow"/>
        </w:rPr>
        <w:t>穗发改</w:t>
      </w:r>
      <w:r>
        <w:rPr>
          <w:rFonts w:ascii="Times New Roman" w:hAnsi="Times New Roman"/>
          <w:b w:val="0"/>
          <w:color w:val="auto"/>
          <w:sz w:val="24"/>
          <w:szCs w:val="24"/>
          <w:highlight w:val="yellow"/>
        </w:rPr>
        <w:t>[2021]86号文</w:t>
      </w:r>
      <w:r>
        <w:rPr>
          <w:rFonts w:hint="eastAsia" w:ascii="Times New Roman" w:hAnsi="Times New Roman"/>
          <w:b w:val="0"/>
          <w:color w:val="auto"/>
          <w:sz w:val="24"/>
          <w:szCs w:val="24"/>
          <w:highlight w:val="yellow"/>
        </w:rPr>
        <w:t>计算</w:t>
      </w:r>
      <w:r>
        <w:rPr>
          <w:rFonts w:ascii="Times New Roman" w:hAnsi="Times New Roman"/>
          <w:b w:val="0"/>
          <w:color w:val="auto"/>
          <w:sz w:val="24"/>
          <w:szCs w:val="24"/>
          <w:highlight w:val="yellow"/>
        </w:rPr>
        <w:t>；</w:t>
      </w:r>
    </w:p>
    <w:p>
      <w:pPr>
        <w:numPr>
          <w:ilvl w:val="0"/>
          <w:numId w:val="44"/>
        </w:numPr>
        <w:spacing w:line="30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交通影响评价费：按</w:t>
      </w:r>
      <w:r>
        <w:rPr>
          <w:rFonts w:hint="eastAsia" w:ascii="Times New Roman" w:hAnsi="Times New Roman"/>
          <w:b w:val="0"/>
          <w:color w:val="auto"/>
          <w:sz w:val="24"/>
          <w:szCs w:val="24"/>
          <w:highlight w:val="yellow"/>
        </w:rPr>
        <w:t>穗发改</w:t>
      </w:r>
      <w:r>
        <w:rPr>
          <w:rFonts w:ascii="Times New Roman" w:hAnsi="Times New Roman"/>
          <w:b w:val="0"/>
          <w:color w:val="auto"/>
          <w:sz w:val="24"/>
          <w:szCs w:val="24"/>
          <w:highlight w:val="yellow"/>
        </w:rPr>
        <w:t>[2021]86号文</w:t>
      </w:r>
      <w:r>
        <w:rPr>
          <w:rFonts w:hint="eastAsia" w:ascii="Times New Roman" w:hAnsi="Times New Roman"/>
          <w:b w:val="0"/>
          <w:color w:val="auto"/>
          <w:sz w:val="24"/>
          <w:szCs w:val="24"/>
          <w:highlight w:val="yellow"/>
        </w:rPr>
        <w:t>计算</w:t>
      </w:r>
      <w:r>
        <w:rPr>
          <w:rFonts w:ascii="Times New Roman" w:hAnsi="Times New Roman"/>
          <w:b w:val="0"/>
          <w:color w:val="auto"/>
          <w:sz w:val="24"/>
          <w:szCs w:val="24"/>
          <w:highlight w:val="yellow"/>
        </w:rPr>
        <w:t>；</w:t>
      </w:r>
    </w:p>
    <w:p>
      <w:pPr>
        <w:numPr>
          <w:ilvl w:val="0"/>
          <w:numId w:val="44"/>
        </w:numPr>
        <w:spacing w:line="30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地质灾害危险性评价费：按</w:t>
      </w:r>
      <w:r>
        <w:rPr>
          <w:rFonts w:hint="eastAsia" w:ascii="Times New Roman" w:hAnsi="Times New Roman"/>
          <w:b w:val="0"/>
          <w:color w:val="auto"/>
          <w:sz w:val="24"/>
          <w:szCs w:val="24"/>
          <w:highlight w:val="yellow"/>
        </w:rPr>
        <w:t>穗发改</w:t>
      </w:r>
      <w:r>
        <w:rPr>
          <w:rFonts w:ascii="Times New Roman" w:hAnsi="Times New Roman"/>
          <w:b w:val="0"/>
          <w:color w:val="auto"/>
          <w:sz w:val="24"/>
          <w:szCs w:val="24"/>
          <w:highlight w:val="yellow"/>
        </w:rPr>
        <w:t>[2021]86号文、《广东省地质灾害危</w:t>
      </w:r>
    </w:p>
    <w:p>
      <w:pPr>
        <w:tabs>
          <w:tab w:val="left" w:pos="567"/>
        </w:tabs>
        <w:spacing w:line="300" w:lineRule="auto"/>
        <w:rPr>
          <w:rFonts w:ascii="Times New Roman" w:hAnsi="Times New Roman"/>
          <w:b w:val="0"/>
          <w:color w:val="auto"/>
          <w:sz w:val="24"/>
          <w:szCs w:val="24"/>
          <w:highlight w:val="yellow"/>
        </w:rPr>
      </w:pPr>
      <w:r>
        <w:rPr>
          <w:rFonts w:hint="eastAsia" w:ascii="Times New Roman" w:hAnsi="Times New Roman"/>
          <w:b w:val="0"/>
          <w:color w:val="auto"/>
          <w:sz w:val="24"/>
          <w:szCs w:val="24"/>
          <w:highlight w:val="yellow"/>
        </w:rPr>
        <w:t>险性评估取费指导价格》（</w:t>
      </w:r>
      <w:r>
        <w:rPr>
          <w:rFonts w:ascii="Times New Roman" w:hAnsi="Times New Roman"/>
          <w:b w:val="0"/>
          <w:color w:val="auto"/>
          <w:sz w:val="24"/>
          <w:szCs w:val="24"/>
          <w:highlight w:val="yellow"/>
        </w:rPr>
        <w:t>2017年版）</w:t>
      </w:r>
      <w:r>
        <w:rPr>
          <w:rFonts w:hint="eastAsia" w:ascii="Times New Roman" w:hAnsi="Times New Roman"/>
          <w:b w:val="0"/>
          <w:color w:val="auto"/>
          <w:sz w:val="24"/>
          <w:szCs w:val="24"/>
          <w:highlight w:val="yellow"/>
        </w:rPr>
        <w:t>计算</w:t>
      </w:r>
      <w:r>
        <w:rPr>
          <w:rFonts w:ascii="Times New Roman" w:hAnsi="Times New Roman"/>
          <w:b w:val="0"/>
          <w:color w:val="auto"/>
          <w:sz w:val="24"/>
          <w:szCs w:val="24"/>
          <w:highlight w:val="yellow"/>
        </w:rPr>
        <w:t>；</w:t>
      </w:r>
    </w:p>
    <w:p>
      <w:pPr>
        <w:numPr>
          <w:ilvl w:val="0"/>
          <w:numId w:val="44"/>
        </w:numPr>
        <w:spacing w:line="300" w:lineRule="auto"/>
        <w:ind w:firstLine="480" w:firstLineChars="200"/>
        <w:rPr>
          <w:rFonts w:ascii="Times New Roman" w:hAnsi="Times New Roman"/>
          <w:b w:val="0"/>
          <w:color w:val="FF0000"/>
          <w:sz w:val="24"/>
          <w:szCs w:val="24"/>
          <w:highlight w:val="yellow"/>
        </w:rPr>
      </w:pPr>
      <w:r>
        <w:rPr>
          <w:rFonts w:hint="eastAsia" w:ascii="Times New Roman" w:hAnsi="Times New Roman"/>
          <w:b w:val="0"/>
          <w:color w:val="FF0000"/>
          <w:sz w:val="24"/>
          <w:szCs w:val="24"/>
          <w:highlight w:val="yellow"/>
        </w:rPr>
        <w:t>地震安全</w:t>
      </w:r>
      <w:r>
        <w:rPr>
          <w:rFonts w:ascii="Times New Roman" w:hAnsi="Times New Roman"/>
          <w:b w:val="0"/>
          <w:color w:val="FF0000"/>
          <w:sz w:val="24"/>
          <w:szCs w:val="24"/>
          <w:highlight w:val="yellow"/>
        </w:rPr>
        <w:t>性评价费</w:t>
      </w:r>
      <w:r>
        <w:rPr>
          <w:rFonts w:hint="eastAsia" w:ascii="Times New Roman" w:hAnsi="Times New Roman"/>
          <w:b w:val="0"/>
          <w:color w:val="FF0000"/>
          <w:sz w:val="24"/>
          <w:szCs w:val="24"/>
          <w:highlight w:val="yellow"/>
        </w:rPr>
        <w:t>：</w:t>
      </w:r>
      <w:r>
        <w:rPr>
          <w:rFonts w:ascii="Times New Roman" w:hAnsi="Times New Roman"/>
          <w:b w:val="0"/>
          <w:color w:val="FF0000"/>
          <w:sz w:val="24"/>
          <w:szCs w:val="24"/>
          <w:highlight w:val="yellow"/>
        </w:rPr>
        <w:t>按</w:t>
      </w:r>
      <w:r>
        <w:rPr>
          <w:rFonts w:hint="eastAsia" w:ascii="Times New Roman" w:hAnsi="Times New Roman"/>
          <w:b w:val="0"/>
          <w:color w:val="FF0000"/>
          <w:sz w:val="24"/>
          <w:szCs w:val="24"/>
          <w:highlight w:val="yellow"/>
        </w:rPr>
        <w:t>穗发改</w:t>
      </w:r>
      <w:r>
        <w:rPr>
          <w:rFonts w:ascii="Times New Roman" w:hAnsi="Times New Roman"/>
          <w:b w:val="0"/>
          <w:color w:val="FF0000"/>
          <w:sz w:val="24"/>
          <w:szCs w:val="24"/>
          <w:highlight w:val="yellow"/>
        </w:rPr>
        <w:t>[2021]86号文计算；</w:t>
      </w:r>
    </w:p>
    <w:p>
      <w:pPr>
        <w:numPr>
          <w:ilvl w:val="0"/>
          <w:numId w:val="44"/>
        </w:numPr>
        <w:spacing w:line="300" w:lineRule="auto"/>
        <w:ind w:firstLine="480" w:firstLineChars="200"/>
        <w:rPr>
          <w:rFonts w:ascii="Times New Roman" w:hAnsi="Times New Roman"/>
          <w:b w:val="0"/>
          <w:color w:val="FF0000"/>
          <w:sz w:val="24"/>
          <w:szCs w:val="24"/>
          <w:highlight w:val="yellow"/>
        </w:rPr>
      </w:pPr>
      <w:r>
        <w:rPr>
          <w:rFonts w:hint="eastAsia" w:ascii="Times New Roman" w:hAnsi="Times New Roman"/>
          <w:b w:val="0"/>
          <w:color w:val="FF0000"/>
          <w:sz w:val="24"/>
          <w:szCs w:val="24"/>
          <w:highlight w:val="yellow"/>
        </w:rPr>
        <w:t>同步预防及跟踪审计费：参考《佛山市禅城区财政局关于加强财政投资项目工程建设其他费管理的通知》禅财基</w:t>
      </w:r>
      <w:r>
        <w:rPr>
          <w:rFonts w:ascii="Times New Roman" w:hAnsi="Times New Roman"/>
          <w:b w:val="0"/>
          <w:color w:val="FF0000"/>
          <w:sz w:val="24"/>
          <w:szCs w:val="24"/>
          <w:highlight w:val="yellow"/>
        </w:rPr>
        <w:t>[2023]1号文，按全过程造价咨询费30%计取。</w:t>
      </w:r>
    </w:p>
    <w:p>
      <w:pPr>
        <w:numPr>
          <w:ilvl w:val="0"/>
          <w:numId w:val="44"/>
        </w:numPr>
        <w:spacing w:line="300" w:lineRule="auto"/>
        <w:ind w:firstLine="480" w:firstLineChars="200"/>
        <w:rPr>
          <w:rFonts w:ascii="Times New Roman" w:hAnsi="Times New Roman"/>
          <w:b w:val="0"/>
          <w:color w:val="auto"/>
          <w:sz w:val="24"/>
          <w:szCs w:val="24"/>
          <w:highlight w:val="yellow"/>
        </w:rPr>
      </w:pPr>
      <w:r>
        <w:rPr>
          <w:rFonts w:hint="eastAsia" w:ascii="Times New Roman" w:hAnsi="Times New Roman"/>
          <w:b w:val="0"/>
          <w:color w:val="auto"/>
          <w:sz w:val="24"/>
          <w:szCs w:val="24"/>
          <w:highlight w:val="yellow"/>
        </w:rPr>
        <w:t>涉地铁施工监测、保护费用：按穗铁建字</w:t>
      </w:r>
      <w:r>
        <w:rPr>
          <w:rFonts w:ascii="Times New Roman" w:hAnsi="Times New Roman"/>
          <w:b w:val="0"/>
          <w:color w:val="auto"/>
          <w:sz w:val="24"/>
          <w:szCs w:val="24"/>
          <w:highlight w:val="yellow"/>
        </w:rPr>
        <w:t>[2023]1944号文《广州地铁集团关于南沙全民文化体育综合体项目配套骨干道路建设方案意见的复函》计取，费用暂估</w:t>
      </w:r>
      <w:r>
        <w:rPr>
          <w:rFonts w:hint="eastAsia" w:ascii="Times New Roman" w:hAnsi="Times New Roman"/>
          <w:b w:val="0"/>
          <w:color w:val="auto"/>
          <w:sz w:val="24"/>
          <w:szCs w:val="24"/>
          <w:highlight w:val="yellow"/>
        </w:rPr>
        <w:t>。</w:t>
      </w:r>
    </w:p>
    <w:p>
      <w:pPr>
        <w:numPr>
          <w:ilvl w:val="0"/>
          <w:numId w:val="44"/>
        </w:numPr>
        <w:spacing w:line="300" w:lineRule="auto"/>
        <w:ind w:firstLine="480" w:firstLineChars="200"/>
        <w:rPr>
          <w:rFonts w:ascii="Times New Roman" w:hAnsi="Times New Roman"/>
          <w:b w:val="0"/>
          <w:color w:val="auto"/>
          <w:sz w:val="24"/>
          <w:szCs w:val="24"/>
          <w:highlight w:val="yellow"/>
        </w:rPr>
      </w:pPr>
      <w:r>
        <w:rPr>
          <w:rFonts w:ascii="Times New Roman" w:hAnsi="Times New Roman"/>
          <w:b w:val="0"/>
          <w:color w:val="auto"/>
          <w:sz w:val="24"/>
          <w:szCs w:val="24"/>
          <w:highlight w:val="yellow"/>
        </w:rPr>
        <w:t>基本预备费：按第一、二部分费用之和（扣除建设用地费）的5%。</w:t>
      </w:r>
    </w:p>
    <w:p>
      <w:pPr>
        <w:numPr>
          <w:ilvl w:val="0"/>
          <w:numId w:val="44"/>
        </w:numPr>
        <w:spacing w:line="300" w:lineRule="auto"/>
        <w:ind w:firstLine="480" w:firstLineChars="200"/>
        <w:rPr>
          <w:rFonts w:ascii="Times New Roman" w:hAnsi="Times New Roman"/>
          <w:b w:val="0"/>
          <w:color w:val="auto"/>
          <w:sz w:val="24"/>
          <w:szCs w:val="24"/>
          <w:highlight w:val="yellow"/>
        </w:rPr>
      </w:pPr>
      <w:r>
        <w:rPr>
          <w:rFonts w:hint="eastAsia" w:ascii="Times New Roman" w:hAnsi="Times New Roman"/>
          <w:b w:val="0"/>
          <w:color w:val="auto"/>
          <w:sz w:val="24"/>
          <w:szCs w:val="24"/>
          <w:highlight w:val="yellow"/>
        </w:rPr>
        <w:t>本报告的造价指标基本在《广州市南沙区政府投资项目估算指导指标（</w:t>
      </w:r>
      <w:r>
        <w:rPr>
          <w:rFonts w:ascii="Times New Roman" w:hAnsi="Times New Roman"/>
          <w:b w:val="0"/>
          <w:color w:val="auto"/>
          <w:sz w:val="24"/>
          <w:szCs w:val="24"/>
          <w:highlight w:val="yellow"/>
        </w:rPr>
        <w:t>2021年版）》范围内，不可对标指标的相关开项，</w:t>
      </w:r>
      <w:r>
        <w:rPr>
          <w:rFonts w:hint="eastAsia" w:ascii="Times New Roman" w:hAnsi="Times New Roman"/>
          <w:b w:val="0"/>
          <w:color w:val="auto"/>
          <w:sz w:val="24"/>
          <w:szCs w:val="24"/>
          <w:highlight w:val="yellow"/>
        </w:rPr>
        <w:t>按</w:t>
      </w:r>
      <w:r>
        <w:rPr>
          <w:rFonts w:ascii="Times New Roman" w:hAnsi="Times New Roman"/>
          <w:b w:val="0"/>
          <w:color w:val="auto"/>
          <w:sz w:val="24"/>
          <w:szCs w:val="24"/>
          <w:highlight w:val="yellow"/>
        </w:rPr>
        <w:t>照定额套价分析，单价合理。本报告中提出的投资在合理范围内。</w:t>
      </w:r>
    </w:p>
    <w:p>
      <w:pPr>
        <w:pStyle w:val="4"/>
        <w:spacing w:line="300" w:lineRule="auto"/>
        <w:ind w:firstLine="482" w:firstLineChars="200"/>
        <w:rPr>
          <w:highlight w:val="yellow"/>
        </w:rPr>
      </w:pPr>
      <w:bookmarkStart w:id="345" w:name="_Toc20890"/>
      <w:r>
        <w:rPr>
          <w:highlight w:val="yellow"/>
        </w:rPr>
        <w:t>建设项目总投资估算表</w:t>
      </w:r>
      <w:bookmarkEnd w:id="345"/>
    </w:p>
    <w:p>
      <w:pPr>
        <w:tabs>
          <w:tab w:val="left" w:pos="709"/>
        </w:tabs>
        <w:spacing w:line="300" w:lineRule="auto"/>
        <w:ind w:firstLine="480" w:firstLineChars="200"/>
        <w:rPr>
          <w:rFonts w:ascii="Times New Roman" w:hAnsi="Times New Roman"/>
          <w:b w:val="0"/>
          <w:color w:val="FF0000"/>
          <w:sz w:val="24"/>
          <w:szCs w:val="24"/>
          <w:highlight w:val="yellow"/>
        </w:rPr>
        <w:sectPr>
          <w:headerReference r:id="rId7" w:type="default"/>
          <w:footerReference r:id="rId8" w:type="default"/>
          <w:pgSz w:w="23814" w:h="16840" w:orient="landscape"/>
          <w:pgMar w:top="1701" w:right="1440" w:bottom="1106" w:left="1814" w:header="851" w:footer="283" w:gutter="0"/>
          <w:cols w:space="1028" w:num="2"/>
          <w:docGrid w:type="lines" w:linePitch="382" w:charSpace="0"/>
        </w:sectPr>
      </w:pPr>
      <w:r>
        <w:rPr>
          <w:rFonts w:hint="eastAsia" w:ascii="Times New Roman" w:hAnsi="Times New Roman"/>
          <w:b w:val="0"/>
          <w:color w:val="auto"/>
          <w:sz w:val="24"/>
          <w:szCs w:val="24"/>
          <w:highlight w:val="cyan"/>
        </w:rPr>
        <w:t>本项目总投资约</w:t>
      </w:r>
      <w:r>
        <w:rPr>
          <w:rFonts w:ascii="Times New Roman" w:hAnsi="Times New Roman"/>
          <w:b w:val="0"/>
          <w:color w:val="auto"/>
          <w:sz w:val="24"/>
          <w:szCs w:val="24"/>
          <w:highlight w:val="cyan"/>
        </w:rPr>
        <w:t>99629.78万元，其中工程费用约75923.72万元，工程建设其他费用19496.78（含建设用地费）万元，基本预备费4209.28万元。</w:t>
      </w:r>
      <w:r>
        <w:rPr>
          <w:rFonts w:ascii="Times New Roman" w:hAnsi="Times New Roman"/>
          <w:b w:val="0"/>
          <w:color w:val="FF0000"/>
          <w:sz w:val="24"/>
          <w:szCs w:val="24"/>
          <w:highlight w:val="yellow"/>
        </w:rPr>
        <w:br w:type="column"/>
      </w:r>
    </w:p>
    <w:p>
      <w:pPr>
        <w:pStyle w:val="4"/>
        <w:numPr>
          <w:ilvl w:val="0"/>
          <w:numId w:val="0"/>
        </w:numPr>
        <w:spacing w:line="300" w:lineRule="auto"/>
      </w:pPr>
      <w:bookmarkStart w:id="346" w:name="_Toc1309"/>
      <w:r>
        <w:rPr>
          <w:rFonts w:hint="eastAsia"/>
        </w:rPr>
        <w:t>7.1.5</w:t>
      </w:r>
      <w:r>
        <w:t>建设项目总投资估算表</w:t>
      </w:r>
      <w:bookmarkEnd w:id="346"/>
    </w:p>
    <w:p>
      <w:pPr>
        <w:tabs>
          <w:tab w:val="left" w:pos="709"/>
        </w:tabs>
        <w:spacing w:line="300" w:lineRule="auto"/>
        <w:ind w:firstLine="480" w:firstLineChars="200"/>
        <w:rPr>
          <w:rFonts w:ascii="Times New Roman" w:hAnsi="Times New Roman"/>
          <w:b w:val="0"/>
          <w:color w:val="auto"/>
          <w:sz w:val="24"/>
          <w:szCs w:val="24"/>
        </w:rPr>
      </w:pPr>
    </w:p>
    <w:tbl>
      <w:tblPr>
        <w:tblStyle w:val="32"/>
        <w:tblW w:w="205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0"/>
        <w:gridCol w:w="3560"/>
        <w:gridCol w:w="1400"/>
        <w:gridCol w:w="1400"/>
        <w:gridCol w:w="1280"/>
        <w:gridCol w:w="680"/>
        <w:gridCol w:w="1040"/>
        <w:gridCol w:w="1520"/>
        <w:gridCol w:w="8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blHeader/>
          <w:jc w:val="center"/>
        </w:trPr>
        <w:tc>
          <w:tcPr>
            <w:tcW w:w="20549" w:type="dxa"/>
            <w:gridSpan w:val="9"/>
            <w:tcBorders>
              <w:top w:val="nil"/>
              <w:left w:val="nil"/>
              <w:right w:val="nil"/>
            </w:tcBorders>
            <w:shd w:val="clear" w:color="000000" w:fill="FFFFFF"/>
            <w:vAlign w:val="center"/>
          </w:tcPr>
          <w:p>
            <w:pPr>
              <w:widowControl/>
              <w:jc w:val="center"/>
              <w:rPr>
                <w:rFonts w:ascii="微软雅黑" w:hAnsi="微软雅黑" w:eastAsia="微软雅黑" w:cs="宋体"/>
                <w:bCs/>
                <w:color w:val="auto"/>
                <w:kern w:val="0"/>
                <w:sz w:val="24"/>
                <w:szCs w:val="24"/>
              </w:rPr>
            </w:pPr>
            <w:bookmarkStart w:id="347" w:name="RANGE!A1:I13"/>
            <w:r>
              <w:rPr>
                <w:rFonts w:hint="eastAsia" w:ascii="微软雅黑" w:hAnsi="微软雅黑" w:eastAsia="微软雅黑" w:cs="宋体"/>
                <w:bCs/>
                <w:color w:val="auto"/>
                <w:kern w:val="0"/>
                <w:sz w:val="24"/>
                <w:szCs w:val="24"/>
                <w:highlight w:val="magenta"/>
              </w:rPr>
              <w:t>投资估算总表</w:t>
            </w:r>
            <w:bookmarkEnd w:id="347"/>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blHeader/>
          <w:jc w:val="center"/>
        </w:trPr>
        <w:tc>
          <w:tcPr>
            <w:tcW w:w="800" w:type="dxa"/>
            <w:vMerge w:val="restart"/>
            <w:shd w:val="clear" w:color="000000" w:fill="FFFFFF"/>
            <w:vAlign w:val="center"/>
          </w:tcPr>
          <w:p>
            <w:pPr>
              <w:widowControl/>
              <w:jc w:val="center"/>
              <w:rPr>
                <w:rFonts w:ascii="微软雅黑" w:hAnsi="微软雅黑" w:eastAsia="微软雅黑" w:cs="宋体"/>
                <w:bCs/>
                <w:color w:val="auto"/>
                <w:kern w:val="0"/>
                <w:sz w:val="18"/>
                <w:szCs w:val="18"/>
                <w:highlight w:val="magenta"/>
              </w:rPr>
            </w:pPr>
            <w:r>
              <w:rPr>
                <w:rFonts w:hint="eastAsia" w:ascii="微软雅黑" w:hAnsi="微软雅黑" w:eastAsia="微软雅黑" w:cs="宋体"/>
                <w:bCs/>
                <w:color w:val="auto"/>
                <w:kern w:val="0"/>
                <w:sz w:val="18"/>
                <w:szCs w:val="18"/>
                <w:highlight w:val="magenta"/>
              </w:rPr>
              <w:t>序号</w:t>
            </w:r>
          </w:p>
        </w:tc>
        <w:tc>
          <w:tcPr>
            <w:tcW w:w="3560" w:type="dxa"/>
            <w:vMerge w:val="restart"/>
            <w:shd w:val="clear" w:color="000000" w:fill="FFFFFF"/>
            <w:vAlign w:val="center"/>
          </w:tcPr>
          <w:p>
            <w:pPr>
              <w:widowControl/>
              <w:jc w:val="center"/>
              <w:rPr>
                <w:rFonts w:ascii="微软雅黑" w:hAnsi="微软雅黑" w:eastAsia="微软雅黑" w:cs="宋体"/>
                <w:bCs/>
                <w:color w:val="auto"/>
                <w:kern w:val="0"/>
                <w:sz w:val="18"/>
                <w:szCs w:val="18"/>
                <w:highlight w:val="magenta"/>
              </w:rPr>
            </w:pPr>
            <w:r>
              <w:rPr>
                <w:rFonts w:hint="eastAsia" w:ascii="微软雅黑" w:hAnsi="微软雅黑" w:eastAsia="微软雅黑" w:cs="宋体"/>
                <w:bCs/>
                <w:color w:val="auto"/>
                <w:kern w:val="0"/>
                <w:sz w:val="18"/>
                <w:szCs w:val="18"/>
                <w:highlight w:val="magenta"/>
              </w:rPr>
              <w:t>工程或费用名称</w:t>
            </w:r>
          </w:p>
        </w:tc>
        <w:tc>
          <w:tcPr>
            <w:tcW w:w="4080" w:type="dxa"/>
            <w:gridSpan w:val="3"/>
            <w:shd w:val="clear" w:color="000000" w:fill="FFFFFF"/>
            <w:vAlign w:val="center"/>
          </w:tcPr>
          <w:p>
            <w:pPr>
              <w:widowControl/>
              <w:jc w:val="center"/>
              <w:rPr>
                <w:rFonts w:ascii="微软雅黑" w:hAnsi="微软雅黑" w:eastAsia="微软雅黑" w:cs="宋体"/>
                <w:bCs/>
                <w:color w:val="auto"/>
                <w:kern w:val="0"/>
                <w:sz w:val="18"/>
                <w:szCs w:val="18"/>
                <w:highlight w:val="magenta"/>
              </w:rPr>
            </w:pPr>
            <w:r>
              <w:rPr>
                <w:rFonts w:hint="eastAsia" w:ascii="微软雅黑" w:hAnsi="微软雅黑" w:eastAsia="微软雅黑" w:cs="宋体"/>
                <w:bCs/>
                <w:color w:val="auto"/>
                <w:kern w:val="0"/>
                <w:sz w:val="18"/>
                <w:szCs w:val="18"/>
                <w:highlight w:val="magenta"/>
              </w:rPr>
              <w:t>估算价值（万元）</w:t>
            </w:r>
          </w:p>
        </w:tc>
        <w:tc>
          <w:tcPr>
            <w:tcW w:w="3240" w:type="dxa"/>
            <w:gridSpan w:val="3"/>
            <w:shd w:val="clear" w:color="000000" w:fill="FFFFFF"/>
            <w:vAlign w:val="center"/>
          </w:tcPr>
          <w:p>
            <w:pPr>
              <w:widowControl/>
              <w:jc w:val="center"/>
              <w:rPr>
                <w:rFonts w:ascii="微软雅黑" w:hAnsi="微软雅黑" w:eastAsia="微软雅黑" w:cs="宋体"/>
                <w:bCs/>
                <w:color w:val="auto"/>
                <w:kern w:val="0"/>
                <w:sz w:val="18"/>
                <w:szCs w:val="18"/>
                <w:highlight w:val="magenta"/>
              </w:rPr>
            </w:pPr>
            <w:r>
              <w:rPr>
                <w:rFonts w:hint="eastAsia" w:ascii="微软雅黑" w:hAnsi="微软雅黑" w:eastAsia="微软雅黑" w:cs="宋体"/>
                <w:bCs/>
                <w:color w:val="auto"/>
                <w:kern w:val="0"/>
                <w:sz w:val="18"/>
                <w:szCs w:val="18"/>
                <w:highlight w:val="magenta"/>
              </w:rPr>
              <w:t>技术经济指标</w:t>
            </w:r>
          </w:p>
        </w:tc>
        <w:tc>
          <w:tcPr>
            <w:tcW w:w="8869" w:type="dxa"/>
            <w:vMerge w:val="restart"/>
            <w:shd w:val="clear" w:color="000000" w:fill="FFFFFF"/>
            <w:vAlign w:val="center"/>
          </w:tcPr>
          <w:p>
            <w:pPr>
              <w:widowControl/>
              <w:jc w:val="center"/>
              <w:rPr>
                <w:rFonts w:ascii="微软雅黑" w:hAnsi="微软雅黑" w:eastAsia="微软雅黑" w:cs="宋体"/>
                <w:bCs/>
                <w:color w:val="auto"/>
                <w:kern w:val="0"/>
                <w:sz w:val="18"/>
                <w:szCs w:val="18"/>
                <w:highlight w:val="magenta"/>
              </w:rPr>
            </w:pPr>
            <w:r>
              <w:rPr>
                <w:rFonts w:hint="eastAsia" w:ascii="微软雅黑" w:hAnsi="微软雅黑" w:eastAsia="微软雅黑" w:cs="宋体"/>
                <w:bCs/>
                <w:color w:val="auto"/>
                <w:kern w:val="0"/>
                <w:sz w:val="18"/>
                <w:szCs w:val="18"/>
                <w:highlight w:val="magenta"/>
              </w:rPr>
              <w:t>占总投资%或备注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blHeader/>
          <w:jc w:val="center"/>
        </w:trPr>
        <w:tc>
          <w:tcPr>
            <w:tcW w:w="800" w:type="dxa"/>
            <w:vMerge w:val="continue"/>
            <w:vAlign w:val="center"/>
          </w:tcPr>
          <w:p>
            <w:pPr>
              <w:widowControl/>
              <w:jc w:val="left"/>
              <w:rPr>
                <w:rFonts w:ascii="微软雅黑" w:hAnsi="微软雅黑" w:eastAsia="微软雅黑" w:cs="宋体"/>
                <w:bCs/>
                <w:color w:val="auto"/>
                <w:kern w:val="0"/>
                <w:sz w:val="18"/>
                <w:szCs w:val="18"/>
              </w:rPr>
            </w:pPr>
          </w:p>
        </w:tc>
        <w:tc>
          <w:tcPr>
            <w:tcW w:w="3560" w:type="dxa"/>
            <w:vMerge w:val="continue"/>
            <w:vAlign w:val="center"/>
          </w:tcPr>
          <w:p>
            <w:pPr>
              <w:widowControl/>
              <w:jc w:val="left"/>
              <w:rPr>
                <w:rFonts w:ascii="微软雅黑" w:hAnsi="微软雅黑" w:eastAsia="微软雅黑" w:cs="宋体"/>
                <w:bCs/>
                <w:color w:val="auto"/>
                <w:kern w:val="0"/>
                <w:sz w:val="18"/>
                <w:szCs w:val="18"/>
              </w:rPr>
            </w:pPr>
          </w:p>
        </w:tc>
        <w:tc>
          <w:tcPr>
            <w:tcW w:w="1400" w:type="dxa"/>
            <w:shd w:val="clear" w:color="000000" w:fill="FFFFFF"/>
            <w:vAlign w:val="center"/>
          </w:tcPr>
          <w:p>
            <w:pPr>
              <w:widowControl/>
              <w:jc w:val="center"/>
              <w:rPr>
                <w:rFonts w:ascii="微软雅黑" w:hAnsi="微软雅黑" w:eastAsia="微软雅黑" w:cs="宋体"/>
                <w:bCs/>
                <w:color w:val="auto"/>
                <w:kern w:val="0"/>
                <w:sz w:val="18"/>
                <w:szCs w:val="18"/>
                <w:highlight w:val="magenta"/>
              </w:rPr>
            </w:pPr>
            <w:r>
              <w:rPr>
                <w:rFonts w:hint="eastAsia" w:ascii="微软雅黑" w:hAnsi="微软雅黑" w:eastAsia="微软雅黑" w:cs="宋体"/>
                <w:bCs/>
                <w:color w:val="auto"/>
                <w:kern w:val="0"/>
                <w:sz w:val="18"/>
                <w:szCs w:val="18"/>
                <w:highlight w:val="magenta"/>
              </w:rPr>
              <w:t>建安工程费</w:t>
            </w:r>
          </w:p>
        </w:tc>
        <w:tc>
          <w:tcPr>
            <w:tcW w:w="1400" w:type="dxa"/>
            <w:shd w:val="clear" w:color="000000" w:fill="FFFFFF"/>
            <w:vAlign w:val="center"/>
          </w:tcPr>
          <w:p>
            <w:pPr>
              <w:widowControl/>
              <w:jc w:val="center"/>
              <w:rPr>
                <w:rFonts w:ascii="微软雅黑" w:hAnsi="微软雅黑" w:eastAsia="微软雅黑" w:cs="宋体"/>
                <w:bCs/>
                <w:color w:val="auto"/>
                <w:kern w:val="0"/>
                <w:sz w:val="18"/>
                <w:szCs w:val="18"/>
                <w:highlight w:val="magenta"/>
              </w:rPr>
            </w:pPr>
            <w:r>
              <w:rPr>
                <w:rFonts w:hint="eastAsia" w:ascii="微软雅黑" w:hAnsi="微软雅黑" w:eastAsia="微软雅黑" w:cs="宋体"/>
                <w:bCs/>
                <w:color w:val="auto"/>
                <w:kern w:val="0"/>
                <w:sz w:val="18"/>
                <w:szCs w:val="18"/>
                <w:highlight w:val="magenta"/>
              </w:rPr>
              <w:t>其他费用</w:t>
            </w:r>
          </w:p>
        </w:tc>
        <w:tc>
          <w:tcPr>
            <w:tcW w:w="1280" w:type="dxa"/>
            <w:shd w:val="clear" w:color="000000" w:fill="FFFFFF"/>
            <w:vAlign w:val="center"/>
          </w:tcPr>
          <w:p>
            <w:pPr>
              <w:widowControl/>
              <w:jc w:val="center"/>
              <w:rPr>
                <w:rFonts w:ascii="微软雅黑" w:hAnsi="微软雅黑" w:eastAsia="微软雅黑" w:cs="宋体"/>
                <w:bCs/>
                <w:color w:val="auto"/>
                <w:kern w:val="0"/>
                <w:sz w:val="18"/>
                <w:szCs w:val="18"/>
                <w:highlight w:val="magenta"/>
              </w:rPr>
            </w:pPr>
            <w:r>
              <w:rPr>
                <w:rFonts w:hint="eastAsia" w:ascii="微软雅黑" w:hAnsi="微软雅黑" w:eastAsia="微软雅黑" w:cs="宋体"/>
                <w:bCs/>
                <w:color w:val="auto"/>
                <w:kern w:val="0"/>
                <w:sz w:val="18"/>
                <w:szCs w:val="18"/>
                <w:highlight w:val="magenta"/>
              </w:rPr>
              <w:t>合计</w:t>
            </w:r>
          </w:p>
        </w:tc>
        <w:tc>
          <w:tcPr>
            <w:tcW w:w="680" w:type="dxa"/>
            <w:shd w:val="clear" w:color="000000" w:fill="FFFFFF"/>
            <w:vAlign w:val="center"/>
          </w:tcPr>
          <w:p>
            <w:pPr>
              <w:widowControl/>
              <w:jc w:val="center"/>
              <w:rPr>
                <w:rFonts w:ascii="微软雅黑" w:hAnsi="微软雅黑" w:eastAsia="微软雅黑" w:cs="宋体"/>
                <w:bCs/>
                <w:color w:val="auto"/>
                <w:kern w:val="0"/>
                <w:sz w:val="18"/>
                <w:szCs w:val="18"/>
                <w:highlight w:val="magenta"/>
              </w:rPr>
            </w:pPr>
            <w:r>
              <w:rPr>
                <w:rFonts w:hint="eastAsia" w:ascii="微软雅黑" w:hAnsi="微软雅黑" w:eastAsia="微软雅黑" w:cs="宋体"/>
                <w:bCs/>
                <w:color w:val="auto"/>
                <w:kern w:val="0"/>
                <w:sz w:val="18"/>
                <w:szCs w:val="18"/>
                <w:highlight w:val="magenta"/>
              </w:rPr>
              <w:t>单位</w:t>
            </w:r>
          </w:p>
        </w:tc>
        <w:tc>
          <w:tcPr>
            <w:tcW w:w="1040" w:type="dxa"/>
            <w:shd w:val="clear" w:color="000000" w:fill="FFFFFF"/>
            <w:vAlign w:val="center"/>
          </w:tcPr>
          <w:p>
            <w:pPr>
              <w:widowControl/>
              <w:jc w:val="center"/>
              <w:rPr>
                <w:rFonts w:ascii="微软雅黑" w:hAnsi="微软雅黑" w:eastAsia="微软雅黑" w:cs="宋体"/>
                <w:bCs/>
                <w:color w:val="auto"/>
                <w:kern w:val="0"/>
                <w:sz w:val="18"/>
                <w:szCs w:val="18"/>
                <w:highlight w:val="magenta"/>
              </w:rPr>
            </w:pPr>
            <w:r>
              <w:rPr>
                <w:rFonts w:hint="eastAsia" w:ascii="微软雅黑" w:hAnsi="微软雅黑" w:eastAsia="微软雅黑" w:cs="宋体"/>
                <w:bCs/>
                <w:color w:val="auto"/>
                <w:kern w:val="0"/>
                <w:sz w:val="18"/>
                <w:szCs w:val="18"/>
                <w:highlight w:val="magenta"/>
              </w:rPr>
              <w:t>数量</w:t>
            </w:r>
          </w:p>
        </w:tc>
        <w:tc>
          <w:tcPr>
            <w:tcW w:w="1520" w:type="dxa"/>
            <w:shd w:val="clear" w:color="000000" w:fill="FFFFFF"/>
            <w:vAlign w:val="center"/>
          </w:tcPr>
          <w:p>
            <w:pPr>
              <w:widowControl/>
              <w:jc w:val="center"/>
              <w:rPr>
                <w:rFonts w:ascii="微软雅黑" w:hAnsi="微软雅黑" w:eastAsia="微软雅黑" w:cs="宋体"/>
                <w:bCs/>
                <w:color w:val="auto"/>
                <w:kern w:val="0"/>
                <w:sz w:val="18"/>
                <w:szCs w:val="18"/>
                <w:highlight w:val="magenta"/>
              </w:rPr>
            </w:pPr>
            <w:r>
              <w:rPr>
                <w:rFonts w:hint="eastAsia" w:ascii="微软雅黑" w:hAnsi="微软雅黑" w:eastAsia="微软雅黑" w:cs="宋体"/>
                <w:bCs/>
                <w:color w:val="auto"/>
                <w:kern w:val="0"/>
                <w:sz w:val="18"/>
                <w:szCs w:val="18"/>
                <w:highlight w:val="magenta"/>
              </w:rPr>
              <w:t>单位价值</w:t>
            </w:r>
            <w:r>
              <w:rPr>
                <w:rFonts w:hint="eastAsia" w:ascii="微软雅黑" w:hAnsi="微软雅黑" w:eastAsia="微软雅黑" w:cs="宋体"/>
                <w:bCs/>
                <w:color w:val="auto"/>
                <w:kern w:val="0"/>
                <w:sz w:val="18"/>
                <w:szCs w:val="18"/>
                <w:highlight w:val="magenta"/>
              </w:rPr>
              <w:br w:type="textWrapping"/>
            </w:r>
            <w:r>
              <w:rPr>
                <w:rFonts w:hint="eastAsia" w:ascii="微软雅黑" w:hAnsi="微软雅黑" w:eastAsia="微软雅黑" w:cs="宋体"/>
                <w:bCs/>
                <w:color w:val="auto"/>
                <w:kern w:val="0"/>
                <w:sz w:val="18"/>
                <w:szCs w:val="18"/>
                <w:highlight w:val="magenta"/>
              </w:rPr>
              <w:t>(元)</w:t>
            </w:r>
          </w:p>
        </w:tc>
        <w:tc>
          <w:tcPr>
            <w:tcW w:w="8869" w:type="dxa"/>
            <w:vMerge w:val="continue"/>
            <w:vAlign w:val="center"/>
          </w:tcPr>
          <w:p>
            <w:pPr>
              <w:widowControl/>
              <w:jc w:val="left"/>
              <w:rPr>
                <w:rFonts w:ascii="微软雅黑" w:hAnsi="微软雅黑" w:eastAsia="微软雅黑" w:cs="宋体"/>
                <w:bCs/>
                <w:color w:val="auto"/>
                <w:kern w:val="0"/>
                <w:sz w:val="18"/>
                <w:szCs w:val="18"/>
                <w:highlight w:val="magent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A</w:t>
            </w:r>
          </w:p>
        </w:tc>
        <w:tc>
          <w:tcPr>
            <w:tcW w:w="3560" w:type="dxa"/>
            <w:shd w:val="clear" w:color="000000" w:fill="FFFFFF"/>
            <w:vAlign w:val="center"/>
          </w:tcPr>
          <w:p>
            <w:pPr>
              <w:widowControl/>
              <w:jc w:val="left"/>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第一部分：工程费用</w:t>
            </w:r>
          </w:p>
        </w:tc>
        <w:tc>
          <w:tcPr>
            <w:tcW w:w="140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75923.72 </w:t>
            </w:r>
          </w:p>
        </w:tc>
        <w:tc>
          <w:tcPr>
            <w:tcW w:w="140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28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75923.72 </w:t>
            </w:r>
          </w:p>
        </w:tc>
        <w:tc>
          <w:tcPr>
            <w:tcW w:w="68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Km</w:t>
            </w:r>
          </w:p>
        </w:tc>
        <w:tc>
          <w:tcPr>
            <w:tcW w:w="104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3.337 </w:t>
            </w:r>
          </w:p>
        </w:tc>
        <w:tc>
          <w:tcPr>
            <w:tcW w:w="152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227520891.67</w:t>
            </w:r>
          </w:p>
        </w:tc>
        <w:tc>
          <w:tcPr>
            <w:tcW w:w="8869"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76.21%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A1</w:t>
            </w:r>
          </w:p>
        </w:tc>
        <w:tc>
          <w:tcPr>
            <w:tcW w:w="3560" w:type="dxa"/>
            <w:shd w:val="clear" w:color="000000" w:fill="FFFFFF"/>
            <w:vAlign w:val="center"/>
          </w:tcPr>
          <w:p>
            <w:pPr>
              <w:widowControl/>
              <w:jc w:val="left"/>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二十涌北路</w:t>
            </w:r>
          </w:p>
        </w:tc>
        <w:tc>
          <w:tcPr>
            <w:tcW w:w="140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43767.83 </w:t>
            </w:r>
          </w:p>
        </w:tc>
        <w:tc>
          <w:tcPr>
            <w:tcW w:w="140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28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43767.83 </w:t>
            </w:r>
          </w:p>
        </w:tc>
        <w:tc>
          <w:tcPr>
            <w:tcW w:w="68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Km</w:t>
            </w:r>
          </w:p>
        </w:tc>
        <w:tc>
          <w:tcPr>
            <w:tcW w:w="104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1.852 </w:t>
            </w:r>
          </w:p>
        </w:tc>
        <w:tc>
          <w:tcPr>
            <w:tcW w:w="152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236327398.75</w:t>
            </w:r>
          </w:p>
        </w:tc>
        <w:tc>
          <w:tcPr>
            <w:tcW w:w="8869"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43.93%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一</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道路工程</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22367.73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22367.73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90380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2474.85</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二</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桥梁工程</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1760.44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1760.44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2273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7745.00</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三</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排水工程</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6178.39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6178.39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12513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4937.58</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四</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消防工程</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25.24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25.24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153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1651.94</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五</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交通工程</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301.35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301.35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km</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1.852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1627149.03</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六</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照明工程</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398.17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398.17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km</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1.852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2149956.80</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七</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绿化工程</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860.21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860.21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90380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95.18</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八</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电力管沟工程</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1633.74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1633.74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2238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7300.00</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九</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交通疏解</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715.24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715.24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km</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1.852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3861987.04</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十</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场地准备工程</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162.00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162.00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1000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1620.00</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十一</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临时施工便道</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9365.32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9365.32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42555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2200.76</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A2</w:t>
            </w:r>
          </w:p>
        </w:tc>
        <w:tc>
          <w:tcPr>
            <w:tcW w:w="3560" w:type="dxa"/>
            <w:shd w:val="clear" w:color="000000" w:fill="FFFFFF"/>
            <w:vAlign w:val="center"/>
          </w:tcPr>
          <w:p>
            <w:pPr>
              <w:widowControl/>
              <w:jc w:val="left"/>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规划纵三路</w:t>
            </w:r>
          </w:p>
        </w:tc>
        <w:tc>
          <w:tcPr>
            <w:tcW w:w="140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32155.89 </w:t>
            </w:r>
          </w:p>
        </w:tc>
        <w:tc>
          <w:tcPr>
            <w:tcW w:w="140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28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32155.89 </w:t>
            </w:r>
          </w:p>
        </w:tc>
        <w:tc>
          <w:tcPr>
            <w:tcW w:w="68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Km</w:t>
            </w:r>
          </w:p>
        </w:tc>
        <w:tc>
          <w:tcPr>
            <w:tcW w:w="104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1.485 </w:t>
            </w:r>
          </w:p>
        </w:tc>
        <w:tc>
          <w:tcPr>
            <w:tcW w:w="152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216537961.64</w:t>
            </w:r>
          </w:p>
        </w:tc>
        <w:tc>
          <w:tcPr>
            <w:tcW w:w="8869"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32.28%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一</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道路工程</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16448.30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16448.30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50929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3229.64</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二</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桥梁工程</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4517.18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4517.18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6150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7345.00</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三</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排水工程</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4923.41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4923.41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5867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8391.70</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四</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消防工程</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20.24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20.24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123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1651.94</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五</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交通工程</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295.02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295.02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km</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1.485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1986633.00</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六</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照明工程</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212.81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212.81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km</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1.485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1433082.83</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七</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绿化工程</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246.33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246.33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50929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48.37</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八</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电力管沟工程</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1605.39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1605.39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2155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7449.61</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九</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交通疏解</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604.80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604.80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km</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1.485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4072727.27</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十</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场地准备工程</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129.60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129.60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800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1620.00</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十一</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临时施工便道</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3152.81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3152.81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14080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2239.21</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B</w:t>
            </w:r>
          </w:p>
        </w:tc>
        <w:tc>
          <w:tcPr>
            <w:tcW w:w="3560" w:type="dxa"/>
            <w:shd w:val="clear" w:color="000000" w:fill="FFFFFF"/>
            <w:vAlign w:val="center"/>
          </w:tcPr>
          <w:p>
            <w:pPr>
              <w:widowControl/>
              <w:jc w:val="left"/>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第二部分：工程建设其他费用</w:t>
            </w:r>
          </w:p>
        </w:tc>
        <w:tc>
          <w:tcPr>
            <w:tcW w:w="140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19496.78 </w:t>
            </w:r>
          </w:p>
        </w:tc>
        <w:tc>
          <w:tcPr>
            <w:tcW w:w="128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19496.78 </w:t>
            </w:r>
          </w:p>
        </w:tc>
        <w:tc>
          <w:tcPr>
            <w:tcW w:w="68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Km</w:t>
            </w:r>
          </w:p>
        </w:tc>
        <w:tc>
          <w:tcPr>
            <w:tcW w:w="104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3.337 </w:t>
            </w:r>
          </w:p>
        </w:tc>
        <w:tc>
          <w:tcPr>
            <w:tcW w:w="152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58426079.20</w:t>
            </w:r>
          </w:p>
        </w:tc>
        <w:tc>
          <w:tcPr>
            <w:tcW w:w="8869"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19.57%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一</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建设用地费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11234.89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11234.89 </w:t>
            </w:r>
          </w:p>
        </w:tc>
        <w:tc>
          <w:tcPr>
            <w:tcW w:w="680" w:type="dxa"/>
            <w:shd w:val="clear" w:color="000000" w:fill="FFFFFF"/>
            <w:noWrap/>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noWrap/>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征地费用</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9192.84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9192.84 </w:t>
            </w:r>
          </w:p>
        </w:tc>
        <w:tc>
          <w:tcPr>
            <w:tcW w:w="680" w:type="dxa"/>
            <w:shd w:val="clear" w:color="000000" w:fill="FFFFFF"/>
            <w:noWrap/>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noWrap/>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征地补偿费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7845.24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7845.24 </w:t>
            </w:r>
          </w:p>
        </w:tc>
        <w:tc>
          <w:tcPr>
            <w:tcW w:w="680" w:type="dxa"/>
            <w:shd w:val="clear" w:color="000000" w:fill="FFFFFF"/>
            <w:noWrap/>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亩</w:t>
            </w:r>
          </w:p>
        </w:tc>
        <w:tc>
          <w:tcPr>
            <w:tcW w:w="1040" w:type="dxa"/>
            <w:shd w:val="clear" w:color="000000" w:fill="FFFFFF"/>
            <w:noWrap/>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224.60</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349300.00</w:t>
            </w:r>
          </w:p>
        </w:tc>
        <w:tc>
          <w:tcPr>
            <w:tcW w:w="8869" w:type="dxa"/>
            <w:vMerge w:val="restart"/>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《广州南沙开发区土地开发中心关于商请提供南沙全民文化体育综合体项目配套骨干道路（二十涌北路、规划纵三路）土地储备费用的复函》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1.2</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青苗补偿费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1347.59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1347.59 </w:t>
            </w:r>
          </w:p>
        </w:tc>
        <w:tc>
          <w:tcPr>
            <w:tcW w:w="680" w:type="dxa"/>
            <w:shd w:val="clear" w:color="000000" w:fill="FFFFFF"/>
            <w:noWrap/>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亩</w:t>
            </w:r>
          </w:p>
        </w:tc>
        <w:tc>
          <w:tcPr>
            <w:tcW w:w="1040" w:type="dxa"/>
            <w:shd w:val="clear" w:color="000000" w:fill="FFFFFF"/>
            <w:noWrap/>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224.60</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60000.00</w:t>
            </w:r>
          </w:p>
        </w:tc>
        <w:tc>
          <w:tcPr>
            <w:tcW w:w="8869" w:type="dxa"/>
            <w:vMerge w:val="continue"/>
            <w:vAlign w:val="center"/>
          </w:tcPr>
          <w:p>
            <w:pPr>
              <w:widowControl/>
              <w:jc w:val="left"/>
              <w:rPr>
                <w:rFonts w:ascii="微软雅黑" w:hAnsi="微软雅黑" w:eastAsia="微软雅黑" w:cs="宋体"/>
                <w:b w:val="0"/>
                <w:color w:val="auto"/>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用地报批费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1281.26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1281.26 </w:t>
            </w:r>
          </w:p>
        </w:tc>
        <w:tc>
          <w:tcPr>
            <w:tcW w:w="680" w:type="dxa"/>
            <w:shd w:val="clear" w:color="000000" w:fill="FFFFFF"/>
            <w:noWrap/>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亩</w:t>
            </w:r>
          </w:p>
        </w:tc>
        <w:tc>
          <w:tcPr>
            <w:tcW w:w="1040" w:type="dxa"/>
            <w:shd w:val="clear" w:color="000000" w:fill="FFFFFF"/>
            <w:noWrap/>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224.60</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57046.73</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广州市规划和自然资源局南沙区分局《南沙全民文化体育综合体项目配套骨干道路工程（二十涌北路、规划纵三路）红线范围用地报批费测算表》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管线迁改费用</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760.80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760.80 </w:t>
            </w:r>
          </w:p>
        </w:tc>
        <w:tc>
          <w:tcPr>
            <w:tcW w:w="680" w:type="dxa"/>
            <w:shd w:val="clear" w:color="000000" w:fill="FFFFFF"/>
            <w:noWrap/>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noWrap/>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3.1</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φ800mm钢筋混凝土雨水管迁改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424.80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424.80 </w:t>
            </w:r>
          </w:p>
        </w:tc>
        <w:tc>
          <w:tcPr>
            <w:tcW w:w="680" w:type="dxa"/>
            <w:shd w:val="clear" w:color="000000" w:fill="FFFFFF"/>
            <w:noWrap/>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40" w:type="dxa"/>
            <w:shd w:val="clear" w:color="000000" w:fill="FFFFFF"/>
            <w:noWrap/>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944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4500.00</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暂估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3.2</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6回10kv电力埋管迁改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336.00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336.00 </w:t>
            </w:r>
          </w:p>
        </w:tc>
        <w:tc>
          <w:tcPr>
            <w:tcW w:w="680" w:type="dxa"/>
            <w:shd w:val="clear" w:color="000000" w:fill="FFFFFF"/>
            <w:noWrap/>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40" w:type="dxa"/>
            <w:shd w:val="clear" w:color="000000" w:fill="FFFFFF"/>
            <w:noWrap/>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800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4200.00</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暂估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二</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项目建设管理费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840.44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840.44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财建[2016]504号财政部关于印发《基本建设项目建设成本管理规定》的通知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三</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建设工程监理费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1204.60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1204.60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发改价格[2007]670号《建设工程监理与相关服务收费管理规定的通知》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四</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建设项目前期工作咨询服务费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76.94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76.94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 计价格[1999]1283号国家计委《关于印发建设项目前期工作咨询收费暂行规定的通知》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可行性研究报告编制费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76.94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76.94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五</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检验监测费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1518.47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1518.47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穗建造价[2019]38号《广州市建设工程造价管理站关于调整我市工程检验监测费费率的通知》</w:t>
            </w:r>
            <w:r>
              <w:rPr>
                <w:rFonts w:hint="eastAsia" w:ascii="微软雅黑" w:hAnsi="微软雅黑" w:eastAsia="微软雅黑" w:cs="宋体"/>
                <w:b w:val="0"/>
                <w:color w:val="auto"/>
                <w:kern w:val="0"/>
                <w:sz w:val="18"/>
                <w:szCs w:val="18"/>
              </w:rPr>
              <w:br w:type="textWrapping"/>
            </w:r>
            <w:r>
              <w:rPr>
                <w:rFonts w:hint="eastAsia" w:ascii="微软雅黑" w:hAnsi="微软雅黑" w:eastAsia="微软雅黑" w:cs="宋体"/>
                <w:b w:val="0"/>
                <w:color w:val="auto"/>
                <w:kern w:val="0"/>
                <w:sz w:val="18"/>
                <w:szCs w:val="18"/>
              </w:rPr>
              <w:t>按建安工程费的2%计取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六</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勘察设计费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2542.24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2542.24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工程勘察费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607.39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607.39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计价格[2002]10号、建标[2007]164号关于印发《市政工程投资估算编制办法》的通知》   </w:t>
            </w:r>
            <w:r>
              <w:rPr>
                <w:rFonts w:hint="eastAsia" w:ascii="微软雅黑" w:hAnsi="微软雅黑" w:eastAsia="微软雅黑" w:cs="宋体"/>
                <w:b w:val="0"/>
                <w:color w:val="auto"/>
                <w:kern w:val="0"/>
                <w:sz w:val="18"/>
                <w:szCs w:val="18"/>
              </w:rPr>
              <w:br w:type="textWrapping"/>
            </w:r>
            <w:r>
              <w:rPr>
                <w:rFonts w:hint="eastAsia" w:ascii="微软雅黑" w:hAnsi="微软雅黑" w:eastAsia="微软雅黑" w:cs="宋体"/>
                <w:b w:val="0"/>
                <w:color w:val="auto"/>
                <w:kern w:val="0"/>
                <w:sz w:val="18"/>
                <w:szCs w:val="18"/>
              </w:rPr>
              <w:t>按建安工程费的0.8%计取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工程设计费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1934.85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1934.85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计价格[2002]10号《工程勘察设计收费管理规定》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七</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竣工图编制费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154.79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154.79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计价格[2002]10号、建标[2007]164号关于印发《市政工程投资估算编制办法》的通知》  </w:t>
            </w:r>
            <w:r>
              <w:rPr>
                <w:rFonts w:hint="eastAsia" w:ascii="微软雅黑" w:hAnsi="微软雅黑" w:eastAsia="微软雅黑" w:cs="宋体"/>
                <w:b w:val="0"/>
                <w:color w:val="auto"/>
                <w:kern w:val="0"/>
                <w:sz w:val="18"/>
                <w:szCs w:val="18"/>
              </w:rPr>
              <w:br w:type="textWrapping"/>
            </w:r>
            <w:r>
              <w:rPr>
                <w:rFonts w:hint="eastAsia" w:ascii="微软雅黑" w:hAnsi="微软雅黑" w:eastAsia="微软雅黑" w:cs="宋体"/>
                <w:b w:val="0"/>
                <w:color w:val="auto"/>
                <w:kern w:val="0"/>
                <w:sz w:val="18"/>
                <w:szCs w:val="18"/>
              </w:rPr>
              <w:t>按工程设计费的8%计取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八</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工程量清单编制费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139.96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139.96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粤价函[2011]742号文《广东省物价局关于调整我省建设工程造价咨询服务收费的复函》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九</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招标控制价编制费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63.56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63.56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粤价函[2011]742号文《广东省物价局关于调整我省建设工程造价咨询服务收费的复函》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十</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BIM技术应用费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305.21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305.21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穗建CIM[2019]3号《广州市城市信息模型（CIM）平台建设试点工作联席会议办公室关于进一步加快推进我市建筑信息模型（BIM）技术应用的通知》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十一</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环境影响咨询服务费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7.00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7.00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计价格[2002]125号国家计委、国家环保总局《关于规范环境影响咨询</w:t>
            </w:r>
            <w:r>
              <w:rPr>
                <w:rFonts w:hint="eastAsia" w:ascii="微软雅黑" w:hAnsi="微软雅黑" w:eastAsia="微软雅黑" w:cs="宋体"/>
                <w:b w:val="0"/>
                <w:color w:val="auto"/>
                <w:kern w:val="0"/>
                <w:sz w:val="18"/>
                <w:szCs w:val="18"/>
              </w:rPr>
              <w:br w:type="textWrapping"/>
            </w:r>
            <w:r>
              <w:rPr>
                <w:rFonts w:hint="eastAsia" w:ascii="微软雅黑" w:hAnsi="微软雅黑" w:eastAsia="微软雅黑" w:cs="宋体"/>
                <w:b w:val="0"/>
                <w:color w:val="auto"/>
                <w:kern w:val="0"/>
                <w:sz w:val="18"/>
                <w:szCs w:val="18"/>
              </w:rPr>
              <w:t>收费有关问题的通知》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编制环评报告表</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7.00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7.00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十二</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工程保险费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227.77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227.77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建标[2007]164号关于印发《市政工程投资估算编制办法》的通知》</w:t>
            </w:r>
            <w:r>
              <w:rPr>
                <w:rFonts w:hint="eastAsia" w:ascii="微软雅黑" w:hAnsi="微软雅黑" w:eastAsia="微软雅黑" w:cs="宋体"/>
                <w:b w:val="0"/>
                <w:color w:val="auto"/>
                <w:kern w:val="0"/>
                <w:sz w:val="18"/>
                <w:szCs w:val="18"/>
              </w:rPr>
              <w:br w:type="textWrapping"/>
            </w:r>
            <w:r>
              <w:rPr>
                <w:rFonts w:hint="eastAsia" w:ascii="微软雅黑" w:hAnsi="微软雅黑" w:eastAsia="微软雅黑" w:cs="宋体"/>
                <w:b w:val="0"/>
                <w:color w:val="auto"/>
                <w:kern w:val="0"/>
                <w:sz w:val="18"/>
                <w:szCs w:val="18"/>
              </w:rPr>
              <w:t>按建安工程费的0.3%计取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十三</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招标代理服务费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92.81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92.81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发改价格[2011]534号文《国家发展改革委关于降低部分建设项目收费标准规范收费行为等有关问题的通知》</w:t>
            </w:r>
            <w:r>
              <w:rPr>
                <w:rFonts w:hint="eastAsia" w:ascii="微软雅黑" w:hAnsi="微软雅黑" w:eastAsia="微软雅黑" w:cs="宋体"/>
                <w:b w:val="0"/>
                <w:color w:val="auto"/>
                <w:kern w:val="0"/>
                <w:sz w:val="18"/>
                <w:szCs w:val="18"/>
              </w:rPr>
              <w:br w:type="textWrapping"/>
            </w:r>
            <w:r>
              <w:rPr>
                <w:rFonts w:hint="eastAsia" w:ascii="微软雅黑" w:hAnsi="微软雅黑" w:eastAsia="微软雅黑" w:cs="宋体"/>
                <w:b w:val="0"/>
                <w:color w:val="auto"/>
                <w:kern w:val="0"/>
                <w:sz w:val="18"/>
                <w:szCs w:val="18"/>
              </w:rPr>
              <w:t xml:space="preserve"> 计价格[2002]1980号关于印发《招标代理服务收费管理暂行办法的通知》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施工招标</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59.62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59.62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勘察设计招标</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10.81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10.81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BIM技术应用招标</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3.14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3.14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监理招标</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7.46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7.46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检验监测招标</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8.25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8.25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设计咨询招标</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3.53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3.53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十四</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树木保护专章编制费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20.27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20.27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《广州市城市树木保护专章项目收费指导意见》试行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十五</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设计咨询服务费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353.58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353.58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穗交运函[2020]97号《广州市交通运输局关于印发广州市市政道路工程设计咨询工作指引（试行）的通知》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十六</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全过程造价咨询服务费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0.00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0.00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从项目建设管理费、工程监理费、设计费、工程量清单编制费、招标控制价编制费中统筹协调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十七</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防洪评价费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73.26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73.26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穗发改[2021]86号，广州市本级政府投资项目估算编制指引（市政交通工程）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十八</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洪涝安全评估费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28.72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28.72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穗水规计[2021]10号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十九</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通航条件影响评价费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33.01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33.01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穗发改[2021]86号，广州市本级政府投资项目估算编制指引（市政交通工程）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二十</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交通影响评价费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34.45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34.45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穗发改[2021]86号，广州市本级政府投资项目估算编制指引（市政交通工程）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二十一</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地质灾害危险性评价费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36.00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36.00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穗发改[2021]86号文、《广东省地质灾害危险性评估取费指导价格》（2017年版）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二十二</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地震安全性评价费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44.38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44.38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穗发改[2021]86号，广州市本级政府投资项目估算编制指引（市政交通工程）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二十三</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同步预防及跟踪审计费</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164.42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164.42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按配建协议计取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二十四</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涉地铁施工监测、保护费用</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300.00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300.00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项</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穗铁建字[2023]1944号文《广州地铁集团关于南沙全民文化体育综合体项目配套骨干道路建设方案意见的复函》计取，费用暂估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C</w:t>
            </w:r>
          </w:p>
        </w:tc>
        <w:tc>
          <w:tcPr>
            <w:tcW w:w="3560" w:type="dxa"/>
            <w:shd w:val="clear" w:color="000000" w:fill="FFFFFF"/>
            <w:vAlign w:val="center"/>
          </w:tcPr>
          <w:p>
            <w:pPr>
              <w:widowControl/>
              <w:jc w:val="left"/>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第三部分：预备费</w:t>
            </w:r>
          </w:p>
        </w:tc>
        <w:tc>
          <w:tcPr>
            <w:tcW w:w="140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4209.28 </w:t>
            </w:r>
          </w:p>
        </w:tc>
        <w:tc>
          <w:tcPr>
            <w:tcW w:w="128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4209.28 </w:t>
            </w:r>
          </w:p>
        </w:tc>
        <w:tc>
          <w:tcPr>
            <w:tcW w:w="68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km</w:t>
            </w:r>
          </w:p>
        </w:tc>
        <w:tc>
          <w:tcPr>
            <w:tcW w:w="104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3.337 </w:t>
            </w:r>
          </w:p>
        </w:tc>
        <w:tc>
          <w:tcPr>
            <w:tcW w:w="152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12613966.06</w:t>
            </w:r>
          </w:p>
        </w:tc>
        <w:tc>
          <w:tcPr>
            <w:tcW w:w="8869"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4.22%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一</w:t>
            </w:r>
          </w:p>
        </w:tc>
        <w:tc>
          <w:tcPr>
            <w:tcW w:w="3560" w:type="dxa"/>
            <w:shd w:val="clear" w:color="000000" w:fill="FFFFFF"/>
            <w:vAlign w:val="center"/>
          </w:tcPr>
          <w:p>
            <w:pPr>
              <w:widowControl/>
              <w:jc w:val="left"/>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基本预备费:(A+B-建设用地费)*5%</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4209.28 </w:t>
            </w:r>
          </w:p>
        </w:tc>
        <w:tc>
          <w:tcPr>
            <w:tcW w:w="12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4209.28 </w:t>
            </w:r>
          </w:p>
        </w:tc>
        <w:tc>
          <w:tcPr>
            <w:tcW w:w="68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km</w:t>
            </w:r>
          </w:p>
        </w:tc>
        <w:tc>
          <w:tcPr>
            <w:tcW w:w="104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第一、二部份费用之和减去建设用地费的5%计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D</w:t>
            </w:r>
          </w:p>
        </w:tc>
        <w:tc>
          <w:tcPr>
            <w:tcW w:w="3560" w:type="dxa"/>
            <w:shd w:val="clear" w:color="000000" w:fill="FFFFFF"/>
            <w:vAlign w:val="center"/>
          </w:tcPr>
          <w:p>
            <w:pPr>
              <w:widowControl/>
              <w:jc w:val="left"/>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建设投资（A+B+C）</w:t>
            </w:r>
          </w:p>
        </w:tc>
        <w:tc>
          <w:tcPr>
            <w:tcW w:w="140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99629.78 </w:t>
            </w:r>
          </w:p>
        </w:tc>
        <w:tc>
          <w:tcPr>
            <w:tcW w:w="128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99629.78 </w:t>
            </w:r>
          </w:p>
        </w:tc>
        <w:tc>
          <w:tcPr>
            <w:tcW w:w="68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km</w:t>
            </w:r>
          </w:p>
        </w:tc>
        <w:tc>
          <w:tcPr>
            <w:tcW w:w="104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3.337 </w:t>
            </w:r>
          </w:p>
        </w:tc>
        <w:tc>
          <w:tcPr>
            <w:tcW w:w="152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298560936.94</w:t>
            </w:r>
          </w:p>
        </w:tc>
        <w:tc>
          <w:tcPr>
            <w:tcW w:w="8869"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100.00%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E</w:t>
            </w:r>
          </w:p>
        </w:tc>
        <w:tc>
          <w:tcPr>
            <w:tcW w:w="3560" w:type="dxa"/>
            <w:shd w:val="clear" w:color="000000" w:fill="FFFFFF"/>
            <w:vAlign w:val="center"/>
          </w:tcPr>
          <w:p>
            <w:pPr>
              <w:widowControl/>
              <w:jc w:val="left"/>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建设期贷款利息</w:t>
            </w:r>
          </w:p>
        </w:tc>
        <w:tc>
          <w:tcPr>
            <w:tcW w:w="1400" w:type="dxa"/>
            <w:shd w:val="clear" w:color="000000" w:fill="FFFFFF"/>
            <w:vAlign w:val="center"/>
          </w:tcPr>
          <w:p>
            <w:pPr>
              <w:widowControl/>
              <w:jc w:val="center"/>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0.00 </w:t>
            </w:r>
          </w:p>
        </w:tc>
        <w:tc>
          <w:tcPr>
            <w:tcW w:w="128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0.00 </w:t>
            </w:r>
          </w:p>
        </w:tc>
        <w:tc>
          <w:tcPr>
            <w:tcW w:w="68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km</w:t>
            </w:r>
          </w:p>
        </w:tc>
        <w:tc>
          <w:tcPr>
            <w:tcW w:w="104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52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8869"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不计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0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F</w:t>
            </w:r>
          </w:p>
        </w:tc>
        <w:tc>
          <w:tcPr>
            <w:tcW w:w="3560" w:type="dxa"/>
            <w:shd w:val="clear" w:color="000000" w:fill="FFFFFF"/>
            <w:vAlign w:val="center"/>
          </w:tcPr>
          <w:p>
            <w:pPr>
              <w:widowControl/>
              <w:jc w:val="left"/>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建设项目总投资（D+E）</w:t>
            </w:r>
          </w:p>
        </w:tc>
        <w:tc>
          <w:tcPr>
            <w:tcW w:w="140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40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99629.78 </w:t>
            </w:r>
          </w:p>
        </w:tc>
        <w:tc>
          <w:tcPr>
            <w:tcW w:w="128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99629.78 </w:t>
            </w:r>
          </w:p>
        </w:tc>
        <w:tc>
          <w:tcPr>
            <w:tcW w:w="68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km</w:t>
            </w:r>
          </w:p>
        </w:tc>
        <w:tc>
          <w:tcPr>
            <w:tcW w:w="104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3.337 </w:t>
            </w:r>
          </w:p>
        </w:tc>
        <w:tc>
          <w:tcPr>
            <w:tcW w:w="1520"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298560936.94</w:t>
            </w:r>
          </w:p>
        </w:tc>
        <w:tc>
          <w:tcPr>
            <w:tcW w:w="8869" w:type="dxa"/>
            <w:shd w:val="clear" w:color="000000" w:fill="FFFFFF"/>
            <w:vAlign w:val="center"/>
          </w:tcPr>
          <w:p>
            <w:pPr>
              <w:widowControl/>
              <w:jc w:val="center"/>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100.00%</w:t>
            </w:r>
          </w:p>
        </w:tc>
      </w:tr>
    </w:tbl>
    <w:p>
      <w:pPr>
        <w:tabs>
          <w:tab w:val="left" w:pos="709"/>
        </w:tabs>
        <w:spacing w:line="300" w:lineRule="auto"/>
        <w:ind w:firstLine="480" w:firstLineChars="200"/>
        <w:rPr>
          <w:rFonts w:ascii="Times New Roman" w:hAnsi="Times New Roman"/>
          <w:b w:val="0"/>
          <w:color w:val="auto"/>
          <w:sz w:val="24"/>
          <w:szCs w:val="24"/>
        </w:rPr>
      </w:pPr>
    </w:p>
    <w:p>
      <w:pPr>
        <w:tabs>
          <w:tab w:val="left" w:pos="709"/>
        </w:tabs>
        <w:spacing w:line="300" w:lineRule="auto"/>
        <w:ind w:firstLine="480" w:firstLineChars="200"/>
        <w:rPr>
          <w:rFonts w:ascii="Times New Roman" w:hAnsi="Times New Roman"/>
          <w:b w:val="0"/>
          <w:color w:val="auto"/>
          <w:sz w:val="24"/>
          <w:szCs w:val="24"/>
        </w:rPr>
      </w:pPr>
    </w:p>
    <w:p>
      <w:pPr>
        <w:tabs>
          <w:tab w:val="left" w:pos="709"/>
        </w:tabs>
        <w:spacing w:line="300" w:lineRule="auto"/>
        <w:ind w:firstLine="480" w:firstLineChars="200"/>
        <w:rPr>
          <w:rFonts w:ascii="Times New Roman" w:hAnsi="Times New Roman"/>
          <w:b w:val="0"/>
          <w:color w:val="auto"/>
          <w:sz w:val="24"/>
          <w:szCs w:val="24"/>
        </w:rPr>
      </w:pPr>
    </w:p>
    <w:tbl>
      <w:tblPr>
        <w:tblStyle w:val="32"/>
        <w:tblW w:w="2310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92"/>
        <w:gridCol w:w="3454"/>
        <w:gridCol w:w="1291"/>
        <w:gridCol w:w="1291"/>
        <w:gridCol w:w="675"/>
        <w:gridCol w:w="1037"/>
        <w:gridCol w:w="1519"/>
        <w:gridCol w:w="2676"/>
        <w:gridCol w:w="1368"/>
        <w:gridCol w:w="1320"/>
        <w:gridCol w:w="1157"/>
        <w:gridCol w:w="65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blHeader/>
          <w:jc w:val="center"/>
        </w:trPr>
        <w:tc>
          <w:tcPr>
            <w:tcW w:w="23101" w:type="dxa"/>
            <w:gridSpan w:val="12"/>
            <w:tcBorders>
              <w:top w:val="nil"/>
              <w:left w:val="nil"/>
              <w:right w:val="nil"/>
            </w:tcBorders>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4"/>
                <w:szCs w:val="24"/>
                <w:highlight w:val="magenta"/>
              </w:rPr>
            </w:pPr>
            <w:bookmarkStart w:id="348" w:name="RANGE!A1:H118"/>
            <w:r>
              <w:rPr>
                <w:rFonts w:hint="eastAsia" w:ascii="微软雅黑" w:hAnsi="微软雅黑" w:eastAsia="微软雅黑" w:cs="宋体"/>
                <w:bCs/>
                <w:color w:val="auto"/>
                <w:kern w:val="0"/>
                <w:sz w:val="24"/>
                <w:szCs w:val="24"/>
                <w:highlight w:val="magenta"/>
              </w:rPr>
              <w:t>投资估算分表</w:t>
            </w:r>
            <w:bookmarkEnd w:id="34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blHeader/>
          <w:jc w:val="center"/>
        </w:trPr>
        <w:tc>
          <w:tcPr>
            <w:tcW w:w="792" w:type="dxa"/>
            <w:vMerge w:val="restart"/>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highlight w:val="magenta"/>
              </w:rPr>
            </w:pPr>
            <w:r>
              <w:rPr>
                <w:rFonts w:hint="eastAsia" w:ascii="微软雅黑" w:hAnsi="微软雅黑" w:eastAsia="微软雅黑" w:cs="宋体"/>
                <w:bCs/>
                <w:color w:val="auto"/>
                <w:kern w:val="0"/>
                <w:sz w:val="18"/>
                <w:szCs w:val="18"/>
                <w:highlight w:val="magenta"/>
              </w:rPr>
              <w:t>序号</w:t>
            </w:r>
          </w:p>
        </w:tc>
        <w:tc>
          <w:tcPr>
            <w:tcW w:w="3454" w:type="dxa"/>
            <w:vMerge w:val="restart"/>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highlight w:val="magenta"/>
              </w:rPr>
            </w:pPr>
            <w:r>
              <w:rPr>
                <w:rFonts w:hint="eastAsia" w:ascii="微软雅黑" w:hAnsi="微软雅黑" w:eastAsia="微软雅黑" w:cs="宋体"/>
                <w:bCs/>
                <w:color w:val="auto"/>
                <w:kern w:val="0"/>
                <w:sz w:val="18"/>
                <w:szCs w:val="18"/>
                <w:highlight w:val="magenta"/>
              </w:rPr>
              <w:t>工程或费用名称</w:t>
            </w:r>
          </w:p>
        </w:tc>
        <w:tc>
          <w:tcPr>
            <w:tcW w:w="2582" w:type="dxa"/>
            <w:gridSpan w:val="2"/>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highlight w:val="magenta"/>
              </w:rPr>
            </w:pPr>
            <w:r>
              <w:rPr>
                <w:rFonts w:hint="eastAsia" w:ascii="微软雅黑" w:hAnsi="微软雅黑" w:eastAsia="微软雅黑" w:cs="宋体"/>
                <w:bCs/>
                <w:color w:val="auto"/>
                <w:kern w:val="0"/>
                <w:sz w:val="18"/>
                <w:szCs w:val="18"/>
                <w:highlight w:val="magenta"/>
              </w:rPr>
              <w:t>估算价值（万元）</w:t>
            </w:r>
          </w:p>
        </w:tc>
        <w:tc>
          <w:tcPr>
            <w:tcW w:w="3231" w:type="dxa"/>
            <w:gridSpan w:val="3"/>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highlight w:val="magenta"/>
              </w:rPr>
            </w:pPr>
            <w:r>
              <w:rPr>
                <w:rFonts w:hint="eastAsia" w:ascii="微软雅黑" w:hAnsi="微软雅黑" w:eastAsia="微软雅黑" w:cs="宋体"/>
                <w:bCs/>
                <w:color w:val="auto"/>
                <w:kern w:val="0"/>
                <w:sz w:val="18"/>
                <w:szCs w:val="18"/>
                <w:highlight w:val="magenta"/>
              </w:rPr>
              <w:t>技术经济指标</w:t>
            </w:r>
          </w:p>
        </w:tc>
        <w:tc>
          <w:tcPr>
            <w:tcW w:w="2676" w:type="dxa"/>
            <w:vMerge w:val="restart"/>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highlight w:val="magenta"/>
              </w:rPr>
            </w:pPr>
            <w:r>
              <w:rPr>
                <w:rFonts w:hint="eastAsia" w:ascii="微软雅黑" w:hAnsi="微软雅黑" w:eastAsia="微软雅黑" w:cs="宋体"/>
                <w:bCs/>
                <w:color w:val="auto"/>
                <w:kern w:val="0"/>
                <w:sz w:val="18"/>
                <w:szCs w:val="18"/>
                <w:highlight w:val="magenta"/>
              </w:rPr>
              <w:t>占总投资%或备注</w:t>
            </w:r>
          </w:p>
        </w:tc>
        <w:tc>
          <w:tcPr>
            <w:tcW w:w="10366" w:type="dxa"/>
            <w:gridSpan w:val="4"/>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highlight w:val="magenta"/>
              </w:rPr>
            </w:pPr>
            <w:r>
              <w:rPr>
                <w:rFonts w:hint="eastAsia" w:ascii="微软雅黑" w:hAnsi="微软雅黑" w:eastAsia="微软雅黑" w:cs="宋体"/>
                <w:bCs/>
                <w:color w:val="auto"/>
                <w:kern w:val="0"/>
                <w:sz w:val="20"/>
                <w:szCs w:val="20"/>
                <w:highlight w:val="magenta"/>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blHeader/>
          <w:jc w:val="center"/>
        </w:trPr>
        <w:tc>
          <w:tcPr>
            <w:tcW w:w="792" w:type="dxa"/>
            <w:vMerge w:val="continue"/>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highlight w:val="magenta"/>
              </w:rPr>
            </w:pPr>
          </w:p>
        </w:tc>
        <w:tc>
          <w:tcPr>
            <w:tcW w:w="3454" w:type="dxa"/>
            <w:vMerge w:val="continue"/>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highlight w:val="magenta"/>
              </w:rPr>
            </w:pP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highlight w:val="magenta"/>
              </w:rPr>
            </w:pPr>
            <w:r>
              <w:rPr>
                <w:rFonts w:hint="eastAsia" w:ascii="微软雅黑" w:hAnsi="微软雅黑" w:eastAsia="微软雅黑" w:cs="宋体"/>
                <w:bCs/>
                <w:color w:val="auto"/>
                <w:kern w:val="0"/>
                <w:sz w:val="18"/>
                <w:szCs w:val="18"/>
                <w:highlight w:val="magenta"/>
              </w:rPr>
              <w:t>建安工程费</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highlight w:val="magenta"/>
              </w:rPr>
            </w:pPr>
            <w:r>
              <w:rPr>
                <w:rFonts w:hint="eastAsia" w:ascii="微软雅黑" w:hAnsi="微软雅黑" w:eastAsia="微软雅黑" w:cs="宋体"/>
                <w:bCs/>
                <w:color w:val="auto"/>
                <w:kern w:val="0"/>
                <w:sz w:val="18"/>
                <w:szCs w:val="18"/>
                <w:highlight w:val="magenta"/>
              </w:rPr>
              <w:t>合计</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highlight w:val="magenta"/>
              </w:rPr>
            </w:pPr>
            <w:r>
              <w:rPr>
                <w:rFonts w:hint="eastAsia" w:ascii="微软雅黑" w:hAnsi="微软雅黑" w:eastAsia="微软雅黑" w:cs="宋体"/>
                <w:bCs/>
                <w:color w:val="auto"/>
                <w:kern w:val="0"/>
                <w:sz w:val="18"/>
                <w:szCs w:val="18"/>
                <w:highlight w:val="magenta"/>
              </w:rPr>
              <w:t>单位</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highlight w:val="magenta"/>
              </w:rPr>
            </w:pPr>
            <w:r>
              <w:rPr>
                <w:rFonts w:hint="eastAsia" w:ascii="微软雅黑" w:hAnsi="微软雅黑" w:eastAsia="微软雅黑" w:cs="宋体"/>
                <w:bCs/>
                <w:color w:val="auto"/>
                <w:kern w:val="0"/>
                <w:sz w:val="18"/>
                <w:szCs w:val="18"/>
                <w:highlight w:val="magenta"/>
              </w:rPr>
              <w:t>数量</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highlight w:val="magenta"/>
              </w:rPr>
            </w:pPr>
            <w:r>
              <w:rPr>
                <w:rFonts w:hint="eastAsia" w:ascii="微软雅黑" w:hAnsi="微软雅黑" w:eastAsia="微软雅黑" w:cs="宋体"/>
                <w:bCs/>
                <w:color w:val="auto"/>
                <w:kern w:val="0"/>
                <w:sz w:val="18"/>
                <w:szCs w:val="18"/>
                <w:highlight w:val="magenta"/>
              </w:rPr>
              <w:t>单位价值</w:t>
            </w:r>
            <w:r>
              <w:rPr>
                <w:rFonts w:hint="eastAsia" w:ascii="微软雅黑" w:hAnsi="微软雅黑" w:eastAsia="微软雅黑" w:cs="宋体"/>
                <w:bCs/>
                <w:color w:val="auto"/>
                <w:kern w:val="0"/>
                <w:sz w:val="18"/>
                <w:szCs w:val="18"/>
                <w:highlight w:val="magenta"/>
              </w:rPr>
              <w:br w:type="textWrapping"/>
            </w:r>
            <w:r>
              <w:rPr>
                <w:rFonts w:hint="eastAsia" w:ascii="微软雅黑" w:hAnsi="微软雅黑" w:eastAsia="微软雅黑" w:cs="宋体"/>
                <w:bCs/>
                <w:color w:val="auto"/>
                <w:kern w:val="0"/>
                <w:sz w:val="18"/>
                <w:szCs w:val="18"/>
                <w:highlight w:val="magenta"/>
              </w:rPr>
              <w:t>(元)</w:t>
            </w:r>
          </w:p>
        </w:tc>
        <w:tc>
          <w:tcPr>
            <w:tcW w:w="2676" w:type="dxa"/>
            <w:vMerge w:val="continue"/>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highlight w:val="magenta"/>
              </w:rPr>
            </w:pP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highlight w:val="magenta"/>
              </w:rPr>
            </w:pPr>
            <w:r>
              <w:rPr>
                <w:rFonts w:hint="eastAsia" w:ascii="微软雅黑" w:hAnsi="微软雅黑" w:eastAsia="微软雅黑" w:cs="宋体"/>
                <w:bCs/>
                <w:color w:val="auto"/>
                <w:kern w:val="0"/>
                <w:sz w:val="20"/>
                <w:szCs w:val="20"/>
                <w:highlight w:val="magenta"/>
              </w:rPr>
              <w:t>指标下限</w:t>
            </w:r>
            <w:r>
              <w:rPr>
                <w:rFonts w:hint="eastAsia" w:ascii="微软雅黑" w:hAnsi="微软雅黑" w:eastAsia="微软雅黑" w:cs="宋体"/>
                <w:bCs/>
                <w:color w:val="auto"/>
                <w:kern w:val="0"/>
                <w:sz w:val="20"/>
                <w:szCs w:val="20"/>
                <w:highlight w:val="magenta"/>
              </w:rPr>
              <w:br w:type="textWrapping"/>
            </w:r>
            <w:r>
              <w:rPr>
                <w:rFonts w:hint="eastAsia" w:ascii="微软雅黑" w:hAnsi="微软雅黑" w:eastAsia="微软雅黑" w:cs="宋体"/>
                <w:bCs/>
                <w:color w:val="auto"/>
                <w:kern w:val="0"/>
                <w:sz w:val="20"/>
                <w:szCs w:val="20"/>
                <w:highlight w:val="magenta"/>
              </w:rPr>
              <w:t>（元/单位）</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highlight w:val="magenta"/>
              </w:rPr>
            </w:pPr>
            <w:r>
              <w:rPr>
                <w:rFonts w:hint="eastAsia" w:ascii="微软雅黑" w:hAnsi="微软雅黑" w:eastAsia="微软雅黑" w:cs="宋体"/>
                <w:bCs/>
                <w:color w:val="auto"/>
                <w:kern w:val="0"/>
                <w:sz w:val="20"/>
                <w:szCs w:val="20"/>
                <w:highlight w:val="magenta"/>
              </w:rPr>
              <w:t>指标上限</w:t>
            </w:r>
            <w:r>
              <w:rPr>
                <w:rFonts w:hint="eastAsia" w:ascii="微软雅黑" w:hAnsi="微软雅黑" w:eastAsia="微软雅黑" w:cs="宋体"/>
                <w:bCs/>
                <w:color w:val="auto"/>
                <w:kern w:val="0"/>
                <w:sz w:val="20"/>
                <w:szCs w:val="20"/>
                <w:highlight w:val="magenta"/>
              </w:rPr>
              <w:br w:type="textWrapping"/>
            </w:r>
            <w:r>
              <w:rPr>
                <w:rFonts w:hint="eastAsia" w:ascii="微软雅黑" w:hAnsi="微软雅黑" w:eastAsia="微软雅黑" w:cs="宋体"/>
                <w:bCs/>
                <w:color w:val="auto"/>
                <w:kern w:val="0"/>
                <w:sz w:val="20"/>
                <w:szCs w:val="20"/>
                <w:highlight w:val="magenta"/>
              </w:rPr>
              <w:t>（元/单位）</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highlight w:val="magenta"/>
              </w:rPr>
            </w:pPr>
            <w:r>
              <w:rPr>
                <w:rFonts w:hint="eastAsia" w:ascii="微软雅黑" w:hAnsi="微软雅黑" w:eastAsia="微软雅黑" w:cs="宋体"/>
                <w:bCs/>
                <w:color w:val="auto"/>
                <w:kern w:val="0"/>
                <w:sz w:val="20"/>
                <w:szCs w:val="20"/>
                <w:highlight w:val="magenta"/>
              </w:rPr>
              <w:t>符合指标/</w:t>
            </w:r>
            <w:r>
              <w:rPr>
                <w:rFonts w:hint="eastAsia" w:ascii="微软雅黑" w:hAnsi="微软雅黑" w:eastAsia="微软雅黑" w:cs="宋体"/>
                <w:bCs/>
                <w:color w:val="auto"/>
                <w:kern w:val="0"/>
                <w:sz w:val="20"/>
                <w:szCs w:val="20"/>
                <w:highlight w:val="magenta"/>
              </w:rPr>
              <w:br w:type="textWrapping"/>
            </w:r>
            <w:r>
              <w:rPr>
                <w:rFonts w:hint="eastAsia" w:ascii="微软雅黑" w:hAnsi="微软雅黑" w:eastAsia="微软雅黑" w:cs="宋体"/>
                <w:bCs/>
                <w:color w:val="auto"/>
                <w:kern w:val="0"/>
                <w:sz w:val="20"/>
                <w:szCs w:val="20"/>
                <w:highlight w:val="magenta"/>
              </w:rPr>
              <w:t>低于指标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highlight w:val="magenta"/>
              </w:rPr>
            </w:pPr>
            <w:r>
              <w:rPr>
                <w:rFonts w:hint="eastAsia" w:ascii="微软雅黑" w:hAnsi="微软雅黑" w:eastAsia="微软雅黑" w:cs="宋体"/>
                <w:bCs/>
                <w:color w:val="auto"/>
                <w:kern w:val="0"/>
                <w:sz w:val="20"/>
                <w:szCs w:val="20"/>
                <w:highlight w:val="magenta"/>
              </w:rPr>
              <w:t>指标参考及其他说明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A</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第一部分：工程费用</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75923.72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75923.72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Km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3.337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227520891.67</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76.21%</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A1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二十涌北路</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43767.83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43767.83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Km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1.852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236327398.75</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43.93%</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一</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道路工程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22367.73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22367.73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90380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2474.85</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rPr>
            </w:pPr>
            <w:r>
              <w:rPr>
                <w:rFonts w:hint="eastAsia" w:ascii="微软雅黑" w:hAnsi="微软雅黑" w:eastAsia="微软雅黑" w:cs="宋体"/>
                <w:bCs/>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rPr>
            </w:pPr>
            <w:r>
              <w:rPr>
                <w:rFonts w:hint="eastAsia" w:ascii="微软雅黑" w:hAnsi="微软雅黑" w:eastAsia="微软雅黑" w:cs="宋体"/>
                <w:bCs/>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rPr>
            </w:pPr>
            <w:r>
              <w:rPr>
                <w:rFonts w:hint="eastAsia" w:ascii="微软雅黑" w:hAnsi="微软雅黑" w:eastAsia="微软雅黑" w:cs="宋体"/>
                <w:bCs/>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rPr>
            </w:pPr>
            <w:r>
              <w:rPr>
                <w:rFonts w:hint="eastAsia" w:ascii="微软雅黑" w:hAnsi="微软雅黑" w:eastAsia="微软雅黑" w:cs="宋体"/>
                <w:bCs/>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新建机动车道路面</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3338.29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3338.29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40671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820.80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4cm 改性细粒式沥青混凝土AC-13C</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366.04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366.04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40671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90.00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90.00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参考“1.1.14cm细粒式AC-13C 改性沥青混凝土”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0.5L/</w:t>
            </w:r>
            <w:r>
              <w:rPr>
                <w:rFonts w:hint="eastAsia" w:ascii="Batang" w:hAnsi="Batang" w:eastAsia="Batang" w:cs="Batang"/>
                <w:b w:val="0"/>
                <w:color w:val="auto"/>
                <w:kern w:val="0"/>
                <w:sz w:val="18"/>
                <w:szCs w:val="18"/>
              </w:rPr>
              <w:t>㎡</w:t>
            </w:r>
            <w:r>
              <w:rPr>
                <w:rFonts w:hint="eastAsia" w:ascii="微软雅黑" w:hAnsi="微软雅黑" w:eastAsia="微软雅黑" w:cs="宋体"/>
                <w:b w:val="0"/>
                <w:color w:val="auto"/>
                <w:kern w:val="0"/>
                <w:sz w:val="18"/>
                <w:szCs w:val="18"/>
              </w:rPr>
              <w:t xml:space="preserve"> 乳化沥青粘层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32.54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32.54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81342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4.00</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参考“1.1.7粘层沥青（PC-3)用量0.5L/m2”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6cm 改性中粒式沥青混凝土AC-20C</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549.06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549.06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40671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135.00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135.00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140.00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参考“1.1.3 6cm 中粒式AC-20C 改性沥青混凝土”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1.4</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8cm 粗粒式沥青混凝土AC-25C</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610.07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610.07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40671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150.00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150.00</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165.00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参考“1.1.5 8cm 粗粒式 AC-25C沥青混凝土”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1.5</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1L/</w:t>
            </w:r>
            <w:r>
              <w:rPr>
                <w:rFonts w:hint="eastAsia" w:ascii="Batang" w:hAnsi="Batang" w:eastAsia="Batang" w:cs="Batang"/>
                <w:b w:val="0"/>
                <w:color w:val="auto"/>
                <w:kern w:val="0"/>
                <w:sz w:val="18"/>
                <w:szCs w:val="18"/>
              </w:rPr>
              <w:t>㎡</w:t>
            </w:r>
            <w:r>
              <w:rPr>
                <w:rFonts w:hint="eastAsia" w:ascii="微软雅黑" w:hAnsi="微软雅黑" w:eastAsia="微软雅黑" w:cs="宋体"/>
                <w:b w:val="0"/>
                <w:color w:val="auto"/>
                <w:kern w:val="0"/>
                <w:sz w:val="18"/>
                <w:szCs w:val="18"/>
              </w:rPr>
              <w:t xml:space="preserve"> 乳化沥青透层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24.40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24.40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40671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6.00</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参考“1.1.8透层沥青(PC-2)用量1.2kg/m2”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1.6</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1cm下封层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46.77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46.77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40671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11.50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11.00</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13.00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参考“1.1.9  1cm乳化沥青封层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1.7</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35cm 5%水泥稳定级配碎石基层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907.99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907.99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41651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218.00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218.00</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228.00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参考“1.1.12 5%水泥碎石稳定层20cm（125∽135元/m²），每增减1cm增减6.2元/m²。”下限=125+6.2*（35-20）=218元/m²，上限=135+6.2*（35-20）=228元/m²。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1.8</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18cm 4%水泥稳定级配碎石底基层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470.91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470.91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42501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110.80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110.80</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120.80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参考“1.1.13 4%水泥碎石稳定层20cm（123∽133元/m²），每增减1cm增减6.1元/m²。”下限=123-6.1*（20-18）=110.8元/m²，上限=133-6.1*（20-18）=120.8元/m²。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1.9</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15cm 级配碎石垫层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303.46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303.46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43351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参考“1.1.14  15cm 级配碎石垫层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1.10</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防渗土工布</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14.05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14.05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8780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16.00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18.00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参考“1.6.2  防渗土工布”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路床整形</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13.01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13.01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43351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4.00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参考“1.6.1  路床整形”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人行道</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761.09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761.09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18980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401.00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8cm 混凝土透水砖</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282.80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282.80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18980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149.00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140.00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160.00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参考“1.2.9  高性能混凝土透水砖”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2"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15cm C20透水水泥混凝土</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345.43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345.43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18980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182.00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181.38</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191.38</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参考“1.2.14 8cm 素色透水混凝土（含养生）（135∽145元/m²），厚度不同时，扣除53元/m²材料费，另外增加相应材料费，计算方法：53/0.08*厚度。”下限=135-53+（53/0.08*0.15）=181.38元/m²，上限=145-53+（53/0.08*0.15）=191.38元/m²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15cm 级配碎石垫层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132.86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132.86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18980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参考“1.1.14  15cm 级配碎石垫层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非机动车道</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855.95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855.95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16269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526.13</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双丙聚氨酯密封处理</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27.45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27.45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16269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16.87</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2"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4cm C30强固透水混凝土</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177.33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177.33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16269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109.00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108.50</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118.50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参考“1.2.14 8cm 素色透水混凝土（含养生）（135∽145元/m²），厚度不同时，扣除53元/m²材料费，另外增加相应材料费，计算方法：53/0.08*厚度。”下限=135-53+（53/0.08*0.04）=108.5元/m²，上限=145-53+（53/0.08*0.04）=118.5元/m²。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2"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7cm C30透水混凝土</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208.86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208.86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16269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128.38</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128.38</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138.38</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参考“1.2.14 8cm 素色透水混凝土（含养生）（135∽145元/m²），厚度不同时，扣除53元/m²材料费，另外增加相应材料费，计算方法：53/0.08*厚度。”下限=135-53+（53/0.08*0.07）=128.38元/m²，上限=145-53+（53/0.08*0.07）=138.38元/m²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2"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3.4</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15cm C20透水水泥混凝土</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296.09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296.09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16269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182.00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181.38</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191.38</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参考“1.2.14 8cm 素色透水混凝土（含养生）（135∽145元/m²），厚度不同时，扣除53元/m²材料费，另外增加相应材料费，计算方法：53/0.08*厚度。”下限=135-53+（53/0.08*0.15）=181.38元/m²，上限=145-53+（53/0.08*0.15）=191.38元/m²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3.5</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15cm 级配碎石垫层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113.88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113.88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16269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参考“1.1.14  15cm 级配碎石垫层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3.6</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防渗土工布</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32.35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32.35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20217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16.00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18.00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参考“1.6.2  防渗土工布”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侧平石、压条</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358.86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358.86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18298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196.12</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仿花岗岩侧石100*20*60cm（含后座）</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125.56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125.56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3682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341.00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264.00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420.00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参考“1.3.3  仿花岗岩侧石、平石，含混凝土后座及模板2200∽3500元/m³  ”下限=2200*1*0.2*0.6=264元/m，上限=3500*1*0.2*0.6=420元/m。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仿花岗岩侧石100*15*30cm（含后座）</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128.91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128.91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10091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127.75</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99.00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157.50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参考“1.3.3  仿花岗岩侧石、平石，含混凝土后座及模板2200∽3500元/m³  ”下限=2200*1*0.15*0.3=99元/m，上限=3500*1*0.15*0.3=157.5元/m。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仿花岗岩压条120*15*16cm（含后座）</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47.51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47.51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4525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105.00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105.00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110.00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参考“1.3.5  仿花岗岩压条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4.4</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仿花岗岩车止石</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3.55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3.55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根</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96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370.00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370.00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参考“1.2.12  仿花岗岩车止石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4.5</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碎石盲沟</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15.77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15.77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316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499.00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490.00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510.00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参考”1.5.4  填碎石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4.6</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防渗土工布</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37.56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37.56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23477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16.00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18.00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参考“1.6.2  防渗土工布”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土石方工程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3860.86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3860.86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506222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76.27</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路基填方（借土填方）</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3455.03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3455.03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460670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参考”1.4.15  借土回填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清除表土（弃运20km）</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37.20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37.20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4592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81.00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81.00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94.00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xml:space="preserve">参考”1.4.1  挖一般土方（6∽9元/m³ ）；1.4.4  余方弃置（土方）（75∽85元/m³ ）“下限=6+75=81元/m³ ，上限=9+85=94元/m³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清挖淤泥（弃运20km）</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368.64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368.64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40960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90.00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90.00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110.00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参考”1.4.6  挖淤泥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软基处理</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12695.31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12695.31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107500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1180.96</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水泥搅拌桩</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2016.10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2016.10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10992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1834.15</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6.1.1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50cm碎石垫层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269.30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269.30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10992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245.00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245.00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255.00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参考”1.1.14 15cm 级配碎石垫层（70∽80元/m²）， 每增减1cm费用增减5元/m²“下限=70+5*35=245元/m²，上限=80+5*35=255元/m²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6.1.2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双向土工格栅</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24.73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24.73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10992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22.50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26.00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参考”1.5.5  土工格栅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6.1.3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φ800mm单向水泥搅拌桩</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1722.06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1722.06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117523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146.53</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0366" w:type="dxa"/>
            <w:gridSpan w:val="4"/>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南沙区指导指标无该指标，按照定额套价分析评估，单价基本合理。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预应力管桩</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2949.26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2949.26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10710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2753.74</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6.2.1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30cm碎石垫层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155.30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155.30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10710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145.00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145.00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155.00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参考”1.1.14 15cm 级配碎石垫层（70∽80元/m²）， 每增减1cm费用增减5元/m²“下限=70+5*15=145元/m²，上限=80+5*15=155元/m²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6.2.2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双向土工格栅</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48.20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48.20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21420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22.50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26.00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参考”1.5.5  土工格栅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6.2.3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φ400mm 预应力管桩</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2671.43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2671.43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80952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330.00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320.00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350.00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参考”1.5.15 预制钢筋混凝土管桩AB型PHC400*95mm处理软基“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6.2.4</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塑料排水板</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74.34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74.34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148672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0366" w:type="dxa"/>
            <w:gridSpan w:val="4"/>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南沙区指导指标无该指标，按照定额套价分析评估，单价基本合理。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8"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堆载预压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7729.96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7729.96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85798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900.95</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830∽1060</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880∽1110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参考“1.5.7  堆载预压（600∽650元/m²），堆载高度1.1m，塑料排水板间距1.2m 长度20m，堆载高度增加1m，造价指标增加230元/m²”平均堆载高度2-3m：下限=600+230*1=830∽600+230*2=1060元/m²，上限=650+230*1=880∽650+230*2=1110元/m²。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6.3.1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砂垫层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2572.13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2572.13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59817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430.00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430.00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480.00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参考”1.5.2  填中粗砂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6.3.2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双向土工格栅</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193.05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193.05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85798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22.50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26.00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参考”1.5.5  土工格栅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6.3.3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塑料排水板</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1191.84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1191.84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2383675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0366" w:type="dxa"/>
            <w:gridSpan w:val="4"/>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南沙区指导指标无该指标，按照定额套价分析评估，单价基本合理。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6.3.4</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堆载土方</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574.01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574.01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76535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参考”1.4.15  借土回填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6.3.5</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卸载土方</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574.01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574.01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76535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85.00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参考”1.4.4  余方弃置（土方）“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6.3.6</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沉落补填方</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1884.93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1884.93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251324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参考”1.4.15  借土回填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6.3.7</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反压护道（含20km运距）</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739.99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739.99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98665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参考”1.4.15  借土回填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路基防护工程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197.37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197.37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41528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47.53</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喷播植草</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39.10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39.10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12219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32.00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35.00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参考”1.6.5  液压喷播植草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三维土工网植草护坡</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158.27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158.27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29309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54.00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参考”1.6.4  三维网喷播植草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8</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台背填筑</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290.58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290.58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8.1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台背回填石屑</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278.09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278.09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7619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365.00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360.00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390.00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参考”1.5.3  填石屑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8.2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包边粘土</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11.69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11.69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1558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参考”1.4.15  借土回填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8.3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碎石盲沟</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0.80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0.80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499.00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490.00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510.00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参考”1.5.4  填碎石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9</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新旧路基搭接</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8.41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8.41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1368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61.50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9.1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挖一般土方（弃运20km）</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2.77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2.77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342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81.00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81.00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94.00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xml:space="preserve">参考”1.4.1  挖一般土方（6∽9元/m³ ）；1.4.4  余方弃置（土方）（75∽85元/m³ ）“下限=6+75=81元/m³ ，上限=9+85=94元/m³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9.2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回填土方（借土填方）</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2.57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2.57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342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参考”1.4.15  借土回填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9.3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钢塑格栅</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3.08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3.08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1368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22.50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26.00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参考”1.5.5  土工格栅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10</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拆除工程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1.01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1.01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169.00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10.1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拆除旧沥青路面（弃运20km）</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1.01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1.01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169.00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120.00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220.00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参考“9.1 拆除沥青路面（含面层和基层）”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二</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桥梁工程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1760.44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1760.44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2273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7745.00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rPr>
            </w:pPr>
            <w:r>
              <w:rPr>
                <w:rFonts w:hint="eastAsia" w:ascii="微软雅黑" w:hAnsi="微软雅黑" w:eastAsia="微软雅黑" w:cs="宋体"/>
                <w:bCs/>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rPr>
            </w:pPr>
            <w:r>
              <w:rPr>
                <w:rFonts w:hint="eastAsia" w:ascii="微软雅黑" w:hAnsi="微软雅黑" w:eastAsia="微软雅黑" w:cs="宋体"/>
                <w:bCs/>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rPr>
            </w:pPr>
            <w:r>
              <w:rPr>
                <w:rFonts w:hint="eastAsia" w:ascii="微软雅黑" w:hAnsi="微软雅黑" w:eastAsia="微软雅黑" w:cs="宋体"/>
                <w:bCs/>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rPr>
            </w:pPr>
            <w:r>
              <w:rPr>
                <w:rFonts w:hint="eastAsia" w:ascii="微软雅黑" w:hAnsi="微软雅黑" w:eastAsia="微软雅黑" w:cs="宋体"/>
                <w:bCs/>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现浇箱梁桥（跨径2*20m）</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1760.44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1760.44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2273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7745.00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8500.00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参考“2.3  现浇箱梁桥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三</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排水工程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6178.39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6178.39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12513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4937.58</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rPr>
            </w:pPr>
            <w:r>
              <w:rPr>
                <w:rFonts w:hint="eastAsia" w:ascii="微软雅黑" w:hAnsi="微软雅黑" w:eastAsia="微软雅黑" w:cs="宋体"/>
                <w:bCs/>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rPr>
            </w:pPr>
            <w:r>
              <w:rPr>
                <w:rFonts w:hint="eastAsia" w:ascii="微软雅黑" w:hAnsi="微软雅黑" w:eastAsia="微软雅黑" w:cs="宋体"/>
                <w:bCs/>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rPr>
            </w:pPr>
            <w:r>
              <w:rPr>
                <w:rFonts w:hint="eastAsia" w:ascii="微软雅黑" w:hAnsi="微软雅黑" w:eastAsia="微软雅黑" w:cs="宋体"/>
                <w:bCs/>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rPr>
            </w:pPr>
            <w:r>
              <w:rPr>
                <w:rFonts w:hint="eastAsia" w:ascii="微软雅黑" w:hAnsi="微软雅黑" w:eastAsia="微软雅黑" w:cs="宋体"/>
                <w:bCs/>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雨水工程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3899.41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3899.41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8813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4424.61</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DN300 Ⅱ级钢筋混凝土管</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317.55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317.55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4124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770.00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埋深1.5m，3m挡土板</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950.00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参考“2.1.1 II级钢筋混凝土承插口管d300”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DN800 Ⅱ级钢筋混凝土管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302.43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302.43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510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5930.00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埋深3-4m，9m拉森钢板桩</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5810.00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6150.00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参考“2.1.14 II级钢筋混凝土承插口管d800”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DN1000 Ⅱ级钢筋混凝土管</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1199.81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1199.81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1909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6285.00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埋深3-4m，9m拉森钢板桩</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6160.00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6510.00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参考“2.1.15  II级钢筋混凝土承插口管d1000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1.4</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DN1350 Ⅱ级钢筋混凝土管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1387.84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1387.84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1909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7270.00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埋深3-4m，9m拉森钢板桩</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7050.00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7590.00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参考“2.1.17 II级钢筋混凝土承插口管d1350”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1.5</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DN1650 Ⅱ级钢筋混凝土管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303.78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303.78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361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8415.00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埋深3-4m，9m拉森钢板桩</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8250.00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8680.00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参考”2.1.19 II级钢筋混凝土承插口管d1650“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1.6</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φ1600 预制装配式混凝土检查井</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76.70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76.70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座</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59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13000.00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11000.00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18000.00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参考”2.5.1 预制装配式圆形（Φ1000mm-Φ1600mm）雨水检查井（沉砂井）“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1.7</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2200*2200 混凝土检查井</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110.88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110.88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座</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26400.00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22000.00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50000.00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参考”2.5.3 现浇钢筋砼方形（A=1600-2600mm 雨水检查井（沉砂井）“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1.8</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φ1200 预制装配式混凝土沉泥井</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7.26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7.26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座</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12100.00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11000.00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18000.00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参考”2.5.1 预制装配式圆形（Φ1000mm-Φ1600mm）雨水检查井（沉砂井）“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1.9</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φ1600 预制装配式混凝沉泥井</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12.60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12.60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座</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14000.00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11000.00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18000.00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参考”2.5.1 预制装配式圆形（Φ1000mm-Φ1600mm）雨水检查井（沉砂井）“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1.10</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2200*2200 混凝土沉泥井</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28.31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28.31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座</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31460.00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22000.00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50000.00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参考”2.5.3 现浇钢筋砼方形（A=1600-2600mm 雨水检查井（沉砂井）“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平箅式双箅雨水口</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146.40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146.40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座</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305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4800.00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4800.00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参考“2.7  预制装配式双篦雨水口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DN1650 出水口</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5.85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5.85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座</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19500.00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13000.00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32000.00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参考“2.6  砌体出水口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污水工程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2278.98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2278.98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3700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6159.41</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DN500 球墨铸铁管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2075.70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2075.70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3700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5610.00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埋深3-4m，9m拉森钢板桩</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5560.00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5860.00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参考”2.2.6  球磨铸铁管d500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φ1200 预制装配式混凝土检查井</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165.00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165.00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座</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150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11000.00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11000.00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17000.00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参考”2.5.2预制装配式钢筋砼圆形（Φ1000mm-Φ1600mm）污水检查井（沉砂井）“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1600*1600 预制装配式混凝土检查井</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4.40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4.40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座</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22000.00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22000.00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50000.00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参考”2.5.3 现浇钢筋砼方形（A=1600-2600mm 雨水检查井（沉砂井）“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2.4</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φ1200 预制装配式混凝土沉泥井</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33.88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33.88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座</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28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12100.00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11000.00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17000.00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参考”2.5.2预制装配式钢筋砼圆形（Φ1000mm-Φ1600mm）污水检查井（沉砂井）“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四</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消防工程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25.24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25.24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153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1651.94</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DN150 球墨铸铁管</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16.81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16.81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153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0366" w:type="dxa"/>
            <w:gridSpan w:val="4"/>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南沙区指导指标无该指标，按照定额套价分析评估，单价基本合理。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室外地上式消火栓</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8.43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8.43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套</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19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4553.48</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0366" w:type="dxa"/>
            <w:gridSpan w:val="4"/>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南沙区指导指标无该指标，按照定额套价分析评估，单价基本合理。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五</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交通工程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301.35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301.35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km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1.852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1627149.03</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交通标志标线</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183.35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183.35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km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1.852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990000.00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500000.00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1500000.00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参考“3.1  交通标志、标线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丁字路口交通信号灯</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78.00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78.00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处</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390000.00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200000.00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600000.00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参考“3.2.2  丁字口交通信号灯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交通监控系统</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40.00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40.00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套</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200000.00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185000.00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225000.00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参考“3.3  交通监控系统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六</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照明工程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398.17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398.17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km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1.852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2149956.80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12m单臂路灯，含LED灯具-250W</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123.50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123.50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套</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12350.00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10300.00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14550.00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参考“4.2.2  中杆灯-19m以下，含基础、灯杆、灯具(基础3000-</w:t>
            </w:r>
            <w:r>
              <w:rPr>
                <w:rFonts w:hint="eastAsia" w:ascii="微软雅黑" w:hAnsi="微软雅黑" w:eastAsia="微软雅黑" w:cs="宋体"/>
                <w:b w:val="0"/>
                <w:color w:val="auto"/>
                <w:kern w:val="0"/>
                <w:sz w:val="20"/>
                <w:szCs w:val="20"/>
              </w:rPr>
              <w:br w:type="textWrapping"/>
            </w:r>
            <w:r>
              <w:rPr>
                <w:rFonts w:hint="eastAsia" w:ascii="微软雅黑" w:hAnsi="微软雅黑" w:eastAsia="微软雅黑" w:cs="宋体"/>
                <w:b w:val="0"/>
                <w:color w:val="auto"/>
                <w:kern w:val="0"/>
                <w:sz w:val="20"/>
                <w:szCs w:val="20"/>
              </w:rPr>
              <w:t>6000元/处，灯杆400-600元/m，LED灯具10-15元/W)。 ”</w:t>
            </w:r>
            <w:r>
              <w:rPr>
                <w:rFonts w:hint="eastAsia" w:ascii="微软雅黑" w:hAnsi="微软雅黑" w:eastAsia="微软雅黑" w:cs="宋体"/>
                <w:b w:val="0"/>
                <w:color w:val="auto"/>
                <w:kern w:val="0"/>
                <w:sz w:val="20"/>
                <w:szCs w:val="20"/>
              </w:rPr>
              <w:br w:type="textWrapping"/>
            </w:r>
            <w:r>
              <w:rPr>
                <w:rFonts w:hint="eastAsia" w:ascii="微软雅黑" w:hAnsi="微软雅黑" w:eastAsia="微软雅黑" w:cs="宋体"/>
                <w:b w:val="0"/>
                <w:color w:val="auto"/>
                <w:kern w:val="0"/>
                <w:sz w:val="20"/>
                <w:szCs w:val="20"/>
              </w:rPr>
              <w:t>下限=3000+250*12+10*250=10300元/套，上限=6000+400*12+15*250=14550元/套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13m三头路灯，含LED灯具-3*250W</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16.24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16.24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套</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20300.00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15700.00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25050.00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参考“4.2.2  中杆灯-19m以下，含基础、灯杆、灯具(基础3000-</w:t>
            </w:r>
            <w:r>
              <w:rPr>
                <w:rFonts w:hint="eastAsia" w:ascii="微软雅黑" w:hAnsi="微软雅黑" w:eastAsia="微软雅黑" w:cs="宋体"/>
                <w:b w:val="0"/>
                <w:color w:val="auto"/>
                <w:kern w:val="0"/>
                <w:sz w:val="20"/>
                <w:szCs w:val="20"/>
              </w:rPr>
              <w:br w:type="textWrapping"/>
            </w:r>
            <w:r>
              <w:rPr>
                <w:rFonts w:hint="eastAsia" w:ascii="微软雅黑" w:hAnsi="微软雅黑" w:eastAsia="微软雅黑" w:cs="宋体"/>
                <w:b w:val="0"/>
                <w:color w:val="auto"/>
                <w:kern w:val="0"/>
                <w:sz w:val="20"/>
                <w:szCs w:val="20"/>
              </w:rPr>
              <w:t>6000元/处，灯杆400-600元/m，LED灯具10-15元/W)。 ”</w:t>
            </w:r>
            <w:r>
              <w:rPr>
                <w:rFonts w:hint="eastAsia" w:ascii="微软雅黑" w:hAnsi="微软雅黑" w:eastAsia="微软雅黑" w:cs="宋体"/>
                <w:b w:val="0"/>
                <w:color w:val="auto"/>
                <w:kern w:val="0"/>
                <w:sz w:val="20"/>
                <w:szCs w:val="20"/>
              </w:rPr>
              <w:br w:type="textWrapping"/>
            </w:r>
            <w:r>
              <w:rPr>
                <w:rFonts w:hint="eastAsia" w:ascii="微软雅黑" w:hAnsi="微软雅黑" w:eastAsia="微软雅黑" w:cs="宋体"/>
                <w:b w:val="0"/>
                <w:color w:val="auto"/>
                <w:kern w:val="0"/>
                <w:sz w:val="20"/>
                <w:szCs w:val="20"/>
              </w:rPr>
              <w:t>下限=3000+400*13+10*250*3=15700元/套，上限=6000+400*13+15*250*3=25050元/套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3.5m庭院灯，含LED灯具-45W</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70.00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70.00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套</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200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3500.00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4325.00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8075.00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低于指标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参考“4.2.1  中杆灯-11m以下 ，含基础、灯杆、灯具(基础3000-</w:t>
            </w:r>
            <w:r>
              <w:rPr>
                <w:rFonts w:hint="eastAsia" w:ascii="微软雅黑" w:hAnsi="微软雅黑" w:eastAsia="微软雅黑" w:cs="宋体"/>
                <w:b w:val="0"/>
                <w:color w:val="auto"/>
                <w:kern w:val="0"/>
                <w:sz w:val="20"/>
                <w:szCs w:val="20"/>
              </w:rPr>
              <w:br w:type="textWrapping"/>
            </w:r>
            <w:r>
              <w:rPr>
                <w:rFonts w:hint="eastAsia" w:ascii="微软雅黑" w:hAnsi="微软雅黑" w:eastAsia="微软雅黑" w:cs="宋体"/>
                <w:b w:val="0"/>
                <w:color w:val="auto"/>
                <w:kern w:val="0"/>
                <w:sz w:val="20"/>
                <w:szCs w:val="20"/>
              </w:rPr>
              <w:t>6000元/处，灯杆250-400元/m，LED灯具10-15元/W)。”</w:t>
            </w:r>
            <w:r>
              <w:rPr>
                <w:rFonts w:hint="eastAsia" w:ascii="微软雅黑" w:hAnsi="微软雅黑" w:eastAsia="微软雅黑" w:cs="宋体"/>
                <w:b w:val="0"/>
                <w:color w:val="auto"/>
                <w:kern w:val="0"/>
                <w:sz w:val="20"/>
                <w:szCs w:val="20"/>
              </w:rPr>
              <w:br w:type="textWrapping"/>
            </w:r>
            <w:r>
              <w:rPr>
                <w:rFonts w:hint="eastAsia" w:ascii="微软雅黑" w:hAnsi="微软雅黑" w:eastAsia="微软雅黑" w:cs="宋体"/>
                <w:b w:val="0"/>
                <w:color w:val="auto"/>
                <w:kern w:val="0"/>
                <w:sz w:val="20"/>
                <w:szCs w:val="20"/>
              </w:rPr>
              <w:t>下限=3000+250*3.5+10*45=4325元/套，上限=6000+400*3.5+45*15=8075元/套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2"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φ75 HDPE管</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71.71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71.71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8640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83.00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105.00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参考“4.6 电缆保护管（刚性难燃管）DN50（50∽90元/m），埋深1米以内，管径不同时，扣减30元/m材料价格，增加相应规格管材价格。”下限=50-30+(30/0.05*0.075)=65元/m，上限=90-30+(30/0.05*0.075)=105元/m。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YJV-0.6/1kV-5*25mm2</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112.32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112.32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8640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130.00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480.00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参考“4.4  配电电缆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户外路灯配电箱</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0.70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0.70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套</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7000.00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9000.00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参考“4.8  路灯照明配电箱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路灯智能管理系统</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3.70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3.70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套</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37000.00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37000.00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46000.00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参考“4.9  路灯控制系统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七</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绿化工程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860.21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860.21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90380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95.18</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乔木（胸径41-45cm）</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145.35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145.35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株</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32300.00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20000.00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45000.00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参考“1.13 乔木（胸径41-45cm)”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乔木（胸径22-25cm)</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85.05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85.05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株</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135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6300.00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参考“1.9 乔木（胸径22-25cm)”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乔木（胸径16-17cm)</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122.68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122.68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株</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701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1750.00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1500.00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2200.00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参考“1.6 乔木（胸径16-17cm)”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乔木（胸径13-15cm)</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99.30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99.30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株</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662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1500.00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1300.00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1800.00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参考“1.5 乔木（胸径13-15cm)”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地被种植</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202.45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202.45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14461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140.00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120.00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参考“4.2 苗高0.25m，冠幅0.20m”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回填种植土</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79.53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79.53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14461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68.00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低于指标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参考“9 回填种植土”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绿化喷灌</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65.07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65.07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14461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40.00</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参考“1.6.6 绿化喷灌工程”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8</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生态树池</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60.78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60.78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个</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715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850.00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0366" w:type="dxa"/>
            <w:gridSpan w:val="4"/>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南沙区指导指标无该指标，按照定额套价分析评估，单价基本合理。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八</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电力管沟工程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1633.74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1633.74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2238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7300.00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12回10kv电缆沟（1.95m*2.3m）</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1633.74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1633.74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2238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7300.00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6727.50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8970.00</w:t>
            </w:r>
          </w:p>
        </w:tc>
        <w:tc>
          <w:tcPr>
            <w:tcW w:w="1157"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参考“8.1  钢筋混凝土电缆沟（1500∽2000）*横断面  ”</w:t>
            </w:r>
            <w:r>
              <w:rPr>
                <w:rFonts w:hint="eastAsia" w:ascii="微软雅黑" w:hAnsi="微软雅黑" w:eastAsia="微软雅黑" w:cs="宋体"/>
                <w:b w:val="0"/>
                <w:color w:val="auto"/>
                <w:kern w:val="0"/>
                <w:sz w:val="20"/>
                <w:szCs w:val="20"/>
              </w:rPr>
              <w:br w:type="textWrapping"/>
            </w:r>
            <w:r>
              <w:rPr>
                <w:rFonts w:hint="eastAsia" w:ascii="微软雅黑" w:hAnsi="微软雅黑" w:eastAsia="微软雅黑" w:cs="宋体"/>
                <w:b w:val="0"/>
                <w:color w:val="auto"/>
                <w:kern w:val="0"/>
                <w:sz w:val="20"/>
                <w:szCs w:val="20"/>
              </w:rPr>
              <w:t>下限=1500*1.95*2.3=6727.50元/m，上限=2000*1.95*2.3=8970元/m。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九</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交通疏解</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715.24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715.24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km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1.852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3861987.04</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A2装配式施工围蔽</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701.28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701.28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3896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1800.00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1500.00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2500.00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参考“7.1 A1-A4类装配式施工围”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交通疏解员</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10.96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10.96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工日</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548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240.00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参考“6.3 交通疏解员增加费”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临时交通标志</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3.00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3.00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km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0.1</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300000.00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300000.00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1000000.00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参考“6.1 临时交通标志”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十</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场地准备工程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162.00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162.00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1000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1620.00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永久外水接驳</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56.00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56.00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500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1120.00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1500.00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参考“10.2  永久用水接驳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永久外电接驳</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106.00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106.00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500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2120.00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1800.00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2500.00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参考“10.4  永久外电接驳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十一</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临时施工便道</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9365.32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9365.32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42555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2200.76</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450.00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参考“6.2  临时交通疏解便道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28cm C35水泥混凝土</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1026.08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1026.08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42555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241.12</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267.00</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287.00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低于指标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参考“1.2.20  15cm混凝土垫层，厚度每增减1cm费用增加9元/m²。”下限=150+13*9=267元/m²，上限=170+13*9=287元/m²。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1cm 封层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48.94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48.94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42555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11.50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11.00</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13.00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参考“1.1.9  1cm乳化沥青封层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透层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25.53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25.53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42555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6.00</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参考“1.1.8透层沥青(PC-2)用量1.2kg/m2”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20cm 5%水泥稳定级配碎石基层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534.46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534.46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42757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125.00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125.00</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135.00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参考“1.1.12 5%水泥碎石稳定层20cm”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20cm 4%水泥稳定级配碎石底基层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538.75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538.75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43801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123.00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123.00</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133.00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参考“1.1.13 4%水泥碎石稳定层20cm“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钢筋（HPB300、HRB400）</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543.66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543.66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t</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877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6200.00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0366" w:type="dxa"/>
            <w:gridSpan w:val="4"/>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南沙区指导指标无该指标，按照定额套价分析评估，单价基本合理。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传力杆（HPB300）</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185.86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185.86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t</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170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10931.11</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0366" w:type="dxa"/>
            <w:gridSpan w:val="4"/>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南沙区指导指标无该指标，按照定额套价分析评估，单价基本合理。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8</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传力杆（HRB400）</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23.72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23.72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t</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21567.84</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0366" w:type="dxa"/>
            <w:gridSpan w:val="4"/>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南沙区指导指标无该指标，按照定额套价分析评估，单价基本合理。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9</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拆除20cm混凝土路面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302.01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302.01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42555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70.97</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0366" w:type="dxa"/>
            <w:gridSpan w:val="4"/>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南沙区指导指标无该指标，按照定额套价分析评估，单价基本合理。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10</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拆除20cm水泥稳定碎石基层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260.68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260.68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85110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30.63</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0366" w:type="dxa"/>
            <w:gridSpan w:val="4"/>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南沙区指导指标无该指标，按照定额套价分析评估，单价基本合理。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回填土方（借土填方）</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945.07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945.07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126009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参考”1.4.15  借土回填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抛石挤淤</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4512.67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4512.67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125352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360.00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350.00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参考”1.5.6  抛石挤淤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临时交通标志</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52.50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52.50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km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1.750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300000.00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300000.00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1000000.00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参考“6.1 临时交通标志”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14</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机非分隔栏</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365.37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365.37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8030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455.00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0366" w:type="dxa"/>
            <w:gridSpan w:val="4"/>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南沙区指导指标无该指标，按照定额套价分析评估，单价基本合理。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A2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规划纵三路</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32155.89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32155.89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Km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1.485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216537961.64</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32.28%</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一</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道路工程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16448.30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16448.30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50929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3229.64</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rPr>
            </w:pPr>
            <w:r>
              <w:rPr>
                <w:rFonts w:hint="eastAsia" w:ascii="微软雅黑" w:hAnsi="微软雅黑" w:eastAsia="微软雅黑" w:cs="宋体"/>
                <w:bCs/>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rPr>
            </w:pPr>
            <w:r>
              <w:rPr>
                <w:rFonts w:hint="eastAsia" w:ascii="微软雅黑" w:hAnsi="微软雅黑" w:eastAsia="微软雅黑" w:cs="宋体"/>
                <w:bCs/>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rPr>
            </w:pPr>
            <w:r>
              <w:rPr>
                <w:rFonts w:hint="eastAsia" w:ascii="微软雅黑" w:hAnsi="微软雅黑" w:eastAsia="微软雅黑" w:cs="宋体"/>
                <w:bCs/>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rPr>
            </w:pPr>
            <w:r>
              <w:rPr>
                <w:rFonts w:hint="eastAsia" w:ascii="微软雅黑" w:hAnsi="微软雅黑" w:eastAsia="微软雅黑" w:cs="宋体"/>
                <w:bCs/>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新建机动车道路面</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2589.35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2589.35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32954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785.74</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4cm 改性细粒式沥青混凝土AC-13C</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296.59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296.59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32954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90.00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90.00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参考“1.1.14cm细粒式AC-13C 改性沥青混凝土”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0.5L/</w:t>
            </w:r>
            <w:r>
              <w:rPr>
                <w:rFonts w:hint="eastAsia" w:ascii="Batang" w:hAnsi="Batang" w:eastAsia="Batang" w:cs="Batang"/>
                <w:b w:val="0"/>
                <w:color w:val="auto"/>
                <w:kern w:val="0"/>
                <w:sz w:val="18"/>
                <w:szCs w:val="18"/>
              </w:rPr>
              <w:t>㎡</w:t>
            </w:r>
            <w:r>
              <w:rPr>
                <w:rFonts w:hint="eastAsia" w:ascii="微软雅黑" w:hAnsi="微软雅黑" w:eastAsia="微软雅黑" w:cs="宋体"/>
                <w:b w:val="0"/>
                <w:color w:val="auto"/>
                <w:kern w:val="0"/>
                <w:sz w:val="18"/>
                <w:szCs w:val="18"/>
              </w:rPr>
              <w:t xml:space="preserve"> 乳化沥青粘层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26.36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26.36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65909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4.00</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参考“1.1.7粘层沥青（PC-3)用量0.5L/m2”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6cm 改性中粒式沥青混凝土AC-20C</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444.89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444.89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32954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135.00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135.00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140.00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参考“1.1.3 6cm 中粒式AC-20C 改性沥青混凝土”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1.4</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8cm 粗粒式沥青混凝土AC-25C</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494.32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494.32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32954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150.00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150.00</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165.00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参考“1.1.5 8cm 粗粒式 AC-25C沥青混凝土”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1.5</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1L/</w:t>
            </w:r>
            <w:r>
              <w:rPr>
                <w:rFonts w:hint="eastAsia" w:ascii="Batang" w:hAnsi="Batang" w:eastAsia="Batang" w:cs="Batang"/>
                <w:b w:val="0"/>
                <w:color w:val="auto"/>
                <w:kern w:val="0"/>
                <w:sz w:val="18"/>
                <w:szCs w:val="18"/>
              </w:rPr>
              <w:t>㎡</w:t>
            </w:r>
            <w:r>
              <w:rPr>
                <w:rFonts w:hint="eastAsia" w:ascii="微软雅黑" w:hAnsi="微软雅黑" w:eastAsia="微软雅黑" w:cs="宋体"/>
                <w:b w:val="0"/>
                <w:color w:val="auto"/>
                <w:kern w:val="0"/>
                <w:sz w:val="18"/>
                <w:szCs w:val="18"/>
              </w:rPr>
              <w:t xml:space="preserve"> 乳化沥青透层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19.77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19.77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32954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6.00</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参考“1.1.8透层沥青(PC-2)用量1.2kg/m2”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1.6</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1cm下封层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37.90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37.90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32954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11.50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11.00</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13.00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参考“1.1.9  1cm乳化沥青封层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1.7</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30cm 5%水泥稳定级配碎石基层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634.57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634.57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33934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187.00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187.00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197.00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参考“1.1.12 5%水泥碎石稳定层20cm（125∽135元/m²），每增减1cm增减6.2元/m²。”下限=125+6.2*（30-20）=187元/m²，上限=135+6.2*（35-20）=197元/m²。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1.8</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18cm 4%水泥稳定级配碎石底基层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374.55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374.55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33804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110.80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110.80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120.80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参考“1.1.13 4%水泥碎石稳定层20cm（123∽133元/m²），每增减1cm增减6.1元/m²。”下限=123-6.1*（20-18）=110.8元/m²，上限=133-6.1*（20-18）=120.8元/m²。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1.9</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15cm 级配碎石垫层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242.58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242.58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34654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参考“1.1.14  15cm 级配碎石垫层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1.10</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防渗土工布</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7.42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7.42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4635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16.00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18.00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参考“1.6.2  防渗土工布”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路床整形</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10.40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10.40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34654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4.00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参考“1.6.1  路床整形”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人行道</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390.43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390.43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9736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401.00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8cm 混凝土透水砖</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145.07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145.07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9736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149.00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140.00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160.00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参考“1.2.9  高性能混凝土透水砖”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2"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15cm C20透水水泥混凝土</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177.20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177.20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9736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182.00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181.38</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191.38</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参考“1.2.14 8cm 素色透水混凝土（含养生）（135∽145元/m²），厚度不同时，扣除53元/m²材料费，另外增加相应材料费，计算方法：53/0.08*厚度。”下限=135-53+（53/0.08*0.15）=181.38元/m²，上限=145-53+（53/0.08*0.15）=191.38元/m²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15cm 级配碎石垫层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68.16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68.16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9736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参考“1.1.14  15cm 级配碎石垫层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非机动车道</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335.66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335.66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5991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560.24</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双丙聚氨酯密封处理</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10.11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10.11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5991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16.87</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2"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4cm C30强固透水混凝土</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65.31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65.31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5991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109.00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108.50</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118.50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参考“1.2.14 8cm 素色透水混凝土（含养生）（135∽145元/m²），厚度不同时，扣除53元/m²材料费，另外增加相应材料费，计算方法：53/0.08*厚度。”下限=135-53+（53/0.08*0.04）=108.5元/m²，上限=145-53+（53/0.08*0.04）=118.5元/m²。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2"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7cm C30透水混凝土</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76.92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76.92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5991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128.38</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128.38</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138.38</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参考“1.2.14 8cm 素色透水混凝土（含养生）（135∽145元/m²），厚度不同时，扣除53元/m²材料费，另外增加相应材料费，计算方法：53/0.08*厚度。”下限=135-53+（53/0.08*0.07）=128.38元/m²，上限=145-53+（53/0.08*0.07）=138.38元/m²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2"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3.4</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15cm C20透水水泥混凝土</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109.04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109.04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5991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182.00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181.38</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191.38</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参考“1.2.14 8cm 素色透水混凝土（含养生）（135∽145元/m²），厚度不同时，扣除53元/m²材料费，另外增加相应材料费，计算方法：53/0.08*厚度。”下限=135-53+（53/0.08*0.15）=181.38元/m²，上限=145-53+（53/0.08*0.15）=191.38元/m²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3.5</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15cm 级配碎石垫层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41.94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41.94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5991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参考“1.1.14  15cm 级配碎石垫层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3.6</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防渗土工布</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32.35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32.35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20217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16.00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18.00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参考“1.6.2  防渗土工布”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侧平石、压条</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176.52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176.52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7075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249.50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仿花岗岩侧石100*20*60cm（含后座）</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96.57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96.57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2832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341.00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264.00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420.00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参考“1.3.3  仿花岗岩侧石、平石，含混凝土后座及模板2200∽3500元/m³  ”下限=2200*1*0.2*0.6=264元/m，上限=3500*1*0.2*0.6=420元/m。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仿花岗岩侧石100*15*30cm（含后座）</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23.68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23.68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1854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127.75</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99.00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157.50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参考“1.3.3  仿花岗岩侧石、平石，含混凝土后座及模板2200∽3500元/m³  ”下限=2200*1*0.15*0.3=99元/m，上限=3500*1*0.15*0.3=157.5元/m。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仿花岗岩压条120*15*16cm（含后座）</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25.08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25.08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2389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105.00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105.00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110.00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参考“1.3.5  仿花岗岩压条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4.4</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仿花岗岩车止石</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4.14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4.14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根</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370.00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370.00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参考“1.2.12  仿花岗岩车止石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4.5</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碎石盲沟</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8.33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8.33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167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499.00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490.00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510.00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参考”1.5.4  填碎石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4.6</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防渗土工布</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18.70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18.70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11689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16.00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18.00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参考“1.6.2  防渗土工布”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土石方工程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2169.54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2169.54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284083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76.37</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路基填方（借土填方）</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1925.77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1925.77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256769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参考”1.4.15  借土回填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清除表土（弃运20km）</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18.45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18.45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2278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81.00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81.00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94.00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xml:space="preserve">参考”1.4.1  挖一般土方（6∽9元/m³ ）；1.4.4  余方弃置（土方）（75∽85元/m³ ）“下限=6+75=81元/m³ ，上限=9+85=94元/m³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清挖淤泥（弃运20km）</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225.32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225.32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25036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90.00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90.00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110.00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参考”1.4.6  挖淤泥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软基处理</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10176.10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10176.10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56800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1791.57</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水泥搅拌桩</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4383.04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4383.04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24090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1819.47</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6.1.1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50cm碎石垫层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590.20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590.20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24090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245.00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245.00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255.00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参考”1.1.14 15cm 级配碎石垫层（70∽80元/m²）， 每增减1cm费用增减5元/m²“下限=70+5*35=245元/m²，上限=80+5*35=255元/m²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6.1.2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双向土工格栅</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54.20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54.20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24090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22.50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26.00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参考”1.5.5  土工格栅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6.1.3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φ500mm双向水泥搅拌桩</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3222.13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3222.13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288980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111.50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0366" w:type="dxa"/>
            <w:gridSpan w:val="4"/>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南沙区指导指标无该指标，按照定额套价分析评估，单价基本合理。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6.1.4</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φ800mm单向水泥搅拌桩</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516.52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516.52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35250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146.53</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0366" w:type="dxa"/>
            <w:gridSpan w:val="4"/>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南沙区指导指标无该指标，按照定额套价分析评估，单价基本合理。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预应力管桩</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4344.20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4344.20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16040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2708.29</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6.2.1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30cm碎石垫层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232.58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232.58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16040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145.00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145.00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155.00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参考”1.1.14 15cm 级配碎石垫层（70∽80元/m²）， 每增减1cm费用增减5元/m²“下限=70+5*15=145元/m²，上限=80+5*15=155元/m²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6.2.2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双向土工格栅</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72.18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72.18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32081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22.50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26.00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参考”1.5.5  土工格栅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6.2.3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φ400mm 预应力管桩</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3929.08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3929.08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119063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330.00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320.00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350.00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参考”1.5.15 预制钢筋混凝土管桩AB型PHC400*95mm处理软基“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6.2.4</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塑料排水板</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110.35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110.35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220700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0366" w:type="dxa"/>
            <w:gridSpan w:val="4"/>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南沙区指导指标无该指标，按照定额套价分析评估，单价基本合理。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2"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堆载预压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1448.87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1448.87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16670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869.15</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830∽1060</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880∽1110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参考“1.5.7  堆载预压（600∽650元/m²），堆载高度1.1m，塑料排水板间距1.2m 长度20m，堆载高度增加1m，造价指标增加230元/m²”平均堆载高度2-3m：下限=600+230*1=830∽600+230*2=1060元/m²，上限=650+230*1=880∽650+230*2=1110元/m²。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6.3.1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砂垫层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358.41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358.41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8335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430.00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430.00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480.00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参考”1.5.2  填中粗砂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6.3.2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双向土工格栅</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37.51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37.51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16670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22.50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26.00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参考”1.5.5  土工格栅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6.3.3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塑料排水板</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171.46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171.46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342925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0366" w:type="dxa"/>
            <w:gridSpan w:val="4"/>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南沙区指导指标无该指标，按照定额套价分析评估，单价基本合理。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6.3.4</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堆载土方</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112.73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112.73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15031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参考”1.4.15  借土回填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6.3.5</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卸载土方</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112.73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112.73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15031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85.00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参考”1.4.4  余方弃置（土方）“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6.3.6</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沉落补填方</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339.83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339.83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45310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参考”1.4.15  借土回填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6.3.7</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反压护道（含20km运距）</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316.20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316.20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42160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参考”1.4.15  借土回填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路基防护工程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133.03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133.03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26460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50.28</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喷播植草</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14.33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14.33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4479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32.00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35.00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参考”1.6.5  液压喷播植草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三维土工网植草护坡</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118.70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118.70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21981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54.00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参考”1.6.4  三维网喷播植草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8</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台背填筑</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477.66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477.66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8.1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台背回填石屑</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458.62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458.62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12565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365.00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360.00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390.00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参考”1.5.3  填石屑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8.2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包边粘土</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17.84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17.84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2379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参考”1.4.15  借土回填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8.3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碎石盲沟</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24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499.00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490.00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510.00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参考”1.5.4  填碎石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二</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桥梁工程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4517.18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4517.18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6150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7345.00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rPr>
            </w:pPr>
            <w:r>
              <w:rPr>
                <w:rFonts w:hint="eastAsia" w:ascii="微软雅黑" w:hAnsi="微软雅黑" w:eastAsia="微软雅黑" w:cs="宋体"/>
                <w:bCs/>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rPr>
            </w:pPr>
            <w:r>
              <w:rPr>
                <w:rFonts w:hint="eastAsia" w:ascii="微软雅黑" w:hAnsi="微软雅黑" w:eastAsia="微软雅黑" w:cs="宋体"/>
                <w:bCs/>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rPr>
            </w:pPr>
            <w:r>
              <w:rPr>
                <w:rFonts w:hint="eastAsia" w:ascii="微软雅黑" w:hAnsi="微软雅黑" w:eastAsia="微软雅黑" w:cs="宋体"/>
                <w:bCs/>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rPr>
            </w:pPr>
            <w:r>
              <w:rPr>
                <w:rFonts w:hint="eastAsia" w:ascii="微软雅黑" w:hAnsi="微软雅黑" w:eastAsia="微软雅黑" w:cs="宋体"/>
                <w:bCs/>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简支小箱梁桥（跨径5*30m）</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4517.18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4517.18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6150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7345.00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6800.00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7900.00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参考“2.2  预制小箱梁桥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三</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排水工程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4923.41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4923.41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5867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8391.70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rPr>
            </w:pPr>
            <w:r>
              <w:rPr>
                <w:rFonts w:hint="eastAsia" w:ascii="微软雅黑" w:hAnsi="微软雅黑" w:eastAsia="微软雅黑" w:cs="宋体"/>
                <w:bCs/>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rPr>
            </w:pPr>
            <w:r>
              <w:rPr>
                <w:rFonts w:hint="eastAsia" w:ascii="微软雅黑" w:hAnsi="微软雅黑" w:eastAsia="微软雅黑" w:cs="宋体"/>
                <w:bCs/>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rPr>
            </w:pPr>
            <w:r>
              <w:rPr>
                <w:rFonts w:hint="eastAsia" w:ascii="微软雅黑" w:hAnsi="微软雅黑" w:eastAsia="微软雅黑" w:cs="宋体"/>
                <w:bCs/>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20"/>
                <w:szCs w:val="20"/>
              </w:rPr>
            </w:pPr>
            <w:r>
              <w:rPr>
                <w:rFonts w:hint="eastAsia" w:ascii="微软雅黑" w:hAnsi="微软雅黑" w:eastAsia="微软雅黑" w:cs="宋体"/>
                <w:bCs/>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雨水工程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3657.73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3657.73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3725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9819.41</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含雨水箱涵</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DN300 Ⅱ级钢筋混凝土管</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40.04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40.04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520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770.00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埋深1.5m，3m挡土板</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950.00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参考“2.1.1 II级钢筋混凝土承插口管d300”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DN600 Ⅱ级钢筋混凝土管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66.00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66.00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5500.00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埋深3-4m，9m拉森钢板桩</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5420.00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5680.00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参考“2.1.13 II级钢筋混凝土承插口管d600”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DN800 Ⅱ级钢筋混凝土管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273.97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273.97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462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5930.00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埋深3-4m，9m拉森钢板桩</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5810.00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6150.00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参考“2.1.14 II级钢筋混凝土承插口管d800”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1.4</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DN1000 Ⅱ级钢筋混凝土管</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598.33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598.33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952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6285.00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埋深3-4m，9m拉森钢板桩</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6160.00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6510.00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参考“2.1.15  II级钢筋混凝土承插口管d1000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1.5</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DN1650 Ⅱ级钢筋混凝土管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950.90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950.90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1130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8415.00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埋深3-4m，9m拉森钢板桩</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8250.00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8680.00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参考”2.1.19 II级钢筋混凝土承插口管d1650“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1.6</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φ1200 预制装配式混凝土检查井</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3.30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3.30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座</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11000.00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11000.00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18000.00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参考”2.5.1 预制装配式圆形（Φ1000mm-Φ1600mm）雨水检查井（沉砂井）“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1.7</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φ1600 预制装配式混凝土检查井</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19.50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19.50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座</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13000.00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11000.00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18000.00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参考”2.5.1 预制装配式圆形（Φ1000mm-Φ1600mm）雨水检查井（沉砂井）“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1.8</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平箅式双箅雨水口</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47.52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47.52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座</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99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4800.00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4800.00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参考“2.7  预制装配式双篦雨水口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1.9</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2400*2000 混凝土箱涵</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661.98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661.98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479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13820.00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8640.00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19200.00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参考“9.1  箱涵”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1.10</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6000*10000 混凝土箱涵</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992.00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992.00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160000.00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108000.00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240000.00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参考“9.1  箱涵”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DN1650 出水口</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1.95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1.95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座</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19500.00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13000.00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32000.00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参考“2.6  砌体出水口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DN2400 出水口</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2.25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2.25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座</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22495.00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13000.00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32000.00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参考“2.6  砌体出水口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污水工程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1265.68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1265.68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2142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5908.88</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DN500 球墨铸铁管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1201.66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1201.66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2142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5610.00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埋深3-4m，9m拉森钢板桩</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5560.00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5860.00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参考”2.2.6  球磨铸铁管d500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φ1200 预制装配式混凝土检查井</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40.70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40.70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座</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37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11000.00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11000.00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17000.00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参考”2.5.2预制装配式钢筋砼圆形（Φ1000mm-Φ1600mm）污水检查井（沉砂井）“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1600*1600 预制装配式混凝土检查井</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8.80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8.80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座</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22000.00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22000.00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50000.00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参考”2.5.3 现浇钢筋砼方形（A=1600-2600mm 雨水检查井（沉砂井）“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2.4</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φ1200 预制装配式混凝土沉泥井</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14.52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14.52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座</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12100.00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11000.00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17000.00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参考”2.5.2预制装配式钢筋砼圆形（Φ1000mm-Φ1600mm）污水检查井（沉砂井）“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四</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消防工程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20.24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20.24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123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1651.94</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DN150 球墨铸铁管</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13.48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13.48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123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0366" w:type="dxa"/>
            <w:gridSpan w:val="4"/>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南沙区指导指标无该指标，按照定额套价分析评估，单价基本合理。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室外地上式消火栓</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6.76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6.76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套</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4553.48</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0366" w:type="dxa"/>
            <w:gridSpan w:val="4"/>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南沙区指导指标无该指标，按照定额套价分析评估，单价基本合理。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五</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交通工程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295.02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295.02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km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1.485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1986633.00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交通标志标线</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147.02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147.02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km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1.485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990000.00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500000.00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1500000.00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参考“3.1  交通标志、标线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十字路口交通信号灯</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69.00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69.00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处</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690000.00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500000.00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900000.00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参考“3.2.1  十字交叉口交通信号灯”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丁字路口交通信号灯</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39.00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39.00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处</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390000.00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200000.00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600000.00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参考“3.2.2  丁字口交通信号灯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交通监控系统</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40.00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40.00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套</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200000.00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185000.00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225000.00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参考“3.3  交通监控系统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六</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照明工程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212.81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212.81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km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1.485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1433082.83</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12m单臂路灯，含LED灯具-2500W</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118.56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118.56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套</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96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12350.00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10300.00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14550.00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参考“4.2.2  中杆灯-19m以下，含基础、灯杆、灯具(基础3000-</w:t>
            </w:r>
            <w:r>
              <w:rPr>
                <w:rFonts w:hint="eastAsia" w:ascii="微软雅黑" w:hAnsi="微软雅黑" w:eastAsia="微软雅黑" w:cs="宋体"/>
                <w:b w:val="0"/>
                <w:color w:val="auto"/>
                <w:kern w:val="0"/>
                <w:sz w:val="20"/>
                <w:szCs w:val="20"/>
              </w:rPr>
              <w:br w:type="textWrapping"/>
            </w:r>
            <w:r>
              <w:rPr>
                <w:rFonts w:hint="eastAsia" w:ascii="微软雅黑" w:hAnsi="微软雅黑" w:eastAsia="微软雅黑" w:cs="宋体"/>
                <w:b w:val="0"/>
                <w:color w:val="auto"/>
                <w:kern w:val="0"/>
                <w:sz w:val="20"/>
                <w:szCs w:val="20"/>
              </w:rPr>
              <w:t>6000元/处，灯杆400-600元/m，LED灯具10-15元/W)。 ”</w:t>
            </w:r>
            <w:r>
              <w:rPr>
                <w:rFonts w:hint="eastAsia" w:ascii="微软雅黑" w:hAnsi="微软雅黑" w:eastAsia="微软雅黑" w:cs="宋体"/>
                <w:b w:val="0"/>
                <w:color w:val="auto"/>
                <w:kern w:val="0"/>
                <w:sz w:val="20"/>
                <w:szCs w:val="20"/>
              </w:rPr>
              <w:br w:type="textWrapping"/>
            </w:r>
            <w:r>
              <w:rPr>
                <w:rFonts w:hint="eastAsia" w:ascii="微软雅黑" w:hAnsi="微软雅黑" w:eastAsia="微软雅黑" w:cs="宋体"/>
                <w:b w:val="0"/>
                <w:color w:val="auto"/>
                <w:kern w:val="0"/>
                <w:sz w:val="20"/>
                <w:szCs w:val="20"/>
              </w:rPr>
              <w:t>下限=3000+250*12+10*250=10300元/套，上限=6000+400*12+15*250=14550元/套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13m三头路灯，含LED灯具-3*250W</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16.24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16.24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套</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20300.00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15700.00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25050.00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参考“4.2.2  中杆灯-19m以下，含基础、灯杆、灯具(基础3000-</w:t>
            </w:r>
            <w:r>
              <w:rPr>
                <w:rFonts w:hint="eastAsia" w:ascii="微软雅黑" w:hAnsi="微软雅黑" w:eastAsia="微软雅黑" w:cs="宋体"/>
                <w:b w:val="0"/>
                <w:color w:val="auto"/>
                <w:kern w:val="0"/>
                <w:sz w:val="20"/>
                <w:szCs w:val="20"/>
              </w:rPr>
              <w:br w:type="textWrapping"/>
            </w:r>
            <w:r>
              <w:rPr>
                <w:rFonts w:hint="eastAsia" w:ascii="微软雅黑" w:hAnsi="微软雅黑" w:eastAsia="微软雅黑" w:cs="宋体"/>
                <w:b w:val="0"/>
                <w:color w:val="auto"/>
                <w:kern w:val="0"/>
                <w:sz w:val="20"/>
                <w:szCs w:val="20"/>
              </w:rPr>
              <w:t>6000元/处，灯杆400-600元/m，LED灯具10-15元/W)。 ”</w:t>
            </w:r>
            <w:r>
              <w:rPr>
                <w:rFonts w:hint="eastAsia" w:ascii="微软雅黑" w:hAnsi="微软雅黑" w:eastAsia="微软雅黑" w:cs="宋体"/>
                <w:b w:val="0"/>
                <w:color w:val="auto"/>
                <w:kern w:val="0"/>
                <w:sz w:val="20"/>
                <w:szCs w:val="20"/>
              </w:rPr>
              <w:br w:type="textWrapping"/>
            </w:r>
            <w:r>
              <w:rPr>
                <w:rFonts w:hint="eastAsia" w:ascii="微软雅黑" w:hAnsi="微软雅黑" w:eastAsia="微软雅黑" w:cs="宋体"/>
                <w:b w:val="0"/>
                <w:color w:val="auto"/>
                <w:kern w:val="0"/>
                <w:sz w:val="20"/>
                <w:szCs w:val="20"/>
              </w:rPr>
              <w:t>下限=3000+400*13+10*250*3=15700元/套，上限=6000+400*13+15*250*3=25050元/套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2"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φ75 HDPE管</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28.68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28.68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3456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83.00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105.00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参考“4.6 电缆保护管（刚性难燃管）DN50（50∽90元/m），埋深1米以内，管径不同时，扣减30元/m材料价格，增加相应规格管材价格。”下限=50-30+(30/0.05*0.075)=65元/m，上限=90-30+(30/0.05*0.075)=105元/m。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YJV-0.6/1kV-5*25mm2</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44.93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44.93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3456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130.00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480.00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参考“4.4  配电电缆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户外路灯配电箱</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0.70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0.70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套</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7000.00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9000.00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参考“4.8  路灯照明配电箱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路灯智能管理系统</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3.70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3.70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套</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37000.00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37000.00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46000.00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参考“4.9  路灯控制系统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七</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绿化工程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246.33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246.33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50929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48.37</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乔木（胸径31-35cm）</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22.24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22.24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株</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13900.00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20000.00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参考“1.11  乔木（胸径31-35cm)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乔木（胸径22-25cm)</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40.95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40.95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株</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6300.00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参考“1.9 乔木（胸径22-25cm)”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乔木（胸径13-15cm)</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99.30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99.30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株</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662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1500.00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1300.00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1800.00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参考“1.5 乔木（胸径13-15cm)”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地被种植</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31.46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31.46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2247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140.00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120.00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参考“4.2 苗高0.25m，冠幅0.20m”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回填种植土</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12.36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12.36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2247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68.00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低于指标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参考“9 回填种植土”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绿化喷灌</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10.11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10.11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2247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40.00</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参考“1.6.6 绿化喷灌工程”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生态树池</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29.92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29.92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个</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352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850.00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0366" w:type="dxa"/>
            <w:gridSpan w:val="4"/>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南沙区指导指标无该指标，按照定额套价分析评估，单价基本合理。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八</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电力管沟工程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1605.39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1605.39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2155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7449.61</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16回10kv电缆沟（1.95m*2.3m）</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1285.92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1285.92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1692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7600.00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6727.50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8970.00</w:t>
            </w:r>
          </w:p>
        </w:tc>
        <w:tc>
          <w:tcPr>
            <w:tcW w:w="1157"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参考“8.1  钢筋混凝土电缆沟（1500∽2000）*横断面”</w:t>
            </w:r>
            <w:r>
              <w:rPr>
                <w:rFonts w:hint="eastAsia" w:ascii="微软雅黑" w:hAnsi="微软雅黑" w:eastAsia="微软雅黑" w:cs="宋体"/>
                <w:b w:val="0"/>
                <w:color w:val="auto"/>
                <w:kern w:val="0"/>
                <w:sz w:val="20"/>
                <w:szCs w:val="20"/>
              </w:rPr>
              <w:br w:type="textWrapping"/>
            </w:r>
            <w:r>
              <w:rPr>
                <w:rFonts w:hint="eastAsia" w:ascii="微软雅黑" w:hAnsi="微软雅黑" w:eastAsia="微软雅黑" w:cs="宋体"/>
                <w:b w:val="0"/>
                <w:color w:val="auto"/>
                <w:kern w:val="0"/>
                <w:sz w:val="20"/>
                <w:szCs w:val="20"/>
              </w:rPr>
              <w:t>下限=1500*1.95*2.3=6727.50元/m，上限=2000*1.95*2.3=8970元/m。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3回110kV电力管沟（2.1m*1.9m）</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319.47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319.47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463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6900.00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5985.00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7980.00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参考“8.1  钢筋混凝土电缆沟（1500∽2000）*横断面  ”</w:t>
            </w:r>
            <w:r>
              <w:rPr>
                <w:rFonts w:hint="eastAsia" w:ascii="微软雅黑" w:hAnsi="微软雅黑" w:eastAsia="微软雅黑" w:cs="宋体"/>
                <w:b w:val="0"/>
                <w:color w:val="auto"/>
                <w:kern w:val="0"/>
                <w:sz w:val="20"/>
                <w:szCs w:val="20"/>
              </w:rPr>
              <w:br w:type="textWrapping"/>
            </w:r>
            <w:r>
              <w:rPr>
                <w:rFonts w:hint="eastAsia" w:ascii="微软雅黑" w:hAnsi="微软雅黑" w:eastAsia="微软雅黑" w:cs="宋体"/>
                <w:b w:val="0"/>
                <w:color w:val="auto"/>
                <w:kern w:val="0"/>
                <w:sz w:val="20"/>
                <w:szCs w:val="20"/>
              </w:rPr>
              <w:t>下限=1500*3.99=5985元/m，上限=2000*3.99=7980元/m。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九</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交通疏解</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604.80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604.80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km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1.485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4072727.27</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A2装配式施工围蔽</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604.80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604.80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3360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1800.00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1500.00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2500.00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参考“7.1 A1-A4类装配式施工围”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十</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场地准备工程</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129.60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129.60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800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1620.00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永久外水接驳</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44.80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44.80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400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1120.00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1500.00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参考“10.2  永久用水接驳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永久外电接驳</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84.80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84.80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400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2120.00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1800.00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2500.00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参考“10.4  永久外电接驳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十一</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临时施工便道</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3152.81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3152.81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xml:space="preserve">14080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2239.21</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Cs/>
                <w:color w:val="auto"/>
                <w:kern w:val="0"/>
                <w:sz w:val="18"/>
                <w:szCs w:val="18"/>
              </w:rPr>
            </w:pPr>
            <w:r>
              <w:rPr>
                <w:rFonts w:hint="eastAsia" w:ascii="微软雅黑" w:hAnsi="微软雅黑" w:eastAsia="微软雅黑" w:cs="宋体"/>
                <w:bCs/>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450.00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参考“6.2  临时交通疏解便道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28cm C35水泥混凝土</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339.50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339.50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14080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241.12</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267.00</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287.00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低于指标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参考“1.2.20  15cm混凝土垫层，厚度每增减1cm费用增加9元/m²。”下限=150+13*9=267元/m²，上限=170+13*9=287元/m²。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1cm 封层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16.19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16.19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14080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11.50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11.00</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13.00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参考“1.1.9  1cm乳化沥青封层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透层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8.45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8.45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14080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6.00</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参考“1.1.8透层沥青(PC-2)用量1.2kg/m2”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20cm 5%水泥稳定级配碎石基层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325.16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325.16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26013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125.00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125.00</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135.00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参考“1.1.12 5%水泥碎石稳定层20cm”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5</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20cm 4%水泥稳定级配碎石底基层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331.85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331.85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26980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123.00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　</w:t>
            </w:r>
          </w:p>
        </w:tc>
        <w:tc>
          <w:tcPr>
            <w:tcW w:w="1368"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123.00</w:t>
            </w:r>
          </w:p>
        </w:tc>
        <w:tc>
          <w:tcPr>
            <w:tcW w:w="1320"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133.00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参考“1.1.13 4%水泥碎石稳定层20cm“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钢筋（HPB300、HRB400）</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179.80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179.80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t</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290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6200.00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0366" w:type="dxa"/>
            <w:gridSpan w:val="4"/>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南沙区指导指标无该指标，按照定额套价分析评估，单价基本合理。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传力杆（HPB300）</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61.21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61.21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t</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56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10931.11</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0366" w:type="dxa"/>
            <w:gridSpan w:val="4"/>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南沙区指导指标无该指标，按照定额套价分析评估，单价基本合理。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8</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传力杆（HRB400）</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8.63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8.63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t</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4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21567.84</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0366" w:type="dxa"/>
            <w:gridSpan w:val="4"/>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南沙区指导指标无该指标，按照定额套价分析评估，单价基本合理。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9</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拆除20cm混凝土路面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99.93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99.93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14080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70.97</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0366" w:type="dxa"/>
            <w:gridSpan w:val="4"/>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南沙区指导指标无该指标，按照定额套价分析评估，单价基本合理。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10</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拆除20cm水泥稳定碎石基层</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86.25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86.25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m2</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28160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30.63</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0366" w:type="dxa"/>
            <w:gridSpan w:val="4"/>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南沙区指导指标无该指标，按照定额套价分析评估，单价基本合理。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11</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回填土方（借土填方）</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172.56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172.56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23008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75.00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75.00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参考”1.4.15  借土回填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12</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抛石挤淤</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1336.72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1336.72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m3</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37131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360.00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350.00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380.00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参考”1.5.6  抛石挤淤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13</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临时交通标志</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26.40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26.40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km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0.880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300000.00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368"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300000.00</w:t>
            </w:r>
          </w:p>
        </w:tc>
        <w:tc>
          <w:tcPr>
            <w:tcW w:w="1320" w:type="dxa"/>
            <w:shd w:val="clear" w:color="000000" w:fill="FFFFFF"/>
            <w:noWrap/>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1000000.00</w:t>
            </w:r>
          </w:p>
        </w:tc>
        <w:tc>
          <w:tcPr>
            <w:tcW w:w="115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符合指标</w:t>
            </w:r>
          </w:p>
        </w:tc>
        <w:tc>
          <w:tcPr>
            <w:tcW w:w="652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参考“6.1 临时交通标志”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792"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14</w:t>
            </w:r>
          </w:p>
        </w:tc>
        <w:tc>
          <w:tcPr>
            <w:tcW w:w="3454"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left"/>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机非分隔栏</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160.16 </w:t>
            </w:r>
          </w:p>
        </w:tc>
        <w:tc>
          <w:tcPr>
            <w:tcW w:w="1291"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160.16 </w:t>
            </w:r>
          </w:p>
        </w:tc>
        <w:tc>
          <w:tcPr>
            <w:tcW w:w="675"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m</w:t>
            </w:r>
          </w:p>
        </w:tc>
        <w:tc>
          <w:tcPr>
            <w:tcW w:w="1037"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xml:space="preserve">3520 </w:t>
            </w:r>
          </w:p>
        </w:tc>
        <w:tc>
          <w:tcPr>
            <w:tcW w:w="1519"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455.00</w:t>
            </w:r>
          </w:p>
        </w:tc>
        <w:tc>
          <w:tcPr>
            <w:tcW w:w="2676" w:type="dxa"/>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18"/>
                <w:szCs w:val="18"/>
              </w:rPr>
            </w:pPr>
            <w:r>
              <w:rPr>
                <w:rFonts w:hint="eastAsia" w:ascii="微软雅黑" w:hAnsi="微软雅黑" w:eastAsia="微软雅黑" w:cs="宋体"/>
                <w:b w:val="0"/>
                <w:color w:val="auto"/>
                <w:kern w:val="0"/>
                <w:sz w:val="18"/>
                <w:szCs w:val="18"/>
              </w:rPr>
              <w:t>　</w:t>
            </w:r>
          </w:p>
        </w:tc>
        <w:tc>
          <w:tcPr>
            <w:tcW w:w="10366" w:type="dxa"/>
            <w:gridSpan w:val="4"/>
            <w:shd w:val="clear" w:color="000000" w:fill="FFFFFF"/>
            <w:vAlign w:val="center"/>
          </w:tcPr>
          <w:p>
            <w:pPr>
              <w:keepNext w:val="0"/>
              <w:keepLines w:val="0"/>
              <w:pageBreakBefore w:val="0"/>
              <w:widowControl/>
              <w:kinsoku/>
              <w:wordWrap/>
              <w:overflowPunct/>
              <w:topLinePunct w:val="0"/>
              <w:autoSpaceDE/>
              <w:autoSpaceDN/>
              <w:bidi w:val="0"/>
              <w:adjustRightInd/>
              <w:snapToGrid/>
              <w:jc w:val="center"/>
              <w:textAlignment w:val="auto"/>
              <w:outlineLvl w:val="9"/>
              <w:rPr>
                <w:rFonts w:ascii="微软雅黑" w:hAnsi="微软雅黑" w:eastAsia="微软雅黑" w:cs="宋体"/>
                <w:b w:val="0"/>
                <w:color w:val="auto"/>
                <w:kern w:val="0"/>
                <w:sz w:val="20"/>
                <w:szCs w:val="20"/>
              </w:rPr>
            </w:pPr>
            <w:r>
              <w:rPr>
                <w:rFonts w:hint="eastAsia" w:ascii="微软雅黑" w:hAnsi="微软雅黑" w:eastAsia="微软雅黑" w:cs="宋体"/>
                <w:b w:val="0"/>
                <w:color w:val="auto"/>
                <w:kern w:val="0"/>
                <w:sz w:val="20"/>
                <w:szCs w:val="20"/>
              </w:rPr>
              <w:t>南沙区指导指标无该指标，按照定额套价分析评估，单价基本合理。</w:t>
            </w:r>
          </w:p>
        </w:tc>
      </w:tr>
    </w:tbl>
    <w:p>
      <w:pPr>
        <w:tabs>
          <w:tab w:val="left" w:pos="709"/>
        </w:tabs>
        <w:spacing w:line="300" w:lineRule="auto"/>
        <w:rPr>
          <w:rFonts w:ascii="Times New Roman" w:hAnsi="Times New Roman"/>
          <w:b w:val="0"/>
          <w:color w:val="auto"/>
          <w:sz w:val="24"/>
          <w:szCs w:val="24"/>
        </w:rPr>
      </w:pPr>
    </w:p>
    <w:p>
      <w:pPr>
        <w:tabs>
          <w:tab w:val="left" w:pos="709"/>
        </w:tabs>
        <w:spacing w:line="300" w:lineRule="auto"/>
        <w:ind w:firstLine="480" w:firstLineChars="200"/>
        <w:rPr>
          <w:rFonts w:ascii="Times New Roman" w:hAnsi="Times New Roman"/>
          <w:b w:val="0"/>
          <w:color w:val="auto"/>
          <w:sz w:val="24"/>
          <w:szCs w:val="24"/>
        </w:rPr>
      </w:pPr>
    </w:p>
    <w:p>
      <w:pPr>
        <w:tabs>
          <w:tab w:val="left" w:pos="709"/>
        </w:tabs>
        <w:spacing w:line="300" w:lineRule="auto"/>
        <w:ind w:firstLine="480" w:firstLineChars="200"/>
        <w:rPr>
          <w:rFonts w:ascii="Times New Roman" w:hAnsi="Times New Roman"/>
          <w:b w:val="0"/>
          <w:color w:val="auto"/>
          <w:sz w:val="24"/>
          <w:szCs w:val="24"/>
        </w:rPr>
        <w:sectPr>
          <w:type w:val="continuous"/>
          <w:pgSz w:w="23814" w:h="16840" w:orient="landscape"/>
          <w:pgMar w:top="1701" w:right="1440" w:bottom="1106" w:left="1814" w:header="851" w:footer="283" w:gutter="0"/>
          <w:cols w:space="1028" w:num="1"/>
          <w:docGrid w:type="lines" w:linePitch="382" w:charSpace="0"/>
        </w:sectPr>
      </w:pPr>
    </w:p>
    <w:p>
      <w:pPr>
        <w:pStyle w:val="3"/>
        <w:ind w:firstLine="562" w:firstLineChars="200"/>
      </w:pPr>
      <w:bookmarkStart w:id="349" w:name="_Toc16862"/>
      <w:r>
        <w:t>方案</w:t>
      </w:r>
      <w:bookmarkEnd w:id="349"/>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highlight w:val="cyan"/>
        </w:rPr>
        <w:t>建设项目总投资＝建设投资＋建设期贷款利息＋铺底流动资金。</w:t>
      </w:r>
      <w:r>
        <w:rPr>
          <w:rFonts w:hint="eastAsia" w:ascii="Times New Roman" w:hAnsi="Times New Roman"/>
          <w:b w:val="0"/>
          <w:color w:val="auto"/>
          <w:sz w:val="24"/>
          <w:szCs w:val="24"/>
          <w:highlight w:val="cyan"/>
        </w:rPr>
        <w:t>本项目总投资约</w:t>
      </w:r>
      <w:r>
        <w:rPr>
          <w:rFonts w:ascii="Times New Roman" w:hAnsi="Times New Roman"/>
          <w:b w:val="0"/>
          <w:color w:val="auto"/>
          <w:sz w:val="24"/>
          <w:szCs w:val="24"/>
          <w:highlight w:val="cyan"/>
        </w:rPr>
        <w:t>99629.78万元，其中工程费用约75923.72万元，工程建设其他费用19496.78（含建设用地费）万元，基本预备费4209.28万元。</w:t>
      </w:r>
      <w:r>
        <w:rPr>
          <w:rFonts w:hint="eastAsia" w:ascii="Times New Roman" w:hAnsi="Times New Roman"/>
          <w:b w:val="0"/>
          <w:color w:val="auto"/>
          <w:sz w:val="24"/>
          <w:szCs w:val="24"/>
          <w:highlight w:val="cyan"/>
        </w:rPr>
        <w:t>本项目土地受让人按照“土地出让</w:t>
      </w:r>
      <w:r>
        <w:rPr>
          <w:rFonts w:ascii="Times New Roman" w:hAnsi="Times New Roman"/>
          <w:b w:val="0"/>
          <w:color w:val="auto"/>
          <w:sz w:val="24"/>
          <w:szCs w:val="24"/>
          <w:highlight w:val="cyan"/>
        </w:rPr>
        <w:t>+项目配建”模式承担南沙全民文化体育综合体项目建设任务，按照配建抵减的土地出让收入金额筹集资金保障项目建设。</w:t>
      </w:r>
    </w:p>
    <w:p>
      <w:pPr>
        <w:spacing w:line="300" w:lineRule="auto"/>
        <w:ind w:firstLine="480" w:firstLineChars="200"/>
        <w:jc w:val="left"/>
        <w:rPr>
          <w:rFonts w:ascii="Times New Roman" w:hAnsi="Times New Roman"/>
        </w:rPr>
      </w:pPr>
      <w:r>
        <w:rPr>
          <w:rFonts w:ascii="Times New Roman" w:hAnsi="Times New Roman"/>
          <w:b w:val="0"/>
          <w:color w:val="auto"/>
          <w:sz w:val="24"/>
          <w:szCs w:val="24"/>
        </w:rPr>
        <w:t>上述筹资方案是综合考虑了工程建设资金的需求、南沙区目前的财政收入以及今后的增长水平而确定的。全市国民经济的持续快速发展为其财政收入保持较高的增幅奠定了坚实的经济基础，财政实力不断增强。主要投向城市道路、地铁、污水处理、垃圾处理等城市基础设施项目。</w:t>
      </w:r>
    </w:p>
    <w:p>
      <w:pPr>
        <w:pStyle w:val="3"/>
        <w:ind w:firstLine="562" w:firstLineChars="200"/>
      </w:pPr>
      <w:bookmarkStart w:id="350" w:name="_Toc131105767"/>
      <w:bookmarkStart w:id="351" w:name="_Toc12338"/>
      <w:r>
        <w:t>投资计划</w:t>
      </w:r>
      <w:bookmarkEnd w:id="350"/>
      <w:bookmarkEnd w:id="351"/>
    </w:p>
    <w:p>
      <w:pPr>
        <w:spacing w:line="288"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highlight w:val="cyan"/>
        </w:rPr>
        <w:t>本</w:t>
      </w:r>
      <w:r>
        <w:rPr>
          <w:rFonts w:hint="eastAsia" w:ascii="Times New Roman" w:hAnsi="Times New Roman"/>
          <w:b w:val="0"/>
          <w:color w:val="auto"/>
          <w:sz w:val="24"/>
          <w:szCs w:val="24"/>
          <w:highlight w:val="cyan"/>
        </w:rPr>
        <w:t>项目土地受让人按照“土地出让+项目配建”模式承担南沙全民文化体育综合体项目建设任务，按照配建抵减的土地出让收入金额筹集资金保障项目建设。</w:t>
      </w:r>
      <w:r>
        <w:rPr>
          <w:rFonts w:ascii="Times New Roman" w:hAnsi="Times New Roman"/>
          <w:b w:val="0"/>
          <w:color w:val="auto"/>
          <w:sz w:val="24"/>
          <w:szCs w:val="24"/>
        </w:rPr>
        <w:t>无需开展债务清偿能力分析。根据项目进度计划表，列出如下项目年度投资计划：</w:t>
      </w:r>
    </w:p>
    <w:tbl>
      <w:tblPr>
        <w:tblStyle w:val="32"/>
        <w:tblW w:w="5272" w:type="pct"/>
        <w:tblInd w:w="-318" w:type="dxa"/>
        <w:tblLayout w:type="fixed"/>
        <w:tblCellMar>
          <w:top w:w="0" w:type="dxa"/>
          <w:left w:w="108" w:type="dxa"/>
          <w:bottom w:w="0" w:type="dxa"/>
          <w:right w:w="108" w:type="dxa"/>
        </w:tblCellMar>
      </w:tblPr>
      <w:tblGrid>
        <w:gridCol w:w="1990"/>
        <w:gridCol w:w="2640"/>
        <w:gridCol w:w="2072"/>
        <w:gridCol w:w="2511"/>
        <w:gridCol w:w="1311"/>
      </w:tblGrid>
      <w:tr>
        <w:tblPrEx>
          <w:tblCellMar>
            <w:top w:w="0" w:type="dxa"/>
            <w:left w:w="108" w:type="dxa"/>
            <w:bottom w:w="0" w:type="dxa"/>
            <w:right w:w="108" w:type="dxa"/>
          </w:tblCellMar>
        </w:tblPrEx>
        <w:trPr>
          <w:trHeight w:val="702" w:hRule="atLeast"/>
        </w:trPr>
        <w:tc>
          <w:tcPr>
            <w:tcW w:w="945" w:type="pct"/>
            <w:tcBorders>
              <w:top w:val="single" w:color="auto" w:sz="8" w:space="0"/>
              <w:left w:val="single" w:color="auto" w:sz="8" w:space="0"/>
              <w:bottom w:val="single" w:color="auto" w:sz="8" w:space="0"/>
              <w:right w:val="single" w:color="auto" w:sz="8" w:space="0"/>
            </w:tcBorders>
            <w:shd w:val="clear" w:color="000000" w:fill="FABF8F"/>
            <w:vAlign w:val="center"/>
          </w:tcPr>
          <w:p>
            <w:pPr>
              <w:widowControl/>
              <w:jc w:val="center"/>
              <w:rPr>
                <w:rFonts w:ascii="Times New Roman" w:hAnsi="Times New Roman"/>
                <w:b w:val="0"/>
                <w:color w:val="000000"/>
                <w:kern w:val="0"/>
                <w:sz w:val="24"/>
                <w:szCs w:val="24"/>
              </w:rPr>
            </w:pPr>
            <w:r>
              <w:rPr>
                <w:rFonts w:ascii="Times New Roman" w:hAnsi="Times New Roman"/>
                <w:b w:val="0"/>
                <w:color w:val="000000"/>
                <w:kern w:val="0"/>
                <w:sz w:val="24"/>
                <w:szCs w:val="24"/>
              </w:rPr>
              <w:t>指标名称</w:t>
            </w:r>
          </w:p>
        </w:tc>
        <w:tc>
          <w:tcPr>
            <w:tcW w:w="1253" w:type="pct"/>
            <w:tcBorders>
              <w:top w:val="single" w:color="auto" w:sz="8" w:space="0"/>
              <w:left w:val="nil"/>
              <w:bottom w:val="single" w:color="auto" w:sz="8" w:space="0"/>
              <w:right w:val="single" w:color="auto" w:sz="8" w:space="0"/>
            </w:tcBorders>
            <w:shd w:val="clear" w:color="000000" w:fill="FABF8F"/>
            <w:vAlign w:val="center"/>
          </w:tcPr>
          <w:p>
            <w:pPr>
              <w:widowControl/>
              <w:jc w:val="center"/>
              <w:rPr>
                <w:rFonts w:ascii="Times New Roman" w:hAnsi="Times New Roman"/>
                <w:b w:val="0"/>
                <w:color w:val="000000"/>
                <w:kern w:val="0"/>
                <w:sz w:val="24"/>
                <w:szCs w:val="24"/>
              </w:rPr>
            </w:pPr>
            <w:r>
              <w:rPr>
                <w:rFonts w:ascii="Times New Roman" w:hAnsi="Times New Roman"/>
                <w:b w:val="0"/>
                <w:color w:val="000000"/>
                <w:kern w:val="0"/>
                <w:sz w:val="24"/>
                <w:szCs w:val="24"/>
              </w:rPr>
              <w:t>2023年</w:t>
            </w:r>
          </w:p>
        </w:tc>
        <w:tc>
          <w:tcPr>
            <w:tcW w:w="984" w:type="pct"/>
            <w:tcBorders>
              <w:top w:val="single" w:color="auto" w:sz="8" w:space="0"/>
              <w:left w:val="nil"/>
              <w:bottom w:val="single" w:color="auto" w:sz="8" w:space="0"/>
              <w:right w:val="single" w:color="auto" w:sz="8" w:space="0"/>
            </w:tcBorders>
            <w:shd w:val="clear" w:color="000000" w:fill="FABF8F"/>
            <w:vAlign w:val="center"/>
          </w:tcPr>
          <w:p>
            <w:pPr>
              <w:widowControl/>
              <w:jc w:val="center"/>
              <w:rPr>
                <w:rFonts w:ascii="Times New Roman" w:hAnsi="Times New Roman"/>
                <w:b w:val="0"/>
                <w:color w:val="000000"/>
                <w:kern w:val="0"/>
                <w:sz w:val="24"/>
                <w:szCs w:val="24"/>
              </w:rPr>
            </w:pPr>
            <w:r>
              <w:rPr>
                <w:rFonts w:ascii="Times New Roman" w:hAnsi="Times New Roman"/>
                <w:b w:val="0"/>
                <w:color w:val="000000"/>
                <w:kern w:val="0"/>
                <w:sz w:val="24"/>
                <w:szCs w:val="24"/>
              </w:rPr>
              <w:t>2024年</w:t>
            </w:r>
          </w:p>
        </w:tc>
        <w:tc>
          <w:tcPr>
            <w:tcW w:w="1193" w:type="pct"/>
            <w:tcBorders>
              <w:top w:val="single" w:color="auto" w:sz="8" w:space="0"/>
              <w:left w:val="nil"/>
              <w:bottom w:val="single" w:color="auto" w:sz="8" w:space="0"/>
              <w:right w:val="single" w:color="auto" w:sz="8" w:space="0"/>
            </w:tcBorders>
            <w:shd w:val="clear" w:color="000000" w:fill="FABF8F"/>
            <w:vAlign w:val="center"/>
          </w:tcPr>
          <w:p>
            <w:pPr>
              <w:widowControl/>
              <w:jc w:val="center"/>
              <w:rPr>
                <w:rFonts w:ascii="Times New Roman" w:hAnsi="Times New Roman"/>
                <w:b w:val="0"/>
                <w:color w:val="000000"/>
                <w:kern w:val="0"/>
                <w:sz w:val="24"/>
                <w:szCs w:val="24"/>
              </w:rPr>
            </w:pPr>
            <w:r>
              <w:rPr>
                <w:rFonts w:ascii="Times New Roman" w:hAnsi="Times New Roman"/>
                <w:b w:val="0"/>
                <w:color w:val="000000"/>
                <w:kern w:val="0"/>
                <w:sz w:val="24"/>
                <w:szCs w:val="24"/>
              </w:rPr>
              <w:t>2025年</w:t>
            </w:r>
          </w:p>
        </w:tc>
        <w:tc>
          <w:tcPr>
            <w:tcW w:w="623" w:type="pct"/>
            <w:tcBorders>
              <w:top w:val="single" w:color="auto" w:sz="8" w:space="0"/>
              <w:left w:val="nil"/>
              <w:bottom w:val="single" w:color="auto" w:sz="8" w:space="0"/>
              <w:right w:val="single" w:color="auto" w:sz="8" w:space="0"/>
            </w:tcBorders>
            <w:shd w:val="clear" w:color="000000" w:fill="FABF8F"/>
            <w:noWrap/>
            <w:vAlign w:val="center"/>
          </w:tcPr>
          <w:p>
            <w:pPr>
              <w:widowControl/>
              <w:jc w:val="center"/>
              <w:rPr>
                <w:rFonts w:ascii="Times New Roman" w:hAnsi="Times New Roman"/>
                <w:b w:val="0"/>
                <w:color w:val="000000"/>
                <w:kern w:val="0"/>
                <w:sz w:val="24"/>
                <w:szCs w:val="24"/>
              </w:rPr>
            </w:pPr>
            <w:r>
              <w:rPr>
                <w:rFonts w:ascii="Times New Roman" w:hAnsi="Times New Roman"/>
                <w:b w:val="0"/>
                <w:color w:val="000000"/>
                <w:kern w:val="0"/>
                <w:sz w:val="24"/>
                <w:szCs w:val="24"/>
              </w:rPr>
              <w:t>合计</w:t>
            </w:r>
          </w:p>
        </w:tc>
      </w:tr>
      <w:tr>
        <w:tblPrEx>
          <w:tblCellMar>
            <w:top w:w="0" w:type="dxa"/>
            <w:left w:w="108" w:type="dxa"/>
            <w:bottom w:w="0" w:type="dxa"/>
            <w:right w:w="108" w:type="dxa"/>
          </w:tblCellMar>
        </w:tblPrEx>
        <w:trPr>
          <w:trHeight w:val="1468" w:hRule="atLeast"/>
        </w:trPr>
        <w:tc>
          <w:tcPr>
            <w:tcW w:w="945" w:type="pct"/>
            <w:tcBorders>
              <w:top w:val="nil"/>
              <w:left w:val="single" w:color="auto" w:sz="8" w:space="0"/>
              <w:bottom w:val="single" w:color="auto" w:sz="8" w:space="0"/>
              <w:right w:val="single" w:color="auto" w:sz="8" w:space="0"/>
            </w:tcBorders>
            <w:shd w:val="clear" w:color="auto" w:fill="auto"/>
            <w:vAlign w:val="center"/>
          </w:tcPr>
          <w:p>
            <w:pPr>
              <w:widowControl/>
              <w:jc w:val="center"/>
              <w:rPr>
                <w:rFonts w:ascii="Times New Roman" w:hAnsi="Times New Roman"/>
                <w:b w:val="0"/>
                <w:color w:val="000000"/>
                <w:kern w:val="0"/>
                <w:sz w:val="24"/>
                <w:szCs w:val="24"/>
              </w:rPr>
            </w:pPr>
            <w:r>
              <w:rPr>
                <w:rFonts w:ascii="Times New Roman" w:hAnsi="Times New Roman"/>
                <w:b w:val="0"/>
                <w:color w:val="000000"/>
                <w:kern w:val="0"/>
                <w:sz w:val="24"/>
                <w:szCs w:val="24"/>
              </w:rPr>
              <w:t>项目进度计划</w:t>
            </w:r>
          </w:p>
        </w:tc>
        <w:tc>
          <w:tcPr>
            <w:tcW w:w="1253" w:type="pct"/>
            <w:tcBorders>
              <w:top w:val="nil"/>
              <w:left w:val="nil"/>
              <w:bottom w:val="single" w:color="auto" w:sz="8" w:space="0"/>
              <w:right w:val="single" w:color="auto" w:sz="8" w:space="0"/>
            </w:tcBorders>
            <w:shd w:val="clear" w:color="auto" w:fill="auto"/>
            <w:vAlign w:val="center"/>
          </w:tcPr>
          <w:p>
            <w:pPr>
              <w:widowControl/>
              <w:tabs>
                <w:tab w:val="left" w:pos="312"/>
              </w:tabs>
              <w:rPr>
                <w:rFonts w:ascii="Times New Roman" w:hAnsi="Times New Roman"/>
                <w:b w:val="0"/>
                <w:color w:val="000000"/>
                <w:kern w:val="0"/>
                <w:sz w:val="24"/>
                <w:szCs w:val="24"/>
              </w:rPr>
            </w:pPr>
            <w:r>
              <w:rPr>
                <w:rFonts w:hint="eastAsia" w:ascii="Times New Roman" w:hAnsi="Times New Roman"/>
                <w:b w:val="0"/>
                <w:color w:val="000000"/>
                <w:kern w:val="0"/>
                <w:sz w:val="24"/>
                <w:szCs w:val="24"/>
              </w:rPr>
              <w:t>1.</w:t>
            </w:r>
            <w:r>
              <w:rPr>
                <w:rFonts w:ascii="Times New Roman" w:hAnsi="Times New Roman"/>
                <w:b w:val="0"/>
                <w:color w:val="000000"/>
                <w:kern w:val="0"/>
                <w:sz w:val="24"/>
                <w:szCs w:val="24"/>
              </w:rPr>
              <w:t>可研立项工作；</w:t>
            </w:r>
            <w:r>
              <w:rPr>
                <w:rFonts w:hint="eastAsia" w:ascii="Times New Roman" w:hAnsi="Times New Roman"/>
                <w:b w:val="0"/>
                <w:color w:val="000000"/>
                <w:kern w:val="0"/>
                <w:sz w:val="24"/>
                <w:szCs w:val="24"/>
              </w:rPr>
              <w:t>2.</w:t>
            </w:r>
            <w:r>
              <w:rPr>
                <w:rFonts w:ascii="Times New Roman" w:hAnsi="Times New Roman"/>
                <w:b w:val="0"/>
                <w:color w:val="000000"/>
                <w:kern w:val="0"/>
                <w:sz w:val="24"/>
                <w:szCs w:val="24"/>
              </w:rPr>
              <w:t>征地拆迁；</w:t>
            </w:r>
            <w:r>
              <w:rPr>
                <w:rFonts w:hint="eastAsia" w:ascii="Times New Roman" w:hAnsi="Times New Roman"/>
                <w:b w:val="0"/>
                <w:color w:val="000000"/>
                <w:kern w:val="0"/>
                <w:sz w:val="24"/>
                <w:szCs w:val="24"/>
              </w:rPr>
              <w:t>3.</w:t>
            </w:r>
            <w:r>
              <w:rPr>
                <w:rFonts w:ascii="Times New Roman" w:hAnsi="Times New Roman"/>
                <w:b w:val="0"/>
                <w:color w:val="000000"/>
                <w:kern w:val="0"/>
                <w:sz w:val="24"/>
                <w:szCs w:val="24"/>
              </w:rPr>
              <w:t>招投标、勘察设计。</w:t>
            </w:r>
          </w:p>
        </w:tc>
        <w:tc>
          <w:tcPr>
            <w:tcW w:w="984" w:type="pct"/>
            <w:tcBorders>
              <w:top w:val="nil"/>
              <w:left w:val="nil"/>
              <w:bottom w:val="single" w:color="auto" w:sz="8" w:space="0"/>
              <w:right w:val="single" w:color="auto" w:sz="8" w:space="0"/>
            </w:tcBorders>
            <w:shd w:val="clear" w:color="auto" w:fill="auto"/>
            <w:vAlign w:val="center"/>
          </w:tcPr>
          <w:p>
            <w:pPr>
              <w:widowControl/>
              <w:tabs>
                <w:tab w:val="left" w:pos="312"/>
              </w:tabs>
              <w:rPr>
                <w:rFonts w:ascii="Times New Roman" w:hAnsi="Times New Roman"/>
                <w:b w:val="0"/>
                <w:color w:val="000000"/>
                <w:kern w:val="0"/>
                <w:sz w:val="24"/>
                <w:szCs w:val="24"/>
              </w:rPr>
            </w:pPr>
            <w:r>
              <w:rPr>
                <w:rFonts w:hint="eastAsia" w:ascii="Times New Roman" w:hAnsi="Times New Roman"/>
                <w:b w:val="0"/>
                <w:color w:val="000000"/>
                <w:kern w:val="0"/>
                <w:sz w:val="24"/>
                <w:szCs w:val="24"/>
              </w:rPr>
              <w:t>1.</w:t>
            </w:r>
            <w:r>
              <w:rPr>
                <w:rFonts w:ascii="Times New Roman" w:hAnsi="Times New Roman"/>
                <w:b w:val="0"/>
                <w:color w:val="000000"/>
                <w:kern w:val="0"/>
                <w:sz w:val="24"/>
                <w:szCs w:val="24"/>
              </w:rPr>
              <w:t>道路、桥梁、管线等主体施工；2.交通、照明、绿化等附属施工。</w:t>
            </w:r>
          </w:p>
        </w:tc>
        <w:tc>
          <w:tcPr>
            <w:tcW w:w="1193" w:type="pct"/>
            <w:tcBorders>
              <w:top w:val="nil"/>
              <w:left w:val="nil"/>
              <w:bottom w:val="single" w:color="auto" w:sz="8" w:space="0"/>
              <w:right w:val="single" w:color="auto" w:sz="8" w:space="0"/>
            </w:tcBorders>
            <w:shd w:val="clear" w:color="auto" w:fill="auto"/>
            <w:vAlign w:val="center"/>
          </w:tcPr>
          <w:p>
            <w:pPr>
              <w:widowControl/>
              <w:tabs>
                <w:tab w:val="left" w:pos="312"/>
              </w:tabs>
              <w:jc w:val="left"/>
              <w:rPr>
                <w:rFonts w:ascii="Times New Roman" w:hAnsi="Times New Roman"/>
                <w:b w:val="0"/>
                <w:color w:val="000000"/>
                <w:kern w:val="0"/>
                <w:sz w:val="24"/>
                <w:szCs w:val="24"/>
              </w:rPr>
            </w:pPr>
            <w:r>
              <w:rPr>
                <w:rFonts w:hint="eastAsia" w:ascii="Times New Roman" w:hAnsi="Times New Roman"/>
                <w:b w:val="0"/>
                <w:color w:val="000000"/>
                <w:kern w:val="0"/>
                <w:sz w:val="24"/>
                <w:szCs w:val="24"/>
              </w:rPr>
              <w:t>1.</w:t>
            </w:r>
            <w:r>
              <w:rPr>
                <w:rFonts w:ascii="Times New Roman" w:hAnsi="Times New Roman"/>
                <w:b w:val="0"/>
                <w:color w:val="000000"/>
                <w:kern w:val="0"/>
                <w:sz w:val="24"/>
                <w:szCs w:val="24"/>
              </w:rPr>
              <w:t>交通、照明、绿化等附属施工；2.竣工验收等。</w:t>
            </w:r>
          </w:p>
        </w:tc>
        <w:tc>
          <w:tcPr>
            <w:tcW w:w="623" w:type="pct"/>
            <w:tcBorders>
              <w:top w:val="nil"/>
              <w:left w:val="nil"/>
              <w:bottom w:val="single" w:color="auto" w:sz="8" w:space="0"/>
              <w:right w:val="single" w:color="auto" w:sz="8" w:space="0"/>
            </w:tcBorders>
            <w:shd w:val="clear" w:color="auto" w:fill="auto"/>
            <w:vAlign w:val="center"/>
          </w:tcPr>
          <w:p>
            <w:pPr>
              <w:widowControl/>
              <w:jc w:val="center"/>
              <w:rPr>
                <w:rFonts w:ascii="Times New Roman" w:hAnsi="Times New Roman"/>
                <w:b w:val="0"/>
                <w:color w:val="000000"/>
                <w:kern w:val="0"/>
                <w:sz w:val="24"/>
                <w:szCs w:val="24"/>
              </w:rPr>
            </w:pPr>
          </w:p>
        </w:tc>
      </w:tr>
      <w:tr>
        <w:tblPrEx>
          <w:tblCellMar>
            <w:top w:w="0" w:type="dxa"/>
            <w:left w:w="108" w:type="dxa"/>
            <w:bottom w:w="0" w:type="dxa"/>
            <w:right w:w="108" w:type="dxa"/>
          </w:tblCellMar>
        </w:tblPrEx>
        <w:trPr>
          <w:trHeight w:val="702" w:hRule="atLeast"/>
        </w:trPr>
        <w:tc>
          <w:tcPr>
            <w:tcW w:w="945" w:type="pct"/>
            <w:tcBorders>
              <w:top w:val="nil"/>
              <w:left w:val="single" w:color="auto" w:sz="8" w:space="0"/>
              <w:bottom w:val="single" w:color="auto" w:sz="8" w:space="0"/>
              <w:right w:val="single" w:color="auto" w:sz="8" w:space="0"/>
            </w:tcBorders>
            <w:shd w:val="clear" w:color="auto" w:fill="auto"/>
            <w:vAlign w:val="center"/>
          </w:tcPr>
          <w:p>
            <w:pPr>
              <w:widowControl/>
              <w:jc w:val="center"/>
              <w:rPr>
                <w:rFonts w:ascii="Times New Roman" w:hAnsi="Times New Roman"/>
                <w:b w:val="0"/>
                <w:color w:val="000000"/>
                <w:kern w:val="0"/>
                <w:sz w:val="24"/>
                <w:szCs w:val="24"/>
              </w:rPr>
            </w:pPr>
            <w:r>
              <w:rPr>
                <w:rFonts w:ascii="Times New Roman" w:hAnsi="Times New Roman"/>
                <w:b w:val="0"/>
                <w:color w:val="000000"/>
                <w:kern w:val="0"/>
                <w:sz w:val="24"/>
                <w:szCs w:val="24"/>
              </w:rPr>
              <w:t>年度投入资金额（万元）</w:t>
            </w:r>
          </w:p>
        </w:tc>
        <w:tc>
          <w:tcPr>
            <w:tcW w:w="1253" w:type="pct"/>
            <w:tcBorders>
              <w:top w:val="nil"/>
              <w:left w:val="nil"/>
              <w:bottom w:val="single" w:color="auto" w:sz="8" w:space="0"/>
              <w:right w:val="single" w:color="auto" w:sz="8" w:space="0"/>
            </w:tcBorders>
            <w:shd w:val="clear" w:color="auto" w:fill="auto"/>
            <w:vAlign w:val="center"/>
          </w:tcPr>
          <w:p>
            <w:pPr>
              <w:widowControl/>
              <w:jc w:val="center"/>
              <w:rPr>
                <w:rFonts w:ascii="Times New Roman" w:hAnsi="Times New Roman"/>
                <w:b w:val="0"/>
                <w:color w:val="auto"/>
                <w:kern w:val="0"/>
                <w:sz w:val="24"/>
                <w:szCs w:val="24"/>
                <w:highlight w:val="magenta"/>
              </w:rPr>
            </w:pPr>
            <w:r>
              <w:rPr>
                <w:rFonts w:ascii="Times New Roman" w:hAnsi="Times New Roman"/>
                <w:b w:val="0"/>
                <w:color w:val="auto"/>
                <w:kern w:val="0"/>
                <w:sz w:val="24"/>
                <w:szCs w:val="24"/>
                <w:highlight w:val="magenta"/>
              </w:rPr>
              <w:t>19925.95</w:t>
            </w:r>
          </w:p>
        </w:tc>
        <w:tc>
          <w:tcPr>
            <w:tcW w:w="984" w:type="pct"/>
            <w:tcBorders>
              <w:top w:val="nil"/>
              <w:left w:val="nil"/>
              <w:bottom w:val="single" w:color="auto" w:sz="8" w:space="0"/>
              <w:right w:val="single" w:color="auto" w:sz="8" w:space="0"/>
            </w:tcBorders>
            <w:shd w:val="clear" w:color="auto" w:fill="auto"/>
            <w:vAlign w:val="center"/>
          </w:tcPr>
          <w:p>
            <w:pPr>
              <w:widowControl/>
              <w:jc w:val="center"/>
              <w:rPr>
                <w:rFonts w:ascii="Times New Roman" w:hAnsi="Times New Roman"/>
                <w:b w:val="0"/>
                <w:color w:val="auto"/>
                <w:kern w:val="0"/>
                <w:sz w:val="24"/>
                <w:szCs w:val="24"/>
                <w:highlight w:val="magenta"/>
              </w:rPr>
            </w:pPr>
            <w:r>
              <w:rPr>
                <w:rFonts w:ascii="Times New Roman" w:hAnsi="Times New Roman"/>
                <w:b w:val="0"/>
                <w:color w:val="auto"/>
                <w:kern w:val="0"/>
                <w:sz w:val="24"/>
                <w:szCs w:val="24"/>
                <w:highlight w:val="magenta"/>
              </w:rPr>
              <w:t>69740.85</w:t>
            </w:r>
          </w:p>
        </w:tc>
        <w:tc>
          <w:tcPr>
            <w:tcW w:w="1193" w:type="pct"/>
            <w:tcBorders>
              <w:top w:val="nil"/>
              <w:left w:val="nil"/>
              <w:bottom w:val="single" w:color="auto" w:sz="8" w:space="0"/>
              <w:right w:val="single" w:color="auto" w:sz="8" w:space="0"/>
            </w:tcBorders>
            <w:shd w:val="clear" w:color="auto" w:fill="auto"/>
            <w:vAlign w:val="center"/>
          </w:tcPr>
          <w:p>
            <w:pPr>
              <w:widowControl/>
              <w:jc w:val="center"/>
              <w:rPr>
                <w:rFonts w:ascii="Times New Roman" w:hAnsi="Times New Roman"/>
                <w:b w:val="0"/>
                <w:color w:val="auto"/>
                <w:kern w:val="0"/>
                <w:sz w:val="24"/>
                <w:szCs w:val="24"/>
                <w:highlight w:val="magenta"/>
              </w:rPr>
            </w:pPr>
            <w:r>
              <w:rPr>
                <w:rFonts w:ascii="Times New Roman" w:hAnsi="Times New Roman"/>
                <w:b w:val="0"/>
                <w:color w:val="auto"/>
                <w:kern w:val="0"/>
                <w:sz w:val="24"/>
                <w:szCs w:val="24"/>
                <w:highlight w:val="magenta"/>
              </w:rPr>
              <w:t>9962.98</w:t>
            </w:r>
          </w:p>
        </w:tc>
        <w:tc>
          <w:tcPr>
            <w:tcW w:w="623" w:type="pct"/>
            <w:tcBorders>
              <w:top w:val="nil"/>
              <w:left w:val="nil"/>
              <w:bottom w:val="single" w:color="auto" w:sz="8" w:space="0"/>
              <w:right w:val="single" w:color="auto" w:sz="8" w:space="0"/>
            </w:tcBorders>
            <w:shd w:val="clear" w:color="auto" w:fill="auto"/>
            <w:vAlign w:val="center"/>
          </w:tcPr>
          <w:p>
            <w:pPr>
              <w:widowControl/>
              <w:jc w:val="center"/>
              <w:rPr>
                <w:rFonts w:ascii="Times New Roman" w:hAnsi="Times New Roman"/>
                <w:b w:val="0"/>
                <w:color w:val="auto"/>
                <w:kern w:val="0"/>
                <w:sz w:val="24"/>
                <w:szCs w:val="24"/>
                <w:highlight w:val="magenta"/>
              </w:rPr>
            </w:pPr>
            <w:r>
              <w:rPr>
                <w:rFonts w:ascii="Times New Roman" w:hAnsi="Times New Roman"/>
                <w:b w:val="0"/>
                <w:color w:val="auto"/>
                <w:kern w:val="0"/>
                <w:sz w:val="24"/>
                <w:szCs w:val="24"/>
                <w:highlight w:val="magenta"/>
              </w:rPr>
              <w:t>99629.78</w:t>
            </w:r>
          </w:p>
        </w:tc>
      </w:tr>
      <w:tr>
        <w:tblPrEx>
          <w:tblCellMar>
            <w:top w:w="0" w:type="dxa"/>
            <w:left w:w="108" w:type="dxa"/>
            <w:bottom w:w="0" w:type="dxa"/>
            <w:right w:w="108" w:type="dxa"/>
          </w:tblCellMar>
        </w:tblPrEx>
        <w:trPr>
          <w:trHeight w:val="702" w:hRule="atLeast"/>
        </w:trPr>
        <w:tc>
          <w:tcPr>
            <w:tcW w:w="945" w:type="pct"/>
            <w:tcBorders>
              <w:top w:val="nil"/>
              <w:left w:val="single" w:color="auto" w:sz="8" w:space="0"/>
              <w:bottom w:val="single" w:color="auto" w:sz="8" w:space="0"/>
              <w:right w:val="single" w:color="auto" w:sz="8" w:space="0"/>
            </w:tcBorders>
            <w:shd w:val="clear" w:color="auto" w:fill="auto"/>
            <w:vAlign w:val="center"/>
          </w:tcPr>
          <w:p>
            <w:pPr>
              <w:widowControl/>
              <w:jc w:val="center"/>
              <w:rPr>
                <w:rFonts w:ascii="Times New Roman" w:hAnsi="Times New Roman"/>
                <w:b w:val="0"/>
                <w:color w:val="000000"/>
                <w:kern w:val="0"/>
                <w:sz w:val="24"/>
                <w:szCs w:val="24"/>
              </w:rPr>
            </w:pPr>
            <w:r>
              <w:rPr>
                <w:rFonts w:ascii="Times New Roman" w:hAnsi="Times New Roman"/>
                <w:b w:val="0"/>
                <w:color w:val="000000"/>
                <w:kern w:val="0"/>
                <w:sz w:val="24"/>
                <w:szCs w:val="24"/>
              </w:rPr>
              <w:t>年度投入资金占建设投资额比例</w:t>
            </w:r>
          </w:p>
        </w:tc>
        <w:tc>
          <w:tcPr>
            <w:tcW w:w="1253" w:type="pct"/>
            <w:tcBorders>
              <w:top w:val="nil"/>
              <w:left w:val="nil"/>
              <w:bottom w:val="single" w:color="auto" w:sz="8" w:space="0"/>
              <w:right w:val="single" w:color="auto" w:sz="8" w:space="0"/>
            </w:tcBorders>
            <w:shd w:val="clear" w:color="auto" w:fill="auto"/>
            <w:vAlign w:val="center"/>
          </w:tcPr>
          <w:p>
            <w:pPr>
              <w:widowControl/>
              <w:jc w:val="center"/>
              <w:rPr>
                <w:rFonts w:ascii="Times New Roman" w:hAnsi="Times New Roman"/>
                <w:b w:val="0"/>
                <w:color w:val="000000"/>
                <w:kern w:val="0"/>
                <w:sz w:val="24"/>
                <w:szCs w:val="24"/>
              </w:rPr>
            </w:pPr>
            <w:r>
              <w:rPr>
                <w:rFonts w:ascii="Times New Roman" w:hAnsi="Times New Roman"/>
                <w:b w:val="0"/>
                <w:color w:val="000000"/>
                <w:kern w:val="0"/>
                <w:sz w:val="24"/>
                <w:szCs w:val="24"/>
              </w:rPr>
              <w:t>20.00%</w:t>
            </w:r>
          </w:p>
        </w:tc>
        <w:tc>
          <w:tcPr>
            <w:tcW w:w="984" w:type="pct"/>
            <w:tcBorders>
              <w:top w:val="nil"/>
              <w:left w:val="nil"/>
              <w:bottom w:val="single" w:color="auto" w:sz="8" w:space="0"/>
              <w:right w:val="single" w:color="auto" w:sz="8" w:space="0"/>
            </w:tcBorders>
            <w:shd w:val="clear" w:color="auto" w:fill="auto"/>
            <w:vAlign w:val="center"/>
          </w:tcPr>
          <w:p>
            <w:pPr>
              <w:widowControl/>
              <w:jc w:val="center"/>
              <w:rPr>
                <w:rFonts w:ascii="Times New Roman" w:hAnsi="Times New Roman"/>
                <w:b w:val="0"/>
                <w:color w:val="000000"/>
                <w:kern w:val="0"/>
                <w:sz w:val="24"/>
                <w:szCs w:val="24"/>
              </w:rPr>
            </w:pPr>
            <w:r>
              <w:rPr>
                <w:rFonts w:ascii="Times New Roman" w:hAnsi="Times New Roman"/>
                <w:b w:val="0"/>
                <w:color w:val="000000"/>
                <w:kern w:val="0"/>
                <w:sz w:val="24"/>
                <w:szCs w:val="24"/>
              </w:rPr>
              <w:t>70.00%</w:t>
            </w:r>
          </w:p>
        </w:tc>
        <w:tc>
          <w:tcPr>
            <w:tcW w:w="1193" w:type="pct"/>
            <w:tcBorders>
              <w:top w:val="nil"/>
              <w:left w:val="nil"/>
              <w:bottom w:val="single" w:color="auto" w:sz="8" w:space="0"/>
              <w:right w:val="single" w:color="auto" w:sz="8" w:space="0"/>
            </w:tcBorders>
            <w:shd w:val="clear" w:color="auto" w:fill="auto"/>
            <w:vAlign w:val="center"/>
          </w:tcPr>
          <w:p>
            <w:pPr>
              <w:widowControl/>
              <w:jc w:val="center"/>
              <w:rPr>
                <w:rFonts w:ascii="Times New Roman" w:hAnsi="Times New Roman"/>
                <w:b w:val="0"/>
                <w:color w:val="000000"/>
                <w:kern w:val="0"/>
                <w:sz w:val="24"/>
                <w:szCs w:val="24"/>
              </w:rPr>
            </w:pPr>
            <w:r>
              <w:rPr>
                <w:rFonts w:ascii="Times New Roman" w:hAnsi="Times New Roman"/>
                <w:b w:val="0"/>
                <w:color w:val="000000"/>
                <w:kern w:val="0"/>
                <w:sz w:val="24"/>
                <w:szCs w:val="24"/>
              </w:rPr>
              <w:t>10.00%</w:t>
            </w:r>
          </w:p>
        </w:tc>
        <w:tc>
          <w:tcPr>
            <w:tcW w:w="623" w:type="pct"/>
            <w:tcBorders>
              <w:top w:val="nil"/>
              <w:left w:val="nil"/>
              <w:bottom w:val="single" w:color="auto" w:sz="8" w:space="0"/>
              <w:right w:val="single" w:color="auto" w:sz="8" w:space="0"/>
            </w:tcBorders>
            <w:shd w:val="clear" w:color="auto" w:fill="auto"/>
            <w:noWrap/>
            <w:vAlign w:val="center"/>
          </w:tcPr>
          <w:p>
            <w:pPr>
              <w:widowControl/>
              <w:jc w:val="center"/>
              <w:rPr>
                <w:rFonts w:ascii="Times New Roman" w:hAnsi="Times New Roman"/>
                <w:b w:val="0"/>
                <w:color w:val="000000"/>
                <w:kern w:val="0"/>
                <w:sz w:val="24"/>
                <w:szCs w:val="24"/>
              </w:rPr>
            </w:pPr>
            <w:r>
              <w:rPr>
                <w:rFonts w:ascii="Times New Roman" w:hAnsi="Times New Roman"/>
                <w:b w:val="0"/>
                <w:color w:val="000000"/>
                <w:kern w:val="0"/>
                <w:sz w:val="24"/>
                <w:szCs w:val="24"/>
              </w:rPr>
              <w:t>100%</w:t>
            </w:r>
          </w:p>
        </w:tc>
      </w:tr>
    </w:tbl>
    <w:p>
      <w:pPr>
        <w:pStyle w:val="3"/>
        <w:ind w:firstLine="562" w:firstLineChars="200"/>
      </w:pPr>
      <w:bookmarkStart w:id="352" w:name="_Toc139635520"/>
      <w:bookmarkStart w:id="353" w:name="_Toc14365"/>
      <w:r>
        <w:t>盈利能力分析</w:t>
      </w:r>
      <w:bookmarkEnd w:id="352"/>
      <w:bookmarkEnd w:id="353"/>
    </w:p>
    <w:p>
      <w:pPr>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本项目为政府直接投资的非经营性项目，项目资金支出分为前期建设费用、后期运营养护费用，本项目开源节流措施主要有：</w:t>
      </w:r>
    </w:p>
    <w:p>
      <w:pPr>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（1）前期设计阶段进行多方案比选，保证设计方案的经济合理。</w:t>
      </w:r>
    </w:p>
    <w:p>
      <w:pPr>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（2）各管线建设主体尽量统筹建设需求及进度，避免道路反复开挖。</w:t>
      </w:r>
    </w:p>
    <w:p>
      <w:pPr>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（3）严格落实各项施工质量监督措施，降低后期运营养护费用。</w:t>
      </w:r>
    </w:p>
    <w:p>
      <w:pPr>
        <w:ind w:firstLine="482" w:firstLineChars="200"/>
        <w:jc w:val="center"/>
        <w:rPr>
          <w:rFonts w:ascii="Times New Roman" w:hAnsi="Times New Roman"/>
          <w:color w:val="auto"/>
          <w:sz w:val="24"/>
          <w:szCs w:val="24"/>
        </w:rPr>
      </w:pPr>
    </w:p>
    <w:p>
      <w:pPr>
        <w:ind w:firstLine="482" w:firstLineChars="200"/>
        <w:jc w:val="center"/>
        <w:rPr>
          <w:rFonts w:ascii="Times New Roman" w:hAnsi="Times New Roman"/>
          <w:color w:val="auto"/>
          <w:sz w:val="24"/>
          <w:szCs w:val="24"/>
        </w:rPr>
      </w:pPr>
    </w:p>
    <w:p>
      <w:pPr>
        <w:ind w:firstLine="482" w:firstLineChars="200"/>
        <w:jc w:val="center"/>
        <w:rPr>
          <w:rFonts w:ascii="Times New Roman" w:hAnsi="Times New Roman"/>
          <w:color w:val="auto"/>
          <w:sz w:val="24"/>
          <w:szCs w:val="24"/>
        </w:rPr>
      </w:pPr>
      <w:r>
        <w:rPr>
          <w:rFonts w:ascii="Times New Roman" w:hAnsi="Times New Roman"/>
          <w:color w:val="auto"/>
          <w:sz w:val="24"/>
          <w:szCs w:val="24"/>
        </w:rPr>
        <w:t>资金平衡分析表</w:t>
      </w:r>
    </w:p>
    <w:tbl>
      <w:tblPr>
        <w:tblStyle w:val="32"/>
        <w:tblW w:w="48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0"/>
        <w:gridCol w:w="1080"/>
        <w:gridCol w:w="1080"/>
        <w:gridCol w:w="16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年份</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资金收入</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资金支出</w:t>
            </w:r>
          </w:p>
        </w:tc>
        <w:tc>
          <w:tcPr>
            <w:tcW w:w="160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资金收入来源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2023</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19926 </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19926 </w:t>
            </w:r>
          </w:p>
        </w:tc>
        <w:tc>
          <w:tcPr>
            <w:tcW w:w="160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城建资金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2024</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69741 </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69741 </w:t>
            </w:r>
          </w:p>
        </w:tc>
        <w:tc>
          <w:tcPr>
            <w:tcW w:w="160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城建资金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2025</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9963 </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9963 </w:t>
            </w:r>
          </w:p>
        </w:tc>
        <w:tc>
          <w:tcPr>
            <w:tcW w:w="160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城建资金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2025</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4560 </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4560 </w:t>
            </w:r>
          </w:p>
        </w:tc>
        <w:tc>
          <w:tcPr>
            <w:tcW w:w="160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财政资金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2026</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4697 </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4697 </w:t>
            </w:r>
          </w:p>
        </w:tc>
        <w:tc>
          <w:tcPr>
            <w:tcW w:w="160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财政资金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2027</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4838 </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4838 </w:t>
            </w:r>
          </w:p>
        </w:tc>
        <w:tc>
          <w:tcPr>
            <w:tcW w:w="160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财政资金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2028</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4983 </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4983 </w:t>
            </w:r>
          </w:p>
        </w:tc>
        <w:tc>
          <w:tcPr>
            <w:tcW w:w="160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财政资金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2029</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5133 </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5133 </w:t>
            </w:r>
          </w:p>
        </w:tc>
        <w:tc>
          <w:tcPr>
            <w:tcW w:w="160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财政资金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2030</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5287 </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5287 </w:t>
            </w:r>
          </w:p>
        </w:tc>
        <w:tc>
          <w:tcPr>
            <w:tcW w:w="160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财政资金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2031</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5445 </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5445 </w:t>
            </w:r>
          </w:p>
        </w:tc>
        <w:tc>
          <w:tcPr>
            <w:tcW w:w="160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财政资金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2032</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5609 </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5609 </w:t>
            </w:r>
          </w:p>
        </w:tc>
        <w:tc>
          <w:tcPr>
            <w:tcW w:w="160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财政资金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2033</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5777 </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5777 </w:t>
            </w:r>
          </w:p>
        </w:tc>
        <w:tc>
          <w:tcPr>
            <w:tcW w:w="160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财政资金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2034</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15071 </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15071 </w:t>
            </w:r>
          </w:p>
        </w:tc>
        <w:tc>
          <w:tcPr>
            <w:tcW w:w="160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财政资金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2035</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6129 </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6129 </w:t>
            </w:r>
          </w:p>
        </w:tc>
        <w:tc>
          <w:tcPr>
            <w:tcW w:w="160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财政资金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2036</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6313 </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6313 </w:t>
            </w:r>
          </w:p>
        </w:tc>
        <w:tc>
          <w:tcPr>
            <w:tcW w:w="160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财政资金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2037</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6502 </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6502 </w:t>
            </w:r>
          </w:p>
        </w:tc>
        <w:tc>
          <w:tcPr>
            <w:tcW w:w="160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财政资金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2038</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6697 </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6697 </w:t>
            </w:r>
          </w:p>
        </w:tc>
        <w:tc>
          <w:tcPr>
            <w:tcW w:w="160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财政资金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2039</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6898 </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6898 </w:t>
            </w:r>
          </w:p>
        </w:tc>
        <w:tc>
          <w:tcPr>
            <w:tcW w:w="160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财政资金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2040</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7105 </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7105 </w:t>
            </w:r>
          </w:p>
        </w:tc>
        <w:tc>
          <w:tcPr>
            <w:tcW w:w="160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财政资金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2041</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7318 </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7318 </w:t>
            </w:r>
          </w:p>
        </w:tc>
        <w:tc>
          <w:tcPr>
            <w:tcW w:w="160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财政资金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2042</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7538 </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7538 </w:t>
            </w:r>
          </w:p>
        </w:tc>
        <w:tc>
          <w:tcPr>
            <w:tcW w:w="160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财政资金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2043</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6697 </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6697 </w:t>
            </w:r>
          </w:p>
        </w:tc>
        <w:tc>
          <w:tcPr>
            <w:tcW w:w="160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财政资金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2044</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6898 </w:t>
            </w:r>
          </w:p>
        </w:tc>
        <w:tc>
          <w:tcPr>
            <w:tcW w:w="1080" w:type="dxa"/>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6898 </w:t>
            </w:r>
          </w:p>
        </w:tc>
        <w:tc>
          <w:tcPr>
            <w:tcW w:w="1600" w:type="dxa"/>
            <w:shd w:val="clear" w:color="auto" w:fill="auto"/>
            <w:noWrap/>
            <w:vAlign w:val="center"/>
          </w:tcPr>
          <w:p>
            <w:pPr>
              <w:widowControl/>
              <w:jc w:val="center"/>
              <w:rPr>
                <w:rFonts w:cs="宋体"/>
                <w:b w:val="0"/>
                <w:color w:val="auto"/>
                <w:kern w:val="0"/>
                <w:sz w:val="20"/>
                <w:szCs w:val="20"/>
              </w:rPr>
            </w:pPr>
            <w:r>
              <w:rPr>
                <w:rFonts w:hint="eastAsia" w:cs="宋体"/>
                <w:b w:val="0"/>
                <w:color w:val="auto"/>
                <w:kern w:val="0"/>
                <w:sz w:val="20"/>
                <w:szCs w:val="20"/>
                <w:highlight w:val="magenta"/>
              </w:rPr>
              <w:t>财政资金</w:t>
            </w:r>
          </w:p>
        </w:tc>
      </w:tr>
    </w:tbl>
    <w:p>
      <w:pPr>
        <w:ind w:firstLine="482" w:firstLineChars="200"/>
        <w:jc w:val="center"/>
        <w:rPr>
          <w:rFonts w:ascii="Times New Roman" w:hAnsi="Times New Roman"/>
          <w:color w:val="auto"/>
          <w:sz w:val="24"/>
          <w:szCs w:val="24"/>
        </w:rPr>
      </w:pPr>
    </w:p>
    <w:p>
      <w:pPr>
        <w:pStyle w:val="3"/>
        <w:ind w:firstLine="562" w:firstLineChars="200"/>
      </w:pPr>
      <w:bookmarkStart w:id="354" w:name="_Toc139635521"/>
      <w:bookmarkStart w:id="355" w:name="_Toc9622"/>
      <w:r>
        <w:t>债务清偿能力分析</w:t>
      </w:r>
      <w:bookmarkEnd w:id="354"/>
      <w:bookmarkEnd w:id="355"/>
    </w:p>
    <w:p>
      <w:pPr>
        <w:spacing w:line="288"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highlight w:val="cyan"/>
        </w:rPr>
        <w:t>本</w:t>
      </w:r>
      <w:r>
        <w:rPr>
          <w:rFonts w:hint="eastAsia" w:ascii="Times New Roman" w:hAnsi="Times New Roman"/>
          <w:b w:val="0"/>
          <w:color w:val="auto"/>
          <w:sz w:val="24"/>
          <w:szCs w:val="24"/>
          <w:highlight w:val="cyan"/>
        </w:rPr>
        <w:t>项目土地受让人按照“土地出让+项目配建”模式承担南沙全民文化体育综合体项目建设任务，按照配建抵减的土地出让收入金额筹集资金保障项目建设。</w:t>
      </w:r>
      <w:r>
        <w:rPr>
          <w:rFonts w:ascii="Times New Roman" w:hAnsi="Times New Roman"/>
          <w:b w:val="0"/>
          <w:color w:val="auto"/>
          <w:sz w:val="24"/>
          <w:szCs w:val="24"/>
        </w:rPr>
        <w:t>无需开展债务清偿能力分析。</w:t>
      </w:r>
    </w:p>
    <w:p>
      <w:pPr>
        <w:pStyle w:val="3"/>
        <w:ind w:firstLine="562" w:firstLineChars="200"/>
      </w:pPr>
      <w:bookmarkStart w:id="356" w:name="_Toc139635522"/>
      <w:bookmarkStart w:id="357" w:name="_Toc5032"/>
      <w:r>
        <w:t>财务可持续性分析</w:t>
      </w:r>
      <w:bookmarkEnd w:id="356"/>
      <w:bookmarkEnd w:id="357"/>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项目为政府直接投资的非经营性项目，无现金流入，财务分析主要为现金流支出分析，故财务可持续性发展主要强调是对前期投资建设费用、后期运营养护费用的计划和控制。</w:t>
      </w:r>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要做好财务资金的投资控制，需要强化全过程投资控制，将投资控制贯穿于前期建设、后期维护的全过程当中。在建设的各阶段做好以下几项工作：</w:t>
      </w:r>
    </w:p>
    <w:p>
      <w:pPr>
        <w:pStyle w:val="4"/>
        <w:spacing w:line="300" w:lineRule="auto"/>
        <w:ind w:firstLine="482" w:firstLineChars="200"/>
      </w:pPr>
      <w:bookmarkStart w:id="358" w:name="_Toc139635523"/>
      <w:bookmarkStart w:id="359" w:name="_Toc137563927"/>
      <w:bookmarkStart w:id="360" w:name="_Toc4972"/>
      <w:r>
        <w:t>可行性研究阶段的投资控制</w:t>
      </w:r>
      <w:bookmarkEnd w:id="358"/>
      <w:bookmarkEnd w:id="359"/>
      <w:bookmarkEnd w:id="360"/>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(1)开展充分的前期现场调查，收集详细资料。</w:t>
      </w:r>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(2)设计方案反复比选与论证，确定最佳方案组合。</w:t>
      </w:r>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(3)方案设计深度基本达到初步设计深度。</w:t>
      </w:r>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(4)设计、造价紧密结合，造价投资体现设计意图。</w:t>
      </w:r>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(5)充分预估项目阶段存在的不确定因素。</w:t>
      </w:r>
    </w:p>
    <w:p>
      <w:pPr>
        <w:pStyle w:val="4"/>
        <w:spacing w:line="300" w:lineRule="auto"/>
        <w:ind w:firstLine="482" w:firstLineChars="200"/>
      </w:pPr>
      <w:bookmarkStart w:id="361" w:name="_Toc139635524"/>
      <w:bookmarkStart w:id="362" w:name="_Toc137563928"/>
      <w:bookmarkStart w:id="363" w:name="_Toc11745"/>
      <w:r>
        <w:t>设计阶段的投资控制</w:t>
      </w:r>
      <w:bookmarkEnd w:id="361"/>
      <w:bookmarkEnd w:id="362"/>
      <w:bookmarkEnd w:id="363"/>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1、优化设计方案</w:t>
      </w:r>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项目可研因受编制及审核时间短、项目现场调查资料不够详实等因素影响，存在一些总体方案、局部节点或专业技术方案研究深度不足的问题。在初步设计阶段，需遵循项目近期与远期要求、兼顾项目建造与使用成本、平衡技术先进性及经济合理性等原则，对多种设计方案进行比较与筛选，采用价值工程的原理，从工程总平面布置到最后各专业设计，均优选出最佳可实施方案。</w:t>
      </w:r>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2、强化设计评审制度</w:t>
      </w:r>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设计评审是在设计阶段，业主加强对工程建设项目管理的重要控制环节。通过特聘专业技术经验丰富的专家，按照清晰的设计评审流程，在规定的设计评审时限和评审模式下，对设计方案从技术、经济等角度给出专业、具体的优化及修改意见。</w:t>
      </w:r>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3、推行限额设计</w:t>
      </w:r>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限额设计是控制工程造价的主要手段，各专业在满足使用功能的前提下，按分配的投资限额控制设计，以控制工程量、不合理变更，保证总投资额不突破。设计人员要有造价意识，遵循科学、合理、客观的态度，使限额设计落到实处。</w:t>
      </w:r>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4、重视设计概、预算审查</w:t>
      </w:r>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设计概算的审查为建设项目的投资落实提供可靠的依据。通过对概算的编制依据、单位工程概算、综合概算、总概算进行逐级审查及技术经济指标分析，找出概算中存在的问题并及时调整，形成经批复的概算，作为施工图预算控制的依据。</w:t>
      </w:r>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施工图预算审核过程中，为克服和防止预算超概算，可将审查重点放在工程量计算、预算单价套用、主材设备价格选取、费用标准是否符合现行规定等方面。在审查工作完成后，就审查结果与编制单位进行沟通协商，统一意见后进行相应修改，并对所有审查资料和成果进行整理及归档。</w:t>
      </w:r>
    </w:p>
    <w:p>
      <w:pPr>
        <w:pStyle w:val="4"/>
        <w:spacing w:line="300" w:lineRule="auto"/>
        <w:ind w:firstLine="482" w:firstLineChars="200"/>
      </w:pPr>
      <w:bookmarkStart w:id="364" w:name="_Toc139635525"/>
      <w:bookmarkStart w:id="365" w:name="_Toc137563929"/>
      <w:bookmarkStart w:id="366" w:name="_Toc27182"/>
      <w:r>
        <w:t>招投标阶段的投资控制</w:t>
      </w:r>
      <w:bookmarkEnd w:id="364"/>
      <w:bookmarkEnd w:id="365"/>
      <w:bookmarkEnd w:id="366"/>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工程施工招标过程中，采用经验丰富的造价咨询机构负责编制招标控制价和工程量清单。造价咨询机构除编制造价文件外，并针对招标</w:t>
      </w:r>
      <w:r>
        <w:rPr>
          <w:rFonts w:hint="eastAsia" w:ascii="Times New Roman" w:hAnsi="Times New Roman"/>
          <w:b w:val="0"/>
          <w:color w:val="auto"/>
          <w:sz w:val="24"/>
          <w:szCs w:val="24"/>
        </w:rPr>
        <w:t>文件</w:t>
      </w:r>
      <w:r>
        <w:rPr>
          <w:rFonts w:ascii="Times New Roman" w:hAnsi="Times New Roman"/>
          <w:b w:val="0"/>
          <w:color w:val="auto"/>
          <w:sz w:val="24"/>
          <w:szCs w:val="24"/>
        </w:rPr>
        <w:t>、评标办法等涉及到有关造价方面内容提出合理意见或建议。协助建设单位签订合理有效、能控制投资的施工合同。</w:t>
      </w:r>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工程招标和合同签订过程中，确定合同金额、合同风险分担、设计变更、价格调整、索赔等条款是极为重要的内容。造价咨询单位需要具备工程招标和合同约定等方面专业技巧和经验，根据工程的特点提供合理的建议与意见。</w:t>
      </w:r>
    </w:p>
    <w:p>
      <w:pPr>
        <w:pStyle w:val="4"/>
        <w:spacing w:line="300" w:lineRule="auto"/>
        <w:ind w:firstLine="482" w:firstLineChars="200"/>
      </w:pPr>
      <w:bookmarkStart w:id="367" w:name="_Toc137563930"/>
      <w:bookmarkStart w:id="368" w:name="_Toc139635526"/>
      <w:bookmarkStart w:id="369" w:name="_Toc18294"/>
      <w:r>
        <w:t>施工阶段的投资控制</w:t>
      </w:r>
      <w:bookmarkEnd w:id="367"/>
      <w:bookmarkEnd w:id="368"/>
      <w:bookmarkEnd w:id="369"/>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施工阶段是项目实施中所占有效时间最长的部分，普遍认为工程施工阶段对工程造价的影响比重一般不超过20%，但此阶段的造价工作量却很繁重。主要包含两个方面：一是建设方的造价控制，二是施工方的造价控制。建设方作为五方责任主体之一，履行对工程进度、质量、造价控制，对施工合同管理的职责。为有效控制造价需做好以下几项工作：</w:t>
      </w:r>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1、严格审查施工组织设计或施工方案，对于基坑支护、高支模、水中桥梁措施等专项施工方案，需严格控制专项措施费。</w:t>
      </w:r>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2、严格控制设计变更，严格审签经济技术签证，签证内容需客观真实并精准量化。</w:t>
      </w:r>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3、严格审查基础等隐蔽部位的隐蔽记录资料，及时完善签字手续。</w:t>
      </w:r>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4、对合同约定认质认价的材料及设备，必须按合同约定程序、方法及时做好认质认价。</w:t>
      </w:r>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5、严格审签工程形象进度，为竣工结算阶段材料价格及人工费调整提供依据，严格进度款的支付。</w:t>
      </w:r>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6、按工程量清单计价规范的规定，及时处理索赔，尽量避免反索赔。</w:t>
      </w:r>
    </w:p>
    <w:p>
      <w:pPr>
        <w:pStyle w:val="4"/>
        <w:spacing w:line="300" w:lineRule="auto"/>
        <w:ind w:firstLine="482" w:firstLineChars="200"/>
      </w:pPr>
      <w:bookmarkStart w:id="370" w:name="_Toc139635527"/>
      <w:bookmarkStart w:id="371" w:name="_Toc137563931"/>
      <w:bookmarkStart w:id="372" w:name="_Toc6535"/>
      <w:r>
        <w:t>竣工阶段的投资控制</w:t>
      </w:r>
      <w:bookmarkEnd w:id="370"/>
      <w:bookmarkEnd w:id="371"/>
      <w:bookmarkEnd w:id="372"/>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竣工结算是一项集技术与经济为一体的工作，同时也是多部门相互配合、集体力量出成果性文件的阶段，最终要完成建设单位和施工单位之间的合同关系和明确经济责任。竣工结算是工程造价合理确定的重要依据，无论是施工单位还是建设单位都必须十分重视工程价款的审核结算。竣工结算审核是控制投资的最后一个环节，故要求造价人员必须认真、仔细，并与工程各有关部门紧密配合。在结算审核完成后，做好数据资料的积累、分析和整理归类，为开展项目后评价及后续项目建设提供依据有效的造价依据。</w:t>
      </w:r>
    </w:p>
    <w:p>
      <w:pPr>
        <w:pStyle w:val="4"/>
        <w:spacing w:line="300" w:lineRule="auto"/>
        <w:ind w:firstLine="482" w:firstLineChars="200"/>
      </w:pPr>
      <w:bookmarkStart w:id="373" w:name="_Toc137563932"/>
      <w:bookmarkStart w:id="374" w:name="_Toc139635528"/>
      <w:bookmarkStart w:id="375" w:name="_Toc17484"/>
      <w:r>
        <w:t>运营期的养护费用控制</w:t>
      </w:r>
      <w:bookmarkEnd w:id="373"/>
      <w:bookmarkEnd w:id="374"/>
      <w:bookmarkEnd w:id="375"/>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1、设置合理的交通标施设施，减少不安全行驶造成的损坏。</w:t>
      </w:r>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2、设置合理的小修期限，减少大修数量及费用。</w:t>
      </w:r>
    </w:p>
    <w:p>
      <w:pPr>
        <w:spacing w:line="300"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3、控制小修成本，节约维修费用。</w:t>
      </w:r>
    </w:p>
    <w:p>
      <w:pPr>
        <w:spacing w:line="300" w:lineRule="auto"/>
        <w:ind w:firstLine="480" w:firstLineChars="200"/>
        <w:jc w:val="left"/>
        <w:rPr>
          <w:rFonts w:ascii="Times New Roman" w:hAnsi="Times New Roman"/>
          <w:b w:val="0"/>
          <w:color w:val="auto"/>
          <w:sz w:val="24"/>
          <w:szCs w:val="24"/>
        </w:rPr>
        <w:sectPr>
          <w:type w:val="continuous"/>
          <w:pgSz w:w="23814" w:h="16840" w:orient="landscape"/>
          <w:pgMar w:top="1701" w:right="1440" w:bottom="1106" w:left="1814" w:header="851" w:footer="283" w:gutter="0"/>
          <w:cols w:space="1028" w:num="2"/>
          <w:docGrid w:type="lines" w:linePitch="382" w:charSpace="0"/>
        </w:sectPr>
      </w:pPr>
    </w:p>
    <w:p>
      <w:pPr>
        <w:pStyle w:val="2"/>
        <w:keepNext/>
        <w:keepLines/>
        <w:numPr>
          <w:ilvl w:val="0"/>
          <w:numId w:val="2"/>
        </w:numPr>
        <w:spacing w:before="191" w:beforeLines="0" w:after="191" w:afterLines="0" w:line="360" w:lineRule="auto"/>
        <w:ind w:firstLine="643" w:firstLineChars="200"/>
        <w:jc w:val="center"/>
        <w:rPr>
          <w:rFonts w:ascii="Times New Roman" w:hAnsi="Times New Roman"/>
          <w:color w:val="auto"/>
        </w:rPr>
      </w:pPr>
      <w:bookmarkStart w:id="376" w:name="_Toc1284"/>
      <w:r>
        <w:rPr>
          <w:rFonts w:ascii="Times New Roman" w:hAnsi="Times New Roman"/>
          <w:color w:val="auto"/>
        </w:rPr>
        <w:t>项目影响效果分析</w:t>
      </w:r>
      <w:bookmarkEnd w:id="376"/>
    </w:p>
    <w:p>
      <w:pPr>
        <w:pStyle w:val="3"/>
        <w:ind w:firstLine="562" w:firstLineChars="200"/>
      </w:pPr>
      <w:bookmarkStart w:id="377" w:name="_Toc139635530"/>
      <w:bookmarkStart w:id="378" w:name="_Toc21494"/>
      <w:bookmarkStart w:id="379" w:name="_Toc139635535"/>
      <w:r>
        <w:t>经济影响分析</w:t>
      </w:r>
      <w:bookmarkEnd w:id="377"/>
      <w:bookmarkEnd w:id="378"/>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道路建设项目的经济评价是根据国民经济发展规划和有关技术经济政策的要求，结合交通流量预测和工程技术研究情况，比较项目的建设费用和效益，对项目的经济合理性进行分析，作出评价，为项目的决策提供科学依据。</w:t>
      </w:r>
    </w:p>
    <w:p>
      <w:pPr>
        <w:spacing w:line="288" w:lineRule="auto"/>
        <w:ind w:firstLine="480" w:firstLineChars="200"/>
        <w:jc w:val="left"/>
        <w:rPr>
          <w:rFonts w:ascii="Times New Roman" w:hAnsi="Times New Roman"/>
          <w:b w:val="0"/>
          <w:color w:val="auto"/>
          <w:sz w:val="24"/>
          <w:szCs w:val="24"/>
        </w:rPr>
      </w:pPr>
      <w:r>
        <w:rPr>
          <w:rFonts w:ascii="Times New Roman" w:hAnsi="Times New Roman"/>
          <w:b w:val="0"/>
          <w:color w:val="auto"/>
          <w:sz w:val="24"/>
          <w:szCs w:val="24"/>
        </w:rPr>
        <w:t>因本项目属于市政道路，</w:t>
      </w:r>
      <w:r>
        <w:rPr>
          <w:rFonts w:ascii="Times New Roman" w:hAnsi="Times New Roman"/>
          <w:b w:val="0"/>
          <w:color w:val="auto"/>
          <w:sz w:val="24"/>
          <w:szCs w:val="24"/>
          <w:highlight w:val="cyan"/>
        </w:rPr>
        <w:t>本</w:t>
      </w:r>
      <w:r>
        <w:rPr>
          <w:rFonts w:hint="eastAsia" w:ascii="Times New Roman" w:hAnsi="Times New Roman"/>
          <w:b w:val="0"/>
          <w:color w:val="auto"/>
          <w:sz w:val="24"/>
          <w:szCs w:val="24"/>
          <w:highlight w:val="cyan"/>
        </w:rPr>
        <w:t>项目土地受让人按照“土地出让+项目配建”模式承担南沙全民文化体育综合体项目建设任务，按照配建抵减的土地出让收入金额筹集资金保障项目建设</w:t>
      </w:r>
      <w:r>
        <w:rPr>
          <w:rFonts w:ascii="Times New Roman" w:hAnsi="Times New Roman"/>
          <w:b w:val="0"/>
          <w:color w:val="auto"/>
          <w:sz w:val="24"/>
          <w:szCs w:val="24"/>
        </w:rPr>
        <w:t>，不收取过路费用，故该项目属于政府投资项目及公共项目，因此，该项目不做财务评价，只做国民经济评价。</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国民经济评价是在合理配置社会资源的前提下，从国家经济整体利益的角度出发，计算项目对国民经济的贡献，分析项目的经济效率、效果和对社会的影响，评价项目在宏观经济上的合理性。</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项目经济效益和费用的识别应符合下列要求：</w:t>
      </w:r>
    </w:p>
    <w:p>
      <w:pPr>
        <w:numPr>
          <w:ilvl w:val="0"/>
          <w:numId w:val="45"/>
        </w:num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遵循有无对比的原则；</w:t>
      </w:r>
    </w:p>
    <w:p>
      <w:pPr>
        <w:numPr>
          <w:ilvl w:val="0"/>
          <w:numId w:val="45"/>
        </w:num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对项目所涉及的所有成员及群体的费用和效益做全面的分析；</w:t>
      </w:r>
    </w:p>
    <w:p>
      <w:pPr>
        <w:numPr>
          <w:ilvl w:val="0"/>
          <w:numId w:val="45"/>
        </w:num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正确识别正面和负面外部效果，防止误算、漏算或重复计算；</w:t>
      </w:r>
    </w:p>
    <w:p>
      <w:pPr>
        <w:numPr>
          <w:ilvl w:val="0"/>
          <w:numId w:val="45"/>
        </w:num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合理确定效益和费用的空间范围和空间跨度；</w:t>
      </w:r>
    </w:p>
    <w:p>
      <w:pPr>
        <w:numPr>
          <w:ilvl w:val="0"/>
          <w:numId w:val="45"/>
        </w:num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正确识别和调整转移支付，根据不同情况区别对待。</w:t>
      </w:r>
    </w:p>
    <w:p>
      <w:pPr>
        <w:pStyle w:val="4"/>
        <w:spacing w:line="300" w:lineRule="auto"/>
        <w:ind w:firstLine="482" w:firstLineChars="200"/>
      </w:pPr>
      <w:bookmarkStart w:id="380" w:name="_Toc485650423"/>
      <w:bookmarkStart w:id="381" w:name="_Toc484103098"/>
      <w:bookmarkStart w:id="382" w:name="_Toc493381246"/>
      <w:bookmarkStart w:id="383" w:name="_Toc139635531"/>
      <w:bookmarkStart w:id="384" w:name="_Toc7224"/>
      <w:bookmarkStart w:id="385" w:name="_Toc426361983"/>
      <w:bookmarkStart w:id="386" w:name="_Toc41842784"/>
      <w:bookmarkStart w:id="387" w:name="_Toc485555620"/>
      <w:bookmarkStart w:id="388" w:name="_Toc441217303"/>
      <w:bookmarkStart w:id="389" w:name="_Toc486499509"/>
      <w:bookmarkStart w:id="390" w:name="_Toc486257929"/>
      <w:bookmarkStart w:id="391" w:name="_Toc30529"/>
      <w:r>
        <w:t>评价依据和方法</w:t>
      </w:r>
      <w:bookmarkEnd w:id="380"/>
      <w:bookmarkEnd w:id="381"/>
      <w:bookmarkEnd w:id="382"/>
      <w:bookmarkEnd w:id="383"/>
      <w:bookmarkEnd w:id="384"/>
      <w:bookmarkEnd w:id="385"/>
      <w:bookmarkEnd w:id="386"/>
      <w:bookmarkEnd w:id="387"/>
      <w:bookmarkEnd w:id="388"/>
      <w:bookmarkEnd w:id="389"/>
      <w:bookmarkEnd w:id="390"/>
      <w:bookmarkEnd w:id="391"/>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（1）国家发展改革委、建设部联合发布的《建设项目经济评价方法与参数》（第三版）（发改投资[2006]1325号）；</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（2）国家住房和城乡建设部、交通运输部关于批准发布《公路建设项目经济评价方法》的通知（建标[2010]106号）；</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（3）国家交通运输部关于印发《公路建设项目可行性研究报告编制办法》的通知（交规划发[2010]178号）。</w:t>
      </w:r>
    </w:p>
    <w:p>
      <w:pPr>
        <w:pStyle w:val="4"/>
        <w:spacing w:line="300" w:lineRule="auto"/>
        <w:ind w:firstLine="482" w:firstLineChars="200"/>
      </w:pPr>
      <w:bookmarkStart w:id="392" w:name="_Toc131105770"/>
      <w:bookmarkStart w:id="393" w:name="_Toc101988171"/>
      <w:bookmarkStart w:id="394" w:name="_Toc113203789"/>
      <w:bookmarkStart w:id="395" w:name="_Toc77262793"/>
      <w:bookmarkStart w:id="396" w:name="_Toc56717034"/>
      <w:bookmarkStart w:id="397" w:name="_Toc21164"/>
      <w:r>
        <w:t>评价方案设定</w:t>
      </w:r>
      <w:bookmarkEnd w:id="392"/>
      <w:bookmarkEnd w:id="393"/>
      <w:bookmarkEnd w:id="394"/>
      <w:bookmarkEnd w:id="395"/>
      <w:bookmarkEnd w:id="396"/>
      <w:bookmarkEnd w:id="397"/>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根据《建设项目经济评价方法和参数》中第七章规定，交通运输项目的经济评价以国民经济评价为主。考虑到本项目是公益性项目，即不考虑项目在财务方面产生现金流，不作财务评价。市政公用设施项目的经济效益表现为促进城镇社会经济发展，合理利用自然资源，减少环境污染损失，以及提高人民群众生活水平和生活质量。因此本项目将以国民经济评价结果为主、土地增值效益评价为辅分析评价项目的经济效益，决定项目的取舍。</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拟建项目经济费用效益分析采用“有此项目”和“无此项目”对比的方法(简称“有无对比法”)，从资源配置合理的角度分析项目投资的经济效率和对社会福利所作出的贡献。“有此项目”是指所研究的路网在项目实施后将要发生的情况；“无此项目”是指不实施拟建项目，现有公路运输系统在评价期内将要发生的情况。具体的计算方法为：计算有此项目时，拟建的项目在实施后将要发生的所有费用，与无此项目时，不实施拟建项目而又要满足公路需求所发生的最小费用之差，即为实施拟建项目的效益。然后通过计算经济评价指标反映项目的经济可行性。</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按《公路建设项目经济评价办法》规定，经济评价年限为建设年限加使用年限。本项目建设期为3年，使用期为20年。自2025年投入使用，</w:t>
      </w:r>
      <w:r>
        <w:rPr>
          <w:rFonts w:hint="eastAsia" w:ascii="Times New Roman" w:hAnsi="Times New Roman"/>
          <w:b w:val="0"/>
          <w:color w:val="auto"/>
          <w:sz w:val="24"/>
          <w:szCs w:val="24"/>
        </w:rPr>
        <w:t>评价截止</w:t>
      </w:r>
      <w:r>
        <w:rPr>
          <w:rFonts w:ascii="Times New Roman" w:hAnsi="Times New Roman"/>
          <w:b w:val="0"/>
          <w:color w:val="auto"/>
          <w:sz w:val="24"/>
          <w:szCs w:val="24"/>
        </w:rPr>
        <w:t>年限为2044年。</w:t>
      </w:r>
    </w:p>
    <w:p>
      <w:pPr>
        <w:pStyle w:val="4"/>
        <w:spacing w:line="300" w:lineRule="auto"/>
        <w:ind w:firstLine="482" w:firstLineChars="200"/>
      </w:pPr>
      <w:bookmarkStart w:id="398" w:name="_Toc56717035"/>
      <w:bookmarkStart w:id="399" w:name="_Toc113203790"/>
      <w:bookmarkStart w:id="400" w:name="_Toc77262794"/>
      <w:bookmarkStart w:id="401" w:name="_Toc101988172"/>
      <w:bookmarkStart w:id="402" w:name="_Toc131105771"/>
      <w:bookmarkStart w:id="403" w:name="_Toc20345"/>
      <w:r>
        <w:t>经济费用效益分析</w:t>
      </w:r>
      <w:bookmarkEnd w:id="398"/>
      <w:bookmarkEnd w:id="399"/>
      <w:bookmarkEnd w:id="400"/>
      <w:bookmarkEnd w:id="401"/>
      <w:bookmarkEnd w:id="402"/>
      <w:bookmarkEnd w:id="403"/>
    </w:p>
    <w:p>
      <w:pPr>
        <w:pStyle w:val="5"/>
        <w:ind w:firstLine="482" w:firstLineChars="200"/>
        <w:rPr>
          <w:rFonts w:ascii="Times New Roman" w:hAnsi="Times New Roman"/>
        </w:rPr>
      </w:pPr>
      <w:r>
        <w:rPr>
          <w:rFonts w:ascii="Times New Roman" w:hAnsi="Times New Roman"/>
        </w:rPr>
        <w:t>参数选择与确定</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参照《建设项目经济评价方法与参数》(第三版)和《公路建设项目经济评价办法》，确定有关参数如下：</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1、社会折现率(i)</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社会折现率表示从国家角度对资金机会成本和资金时间价值的估量,是项目国民经济评价的重要通用参数。依据国家发展改革委和建设部最新发布的《建设项目经济评价方法与参数》(第三版)，拟建项目社会折现率取值8%。</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2、影子汇率(SER)</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影子汇率即外汇的影子价格，反映外汇对国家的真实价值，按下式计算：</w:t>
      </w:r>
    </w:p>
    <w:p>
      <w:pPr>
        <w:pStyle w:val="117"/>
        <w:spacing w:line="300" w:lineRule="auto"/>
        <w:ind w:firstLine="480"/>
        <w:rPr>
          <w:rFonts w:ascii="Times New Roman" w:hAnsi="Times New Roman"/>
          <w:b/>
        </w:rPr>
      </w:pPr>
      <w:r>
        <w:rPr>
          <w:rFonts w:ascii="Times New Roman" w:hAnsi="Times New Roman"/>
        </w:rPr>
        <w:t>SER=OER×CF1</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其中:</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OER—国家外汇牌价(买入卖出中间价)；</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CF1—影子汇率换算系数。</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CF1根据《建设项目经济评价方法与参数》取1.08。</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3、影子工资(SWR)</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影子工资可由下式计算：</w:t>
      </w:r>
    </w:p>
    <w:p>
      <w:pPr>
        <w:pStyle w:val="117"/>
        <w:spacing w:line="300" w:lineRule="auto"/>
        <w:ind w:firstLine="480"/>
        <w:rPr>
          <w:rFonts w:ascii="Times New Roman" w:hAnsi="Times New Roman"/>
          <w:b/>
        </w:rPr>
      </w:pPr>
      <w:r>
        <w:rPr>
          <w:rFonts w:ascii="Times New Roman" w:hAnsi="Times New Roman"/>
        </w:rPr>
        <w:t>SWR=MWR×CF2</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其中：</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MWR—财务评价中的工资；</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CF2—影子工资系数。</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影子工资系数与项目所使用地方劳动力的状况、结构及当地就业水平有关。根据拟建项目的工程特点，取影子工资系数为0.9。</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4、贸易费用率(SWCR)</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贸易费用是指各商贸部门花费在货物流通过程中以影子价格计算的费用(长途运输费用除外)。贸易费用率是贸易费用相对货物影子价格的综合比率，取6%。</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5、管理费及维修费</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年工程维修及管理费用按经济投资的1.05%计算，并且按每年递增3%计算，大修理费用在项目计算期第8年按经济投资的8%计算。</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6、残值</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拟建项目残值为工程建设费用的50%，以负值计入经济费用。</w:t>
      </w:r>
    </w:p>
    <w:p>
      <w:pPr>
        <w:pStyle w:val="5"/>
        <w:ind w:firstLine="482" w:firstLineChars="200"/>
        <w:rPr>
          <w:rFonts w:ascii="Times New Roman" w:hAnsi="Times New Roman"/>
        </w:rPr>
      </w:pPr>
      <w:r>
        <w:rPr>
          <w:rFonts w:ascii="Times New Roman" w:hAnsi="Times New Roman"/>
        </w:rPr>
        <w:t>经济费用调整</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拟建项目的建设投资经济费用是在投资估算费用的基础上调整确定的。在分析计算时，将建设费用中的主要材料费、人工费、土地占用费调整为影子费用，并扣除税金、建设期物价上涨费、国内银行贷款利息等项，其他投入物按实际财务费用考虑，不作调整。</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1、主要材料费用的调整</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拟建项目所使用的主要材料中，对国民经济其他部分的消费影响较大的主要有原木、锯材等，因此对这几宗材料的价格进行调整。其他材料的市场运行平稳，货物的价格由市场形成，价格可以近似反映其真实价值，因此其他主要建筑材料的影子价格取其市场价格。</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2、土地费用的调整</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土地是项目的特殊投入物。在国民经济评价中，土地影子费用(LSP)包括土地机会成本(LOC)和新增资源消耗费用(IC)，即：</w:t>
      </w:r>
    </w:p>
    <w:p>
      <w:pPr>
        <w:pStyle w:val="117"/>
        <w:spacing w:line="300" w:lineRule="auto"/>
        <w:ind w:firstLine="480"/>
        <w:rPr>
          <w:rFonts w:ascii="Times New Roman" w:hAnsi="Times New Roman"/>
          <w:b/>
        </w:rPr>
      </w:pPr>
      <w:r>
        <w:rPr>
          <w:rFonts w:ascii="Times New Roman" w:hAnsi="Times New Roman"/>
        </w:rPr>
        <w:t>LSP＝LOC＋IC</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LOC为按照拟建项目占用土地而使国民经济为此放弃的该土地“最好可行替代用途”的净效益测算：</w:t>
      </w:r>
    </w:p>
    <w:p>
      <w:pPr>
        <w:pStyle w:val="117"/>
        <w:spacing w:line="300" w:lineRule="auto"/>
        <w:ind w:firstLine="480"/>
        <w:rPr>
          <w:rFonts w:ascii="Times New Roman" w:hAnsi="Times New Roman"/>
          <w:b/>
        </w:rPr>
      </w:pPr>
      <w:r>
        <w:rPr>
          <w:rFonts w:ascii="Times New Roman" w:hAnsi="Times New Roman"/>
        </w:rPr>
        <w:t>LOC＝</w:t>
      </w:r>
      <w:r>
        <w:rPr>
          <w:rFonts w:ascii="Times New Roman" w:hAnsi="Times New Roman"/>
        </w:rPr>
        <w:object>
          <v:shape id="_x0000_i1047" o:spt="75" type="#_x0000_t75" style="height:36pt;width:122.25pt;" o:ole="t" filled="f" o:preferrelative="t" stroked="f" coordsize="21600,21600">
            <v:path/>
            <v:fill on="f" focussize="0,0"/>
            <v:stroke on="f" joinstyle="miter"/>
            <v:imagedata r:id="rId282" o:title=""/>
            <o:lock v:ext="edit" aspectratio="t"/>
            <w10:wrap type="none"/>
            <w10:anchorlock/>
          </v:shape>
          <o:OLEObject Type="Embed" ProgID="Equation.3" ShapeID="_x0000_i1047" DrawAspect="Content" ObjectID="_1468075747" r:id="rId281">
            <o:LockedField>false</o:LockedField>
          </o:OLEObject>
        </w:objec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其中：</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NB</w:t>
      </w:r>
      <w:r>
        <w:rPr>
          <w:rFonts w:ascii="Times New Roman" w:hAnsi="Times New Roman"/>
          <w:b w:val="0"/>
          <w:color w:val="auto"/>
          <w:sz w:val="24"/>
          <w:szCs w:val="24"/>
        </w:rPr>
        <w:object>
          <v:shape id="_x0000_i1048" o:spt="75" type="#_x0000_t75" style="height:14.25pt;width:7.5pt;" o:ole="t" filled="f" o:preferrelative="t" stroked="f" coordsize="21600,21600">
            <v:path/>
            <v:fill on="f" focussize="0,0"/>
            <v:stroke on="f" joinstyle="miter"/>
            <v:imagedata r:id="rId284" o:title=""/>
            <o:lock v:ext="edit" aspectratio="t"/>
            <w10:wrap type="none"/>
            <w10:anchorlock/>
          </v:shape>
          <o:OLEObject Type="Embed" ProgID="Equation.2" ShapeID="_x0000_i1048" DrawAspect="Content" ObjectID="_1468075748" r:id="rId283">
            <o:LockedField>false</o:LockedField>
          </o:OLEObject>
        </w:object>
      </w:r>
      <w:r>
        <w:rPr>
          <w:rFonts w:ascii="Times New Roman" w:hAnsi="Times New Roman"/>
          <w:b w:val="0"/>
          <w:color w:val="auto"/>
          <w:sz w:val="24"/>
          <w:szCs w:val="24"/>
        </w:rPr>
        <w:t>—基年土地的“最好可行替代用途”的单位面积年净效益；</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g—土地最好可行替代用途的年平均净效益增长率；</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t—年序数；</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n—项目占用土地的期限，取评价期的20年。</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IC是指国民经济为项目所用土地而新增加的资源消耗，如拆迁费用、剩余劳动力安置费、养老保险费等，影子价格换算系数均采用1.0，不作调整。</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3、其它部分费用调整</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拟建项目其他费用调整的内容是剔除公路建设费用中的税金、国内银行贷款利息、建设期物价上涨费等几项转移支付的费用。</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拟建项目的建设费用调整结果见下表。</w:t>
      </w:r>
    </w:p>
    <w:p>
      <w:pPr>
        <w:pStyle w:val="120"/>
        <w:spacing w:line="240" w:lineRule="auto"/>
        <w:ind w:firstLine="422" w:firstLineChars="200"/>
        <w:jc w:val="center"/>
        <w:rPr>
          <w:rFonts w:ascii="Times New Roman" w:hAnsi="Times New Roman"/>
          <w:b/>
          <w:kern w:val="2"/>
          <w:sz w:val="21"/>
          <w:szCs w:val="21"/>
          <w:lang w:bidi="ar-SA"/>
        </w:rPr>
      </w:pPr>
      <w:r>
        <w:rPr>
          <w:rFonts w:ascii="Times New Roman" w:hAnsi="Times New Roman"/>
          <w:b/>
          <w:kern w:val="2"/>
          <w:sz w:val="21"/>
          <w:szCs w:val="21"/>
          <w:lang w:bidi="ar-SA"/>
        </w:rPr>
        <w:t>国民经济费用调整表</w:t>
      </w:r>
    </w:p>
    <w:tbl>
      <w:tblPr>
        <w:tblStyle w:val="32"/>
        <w:tblW w:w="8040" w:type="dxa"/>
        <w:jc w:val="center"/>
        <w:tblLayout w:type="autofit"/>
        <w:tblCellMar>
          <w:top w:w="0" w:type="dxa"/>
          <w:left w:w="108" w:type="dxa"/>
          <w:bottom w:w="0" w:type="dxa"/>
          <w:right w:w="108" w:type="dxa"/>
        </w:tblCellMar>
      </w:tblPr>
      <w:tblGrid>
        <w:gridCol w:w="620"/>
        <w:gridCol w:w="2740"/>
        <w:gridCol w:w="1560"/>
        <w:gridCol w:w="1560"/>
        <w:gridCol w:w="1560"/>
      </w:tblGrid>
      <w:tr>
        <w:tblPrEx>
          <w:tblCellMar>
            <w:top w:w="0" w:type="dxa"/>
            <w:left w:w="108" w:type="dxa"/>
            <w:bottom w:w="0" w:type="dxa"/>
            <w:right w:w="108" w:type="dxa"/>
          </w:tblCellMar>
        </w:tblPrEx>
        <w:trPr>
          <w:trHeight w:val="600" w:hRule="atLeast"/>
          <w:jc w:val="center"/>
        </w:trPr>
        <w:tc>
          <w:tcPr>
            <w:tcW w:w="620" w:type="dxa"/>
            <w:tcBorders>
              <w:top w:val="single" w:color="auto" w:sz="4" w:space="0"/>
              <w:left w:val="single" w:color="auto" w:sz="4" w:space="0"/>
              <w:bottom w:val="single" w:color="auto" w:sz="4" w:space="0"/>
              <w:right w:val="single" w:color="auto" w:sz="4" w:space="0"/>
            </w:tcBorders>
            <w:shd w:val="clear" w:color="000000" w:fill="FFFFFF"/>
            <w:noWrap/>
            <w:vAlign w:val="center"/>
          </w:tcPr>
          <w:p>
            <w:pPr>
              <w:widowControl/>
              <w:jc w:val="center"/>
              <w:rPr>
                <w:rFonts w:cs="宋体"/>
                <w:b w:val="0"/>
                <w:color w:val="000000"/>
                <w:kern w:val="0"/>
                <w:sz w:val="20"/>
                <w:szCs w:val="20"/>
                <w:highlight w:val="magenta"/>
              </w:rPr>
            </w:pPr>
            <w:r>
              <w:rPr>
                <w:rFonts w:hint="eastAsia" w:cs="宋体"/>
                <w:b w:val="0"/>
                <w:color w:val="000000"/>
                <w:kern w:val="0"/>
                <w:sz w:val="20"/>
                <w:szCs w:val="20"/>
                <w:highlight w:val="magenta"/>
              </w:rPr>
              <w:t>序号</w:t>
            </w:r>
          </w:p>
        </w:tc>
        <w:tc>
          <w:tcPr>
            <w:tcW w:w="2740" w:type="dxa"/>
            <w:tcBorders>
              <w:top w:val="single" w:color="auto" w:sz="4" w:space="0"/>
              <w:left w:val="nil"/>
              <w:bottom w:val="single" w:color="auto" w:sz="4" w:space="0"/>
              <w:right w:val="single" w:color="auto" w:sz="4" w:space="0"/>
            </w:tcBorders>
            <w:shd w:val="clear" w:color="000000" w:fill="FFFFFF"/>
            <w:noWrap/>
            <w:vAlign w:val="center"/>
          </w:tcPr>
          <w:p>
            <w:pPr>
              <w:widowControl/>
              <w:jc w:val="center"/>
              <w:rPr>
                <w:rFonts w:hint="eastAsia" w:cs="宋体"/>
                <w:b w:val="0"/>
                <w:color w:val="000000"/>
                <w:kern w:val="0"/>
                <w:sz w:val="20"/>
                <w:szCs w:val="20"/>
                <w:highlight w:val="magenta"/>
              </w:rPr>
            </w:pPr>
            <w:r>
              <w:rPr>
                <w:rFonts w:hint="eastAsia" w:cs="宋体"/>
                <w:b w:val="0"/>
                <w:color w:val="000000"/>
                <w:kern w:val="0"/>
                <w:sz w:val="20"/>
                <w:szCs w:val="20"/>
                <w:highlight w:val="magenta"/>
              </w:rPr>
              <w:t>项    目</w:t>
            </w:r>
          </w:p>
        </w:tc>
        <w:tc>
          <w:tcPr>
            <w:tcW w:w="1560" w:type="dxa"/>
            <w:tcBorders>
              <w:top w:val="single" w:color="auto" w:sz="4" w:space="0"/>
              <w:left w:val="nil"/>
              <w:bottom w:val="single" w:color="auto" w:sz="4" w:space="0"/>
              <w:right w:val="single" w:color="auto" w:sz="4" w:space="0"/>
            </w:tcBorders>
            <w:shd w:val="clear" w:color="000000" w:fill="FFFFFF"/>
            <w:vAlign w:val="center"/>
          </w:tcPr>
          <w:p>
            <w:pPr>
              <w:widowControl/>
              <w:jc w:val="center"/>
              <w:rPr>
                <w:rFonts w:hint="eastAsia" w:cs="宋体"/>
                <w:b w:val="0"/>
                <w:color w:val="000000"/>
                <w:kern w:val="0"/>
                <w:sz w:val="20"/>
                <w:szCs w:val="20"/>
                <w:highlight w:val="magenta"/>
              </w:rPr>
            </w:pPr>
            <w:r>
              <w:rPr>
                <w:rFonts w:hint="eastAsia" w:cs="宋体"/>
                <w:b w:val="0"/>
                <w:color w:val="000000"/>
                <w:kern w:val="0"/>
                <w:sz w:val="20"/>
                <w:szCs w:val="20"/>
                <w:highlight w:val="magenta"/>
              </w:rPr>
              <w:t>财务费用</w:t>
            </w:r>
            <w:r>
              <w:rPr>
                <w:rFonts w:hint="eastAsia" w:cs="宋体"/>
                <w:b w:val="0"/>
                <w:color w:val="000000"/>
                <w:kern w:val="0"/>
                <w:sz w:val="20"/>
                <w:szCs w:val="20"/>
                <w:highlight w:val="magenta"/>
              </w:rPr>
              <w:br w:type="textWrapping"/>
            </w:r>
            <w:r>
              <w:rPr>
                <w:rFonts w:hint="eastAsia" w:cs="宋体"/>
                <w:b w:val="0"/>
                <w:color w:val="000000"/>
                <w:kern w:val="0"/>
                <w:sz w:val="20"/>
                <w:szCs w:val="20"/>
                <w:highlight w:val="magenta"/>
              </w:rPr>
              <w:t>（万元）</w:t>
            </w:r>
          </w:p>
        </w:tc>
        <w:tc>
          <w:tcPr>
            <w:tcW w:w="1560" w:type="dxa"/>
            <w:tcBorders>
              <w:top w:val="single" w:color="auto" w:sz="4" w:space="0"/>
              <w:left w:val="nil"/>
              <w:bottom w:val="single" w:color="auto" w:sz="4" w:space="0"/>
              <w:right w:val="single" w:color="auto" w:sz="4" w:space="0"/>
            </w:tcBorders>
            <w:shd w:val="clear" w:color="000000" w:fill="FFFFFF"/>
            <w:vAlign w:val="center"/>
          </w:tcPr>
          <w:p>
            <w:pPr>
              <w:widowControl/>
              <w:jc w:val="center"/>
              <w:rPr>
                <w:rFonts w:hint="eastAsia" w:cs="宋体"/>
                <w:b w:val="0"/>
                <w:color w:val="000000"/>
                <w:kern w:val="0"/>
                <w:sz w:val="20"/>
                <w:szCs w:val="20"/>
                <w:highlight w:val="magenta"/>
              </w:rPr>
            </w:pPr>
            <w:r>
              <w:rPr>
                <w:rFonts w:hint="eastAsia" w:cs="宋体"/>
                <w:b w:val="0"/>
                <w:color w:val="000000"/>
                <w:kern w:val="0"/>
                <w:sz w:val="20"/>
                <w:szCs w:val="20"/>
                <w:highlight w:val="magenta"/>
              </w:rPr>
              <w:t>调整系数</w:t>
            </w:r>
          </w:p>
        </w:tc>
        <w:tc>
          <w:tcPr>
            <w:tcW w:w="1560" w:type="dxa"/>
            <w:tcBorders>
              <w:top w:val="single" w:color="auto" w:sz="4" w:space="0"/>
              <w:left w:val="nil"/>
              <w:bottom w:val="single" w:color="auto" w:sz="4" w:space="0"/>
              <w:right w:val="single" w:color="auto" w:sz="4" w:space="0"/>
            </w:tcBorders>
            <w:shd w:val="clear" w:color="000000" w:fill="FFFFFF"/>
            <w:vAlign w:val="center"/>
          </w:tcPr>
          <w:p>
            <w:pPr>
              <w:widowControl/>
              <w:jc w:val="center"/>
              <w:rPr>
                <w:rFonts w:hint="eastAsia" w:cs="宋体"/>
                <w:b w:val="0"/>
                <w:color w:val="000000"/>
                <w:kern w:val="0"/>
                <w:sz w:val="20"/>
                <w:szCs w:val="20"/>
                <w:highlight w:val="magenta"/>
              </w:rPr>
            </w:pPr>
            <w:r>
              <w:rPr>
                <w:rFonts w:hint="eastAsia" w:cs="宋体"/>
                <w:b w:val="0"/>
                <w:color w:val="000000"/>
                <w:kern w:val="0"/>
                <w:sz w:val="20"/>
                <w:szCs w:val="20"/>
                <w:highlight w:val="magenta"/>
              </w:rPr>
              <w:t>经济费用</w:t>
            </w:r>
            <w:r>
              <w:rPr>
                <w:rFonts w:hint="eastAsia" w:cs="宋体"/>
                <w:b w:val="0"/>
                <w:color w:val="000000"/>
                <w:kern w:val="0"/>
                <w:sz w:val="20"/>
                <w:szCs w:val="20"/>
                <w:highlight w:val="magenta"/>
              </w:rPr>
              <w:br w:type="textWrapping"/>
            </w:r>
            <w:r>
              <w:rPr>
                <w:rFonts w:hint="eastAsia" w:cs="宋体"/>
                <w:b w:val="0"/>
                <w:color w:val="000000"/>
                <w:kern w:val="0"/>
                <w:sz w:val="20"/>
                <w:szCs w:val="20"/>
                <w:highlight w:val="magenta"/>
              </w:rPr>
              <w:t>（万元）</w:t>
            </w:r>
          </w:p>
        </w:tc>
      </w:tr>
      <w:tr>
        <w:tblPrEx>
          <w:tblCellMar>
            <w:top w:w="0" w:type="dxa"/>
            <w:left w:w="108" w:type="dxa"/>
            <w:bottom w:w="0" w:type="dxa"/>
            <w:right w:w="108" w:type="dxa"/>
          </w:tblCellMar>
        </w:tblPrEx>
        <w:trPr>
          <w:trHeight w:val="420" w:hRule="atLeast"/>
          <w:jc w:val="center"/>
        </w:trPr>
        <w:tc>
          <w:tcPr>
            <w:tcW w:w="620" w:type="dxa"/>
            <w:tcBorders>
              <w:top w:val="nil"/>
              <w:left w:val="single" w:color="auto" w:sz="4" w:space="0"/>
              <w:bottom w:val="single" w:color="auto" w:sz="4" w:space="0"/>
              <w:right w:val="single" w:color="auto" w:sz="4" w:space="0"/>
            </w:tcBorders>
            <w:shd w:val="clear" w:color="000000" w:fill="FFFFFF"/>
            <w:noWrap/>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1</w:t>
            </w:r>
          </w:p>
        </w:tc>
        <w:tc>
          <w:tcPr>
            <w:tcW w:w="2740" w:type="dxa"/>
            <w:tcBorders>
              <w:top w:val="nil"/>
              <w:left w:val="nil"/>
              <w:bottom w:val="single" w:color="auto" w:sz="4" w:space="0"/>
              <w:right w:val="single" w:color="auto" w:sz="4" w:space="0"/>
            </w:tcBorders>
            <w:shd w:val="clear" w:color="000000" w:fill="FFFFFF"/>
            <w:noWrap/>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工程费用</w:t>
            </w:r>
          </w:p>
        </w:tc>
        <w:tc>
          <w:tcPr>
            <w:tcW w:w="1560" w:type="dxa"/>
            <w:tcBorders>
              <w:top w:val="nil"/>
              <w:left w:val="nil"/>
              <w:bottom w:val="single" w:color="auto" w:sz="4" w:space="0"/>
              <w:right w:val="single" w:color="auto" w:sz="4" w:space="0"/>
            </w:tcBorders>
            <w:shd w:val="clear" w:color="000000" w:fill="FFFFFF"/>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 xml:space="preserve">75923.72 </w:t>
            </w:r>
          </w:p>
        </w:tc>
        <w:tc>
          <w:tcPr>
            <w:tcW w:w="1560" w:type="dxa"/>
            <w:tcBorders>
              <w:top w:val="nil"/>
              <w:left w:val="nil"/>
              <w:bottom w:val="single" w:color="auto" w:sz="4" w:space="0"/>
              <w:right w:val="single" w:color="auto" w:sz="4" w:space="0"/>
            </w:tcBorders>
            <w:shd w:val="clear" w:color="000000" w:fill="FFFFFF"/>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　</w:t>
            </w:r>
          </w:p>
        </w:tc>
        <w:tc>
          <w:tcPr>
            <w:tcW w:w="1560" w:type="dxa"/>
            <w:tcBorders>
              <w:top w:val="nil"/>
              <w:left w:val="nil"/>
              <w:bottom w:val="single" w:color="auto" w:sz="4" w:space="0"/>
              <w:right w:val="single" w:color="auto" w:sz="4" w:space="0"/>
            </w:tcBorders>
            <w:shd w:val="clear" w:color="000000" w:fill="FFFFFF"/>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 xml:space="preserve">67503.69 </w:t>
            </w:r>
          </w:p>
        </w:tc>
      </w:tr>
      <w:tr>
        <w:tblPrEx>
          <w:tblCellMar>
            <w:top w:w="0" w:type="dxa"/>
            <w:left w:w="108" w:type="dxa"/>
            <w:bottom w:w="0" w:type="dxa"/>
            <w:right w:w="108" w:type="dxa"/>
          </w:tblCellMar>
        </w:tblPrEx>
        <w:trPr>
          <w:trHeight w:val="420" w:hRule="atLeast"/>
          <w:jc w:val="center"/>
        </w:trPr>
        <w:tc>
          <w:tcPr>
            <w:tcW w:w="620" w:type="dxa"/>
            <w:tcBorders>
              <w:top w:val="nil"/>
              <w:left w:val="single" w:color="auto" w:sz="4" w:space="0"/>
              <w:bottom w:val="single" w:color="auto" w:sz="4" w:space="0"/>
              <w:right w:val="single" w:color="auto" w:sz="4" w:space="0"/>
            </w:tcBorders>
            <w:shd w:val="clear" w:color="000000" w:fill="FFFFFF"/>
            <w:noWrap/>
            <w:vAlign w:val="center"/>
          </w:tcPr>
          <w:p>
            <w:pPr>
              <w:widowControl/>
              <w:jc w:val="center"/>
              <w:rPr>
                <w:rFonts w:hint="eastAsia" w:cs="宋体"/>
                <w:b w:val="0"/>
                <w:color w:val="000000"/>
                <w:kern w:val="0"/>
                <w:sz w:val="20"/>
                <w:szCs w:val="20"/>
                <w:highlight w:val="magenta"/>
              </w:rPr>
            </w:pPr>
            <w:r>
              <w:rPr>
                <w:rFonts w:hint="eastAsia" w:cs="宋体"/>
                <w:b w:val="0"/>
                <w:color w:val="000000"/>
                <w:kern w:val="0"/>
                <w:sz w:val="20"/>
                <w:szCs w:val="20"/>
                <w:highlight w:val="magenta"/>
              </w:rPr>
              <w:t>1.1</w:t>
            </w:r>
          </w:p>
        </w:tc>
        <w:tc>
          <w:tcPr>
            <w:tcW w:w="2740" w:type="dxa"/>
            <w:tcBorders>
              <w:top w:val="nil"/>
              <w:left w:val="nil"/>
              <w:bottom w:val="single" w:color="auto" w:sz="4" w:space="0"/>
              <w:right w:val="single" w:color="auto" w:sz="4" w:space="0"/>
            </w:tcBorders>
            <w:shd w:val="clear" w:color="000000" w:fill="FFFFFF"/>
            <w:noWrap/>
            <w:vAlign w:val="center"/>
          </w:tcPr>
          <w:p>
            <w:pPr>
              <w:widowControl/>
              <w:jc w:val="left"/>
              <w:rPr>
                <w:rFonts w:hint="eastAsia" w:cs="宋体"/>
                <w:b w:val="0"/>
                <w:color w:val="000000"/>
                <w:kern w:val="0"/>
                <w:sz w:val="20"/>
                <w:szCs w:val="20"/>
                <w:highlight w:val="magenta"/>
              </w:rPr>
            </w:pPr>
            <w:r>
              <w:rPr>
                <w:rFonts w:hint="eastAsia" w:cs="宋体"/>
                <w:b w:val="0"/>
                <w:color w:val="000000"/>
                <w:kern w:val="0"/>
                <w:sz w:val="20"/>
                <w:szCs w:val="20"/>
                <w:highlight w:val="magenta"/>
              </w:rPr>
              <w:t xml:space="preserve">     其中：人工费</w:t>
            </w:r>
          </w:p>
        </w:tc>
        <w:tc>
          <w:tcPr>
            <w:tcW w:w="1560" w:type="dxa"/>
            <w:tcBorders>
              <w:top w:val="nil"/>
              <w:left w:val="nil"/>
              <w:bottom w:val="single" w:color="auto" w:sz="4" w:space="0"/>
              <w:right w:val="single" w:color="auto" w:sz="4" w:space="0"/>
            </w:tcBorders>
            <w:shd w:val="clear" w:color="000000" w:fill="FFFFFF"/>
            <w:noWrap/>
            <w:vAlign w:val="center"/>
          </w:tcPr>
          <w:p>
            <w:pPr>
              <w:widowControl/>
              <w:jc w:val="center"/>
              <w:rPr>
                <w:rFonts w:hint="eastAsia" w:cs="宋体"/>
                <w:b w:val="0"/>
                <w:color w:val="000000"/>
                <w:kern w:val="0"/>
                <w:sz w:val="20"/>
                <w:szCs w:val="20"/>
                <w:highlight w:val="magenta"/>
              </w:rPr>
            </w:pPr>
            <w:r>
              <w:rPr>
                <w:rFonts w:hint="eastAsia" w:cs="宋体"/>
                <w:b w:val="0"/>
                <w:color w:val="000000"/>
                <w:kern w:val="0"/>
                <w:sz w:val="20"/>
                <w:szCs w:val="20"/>
                <w:highlight w:val="magenta"/>
              </w:rPr>
              <w:t xml:space="preserve">9110.85 </w:t>
            </w:r>
          </w:p>
        </w:tc>
        <w:tc>
          <w:tcPr>
            <w:tcW w:w="1560" w:type="dxa"/>
            <w:tcBorders>
              <w:top w:val="nil"/>
              <w:left w:val="nil"/>
              <w:bottom w:val="single" w:color="auto" w:sz="4" w:space="0"/>
              <w:right w:val="single" w:color="auto" w:sz="4" w:space="0"/>
            </w:tcBorders>
            <w:shd w:val="clear" w:color="000000" w:fill="FFFFFF"/>
            <w:noWrap/>
            <w:vAlign w:val="center"/>
          </w:tcPr>
          <w:p>
            <w:pPr>
              <w:widowControl/>
              <w:jc w:val="center"/>
              <w:rPr>
                <w:rFonts w:hint="eastAsia" w:cs="宋体"/>
                <w:b w:val="0"/>
                <w:color w:val="000000"/>
                <w:kern w:val="0"/>
                <w:sz w:val="20"/>
                <w:szCs w:val="20"/>
                <w:highlight w:val="magenta"/>
              </w:rPr>
            </w:pPr>
            <w:r>
              <w:rPr>
                <w:rFonts w:hint="eastAsia" w:cs="宋体"/>
                <w:b w:val="0"/>
                <w:color w:val="000000"/>
                <w:kern w:val="0"/>
                <w:sz w:val="20"/>
                <w:szCs w:val="20"/>
                <w:highlight w:val="magenta"/>
              </w:rPr>
              <w:t xml:space="preserve">0.9 </w:t>
            </w:r>
          </w:p>
        </w:tc>
        <w:tc>
          <w:tcPr>
            <w:tcW w:w="1560" w:type="dxa"/>
            <w:tcBorders>
              <w:top w:val="nil"/>
              <w:left w:val="nil"/>
              <w:bottom w:val="single" w:color="auto" w:sz="4" w:space="0"/>
              <w:right w:val="single" w:color="auto" w:sz="4" w:space="0"/>
            </w:tcBorders>
            <w:shd w:val="clear" w:color="000000" w:fill="FFFFFF"/>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 xml:space="preserve">8199.76 </w:t>
            </w:r>
          </w:p>
        </w:tc>
      </w:tr>
      <w:tr>
        <w:tblPrEx>
          <w:tblCellMar>
            <w:top w:w="0" w:type="dxa"/>
            <w:left w:w="108" w:type="dxa"/>
            <w:bottom w:w="0" w:type="dxa"/>
            <w:right w:w="108" w:type="dxa"/>
          </w:tblCellMar>
        </w:tblPrEx>
        <w:trPr>
          <w:trHeight w:val="420" w:hRule="atLeast"/>
          <w:jc w:val="center"/>
        </w:trPr>
        <w:tc>
          <w:tcPr>
            <w:tcW w:w="620" w:type="dxa"/>
            <w:tcBorders>
              <w:top w:val="nil"/>
              <w:left w:val="single" w:color="auto" w:sz="4" w:space="0"/>
              <w:bottom w:val="single" w:color="auto" w:sz="4" w:space="0"/>
              <w:right w:val="single" w:color="auto" w:sz="4" w:space="0"/>
            </w:tcBorders>
            <w:shd w:val="clear" w:color="000000" w:fill="FFFFFF"/>
            <w:noWrap/>
            <w:vAlign w:val="center"/>
          </w:tcPr>
          <w:p>
            <w:pPr>
              <w:widowControl/>
              <w:jc w:val="center"/>
              <w:rPr>
                <w:rFonts w:hint="eastAsia" w:cs="宋体"/>
                <w:b w:val="0"/>
                <w:color w:val="000000"/>
                <w:kern w:val="0"/>
                <w:sz w:val="20"/>
                <w:szCs w:val="20"/>
                <w:highlight w:val="magenta"/>
              </w:rPr>
            </w:pPr>
            <w:r>
              <w:rPr>
                <w:rFonts w:hint="eastAsia" w:cs="宋体"/>
                <w:b w:val="0"/>
                <w:color w:val="000000"/>
                <w:kern w:val="0"/>
                <w:sz w:val="20"/>
                <w:szCs w:val="20"/>
                <w:highlight w:val="magenta"/>
              </w:rPr>
              <w:t>1.2</w:t>
            </w:r>
          </w:p>
        </w:tc>
        <w:tc>
          <w:tcPr>
            <w:tcW w:w="2740" w:type="dxa"/>
            <w:tcBorders>
              <w:top w:val="nil"/>
              <w:left w:val="nil"/>
              <w:bottom w:val="single" w:color="auto" w:sz="4" w:space="0"/>
              <w:right w:val="single" w:color="auto" w:sz="4" w:space="0"/>
            </w:tcBorders>
            <w:shd w:val="clear" w:color="000000" w:fill="FFFFFF"/>
            <w:noWrap/>
            <w:vAlign w:val="center"/>
          </w:tcPr>
          <w:p>
            <w:pPr>
              <w:widowControl/>
              <w:jc w:val="center"/>
              <w:rPr>
                <w:rFonts w:hint="eastAsia" w:cs="宋体"/>
                <w:b w:val="0"/>
                <w:color w:val="000000"/>
                <w:kern w:val="0"/>
                <w:sz w:val="20"/>
                <w:szCs w:val="20"/>
                <w:highlight w:val="magenta"/>
              </w:rPr>
            </w:pPr>
            <w:r>
              <w:rPr>
                <w:rFonts w:hint="eastAsia" w:cs="宋体"/>
                <w:b w:val="0"/>
                <w:color w:val="000000"/>
                <w:kern w:val="0"/>
                <w:sz w:val="20"/>
                <w:szCs w:val="20"/>
                <w:highlight w:val="magenta"/>
              </w:rPr>
              <w:t>税金</w:t>
            </w:r>
          </w:p>
        </w:tc>
        <w:tc>
          <w:tcPr>
            <w:tcW w:w="1560" w:type="dxa"/>
            <w:tcBorders>
              <w:top w:val="nil"/>
              <w:left w:val="nil"/>
              <w:bottom w:val="single" w:color="auto" w:sz="4" w:space="0"/>
              <w:right w:val="single" w:color="auto" w:sz="4" w:space="0"/>
            </w:tcBorders>
            <w:shd w:val="clear" w:color="000000" w:fill="FFFFFF"/>
            <w:noWrap/>
            <w:vAlign w:val="center"/>
          </w:tcPr>
          <w:p>
            <w:pPr>
              <w:widowControl/>
              <w:jc w:val="center"/>
              <w:rPr>
                <w:rFonts w:hint="eastAsia" w:cs="宋体"/>
                <w:b w:val="0"/>
                <w:color w:val="000000"/>
                <w:kern w:val="0"/>
                <w:sz w:val="20"/>
                <w:szCs w:val="20"/>
                <w:highlight w:val="magenta"/>
              </w:rPr>
            </w:pPr>
            <w:r>
              <w:rPr>
                <w:rFonts w:hint="eastAsia" w:cs="宋体"/>
                <w:b w:val="0"/>
                <w:color w:val="000000"/>
                <w:kern w:val="0"/>
                <w:sz w:val="20"/>
                <w:szCs w:val="20"/>
                <w:highlight w:val="magenta"/>
              </w:rPr>
              <w:t xml:space="preserve">7508.94 </w:t>
            </w:r>
          </w:p>
        </w:tc>
        <w:tc>
          <w:tcPr>
            <w:tcW w:w="1560" w:type="dxa"/>
            <w:tcBorders>
              <w:top w:val="nil"/>
              <w:left w:val="nil"/>
              <w:bottom w:val="single" w:color="auto" w:sz="4" w:space="0"/>
              <w:right w:val="single" w:color="auto" w:sz="4" w:space="0"/>
            </w:tcBorders>
            <w:shd w:val="clear" w:color="000000" w:fill="FFFFFF"/>
            <w:noWrap/>
            <w:vAlign w:val="center"/>
          </w:tcPr>
          <w:p>
            <w:pPr>
              <w:widowControl/>
              <w:jc w:val="center"/>
              <w:rPr>
                <w:rFonts w:hint="eastAsia" w:cs="宋体"/>
                <w:b w:val="0"/>
                <w:color w:val="000000"/>
                <w:kern w:val="0"/>
                <w:sz w:val="20"/>
                <w:szCs w:val="20"/>
                <w:highlight w:val="magenta"/>
              </w:rPr>
            </w:pPr>
            <w:r>
              <w:rPr>
                <w:rFonts w:hint="eastAsia" w:cs="宋体"/>
                <w:b w:val="0"/>
                <w:color w:val="000000"/>
                <w:kern w:val="0"/>
                <w:sz w:val="20"/>
                <w:szCs w:val="20"/>
                <w:highlight w:val="magenta"/>
              </w:rPr>
              <w:t xml:space="preserve">0 </w:t>
            </w:r>
          </w:p>
        </w:tc>
        <w:tc>
          <w:tcPr>
            <w:tcW w:w="1560" w:type="dxa"/>
            <w:tcBorders>
              <w:top w:val="nil"/>
              <w:left w:val="nil"/>
              <w:bottom w:val="single" w:color="auto" w:sz="4" w:space="0"/>
              <w:right w:val="single" w:color="auto" w:sz="4" w:space="0"/>
            </w:tcBorders>
            <w:shd w:val="clear" w:color="000000" w:fill="FFFFFF"/>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 xml:space="preserve">0 </w:t>
            </w:r>
          </w:p>
        </w:tc>
      </w:tr>
      <w:tr>
        <w:tblPrEx>
          <w:tblCellMar>
            <w:top w:w="0" w:type="dxa"/>
            <w:left w:w="108" w:type="dxa"/>
            <w:bottom w:w="0" w:type="dxa"/>
            <w:right w:w="108" w:type="dxa"/>
          </w:tblCellMar>
        </w:tblPrEx>
        <w:trPr>
          <w:trHeight w:val="420" w:hRule="atLeast"/>
          <w:jc w:val="center"/>
        </w:trPr>
        <w:tc>
          <w:tcPr>
            <w:tcW w:w="620" w:type="dxa"/>
            <w:tcBorders>
              <w:top w:val="nil"/>
              <w:left w:val="single" w:color="auto" w:sz="4" w:space="0"/>
              <w:bottom w:val="single" w:color="auto" w:sz="4" w:space="0"/>
              <w:right w:val="single" w:color="auto" w:sz="4" w:space="0"/>
            </w:tcBorders>
            <w:shd w:val="clear" w:color="000000" w:fill="FFFFFF"/>
            <w:noWrap/>
            <w:vAlign w:val="center"/>
          </w:tcPr>
          <w:p>
            <w:pPr>
              <w:widowControl/>
              <w:jc w:val="center"/>
              <w:rPr>
                <w:rFonts w:hint="eastAsia" w:cs="宋体"/>
                <w:b w:val="0"/>
                <w:color w:val="000000"/>
                <w:kern w:val="0"/>
                <w:sz w:val="20"/>
                <w:szCs w:val="20"/>
                <w:highlight w:val="magenta"/>
              </w:rPr>
            </w:pPr>
            <w:r>
              <w:rPr>
                <w:rFonts w:hint="eastAsia" w:cs="宋体"/>
                <w:b w:val="0"/>
                <w:color w:val="000000"/>
                <w:kern w:val="0"/>
                <w:sz w:val="20"/>
                <w:szCs w:val="20"/>
                <w:highlight w:val="magenta"/>
              </w:rPr>
              <w:t>1.3</w:t>
            </w:r>
          </w:p>
        </w:tc>
        <w:tc>
          <w:tcPr>
            <w:tcW w:w="2740" w:type="dxa"/>
            <w:tcBorders>
              <w:top w:val="nil"/>
              <w:left w:val="nil"/>
              <w:bottom w:val="single" w:color="auto" w:sz="4" w:space="0"/>
              <w:right w:val="single" w:color="auto" w:sz="4" w:space="0"/>
            </w:tcBorders>
            <w:shd w:val="clear" w:color="000000" w:fill="FFFFFF"/>
            <w:noWrap/>
            <w:vAlign w:val="center"/>
          </w:tcPr>
          <w:p>
            <w:pPr>
              <w:widowControl/>
              <w:jc w:val="center"/>
              <w:rPr>
                <w:rFonts w:hint="eastAsia" w:cs="宋体"/>
                <w:b w:val="0"/>
                <w:color w:val="000000"/>
                <w:kern w:val="0"/>
                <w:sz w:val="20"/>
                <w:szCs w:val="20"/>
                <w:highlight w:val="magenta"/>
              </w:rPr>
            </w:pPr>
            <w:r>
              <w:rPr>
                <w:rFonts w:hint="eastAsia" w:cs="宋体"/>
                <w:b w:val="0"/>
                <w:color w:val="000000"/>
                <w:kern w:val="0"/>
                <w:sz w:val="20"/>
                <w:szCs w:val="20"/>
                <w:highlight w:val="magenta"/>
              </w:rPr>
              <w:t xml:space="preserve">    其他费用</w:t>
            </w:r>
          </w:p>
        </w:tc>
        <w:tc>
          <w:tcPr>
            <w:tcW w:w="1560" w:type="dxa"/>
            <w:tcBorders>
              <w:top w:val="nil"/>
              <w:left w:val="nil"/>
              <w:bottom w:val="single" w:color="auto" w:sz="4" w:space="0"/>
              <w:right w:val="single" w:color="auto" w:sz="4" w:space="0"/>
            </w:tcBorders>
            <w:shd w:val="clear" w:color="000000" w:fill="FFFFFF"/>
            <w:noWrap/>
            <w:vAlign w:val="center"/>
          </w:tcPr>
          <w:p>
            <w:pPr>
              <w:widowControl/>
              <w:jc w:val="center"/>
              <w:rPr>
                <w:rFonts w:hint="eastAsia" w:cs="宋体"/>
                <w:b w:val="0"/>
                <w:color w:val="000000"/>
                <w:kern w:val="0"/>
                <w:sz w:val="20"/>
                <w:szCs w:val="20"/>
                <w:highlight w:val="magenta"/>
              </w:rPr>
            </w:pPr>
            <w:r>
              <w:rPr>
                <w:rFonts w:hint="eastAsia" w:cs="宋体"/>
                <w:b w:val="0"/>
                <w:color w:val="000000"/>
                <w:kern w:val="0"/>
                <w:sz w:val="20"/>
                <w:szCs w:val="20"/>
                <w:highlight w:val="magenta"/>
              </w:rPr>
              <w:t xml:space="preserve">59303.93 </w:t>
            </w:r>
          </w:p>
        </w:tc>
        <w:tc>
          <w:tcPr>
            <w:tcW w:w="1560" w:type="dxa"/>
            <w:tcBorders>
              <w:top w:val="nil"/>
              <w:left w:val="nil"/>
              <w:bottom w:val="single" w:color="auto" w:sz="4" w:space="0"/>
              <w:right w:val="single" w:color="auto" w:sz="4" w:space="0"/>
            </w:tcBorders>
            <w:shd w:val="clear" w:color="000000" w:fill="FFFFFF"/>
            <w:noWrap/>
            <w:vAlign w:val="center"/>
          </w:tcPr>
          <w:p>
            <w:pPr>
              <w:widowControl/>
              <w:jc w:val="center"/>
              <w:rPr>
                <w:rFonts w:hint="eastAsia" w:cs="宋体"/>
                <w:b w:val="0"/>
                <w:color w:val="000000"/>
                <w:kern w:val="0"/>
                <w:sz w:val="20"/>
                <w:szCs w:val="20"/>
                <w:highlight w:val="magenta"/>
              </w:rPr>
            </w:pPr>
            <w:r>
              <w:rPr>
                <w:rFonts w:hint="eastAsia" w:cs="宋体"/>
                <w:b w:val="0"/>
                <w:color w:val="000000"/>
                <w:kern w:val="0"/>
                <w:sz w:val="20"/>
                <w:szCs w:val="20"/>
                <w:highlight w:val="magenta"/>
              </w:rPr>
              <w:t xml:space="preserve">1.0 </w:t>
            </w:r>
          </w:p>
        </w:tc>
        <w:tc>
          <w:tcPr>
            <w:tcW w:w="1560" w:type="dxa"/>
            <w:tcBorders>
              <w:top w:val="nil"/>
              <w:left w:val="nil"/>
              <w:bottom w:val="single" w:color="auto" w:sz="4" w:space="0"/>
              <w:right w:val="single" w:color="auto" w:sz="4" w:space="0"/>
            </w:tcBorders>
            <w:shd w:val="clear" w:color="000000" w:fill="FFFFFF"/>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 xml:space="preserve">59303.93 </w:t>
            </w:r>
          </w:p>
        </w:tc>
      </w:tr>
      <w:tr>
        <w:tblPrEx>
          <w:tblCellMar>
            <w:top w:w="0" w:type="dxa"/>
            <w:left w:w="108" w:type="dxa"/>
            <w:bottom w:w="0" w:type="dxa"/>
            <w:right w:w="108" w:type="dxa"/>
          </w:tblCellMar>
        </w:tblPrEx>
        <w:trPr>
          <w:trHeight w:val="420" w:hRule="atLeast"/>
          <w:jc w:val="center"/>
        </w:trPr>
        <w:tc>
          <w:tcPr>
            <w:tcW w:w="620" w:type="dxa"/>
            <w:tcBorders>
              <w:top w:val="nil"/>
              <w:left w:val="single" w:color="auto" w:sz="4" w:space="0"/>
              <w:bottom w:val="single" w:color="auto" w:sz="4" w:space="0"/>
              <w:right w:val="single" w:color="auto" w:sz="4" w:space="0"/>
            </w:tcBorders>
            <w:shd w:val="clear" w:color="000000" w:fill="FFFFFF"/>
            <w:noWrap/>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2</w:t>
            </w:r>
          </w:p>
        </w:tc>
        <w:tc>
          <w:tcPr>
            <w:tcW w:w="2740" w:type="dxa"/>
            <w:tcBorders>
              <w:top w:val="nil"/>
              <w:left w:val="nil"/>
              <w:bottom w:val="single" w:color="auto" w:sz="4" w:space="0"/>
              <w:right w:val="single" w:color="auto" w:sz="4" w:space="0"/>
            </w:tcBorders>
            <w:shd w:val="clear" w:color="000000" w:fill="FFFFFF"/>
            <w:noWrap/>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工程建设其他费用</w:t>
            </w:r>
          </w:p>
        </w:tc>
        <w:tc>
          <w:tcPr>
            <w:tcW w:w="1560" w:type="dxa"/>
            <w:tcBorders>
              <w:top w:val="nil"/>
              <w:left w:val="nil"/>
              <w:bottom w:val="single" w:color="auto" w:sz="4" w:space="0"/>
              <w:right w:val="single" w:color="auto" w:sz="4" w:space="0"/>
            </w:tcBorders>
            <w:shd w:val="clear" w:color="000000" w:fill="FFFFFF"/>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 xml:space="preserve">8261.89 </w:t>
            </w:r>
          </w:p>
        </w:tc>
        <w:tc>
          <w:tcPr>
            <w:tcW w:w="1560" w:type="dxa"/>
            <w:tcBorders>
              <w:top w:val="nil"/>
              <w:left w:val="nil"/>
              <w:bottom w:val="single" w:color="auto" w:sz="4" w:space="0"/>
              <w:right w:val="single" w:color="auto" w:sz="4" w:space="0"/>
            </w:tcBorders>
            <w:shd w:val="clear" w:color="000000" w:fill="FFFFFF"/>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　</w:t>
            </w:r>
          </w:p>
        </w:tc>
        <w:tc>
          <w:tcPr>
            <w:tcW w:w="1560" w:type="dxa"/>
            <w:tcBorders>
              <w:top w:val="nil"/>
              <w:left w:val="nil"/>
              <w:bottom w:val="single" w:color="auto" w:sz="4" w:space="0"/>
              <w:right w:val="single" w:color="auto" w:sz="4" w:space="0"/>
            </w:tcBorders>
            <w:shd w:val="clear" w:color="000000" w:fill="FFFFFF"/>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 xml:space="preserve">8261.89 </w:t>
            </w:r>
          </w:p>
        </w:tc>
      </w:tr>
      <w:tr>
        <w:tblPrEx>
          <w:tblCellMar>
            <w:top w:w="0" w:type="dxa"/>
            <w:left w:w="108" w:type="dxa"/>
            <w:bottom w:w="0" w:type="dxa"/>
            <w:right w:w="108" w:type="dxa"/>
          </w:tblCellMar>
        </w:tblPrEx>
        <w:trPr>
          <w:trHeight w:val="420" w:hRule="atLeast"/>
          <w:jc w:val="center"/>
        </w:trPr>
        <w:tc>
          <w:tcPr>
            <w:tcW w:w="620" w:type="dxa"/>
            <w:tcBorders>
              <w:top w:val="nil"/>
              <w:left w:val="single" w:color="auto" w:sz="4" w:space="0"/>
              <w:bottom w:val="single" w:color="auto" w:sz="4" w:space="0"/>
              <w:right w:val="single" w:color="auto" w:sz="4" w:space="0"/>
            </w:tcBorders>
            <w:shd w:val="clear" w:color="000000" w:fill="FFFFFF"/>
            <w:noWrap/>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3</w:t>
            </w:r>
          </w:p>
        </w:tc>
        <w:tc>
          <w:tcPr>
            <w:tcW w:w="2740" w:type="dxa"/>
            <w:tcBorders>
              <w:top w:val="nil"/>
              <w:left w:val="nil"/>
              <w:bottom w:val="single" w:color="auto" w:sz="4" w:space="0"/>
              <w:right w:val="single" w:color="auto" w:sz="4" w:space="0"/>
            </w:tcBorders>
            <w:shd w:val="clear" w:color="000000" w:fill="FFFFFF"/>
            <w:noWrap/>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预备费</w:t>
            </w:r>
          </w:p>
        </w:tc>
        <w:tc>
          <w:tcPr>
            <w:tcW w:w="1560" w:type="dxa"/>
            <w:tcBorders>
              <w:top w:val="nil"/>
              <w:left w:val="nil"/>
              <w:bottom w:val="single" w:color="auto" w:sz="4" w:space="0"/>
              <w:right w:val="single" w:color="auto" w:sz="4" w:space="0"/>
            </w:tcBorders>
            <w:shd w:val="clear" w:color="000000" w:fill="FFFFFF"/>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 xml:space="preserve">4209.28 </w:t>
            </w:r>
          </w:p>
        </w:tc>
        <w:tc>
          <w:tcPr>
            <w:tcW w:w="1560" w:type="dxa"/>
            <w:tcBorders>
              <w:top w:val="nil"/>
              <w:left w:val="nil"/>
              <w:bottom w:val="single" w:color="auto" w:sz="4" w:space="0"/>
              <w:right w:val="single" w:color="auto" w:sz="4" w:space="0"/>
            </w:tcBorders>
            <w:shd w:val="clear" w:color="000000" w:fill="FFFFFF"/>
            <w:noWrap/>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　</w:t>
            </w:r>
          </w:p>
        </w:tc>
        <w:tc>
          <w:tcPr>
            <w:tcW w:w="1560" w:type="dxa"/>
            <w:tcBorders>
              <w:top w:val="nil"/>
              <w:left w:val="nil"/>
              <w:bottom w:val="single" w:color="auto" w:sz="4" w:space="0"/>
              <w:right w:val="single" w:color="auto" w:sz="4" w:space="0"/>
            </w:tcBorders>
            <w:shd w:val="clear" w:color="000000" w:fill="FFFFFF"/>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 xml:space="preserve">4209.28 </w:t>
            </w:r>
          </w:p>
        </w:tc>
      </w:tr>
      <w:tr>
        <w:tblPrEx>
          <w:tblCellMar>
            <w:top w:w="0" w:type="dxa"/>
            <w:left w:w="108" w:type="dxa"/>
            <w:bottom w:w="0" w:type="dxa"/>
            <w:right w:w="108" w:type="dxa"/>
          </w:tblCellMar>
        </w:tblPrEx>
        <w:trPr>
          <w:trHeight w:val="420" w:hRule="atLeast"/>
          <w:jc w:val="center"/>
        </w:trPr>
        <w:tc>
          <w:tcPr>
            <w:tcW w:w="620" w:type="dxa"/>
            <w:tcBorders>
              <w:top w:val="nil"/>
              <w:left w:val="single" w:color="auto" w:sz="4" w:space="0"/>
              <w:bottom w:val="single" w:color="auto" w:sz="4" w:space="0"/>
              <w:right w:val="single" w:color="auto" w:sz="4" w:space="0"/>
            </w:tcBorders>
            <w:shd w:val="clear" w:color="000000" w:fill="FFFFFF"/>
            <w:noWrap/>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4</w:t>
            </w:r>
          </w:p>
        </w:tc>
        <w:tc>
          <w:tcPr>
            <w:tcW w:w="2740" w:type="dxa"/>
            <w:tcBorders>
              <w:top w:val="nil"/>
              <w:left w:val="nil"/>
              <w:bottom w:val="single" w:color="auto" w:sz="4" w:space="0"/>
              <w:right w:val="single" w:color="auto" w:sz="4" w:space="0"/>
            </w:tcBorders>
            <w:shd w:val="clear" w:color="000000" w:fill="FFFFFF"/>
            <w:noWrap/>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建设投资(不含建设用地费)</w:t>
            </w:r>
          </w:p>
        </w:tc>
        <w:tc>
          <w:tcPr>
            <w:tcW w:w="1560" w:type="dxa"/>
            <w:tcBorders>
              <w:top w:val="nil"/>
              <w:left w:val="nil"/>
              <w:bottom w:val="single" w:color="auto" w:sz="4" w:space="0"/>
              <w:right w:val="single" w:color="auto" w:sz="4" w:space="0"/>
            </w:tcBorders>
            <w:shd w:val="clear" w:color="000000" w:fill="FFFFFF"/>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 xml:space="preserve">88394.89 </w:t>
            </w:r>
          </w:p>
        </w:tc>
        <w:tc>
          <w:tcPr>
            <w:tcW w:w="1560" w:type="dxa"/>
            <w:tcBorders>
              <w:top w:val="nil"/>
              <w:left w:val="nil"/>
              <w:bottom w:val="single" w:color="auto" w:sz="4" w:space="0"/>
              <w:right w:val="single" w:color="auto" w:sz="4" w:space="0"/>
            </w:tcBorders>
            <w:shd w:val="clear" w:color="000000" w:fill="FFFFFF"/>
            <w:noWrap/>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　</w:t>
            </w:r>
          </w:p>
        </w:tc>
        <w:tc>
          <w:tcPr>
            <w:tcW w:w="1560" w:type="dxa"/>
            <w:tcBorders>
              <w:top w:val="nil"/>
              <w:left w:val="nil"/>
              <w:bottom w:val="single" w:color="auto" w:sz="4" w:space="0"/>
              <w:right w:val="single" w:color="auto" w:sz="4" w:space="0"/>
            </w:tcBorders>
            <w:shd w:val="clear" w:color="000000" w:fill="FFFFFF"/>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 xml:space="preserve">79974.86 </w:t>
            </w:r>
          </w:p>
        </w:tc>
      </w:tr>
      <w:tr>
        <w:tblPrEx>
          <w:tblCellMar>
            <w:top w:w="0" w:type="dxa"/>
            <w:left w:w="108" w:type="dxa"/>
            <w:bottom w:w="0" w:type="dxa"/>
            <w:right w:w="108" w:type="dxa"/>
          </w:tblCellMar>
        </w:tblPrEx>
        <w:trPr>
          <w:trHeight w:val="420" w:hRule="atLeast"/>
          <w:jc w:val="center"/>
        </w:trPr>
        <w:tc>
          <w:tcPr>
            <w:tcW w:w="620" w:type="dxa"/>
            <w:tcBorders>
              <w:top w:val="nil"/>
              <w:left w:val="single" w:color="auto" w:sz="4" w:space="0"/>
              <w:bottom w:val="single" w:color="auto" w:sz="4" w:space="0"/>
              <w:right w:val="single" w:color="auto" w:sz="4" w:space="0"/>
            </w:tcBorders>
            <w:shd w:val="clear" w:color="000000" w:fill="FFFFFF"/>
            <w:noWrap/>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5</w:t>
            </w:r>
          </w:p>
        </w:tc>
        <w:tc>
          <w:tcPr>
            <w:tcW w:w="2740" w:type="dxa"/>
            <w:tcBorders>
              <w:top w:val="nil"/>
              <w:left w:val="nil"/>
              <w:bottom w:val="single" w:color="auto" w:sz="4" w:space="0"/>
              <w:right w:val="single" w:color="auto" w:sz="4" w:space="0"/>
            </w:tcBorders>
            <w:shd w:val="clear" w:color="000000" w:fill="FFFFFF"/>
            <w:noWrap/>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建设用地费</w:t>
            </w:r>
          </w:p>
        </w:tc>
        <w:tc>
          <w:tcPr>
            <w:tcW w:w="1560" w:type="dxa"/>
            <w:tcBorders>
              <w:top w:val="nil"/>
              <w:left w:val="nil"/>
              <w:bottom w:val="single" w:color="auto" w:sz="4" w:space="0"/>
              <w:right w:val="single" w:color="auto" w:sz="4" w:space="0"/>
            </w:tcBorders>
            <w:shd w:val="clear" w:color="000000" w:fill="FFFFFF"/>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 xml:space="preserve">11234.89 </w:t>
            </w:r>
          </w:p>
        </w:tc>
        <w:tc>
          <w:tcPr>
            <w:tcW w:w="1560" w:type="dxa"/>
            <w:tcBorders>
              <w:top w:val="nil"/>
              <w:left w:val="nil"/>
              <w:bottom w:val="single" w:color="auto" w:sz="4" w:space="0"/>
              <w:right w:val="single" w:color="auto" w:sz="4" w:space="0"/>
            </w:tcBorders>
            <w:shd w:val="clear" w:color="000000" w:fill="FFFFFF"/>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　</w:t>
            </w:r>
          </w:p>
        </w:tc>
        <w:tc>
          <w:tcPr>
            <w:tcW w:w="1560" w:type="dxa"/>
            <w:tcBorders>
              <w:top w:val="nil"/>
              <w:left w:val="nil"/>
              <w:bottom w:val="single" w:color="auto" w:sz="4" w:space="0"/>
              <w:right w:val="single" w:color="auto" w:sz="4" w:space="0"/>
            </w:tcBorders>
            <w:shd w:val="clear" w:color="000000" w:fill="FFFFFF"/>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 xml:space="preserve">11234.89 </w:t>
            </w:r>
          </w:p>
        </w:tc>
      </w:tr>
      <w:tr>
        <w:tblPrEx>
          <w:tblCellMar>
            <w:top w:w="0" w:type="dxa"/>
            <w:left w:w="108" w:type="dxa"/>
            <w:bottom w:w="0" w:type="dxa"/>
            <w:right w:w="108" w:type="dxa"/>
          </w:tblCellMar>
        </w:tblPrEx>
        <w:trPr>
          <w:trHeight w:val="420" w:hRule="atLeast"/>
          <w:jc w:val="center"/>
        </w:trPr>
        <w:tc>
          <w:tcPr>
            <w:tcW w:w="620" w:type="dxa"/>
            <w:tcBorders>
              <w:top w:val="nil"/>
              <w:left w:val="single" w:color="auto" w:sz="4" w:space="0"/>
              <w:bottom w:val="single" w:color="auto" w:sz="4" w:space="0"/>
              <w:right w:val="single" w:color="auto" w:sz="4" w:space="0"/>
            </w:tcBorders>
            <w:shd w:val="clear" w:color="000000" w:fill="FFFFFF"/>
            <w:noWrap/>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6</w:t>
            </w:r>
          </w:p>
        </w:tc>
        <w:tc>
          <w:tcPr>
            <w:tcW w:w="2740" w:type="dxa"/>
            <w:tcBorders>
              <w:top w:val="nil"/>
              <w:left w:val="nil"/>
              <w:bottom w:val="single" w:color="auto" w:sz="4" w:space="0"/>
              <w:right w:val="single" w:color="auto" w:sz="4" w:space="0"/>
            </w:tcBorders>
            <w:shd w:val="clear" w:color="000000" w:fill="FFFFFF"/>
            <w:noWrap/>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建设投资合计</w:t>
            </w:r>
          </w:p>
        </w:tc>
        <w:tc>
          <w:tcPr>
            <w:tcW w:w="1560" w:type="dxa"/>
            <w:tcBorders>
              <w:top w:val="nil"/>
              <w:left w:val="nil"/>
              <w:bottom w:val="single" w:color="auto" w:sz="4" w:space="0"/>
              <w:right w:val="single" w:color="auto" w:sz="4" w:space="0"/>
            </w:tcBorders>
            <w:shd w:val="clear" w:color="000000" w:fill="FFFFFF"/>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 xml:space="preserve">99629.78 </w:t>
            </w:r>
          </w:p>
        </w:tc>
        <w:tc>
          <w:tcPr>
            <w:tcW w:w="1560" w:type="dxa"/>
            <w:tcBorders>
              <w:top w:val="nil"/>
              <w:left w:val="nil"/>
              <w:bottom w:val="single" w:color="auto" w:sz="4" w:space="0"/>
              <w:right w:val="single" w:color="auto" w:sz="4" w:space="0"/>
            </w:tcBorders>
            <w:shd w:val="clear" w:color="000000" w:fill="FFFFFF"/>
            <w:noWrap/>
            <w:vAlign w:val="center"/>
          </w:tcPr>
          <w:p>
            <w:pPr>
              <w:widowControl/>
              <w:jc w:val="center"/>
              <w:rPr>
                <w:rFonts w:hint="eastAsia" w:cs="宋体"/>
                <w:bCs/>
                <w:color w:val="000000"/>
                <w:kern w:val="0"/>
                <w:sz w:val="20"/>
                <w:szCs w:val="20"/>
                <w:highlight w:val="magenta"/>
              </w:rPr>
            </w:pPr>
            <w:r>
              <w:rPr>
                <w:rFonts w:hint="eastAsia" w:cs="宋体"/>
                <w:bCs/>
                <w:color w:val="000000"/>
                <w:kern w:val="0"/>
                <w:sz w:val="20"/>
                <w:szCs w:val="20"/>
                <w:highlight w:val="magenta"/>
              </w:rPr>
              <w:t>　</w:t>
            </w:r>
          </w:p>
        </w:tc>
        <w:tc>
          <w:tcPr>
            <w:tcW w:w="1560" w:type="dxa"/>
            <w:tcBorders>
              <w:top w:val="nil"/>
              <w:left w:val="nil"/>
              <w:bottom w:val="single" w:color="auto" w:sz="4" w:space="0"/>
              <w:right w:val="single" w:color="auto" w:sz="4" w:space="0"/>
            </w:tcBorders>
            <w:shd w:val="clear" w:color="000000" w:fill="FFFFFF"/>
            <w:vAlign w:val="center"/>
          </w:tcPr>
          <w:p>
            <w:pPr>
              <w:widowControl/>
              <w:jc w:val="center"/>
              <w:rPr>
                <w:rFonts w:hint="eastAsia" w:cs="宋体"/>
                <w:bCs/>
                <w:color w:val="000000"/>
                <w:kern w:val="0"/>
                <w:sz w:val="20"/>
                <w:szCs w:val="20"/>
              </w:rPr>
            </w:pPr>
            <w:r>
              <w:rPr>
                <w:rFonts w:hint="eastAsia" w:cs="宋体"/>
                <w:bCs/>
                <w:color w:val="000000"/>
                <w:kern w:val="0"/>
                <w:sz w:val="20"/>
                <w:szCs w:val="20"/>
                <w:highlight w:val="magenta"/>
              </w:rPr>
              <w:t>91209.76</w:t>
            </w:r>
            <w:r>
              <w:rPr>
                <w:rFonts w:hint="eastAsia" w:cs="宋体"/>
                <w:bCs/>
                <w:color w:val="000000"/>
                <w:kern w:val="0"/>
                <w:sz w:val="20"/>
                <w:szCs w:val="20"/>
              </w:rPr>
              <w:t xml:space="preserve"> </w:t>
            </w:r>
          </w:p>
        </w:tc>
      </w:tr>
    </w:tbl>
    <w:p>
      <w:pPr>
        <w:pStyle w:val="120"/>
        <w:spacing w:line="240" w:lineRule="auto"/>
        <w:ind w:firstLine="422" w:firstLineChars="200"/>
        <w:jc w:val="center"/>
        <w:rPr>
          <w:rFonts w:ascii="Times New Roman" w:hAnsi="Times New Roman"/>
          <w:b/>
          <w:kern w:val="2"/>
          <w:sz w:val="21"/>
          <w:szCs w:val="21"/>
          <w:lang w:bidi="ar-SA"/>
        </w:rPr>
      </w:pPr>
    </w:p>
    <w:p>
      <w:pPr>
        <w:pStyle w:val="5"/>
        <w:ind w:firstLine="482" w:firstLineChars="200"/>
        <w:rPr>
          <w:rFonts w:ascii="Times New Roman" w:hAnsi="Times New Roman"/>
        </w:rPr>
      </w:pPr>
      <w:r>
        <w:rPr>
          <w:rFonts w:ascii="Times New Roman" w:hAnsi="Times New Roman"/>
        </w:rPr>
        <w:t>经济效益计算</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1、直接经济效益</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本项目的经济效益主要考虑了运输成本节约、货物在途时间节约、减少交通事故、乘客在途时间节约、运输工具节约时间等五种直接效益。此外，项目还具有其他如减少路网拥挤、缩短运输距离、提高运输质量、包装费用节约等效益，由于缺少量化数据，在此未计算。</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（1）运输成本节约效益</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运输成本费用节约效益(正常交通量)计算公式为：</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Bj=(Cw-Cy)Qk</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其中：Bj=项目新建导致运输成本降低的金额(万元)；</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Cw=无此项目，通过其它道路的单位综合运输成本(元/吨或元/人)；</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Cy=有此项目，通过其它道路的单位综合运输成本(元/吨或元/人)；</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Qk=新建道路的综合运输周转量(万吨/年或万人次/年)。</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经分析，此项目建成开通后，节省的单位综合运输成本约为0.2元/吨。假设每辆车的平均吨位是2.5吨。</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（2）货物在途时间节约效益</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这部分效益按货物被占用时间内的资金时间价值计算，计算公式为</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Bh=PQTsIs/(365×24)</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其中：Bh=缩短货物在途时间的效益，万元/年；</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P=货物的影子价格，取5000元/吨；</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Q=新建道路的货物周转量，万吨/年；</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Ts=缩短的运输时间，时；</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Is=社会折现率，8%。</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预计在总车流量中，客车占80%，货车占20%。假设每辆货车的平均吨位是3吨。</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（3）减少交通事故效益</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由于道路建成后可减少交通事故而产生提高交通的效益，计算公式如下：</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Bs=Ps×(Jw-Jy)M</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其中：Bs=减少交通事故节约的费用，万元/年；</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Ps=道路交通事故平均损失费(以影子价格计算)，万元/次，取0.7万元/次；</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Jw-Jy=新建道路减少交通事故率，次/万车.km，取5次/百万车.km；</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M=运输量，万车.km/年；</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（4）乘客在途时间节约的效益</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由于该项目的建成开通使该地区的交通状况得到改善，交通畅通，车速提高，乘客在途时间缩短。其中劳动者将有一部分时间会用于生产（本项目取50%），创造社会效益。计算公式如下：</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Bk=0.5bTnQ</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其中：Bk=旅客在途时间节约效益；</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b=旅客的单位时间价值以人均国内生产总值计算，按照广州市统计局提供的2021年统计年鉴数据，2023广州人均GDP约为150366元，按每年255个工作日，每天工作8小时计，则人均时间价值为73.71元/小时；</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Tn=旅客节约的时间，时/人；</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Q=道路的旅客周转量，万人次/年。</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预计在总车流量中，客车占70%，货车占30%。客车平均载人5人/辆，货车平均载人2人/辆。</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（5）运输工具节约时间的效益</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由于该项目的建成开通使运输工具在路途中可以减少停留时间，而产生节约时间的效益。计算公式如下：</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BV=QCT</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其中：Bv=运输工具的时间节约效益；</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Q=运输工具数量；C=运输工具每天维持费用，按50元/车.天计算；</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T=运输工具全年缩短停留时间。</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经过EXCEL统计模型的计算如下：</w:t>
      </w:r>
    </w:p>
    <w:p>
      <w:pPr>
        <w:spacing w:line="320" w:lineRule="exact"/>
        <w:ind w:right="420" w:firstLine="422" w:firstLineChars="200"/>
        <w:jc w:val="center"/>
        <w:rPr>
          <w:rFonts w:ascii="Times New Roman" w:hAnsi="Times New Roman"/>
          <w:color w:val="auto"/>
          <w:sz w:val="24"/>
          <w:szCs w:val="24"/>
        </w:rPr>
      </w:pPr>
      <w:r>
        <w:rPr>
          <w:rFonts w:ascii="Times New Roman" w:hAnsi="Times New Roman"/>
          <w:color w:val="auto"/>
          <w:sz w:val="21"/>
          <w:szCs w:val="21"/>
        </w:rPr>
        <w:t>社会效益总表</w:t>
      </w:r>
      <w:r>
        <w:rPr>
          <w:rFonts w:hint="eastAsia" w:ascii="Times New Roman" w:hAnsi="Times New Roman"/>
          <w:color w:val="auto"/>
          <w:sz w:val="21"/>
          <w:szCs w:val="21"/>
        </w:rPr>
        <w:t xml:space="preserve"> </w:t>
      </w:r>
      <w:r>
        <w:rPr>
          <w:rFonts w:ascii="Times New Roman" w:hAnsi="Times New Roman"/>
          <w:color w:val="auto"/>
          <w:sz w:val="21"/>
          <w:szCs w:val="21"/>
        </w:rPr>
        <w:t xml:space="preserve">          </w:t>
      </w:r>
      <w:r>
        <w:rPr>
          <w:rFonts w:ascii="Times New Roman" w:hAnsi="Times New Roman"/>
          <w:color w:val="auto"/>
          <w:sz w:val="24"/>
          <w:szCs w:val="24"/>
        </w:rPr>
        <w:t>单位：万元</w:t>
      </w:r>
    </w:p>
    <w:tbl>
      <w:tblPr>
        <w:tblStyle w:val="32"/>
        <w:tblW w:w="8921" w:type="dxa"/>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1080"/>
        <w:gridCol w:w="1120"/>
        <w:gridCol w:w="1120"/>
        <w:gridCol w:w="1080"/>
        <w:gridCol w:w="1080"/>
        <w:gridCol w:w="1080"/>
        <w:gridCol w:w="1200"/>
        <w:gridCol w:w="1161"/>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020" w:hRule="atLeast"/>
          <w:jc w:val="center"/>
        </w:trPr>
        <w:tc>
          <w:tcPr>
            <w:tcW w:w="1080" w:type="dxa"/>
            <w:shd w:val="clear" w:color="auto" w:fill="auto"/>
            <w:vAlign w:val="center"/>
          </w:tcPr>
          <w:p>
            <w:pPr>
              <w:widowControl/>
              <w:jc w:val="center"/>
              <w:rPr>
                <w:rFonts w:cs="宋体"/>
                <w:b w:val="0"/>
                <w:color w:val="auto"/>
                <w:kern w:val="0"/>
                <w:sz w:val="22"/>
                <w:szCs w:val="22"/>
                <w:highlight w:val="magenta"/>
              </w:rPr>
            </w:pPr>
            <w:r>
              <w:rPr>
                <w:rFonts w:hint="eastAsia" w:cs="宋体"/>
                <w:b w:val="0"/>
                <w:color w:val="auto"/>
                <w:kern w:val="0"/>
                <w:sz w:val="22"/>
                <w:szCs w:val="22"/>
                <w:highlight w:val="magenta"/>
              </w:rPr>
              <w:t>年度</w:t>
            </w:r>
          </w:p>
        </w:tc>
        <w:tc>
          <w:tcPr>
            <w:tcW w:w="1120" w:type="dxa"/>
            <w:shd w:val="clear" w:color="auto" w:fill="auto"/>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交通量预测</w:t>
            </w:r>
            <w:r>
              <w:rPr>
                <w:rFonts w:ascii="Times New Roman" w:hAnsi="Times New Roman"/>
                <w:b w:val="0"/>
                <w:color w:val="auto"/>
                <w:kern w:val="0"/>
                <w:sz w:val="22"/>
                <w:szCs w:val="22"/>
                <w:highlight w:val="magenta"/>
              </w:rPr>
              <w:t>(pcu/d)</w:t>
            </w:r>
          </w:p>
        </w:tc>
        <w:tc>
          <w:tcPr>
            <w:tcW w:w="1120" w:type="dxa"/>
            <w:shd w:val="clear" w:color="auto" w:fill="auto"/>
            <w:vAlign w:val="center"/>
          </w:tcPr>
          <w:p>
            <w:pPr>
              <w:widowControl/>
              <w:jc w:val="center"/>
              <w:rPr>
                <w:rFonts w:hint="eastAsia" w:cs="宋体"/>
                <w:bCs/>
                <w:color w:val="auto"/>
                <w:kern w:val="0"/>
                <w:sz w:val="22"/>
                <w:szCs w:val="22"/>
                <w:highlight w:val="magenta"/>
              </w:rPr>
            </w:pPr>
            <w:r>
              <w:rPr>
                <w:rFonts w:hint="eastAsia" w:cs="宋体"/>
                <w:bCs/>
                <w:color w:val="auto"/>
                <w:kern w:val="0"/>
                <w:sz w:val="22"/>
                <w:szCs w:val="22"/>
                <w:highlight w:val="magenta"/>
              </w:rPr>
              <w:t>效益合计</w:t>
            </w:r>
          </w:p>
        </w:tc>
        <w:tc>
          <w:tcPr>
            <w:tcW w:w="1080" w:type="dxa"/>
            <w:shd w:val="clear" w:color="auto" w:fill="auto"/>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运输成本节约效益</w:t>
            </w:r>
          </w:p>
        </w:tc>
        <w:tc>
          <w:tcPr>
            <w:tcW w:w="1080" w:type="dxa"/>
            <w:shd w:val="clear" w:color="auto" w:fill="auto"/>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减少交通事故效益</w:t>
            </w:r>
          </w:p>
        </w:tc>
        <w:tc>
          <w:tcPr>
            <w:tcW w:w="1080" w:type="dxa"/>
            <w:shd w:val="clear" w:color="auto" w:fill="auto"/>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货物节约时间效益</w:t>
            </w:r>
          </w:p>
        </w:tc>
        <w:tc>
          <w:tcPr>
            <w:tcW w:w="1200" w:type="dxa"/>
            <w:shd w:val="clear" w:color="auto" w:fill="auto"/>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旅客节约</w:t>
            </w:r>
            <w:r>
              <w:rPr>
                <w:rFonts w:hint="eastAsia" w:cs="宋体"/>
                <w:b w:val="0"/>
                <w:color w:val="auto"/>
                <w:kern w:val="0"/>
                <w:sz w:val="22"/>
                <w:szCs w:val="22"/>
                <w:highlight w:val="magenta"/>
              </w:rPr>
              <w:br w:type="textWrapping"/>
            </w:r>
            <w:r>
              <w:rPr>
                <w:rFonts w:hint="eastAsia" w:cs="宋体"/>
                <w:b w:val="0"/>
                <w:color w:val="auto"/>
                <w:kern w:val="0"/>
                <w:sz w:val="22"/>
                <w:szCs w:val="22"/>
                <w:highlight w:val="magenta"/>
              </w:rPr>
              <w:t>时间效益</w:t>
            </w:r>
          </w:p>
        </w:tc>
        <w:tc>
          <w:tcPr>
            <w:tcW w:w="1161" w:type="dxa"/>
            <w:shd w:val="clear" w:color="auto" w:fill="auto"/>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运输工具节约时间效益</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80" w:hRule="atLeast"/>
          <w:jc w:val="center"/>
        </w:trPr>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2025</w:t>
            </w:r>
          </w:p>
        </w:tc>
        <w:tc>
          <w:tcPr>
            <w:tcW w:w="112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31898</w:t>
            </w:r>
          </w:p>
        </w:tc>
        <w:tc>
          <w:tcPr>
            <w:tcW w:w="1120" w:type="dxa"/>
            <w:shd w:val="clear" w:color="auto" w:fill="auto"/>
            <w:vAlign w:val="center"/>
          </w:tcPr>
          <w:p>
            <w:pPr>
              <w:widowControl/>
              <w:jc w:val="center"/>
              <w:rPr>
                <w:rFonts w:hint="eastAsia" w:cs="宋体"/>
                <w:bCs/>
                <w:color w:val="auto"/>
                <w:kern w:val="0"/>
                <w:sz w:val="22"/>
                <w:szCs w:val="22"/>
                <w:highlight w:val="magenta"/>
              </w:rPr>
            </w:pPr>
            <w:r>
              <w:rPr>
                <w:rFonts w:hint="eastAsia" w:cs="宋体"/>
                <w:bCs/>
                <w:color w:val="auto"/>
                <w:kern w:val="0"/>
                <w:sz w:val="22"/>
                <w:szCs w:val="22"/>
                <w:highlight w:val="magenta"/>
              </w:rPr>
              <w:t xml:space="preserve">1665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582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122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 </w:t>
            </w:r>
          </w:p>
        </w:tc>
        <w:tc>
          <w:tcPr>
            <w:tcW w:w="120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889 </w:t>
            </w:r>
          </w:p>
        </w:tc>
        <w:tc>
          <w:tcPr>
            <w:tcW w:w="1161"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70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80" w:hRule="atLeast"/>
          <w:jc w:val="center"/>
        </w:trPr>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2026</w:t>
            </w:r>
          </w:p>
        </w:tc>
        <w:tc>
          <w:tcPr>
            <w:tcW w:w="112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33209</w:t>
            </w:r>
          </w:p>
        </w:tc>
        <w:tc>
          <w:tcPr>
            <w:tcW w:w="1120" w:type="dxa"/>
            <w:shd w:val="clear" w:color="auto" w:fill="auto"/>
            <w:vAlign w:val="center"/>
          </w:tcPr>
          <w:p>
            <w:pPr>
              <w:widowControl/>
              <w:jc w:val="center"/>
              <w:rPr>
                <w:rFonts w:hint="eastAsia" w:cs="宋体"/>
                <w:bCs/>
                <w:color w:val="auto"/>
                <w:kern w:val="0"/>
                <w:sz w:val="22"/>
                <w:szCs w:val="22"/>
                <w:highlight w:val="magenta"/>
              </w:rPr>
            </w:pPr>
            <w:r>
              <w:rPr>
                <w:rFonts w:hint="eastAsia" w:cs="宋体"/>
                <w:bCs/>
                <w:color w:val="auto"/>
                <w:kern w:val="0"/>
                <w:sz w:val="22"/>
                <w:szCs w:val="22"/>
                <w:highlight w:val="magenta"/>
              </w:rPr>
              <w:t xml:space="preserve">1807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606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127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 </w:t>
            </w:r>
          </w:p>
        </w:tc>
        <w:tc>
          <w:tcPr>
            <w:tcW w:w="120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1000 </w:t>
            </w:r>
          </w:p>
        </w:tc>
        <w:tc>
          <w:tcPr>
            <w:tcW w:w="1161"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73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80" w:hRule="atLeast"/>
          <w:jc w:val="center"/>
        </w:trPr>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2027</w:t>
            </w:r>
          </w:p>
        </w:tc>
        <w:tc>
          <w:tcPr>
            <w:tcW w:w="112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34519</w:t>
            </w:r>
          </w:p>
        </w:tc>
        <w:tc>
          <w:tcPr>
            <w:tcW w:w="1120" w:type="dxa"/>
            <w:shd w:val="clear" w:color="auto" w:fill="auto"/>
            <w:vAlign w:val="center"/>
          </w:tcPr>
          <w:p>
            <w:pPr>
              <w:widowControl/>
              <w:jc w:val="center"/>
              <w:rPr>
                <w:rFonts w:hint="eastAsia" w:cs="宋体"/>
                <w:bCs/>
                <w:color w:val="auto"/>
                <w:kern w:val="0"/>
                <w:sz w:val="22"/>
                <w:szCs w:val="22"/>
                <w:highlight w:val="magenta"/>
              </w:rPr>
            </w:pPr>
            <w:r>
              <w:rPr>
                <w:rFonts w:hint="eastAsia" w:cs="宋体"/>
                <w:bCs/>
                <w:color w:val="auto"/>
                <w:kern w:val="0"/>
                <w:sz w:val="22"/>
                <w:szCs w:val="22"/>
                <w:highlight w:val="magenta"/>
              </w:rPr>
              <w:t xml:space="preserve">1955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630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132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 </w:t>
            </w:r>
          </w:p>
        </w:tc>
        <w:tc>
          <w:tcPr>
            <w:tcW w:w="120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1116 </w:t>
            </w:r>
          </w:p>
        </w:tc>
        <w:tc>
          <w:tcPr>
            <w:tcW w:w="1161"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76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80" w:hRule="atLeast"/>
          <w:jc w:val="center"/>
        </w:trPr>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2028</w:t>
            </w:r>
          </w:p>
        </w:tc>
        <w:tc>
          <w:tcPr>
            <w:tcW w:w="112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35829</w:t>
            </w:r>
          </w:p>
        </w:tc>
        <w:tc>
          <w:tcPr>
            <w:tcW w:w="1120" w:type="dxa"/>
            <w:shd w:val="clear" w:color="auto" w:fill="auto"/>
            <w:vAlign w:val="center"/>
          </w:tcPr>
          <w:p>
            <w:pPr>
              <w:widowControl/>
              <w:jc w:val="center"/>
              <w:rPr>
                <w:rFonts w:hint="eastAsia" w:cs="宋体"/>
                <w:bCs/>
                <w:color w:val="auto"/>
                <w:kern w:val="0"/>
                <w:sz w:val="22"/>
                <w:szCs w:val="22"/>
                <w:highlight w:val="magenta"/>
              </w:rPr>
            </w:pPr>
            <w:r>
              <w:rPr>
                <w:rFonts w:hint="eastAsia" w:cs="宋体"/>
                <w:bCs/>
                <w:color w:val="auto"/>
                <w:kern w:val="0"/>
                <w:sz w:val="22"/>
                <w:szCs w:val="22"/>
                <w:highlight w:val="magenta"/>
              </w:rPr>
              <w:t xml:space="preserve">2109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654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137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 </w:t>
            </w:r>
          </w:p>
        </w:tc>
        <w:tc>
          <w:tcPr>
            <w:tcW w:w="120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1238 </w:t>
            </w:r>
          </w:p>
        </w:tc>
        <w:tc>
          <w:tcPr>
            <w:tcW w:w="1161"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79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80" w:hRule="atLeast"/>
          <w:jc w:val="center"/>
        </w:trPr>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2029</w:t>
            </w:r>
          </w:p>
        </w:tc>
        <w:tc>
          <w:tcPr>
            <w:tcW w:w="112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37140</w:t>
            </w:r>
          </w:p>
        </w:tc>
        <w:tc>
          <w:tcPr>
            <w:tcW w:w="1120" w:type="dxa"/>
            <w:shd w:val="clear" w:color="auto" w:fill="auto"/>
            <w:vAlign w:val="center"/>
          </w:tcPr>
          <w:p>
            <w:pPr>
              <w:widowControl/>
              <w:jc w:val="center"/>
              <w:rPr>
                <w:rFonts w:hint="eastAsia" w:cs="宋体"/>
                <w:bCs/>
                <w:color w:val="auto"/>
                <w:kern w:val="0"/>
                <w:sz w:val="22"/>
                <w:szCs w:val="22"/>
                <w:highlight w:val="magenta"/>
              </w:rPr>
            </w:pPr>
            <w:r>
              <w:rPr>
                <w:rFonts w:hint="eastAsia" w:cs="宋体"/>
                <w:bCs/>
                <w:color w:val="auto"/>
                <w:kern w:val="0"/>
                <w:sz w:val="22"/>
                <w:szCs w:val="22"/>
                <w:highlight w:val="magenta"/>
              </w:rPr>
              <w:t xml:space="preserve">2269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678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142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 </w:t>
            </w:r>
          </w:p>
        </w:tc>
        <w:tc>
          <w:tcPr>
            <w:tcW w:w="120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1366 </w:t>
            </w:r>
          </w:p>
        </w:tc>
        <w:tc>
          <w:tcPr>
            <w:tcW w:w="1161"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82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80" w:hRule="atLeast"/>
          <w:jc w:val="center"/>
        </w:trPr>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2030</w:t>
            </w:r>
          </w:p>
        </w:tc>
        <w:tc>
          <w:tcPr>
            <w:tcW w:w="112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38450</w:t>
            </w:r>
          </w:p>
        </w:tc>
        <w:tc>
          <w:tcPr>
            <w:tcW w:w="1120" w:type="dxa"/>
            <w:shd w:val="clear" w:color="auto" w:fill="auto"/>
            <w:vAlign w:val="center"/>
          </w:tcPr>
          <w:p>
            <w:pPr>
              <w:widowControl/>
              <w:jc w:val="center"/>
              <w:rPr>
                <w:rFonts w:hint="eastAsia" w:cs="宋体"/>
                <w:bCs/>
                <w:color w:val="auto"/>
                <w:kern w:val="0"/>
                <w:sz w:val="22"/>
                <w:szCs w:val="22"/>
                <w:highlight w:val="magenta"/>
              </w:rPr>
            </w:pPr>
            <w:r>
              <w:rPr>
                <w:rFonts w:hint="eastAsia" w:cs="宋体"/>
                <w:bCs/>
                <w:color w:val="auto"/>
                <w:kern w:val="0"/>
                <w:sz w:val="22"/>
                <w:szCs w:val="22"/>
                <w:highlight w:val="magenta"/>
              </w:rPr>
              <w:t xml:space="preserve">2435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702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148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 </w:t>
            </w:r>
          </w:p>
        </w:tc>
        <w:tc>
          <w:tcPr>
            <w:tcW w:w="120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1500 </w:t>
            </w:r>
          </w:p>
        </w:tc>
        <w:tc>
          <w:tcPr>
            <w:tcW w:w="1161"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84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80" w:hRule="atLeast"/>
          <w:jc w:val="center"/>
        </w:trPr>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2031</w:t>
            </w:r>
          </w:p>
        </w:tc>
        <w:tc>
          <w:tcPr>
            <w:tcW w:w="112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39761</w:t>
            </w:r>
          </w:p>
        </w:tc>
        <w:tc>
          <w:tcPr>
            <w:tcW w:w="1120" w:type="dxa"/>
            <w:shd w:val="clear" w:color="auto" w:fill="auto"/>
            <w:vAlign w:val="center"/>
          </w:tcPr>
          <w:p>
            <w:pPr>
              <w:widowControl/>
              <w:jc w:val="center"/>
              <w:rPr>
                <w:rFonts w:hint="eastAsia" w:cs="宋体"/>
                <w:bCs/>
                <w:color w:val="auto"/>
                <w:kern w:val="0"/>
                <w:sz w:val="22"/>
                <w:szCs w:val="22"/>
                <w:highlight w:val="magenta"/>
              </w:rPr>
            </w:pPr>
            <w:r>
              <w:rPr>
                <w:rFonts w:hint="eastAsia" w:cs="宋体"/>
                <w:bCs/>
                <w:color w:val="auto"/>
                <w:kern w:val="0"/>
                <w:sz w:val="22"/>
                <w:szCs w:val="22"/>
                <w:highlight w:val="magenta"/>
              </w:rPr>
              <w:t xml:space="preserve">2607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726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153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 </w:t>
            </w:r>
          </w:p>
        </w:tc>
        <w:tc>
          <w:tcPr>
            <w:tcW w:w="120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1640 </w:t>
            </w:r>
          </w:p>
        </w:tc>
        <w:tc>
          <w:tcPr>
            <w:tcW w:w="1161"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87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80" w:hRule="atLeast"/>
          <w:jc w:val="center"/>
        </w:trPr>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2032</w:t>
            </w:r>
          </w:p>
        </w:tc>
        <w:tc>
          <w:tcPr>
            <w:tcW w:w="112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41071</w:t>
            </w:r>
          </w:p>
        </w:tc>
        <w:tc>
          <w:tcPr>
            <w:tcW w:w="1120" w:type="dxa"/>
            <w:shd w:val="clear" w:color="auto" w:fill="auto"/>
            <w:vAlign w:val="center"/>
          </w:tcPr>
          <w:p>
            <w:pPr>
              <w:widowControl/>
              <w:jc w:val="center"/>
              <w:rPr>
                <w:rFonts w:hint="eastAsia" w:cs="宋体"/>
                <w:bCs/>
                <w:color w:val="auto"/>
                <w:kern w:val="0"/>
                <w:sz w:val="22"/>
                <w:szCs w:val="22"/>
                <w:highlight w:val="magenta"/>
              </w:rPr>
            </w:pPr>
            <w:r>
              <w:rPr>
                <w:rFonts w:hint="eastAsia" w:cs="宋体"/>
                <w:bCs/>
                <w:color w:val="auto"/>
                <w:kern w:val="0"/>
                <w:sz w:val="22"/>
                <w:szCs w:val="22"/>
                <w:highlight w:val="magenta"/>
              </w:rPr>
              <w:t xml:space="preserve">2784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750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158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 </w:t>
            </w:r>
          </w:p>
        </w:tc>
        <w:tc>
          <w:tcPr>
            <w:tcW w:w="120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1786 </w:t>
            </w:r>
          </w:p>
        </w:tc>
        <w:tc>
          <w:tcPr>
            <w:tcW w:w="1161"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90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80" w:hRule="atLeast"/>
          <w:jc w:val="center"/>
        </w:trPr>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2033</w:t>
            </w:r>
          </w:p>
        </w:tc>
        <w:tc>
          <w:tcPr>
            <w:tcW w:w="112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42381</w:t>
            </w:r>
          </w:p>
        </w:tc>
        <w:tc>
          <w:tcPr>
            <w:tcW w:w="1120" w:type="dxa"/>
            <w:shd w:val="clear" w:color="auto" w:fill="auto"/>
            <w:vAlign w:val="center"/>
          </w:tcPr>
          <w:p>
            <w:pPr>
              <w:widowControl/>
              <w:jc w:val="center"/>
              <w:rPr>
                <w:rFonts w:hint="eastAsia" w:cs="宋体"/>
                <w:bCs/>
                <w:color w:val="auto"/>
                <w:kern w:val="0"/>
                <w:sz w:val="22"/>
                <w:szCs w:val="22"/>
                <w:highlight w:val="magenta"/>
              </w:rPr>
            </w:pPr>
            <w:r>
              <w:rPr>
                <w:rFonts w:hint="eastAsia" w:cs="宋体"/>
                <w:bCs/>
                <w:color w:val="auto"/>
                <w:kern w:val="0"/>
                <w:sz w:val="22"/>
                <w:szCs w:val="22"/>
                <w:highlight w:val="magenta"/>
              </w:rPr>
              <w:t xml:space="preserve">2967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773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163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 </w:t>
            </w:r>
          </w:p>
        </w:tc>
        <w:tc>
          <w:tcPr>
            <w:tcW w:w="120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1937 </w:t>
            </w:r>
          </w:p>
        </w:tc>
        <w:tc>
          <w:tcPr>
            <w:tcW w:w="1161"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93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80" w:hRule="atLeast"/>
          <w:jc w:val="center"/>
        </w:trPr>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2034</w:t>
            </w:r>
          </w:p>
        </w:tc>
        <w:tc>
          <w:tcPr>
            <w:tcW w:w="112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43692</w:t>
            </w:r>
          </w:p>
        </w:tc>
        <w:tc>
          <w:tcPr>
            <w:tcW w:w="1120" w:type="dxa"/>
            <w:shd w:val="clear" w:color="auto" w:fill="auto"/>
            <w:vAlign w:val="center"/>
          </w:tcPr>
          <w:p>
            <w:pPr>
              <w:widowControl/>
              <w:jc w:val="center"/>
              <w:rPr>
                <w:rFonts w:hint="eastAsia" w:cs="宋体"/>
                <w:bCs/>
                <w:color w:val="auto"/>
                <w:kern w:val="0"/>
                <w:sz w:val="22"/>
                <w:szCs w:val="22"/>
                <w:highlight w:val="magenta"/>
              </w:rPr>
            </w:pPr>
            <w:r>
              <w:rPr>
                <w:rFonts w:hint="eastAsia" w:cs="宋体"/>
                <w:bCs/>
                <w:color w:val="auto"/>
                <w:kern w:val="0"/>
                <w:sz w:val="22"/>
                <w:szCs w:val="22"/>
                <w:highlight w:val="magenta"/>
              </w:rPr>
              <w:t xml:space="preserve">3157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797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168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 </w:t>
            </w:r>
          </w:p>
        </w:tc>
        <w:tc>
          <w:tcPr>
            <w:tcW w:w="120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2094 </w:t>
            </w:r>
          </w:p>
        </w:tc>
        <w:tc>
          <w:tcPr>
            <w:tcW w:w="1161"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96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80" w:hRule="atLeast"/>
          <w:jc w:val="center"/>
        </w:trPr>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2035</w:t>
            </w:r>
          </w:p>
        </w:tc>
        <w:tc>
          <w:tcPr>
            <w:tcW w:w="112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46313</w:t>
            </w:r>
          </w:p>
        </w:tc>
        <w:tc>
          <w:tcPr>
            <w:tcW w:w="1120" w:type="dxa"/>
            <w:shd w:val="clear" w:color="auto" w:fill="auto"/>
            <w:vAlign w:val="center"/>
          </w:tcPr>
          <w:p>
            <w:pPr>
              <w:widowControl/>
              <w:jc w:val="center"/>
              <w:rPr>
                <w:rFonts w:hint="eastAsia" w:cs="宋体"/>
                <w:bCs/>
                <w:color w:val="auto"/>
                <w:kern w:val="0"/>
                <w:sz w:val="22"/>
                <w:szCs w:val="22"/>
                <w:highlight w:val="magenta"/>
              </w:rPr>
            </w:pPr>
            <w:r>
              <w:rPr>
                <w:rFonts w:hint="eastAsia" w:cs="宋体"/>
                <w:bCs/>
                <w:color w:val="auto"/>
                <w:kern w:val="0"/>
                <w:sz w:val="22"/>
                <w:szCs w:val="22"/>
                <w:highlight w:val="magenta"/>
              </w:rPr>
              <w:t xml:space="preserve">3449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845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178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 </w:t>
            </w:r>
          </w:p>
        </w:tc>
        <w:tc>
          <w:tcPr>
            <w:tcW w:w="120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2323 </w:t>
            </w:r>
          </w:p>
        </w:tc>
        <w:tc>
          <w:tcPr>
            <w:tcW w:w="1161"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102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80" w:hRule="atLeast"/>
          <w:jc w:val="center"/>
        </w:trPr>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2036</w:t>
            </w:r>
          </w:p>
        </w:tc>
        <w:tc>
          <w:tcPr>
            <w:tcW w:w="112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47980</w:t>
            </w:r>
          </w:p>
        </w:tc>
        <w:tc>
          <w:tcPr>
            <w:tcW w:w="1120" w:type="dxa"/>
            <w:shd w:val="clear" w:color="auto" w:fill="auto"/>
            <w:vAlign w:val="center"/>
          </w:tcPr>
          <w:p>
            <w:pPr>
              <w:widowControl/>
              <w:jc w:val="center"/>
              <w:rPr>
                <w:rFonts w:hint="eastAsia" w:cs="宋体"/>
                <w:bCs/>
                <w:color w:val="auto"/>
                <w:kern w:val="0"/>
                <w:sz w:val="22"/>
                <w:szCs w:val="22"/>
                <w:highlight w:val="magenta"/>
              </w:rPr>
            </w:pPr>
            <w:r>
              <w:rPr>
                <w:rFonts w:hint="eastAsia" w:cs="宋体"/>
                <w:bCs/>
                <w:color w:val="auto"/>
                <w:kern w:val="0"/>
                <w:sz w:val="22"/>
                <w:szCs w:val="22"/>
                <w:highlight w:val="magenta"/>
              </w:rPr>
              <w:t xml:space="preserve">3680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876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184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 </w:t>
            </w:r>
          </w:p>
        </w:tc>
        <w:tc>
          <w:tcPr>
            <w:tcW w:w="120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2514 </w:t>
            </w:r>
          </w:p>
        </w:tc>
        <w:tc>
          <w:tcPr>
            <w:tcW w:w="1161"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105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80" w:hRule="atLeast"/>
          <w:jc w:val="center"/>
        </w:trPr>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2037</w:t>
            </w:r>
          </w:p>
        </w:tc>
        <w:tc>
          <w:tcPr>
            <w:tcW w:w="112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49647</w:t>
            </w:r>
          </w:p>
        </w:tc>
        <w:tc>
          <w:tcPr>
            <w:tcW w:w="1120" w:type="dxa"/>
            <w:shd w:val="clear" w:color="auto" w:fill="auto"/>
            <w:vAlign w:val="center"/>
          </w:tcPr>
          <w:p>
            <w:pPr>
              <w:widowControl/>
              <w:jc w:val="center"/>
              <w:rPr>
                <w:rFonts w:hint="eastAsia" w:cs="宋体"/>
                <w:bCs/>
                <w:color w:val="auto"/>
                <w:kern w:val="0"/>
                <w:sz w:val="22"/>
                <w:szCs w:val="22"/>
                <w:highlight w:val="magenta"/>
              </w:rPr>
            </w:pPr>
            <w:r>
              <w:rPr>
                <w:rFonts w:hint="eastAsia" w:cs="宋体"/>
                <w:bCs/>
                <w:color w:val="auto"/>
                <w:kern w:val="0"/>
                <w:sz w:val="22"/>
                <w:szCs w:val="22"/>
                <w:highlight w:val="magenta"/>
              </w:rPr>
              <w:t xml:space="preserve">3919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906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190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 </w:t>
            </w:r>
          </w:p>
        </w:tc>
        <w:tc>
          <w:tcPr>
            <w:tcW w:w="120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2712 </w:t>
            </w:r>
          </w:p>
        </w:tc>
        <w:tc>
          <w:tcPr>
            <w:tcW w:w="1161"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109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80" w:hRule="atLeast"/>
          <w:jc w:val="center"/>
        </w:trPr>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2038</w:t>
            </w:r>
          </w:p>
        </w:tc>
        <w:tc>
          <w:tcPr>
            <w:tcW w:w="112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51313</w:t>
            </w:r>
          </w:p>
        </w:tc>
        <w:tc>
          <w:tcPr>
            <w:tcW w:w="1120" w:type="dxa"/>
            <w:shd w:val="clear" w:color="auto" w:fill="auto"/>
            <w:vAlign w:val="center"/>
          </w:tcPr>
          <w:p>
            <w:pPr>
              <w:widowControl/>
              <w:jc w:val="center"/>
              <w:rPr>
                <w:rFonts w:hint="eastAsia" w:cs="宋体"/>
                <w:bCs/>
                <w:color w:val="auto"/>
                <w:kern w:val="0"/>
                <w:sz w:val="22"/>
                <w:szCs w:val="22"/>
                <w:highlight w:val="magenta"/>
              </w:rPr>
            </w:pPr>
            <w:r>
              <w:rPr>
                <w:rFonts w:hint="eastAsia" w:cs="宋体"/>
                <w:bCs/>
                <w:color w:val="auto"/>
                <w:kern w:val="0"/>
                <w:sz w:val="22"/>
                <w:szCs w:val="22"/>
                <w:highlight w:val="magenta"/>
              </w:rPr>
              <w:t xml:space="preserve">4165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936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197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 </w:t>
            </w:r>
          </w:p>
        </w:tc>
        <w:tc>
          <w:tcPr>
            <w:tcW w:w="120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2917 </w:t>
            </w:r>
          </w:p>
        </w:tc>
        <w:tc>
          <w:tcPr>
            <w:tcW w:w="1161"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113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80" w:hRule="atLeast"/>
          <w:jc w:val="center"/>
        </w:trPr>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2039</w:t>
            </w:r>
          </w:p>
        </w:tc>
        <w:tc>
          <w:tcPr>
            <w:tcW w:w="112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52980</w:t>
            </w:r>
          </w:p>
        </w:tc>
        <w:tc>
          <w:tcPr>
            <w:tcW w:w="1120" w:type="dxa"/>
            <w:shd w:val="clear" w:color="auto" w:fill="auto"/>
            <w:vAlign w:val="center"/>
          </w:tcPr>
          <w:p>
            <w:pPr>
              <w:widowControl/>
              <w:jc w:val="center"/>
              <w:rPr>
                <w:rFonts w:hint="eastAsia" w:cs="宋体"/>
                <w:bCs/>
                <w:color w:val="auto"/>
                <w:kern w:val="0"/>
                <w:sz w:val="22"/>
                <w:szCs w:val="22"/>
                <w:highlight w:val="magenta"/>
              </w:rPr>
            </w:pPr>
            <w:r>
              <w:rPr>
                <w:rFonts w:hint="eastAsia" w:cs="宋体"/>
                <w:bCs/>
                <w:color w:val="auto"/>
                <w:kern w:val="0"/>
                <w:sz w:val="22"/>
                <w:szCs w:val="22"/>
                <w:highlight w:val="magenta"/>
              </w:rPr>
              <w:t xml:space="preserve">4418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967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203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2 </w:t>
            </w:r>
          </w:p>
        </w:tc>
        <w:tc>
          <w:tcPr>
            <w:tcW w:w="120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3130 </w:t>
            </w:r>
          </w:p>
        </w:tc>
        <w:tc>
          <w:tcPr>
            <w:tcW w:w="1161"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116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80" w:hRule="atLeast"/>
          <w:jc w:val="center"/>
        </w:trPr>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2040</w:t>
            </w:r>
          </w:p>
        </w:tc>
        <w:tc>
          <w:tcPr>
            <w:tcW w:w="112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54647</w:t>
            </w:r>
          </w:p>
        </w:tc>
        <w:tc>
          <w:tcPr>
            <w:tcW w:w="1120" w:type="dxa"/>
            <w:shd w:val="clear" w:color="auto" w:fill="auto"/>
            <w:vAlign w:val="center"/>
          </w:tcPr>
          <w:p>
            <w:pPr>
              <w:widowControl/>
              <w:jc w:val="center"/>
              <w:rPr>
                <w:rFonts w:hint="eastAsia" w:cs="宋体"/>
                <w:bCs/>
                <w:color w:val="auto"/>
                <w:kern w:val="0"/>
                <w:sz w:val="22"/>
                <w:szCs w:val="22"/>
                <w:highlight w:val="magenta"/>
              </w:rPr>
            </w:pPr>
            <w:r>
              <w:rPr>
                <w:rFonts w:hint="eastAsia" w:cs="宋体"/>
                <w:bCs/>
                <w:color w:val="auto"/>
                <w:kern w:val="0"/>
                <w:sz w:val="22"/>
                <w:szCs w:val="22"/>
                <w:highlight w:val="magenta"/>
              </w:rPr>
              <w:t xml:space="preserve">4679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997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210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2 </w:t>
            </w:r>
          </w:p>
        </w:tc>
        <w:tc>
          <w:tcPr>
            <w:tcW w:w="120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3351 </w:t>
            </w:r>
          </w:p>
        </w:tc>
        <w:tc>
          <w:tcPr>
            <w:tcW w:w="1161"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120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80" w:hRule="atLeast"/>
          <w:jc w:val="center"/>
        </w:trPr>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2041</w:t>
            </w:r>
          </w:p>
        </w:tc>
        <w:tc>
          <w:tcPr>
            <w:tcW w:w="112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56399</w:t>
            </w:r>
          </w:p>
        </w:tc>
        <w:tc>
          <w:tcPr>
            <w:tcW w:w="1120" w:type="dxa"/>
            <w:shd w:val="clear" w:color="auto" w:fill="auto"/>
            <w:vAlign w:val="center"/>
          </w:tcPr>
          <w:p>
            <w:pPr>
              <w:widowControl/>
              <w:jc w:val="center"/>
              <w:rPr>
                <w:rFonts w:hint="eastAsia" w:cs="宋体"/>
                <w:bCs/>
                <w:color w:val="auto"/>
                <w:kern w:val="0"/>
                <w:sz w:val="22"/>
                <w:szCs w:val="22"/>
                <w:highlight w:val="magenta"/>
              </w:rPr>
            </w:pPr>
            <w:r>
              <w:rPr>
                <w:rFonts w:hint="eastAsia" w:cs="宋体"/>
                <w:bCs/>
                <w:color w:val="auto"/>
                <w:kern w:val="0"/>
                <w:sz w:val="22"/>
                <w:szCs w:val="22"/>
                <w:highlight w:val="magenta"/>
              </w:rPr>
              <w:t xml:space="preserve">4955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1029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216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2 </w:t>
            </w:r>
          </w:p>
        </w:tc>
        <w:tc>
          <w:tcPr>
            <w:tcW w:w="120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3584 </w:t>
            </w:r>
          </w:p>
        </w:tc>
        <w:tc>
          <w:tcPr>
            <w:tcW w:w="1161"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124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80" w:hRule="atLeast"/>
          <w:jc w:val="center"/>
        </w:trPr>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2042</w:t>
            </w:r>
          </w:p>
        </w:tc>
        <w:tc>
          <w:tcPr>
            <w:tcW w:w="112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58150</w:t>
            </w:r>
          </w:p>
        </w:tc>
        <w:tc>
          <w:tcPr>
            <w:tcW w:w="1120" w:type="dxa"/>
            <w:shd w:val="clear" w:color="auto" w:fill="auto"/>
            <w:vAlign w:val="center"/>
          </w:tcPr>
          <w:p>
            <w:pPr>
              <w:widowControl/>
              <w:jc w:val="center"/>
              <w:rPr>
                <w:rFonts w:hint="eastAsia" w:cs="宋体"/>
                <w:bCs/>
                <w:color w:val="auto"/>
                <w:kern w:val="0"/>
                <w:sz w:val="22"/>
                <w:szCs w:val="22"/>
                <w:highlight w:val="magenta"/>
              </w:rPr>
            </w:pPr>
            <w:r>
              <w:rPr>
                <w:rFonts w:hint="eastAsia" w:cs="宋体"/>
                <w:bCs/>
                <w:color w:val="auto"/>
                <w:kern w:val="0"/>
                <w:sz w:val="22"/>
                <w:szCs w:val="22"/>
                <w:highlight w:val="magenta"/>
              </w:rPr>
              <w:t xml:space="preserve">5238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1061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223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2 </w:t>
            </w:r>
          </w:p>
        </w:tc>
        <w:tc>
          <w:tcPr>
            <w:tcW w:w="120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3825 </w:t>
            </w:r>
          </w:p>
        </w:tc>
        <w:tc>
          <w:tcPr>
            <w:tcW w:w="1161"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128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80" w:hRule="atLeast"/>
          <w:jc w:val="center"/>
        </w:trPr>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2043</w:t>
            </w:r>
          </w:p>
        </w:tc>
        <w:tc>
          <w:tcPr>
            <w:tcW w:w="112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59901</w:t>
            </w:r>
          </w:p>
        </w:tc>
        <w:tc>
          <w:tcPr>
            <w:tcW w:w="1120" w:type="dxa"/>
            <w:shd w:val="clear" w:color="auto" w:fill="auto"/>
            <w:vAlign w:val="center"/>
          </w:tcPr>
          <w:p>
            <w:pPr>
              <w:widowControl/>
              <w:jc w:val="center"/>
              <w:rPr>
                <w:rFonts w:hint="eastAsia" w:cs="宋体"/>
                <w:bCs/>
                <w:color w:val="auto"/>
                <w:kern w:val="0"/>
                <w:sz w:val="22"/>
                <w:szCs w:val="22"/>
                <w:highlight w:val="magenta"/>
              </w:rPr>
            </w:pPr>
            <w:r>
              <w:rPr>
                <w:rFonts w:hint="eastAsia" w:cs="宋体"/>
                <w:bCs/>
                <w:color w:val="auto"/>
                <w:kern w:val="0"/>
                <w:sz w:val="22"/>
                <w:szCs w:val="22"/>
                <w:highlight w:val="magenta"/>
              </w:rPr>
              <w:t xml:space="preserve">5530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1093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230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2 </w:t>
            </w:r>
          </w:p>
        </w:tc>
        <w:tc>
          <w:tcPr>
            <w:tcW w:w="120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4073 </w:t>
            </w:r>
          </w:p>
        </w:tc>
        <w:tc>
          <w:tcPr>
            <w:tcW w:w="1161"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132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80" w:hRule="atLeast"/>
          <w:jc w:val="center"/>
        </w:trPr>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2044</w:t>
            </w:r>
          </w:p>
        </w:tc>
        <w:tc>
          <w:tcPr>
            <w:tcW w:w="112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61652</w:t>
            </w:r>
          </w:p>
        </w:tc>
        <w:tc>
          <w:tcPr>
            <w:tcW w:w="1120" w:type="dxa"/>
            <w:shd w:val="clear" w:color="auto" w:fill="auto"/>
            <w:vAlign w:val="center"/>
          </w:tcPr>
          <w:p>
            <w:pPr>
              <w:widowControl/>
              <w:jc w:val="center"/>
              <w:rPr>
                <w:rFonts w:hint="eastAsia" w:cs="宋体"/>
                <w:bCs/>
                <w:color w:val="auto"/>
                <w:kern w:val="0"/>
                <w:sz w:val="22"/>
                <w:szCs w:val="22"/>
                <w:highlight w:val="magenta"/>
              </w:rPr>
            </w:pPr>
            <w:r>
              <w:rPr>
                <w:rFonts w:hint="eastAsia" w:cs="宋体"/>
                <w:bCs/>
                <w:color w:val="auto"/>
                <w:kern w:val="0"/>
                <w:sz w:val="22"/>
                <w:szCs w:val="22"/>
                <w:highlight w:val="magenta"/>
              </w:rPr>
              <w:t xml:space="preserve">5829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1125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237 </w:t>
            </w:r>
          </w:p>
        </w:tc>
        <w:tc>
          <w:tcPr>
            <w:tcW w:w="108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2 </w:t>
            </w:r>
          </w:p>
        </w:tc>
        <w:tc>
          <w:tcPr>
            <w:tcW w:w="1200" w:type="dxa"/>
            <w:shd w:val="clear" w:color="auto" w:fill="auto"/>
            <w:noWrap/>
            <w:vAlign w:val="center"/>
          </w:tcPr>
          <w:p>
            <w:pPr>
              <w:widowControl/>
              <w:jc w:val="center"/>
              <w:rPr>
                <w:rFonts w:hint="eastAsia" w:cs="宋体"/>
                <w:b w:val="0"/>
                <w:color w:val="auto"/>
                <w:kern w:val="0"/>
                <w:sz w:val="22"/>
                <w:szCs w:val="22"/>
                <w:highlight w:val="magenta"/>
              </w:rPr>
            </w:pPr>
            <w:r>
              <w:rPr>
                <w:rFonts w:hint="eastAsia" w:cs="宋体"/>
                <w:b w:val="0"/>
                <w:color w:val="auto"/>
                <w:kern w:val="0"/>
                <w:sz w:val="22"/>
                <w:szCs w:val="22"/>
                <w:highlight w:val="magenta"/>
              </w:rPr>
              <w:t xml:space="preserve">4330 </w:t>
            </w:r>
          </w:p>
        </w:tc>
        <w:tc>
          <w:tcPr>
            <w:tcW w:w="1161" w:type="dxa"/>
            <w:shd w:val="clear" w:color="auto" w:fill="auto"/>
            <w:noWrap/>
            <w:vAlign w:val="center"/>
          </w:tcPr>
          <w:p>
            <w:pPr>
              <w:widowControl/>
              <w:jc w:val="center"/>
              <w:rPr>
                <w:rFonts w:hint="eastAsia" w:cs="宋体"/>
                <w:b w:val="0"/>
                <w:color w:val="auto"/>
                <w:kern w:val="0"/>
                <w:sz w:val="22"/>
                <w:szCs w:val="22"/>
              </w:rPr>
            </w:pPr>
            <w:r>
              <w:rPr>
                <w:rFonts w:hint="eastAsia" w:cs="宋体"/>
                <w:b w:val="0"/>
                <w:color w:val="auto"/>
                <w:kern w:val="0"/>
                <w:sz w:val="22"/>
                <w:szCs w:val="22"/>
                <w:highlight w:val="magenta"/>
              </w:rPr>
              <w:t>135</w:t>
            </w:r>
            <w:r>
              <w:rPr>
                <w:rFonts w:hint="eastAsia" w:cs="宋体"/>
                <w:b w:val="0"/>
                <w:color w:val="auto"/>
                <w:kern w:val="0"/>
                <w:sz w:val="22"/>
                <w:szCs w:val="22"/>
              </w:rPr>
              <w:t xml:space="preserve"> </w:t>
            </w:r>
          </w:p>
        </w:tc>
      </w:tr>
    </w:tbl>
    <w:p>
      <w:pPr>
        <w:spacing w:line="320" w:lineRule="exact"/>
        <w:ind w:right="420" w:firstLine="480" w:firstLineChars="200"/>
        <w:jc w:val="center"/>
        <w:rPr>
          <w:rFonts w:ascii="Times New Roman" w:hAnsi="Times New Roman"/>
          <w:b w:val="0"/>
          <w:color w:val="auto"/>
          <w:sz w:val="24"/>
          <w:szCs w:val="24"/>
        </w:rPr>
      </w:pPr>
    </w:p>
    <w:p>
      <w:pPr>
        <w:pStyle w:val="5"/>
        <w:ind w:firstLine="482" w:firstLineChars="200"/>
        <w:rPr>
          <w:rFonts w:ascii="Times New Roman" w:hAnsi="Times New Roman"/>
        </w:rPr>
      </w:pPr>
      <w:r>
        <w:rPr>
          <w:rFonts w:ascii="Times New Roman" w:hAnsi="Times New Roman"/>
        </w:rPr>
        <w:t>经济费用效益分析指标计算</w:t>
      </w:r>
    </w:p>
    <w:p>
      <w:pPr>
        <w:pStyle w:val="67"/>
        <w:numPr>
          <w:ilvl w:val="0"/>
          <w:numId w:val="46"/>
        </w:numPr>
        <w:ind w:firstLine="480"/>
        <w:rPr>
          <w:rFonts w:ascii="Times New Roman" w:hAnsi="Times New Roman"/>
          <w:b w:val="0"/>
          <w:color w:val="auto"/>
          <w:sz w:val="24"/>
          <w:szCs w:val="24"/>
        </w:rPr>
      </w:pPr>
      <w:r>
        <w:rPr>
          <w:rFonts w:ascii="Times New Roman" w:hAnsi="Times New Roman"/>
          <w:b w:val="0"/>
          <w:color w:val="auto"/>
          <w:sz w:val="24"/>
          <w:szCs w:val="24"/>
        </w:rPr>
        <w:t>效益费用流量计算</w:t>
      </w:r>
    </w:p>
    <w:p>
      <w:pPr>
        <w:ind w:firstLine="422" w:firstLineChars="200"/>
        <w:jc w:val="center"/>
        <w:rPr>
          <w:rFonts w:ascii="Times New Roman" w:hAnsi="Times New Roman"/>
          <w:color w:val="auto"/>
          <w:sz w:val="21"/>
          <w:szCs w:val="21"/>
        </w:rPr>
      </w:pPr>
      <w:r>
        <w:rPr>
          <w:rFonts w:ascii="Times New Roman" w:hAnsi="Times New Roman"/>
          <w:color w:val="auto"/>
          <w:sz w:val="21"/>
          <w:szCs w:val="21"/>
        </w:rPr>
        <w:t>效益费用流量表</w:t>
      </w:r>
      <w:r>
        <w:rPr>
          <w:rFonts w:hint="eastAsia" w:ascii="Times New Roman" w:hAnsi="Times New Roman"/>
          <w:color w:val="auto"/>
          <w:sz w:val="21"/>
          <w:szCs w:val="21"/>
        </w:rPr>
        <w:t xml:space="preserve">            </w:t>
      </w:r>
      <w:r>
        <w:rPr>
          <w:rFonts w:ascii="Times New Roman" w:hAnsi="Times New Roman"/>
          <w:color w:val="auto"/>
          <w:sz w:val="21"/>
          <w:szCs w:val="21"/>
        </w:rPr>
        <w:t>单位：万元</w:t>
      </w:r>
    </w:p>
    <w:tbl>
      <w:tblPr>
        <w:tblStyle w:val="32"/>
        <w:tblW w:w="9680" w:type="dxa"/>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620"/>
        <w:gridCol w:w="620"/>
        <w:gridCol w:w="524"/>
        <w:gridCol w:w="816"/>
        <w:gridCol w:w="816"/>
        <w:gridCol w:w="816"/>
        <w:gridCol w:w="816"/>
        <w:gridCol w:w="800"/>
        <w:gridCol w:w="684"/>
        <w:gridCol w:w="816"/>
        <w:gridCol w:w="816"/>
        <w:gridCol w:w="816"/>
        <w:gridCol w:w="784"/>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0" w:hRule="atLeast"/>
          <w:jc w:val="center"/>
        </w:trPr>
        <w:tc>
          <w:tcPr>
            <w:tcW w:w="1780" w:type="dxa"/>
            <w:gridSpan w:val="3"/>
            <w:vMerge w:val="restart"/>
            <w:shd w:val="clear" w:color="auto" w:fill="auto"/>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项　目</w:t>
            </w:r>
          </w:p>
        </w:tc>
        <w:tc>
          <w:tcPr>
            <w:tcW w:w="800" w:type="dxa"/>
            <w:vMerge w:val="restart"/>
            <w:shd w:val="clear" w:color="auto" w:fill="auto"/>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效益</w:t>
            </w:r>
            <w:r>
              <w:rPr>
                <w:rFonts w:hint="eastAsia" w:cs="宋体"/>
                <w:b w:val="0"/>
                <w:color w:val="auto"/>
                <w:kern w:val="0"/>
                <w:sz w:val="20"/>
                <w:szCs w:val="20"/>
                <w:highlight w:val="magenta"/>
              </w:rPr>
              <w:br w:type="textWrapping"/>
            </w:r>
            <w:r>
              <w:rPr>
                <w:rFonts w:hint="eastAsia" w:cs="宋体"/>
                <w:b w:val="0"/>
                <w:color w:val="auto"/>
                <w:kern w:val="0"/>
                <w:sz w:val="20"/>
                <w:szCs w:val="20"/>
                <w:highlight w:val="magenta"/>
              </w:rPr>
              <w:t>流量</w:t>
            </w:r>
            <w:r>
              <w:rPr>
                <w:rFonts w:hint="eastAsia" w:cs="宋体"/>
                <w:b w:val="0"/>
                <w:color w:val="auto"/>
                <w:kern w:val="0"/>
                <w:sz w:val="20"/>
                <w:szCs w:val="20"/>
                <w:highlight w:val="magenta"/>
              </w:rPr>
              <w:br w:type="textWrapping"/>
            </w:r>
            <w:r>
              <w:rPr>
                <w:rFonts w:hint="eastAsia" w:cs="宋体"/>
                <w:b w:val="0"/>
                <w:color w:val="auto"/>
                <w:kern w:val="0"/>
                <w:sz w:val="20"/>
                <w:szCs w:val="20"/>
                <w:highlight w:val="magenta"/>
              </w:rPr>
              <w:t>1</w:t>
            </w:r>
          </w:p>
        </w:tc>
        <w:tc>
          <w:tcPr>
            <w:tcW w:w="800" w:type="dxa"/>
            <w:vMerge w:val="restart"/>
            <w:shd w:val="clear" w:color="auto" w:fill="auto"/>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项目定量效益</w:t>
            </w:r>
            <w:r>
              <w:rPr>
                <w:rFonts w:hint="eastAsia" w:cs="宋体"/>
                <w:b w:val="0"/>
                <w:color w:val="auto"/>
                <w:kern w:val="0"/>
                <w:sz w:val="20"/>
                <w:szCs w:val="20"/>
                <w:highlight w:val="magenta"/>
              </w:rPr>
              <w:br w:type="textWrapping"/>
            </w:r>
            <w:r>
              <w:rPr>
                <w:rFonts w:hint="eastAsia" w:cs="宋体"/>
                <w:b w:val="0"/>
                <w:color w:val="auto"/>
                <w:kern w:val="0"/>
                <w:sz w:val="20"/>
                <w:szCs w:val="20"/>
                <w:highlight w:val="magenta"/>
              </w:rPr>
              <w:t>1.1</w:t>
            </w:r>
          </w:p>
        </w:tc>
        <w:tc>
          <w:tcPr>
            <w:tcW w:w="800" w:type="dxa"/>
            <w:vMerge w:val="restart"/>
            <w:shd w:val="clear" w:color="auto" w:fill="auto"/>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效益</w:t>
            </w:r>
            <w:r>
              <w:rPr>
                <w:rFonts w:hint="eastAsia" w:cs="宋体"/>
                <w:b w:val="0"/>
                <w:color w:val="auto"/>
                <w:kern w:val="0"/>
                <w:sz w:val="20"/>
                <w:szCs w:val="20"/>
                <w:highlight w:val="magenta"/>
              </w:rPr>
              <w:br w:type="textWrapping"/>
            </w:r>
            <w:r>
              <w:rPr>
                <w:rFonts w:hint="eastAsia" w:cs="宋体"/>
                <w:b w:val="0"/>
                <w:color w:val="auto"/>
                <w:kern w:val="0"/>
                <w:sz w:val="20"/>
                <w:szCs w:val="20"/>
                <w:highlight w:val="magenta"/>
              </w:rPr>
              <w:t>流量</w:t>
            </w:r>
            <w:r>
              <w:rPr>
                <w:rFonts w:hint="eastAsia" w:cs="宋体"/>
                <w:b w:val="0"/>
                <w:color w:val="auto"/>
                <w:kern w:val="0"/>
                <w:sz w:val="20"/>
                <w:szCs w:val="20"/>
                <w:highlight w:val="magenta"/>
              </w:rPr>
              <w:br w:type="textWrapping"/>
            </w:r>
            <w:r>
              <w:rPr>
                <w:rFonts w:hint="eastAsia" w:cs="宋体"/>
                <w:b w:val="0"/>
                <w:color w:val="auto"/>
                <w:kern w:val="0"/>
                <w:sz w:val="20"/>
                <w:szCs w:val="20"/>
                <w:highlight w:val="magenta"/>
              </w:rPr>
              <w:t>现值</w:t>
            </w:r>
          </w:p>
        </w:tc>
        <w:tc>
          <w:tcPr>
            <w:tcW w:w="800" w:type="dxa"/>
            <w:vMerge w:val="restart"/>
            <w:shd w:val="clear" w:color="auto" w:fill="auto"/>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费用</w:t>
            </w:r>
            <w:r>
              <w:rPr>
                <w:rFonts w:hint="eastAsia" w:cs="宋体"/>
                <w:b w:val="0"/>
                <w:color w:val="auto"/>
                <w:kern w:val="0"/>
                <w:sz w:val="20"/>
                <w:szCs w:val="20"/>
                <w:highlight w:val="magenta"/>
              </w:rPr>
              <w:br w:type="textWrapping"/>
            </w:r>
            <w:r>
              <w:rPr>
                <w:rFonts w:hint="eastAsia" w:cs="宋体"/>
                <w:b w:val="0"/>
                <w:color w:val="auto"/>
                <w:kern w:val="0"/>
                <w:sz w:val="20"/>
                <w:szCs w:val="20"/>
                <w:highlight w:val="magenta"/>
              </w:rPr>
              <w:t>流量</w:t>
            </w:r>
            <w:r>
              <w:rPr>
                <w:rFonts w:hint="eastAsia" w:cs="宋体"/>
                <w:b w:val="0"/>
                <w:color w:val="auto"/>
                <w:kern w:val="0"/>
                <w:sz w:val="20"/>
                <w:szCs w:val="20"/>
                <w:highlight w:val="magenta"/>
              </w:rPr>
              <w:br w:type="textWrapping"/>
            </w:r>
            <w:r>
              <w:rPr>
                <w:rFonts w:hint="eastAsia" w:cs="宋体"/>
                <w:b w:val="0"/>
                <w:color w:val="auto"/>
                <w:kern w:val="0"/>
                <w:sz w:val="20"/>
                <w:szCs w:val="20"/>
                <w:highlight w:val="magenta"/>
              </w:rPr>
              <w:t>2</w:t>
            </w:r>
          </w:p>
        </w:tc>
        <w:tc>
          <w:tcPr>
            <w:tcW w:w="800" w:type="dxa"/>
            <w:vMerge w:val="restart"/>
            <w:shd w:val="clear" w:color="auto" w:fill="auto"/>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建设</w:t>
            </w:r>
            <w:r>
              <w:rPr>
                <w:rFonts w:hint="eastAsia" w:cs="宋体"/>
                <w:b w:val="0"/>
                <w:color w:val="auto"/>
                <w:kern w:val="0"/>
                <w:sz w:val="20"/>
                <w:szCs w:val="20"/>
                <w:highlight w:val="magenta"/>
              </w:rPr>
              <w:br w:type="textWrapping"/>
            </w:r>
            <w:r>
              <w:rPr>
                <w:rFonts w:hint="eastAsia" w:cs="宋体"/>
                <w:b w:val="0"/>
                <w:color w:val="auto"/>
                <w:kern w:val="0"/>
                <w:sz w:val="20"/>
                <w:szCs w:val="20"/>
                <w:highlight w:val="magenta"/>
              </w:rPr>
              <w:t>费用</w:t>
            </w:r>
            <w:r>
              <w:rPr>
                <w:rFonts w:hint="eastAsia" w:cs="宋体"/>
                <w:b w:val="0"/>
                <w:color w:val="auto"/>
                <w:kern w:val="0"/>
                <w:sz w:val="20"/>
                <w:szCs w:val="20"/>
                <w:highlight w:val="magenta"/>
              </w:rPr>
              <w:br w:type="textWrapping"/>
            </w:r>
            <w:r>
              <w:rPr>
                <w:rFonts w:hint="eastAsia" w:cs="宋体"/>
                <w:b w:val="0"/>
                <w:color w:val="auto"/>
                <w:kern w:val="0"/>
                <w:sz w:val="20"/>
                <w:szCs w:val="20"/>
                <w:highlight w:val="magenta"/>
              </w:rPr>
              <w:t>2.1</w:t>
            </w:r>
          </w:p>
        </w:tc>
        <w:tc>
          <w:tcPr>
            <w:tcW w:w="700" w:type="dxa"/>
            <w:vMerge w:val="restart"/>
            <w:shd w:val="clear" w:color="auto" w:fill="auto"/>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大修</w:t>
            </w:r>
            <w:r>
              <w:rPr>
                <w:rFonts w:hint="eastAsia" w:cs="宋体"/>
                <w:b w:val="0"/>
                <w:color w:val="auto"/>
                <w:kern w:val="0"/>
                <w:sz w:val="20"/>
                <w:szCs w:val="20"/>
                <w:highlight w:val="magenta"/>
              </w:rPr>
              <w:br w:type="textWrapping"/>
            </w:r>
            <w:r>
              <w:rPr>
                <w:rFonts w:hint="eastAsia" w:cs="宋体"/>
                <w:b w:val="0"/>
                <w:color w:val="auto"/>
                <w:kern w:val="0"/>
                <w:sz w:val="20"/>
                <w:szCs w:val="20"/>
                <w:highlight w:val="magenta"/>
              </w:rPr>
              <w:t>理费</w:t>
            </w:r>
            <w:r>
              <w:rPr>
                <w:rFonts w:hint="eastAsia" w:cs="宋体"/>
                <w:b w:val="0"/>
                <w:color w:val="auto"/>
                <w:kern w:val="0"/>
                <w:sz w:val="20"/>
                <w:szCs w:val="20"/>
                <w:highlight w:val="magenta"/>
              </w:rPr>
              <w:br w:type="textWrapping"/>
            </w:r>
            <w:r>
              <w:rPr>
                <w:rFonts w:hint="eastAsia" w:cs="宋体"/>
                <w:b w:val="0"/>
                <w:color w:val="auto"/>
                <w:kern w:val="0"/>
                <w:sz w:val="20"/>
                <w:szCs w:val="20"/>
                <w:highlight w:val="magenta"/>
              </w:rPr>
              <w:t>2.2</w:t>
            </w:r>
          </w:p>
        </w:tc>
        <w:tc>
          <w:tcPr>
            <w:tcW w:w="800" w:type="dxa"/>
            <w:vMerge w:val="restart"/>
            <w:shd w:val="clear" w:color="auto" w:fill="auto"/>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维修管理费用</w:t>
            </w:r>
            <w:r>
              <w:rPr>
                <w:rFonts w:hint="eastAsia" w:cs="宋体"/>
                <w:b w:val="0"/>
                <w:color w:val="auto"/>
                <w:kern w:val="0"/>
                <w:sz w:val="20"/>
                <w:szCs w:val="20"/>
                <w:highlight w:val="magenta"/>
              </w:rPr>
              <w:br w:type="textWrapping"/>
            </w:r>
            <w:r>
              <w:rPr>
                <w:rFonts w:hint="eastAsia" w:cs="宋体"/>
                <w:b w:val="0"/>
                <w:color w:val="auto"/>
                <w:kern w:val="0"/>
                <w:sz w:val="20"/>
                <w:szCs w:val="20"/>
                <w:highlight w:val="magenta"/>
              </w:rPr>
              <w:t>2.3</w:t>
            </w:r>
          </w:p>
        </w:tc>
        <w:tc>
          <w:tcPr>
            <w:tcW w:w="800" w:type="dxa"/>
            <w:vMerge w:val="restart"/>
            <w:shd w:val="clear" w:color="auto" w:fill="auto"/>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费用</w:t>
            </w:r>
            <w:r>
              <w:rPr>
                <w:rFonts w:hint="eastAsia" w:cs="宋体"/>
                <w:b w:val="0"/>
                <w:color w:val="auto"/>
                <w:kern w:val="0"/>
                <w:sz w:val="20"/>
                <w:szCs w:val="20"/>
                <w:highlight w:val="magenta"/>
              </w:rPr>
              <w:br w:type="textWrapping"/>
            </w:r>
            <w:r>
              <w:rPr>
                <w:rFonts w:hint="eastAsia" w:cs="宋体"/>
                <w:b w:val="0"/>
                <w:color w:val="auto"/>
                <w:kern w:val="0"/>
                <w:sz w:val="20"/>
                <w:szCs w:val="20"/>
                <w:highlight w:val="magenta"/>
              </w:rPr>
              <w:t>流量</w:t>
            </w:r>
            <w:r>
              <w:rPr>
                <w:rFonts w:hint="eastAsia" w:cs="宋体"/>
                <w:b w:val="0"/>
                <w:color w:val="auto"/>
                <w:kern w:val="0"/>
                <w:sz w:val="20"/>
                <w:szCs w:val="20"/>
                <w:highlight w:val="magenta"/>
              </w:rPr>
              <w:br w:type="textWrapping"/>
            </w:r>
            <w:r>
              <w:rPr>
                <w:rFonts w:hint="eastAsia" w:cs="宋体"/>
                <w:b w:val="0"/>
                <w:color w:val="auto"/>
                <w:kern w:val="0"/>
                <w:sz w:val="20"/>
                <w:szCs w:val="20"/>
                <w:highlight w:val="magenta"/>
              </w:rPr>
              <w:t>现值</w:t>
            </w:r>
          </w:p>
        </w:tc>
        <w:tc>
          <w:tcPr>
            <w:tcW w:w="800" w:type="dxa"/>
            <w:vMerge w:val="restart"/>
            <w:shd w:val="clear" w:color="auto" w:fill="auto"/>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净流量</w:t>
            </w:r>
            <w:r>
              <w:rPr>
                <w:rFonts w:hint="eastAsia" w:cs="宋体"/>
                <w:b w:val="0"/>
                <w:color w:val="auto"/>
                <w:kern w:val="0"/>
                <w:sz w:val="20"/>
                <w:szCs w:val="20"/>
                <w:highlight w:val="magenta"/>
              </w:rPr>
              <w:br w:type="textWrapping"/>
            </w:r>
            <w:r>
              <w:rPr>
                <w:rFonts w:hint="eastAsia" w:cs="宋体"/>
                <w:b w:val="0"/>
                <w:color w:val="auto"/>
                <w:kern w:val="0"/>
                <w:sz w:val="20"/>
                <w:szCs w:val="20"/>
                <w:highlight w:val="magenta"/>
              </w:rPr>
              <w:br w:type="textWrapping"/>
            </w:r>
            <w:r>
              <w:rPr>
                <w:rFonts w:hint="eastAsia" w:cs="宋体"/>
                <w:b w:val="0"/>
                <w:color w:val="auto"/>
                <w:kern w:val="0"/>
                <w:sz w:val="20"/>
                <w:szCs w:val="20"/>
                <w:highlight w:val="magenta"/>
              </w:rPr>
              <w:t>3=1-2</w:t>
            </w:r>
          </w:p>
        </w:tc>
        <w:tc>
          <w:tcPr>
            <w:tcW w:w="800" w:type="dxa"/>
            <w:vMerge w:val="restart"/>
            <w:shd w:val="clear" w:color="auto" w:fill="auto"/>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净现值</w:t>
            </w:r>
            <w:r>
              <w:rPr>
                <w:rFonts w:hint="eastAsia" w:cs="宋体"/>
                <w:b w:val="0"/>
                <w:color w:val="auto"/>
                <w:kern w:val="0"/>
                <w:sz w:val="20"/>
                <w:szCs w:val="20"/>
                <w:highlight w:val="magenta"/>
              </w:rPr>
              <w:br w:type="textWrapping"/>
            </w:r>
            <w:r>
              <w:rPr>
                <w:rFonts w:hint="eastAsia" w:cs="宋体"/>
                <w:b w:val="0"/>
                <w:color w:val="auto"/>
                <w:kern w:val="0"/>
                <w:sz w:val="20"/>
                <w:szCs w:val="20"/>
                <w:highlight w:val="magenta"/>
              </w:rPr>
              <w:t>(8%)</w:t>
            </w:r>
            <w:r>
              <w:rPr>
                <w:rFonts w:hint="eastAsia" w:cs="宋体"/>
                <w:b w:val="0"/>
                <w:color w:val="auto"/>
                <w:kern w:val="0"/>
                <w:sz w:val="20"/>
                <w:szCs w:val="20"/>
                <w:highlight w:val="magenta"/>
              </w:rPr>
              <w:br w:type="textWrapping"/>
            </w:r>
            <w:r>
              <w:rPr>
                <w:rFonts w:hint="eastAsia" w:cs="宋体"/>
                <w:b w:val="0"/>
                <w:color w:val="auto"/>
                <w:kern w:val="0"/>
                <w:sz w:val="20"/>
                <w:szCs w:val="20"/>
                <w:highlight w:val="magenta"/>
              </w:rPr>
              <w:t>4</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0" w:hRule="atLeast"/>
          <w:jc w:val="center"/>
        </w:trPr>
        <w:tc>
          <w:tcPr>
            <w:tcW w:w="1780" w:type="dxa"/>
            <w:gridSpan w:val="3"/>
            <w:vMerge w:val="continue"/>
            <w:vAlign w:val="center"/>
          </w:tcPr>
          <w:p>
            <w:pPr>
              <w:widowControl/>
              <w:jc w:val="left"/>
              <w:rPr>
                <w:rFonts w:cs="宋体"/>
                <w:b w:val="0"/>
                <w:color w:val="auto"/>
                <w:kern w:val="0"/>
                <w:sz w:val="20"/>
                <w:szCs w:val="20"/>
                <w:highlight w:val="magenta"/>
              </w:rPr>
            </w:pPr>
          </w:p>
        </w:tc>
        <w:tc>
          <w:tcPr>
            <w:tcW w:w="800" w:type="dxa"/>
            <w:vMerge w:val="continue"/>
            <w:vAlign w:val="center"/>
          </w:tcPr>
          <w:p>
            <w:pPr>
              <w:widowControl/>
              <w:jc w:val="left"/>
              <w:rPr>
                <w:rFonts w:cs="宋体"/>
                <w:b w:val="0"/>
                <w:color w:val="auto"/>
                <w:kern w:val="0"/>
                <w:sz w:val="20"/>
                <w:szCs w:val="20"/>
                <w:highlight w:val="magenta"/>
              </w:rPr>
            </w:pPr>
          </w:p>
        </w:tc>
        <w:tc>
          <w:tcPr>
            <w:tcW w:w="800" w:type="dxa"/>
            <w:vMerge w:val="continue"/>
            <w:vAlign w:val="center"/>
          </w:tcPr>
          <w:p>
            <w:pPr>
              <w:widowControl/>
              <w:jc w:val="left"/>
              <w:rPr>
                <w:rFonts w:cs="宋体"/>
                <w:b w:val="0"/>
                <w:color w:val="auto"/>
                <w:kern w:val="0"/>
                <w:sz w:val="20"/>
                <w:szCs w:val="20"/>
                <w:highlight w:val="magenta"/>
              </w:rPr>
            </w:pPr>
          </w:p>
        </w:tc>
        <w:tc>
          <w:tcPr>
            <w:tcW w:w="800" w:type="dxa"/>
            <w:vMerge w:val="continue"/>
            <w:vAlign w:val="center"/>
          </w:tcPr>
          <w:p>
            <w:pPr>
              <w:widowControl/>
              <w:jc w:val="left"/>
              <w:rPr>
                <w:rFonts w:cs="宋体"/>
                <w:b w:val="0"/>
                <w:color w:val="auto"/>
                <w:kern w:val="0"/>
                <w:sz w:val="20"/>
                <w:szCs w:val="20"/>
                <w:highlight w:val="magenta"/>
              </w:rPr>
            </w:pPr>
          </w:p>
        </w:tc>
        <w:tc>
          <w:tcPr>
            <w:tcW w:w="800" w:type="dxa"/>
            <w:vMerge w:val="continue"/>
            <w:vAlign w:val="center"/>
          </w:tcPr>
          <w:p>
            <w:pPr>
              <w:widowControl/>
              <w:jc w:val="left"/>
              <w:rPr>
                <w:rFonts w:cs="宋体"/>
                <w:b w:val="0"/>
                <w:color w:val="auto"/>
                <w:kern w:val="0"/>
                <w:sz w:val="20"/>
                <w:szCs w:val="20"/>
                <w:highlight w:val="magenta"/>
              </w:rPr>
            </w:pPr>
          </w:p>
        </w:tc>
        <w:tc>
          <w:tcPr>
            <w:tcW w:w="800" w:type="dxa"/>
            <w:vMerge w:val="continue"/>
            <w:vAlign w:val="center"/>
          </w:tcPr>
          <w:p>
            <w:pPr>
              <w:widowControl/>
              <w:jc w:val="left"/>
              <w:rPr>
                <w:rFonts w:cs="宋体"/>
                <w:b w:val="0"/>
                <w:color w:val="auto"/>
                <w:kern w:val="0"/>
                <w:sz w:val="20"/>
                <w:szCs w:val="20"/>
                <w:highlight w:val="magenta"/>
              </w:rPr>
            </w:pPr>
          </w:p>
        </w:tc>
        <w:tc>
          <w:tcPr>
            <w:tcW w:w="700" w:type="dxa"/>
            <w:vMerge w:val="continue"/>
            <w:vAlign w:val="center"/>
          </w:tcPr>
          <w:p>
            <w:pPr>
              <w:widowControl/>
              <w:jc w:val="left"/>
              <w:rPr>
                <w:rFonts w:cs="宋体"/>
                <w:b w:val="0"/>
                <w:color w:val="auto"/>
                <w:kern w:val="0"/>
                <w:sz w:val="20"/>
                <w:szCs w:val="20"/>
                <w:highlight w:val="magenta"/>
              </w:rPr>
            </w:pPr>
          </w:p>
        </w:tc>
        <w:tc>
          <w:tcPr>
            <w:tcW w:w="800" w:type="dxa"/>
            <w:vMerge w:val="continue"/>
            <w:vAlign w:val="center"/>
          </w:tcPr>
          <w:p>
            <w:pPr>
              <w:widowControl/>
              <w:jc w:val="left"/>
              <w:rPr>
                <w:rFonts w:cs="宋体"/>
                <w:b w:val="0"/>
                <w:color w:val="auto"/>
                <w:kern w:val="0"/>
                <w:sz w:val="20"/>
                <w:szCs w:val="20"/>
                <w:highlight w:val="magenta"/>
              </w:rPr>
            </w:pPr>
          </w:p>
        </w:tc>
        <w:tc>
          <w:tcPr>
            <w:tcW w:w="800" w:type="dxa"/>
            <w:vMerge w:val="continue"/>
            <w:vAlign w:val="center"/>
          </w:tcPr>
          <w:p>
            <w:pPr>
              <w:widowControl/>
              <w:jc w:val="left"/>
              <w:rPr>
                <w:rFonts w:cs="宋体"/>
                <w:b w:val="0"/>
                <w:color w:val="auto"/>
                <w:kern w:val="0"/>
                <w:sz w:val="20"/>
                <w:szCs w:val="20"/>
                <w:highlight w:val="magenta"/>
              </w:rPr>
            </w:pPr>
          </w:p>
        </w:tc>
        <w:tc>
          <w:tcPr>
            <w:tcW w:w="800" w:type="dxa"/>
            <w:vMerge w:val="continue"/>
            <w:vAlign w:val="center"/>
          </w:tcPr>
          <w:p>
            <w:pPr>
              <w:widowControl/>
              <w:jc w:val="left"/>
              <w:rPr>
                <w:rFonts w:cs="宋体"/>
                <w:b w:val="0"/>
                <w:color w:val="auto"/>
                <w:kern w:val="0"/>
                <w:sz w:val="20"/>
                <w:szCs w:val="20"/>
                <w:highlight w:val="magenta"/>
              </w:rPr>
            </w:pPr>
          </w:p>
        </w:tc>
        <w:tc>
          <w:tcPr>
            <w:tcW w:w="800" w:type="dxa"/>
            <w:vMerge w:val="continue"/>
            <w:vAlign w:val="center"/>
          </w:tcPr>
          <w:p>
            <w:pPr>
              <w:widowControl/>
              <w:jc w:val="left"/>
              <w:rPr>
                <w:rFonts w:cs="宋体"/>
                <w:b w:val="0"/>
                <w:color w:val="auto"/>
                <w:kern w:val="0"/>
                <w:sz w:val="20"/>
                <w:szCs w:val="20"/>
                <w:highlight w:val="magenta"/>
              </w:rPr>
            </w:pP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0" w:hRule="atLeast"/>
          <w:jc w:val="center"/>
        </w:trPr>
        <w:tc>
          <w:tcPr>
            <w:tcW w:w="620" w:type="dxa"/>
            <w:vMerge w:val="restart"/>
            <w:shd w:val="clear" w:color="auto" w:fill="auto"/>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建</w:t>
            </w:r>
            <w:r>
              <w:rPr>
                <w:rFonts w:hint="eastAsia" w:cs="宋体"/>
                <w:b w:val="0"/>
                <w:color w:val="auto"/>
                <w:kern w:val="0"/>
                <w:sz w:val="20"/>
                <w:szCs w:val="20"/>
                <w:highlight w:val="magenta"/>
              </w:rPr>
              <w:br w:type="textWrapping"/>
            </w:r>
            <w:r>
              <w:rPr>
                <w:rFonts w:hint="eastAsia" w:cs="宋体"/>
                <w:b w:val="0"/>
                <w:color w:val="auto"/>
                <w:kern w:val="0"/>
                <w:sz w:val="20"/>
                <w:szCs w:val="20"/>
                <w:highlight w:val="magenta"/>
              </w:rPr>
              <w:t>设</w:t>
            </w:r>
            <w:r>
              <w:rPr>
                <w:rFonts w:hint="eastAsia" w:cs="宋体"/>
                <w:b w:val="0"/>
                <w:color w:val="auto"/>
                <w:kern w:val="0"/>
                <w:sz w:val="20"/>
                <w:szCs w:val="20"/>
                <w:highlight w:val="magenta"/>
              </w:rPr>
              <w:br w:type="textWrapping"/>
            </w:r>
            <w:r>
              <w:rPr>
                <w:rFonts w:hint="eastAsia" w:cs="宋体"/>
                <w:b w:val="0"/>
                <w:color w:val="auto"/>
                <w:kern w:val="0"/>
                <w:sz w:val="20"/>
                <w:szCs w:val="20"/>
                <w:highlight w:val="magenta"/>
              </w:rPr>
              <w:t>期</w:t>
            </w:r>
          </w:p>
        </w:tc>
        <w:tc>
          <w:tcPr>
            <w:tcW w:w="620" w:type="dxa"/>
            <w:shd w:val="clear" w:color="auto" w:fill="auto"/>
            <w:vAlign w:val="center"/>
          </w:tcPr>
          <w:p>
            <w:pPr>
              <w:widowControl/>
              <w:jc w:val="center"/>
              <w:rPr>
                <w:rFonts w:hint="eastAsia"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2023</w:t>
            </w:r>
          </w:p>
        </w:tc>
        <w:tc>
          <w:tcPr>
            <w:tcW w:w="54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1</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0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0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18242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18242 </w:t>
            </w:r>
          </w:p>
        </w:tc>
        <w:tc>
          <w:tcPr>
            <w:tcW w:w="7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18242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-18242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-18242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0" w:hRule="atLeast"/>
          <w:jc w:val="center"/>
        </w:trPr>
        <w:tc>
          <w:tcPr>
            <w:tcW w:w="620" w:type="dxa"/>
            <w:vMerge w:val="continue"/>
            <w:vAlign w:val="center"/>
          </w:tcPr>
          <w:p>
            <w:pPr>
              <w:widowControl/>
              <w:jc w:val="left"/>
              <w:rPr>
                <w:rFonts w:cs="宋体"/>
                <w:b w:val="0"/>
                <w:color w:val="auto"/>
                <w:kern w:val="0"/>
                <w:sz w:val="20"/>
                <w:szCs w:val="20"/>
                <w:highlight w:val="magenta"/>
              </w:rPr>
            </w:pPr>
          </w:p>
        </w:tc>
        <w:tc>
          <w:tcPr>
            <w:tcW w:w="62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2024</w:t>
            </w:r>
          </w:p>
        </w:tc>
        <w:tc>
          <w:tcPr>
            <w:tcW w:w="54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0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0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63847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63847 </w:t>
            </w:r>
          </w:p>
        </w:tc>
        <w:tc>
          <w:tcPr>
            <w:tcW w:w="7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59117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-63847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-59117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0" w:hRule="atLeast"/>
          <w:jc w:val="center"/>
        </w:trPr>
        <w:tc>
          <w:tcPr>
            <w:tcW w:w="620" w:type="dxa"/>
            <w:vMerge w:val="continue"/>
            <w:vAlign w:val="center"/>
          </w:tcPr>
          <w:p>
            <w:pPr>
              <w:widowControl/>
              <w:jc w:val="left"/>
              <w:rPr>
                <w:rFonts w:cs="宋体"/>
                <w:b w:val="0"/>
                <w:color w:val="auto"/>
                <w:kern w:val="0"/>
                <w:sz w:val="20"/>
                <w:szCs w:val="20"/>
                <w:highlight w:val="magenta"/>
              </w:rPr>
            </w:pPr>
          </w:p>
        </w:tc>
        <w:tc>
          <w:tcPr>
            <w:tcW w:w="62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2025</w:t>
            </w:r>
          </w:p>
        </w:tc>
        <w:tc>
          <w:tcPr>
            <w:tcW w:w="54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3</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0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0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9121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9121 </w:t>
            </w:r>
          </w:p>
        </w:tc>
        <w:tc>
          <w:tcPr>
            <w:tcW w:w="7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7820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-9121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-7820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0" w:hRule="atLeast"/>
          <w:jc w:val="center"/>
        </w:trPr>
        <w:tc>
          <w:tcPr>
            <w:tcW w:w="620" w:type="dxa"/>
            <w:vMerge w:val="restart"/>
            <w:shd w:val="clear" w:color="auto" w:fill="auto"/>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使</w:t>
            </w:r>
            <w:r>
              <w:rPr>
                <w:rFonts w:hint="eastAsia" w:cs="宋体"/>
                <w:b w:val="0"/>
                <w:color w:val="auto"/>
                <w:kern w:val="0"/>
                <w:sz w:val="20"/>
                <w:szCs w:val="20"/>
                <w:highlight w:val="magenta"/>
              </w:rPr>
              <w:br w:type="textWrapping"/>
            </w:r>
            <w:r>
              <w:rPr>
                <w:rFonts w:hint="eastAsia" w:cs="宋体"/>
                <w:b w:val="0"/>
                <w:color w:val="auto"/>
                <w:kern w:val="0"/>
                <w:sz w:val="20"/>
                <w:szCs w:val="20"/>
                <w:highlight w:val="magenta"/>
              </w:rPr>
              <w:t>用</w:t>
            </w:r>
            <w:r>
              <w:rPr>
                <w:rFonts w:hint="eastAsia" w:cs="宋体"/>
                <w:b w:val="0"/>
                <w:color w:val="auto"/>
                <w:kern w:val="0"/>
                <w:sz w:val="20"/>
                <w:szCs w:val="20"/>
                <w:highlight w:val="magenta"/>
              </w:rPr>
              <w:br w:type="textWrapping"/>
            </w:r>
            <w:r>
              <w:rPr>
                <w:rFonts w:hint="eastAsia" w:cs="宋体"/>
                <w:b w:val="0"/>
                <w:color w:val="auto"/>
                <w:kern w:val="0"/>
                <w:sz w:val="20"/>
                <w:szCs w:val="20"/>
                <w:highlight w:val="magenta"/>
              </w:rPr>
              <w:t>期</w:t>
            </w:r>
          </w:p>
        </w:tc>
        <w:tc>
          <w:tcPr>
            <w:tcW w:w="620" w:type="dxa"/>
            <w:shd w:val="clear" w:color="auto" w:fill="auto"/>
            <w:vAlign w:val="center"/>
          </w:tcPr>
          <w:p>
            <w:pPr>
              <w:widowControl/>
              <w:jc w:val="center"/>
              <w:rPr>
                <w:rFonts w:hint="eastAsia"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2025</w:t>
            </w:r>
          </w:p>
        </w:tc>
        <w:tc>
          <w:tcPr>
            <w:tcW w:w="54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1</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46265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46265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36726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4560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7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4560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3620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41704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33106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0" w:hRule="atLeast"/>
          <w:jc w:val="center"/>
        </w:trPr>
        <w:tc>
          <w:tcPr>
            <w:tcW w:w="620" w:type="dxa"/>
            <w:vMerge w:val="continue"/>
            <w:vAlign w:val="center"/>
          </w:tcPr>
          <w:p>
            <w:pPr>
              <w:widowControl/>
              <w:jc w:val="left"/>
              <w:rPr>
                <w:rFonts w:cs="宋体"/>
                <w:b w:val="0"/>
                <w:color w:val="auto"/>
                <w:kern w:val="0"/>
                <w:sz w:val="20"/>
                <w:szCs w:val="20"/>
                <w:highlight w:val="magenta"/>
              </w:rPr>
            </w:pPr>
          </w:p>
        </w:tc>
        <w:tc>
          <w:tcPr>
            <w:tcW w:w="62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2026</w:t>
            </w:r>
          </w:p>
        </w:tc>
        <w:tc>
          <w:tcPr>
            <w:tcW w:w="54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46407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46407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34111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4697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7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4697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3453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41710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30658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0" w:hRule="atLeast"/>
          <w:jc w:val="center"/>
        </w:trPr>
        <w:tc>
          <w:tcPr>
            <w:tcW w:w="620" w:type="dxa"/>
            <w:vMerge w:val="continue"/>
            <w:vAlign w:val="center"/>
          </w:tcPr>
          <w:p>
            <w:pPr>
              <w:widowControl/>
              <w:jc w:val="left"/>
              <w:rPr>
                <w:rFonts w:cs="宋体"/>
                <w:b w:val="0"/>
                <w:color w:val="auto"/>
                <w:kern w:val="0"/>
                <w:sz w:val="20"/>
                <w:szCs w:val="20"/>
                <w:highlight w:val="magenta"/>
              </w:rPr>
            </w:pPr>
          </w:p>
        </w:tc>
        <w:tc>
          <w:tcPr>
            <w:tcW w:w="62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2027</w:t>
            </w:r>
          </w:p>
        </w:tc>
        <w:tc>
          <w:tcPr>
            <w:tcW w:w="54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3</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46555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46555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31685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4838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7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4838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3293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41717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28392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0" w:hRule="atLeast"/>
          <w:jc w:val="center"/>
        </w:trPr>
        <w:tc>
          <w:tcPr>
            <w:tcW w:w="620" w:type="dxa"/>
            <w:vMerge w:val="continue"/>
            <w:vAlign w:val="center"/>
          </w:tcPr>
          <w:p>
            <w:pPr>
              <w:widowControl/>
              <w:jc w:val="left"/>
              <w:rPr>
                <w:rFonts w:cs="宋体"/>
                <w:b w:val="0"/>
                <w:color w:val="auto"/>
                <w:kern w:val="0"/>
                <w:sz w:val="20"/>
                <w:szCs w:val="20"/>
                <w:highlight w:val="magenta"/>
              </w:rPr>
            </w:pPr>
          </w:p>
        </w:tc>
        <w:tc>
          <w:tcPr>
            <w:tcW w:w="62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2028</w:t>
            </w:r>
          </w:p>
        </w:tc>
        <w:tc>
          <w:tcPr>
            <w:tcW w:w="54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4</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46709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46709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29435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4983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7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4983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3140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41726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26294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0" w:hRule="atLeast"/>
          <w:jc w:val="center"/>
        </w:trPr>
        <w:tc>
          <w:tcPr>
            <w:tcW w:w="620" w:type="dxa"/>
            <w:vMerge w:val="continue"/>
            <w:vAlign w:val="center"/>
          </w:tcPr>
          <w:p>
            <w:pPr>
              <w:widowControl/>
              <w:jc w:val="left"/>
              <w:rPr>
                <w:rFonts w:cs="宋体"/>
                <w:b w:val="0"/>
                <w:color w:val="auto"/>
                <w:kern w:val="0"/>
                <w:sz w:val="20"/>
                <w:szCs w:val="20"/>
                <w:highlight w:val="magenta"/>
              </w:rPr>
            </w:pPr>
          </w:p>
        </w:tc>
        <w:tc>
          <w:tcPr>
            <w:tcW w:w="62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2029</w:t>
            </w:r>
          </w:p>
        </w:tc>
        <w:tc>
          <w:tcPr>
            <w:tcW w:w="54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5</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46869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46869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27348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5133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7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5133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2995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41736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24353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0" w:hRule="atLeast"/>
          <w:jc w:val="center"/>
        </w:trPr>
        <w:tc>
          <w:tcPr>
            <w:tcW w:w="620" w:type="dxa"/>
            <w:vMerge w:val="continue"/>
            <w:vAlign w:val="center"/>
          </w:tcPr>
          <w:p>
            <w:pPr>
              <w:widowControl/>
              <w:jc w:val="left"/>
              <w:rPr>
                <w:rFonts w:cs="宋体"/>
                <w:b w:val="0"/>
                <w:color w:val="auto"/>
                <w:kern w:val="0"/>
                <w:sz w:val="20"/>
                <w:szCs w:val="20"/>
                <w:highlight w:val="magenta"/>
              </w:rPr>
            </w:pPr>
          </w:p>
        </w:tc>
        <w:tc>
          <w:tcPr>
            <w:tcW w:w="62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2030</w:t>
            </w:r>
          </w:p>
        </w:tc>
        <w:tc>
          <w:tcPr>
            <w:tcW w:w="54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6</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2435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2435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1316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5287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7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5287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2856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-2852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-1541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0" w:hRule="atLeast"/>
          <w:jc w:val="center"/>
        </w:trPr>
        <w:tc>
          <w:tcPr>
            <w:tcW w:w="620" w:type="dxa"/>
            <w:vMerge w:val="continue"/>
            <w:vAlign w:val="center"/>
          </w:tcPr>
          <w:p>
            <w:pPr>
              <w:widowControl/>
              <w:jc w:val="left"/>
              <w:rPr>
                <w:rFonts w:cs="宋体"/>
                <w:b w:val="0"/>
                <w:color w:val="auto"/>
                <w:kern w:val="0"/>
                <w:sz w:val="20"/>
                <w:szCs w:val="20"/>
                <w:highlight w:val="magenta"/>
              </w:rPr>
            </w:pPr>
          </w:p>
        </w:tc>
        <w:tc>
          <w:tcPr>
            <w:tcW w:w="62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2031</w:t>
            </w:r>
          </w:p>
        </w:tc>
        <w:tc>
          <w:tcPr>
            <w:tcW w:w="54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7</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2607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2607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1304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5445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7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5445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2724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-2839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-1420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0" w:hRule="atLeast"/>
          <w:jc w:val="center"/>
        </w:trPr>
        <w:tc>
          <w:tcPr>
            <w:tcW w:w="620" w:type="dxa"/>
            <w:vMerge w:val="continue"/>
            <w:vAlign w:val="center"/>
          </w:tcPr>
          <w:p>
            <w:pPr>
              <w:widowControl/>
              <w:jc w:val="left"/>
              <w:rPr>
                <w:rFonts w:cs="宋体"/>
                <w:b w:val="0"/>
                <w:color w:val="auto"/>
                <w:kern w:val="0"/>
                <w:sz w:val="20"/>
                <w:szCs w:val="20"/>
                <w:highlight w:val="magenta"/>
              </w:rPr>
            </w:pPr>
          </w:p>
        </w:tc>
        <w:tc>
          <w:tcPr>
            <w:tcW w:w="62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2032</w:t>
            </w:r>
          </w:p>
        </w:tc>
        <w:tc>
          <w:tcPr>
            <w:tcW w:w="54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8</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2784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2784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1290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5609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7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5609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2598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-2825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-1308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0" w:hRule="atLeast"/>
          <w:jc w:val="center"/>
        </w:trPr>
        <w:tc>
          <w:tcPr>
            <w:tcW w:w="620" w:type="dxa"/>
            <w:vMerge w:val="continue"/>
            <w:vAlign w:val="center"/>
          </w:tcPr>
          <w:p>
            <w:pPr>
              <w:widowControl/>
              <w:jc w:val="left"/>
              <w:rPr>
                <w:rFonts w:cs="宋体"/>
                <w:b w:val="0"/>
                <w:color w:val="auto"/>
                <w:kern w:val="0"/>
                <w:sz w:val="20"/>
                <w:szCs w:val="20"/>
                <w:highlight w:val="magenta"/>
              </w:rPr>
            </w:pPr>
          </w:p>
        </w:tc>
        <w:tc>
          <w:tcPr>
            <w:tcW w:w="62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2033</w:t>
            </w:r>
          </w:p>
        </w:tc>
        <w:tc>
          <w:tcPr>
            <w:tcW w:w="54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9</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2967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2967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1273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5777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7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5777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2478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-2810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-1205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0" w:hRule="atLeast"/>
          <w:jc w:val="center"/>
        </w:trPr>
        <w:tc>
          <w:tcPr>
            <w:tcW w:w="620" w:type="dxa"/>
            <w:vMerge w:val="continue"/>
            <w:vAlign w:val="center"/>
          </w:tcPr>
          <w:p>
            <w:pPr>
              <w:widowControl/>
              <w:jc w:val="left"/>
              <w:rPr>
                <w:rFonts w:cs="宋体"/>
                <w:b w:val="0"/>
                <w:color w:val="auto"/>
                <w:kern w:val="0"/>
                <w:sz w:val="20"/>
                <w:szCs w:val="20"/>
                <w:highlight w:val="magenta"/>
              </w:rPr>
            </w:pPr>
          </w:p>
        </w:tc>
        <w:tc>
          <w:tcPr>
            <w:tcW w:w="62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2034</w:t>
            </w:r>
          </w:p>
        </w:tc>
        <w:tc>
          <w:tcPr>
            <w:tcW w:w="54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10</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3157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3157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1254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15071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7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9121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5950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5985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-11915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-4731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0" w:hRule="atLeast"/>
          <w:jc w:val="center"/>
        </w:trPr>
        <w:tc>
          <w:tcPr>
            <w:tcW w:w="620" w:type="dxa"/>
            <w:vMerge w:val="continue"/>
            <w:vAlign w:val="center"/>
          </w:tcPr>
          <w:p>
            <w:pPr>
              <w:widowControl/>
              <w:jc w:val="left"/>
              <w:rPr>
                <w:rFonts w:cs="宋体"/>
                <w:b w:val="0"/>
                <w:color w:val="auto"/>
                <w:kern w:val="0"/>
                <w:sz w:val="20"/>
                <w:szCs w:val="20"/>
                <w:highlight w:val="magenta"/>
              </w:rPr>
            </w:pPr>
          </w:p>
        </w:tc>
        <w:tc>
          <w:tcPr>
            <w:tcW w:w="62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2035</w:t>
            </w:r>
          </w:p>
        </w:tc>
        <w:tc>
          <w:tcPr>
            <w:tcW w:w="54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11</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3449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3449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1268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6129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7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6129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2254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-2680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-985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0" w:hRule="atLeast"/>
          <w:jc w:val="center"/>
        </w:trPr>
        <w:tc>
          <w:tcPr>
            <w:tcW w:w="620" w:type="dxa"/>
            <w:vMerge w:val="continue"/>
            <w:vAlign w:val="center"/>
          </w:tcPr>
          <w:p>
            <w:pPr>
              <w:widowControl/>
              <w:jc w:val="left"/>
              <w:rPr>
                <w:rFonts w:cs="宋体"/>
                <w:b w:val="0"/>
                <w:color w:val="auto"/>
                <w:kern w:val="0"/>
                <w:sz w:val="20"/>
                <w:szCs w:val="20"/>
                <w:highlight w:val="magenta"/>
              </w:rPr>
            </w:pPr>
          </w:p>
        </w:tc>
        <w:tc>
          <w:tcPr>
            <w:tcW w:w="62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2036</w:t>
            </w:r>
          </w:p>
        </w:tc>
        <w:tc>
          <w:tcPr>
            <w:tcW w:w="54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12</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3680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3680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1253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6313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7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6313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2149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-2632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-896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0" w:hRule="atLeast"/>
          <w:jc w:val="center"/>
        </w:trPr>
        <w:tc>
          <w:tcPr>
            <w:tcW w:w="620" w:type="dxa"/>
            <w:vMerge w:val="continue"/>
            <w:vAlign w:val="center"/>
          </w:tcPr>
          <w:p>
            <w:pPr>
              <w:widowControl/>
              <w:jc w:val="left"/>
              <w:rPr>
                <w:rFonts w:cs="宋体"/>
                <w:b w:val="0"/>
                <w:color w:val="auto"/>
                <w:kern w:val="0"/>
                <w:sz w:val="20"/>
                <w:szCs w:val="20"/>
                <w:highlight w:val="magenta"/>
              </w:rPr>
            </w:pPr>
          </w:p>
        </w:tc>
        <w:tc>
          <w:tcPr>
            <w:tcW w:w="62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2037</w:t>
            </w:r>
          </w:p>
        </w:tc>
        <w:tc>
          <w:tcPr>
            <w:tcW w:w="54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13</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3919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3919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1235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6502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7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6502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2050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-2583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-814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0" w:hRule="atLeast"/>
          <w:jc w:val="center"/>
        </w:trPr>
        <w:tc>
          <w:tcPr>
            <w:tcW w:w="620" w:type="dxa"/>
            <w:vMerge w:val="continue"/>
            <w:vAlign w:val="center"/>
          </w:tcPr>
          <w:p>
            <w:pPr>
              <w:widowControl/>
              <w:jc w:val="left"/>
              <w:rPr>
                <w:rFonts w:cs="宋体"/>
                <w:b w:val="0"/>
                <w:color w:val="auto"/>
                <w:kern w:val="0"/>
                <w:sz w:val="20"/>
                <w:szCs w:val="20"/>
                <w:highlight w:val="magenta"/>
              </w:rPr>
            </w:pPr>
          </w:p>
        </w:tc>
        <w:tc>
          <w:tcPr>
            <w:tcW w:w="62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2038</w:t>
            </w:r>
          </w:p>
        </w:tc>
        <w:tc>
          <w:tcPr>
            <w:tcW w:w="54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14</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4165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4165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1216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6697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7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6697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1955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-2532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-739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0" w:hRule="atLeast"/>
          <w:jc w:val="center"/>
        </w:trPr>
        <w:tc>
          <w:tcPr>
            <w:tcW w:w="620" w:type="dxa"/>
            <w:vMerge w:val="continue"/>
            <w:vAlign w:val="center"/>
          </w:tcPr>
          <w:p>
            <w:pPr>
              <w:widowControl/>
              <w:jc w:val="left"/>
              <w:rPr>
                <w:rFonts w:cs="宋体"/>
                <w:b w:val="0"/>
                <w:color w:val="auto"/>
                <w:kern w:val="0"/>
                <w:sz w:val="20"/>
                <w:szCs w:val="20"/>
                <w:highlight w:val="magenta"/>
              </w:rPr>
            </w:pPr>
          </w:p>
        </w:tc>
        <w:tc>
          <w:tcPr>
            <w:tcW w:w="62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2039</w:t>
            </w:r>
          </w:p>
        </w:tc>
        <w:tc>
          <w:tcPr>
            <w:tcW w:w="54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15</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4418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4418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1194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6898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7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6898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1864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-2480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-670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0" w:hRule="atLeast"/>
          <w:jc w:val="center"/>
        </w:trPr>
        <w:tc>
          <w:tcPr>
            <w:tcW w:w="620" w:type="dxa"/>
            <w:vMerge w:val="continue"/>
            <w:vAlign w:val="center"/>
          </w:tcPr>
          <w:p>
            <w:pPr>
              <w:widowControl/>
              <w:jc w:val="left"/>
              <w:rPr>
                <w:rFonts w:cs="宋体"/>
                <w:b w:val="0"/>
                <w:color w:val="auto"/>
                <w:kern w:val="0"/>
                <w:sz w:val="20"/>
                <w:szCs w:val="20"/>
                <w:highlight w:val="magenta"/>
              </w:rPr>
            </w:pPr>
          </w:p>
        </w:tc>
        <w:tc>
          <w:tcPr>
            <w:tcW w:w="62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2040</w:t>
            </w:r>
          </w:p>
        </w:tc>
        <w:tc>
          <w:tcPr>
            <w:tcW w:w="54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16</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4679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4679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1171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7105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7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7105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1778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-2426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-607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0" w:hRule="atLeast"/>
          <w:jc w:val="center"/>
        </w:trPr>
        <w:tc>
          <w:tcPr>
            <w:tcW w:w="620" w:type="dxa"/>
            <w:vMerge w:val="continue"/>
            <w:vAlign w:val="center"/>
          </w:tcPr>
          <w:p>
            <w:pPr>
              <w:widowControl/>
              <w:jc w:val="left"/>
              <w:rPr>
                <w:rFonts w:cs="宋体"/>
                <w:b w:val="0"/>
                <w:color w:val="auto"/>
                <w:kern w:val="0"/>
                <w:sz w:val="20"/>
                <w:szCs w:val="20"/>
                <w:highlight w:val="magenta"/>
              </w:rPr>
            </w:pPr>
          </w:p>
        </w:tc>
        <w:tc>
          <w:tcPr>
            <w:tcW w:w="62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2041</w:t>
            </w:r>
          </w:p>
        </w:tc>
        <w:tc>
          <w:tcPr>
            <w:tcW w:w="54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17</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4955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4955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1148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7318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7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7318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1696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-2363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-548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0" w:hRule="atLeast"/>
          <w:jc w:val="center"/>
        </w:trPr>
        <w:tc>
          <w:tcPr>
            <w:tcW w:w="620" w:type="dxa"/>
            <w:vMerge w:val="continue"/>
            <w:vAlign w:val="center"/>
          </w:tcPr>
          <w:p>
            <w:pPr>
              <w:widowControl/>
              <w:jc w:val="left"/>
              <w:rPr>
                <w:rFonts w:cs="宋体"/>
                <w:b w:val="0"/>
                <w:color w:val="auto"/>
                <w:kern w:val="0"/>
                <w:sz w:val="20"/>
                <w:szCs w:val="20"/>
                <w:highlight w:val="magenta"/>
              </w:rPr>
            </w:pPr>
          </w:p>
        </w:tc>
        <w:tc>
          <w:tcPr>
            <w:tcW w:w="62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2042</w:t>
            </w:r>
          </w:p>
        </w:tc>
        <w:tc>
          <w:tcPr>
            <w:tcW w:w="54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18</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5238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5238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1124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7538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7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7538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1617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-2299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-493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0" w:hRule="atLeast"/>
          <w:jc w:val="center"/>
        </w:trPr>
        <w:tc>
          <w:tcPr>
            <w:tcW w:w="620" w:type="dxa"/>
            <w:vMerge w:val="continue"/>
            <w:vAlign w:val="center"/>
          </w:tcPr>
          <w:p>
            <w:pPr>
              <w:widowControl/>
              <w:jc w:val="left"/>
              <w:rPr>
                <w:rFonts w:cs="宋体"/>
                <w:b w:val="0"/>
                <w:color w:val="auto"/>
                <w:kern w:val="0"/>
                <w:sz w:val="20"/>
                <w:szCs w:val="20"/>
                <w:highlight w:val="magenta"/>
              </w:rPr>
            </w:pPr>
          </w:p>
        </w:tc>
        <w:tc>
          <w:tcPr>
            <w:tcW w:w="62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2043</w:t>
            </w:r>
          </w:p>
        </w:tc>
        <w:tc>
          <w:tcPr>
            <w:tcW w:w="54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19</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4165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4165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827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6697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7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6697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1330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-2532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-503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0" w:hRule="atLeast"/>
          <w:jc w:val="center"/>
        </w:trPr>
        <w:tc>
          <w:tcPr>
            <w:tcW w:w="620" w:type="dxa"/>
            <w:vMerge w:val="continue"/>
            <w:vAlign w:val="center"/>
          </w:tcPr>
          <w:p>
            <w:pPr>
              <w:widowControl/>
              <w:jc w:val="left"/>
              <w:rPr>
                <w:rFonts w:cs="宋体"/>
                <w:b w:val="0"/>
                <w:color w:val="auto"/>
                <w:kern w:val="0"/>
                <w:sz w:val="20"/>
                <w:szCs w:val="20"/>
                <w:highlight w:val="magenta"/>
              </w:rPr>
            </w:pPr>
          </w:p>
        </w:tc>
        <w:tc>
          <w:tcPr>
            <w:tcW w:w="62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2044</w:t>
            </w:r>
          </w:p>
        </w:tc>
        <w:tc>
          <w:tcPr>
            <w:tcW w:w="54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20</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4418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4418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813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-38707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-45605 </w:t>
            </w:r>
          </w:p>
        </w:tc>
        <w:tc>
          <w:tcPr>
            <w:tcW w:w="7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6898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-7120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43125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7932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0" w:hRule="atLeast"/>
          <w:jc w:val="center"/>
        </w:trPr>
        <w:tc>
          <w:tcPr>
            <w:tcW w:w="620" w:type="dxa"/>
            <w:shd w:val="clear" w:color="auto" w:fill="auto"/>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合计</w:t>
            </w:r>
          </w:p>
        </w:tc>
        <w:tc>
          <w:tcPr>
            <w:tcW w:w="620" w:type="dxa"/>
            <w:shd w:val="clear" w:color="auto" w:fill="auto"/>
            <w:vAlign w:val="center"/>
          </w:tcPr>
          <w:p>
            <w:pPr>
              <w:widowControl/>
              <w:jc w:val="center"/>
              <w:rPr>
                <w:rFonts w:hint="eastAsia"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54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289843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289843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176989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175102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45605 </w:t>
            </w:r>
          </w:p>
        </w:tc>
        <w:tc>
          <w:tcPr>
            <w:tcW w:w="7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9121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120377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127895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114741 </w:t>
            </w:r>
          </w:p>
        </w:tc>
        <w:tc>
          <w:tcPr>
            <w:tcW w:w="800" w:type="dxa"/>
            <w:shd w:val="clear" w:color="auto" w:fill="auto"/>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49094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90" w:hRule="atLeast"/>
          <w:jc w:val="center"/>
        </w:trPr>
        <w:tc>
          <w:tcPr>
            <w:tcW w:w="1240" w:type="dxa"/>
            <w:gridSpan w:val="2"/>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净现值:</w:t>
            </w:r>
          </w:p>
        </w:tc>
        <w:tc>
          <w:tcPr>
            <w:tcW w:w="1340" w:type="dxa"/>
            <w:gridSpan w:val="2"/>
            <w:shd w:val="clear" w:color="auto" w:fill="auto"/>
            <w:noWrap/>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 xml:space="preserve">49094 </w:t>
            </w:r>
          </w:p>
        </w:tc>
        <w:tc>
          <w:tcPr>
            <w:tcW w:w="1600" w:type="dxa"/>
            <w:gridSpan w:val="2"/>
            <w:shd w:val="clear" w:color="auto" w:fill="auto"/>
            <w:noWrap/>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内部收益率:</w:t>
            </w:r>
          </w:p>
        </w:tc>
        <w:tc>
          <w:tcPr>
            <w:tcW w:w="2300" w:type="dxa"/>
            <w:gridSpan w:val="3"/>
            <w:shd w:val="clear" w:color="auto" w:fill="auto"/>
            <w:noWrap/>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22.16%</w:t>
            </w:r>
          </w:p>
        </w:tc>
        <w:tc>
          <w:tcPr>
            <w:tcW w:w="1600" w:type="dxa"/>
            <w:gridSpan w:val="2"/>
            <w:shd w:val="clear" w:color="auto" w:fill="auto"/>
            <w:noWrap/>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效率费用比:</w:t>
            </w:r>
          </w:p>
        </w:tc>
        <w:tc>
          <w:tcPr>
            <w:tcW w:w="1600" w:type="dxa"/>
            <w:gridSpan w:val="2"/>
            <w:shd w:val="clear" w:color="auto" w:fill="auto"/>
            <w:noWrap/>
            <w:vAlign w:val="center"/>
          </w:tcPr>
          <w:p>
            <w:pPr>
              <w:widowControl/>
              <w:jc w:val="center"/>
              <w:rPr>
                <w:rFonts w:hint="eastAsia" w:cs="宋体"/>
                <w:b w:val="0"/>
                <w:color w:val="auto"/>
                <w:kern w:val="0"/>
                <w:sz w:val="20"/>
                <w:szCs w:val="20"/>
              </w:rPr>
            </w:pPr>
            <w:r>
              <w:rPr>
                <w:rFonts w:hint="eastAsia" w:cs="宋体"/>
                <w:b w:val="0"/>
                <w:color w:val="auto"/>
                <w:kern w:val="0"/>
                <w:sz w:val="20"/>
                <w:szCs w:val="20"/>
                <w:highlight w:val="magenta"/>
              </w:rPr>
              <w:t>1.38</w:t>
            </w:r>
            <w:r>
              <w:rPr>
                <w:rFonts w:hint="eastAsia" w:cs="宋体"/>
                <w:b w:val="0"/>
                <w:color w:val="auto"/>
                <w:kern w:val="0"/>
                <w:sz w:val="20"/>
                <w:szCs w:val="20"/>
              </w:rPr>
              <w:t xml:space="preserve"> </w:t>
            </w:r>
          </w:p>
        </w:tc>
      </w:tr>
    </w:tbl>
    <w:p>
      <w:pPr>
        <w:ind w:firstLine="562" w:firstLineChars="200"/>
        <w:jc w:val="center"/>
        <w:rPr>
          <w:rFonts w:ascii="Times New Roman" w:hAnsi="Times New Roman"/>
        </w:rPr>
      </w:pPr>
    </w:p>
    <w:p>
      <w:pPr>
        <w:spacing w:line="300" w:lineRule="auto"/>
        <w:ind w:firstLine="480" w:firstLineChars="200"/>
        <w:rPr>
          <w:rFonts w:ascii="Times New Roman" w:hAnsi="Times New Roman"/>
          <w:b w:val="0"/>
          <w:color w:val="auto"/>
          <w:sz w:val="24"/>
          <w:szCs w:val="24"/>
          <w:highlight w:val="cyan"/>
        </w:rPr>
      </w:pPr>
      <w:r>
        <w:rPr>
          <w:rFonts w:ascii="Times New Roman" w:hAnsi="Times New Roman"/>
          <w:b w:val="0"/>
          <w:color w:val="auto"/>
          <w:sz w:val="24"/>
          <w:szCs w:val="24"/>
          <w:highlight w:val="cyan"/>
        </w:rPr>
        <w:t>2、经济费用效益分析指标</w:t>
      </w:r>
    </w:p>
    <w:p>
      <w:pPr>
        <w:spacing w:line="300" w:lineRule="auto"/>
        <w:ind w:firstLine="480" w:firstLineChars="200"/>
        <w:rPr>
          <w:rFonts w:ascii="Times New Roman" w:hAnsi="Times New Roman"/>
          <w:b w:val="0"/>
          <w:color w:val="auto"/>
          <w:sz w:val="24"/>
          <w:szCs w:val="24"/>
          <w:highlight w:val="cyan"/>
        </w:rPr>
      </w:pPr>
      <w:r>
        <w:rPr>
          <w:rFonts w:ascii="Times New Roman" w:hAnsi="Times New Roman"/>
          <w:b w:val="0"/>
          <w:color w:val="auto"/>
          <w:sz w:val="24"/>
          <w:szCs w:val="24"/>
          <w:highlight w:val="cyan"/>
        </w:rPr>
        <w:t>国民经济评价指标见上面的效益费用流量表，计算结果如下：</w:t>
      </w:r>
    </w:p>
    <w:p>
      <w:pPr>
        <w:spacing w:line="300" w:lineRule="auto"/>
        <w:ind w:firstLine="480" w:firstLineChars="200"/>
        <w:rPr>
          <w:rFonts w:ascii="Times New Roman" w:hAnsi="Times New Roman"/>
          <w:b w:val="0"/>
          <w:color w:val="auto"/>
          <w:sz w:val="24"/>
          <w:szCs w:val="24"/>
          <w:highlight w:val="cyan"/>
        </w:rPr>
      </w:pPr>
      <w:r>
        <w:rPr>
          <w:rFonts w:ascii="Times New Roman" w:hAnsi="Times New Roman"/>
          <w:b w:val="0"/>
          <w:color w:val="auto"/>
          <w:sz w:val="24"/>
          <w:szCs w:val="24"/>
          <w:highlight w:val="cyan"/>
        </w:rPr>
        <w:t>（1）经济内部收益率为EIRR=22.16%，高于社会折现率8%，效益较好。</w:t>
      </w:r>
    </w:p>
    <w:p>
      <w:pPr>
        <w:spacing w:line="300" w:lineRule="auto"/>
        <w:ind w:firstLine="480" w:firstLineChars="200"/>
        <w:rPr>
          <w:rFonts w:ascii="Times New Roman" w:hAnsi="Times New Roman"/>
          <w:b w:val="0"/>
          <w:color w:val="auto"/>
          <w:sz w:val="24"/>
          <w:szCs w:val="24"/>
          <w:highlight w:val="cyan"/>
        </w:rPr>
      </w:pPr>
      <w:r>
        <w:rPr>
          <w:rFonts w:ascii="Times New Roman" w:hAnsi="Times New Roman"/>
          <w:b w:val="0"/>
          <w:color w:val="auto"/>
          <w:sz w:val="24"/>
          <w:szCs w:val="24"/>
          <w:highlight w:val="cyan"/>
        </w:rPr>
        <w:t>（2）经济净现值为ENPV=49094万元，大于0，表明经济效益较好。</w:t>
      </w:r>
    </w:p>
    <w:p>
      <w:pPr>
        <w:spacing w:line="300" w:lineRule="auto"/>
        <w:ind w:firstLine="480" w:firstLineChars="200"/>
        <w:rPr>
          <w:rFonts w:ascii="Times New Roman" w:hAnsi="Times New Roman"/>
          <w:b w:val="0"/>
          <w:color w:val="auto"/>
          <w:sz w:val="24"/>
          <w:szCs w:val="24"/>
          <w:highlight w:val="cyan"/>
        </w:rPr>
      </w:pPr>
      <w:r>
        <w:rPr>
          <w:rFonts w:ascii="Times New Roman" w:hAnsi="Times New Roman"/>
          <w:b w:val="0"/>
          <w:color w:val="auto"/>
          <w:sz w:val="24"/>
          <w:szCs w:val="24"/>
          <w:highlight w:val="cyan"/>
        </w:rPr>
        <w:t>（3）效益费用比为R</w:t>
      </w:r>
      <w:r>
        <w:rPr>
          <w:rFonts w:ascii="Times New Roman" w:hAnsi="Times New Roman"/>
          <w:b w:val="0"/>
          <w:color w:val="auto"/>
          <w:sz w:val="24"/>
          <w:szCs w:val="24"/>
          <w:highlight w:val="cyan"/>
          <w:vertAlign w:val="subscript"/>
        </w:rPr>
        <w:t>BC</w:t>
      </w:r>
      <w:r>
        <w:rPr>
          <w:rFonts w:ascii="Times New Roman" w:hAnsi="Times New Roman"/>
          <w:b w:val="0"/>
          <w:color w:val="auto"/>
          <w:sz w:val="24"/>
          <w:szCs w:val="24"/>
          <w:highlight w:val="cyan"/>
        </w:rPr>
        <w:t>=1.38，大于1，表明项目可以接受。</w:t>
      </w:r>
    </w:p>
    <w:p>
      <w:pPr>
        <w:pStyle w:val="5"/>
        <w:ind w:firstLine="482" w:firstLineChars="200"/>
        <w:rPr>
          <w:rFonts w:ascii="Times New Roman" w:hAnsi="Times New Roman"/>
        </w:rPr>
      </w:pPr>
      <w:r>
        <w:rPr>
          <w:rFonts w:ascii="Times New Roman" w:hAnsi="Times New Roman"/>
        </w:rPr>
        <w:t>敏感性分析</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由于项目有较多不确定性因素难以预测，为了分析这些不确定性因素对项目建设的影响，本报告按照费用上升、效益下降的经济学原理作出分析。选择两个主要的变动因素：一是交通量，二是经济费用（即投资额）。</w:t>
      </w:r>
    </w:p>
    <w:p>
      <w:pPr>
        <w:spacing w:line="300" w:lineRule="auto"/>
        <w:ind w:firstLine="480" w:firstLineChars="200"/>
        <w:rPr>
          <w:rFonts w:ascii="Times New Roman" w:hAnsi="Times New Roman"/>
          <w:b w:val="0"/>
          <w:color w:val="auto"/>
          <w:sz w:val="24"/>
          <w:szCs w:val="24"/>
        </w:rPr>
      </w:pPr>
    </w:p>
    <w:p>
      <w:pPr>
        <w:spacing w:line="300" w:lineRule="auto"/>
        <w:ind w:firstLine="480" w:firstLineChars="200"/>
        <w:rPr>
          <w:rFonts w:ascii="Times New Roman" w:hAnsi="Times New Roman"/>
          <w:b w:val="0"/>
          <w:color w:val="auto"/>
          <w:sz w:val="24"/>
          <w:szCs w:val="24"/>
        </w:rPr>
      </w:pP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详细分析结果见下表：</w:t>
      </w:r>
    </w:p>
    <w:p>
      <w:pPr>
        <w:pStyle w:val="120"/>
        <w:spacing w:line="240" w:lineRule="auto"/>
        <w:ind w:firstLine="422" w:firstLineChars="200"/>
        <w:jc w:val="center"/>
        <w:rPr>
          <w:rFonts w:ascii="Times New Roman" w:hAnsi="Times New Roman"/>
          <w:b/>
          <w:kern w:val="2"/>
          <w:sz w:val="21"/>
          <w:szCs w:val="21"/>
          <w:lang w:bidi="ar-SA"/>
        </w:rPr>
      </w:pPr>
      <w:r>
        <w:rPr>
          <w:rFonts w:ascii="Times New Roman" w:hAnsi="Times New Roman"/>
          <w:b/>
          <w:kern w:val="2"/>
          <w:sz w:val="21"/>
          <w:szCs w:val="21"/>
          <w:lang w:bidi="ar-SA"/>
        </w:rPr>
        <w:t>国民经济敏感性分析表</w:t>
      </w:r>
    </w:p>
    <w:tbl>
      <w:tblPr>
        <w:tblStyle w:val="32"/>
        <w:tblW w:w="8300" w:type="dxa"/>
        <w:jc w:val="center"/>
        <w:tblLayout w:type="autofit"/>
        <w:tblCellMar>
          <w:top w:w="0" w:type="dxa"/>
          <w:left w:w="108" w:type="dxa"/>
          <w:bottom w:w="0" w:type="dxa"/>
          <w:right w:w="108" w:type="dxa"/>
        </w:tblCellMar>
      </w:tblPr>
      <w:tblGrid>
        <w:gridCol w:w="1660"/>
        <w:gridCol w:w="1660"/>
        <w:gridCol w:w="1660"/>
        <w:gridCol w:w="1660"/>
        <w:gridCol w:w="1660"/>
      </w:tblGrid>
      <w:tr>
        <w:tblPrEx>
          <w:tblCellMar>
            <w:top w:w="0" w:type="dxa"/>
            <w:left w:w="108" w:type="dxa"/>
            <w:bottom w:w="0" w:type="dxa"/>
            <w:right w:w="108" w:type="dxa"/>
          </w:tblCellMar>
        </w:tblPrEx>
        <w:trPr>
          <w:trHeight w:val="435" w:hRule="atLeast"/>
          <w:jc w:val="center"/>
        </w:trPr>
        <w:tc>
          <w:tcPr>
            <w:tcW w:w="332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变化因素</w:t>
            </w:r>
          </w:p>
        </w:tc>
        <w:tc>
          <w:tcPr>
            <w:tcW w:w="1660" w:type="dxa"/>
            <w:vMerge w:val="restart"/>
            <w:tcBorders>
              <w:top w:val="single" w:color="auto" w:sz="4" w:space="0"/>
              <w:left w:val="single" w:color="auto" w:sz="4" w:space="0"/>
              <w:bottom w:val="single" w:color="000000" w:sz="4" w:space="0"/>
              <w:right w:val="single" w:color="auto" w:sz="4" w:space="0"/>
            </w:tcBorders>
            <w:shd w:val="clear" w:color="auto" w:fill="auto"/>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经济净现值</w:t>
            </w:r>
            <w:r>
              <w:rPr>
                <w:rFonts w:hint="eastAsia" w:cs="宋体"/>
                <w:b w:val="0"/>
                <w:color w:val="auto"/>
                <w:kern w:val="0"/>
                <w:sz w:val="20"/>
                <w:szCs w:val="20"/>
                <w:highlight w:val="magenta"/>
              </w:rPr>
              <w:br w:type="textWrapping"/>
            </w:r>
            <w:r>
              <w:rPr>
                <w:rFonts w:ascii="Times New Roman" w:hAnsi="Times New Roman"/>
                <w:b w:val="0"/>
                <w:color w:val="auto"/>
                <w:kern w:val="0"/>
                <w:sz w:val="20"/>
                <w:szCs w:val="20"/>
                <w:highlight w:val="magenta"/>
              </w:rPr>
              <w:t>(ENPV)</w:t>
            </w:r>
            <w:r>
              <w:rPr>
                <w:rFonts w:ascii="Times New Roman" w:hAnsi="Times New Roman"/>
                <w:b w:val="0"/>
                <w:color w:val="auto"/>
                <w:kern w:val="0"/>
                <w:sz w:val="20"/>
                <w:szCs w:val="20"/>
                <w:highlight w:val="magenta"/>
              </w:rPr>
              <w:br w:type="textWrapping"/>
            </w:r>
            <w:r>
              <w:rPr>
                <w:rFonts w:ascii="Times New Roman" w:hAnsi="Times New Roman"/>
                <w:b w:val="0"/>
                <w:color w:val="auto"/>
                <w:kern w:val="0"/>
                <w:sz w:val="20"/>
                <w:szCs w:val="20"/>
                <w:highlight w:val="magenta"/>
              </w:rPr>
              <w:t>(</w:t>
            </w:r>
            <w:r>
              <w:rPr>
                <w:rFonts w:hint="eastAsia" w:cs="宋体"/>
                <w:b w:val="0"/>
                <w:color w:val="auto"/>
                <w:kern w:val="0"/>
                <w:sz w:val="20"/>
                <w:szCs w:val="20"/>
                <w:highlight w:val="magenta"/>
              </w:rPr>
              <w:t>万元</w:t>
            </w:r>
            <w:r>
              <w:rPr>
                <w:rFonts w:ascii="Times New Roman" w:hAnsi="Times New Roman"/>
                <w:b w:val="0"/>
                <w:color w:val="auto"/>
                <w:kern w:val="0"/>
                <w:sz w:val="20"/>
                <w:szCs w:val="20"/>
                <w:highlight w:val="magenta"/>
              </w:rPr>
              <w:t>)</w:t>
            </w:r>
          </w:p>
        </w:tc>
        <w:tc>
          <w:tcPr>
            <w:tcW w:w="1660" w:type="dxa"/>
            <w:vMerge w:val="restart"/>
            <w:tcBorders>
              <w:top w:val="single" w:color="auto" w:sz="4" w:space="0"/>
              <w:left w:val="single" w:color="auto" w:sz="4" w:space="0"/>
              <w:bottom w:val="single" w:color="000000" w:sz="4" w:space="0"/>
              <w:right w:val="single" w:color="auto" w:sz="4" w:space="0"/>
            </w:tcBorders>
            <w:shd w:val="clear" w:color="auto" w:fill="auto"/>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经济内部收益率</w:t>
            </w:r>
            <w:r>
              <w:rPr>
                <w:rFonts w:hint="eastAsia" w:cs="宋体"/>
                <w:b w:val="0"/>
                <w:color w:val="auto"/>
                <w:kern w:val="0"/>
                <w:sz w:val="20"/>
                <w:szCs w:val="20"/>
                <w:highlight w:val="magenta"/>
              </w:rPr>
              <w:br w:type="textWrapping"/>
            </w:r>
            <w:r>
              <w:rPr>
                <w:rFonts w:ascii="Times New Roman" w:hAnsi="Times New Roman"/>
                <w:b w:val="0"/>
                <w:color w:val="auto"/>
                <w:kern w:val="0"/>
                <w:sz w:val="20"/>
                <w:szCs w:val="20"/>
                <w:highlight w:val="magenta"/>
              </w:rPr>
              <w:t>(EIRR)</w:t>
            </w:r>
            <w:r>
              <w:rPr>
                <w:rFonts w:ascii="Times New Roman" w:hAnsi="Times New Roman"/>
                <w:b w:val="0"/>
                <w:color w:val="auto"/>
                <w:kern w:val="0"/>
                <w:sz w:val="20"/>
                <w:szCs w:val="20"/>
                <w:highlight w:val="magenta"/>
              </w:rPr>
              <w:br w:type="textWrapping"/>
            </w:r>
            <w:r>
              <w:rPr>
                <w:rFonts w:ascii="Times New Roman" w:hAnsi="Times New Roman"/>
                <w:b w:val="0"/>
                <w:color w:val="auto"/>
                <w:kern w:val="0"/>
                <w:sz w:val="20"/>
                <w:szCs w:val="20"/>
                <w:highlight w:val="magenta"/>
              </w:rPr>
              <w:t>(%)</w:t>
            </w:r>
          </w:p>
        </w:tc>
        <w:tc>
          <w:tcPr>
            <w:tcW w:w="1660" w:type="dxa"/>
            <w:vMerge w:val="restart"/>
            <w:tcBorders>
              <w:top w:val="single" w:color="auto" w:sz="4" w:space="0"/>
              <w:left w:val="single" w:color="auto" w:sz="4" w:space="0"/>
              <w:bottom w:val="single" w:color="000000" w:sz="4" w:space="0"/>
              <w:right w:val="single" w:color="auto" w:sz="4" w:space="0"/>
            </w:tcBorders>
            <w:shd w:val="clear" w:color="auto" w:fill="auto"/>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效益费用比</w:t>
            </w:r>
            <w:r>
              <w:rPr>
                <w:rFonts w:hint="eastAsia" w:cs="宋体"/>
                <w:b w:val="0"/>
                <w:color w:val="auto"/>
                <w:kern w:val="0"/>
                <w:sz w:val="20"/>
                <w:szCs w:val="20"/>
                <w:highlight w:val="magenta"/>
              </w:rPr>
              <w:br w:type="textWrapping"/>
            </w:r>
            <w:r>
              <w:rPr>
                <w:rFonts w:ascii="Times New Roman" w:hAnsi="Times New Roman"/>
                <w:b w:val="0"/>
                <w:color w:val="auto"/>
                <w:kern w:val="0"/>
                <w:sz w:val="20"/>
                <w:szCs w:val="20"/>
                <w:highlight w:val="magenta"/>
              </w:rPr>
              <w:t>(R</w:t>
            </w:r>
            <w:r>
              <w:rPr>
                <w:rFonts w:ascii="Times New Roman" w:hAnsi="Times New Roman"/>
                <w:b w:val="0"/>
                <w:color w:val="auto"/>
                <w:kern w:val="0"/>
                <w:sz w:val="20"/>
                <w:szCs w:val="20"/>
                <w:highlight w:val="magenta"/>
                <w:vertAlign w:val="subscript"/>
              </w:rPr>
              <w:t>BC</w:t>
            </w:r>
            <w:r>
              <w:rPr>
                <w:rFonts w:ascii="Times New Roman" w:hAnsi="Times New Roman"/>
                <w:b w:val="0"/>
                <w:color w:val="auto"/>
                <w:kern w:val="0"/>
                <w:sz w:val="20"/>
                <w:szCs w:val="20"/>
                <w:highlight w:val="magenta"/>
              </w:rPr>
              <w:t>)</w:t>
            </w:r>
          </w:p>
        </w:tc>
      </w:tr>
      <w:tr>
        <w:tblPrEx>
          <w:tblCellMar>
            <w:top w:w="0" w:type="dxa"/>
            <w:left w:w="108" w:type="dxa"/>
            <w:bottom w:w="0" w:type="dxa"/>
            <w:right w:w="108" w:type="dxa"/>
          </w:tblCellMar>
        </w:tblPrEx>
        <w:trPr>
          <w:trHeight w:val="435" w:hRule="atLeast"/>
          <w:jc w:val="center"/>
        </w:trPr>
        <w:tc>
          <w:tcPr>
            <w:tcW w:w="166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交通量</w:t>
            </w:r>
          </w:p>
        </w:tc>
        <w:tc>
          <w:tcPr>
            <w:tcW w:w="1660" w:type="dxa"/>
            <w:tcBorders>
              <w:top w:val="nil"/>
              <w:left w:val="nil"/>
              <w:bottom w:val="single" w:color="auto" w:sz="4" w:space="0"/>
              <w:right w:val="single" w:color="auto" w:sz="4" w:space="0"/>
            </w:tcBorders>
            <w:shd w:val="clear" w:color="auto" w:fill="auto"/>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经济费用</w:t>
            </w:r>
          </w:p>
        </w:tc>
        <w:tc>
          <w:tcPr>
            <w:tcW w:w="1660" w:type="dxa"/>
            <w:vMerge w:val="continue"/>
            <w:tcBorders>
              <w:top w:val="single" w:color="auto" w:sz="4" w:space="0"/>
              <w:left w:val="single" w:color="auto" w:sz="4" w:space="0"/>
              <w:bottom w:val="single" w:color="000000" w:sz="4" w:space="0"/>
              <w:right w:val="single" w:color="auto" w:sz="4" w:space="0"/>
            </w:tcBorders>
            <w:vAlign w:val="center"/>
          </w:tcPr>
          <w:p>
            <w:pPr>
              <w:widowControl/>
              <w:jc w:val="left"/>
              <w:rPr>
                <w:rFonts w:cs="宋体"/>
                <w:b w:val="0"/>
                <w:color w:val="auto"/>
                <w:kern w:val="0"/>
                <w:sz w:val="20"/>
                <w:szCs w:val="20"/>
                <w:highlight w:val="magenta"/>
              </w:rPr>
            </w:pPr>
          </w:p>
        </w:tc>
        <w:tc>
          <w:tcPr>
            <w:tcW w:w="1660" w:type="dxa"/>
            <w:vMerge w:val="continue"/>
            <w:tcBorders>
              <w:top w:val="single" w:color="auto" w:sz="4" w:space="0"/>
              <w:left w:val="single" w:color="auto" w:sz="4" w:space="0"/>
              <w:bottom w:val="single" w:color="000000" w:sz="4" w:space="0"/>
              <w:right w:val="single" w:color="auto" w:sz="4" w:space="0"/>
            </w:tcBorders>
            <w:vAlign w:val="center"/>
          </w:tcPr>
          <w:p>
            <w:pPr>
              <w:widowControl/>
              <w:jc w:val="left"/>
              <w:rPr>
                <w:rFonts w:cs="宋体"/>
                <w:b w:val="0"/>
                <w:color w:val="auto"/>
                <w:kern w:val="0"/>
                <w:sz w:val="20"/>
                <w:szCs w:val="20"/>
                <w:highlight w:val="magenta"/>
              </w:rPr>
            </w:pPr>
          </w:p>
        </w:tc>
        <w:tc>
          <w:tcPr>
            <w:tcW w:w="1660" w:type="dxa"/>
            <w:vMerge w:val="continue"/>
            <w:tcBorders>
              <w:top w:val="single" w:color="auto" w:sz="4" w:space="0"/>
              <w:left w:val="single" w:color="auto" w:sz="4" w:space="0"/>
              <w:bottom w:val="single" w:color="000000" w:sz="4" w:space="0"/>
              <w:right w:val="single" w:color="auto" w:sz="4" w:space="0"/>
            </w:tcBorders>
            <w:vAlign w:val="center"/>
          </w:tcPr>
          <w:p>
            <w:pPr>
              <w:widowControl/>
              <w:jc w:val="left"/>
              <w:rPr>
                <w:rFonts w:cs="宋体"/>
                <w:b w:val="0"/>
                <w:color w:val="auto"/>
                <w:kern w:val="0"/>
                <w:sz w:val="20"/>
                <w:szCs w:val="20"/>
                <w:highlight w:val="magenta"/>
              </w:rPr>
            </w:pPr>
          </w:p>
        </w:tc>
      </w:tr>
      <w:tr>
        <w:tblPrEx>
          <w:tblCellMar>
            <w:top w:w="0" w:type="dxa"/>
            <w:left w:w="108" w:type="dxa"/>
            <w:bottom w:w="0" w:type="dxa"/>
            <w:right w:w="108" w:type="dxa"/>
          </w:tblCellMar>
        </w:tblPrEx>
        <w:trPr>
          <w:trHeight w:val="435" w:hRule="atLeast"/>
          <w:jc w:val="center"/>
        </w:trPr>
        <w:tc>
          <w:tcPr>
            <w:tcW w:w="1660"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 xml:space="preserve">0 </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 xml:space="preserve">0 </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hint="eastAsia"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49094 </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22.16%</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1.38 </w:t>
            </w:r>
          </w:p>
        </w:tc>
      </w:tr>
      <w:tr>
        <w:tblPrEx>
          <w:tblCellMar>
            <w:top w:w="0" w:type="dxa"/>
            <w:left w:w="108" w:type="dxa"/>
            <w:bottom w:w="0" w:type="dxa"/>
            <w:right w:w="108" w:type="dxa"/>
          </w:tblCellMar>
        </w:tblPrEx>
        <w:trPr>
          <w:trHeight w:val="435" w:hRule="atLeast"/>
          <w:jc w:val="center"/>
        </w:trPr>
        <w:tc>
          <w:tcPr>
            <w:tcW w:w="1660"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0 </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10%</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hint="eastAsia"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36305 </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18.18%</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1.26 </w:t>
            </w:r>
          </w:p>
        </w:tc>
      </w:tr>
      <w:tr>
        <w:tblPrEx>
          <w:tblCellMar>
            <w:top w:w="0" w:type="dxa"/>
            <w:left w:w="108" w:type="dxa"/>
            <w:bottom w:w="0" w:type="dxa"/>
            <w:right w:w="108" w:type="dxa"/>
          </w:tblCellMar>
        </w:tblPrEx>
        <w:trPr>
          <w:trHeight w:val="435" w:hRule="atLeast"/>
          <w:jc w:val="center"/>
        </w:trPr>
        <w:tc>
          <w:tcPr>
            <w:tcW w:w="1660"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 xml:space="preserve">0 </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20%</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hint="eastAsia"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23515 </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14.45%</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1.15 </w:t>
            </w:r>
          </w:p>
        </w:tc>
      </w:tr>
      <w:tr>
        <w:tblPrEx>
          <w:tblCellMar>
            <w:top w:w="0" w:type="dxa"/>
            <w:left w:w="108" w:type="dxa"/>
            <w:bottom w:w="0" w:type="dxa"/>
            <w:right w:w="108" w:type="dxa"/>
          </w:tblCellMar>
        </w:tblPrEx>
        <w:trPr>
          <w:trHeight w:val="435" w:hRule="atLeast"/>
          <w:jc w:val="center"/>
        </w:trPr>
        <w:tc>
          <w:tcPr>
            <w:tcW w:w="1660"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-10%</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 xml:space="preserve">0 </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hint="eastAsia"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46663 </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21.85%</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1.36 </w:t>
            </w:r>
          </w:p>
        </w:tc>
      </w:tr>
      <w:tr>
        <w:tblPrEx>
          <w:tblCellMar>
            <w:top w:w="0" w:type="dxa"/>
            <w:left w:w="108" w:type="dxa"/>
            <w:bottom w:w="0" w:type="dxa"/>
            <w:right w:w="108" w:type="dxa"/>
          </w:tblCellMar>
        </w:tblPrEx>
        <w:trPr>
          <w:trHeight w:val="435" w:hRule="atLeast"/>
          <w:jc w:val="center"/>
        </w:trPr>
        <w:tc>
          <w:tcPr>
            <w:tcW w:w="1660"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-20%</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 xml:space="preserve">0 </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hint="eastAsia"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44231 </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21.52%</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1.35 </w:t>
            </w:r>
          </w:p>
        </w:tc>
      </w:tr>
      <w:tr>
        <w:tblPrEx>
          <w:tblCellMar>
            <w:top w:w="0" w:type="dxa"/>
            <w:left w:w="108" w:type="dxa"/>
            <w:bottom w:w="0" w:type="dxa"/>
            <w:right w:w="108" w:type="dxa"/>
          </w:tblCellMar>
        </w:tblPrEx>
        <w:trPr>
          <w:trHeight w:val="435" w:hRule="atLeast"/>
          <w:jc w:val="center"/>
        </w:trPr>
        <w:tc>
          <w:tcPr>
            <w:tcW w:w="1660"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-10%</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10%</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hint="eastAsia"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33873 </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17.81%</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1.24 </w:t>
            </w:r>
          </w:p>
        </w:tc>
      </w:tr>
      <w:tr>
        <w:tblPrEx>
          <w:tblCellMar>
            <w:top w:w="0" w:type="dxa"/>
            <w:left w:w="108" w:type="dxa"/>
            <w:bottom w:w="0" w:type="dxa"/>
            <w:right w:w="108" w:type="dxa"/>
          </w:tblCellMar>
        </w:tblPrEx>
        <w:trPr>
          <w:trHeight w:val="435" w:hRule="atLeast"/>
          <w:jc w:val="center"/>
        </w:trPr>
        <w:tc>
          <w:tcPr>
            <w:tcW w:w="1660"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b w:val="0"/>
                <w:color w:val="auto"/>
                <w:kern w:val="0"/>
                <w:sz w:val="20"/>
                <w:szCs w:val="20"/>
                <w:highlight w:val="magenta"/>
              </w:rPr>
            </w:pPr>
            <w:r>
              <w:rPr>
                <w:rFonts w:hint="eastAsia" w:cs="宋体"/>
                <w:b w:val="0"/>
                <w:color w:val="auto"/>
                <w:kern w:val="0"/>
                <w:sz w:val="20"/>
                <w:szCs w:val="20"/>
                <w:highlight w:val="magenta"/>
              </w:rPr>
              <w:t>-20%</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hint="eastAsia" w:cs="宋体"/>
                <w:b w:val="0"/>
                <w:color w:val="auto"/>
                <w:kern w:val="0"/>
                <w:sz w:val="20"/>
                <w:szCs w:val="20"/>
                <w:highlight w:val="magenta"/>
              </w:rPr>
            </w:pPr>
            <w:r>
              <w:rPr>
                <w:rFonts w:hint="eastAsia" w:cs="宋体"/>
                <w:b w:val="0"/>
                <w:color w:val="auto"/>
                <w:kern w:val="0"/>
                <w:sz w:val="20"/>
                <w:szCs w:val="20"/>
                <w:highlight w:val="magenta"/>
              </w:rPr>
              <w:t>20%</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hint="eastAsia"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 xml:space="preserve">18652 </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ascii="Times New Roman" w:hAnsi="Times New Roman"/>
                <w:b w:val="0"/>
                <w:color w:val="auto"/>
                <w:kern w:val="0"/>
                <w:sz w:val="20"/>
                <w:szCs w:val="20"/>
                <w:highlight w:val="magenta"/>
              </w:rPr>
            </w:pPr>
            <w:r>
              <w:rPr>
                <w:rFonts w:ascii="Times New Roman" w:hAnsi="Times New Roman"/>
                <w:b w:val="0"/>
                <w:color w:val="auto"/>
                <w:kern w:val="0"/>
                <w:sz w:val="20"/>
                <w:szCs w:val="20"/>
                <w:highlight w:val="magenta"/>
              </w:rPr>
              <w:t>13.53%</w:t>
            </w:r>
          </w:p>
        </w:tc>
        <w:tc>
          <w:tcPr>
            <w:tcW w:w="1660" w:type="dxa"/>
            <w:tcBorders>
              <w:top w:val="nil"/>
              <w:left w:val="nil"/>
              <w:bottom w:val="single" w:color="auto" w:sz="4" w:space="0"/>
              <w:right w:val="single" w:color="auto" w:sz="4" w:space="0"/>
            </w:tcBorders>
            <w:shd w:val="clear" w:color="auto" w:fill="auto"/>
            <w:noWrap/>
            <w:vAlign w:val="center"/>
          </w:tcPr>
          <w:p>
            <w:pPr>
              <w:widowControl/>
              <w:jc w:val="center"/>
              <w:rPr>
                <w:rFonts w:ascii="Times New Roman" w:hAnsi="Times New Roman"/>
                <w:b w:val="0"/>
                <w:color w:val="auto"/>
                <w:kern w:val="0"/>
                <w:sz w:val="20"/>
                <w:szCs w:val="20"/>
              </w:rPr>
            </w:pPr>
            <w:r>
              <w:rPr>
                <w:rFonts w:ascii="Times New Roman" w:hAnsi="Times New Roman"/>
                <w:b w:val="0"/>
                <w:color w:val="auto"/>
                <w:kern w:val="0"/>
                <w:sz w:val="20"/>
                <w:szCs w:val="20"/>
                <w:highlight w:val="magenta"/>
              </w:rPr>
              <w:t>1.12</w:t>
            </w:r>
            <w:r>
              <w:rPr>
                <w:rFonts w:ascii="Times New Roman" w:hAnsi="Times New Roman"/>
                <w:b w:val="0"/>
                <w:color w:val="auto"/>
                <w:kern w:val="0"/>
                <w:sz w:val="20"/>
                <w:szCs w:val="20"/>
              </w:rPr>
              <w:t xml:space="preserve"> </w:t>
            </w:r>
          </w:p>
        </w:tc>
      </w:tr>
    </w:tbl>
    <w:p>
      <w:pPr>
        <w:pStyle w:val="120"/>
        <w:spacing w:line="240" w:lineRule="auto"/>
        <w:ind w:firstLine="422" w:firstLineChars="200"/>
        <w:jc w:val="center"/>
        <w:rPr>
          <w:rFonts w:ascii="Times New Roman" w:hAnsi="Times New Roman"/>
          <w:b/>
          <w:kern w:val="2"/>
          <w:sz w:val="21"/>
          <w:szCs w:val="21"/>
          <w:lang w:bidi="ar-SA"/>
        </w:rPr>
      </w:pP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由上表分析可见，经济费用增加20%或交通量减少20%的不利情况下，或经济费用增加10%及交通量减少10%的双向不利情况下，其经济内部收益率依然大于社会折现率8%、经济净现值大于0。</w:t>
      </w:r>
    </w:p>
    <w:p>
      <w:pPr>
        <w:pStyle w:val="4"/>
        <w:spacing w:line="300" w:lineRule="auto"/>
        <w:ind w:firstLine="482" w:firstLineChars="200"/>
      </w:pPr>
      <w:bookmarkStart w:id="404" w:name="_Toc101988173"/>
      <w:bookmarkStart w:id="405" w:name="_Toc131105772"/>
      <w:bookmarkStart w:id="406" w:name="_Toc113203791"/>
      <w:bookmarkStart w:id="407" w:name="_Toc77262795"/>
      <w:bookmarkStart w:id="408" w:name="_Toc56717036"/>
      <w:bookmarkStart w:id="409" w:name="_Toc20246"/>
      <w:r>
        <w:t>评价结论</w:t>
      </w:r>
      <w:bookmarkEnd w:id="404"/>
      <w:bookmarkEnd w:id="405"/>
      <w:bookmarkEnd w:id="406"/>
      <w:bookmarkEnd w:id="407"/>
      <w:bookmarkEnd w:id="408"/>
      <w:bookmarkEnd w:id="409"/>
    </w:p>
    <w:p>
      <w:pPr>
        <w:pStyle w:val="31"/>
        <w:spacing w:line="300" w:lineRule="auto"/>
        <w:ind w:firstLine="480" w:firstLineChars="200"/>
        <w:rPr>
          <w:rFonts w:ascii="Times New Roman" w:hAnsi="Times New Roman"/>
        </w:rPr>
      </w:pPr>
      <w:r>
        <w:rPr>
          <w:rFonts w:ascii="Times New Roman" w:hAnsi="Times New Roman"/>
          <w:b w:val="0"/>
          <w:color w:val="auto"/>
          <w:sz w:val="24"/>
          <w:szCs w:val="24"/>
        </w:rPr>
        <w:t>在国民经济评价中，还有其他效益如减少路网拥挤的效益、提高运输质量的效益、包装费用节约效益等，由于缺少量化数据，尚未计算在内。上述的计算结果表明：本项目具备一定的国民经济效益、经济盈利能力及抗风险能力，且该项目社会效益较好，因此该项目具有一定的经济合理性，是可行的。</w:t>
      </w:r>
    </w:p>
    <w:p>
      <w:pPr>
        <w:pStyle w:val="3"/>
        <w:ind w:firstLine="562" w:firstLineChars="200"/>
      </w:pPr>
      <w:bookmarkStart w:id="410" w:name="_Toc17574"/>
      <w:r>
        <w:t>社会影响分析</w:t>
      </w:r>
      <w:bookmarkEnd w:id="379"/>
      <w:bookmarkEnd w:id="410"/>
    </w:p>
    <w:p>
      <w:pPr>
        <w:pStyle w:val="4"/>
        <w:spacing w:line="300" w:lineRule="auto"/>
        <w:ind w:firstLine="482" w:firstLineChars="200"/>
      </w:pPr>
      <w:bookmarkStart w:id="411" w:name="_Toc139635536"/>
      <w:bookmarkStart w:id="412" w:name="_Toc17264"/>
      <w:r>
        <w:t>与项目关系密切的主要利益群体分析</w:t>
      </w:r>
      <w:bookmarkEnd w:id="411"/>
      <w:bookmarkEnd w:id="412"/>
    </w:p>
    <w:p>
      <w:pPr>
        <w:pStyle w:val="70"/>
        <w:ind w:firstLine="482" w:firstLineChars="200"/>
        <w:jc w:val="center"/>
        <w:rPr>
          <w:rFonts w:ascii="Times New Roman"/>
          <w:b/>
        </w:rPr>
      </w:pPr>
      <w:r>
        <w:rPr>
          <w:rFonts w:ascii="Times New Roman"/>
          <w:b/>
        </w:rPr>
        <w:t>项目所在地不同利益群体分析表</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8"/>
        <w:gridCol w:w="1045"/>
        <w:gridCol w:w="3774"/>
        <w:gridCol w:w="2696"/>
        <w:gridCol w:w="9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3" w:hRule="atLeast"/>
          <w:tblHeader/>
          <w:jc w:val="center"/>
        </w:trPr>
        <w:tc>
          <w:tcPr>
            <w:tcW w:w="1693" w:type="dxa"/>
            <w:gridSpan w:val="2"/>
            <w:vAlign w:val="center"/>
          </w:tcPr>
          <w:p>
            <w:pPr>
              <w:spacing w:line="240" w:lineRule="atLeast"/>
              <w:jc w:val="center"/>
              <w:rPr>
                <w:rFonts w:ascii="Times New Roman" w:hAnsi="Times New Roman"/>
                <w:b w:val="0"/>
                <w:bCs/>
                <w:color w:val="auto"/>
                <w:sz w:val="24"/>
                <w:szCs w:val="24"/>
              </w:rPr>
            </w:pPr>
            <w:r>
              <w:rPr>
                <w:rFonts w:ascii="Times New Roman" w:hAnsi="Times New Roman"/>
                <w:b w:val="0"/>
                <w:bCs/>
                <w:color w:val="auto"/>
                <w:sz w:val="24"/>
                <w:szCs w:val="24"/>
              </w:rPr>
              <w:t>利益群体</w:t>
            </w:r>
          </w:p>
        </w:tc>
        <w:tc>
          <w:tcPr>
            <w:tcW w:w="3774" w:type="dxa"/>
            <w:vAlign w:val="center"/>
          </w:tcPr>
          <w:p>
            <w:pPr>
              <w:jc w:val="center"/>
              <w:rPr>
                <w:rFonts w:ascii="Times New Roman" w:hAnsi="Times New Roman"/>
                <w:b w:val="0"/>
                <w:bCs/>
                <w:color w:val="auto"/>
                <w:sz w:val="24"/>
                <w:szCs w:val="24"/>
              </w:rPr>
            </w:pPr>
            <w:r>
              <w:rPr>
                <w:rFonts w:ascii="Times New Roman" w:hAnsi="Times New Roman"/>
                <w:b w:val="0"/>
                <w:bCs/>
                <w:color w:val="auto"/>
                <w:sz w:val="24"/>
                <w:szCs w:val="24"/>
              </w:rPr>
              <w:t>对项目的兴趣</w:t>
            </w:r>
          </w:p>
        </w:tc>
        <w:tc>
          <w:tcPr>
            <w:tcW w:w="2696" w:type="dxa"/>
            <w:vAlign w:val="center"/>
          </w:tcPr>
          <w:p>
            <w:pPr>
              <w:jc w:val="center"/>
              <w:rPr>
                <w:rFonts w:ascii="Times New Roman" w:hAnsi="Times New Roman"/>
                <w:b w:val="0"/>
                <w:bCs/>
                <w:color w:val="auto"/>
                <w:spacing w:val="-12"/>
                <w:sz w:val="24"/>
                <w:szCs w:val="24"/>
              </w:rPr>
            </w:pPr>
            <w:r>
              <w:rPr>
                <w:rFonts w:ascii="Times New Roman" w:hAnsi="Times New Roman"/>
                <w:b w:val="0"/>
                <w:bCs/>
                <w:color w:val="auto"/>
                <w:spacing w:val="-12"/>
                <w:sz w:val="24"/>
                <w:szCs w:val="24"/>
              </w:rPr>
              <w:t>对项目的态度和要求</w:t>
            </w:r>
          </w:p>
        </w:tc>
        <w:tc>
          <w:tcPr>
            <w:tcW w:w="931" w:type="dxa"/>
            <w:vAlign w:val="center"/>
          </w:tcPr>
          <w:p>
            <w:pPr>
              <w:jc w:val="center"/>
              <w:rPr>
                <w:rFonts w:ascii="Times New Roman" w:hAnsi="Times New Roman"/>
                <w:b w:val="0"/>
                <w:bCs/>
                <w:color w:val="auto"/>
                <w:sz w:val="24"/>
                <w:szCs w:val="24"/>
              </w:rPr>
            </w:pPr>
            <w:r>
              <w:rPr>
                <w:rFonts w:ascii="Times New Roman" w:hAnsi="Times New Roman"/>
                <w:b w:val="0"/>
                <w:bCs/>
                <w:color w:val="auto"/>
                <w:sz w:val="24"/>
                <w:szCs w:val="24"/>
              </w:rPr>
              <w:t>权力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20" w:hRule="atLeast"/>
          <w:jc w:val="center"/>
        </w:trPr>
        <w:tc>
          <w:tcPr>
            <w:tcW w:w="648" w:type="dxa"/>
            <w:vMerge w:val="restart"/>
            <w:vAlign w:val="center"/>
          </w:tcPr>
          <w:p>
            <w:pPr>
              <w:spacing w:line="240" w:lineRule="atLeast"/>
              <w:jc w:val="center"/>
              <w:rPr>
                <w:rFonts w:ascii="Times New Roman" w:hAnsi="Times New Roman"/>
                <w:b w:val="0"/>
                <w:bCs/>
                <w:color w:val="auto"/>
                <w:sz w:val="24"/>
                <w:szCs w:val="24"/>
              </w:rPr>
            </w:pPr>
            <w:r>
              <w:rPr>
                <w:rFonts w:ascii="Times New Roman" w:hAnsi="Times New Roman"/>
                <w:b w:val="0"/>
                <w:bCs/>
                <w:color w:val="auto"/>
                <w:sz w:val="24"/>
                <w:szCs w:val="24"/>
              </w:rPr>
              <w:t>直接利益群体</w:t>
            </w:r>
          </w:p>
        </w:tc>
        <w:tc>
          <w:tcPr>
            <w:tcW w:w="1045" w:type="dxa"/>
            <w:vAlign w:val="center"/>
          </w:tcPr>
          <w:p>
            <w:pPr>
              <w:spacing w:line="240" w:lineRule="atLeast"/>
              <w:ind w:left="95" w:leftChars="34"/>
              <w:rPr>
                <w:rFonts w:ascii="Times New Roman" w:hAnsi="Times New Roman"/>
                <w:b w:val="0"/>
                <w:bCs/>
                <w:color w:val="auto"/>
                <w:sz w:val="24"/>
                <w:szCs w:val="24"/>
              </w:rPr>
            </w:pPr>
            <w:r>
              <w:rPr>
                <w:rFonts w:ascii="Times New Roman" w:hAnsi="Times New Roman"/>
                <w:b w:val="0"/>
                <w:bCs/>
                <w:color w:val="auto"/>
                <w:sz w:val="24"/>
                <w:szCs w:val="24"/>
              </w:rPr>
              <w:t>商业区</w:t>
            </w:r>
          </w:p>
        </w:tc>
        <w:tc>
          <w:tcPr>
            <w:tcW w:w="3774" w:type="dxa"/>
            <w:vAlign w:val="center"/>
          </w:tcPr>
          <w:p>
            <w:pPr>
              <w:rPr>
                <w:rFonts w:ascii="Times New Roman" w:hAnsi="Times New Roman"/>
                <w:b w:val="0"/>
                <w:bCs/>
                <w:color w:val="auto"/>
                <w:sz w:val="24"/>
                <w:szCs w:val="24"/>
              </w:rPr>
            </w:pPr>
            <w:r>
              <w:rPr>
                <w:rFonts w:ascii="Times New Roman" w:hAnsi="Times New Roman"/>
                <w:b w:val="0"/>
                <w:bCs/>
                <w:color w:val="auto"/>
                <w:sz w:val="24"/>
                <w:szCs w:val="24"/>
              </w:rPr>
              <w:t>本项目建成后，土地将升值，商业、居住人流量增加、经济效益将大幅度改善。</w:t>
            </w:r>
          </w:p>
        </w:tc>
        <w:tc>
          <w:tcPr>
            <w:tcW w:w="2696" w:type="dxa"/>
            <w:vAlign w:val="center"/>
          </w:tcPr>
          <w:p>
            <w:pPr>
              <w:rPr>
                <w:rFonts w:ascii="Times New Roman" w:hAnsi="Times New Roman"/>
                <w:b w:val="0"/>
                <w:bCs/>
                <w:color w:val="auto"/>
                <w:sz w:val="24"/>
                <w:szCs w:val="24"/>
              </w:rPr>
            </w:pPr>
            <w:r>
              <w:rPr>
                <w:rFonts w:ascii="Times New Roman" w:hAnsi="Times New Roman"/>
                <w:b w:val="0"/>
                <w:bCs/>
                <w:color w:val="auto"/>
                <w:sz w:val="24"/>
                <w:szCs w:val="24"/>
              </w:rPr>
              <w:t>对项目建设表示极大支持。希望项目尽快建成。</w:t>
            </w:r>
          </w:p>
        </w:tc>
        <w:tc>
          <w:tcPr>
            <w:tcW w:w="931" w:type="dxa"/>
            <w:vAlign w:val="center"/>
          </w:tcPr>
          <w:p>
            <w:pPr>
              <w:jc w:val="center"/>
              <w:rPr>
                <w:rFonts w:ascii="Times New Roman" w:hAnsi="Times New Roman"/>
                <w:b w:val="0"/>
                <w:bCs/>
                <w:color w:val="auto"/>
                <w:sz w:val="24"/>
                <w:szCs w:val="24"/>
              </w:rPr>
            </w:pPr>
            <w:r>
              <w:rPr>
                <w:rFonts w:ascii="Times New Roman" w:hAnsi="Times New Roman"/>
                <w:b w:val="0"/>
                <w:bCs/>
                <w:color w:val="auto"/>
                <w:sz w:val="24"/>
                <w:szCs w:val="24"/>
              </w:rPr>
              <w:t>很小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38" w:hRule="atLeast"/>
          <w:jc w:val="center"/>
        </w:trPr>
        <w:tc>
          <w:tcPr>
            <w:tcW w:w="648" w:type="dxa"/>
            <w:vMerge w:val="continue"/>
            <w:vAlign w:val="center"/>
          </w:tcPr>
          <w:p>
            <w:pPr>
              <w:spacing w:line="240" w:lineRule="atLeast"/>
              <w:jc w:val="center"/>
              <w:rPr>
                <w:rFonts w:ascii="Times New Roman" w:hAnsi="Times New Roman"/>
                <w:b w:val="0"/>
                <w:bCs/>
                <w:color w:val="auto"/>
                <w:sz w:val="24"/>
                <w:szCs w:val="24"/>
              </w:rPr>
            </w:pPr>
          </w:p>
        </w:tc>
        <w:tc>
          <w:tcPr>
            <w:tcW w:w="1045" w:type="dxa"/>
            <w:vAlign w:val="center"/>
          </w:tcPr>
          <w:p>
            <w:pPr>
              <w:spacing w:line="240" w:lineRule="atLeast"/>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住宅</w:t>
            </w:r>
          </w:p>
          <w:p>
            <w:pPr>
              <w:spacing w:line="240" w:lineRule="atLeast"/>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居民、</w:t>
            </w:r>
          </w:p>
          <w:p>
            <w:pPr>
              <w:spacing w:line="240" w:lineRule="atLeast"/>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村民</w:t>
            </w:r>
          </w:p>
        </w:tc>
        <w:tc>
          <w:tcPr>
            <w:tcW w:w="3774" w:type="dxa"/>
            <w:vAlign w:val="center"/>
          </w:tcPr>
          <w:p>
            <w:pPr>
              <w:rPr>
                <w:rFonts w:ascii="Times New Roman" w:hAnsi="Times New Roman"/>
                <w:b w:val="0"/>
                <w:bCs/>
                <w:color w:val="auto"/>
                <w:sz w:val="24"/>
                <w:szCs w:val="24"/>
              </w:rPr>
            </w:pPr>
            <w:r>
              <w:rPr>
                <w:rFonts w:ascii="Times New Roman" w:hAnsi="Times New Roman"/>
                <w:b w:val="0"/>
                <w:bCs/>
                <w:color w:val="auto"/>
                <w:sz w:val="24"/>
                <w:szCs w:val="24"/>
              </w:rPr>
              <w:t>方便周边出行居民，土地升值，房屋涨价；居住环境改善，居所成为新城区中心。</w:t>
            </w:r>
          </w:p>
        </w:tc>
        <w:tc>
          <w:tcPr>
            <w:tcW w:w="2696" w:type="dxa"/>
            <w:vAlign w:val="center"/>
          </w:tcPr>
          <w:p>
            <w:pPr>
              <w:rPr>
                <w:rFonts w:ascii="Times New Roman" w:hAnsi="Times New Roman"/>
                <w:b w:val="0"/>
                <w:bCs/>
                <w:color w:val="auto"/>
                <w:sz w:val="24"/>
                <w:szCs w:val="24"/>
              </w:rPr>
            </w:pPr>
            <w:r>
              <w:rPr>
                <w:rFonts w:ascii="Times New Roman" w:hAnsi="Times New Roman"/>
                <w:b w:val="0"/>
                <w:bCs/>
                <w:color w:val="auto"/>
                <w:sz w:val="24"/>
                <w:szCs w:val="24"/>
              </w:rPr>
              <w:t>对项目建设表示极大支持。希望项目尽快建成。</w:t>
            </w:r>
          </w:p>
        </w:tc>
        <w:tc>
          <w:tcPr>
            <w:tcW w:w="931" w:type="dxa"/>
            <w:vAlign w:val="center"/>
          </w:tcPr>
          <w:p>
            <w:pPr>
              <w:jc w:val="center"/>
              <w:rPr>
                <w:rFonts w:ascii="Times New Roman" w:hAnsi="Times New Roman"/>
                <w:b w:val="0"/>
                <w:bCs/>
                <w:color w:val="auto"/>
                <w:sz w:val="24"/>
                <w:szCs w:val="24"/>
              </w:rPr>
            </w:pPr>
            <w:r>
              <w:rPr>
                <w:rFonts w:ascii="Times New Roman" w:hAnsi="Times New Roman"/>
                <w:b w:val="0"/>
                <w:bCs/>
                <w:color w:val="auto"/>
                <w:sz w:val="24"/>
                <w:szCs w:val="24"/>
              </w:rPr>
              <w:t>很小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52" w:hRule="atLeast"/>
          <w:jc w:val="center"/>
        </w:trPr>
        <w:tc>
          <w:tcPr>
            <w:tcW w:w="648" w:type="dxa"/>
            <w:vMerge w:val="continue"/>
            <w:vAlign w:val="center"/>
          </w:tcPr>
          <w:p>
            <w:pPr>
              <w:spacing w:line="240" w:lineRule="atLeast"/>
              <w:jc w:val="center"/>
              <w:rPr>
                <w:rFonts w:ascii="Times New Roman" w:hAnsi="Times New Roman"/>
                <w:b w:val="0"/>
                <w:bCs/>
                <w:color w:val="auto"/>
                <w:sz w:val="24"/>
                <w:szCs w:val="24"/>
              </w:rPr>
            </w:pPr>
          </w:p>
        </w:tc>
        <w:tc>
          <w:tcPr>
            <w:tcW w:w="1045" w:type="dxa"/>
            <w:vAlign w:val="center"/>
          </w:tcPr>
          <w:p>
            <w:pPr>
              <w:spacing w:line="240" w:lineRule="atLeast"/>
              <w:ind w:firstLine="72" w:firstLineChars="30"/>
              <w:jc w:val="center"/>
              <w:rPr>
                <w:rFonts w:ascii="Times New Roman" w:hAnsi="Times New Roman"/>
                <w:b w:val="0"/>
                <w:bCs/>
                <w:color w:val="auto"/>
                <w:sz w:val="24"/>
                <w:szCs w:val="24"/>
              </w:rPr>
            </w:pPr>
            <w:r>
              <w:rPr>
                <w:rFonts w:ascii="Times New Roman" w:hAnsi="Times New Roman"/>
                <w:b w:val="0"/>
                <w:bCs/>
                <w:color w:val="auto"/>
                <w:sz w:val="24"/>
                <w:szCs w:val="24"/>
              </w:rPr>
              <w:t>交通道路使用者</w:t>
            </w:r>
          </w:p>
        </w:tc>
        <w:tc>
          <w:tcPr>
            <w:tcW w:w="3774" w:type="dxa"/>
            <w:vAlign w:val="center"/>
          </w:tcPr>
          <w:p>
            <w:pPr>
              <w:rPr>
                <w:rFonts w:ascii="Times New Roman" w:hAnsi="Times New Roman"/>
                <w:b w:val="0"/>
                <w:bCs/>
                <w:color w:val="auto"/>
                <w:sz w:val="24"/>
                <w:szCs w:val="24"/>
              </w:rPr>
            </w:pPr>
            <w:r>
              <w:rPr>
                <w:rFonts w:ascii="Times New Roman" w:hAnsi="Times New Roman"/>
                <w:b w:val="0"/>
                <w:bCs/>
                <w:color w:val="auto"/>
                <w:sz w:val="24"/>
                <w:szCs w:val="24"/>
              </w:rPr>
              <w:t>项目建成后提供完善的交通道路设施，减少交通堵塞，使城市道路通行能力显著提高，将大大提升出行效率。</w:t>
            </w:r>
          </w:p>
        </w:tc>
        <w:tc>
          <w:tcPr>
            <w:tcW w:w="2696" w:type="dxa"/>
            <w:vAlign w:val="center"/>
          </w:tcPr>
          <w:p>
            <w:pPr>
              <w:rPr>
                <w:rFonts w:ascii="Times New Roman" w:hAnsi="Times New Roman"/>
                <w:b w:val="0"/>
                <w:bCs/>
                <w:color w:val="auto"/>
                <w:sz w:val="24"/>
                <w:szCs w:val="24"/>
              </w:rPr>
            </w:pPr>
            <w:r>
              <w:rPr>
                <w:rFonts w:ascii="Times New Roman" w:hAnsi="Times New Roman"/>
                <w:b w:val="0"/>
                <w:bCs/>
                <w:color w:val="auto"/>
                <w:sz w:val="24"/>
                <w:szCs w:val="24"/>
              </w:rPr>
              <w:t>对项目建设表示极大支持。希望项目尽快建成。</w:t>
            </w:r>
          </w:p>
        </w:tc>
        <w:tc>
          <w:tcPr>
            <w:tcW w:w="931" w:type="dxa"/>
            <w:vAlign w:val="center"/>
          </w:tcPr>
          <w:p>
            <w:pPr>
              <w:jc w:val="center"/>
              <w:rPr>
                <w:rFonts w:ascii="Times New Roman" w:hAnsi="Times New Roman"/>
                <w:b w:val="0"/>
                <w:bCs/>
                <w:color w:val="auto"/>
                <w:sz w:val="24"/>
                <w:szCs w:val="24"/>
              </w:rPr>
            </w:pPr>
            <w:r>
              <w:rPr>
                <w:rFonts w:ascii="Times New Roman" w:hAnsi="Times New Roman"/>
                <w:b w:val="0"/>
                <w:bCs/>
                <w:color w:val="auto"/>
                <w:sz w:val="24"/>
                <w:szCs w:val="24"/>
              </w:rPr>
              <w:t>很小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13" w:hRule="atLeast"/>
          <w:jc w:val="center"/>
        </w:trPr>
        <w:tc>
          <w:tcPr>
            <w:tcW w:w="648" w:type="dxa"/>
            <w:vMerge w:val="restart"/>
            <w:vAlign w:val="center"/>
          </w:tcPr>
          <w:p>
            <w:pPr>
              <w:spacing w:line="240" w:lineRule="atLeast"/>
              <w:jc w:val="center"/>
              <w:rPr>
                <w:rFonts w:ascii="Times New Roman" w:hAnsi="Times New Roman"/>
                <w:b w:val="0"/>
                <w:bCs/>
                <w:color w:val="auto"/>
                <w:sz w:val="24"/>
                <w:szCs w:val="24"/>
              </w:rPr>
            </w:pPr>
            <w:r>
              <w:rPr>
                <w:rFonts w:ascii="Times New Roman" w:hAnsi="Times New Roman"/>
                <w:b w:val="0"/>
                <w:bCs/>
                <w:color w:val="auto"/>
                <w:sz w:val="24"/>
                <w:szCs w:val="24"/>
              </w:rPr>
              <w:t>间接利益群体</w:t>
            </w:r>
          </w:p>
        </w:tc>
        <w:tc>
          <w:tcPr>
            <w:tcW w:w="1045" w:type="dxa"/>
            <w:tcBorders>
              <w:bottom w:val="nil"/>
            </w:tcBorders>
            <w:vAlign w:val="center"/>
          </w:tcPr>
          <w:p>
            <w:pPr>
              <w:spacing w:line="240" w:lineRule="atLeast"/>
              <w:jc w:val="center"/>
              <w:rPr>
                <w:rFonts w:ascii="Times New Roman" w:hAnsi="Times New Roman"/>
                <w:b w:val="0"/>
                <w:bCs/>
                <w:color w:val="auto"/>
                <w:sz w:val="24"/>
                <w:szCs w:val="24"/>
              </w:rPr>
            </w:pPr>
            <w:r>
              <w:rPr>
                <w:rFonts w:ascii="Times New Roman" w:hAnsi="Times New Roman"/>
                <w:b w:val="0"/>
                <w:bCs/>
                <w:color w:val="auto"/>
                <w:sz w:val="24"/>
                <w:szCs w:val="24"/>
              </w:rPr>
              <w:t>1.政府</w:t>
            </w:r>
          </w:p>
        </w:tc>
        <w:tc>
          <w:tcPr>
            <w:tcW w:w="3774" w:type="dxa"/>
            <w:tcBorders>
              <w:top w:val="nil"/>
            </w:tcBorders>
            <w:vAlign w:val="center"/>
          </w:tcPr>
          <w:p>
            <w:pPr>
              <w:rPr>
                <w:rFonts w:ascii="Times New Roman" w:hAnsi="Times New Roman"/>
                <w:b w:val="0"/>
                <w:bCs/>
                <w:color w:val="auto"/>
                <w:sz w:val="24"/>
                <w:szCs w:val="24"/>
              </w:rPr>
            </w:pPr>
            <w:r>
              <w:rPr>
                <w:rFonts w:ascii="Times New Roman" w:hAnsi="Times New Roman"/>
                <w:b w:val="0"/>
                <w:bCs/>
                <w:color w:val="auto"/>
                <w:sz w:val="24"/>
                <w:szCs w:val="24"/>
              </w:rPr>
              <w:t>希望通过项目建设，改善片区交通设施现状，带动周边土地开发，引导城市空间及产业布局结构优化。</w:t>
            </w:r>
          </w:p>
        </w:tc>
        <w:tc>
          <w:tcPr>
            <w:tcW w:w="2696" w:type="dxa"/>
            <w:tcBorders>
              <w:top w:val="nil"/>
            </w:tcBorders>
            <w:vAlign w:val="center"/>
          </w:tcPr>
          <w:p>
            <w:pPr>
              <w:rPr>
                <w:rFonts w:ascii="Times New Roman" w:hAnsi="Times New Roman"/>
                <w:b w:val="0"/>
                <w:bCs/>
                <w:color w:val="auto"/>
                <w:sz w:val="24"/>
                <w:szCs w:val="24"/>
              </w:rPr>
            </w:pPr>
            <w:r>
              <w:rPr>
                <w:rFonts w:ascii="Times New Roman" w:hAnsi="Times New Roman"/>
                <w:b w:val="0"/>
                <w:bCs/>
                <w:color w:val="auto"/>
                <w:sz w:val="24"/>
                <w:szCs w:val="24"/>
              </w:rPr>
              <w:t>加快项目建设，要求项目如期完成，对项目有宏观管理的权力。</w:t>
            </w:r>
          </w:p>
        </w:tc>
        <w:tc>
          <w:tcPr>
            <w:tcW w:w="931" w:type="dxa"/>
            <w:tcBorders>
              <w:top w:val="single" w:color="auto" w:sz="4" w:space="0"/>
            </w:tcBorders>
            <w:vAlign w:val="center"/>
          </w:tcPr>
          <w:p>
            <w:pPr>
              <w:jc w:val="center"/>
              <w:rPr>
                <w:rFonts w:ascii="Times New Roman" w:hAnsi="Times New Roman"/>
                <w:b w:val="0"/>
                <w:bCs/>
                <w:color w:val="auto"/>
                <w:sz w:val="24"/>
                <w:szCs w:val="24"/>
              </w:rPr>
            </w:pPr>
            <w:r>
              <w:rPr>
                <w:rFonts w:ascii="Times New Roman" w:hAnsi="Times New Roman"/>
                <w:b w:val="0"/>
                <w:bCs/>
                <w:color w:val="auto"/>
                <w:sz w:val="24"/>
                <w:szCs w:val="24"/>
              </w:rPr>
              <w:t>很大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84" w:hRule="atLeast"/>
          <w:jc w:val="center"/>
        </w:trPr>
        <w:tc>
          <w:tcPr>
            <w:tcW w:w="648" w:type="dxa"/>
            <w:vMerge w:val="continue"/>
            <w:vAlign w:val="center"/>
          </w:tcPr>
          <w:p>
            <w:pPr>
              <w:spacing w:line="240" w:lineRule="atLeast"/>
              <w:jc w:val="center"/>
              <w:rPr>
                <w:rFonts w:ascii="Times New Roman" w:hAnsi="Times New Roman"/>
                <w:color w:val="auto"/>
                <w:sz w:val="24"/>
                <w:szCs w:val="24"/>
              </w:rPr>
            </w:pPr>
          </w:p>
        </w:tc>
        <w:tc>
          <w:tcPr>
            <w:tcW w:w="1045" w:type="dxa"/>
            <w:vAlign w:val="center"/>
          </w:tcPr>
          <w:p>
            <w:pPr>
              <w:spacing w:line="240" w:lineRule="atLeast"/>
              <w:ind w:firstLine="480" w:firstLineChars="200"/>
              <w:jc w:val="center"/>
              <w:rPr>
                <w:rFonts w:ascii="Times New Roman" w:hAnsi="Times New Roman"/>
                <w:b w:val="0"/>
                <w:bCs/>
                <w:color w:val="auto"/>
                <w:sz w:val="24"/>
                <w:szCs w:val="24"/>
              </w:rPr>
            </w:pPr>
            <w:r>
              <w:rPr>
                <w:rFonts w:ascii="Times New Roman" w:hAnsi="Times New Roman"/>
                <w:b w:val="0"/>
                <w:bCs/>
                <w:color w:val="auto"/>
                <w:sz w:val="24"/>
                <w:szCs w:val="24"/>
              </w:rPr>
              <w:t>2．项目管理</w:t>
            </w:r>
          </w:p>
          <w:p>
            <w:pPr>
              <w:spacing w:line="240" w:lineRule="atLeast"/>
              <w:ind w:firstLine="480" w:firstLineChars="200"/>
              <w:jc w:val="center"/>
              <w:rPr>
                <w:rFonts w:ascii="Times New Roman" w:hAnsi="Times New Roman"/>
                <w:b w:val="0"/>
                <w:bCs/>
                <w:color w:val="auto"/>
                <w:sz w:val="24"/>
                <w:szCs w:val="24"/>
              </w:rPr>
            </w:pPr>
            <w:r>
              <w:rPr>
                <w:rFonts w:ascii="Times New Roman" w:hAnsi="Times New Roman"/>
                <w:b w:val="0"/>
                <w:bCs/>
                <w:color w:val="auto"/>
                <w:sz w:val="24"/>
                <w:szCs w:val="24"/>
              </w:rPr>
              <w:t>单位</w:t>
            </w:r>
          </w:p>
        </w:tc>
        <w:tc>
          <w:tcPr>
            <w:tcW w:w="3774" w:type="dxa"/>
            <w:vAlign w:val="center"/>
          </w:tcPr>
          <w:p>
            <w:pPr>
              <w:rPr>
                <w:rFonts w:ascii="Times New Roman" w:hAnsi="Times New Roman"/>
                <w:b w:val="0"/>
                <w:bCs/>
                <w:color w:val="auto"/>
                <w:sz w:val="24"/>
                <w:szCs w:val="24"/>
              </w:rPr>
            </w:pPr>
            <w:r>
              <w:rPr>
                <w:rFonts w:ascii="Times New Roman" w:hAnsi="Times New Roman"/>
                <w:b w:val="0"/>
                <w:bCs/>
                <w:color w:val="auto"/>
                <w:sz w:val="24"/>
                <w:szCs w:val="24"/>
              </w:rPr>
              <w:t>负责项目建设的设计、筹划、协调、管理和组织实施。希望项目建设能够如期完成。</w:t>
            </w:r>
          </w:p>
        </w:tc>
        <w:tc>
          <w:tcPr>
            <w:tcW w:w="2696" w:type="dxa"/>
            <w:vAlign w:val="center"/>
          </w:tcPr>
          <w:p>
            <w:pPr>
              <w:rPr>
                <w:rFonts w:ascii="Times New Roman" w:hAnsi="Times New Roman"/>
                <w:b w:val="0"/>
                <w:bCs/>
                <w:color w:val="auto"/>
                <w:sz w:val="24"/>
                <w:szCs w:val="24"/>
              </w:rPr>
            </w:pPr>
            <w:r>
              <w:rPr>
                <w:rFonts w:ascii="Times New Roman" w:hAnsi="Times New Roman"/>
                <w:b w:val="0"/>
                <w:bCs/>
                <w:color w:val="auto"/>
                <w:sz w:val="24"/>
                <w:szCs w:val="24"/>
              </w:rPr>
              <w:t>支持项目建设。代表建设方与相关政府部门、设计、施工单位横向联系与协调，要求项目按计划建成。</w:t>
            </w:r>
          </w:p>
        </w:tc>
        <w:tc>
          <w:tcPr>
            <w:tcW w:w="931" w:type="dxa"/>
            <w:vAlign w:val="center"/>
          </w:tcPr>
          <w:p>
            <w:pPr>
              <w:jc w:val="center"/>
              <w:rPr>
                <w:rFonts w:ascii="Times New Roman" w:hAnsi="Times New Roman"/>
                <w:b w:val="0"/>
                <w:bCs/>
                <w:color w:val="auto"/>
                <w:sz w:val="24"/>
                <w:szCs w:val="24"/>
              </w:rPr>
            </w:pPr>
            <w:r>
              <w:rPr>
                <w:rFonts w:ascii="Times New Roman" w:hAnsi="Times New Roman"/>
                <w:b w:val="0"/>
                <w:bCs/>
                <w:color w:val="auto"/>
                <w:sz w:val="24"/>
                <w:szCs w:val="24"/>
              </w:rPr>
              <w:t>较大</w:t>
            </w:r>
          </w:p>
        </w:tc>
      </w:tr>
    </w:tbl>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与本项目关系密切的主要利益群体分析：</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项目建设涉及到的各级政府、房地产楼盘居民、村民和周边企业等，在项目建设过程中起的作用不同，本项目的建设将加快片区</w:t>
      </w:r>
      <w:r>
        <w:rPr>
          <w:rFonts w:hint="eastAsia" w:ascii="Times New Roman" w:hAnsi="Times New Roman"/>
          <w:b w:val="0"/>
          <w:color w:val="auto"/>
          <w:sz w:val="24"/>
          <w:szCs w:val="24"/>
        </w:rPr>
        <w:t>的</w:t>
      </w:r>
      <w:r>
        <w:rPr>
          <w:rFonts w:ascii="Times New Roman" w:hAnsi="Times New Roman"/>
          <w:b w:val="0"/>
          <w:color w:val="auto"/>
          <w:sz w:val="24"/>
          <w:szCs w:val="24"/>
        </w:rPr>
        <w:t>开发进程，有利于改善市民工作及生活居住环境。因此，上述各单位均是项目的受益者。</w:t>
      </w:r>
    </w:p>
    <w:p>
      <w:pPr>
        <w:pStyle w:val="4"/>
        <w:spacing w:line="300" w:lineRule="auto"/>
        <w:ind w:firstLine="482" w:firstLineChars="200"/>
      </w:pPr>
      <w:bookmarkStart w:id="413" w:name="_Toc139635537"/>
      <w:bookmarkStart w:id="414" w:name="_Toc12947"/>
      <w:r>
        <w:t>互适性分析</w:t>
      </w:r>
      <w:bookmarkEnd w:id="413"/>
      <w:bookmarkEnd w:id="414"/>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项目建设得到了广州市政府、</w:t>
      </w:r>
      <w:r>
        <w:rPr>
          <w:rFonts w:hint="eastAsia" w:ascii="Times New Roman" w:hAnsi="Times New Roman"/>
          <w:b w:val="0"/>
          <w:color w:val="auto"/>
          <w:sz w:val="24"/>
          <w:szCs w:val="24"/>
        </w:rPr>
        <w:t>南沙</w:t>
      </w:r>
      <w:r>
        <w:rPr>
          <w:rFonts w:ascii="Times New Roman" w:hAnsi="Times New Roman"/>
          <w:b w:val="0"/>
          <w:color w:val="auto"/>
          <w:sz w:val="24"/>
          <w:szCs w:val="24"/>
        </w:rPr>
        <w:t>区政府等有关部门的大力支持，并在交通、电力、通信、供水等基础市政设施方面得一有力的保障和支持，原材料、设备、产品销售等各种条件也得到充分的保证。</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该项目的建设将会产生良好的社会效益，与片区社会发展形成良性互动，相互促进，相互发展。</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社会对项目的适应性和可接受程度分析见下表。</w:t>
      </w:r>
    </w:p>
    <w:p>
      <w:pPr>
        <w:spacing w:line="360" w:lineRule="auto"/>
        <w:ind w:right="560" w:firstLine="482" w:firstLineChars="200"/>
        <w:jc w:val="center"/>
        <w:rPr>
          <w:rFonts w:ascii="Times New Roman" w:hAnsi="Times New Roman"/>
          <w:b w:val="0"/>
          <w:color w:val="auto"/>
          <w:sz w:val="24"/>
          <w:szCs w:val="24"/>
        </w:rPr>
      </w:pPr>
      <w:r>
        <w:rPr>
          <w:rFonts w:ascii="Times New Roman" w:hAnsi="Times New Roman"/>
          <w:color w:val="auto"/>
          <w:sz w:val="24"/>
          <w:szCs w:val="24"/>
        </w:rPr>
        <w:t>社会对项目的适应性和可接受程度分析</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7"/>
        <w:gridCol w:w="1599"/>
        <w:gridCol w:w="1790"/>
        <w:gridCol w:w="2843"/>
        <w:gridCol w:w="20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6" w:hRule="exact"/>
          <w:jc w:val="center"/>
        </w:trPr>
        <w:tc>
          <w:tcPr>
            <w:tcW w:w="687" w:type="dxa"/>
            <w:vMerge w:val="restart"/>
            <w:vAlign w:val="center"/>
          </w:tcPr>
          <w:p>
            <w:pPr>
              <w:tabs>
                <w:tab w:val="center" w:pos="4441"/>
              </w:tabs>
              <w:jc w:val="center"/>
              <w:rPr>
                <w:rFonts w:ascii="Times New Roman" w:hAnsi="Times New Roman"/>
                <w:b w:val="0"/>
                <w:bCs/>
                <w:color w:val="auto"/>
                <w:sz w:val="24"/>
              </w:rPr>
            </w:pPr>
            <w:r>
              <w:rPr>
                <w:rFonts w:ascii="Times New Roman" w:hAnsi="Times New Roman"/>
                <w:b w:val="0"/>
                <w:bCs/>
                <w:color w:val="auto"/>
                <w:sz w:val="24"/>
              </w:rPr>
              <w:t>序号</w:t>
            </w:r>
          </w:p>
        </w:tc>
        <w:tc>
          <w:tcPr>
            <w:tcW w:w="1599" w:type="dxa"/>
            <w:vMerge w:val="restart"/>
            <w:vAlign w:val="center"/>
          </w:tcPr>
          <w:p>
            <w:pPr>
              <w:tabs>
                <w:tab w:val="center" w:pos="4441"/>
              </w:tabs>
              <w:jc w:val="center"/>
              <w:rPr>
                <w:rFonts w:ascii="Times New Roman" w:hAnsi="Times New Roman"/>
                <w:b w:val="0"/>
                <w:bCs/>
                <w:color w:val="auto"/>
                <w:sz w:val="24"/>
              </w:rPr>
            </w:pPr>
            <w:r>
              <w:rPr>
                <w:rFonts w:ascii="Times New Roman" w:hAnsi="Times New Roman"/>
                <w:b w:val="0"/>
                <w:bCs/>
                <w:color w:val="auto"/>
                <w:sz w:val="24"/>
              </w:rPr>
              <w:t>社会因素</w:t>
            </w:r>
          </w:p>
        </w:tc>
        <w:tc>
          <w:tcPr>
            <w:tcW w:w="1790" w:type="dxa"/>
            <w:vMerge w:val="restart"/>
            <w:vAlign w:val="center"/>
          </w:tcPr>
          <w:p>
            <w:pPr>
              <w:tabs>
                <w:tab w:val="center" w:pos="4441"/>
              </w:tabs>
              <w:jc w:val="center"/>
              <w:rPr>
                <w:rFonts w:ascii="Times New Roman" w:hAnsi="Times New Roman"/>
                <w:b w:val="0"/>
                <w:bCs/>
                <w:color w:val="auto"/>
                <w:sz w:val="24"/>
              </w:rPr>
            </w:pPr>
            <w:r>
              <w:rPr>
                <w:rFonts w:ascii="Times New Roman" w:hAnsi="Times New Roman"/>
                <w:b w:val="0"/>
                <w:bCs/>
                <w:color w:val="auto"/>
                <w:sz w:val="24"/>
              </w:rPr>
              <w:t>适应程度</w:t>
            </w:r>
          </w:p>
        </w:tc>
        <w:tc>
          <w:tcPr>
            <w:tcW w:w="2843" w:type="dxa"/>
            <w:vMerge w:val="restart"/>
            <w:vAlign w:val="center"/>
          </w:tcPr>
          <w:p>
            <w:pPr>
              <w:tabs>
                <w:tab w:val="center" w:pos="4441"/>
              </w:tabs>
              <w:jc w:val="center"/>
              <w:rPr>
                <w:rFonts w:ascii="Times New Roman" w:hAnsi="Times New Roman"/>
                <w:b w:val="0"/>
                <w:bCs/>
                <w:color w:val="auto"/>
                <w:sz w:val="24"/>
              </w:rPr>
            </w:pPr>
            <w:r>
              <w:rPr>
                <w:rFonts w:ascii="Times New Roman" w:hAnsi="Times New Roman"/>
                <w:b w:val="0"/>
                <w:bCs/>
                <w:color w:val="auto"/>
                <w:sz w:val="24"/>
              </w:rPr>
              <w:t>可能出现的问题</w:t>
            </w:r>
          </w:p>
        </w:tc>
        <w:tc>
          <w:tcPr>
            <w:tcW w:w="2048" w:type="dxa"/>
            <w:vMerge w:val="restart"/>
            <w:vAlign w:val="center"/>
          </w:tcPr>
          <w:p>
            <w:pPr>
              <w:tabs>
                <w:tab w:val="center" w:pos="4441"/>
              </w:tabs>
              <w:ind w:left="-14" w:leftChars="-5" w:firstLine="12" w:firstLineChars="5"/>
              <w:jc w:val="center"/>
              <w:rPr>
                <w:rFonts w:ascii="Times New Roman" w:hAnsi="Times New Roman"/>
                <w:b w:val="0"/>
                <w:bCs/>
                <w:color w:val="auto"/>
                <w:sz w:val="24"/>
              </w:rPr>
            </w:pPr>
            <w:r>
              <w:rPr>
                <w:rFonts w:ascii="Times New Roman" w:hAnsi="Times New Roman"/>
                <w:b w:val="0"/>
                <w:bCs/>
                <w:color w:val="auto"/>
                <w:sz w:val="24"/>
              </w:rPr>
              <w:t>措施建议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2" w:hRule="atLeast"/>
          <w:jc w:val="center"/>
        </w:trPr>
        <w:tc>
          <w:tcPr>
            <w:tcW w:w="687" w:type="dxa"/>
            <w:vMerge w:val="continue"/>
            <w:vAlign w:val="center"/>
          </w:tcPr>
          <w:p>
            <w:pPr>
              <w:tabs>
                <w:tab w:val="center" w:pos="4441"/>
              </w:tabs>
              <w:jc w:val="center"/>
              <w:rPr>
                <w:rFonts w:ascii="Times New Roman" w:hAnsi="Times New Roman"/>
                <w:b w:val="0"/>
                <w:bCs/>
                <w:color w:val="auto"/>
                <w:sz w:val="24"/>
              </w:rPr>
            </w:pPr>
          </w:p>
        </w:tc>
        <w:tc>
          <w:tcPr>
            <w:tcW w:w="1599" w:type="dxa"/>
            <w:vMerge w:val="continue"/>
            <w:vAlign w:val="center"/>
          </w:tcPr>
          <w:p>
            <w:pPr>
              <w:tabs>
                <w:tab w:val="center" w:pos="4441"/>
              </w:tabs>
              <w:jc w:val="center"/>
              <w:rPr>
                <w:rFonts w:ascii="Times New Roman" w:hAnsi="Times New Roman"/>
                <w:b w:val="0"/>
                <w:bCs/>
                <w:color w:val="auto"/>
                <w:sz w:val="24"/>
              </w:rPr>
            </w:pPr>
          </w:p>
        </w:tc>
        <w:tc>
          <w:tcPr>
            <w:tcW w:w="1790" w:type="dxa"/>
            <w:vMerge w:val="continue"/>
            <w:vAlign w:val="center"/>
          </w:tcPr>
          <w:p>
            <w:pPr>
              <w:tabs>
                <w:tab w:val="center" w:pos="4441"/>
              </w:tabs>
              <w:jc w:val="center"/>
              <w:rPr>
                <w:rFonts w:ascii="Times New Roman" w:hAnsi="Times New Roman"/>
                <w:b w:val="0"/>
                <w:bCs/>
                <w:color w:val="auto"/>
                <w:sz w:val="24"/>
              </w:rPr>
            </w:pPr>
          </w:p>
        </w:tc>
        <w:tc>
          <w:tcPr>
            <w:tcW w:w="2843" w:type="dxa"/>
            <w:vMerge w:val="continue"/>
            <w:vAlign w:val="center"/>
          </w:tcPr>
          <w:p>
            <w:pPr>
              <w:tabs>
                <w:tab w:val="center" w:pos="4441"/>
              </w:tabs>
              <w:jc w:val="center"/>
              <w:rPr>
                <w:rFonts w:ascii="Times New Roman" w:hAnsi="Times New Roman"/>
                <w:b w:val="0"/>
                <w:bCs/>
                <w:color w:val="auto"/>
                <w:sz w:val="24"/>
              </w:rPr>
            </w:pPr>
          </w:p>
        </w:tc>
        <w:tc>
          <w:tcPr>
            <w:tcW w:w="2048" w:type="dxa"/>
            <w:vMerge w:val="continue"/>
            <w:vAlign w:val="center"/>
          </w:tcPr>
          <w:p>
            <w:pPr>
              <w:tabs>
                <w:tab w:val="center" w:pos="4441"/>
              </w:tabs>
              <w:jc w:val="center"/>
              <w:rPr>
                <w:rFonts w:ascii="Times New Roman" w:hAnsi="Times New Roman"/>
                <w:b w:val="0"/>
                <w:bCs/>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687" w:type="dxa"/>
            <w:vAlign w:val="center"/>
          </w:tcPr>
          <w:p>
            <w:pPr>
              <w:tabs>
                <w:tab w:val="center" w:pos="4441"/>
              </w:tabs>
              <w:jc w:val="center"/>
              <w:rPr>
                <w:rFonts w:ascii="Times New Roman" w:hAnsi="Times New Roman"/>
                <w:b w:val="0"/>
                <w:bCs/>
                <w:color w:val="auto"/>
                <w:sz w:val="24"/>
              </w:rPr>
            </w:pPr>
            <w:r>
              <w:rPr>
                <w:rFonts w:ascii="Times New Roman" w:hAnsi="Times New Roman"/>
                <w:b w:val="0"/>
                <w:bCs/>
                <w:color w:val="auto"/>
                <w:sz w:val="24"/>
              </w:rPr>
              <w:t>1</w:t>
            </w:r>
          </w:p>
        </w:tc>
        <w:tc>
          <w:tcPr>
            <w:tcW w:w="1599" w:type="dxa"/>
            <w:vAlign w:val="center"/>
          </w:tcPr>
          <w:p>
            <w:pPr>
              <w:tabs>
                <w:tab w:val="center" w:pos="4441"/>
              </w:tabs>
              <w:jc w:val="center"/>
              <w:rPr>
                <w:rFonts w:ascii="Times New Roman" w:hAnsi="Times New Roman"/>
                <w:b w:val="0"/>
                <w:bCs/>
                <w:color w:val="auto"/>
                <w:sz w:val="24"/>
              </w:rPr>
            </w:pPr>
            <w:r>
              <w:rPr>
                <w:rFonts w:ascii="Times New Roman" w:hAnsi="Times New Roman"/>
                <w:b w:val="0"/>
                <w:bCs/>
                <w:color w:val="auto"/>
                <w:sz w:val="24"/>
              </w:rPr>
              <w:t>不同利益群体</w:t>
            </w:r>
          </w:p>
        </w:tc>
        <w:tc>
          <w:tcPr>
            <w:tcW w:w="1790" w:type="dxa"/>
            <w:vAlign w:val="center"/>
          </w:tcPr>
          <w:p>
            <w:pPr>
              <w:tabs>
                <w:tab w:val="center" w:pos="4441"/>
              </w:tabs>
              <w:jc w:val="center"/>
              <w:rPr>
                <w:rFonts w:ascii="Times New Roman" w:hAnsi="Times New Roman"/>
                <w:b w:val="0"/>
                <w:bCs/>
                <w:color w:val="auto"/>
                <w:sz w:val="24"/>
              </w:rPr>
            </w:pPr>
            <w:r>
              <w:rPr>
                <w:rFonts w:ascii="Times New Roman" w:hAnsi="Times New Roman"/>
                <w:b w:val="0"/>
                <w:bCs/>
                <w:color w:val="auto"/>
                <w:sz w:val="24"/>
              </w:rPr>
              <w:t>适应并不同程度支持</w:t>
            </w:r>
          </w:p>
        </w:tc>
        <w:tc>
          <w:tcPr>
            <w:tcW w:w="2843" w:type="dxa"/>
            <w:vAlign w:val="center"/>
          </w:tcPr>
          <w:p>
            <w:pPr>
              <w:tabs>
                <w:tab w:val="center" w:pos="4441"/>
              </w:tabs>
              <w:ind w:firstLine="120" w:firstLineChars="50"/>
              <w:jc w:val="center"/>
              <w:rPr>
                <w:rFonts w:ascii="Times New Roman" w:hAnsi="Times New Roman"/>
                <w:b w:val="0"/>
                <w:bCs/>
                <w:color w:val="auto"/>
                <w:sz w:val="24"/>
              </w:rPr>
            </w:pPr>
            <w:r>
              <w:rPr>
                <w:rFonts w:ascii="Times New Roman" w:hAnsi="Times New Roman"/>
                <w:b w:val="0"/>
                <w:bCs/>
                <w:color w:val="auto"/>
                <w:sz w:val="24"/>
              </w:rPr>
              <w:t>工程施工建设将给当地局部居民生活带来不便</w:t>
            </w:r>
          </w:p>
        </w:tc>
        <w:tc>
          <w:tcPr>
            <w:tcW w:w="2048" w:type="dxa"/>
            <w:vAlign w:val="center"/>
          </w:tcPr>
          <w:p>
            <w:pPr>
              <w:tabs>
                <w:tab w:val="center" w:pos="4441"/>
              </w:tabs>
              <w:ind w:firstLine="240" w:firstLineChars="100"/>
              <w:jc w:val="center"/>
              <w:rPr>
                <w:rFonts w:ascii="Times New Roman" w:hAnsi="Times New Roman"/>
                <w:b w:val="0"/>
                <w:bCs/>
                <w:color w:val="auto"/>
                <w:sz w:val="24"/>
              </w:rPr>
            </w:pPr>
            <w:r>
              <w:rPr>
                <w:rFonts w:ascii="Times New Roman" w:hAnsi="Times New Roman"/>
                <w:b w:val="0"/>
                <w:bCs/>
                <w:color w:val="auto"/>
                <w:sz w:val="24"/>
              </w:rPr>
              <w:t>有关部门做好解释、引导工作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7" w:hRule="atLeast"/>
          <w:jc w:val="center"/>
        </w:trPr>
        <w:tc>
          <w:tcPr>
            <w:tcW w:w="687" w:type="dxa"/>
            <w:vAlign w:val="center"/>
          </w:tcPr>
          <w:p>
            <w:pPr>
              <w:tabs>
                <w:tab w:val="center" w:pos="4441"/>
              </w:tabs>
              <w:jc w:val="center"/>
              <w:rPr>
                <w:rFonts w:ascii="Times New Roman" w:hAnsi="Times New Roman"/>
                <w:b w:val="0"/>
                <w:bCs/>
                <w:color w:val="auto"/>
                <w:sz w:val="24"/>
              </w:rPr>
            </w:pPr>
            <w:r>
              <w:rPr>
                <w:rFonts w:ascii="Times New Roman" w:hAnsi="Times New Roman"/>
                <w:b w:val="0"/>
                <w:bCs/>
                <w:color w:val="auto"/>
                <w:sz w:val="24"/>
              </w:rPr>
              <w:t>2</w:t>
            </w:r>
          </w:p>
        </w:tc>
        <w:tc>
          <w:tcPr>
            <w:tcW w:w="1599" w:type="dxa"/>
            <w:vAlign w:val="center"/>
          </w:tcPr>
          <w:p>
            <w:pPr>
              <w:tabs>
                <w:tab w:val="center" w:pos="4441"/>
              </w:tabs>
              <w:jc w:val="center"/>
              <w:rPr>
                <w:rFonts w:ascii="Times New Roman" w:hAnsi="Times New Roman"/>
                <w:b w:val="0"/>
                <w:bCs/>
                <w:color w:val="auto"/>
                <w:sz w:val="24"/>
              </w:rPr>
            </w:pPr>
            <w:r>
              <w:rPr>
                <w:rFonts w:ascii="Times New Roman" w:hAnsi="Times New Roman"/>
                <w:b w:val="0"/>
                <w:bCs/>
                <w:color w:val="auto"/>
                <w:sz w:val="24"/>
              </w:rPr>
              <w:t>当地组织机构</w:t>
            </w:r>
          </w:p>
        </w:tc>
        <w:tc>
          <w:tcPr>
            <w:tcW w:w="1790" w:type="dxa"/>
            <w:vAlign w:val="center"/>
          </w:tcPr>
          <w:p>
            <w:pPr>
              <w:tabs>
                <w:tab w:val="center" w:pos="4441"/>
              </w:tabs>
              <w:jc w:val="center"/>
              <w:rPr>
                <w:rFonts w:ascii="Times New Roman" w:hAnsi="Times New Roman"/>
                <w:b w:val="0"/>
                <w:bCs/>
                <w:color w:val="auto"/>
                <w:sz w:val="24"/>
              </w:rPr>
            </w:pPr>
            <w:r>
              <w:rPr>
                <w:rFonts w:ascii="Times New Roman" w:hAnsi="Times New Roman"/>
                <w:b w:val="0"/>
                <w:bCs/>
                <w:color w:val="auto"/>
                <w:sz w:val="24"/>
              </w:rPr>
              <w:t>全力支持</w:t>
            </w:r>
          </w:p>
        </w:tc>
        <w:tc>
          <w:tcPr>
            <w:tcW w:w="2843" w:type="dxa"/>
            <w:vAlign w:val="center"/>
          </w:tcPr>
          <w:p>
            <w:pPr>
              <w:tabs>
                <w:tab w:val="center" w:pos="4441"/>
              </w:tabs>
              <w:jc w:val="center"/>
              <w:rPr>
                <w:rFonts w:ascii="Times New Roman" w:hAnsi="Times New Roman"/>
                <w:b w:val="0"/>
                <w:bCs/>
                <w:color w:val="auto"/>
                <w:sz w:val="24"/>
              </w:rPr>
            </w:pPr>
            <w:r>
              <w:rPr>
                <w:rFonts w:ascii="Times New Roman" w:hAnsi="Times New Roman"/>
                <w:b w:val="0"/>
                <w:bCs/>
                <w:color w:val="auto"/>
                <w:sz w:val="24"/>
              </w:rPr>
              <w:t>交通、电力、通信、供水等基础设施条件的配合</w:t>
            </w:r>
          </w:p>
        </w:tc>
        <w:tc>
          <w:tcPr>
            <w:tcW w:w="2048" w:type="dxa"/>
            <w:vAlign w:val="center"/>
          </w:tcPr>
          <w:p>
            <w:pPr>
              <w:tabs>
                <w:tab w:val="center" w:pos="4441"/>
              </w:tabs>
              <w:ind w:firstLine="120" w:firstLineChars="50"/>
              <w:jc w:val="center"/>
              <w:rPr>
                <w:rFonts w:ascii="Times New Roman" w:hAnsi="Times New Roman"/>
                <w:b w:val="0"/>
                <w:bCs/>
                <w:color w:val="auto"/>
                <w:sz w:val="24"/>
              </w:rPr>
            </w:pPr>
            <w:r>
              <w:rPr>
                <w:rFonts w:ascii="Times New Roman" w:hAnsi="Times New Roman"/>
                <w:b w:val="0"/>
                <w:bCs/>
                <w:color w:val="auto"/>
                <w:sz w:val="24"/>
              </w:rPr>
              <w:t>有关管理部门应积极协调解决问题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687" w:type="dxa"/>
            <w:vAlign w:val="center"/>
          </w:tcPr>
          <w:p>
            <w:pPr>
              <w:tabs>
                <w:tab w:val="center" w:pos="4441"/>
              </w:tabs>
              <w:jc w:val="center"/>
              <w:rPr>
                <w:rFonts w:ascii="Times New Roman" w:hAnsi="Times New Roman"/>
                <w:b w:val="0"/>
                <w:bCs/>
                <w:color w:val="auto"/>
                <w:sz w:val="24"/>
              </w:rPr>
            </w:pPr>
            <w:r>
              <w:rPr>
                <w:rFonts w:ascii="Times New Roman" w:hAnsi="Times New Roman"/>
                <w:b w:val="0"/>
                <w:bCs/>
                <w:color w:val="auto"/>
                <w:sz w:val="24"/>
              </w:rPr>
              <w:t>3</w:t>
            </w:r>
          </w:p>
        </w:tc>
        <w:tc>
          <w:tcPr>
            <w:tcW w:w="1599" w:type="dxa"/>
            <w:vAlign w:val="center"/>
          </w:tcPr>
          <w:p>
            <w:pPr>
              <w:tabs>
                <w:tab w:val="center" w:pos="4441"/>
              </w:tabs>
              <w:jc w:val="center"/>
              <w:rPr>
                <w:rFonts w:ascii="Times New Roman" w:hAnsi="Times New Roman"/>
                <w:b w:val="0"/>
                <w:bCs/>
                <w:color w:val="auto"/>
                <w:sz w:val="24"/>
              </w:rPr>
            </w:pPr>
            <w:r>
              <w:rPr>
                <w:rFonts w:ascii="Times New Roman" w:hAnsi="Times New Roman"/>
                <w:b w:val="0"/>
                <w:bCs/>
                <w:color w:val="auto"/>
                <w:sz w:val="24"/>
              </w:rPr>
              <w:t>当地技术条件</w:t>
            </w:r>
          </w:p>
        </w:tc>
        <w:tc>
          <w:tcPr>
            <w:tcW w:w="1790" w:type="dxa"/>
            <w:vAlign w:val="center"/>
          </w:tcPr>
          <w:p>
            <w:pPr>
              <w:tabs>
                <w:tab w:val="center" w:pos="4441"/>
              </w:tabs>
              <w:jc w:val="center"/>
              <w:rPr>
                <w:rFonts w:ascii="Times New Roman" w:hAnsi="Times New Roman"/>
                <w:b w:val="0"/>
                <w:bCs/>
                <w:color w:val="auto"/>
                <w:sz w:val="24"/>
              </w:rPr>
            </w:pPr>
            <w:r>
              <w:rPr>
                <w:rFonts w:ascii="Times New Roman" w:hAnsi="Times New Roman"/>
                <w:b w:val="0"/>
                <w:bCs/>
                <w:color w:val="auto"/>
                <w:sz w:val="24"/>
              </w:rPr>
              <w:t>适应并支持</w:t>
            </w:r>
          </w:p>
        </w:tc>
        <w:tc>
          <w:tcPr>
            <w:tcW w:w="2843" w:type="dxa"/>
            <w:vAlign w:val="center"/>
          </w:tcPr>
          <w:p>
            <w:pPr>
              <w:tabs>
                <w:tab w:val="center" w:pos="4441"/>
              </w:tabs>
              <w:ind w:firstLine="120" w:firstLineChars="50"/>
              <w:jc w:val="center"/>
              <w:rPr>
                <w:rFonts w:ascii="Times New Roman" w:hAnsi="Times New Roman"/>
                <w:b w:val="0"/>
                <w:bCs/>
                <w:color w:val="auto"/>
                <w:sz w:val="24"/>
              </w:rPr>
            </w:pPr>
            <w:r>
              <w:rPr>
                <w:rFonts w:ascii="Times New Roman" w:hAnsi="Times New Roman"/>
                <w:b w:val="0"/>
                <w:bCs/>
                <w:color w:val="auto"/>
                <w:sz w:val="24"/>
              </w:rPr>
              <w:t>产业技术水平将有较大的提高</w:t>
            </w:r>
          </w:p>
        </w:tc>
        <w:tc>
          <w:tcPr>
            <w:tcW w:w="2048" w:type="dxa"/>
            <w:vAlign w:val="center"/>
          </w:tcPr>
          <w:p>
            <w:pPr>
              <w:tabs>
                <w:tab w:val="center" w:pos="4441"/>
              </w:tabs>
              <w:ind w:firstLine="240" w:firstLineChars="100"/>
              <w:jc w:val="center"/>
              <w:rPr>
                <w:rFonts w:ascii="Times New Roman" w:hAnsi="Times New Roman"/>
                <w:b w:val="0"/>
                <w:bCs/>
                <w:color w:val="auto"/>
                <w:sz w:val="24"/>
              </w:rPr>
            </w:pPr>
            <w:r>
              <w:rPr>
                <w:rFonts w:ascii="Times New Roman" w:hAnsi="Times New Roman"/>
                <w:b w:val="0"/>
                <w:bCs/>
                <w:color w:val="auto"/>
                <w:sz w:val="24"/>
              </w:rPr>
              <w:t>加快各类优秀的技术、管理人才的引进及培养</w:t>
            </w:r>
          </w:p>
        </w:tc>
      </w:tr>
    </w:tbl>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根据表中的分析，本次建设项目符合地区各利益群体的关系，得到片区政府、居民及相关企业单位的支持，适合现有的技术条件和地区文化条件，具有很好的社会合适性。</w:t>
      </w:r>
    </w:p>
    <w:p>
      <w:pPr>
        <w:pStyle w:val="4"/>
        <w:spacing w:line="300" w:lineRule="auto"/>
        <w:ind w:firstLine="482" w:firstLineChars="200"/>
      </w:pPr>
      <w:bookmarkStart w:id="415" w:name="_Toc139635538"/>
      <w:bookmarkStart w:id="416" w:name="_Toc371003001"/>
      <w:bookmarkStart w:id="417" w:name="_Toc6281"/>
      <w:bookmarkStart w:id="418" w:name="_Toc349891827"/>
      <w:bookmarkStart w:id="419" w:name="_Toc375666392"/>
      <w:bookmarkStart w:id="420" w:name="_Toc387089517"/>
      <w:bookmarkStart w:id="421" w:name="_Toc74644447"/>
      <w:bookmarkStart w:id="422" w:name="_Toc373413905"/>
      <w:bookmarkStart w:id="423" w:name="_Toc136333408"/>
      <w:bookmarkStart w:id="424" w:name="_Toc352249304"/>
      <w:bookmarkStart w:id="425" w:name="_Toc18576"/>
      <w:r>
        <w:t>社会风险分析</w:t>
      </w:r>
      <w:bookmarkEnd w:id="415"/>
      <w:bookmarkEnd w:id="416"/>
      <w:bookmarkEnd w:id="417"/>
      <w:bookmarkEnd w:id="418"/>
      <w:bookmarkEnd w:id="419"/>
      <w:bookmarkEnd w:id="420"/>
      <w:bookmarkEnd w:id="421"/>
      <w:bookmarkEnd w:id="422"/>
      <w:bookmarkEnd w:id="423"/>
      <w:bookmarkEnd w:id="424"/>
      <w:bookmarkEnd w:id="425"/>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项目建设有利于更好地改善片区的路网，提高道路的通行能力，维护了片区居民及其他行人安全，对本路段交通安全提供了保证，具有显著的社会效益，不存在社会风险。不会产生或者引发民族矛盾、宗教矛盾。但应做好项目施工和运营业员期的管理工作，尽量减少对周边居民日常生活的影响，处理好由此产生的各种矛盾，以避免由此产生的社会风险。</w:t>
      </w:r>
    </w:p>
    <w:p>
      <w:pPr>
        <w:pStyle w:val="4"/>
        <w:spacing w:line="300" w:lineRule="auto"/>
        <w:ind w:firstLine="482" w:firstLineChars="200"/>
      </w:pPr>
      <w:bookmarkStart w:id="426" w:name="_Toc74644448"/>
      <w:bookmarkStart w:id="427" w:name="_Toc136333409"/>
      <w:bookmarkStart w:id="428" w:name="_Toc139635539"/>
      <w:bookmarkStart w:id="429" w:name="_Toc16792"/>
      <w:r>
        <w:t>社会效益评价</w:t>
      </w:r>
      <w:bookmarkEnd w:id="426"/>
      <w:bookmarkEnd w:id="427"/>
      <w:bookmarkEnd w:id="428"/>
      <w:bookmarkEnd w:id="429"/>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本项目为不收费项目，不做具体的社会经济评价，主要考虑社会效益。</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主要社会效益包括以下几个方面：</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区域市政道路工程建设将加快片区建立起便捷、全面的交通基础设施，促进规划功能实现。也有利于改变该地区的发展格局，将加快该区的城市化进程，提升城市基础设施建设水平和服务能力，满足片区自身快速发展的需要。</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（2）有利于扩大就业，促进社会综合事业的发展。随着本项目周边商业的蓬勃发展，将为当地社会就业提供更多的机会，发挥更大的经济和社会效益。</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（3）有利于提高周边区域市民的收入，改善市民的生活环境和人文环境，提高居民生活质量，促进文化教育水平、卫生健康水平的提高，促进社会精神文明建设。</w:t>
      </w:r>
    </w:p>
    <w:p>
      <w:pPr>
        <w:pStyle w:val="3"/>
        <w:ind w:firstLine="562" w:firstLineChars="200"/>
      </w:pPr>
      <w:bookmarkStart w:id="430" w:name="_Toc28324"/>
      <w:r>
        <w:t>生态环境影响分析</w:t>
      </w:r>
      <w:bookmarkEnd w:id="430"/>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根据《广州市饮用水源保护区区划》（2016版），本项目不涉及饮用水源保护区；依据《广州市城市环境总体规划（2014-2030年）》，本项目不涉及生态保护红线，不涉及环境空气质量功能区一类区。本项目属于市政设施建设，对环境影响分析如下。</w:t>
      </w:r>
    </w:p>
    <w:p>
      <w:pPr>
        <w:pStyle w:val="4"/>
        <w:spacing w:line="300" w:lineRule="auto"/>
        <w:ind w:firstLine="482" w:firstLineChars="200"/>
      </w:pPr>
      <w:bookmarkStart w:id="431" w:name="_Toc28745"/>
      <w:r>
        <w:t>沿线环境特征分析</w:t>
      </w:r>
      <w:bookmarkEnd w:id="431"/>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拟建场区位于南沙新区万顷沙片区。拟建场地交通较为发达，排水设施齐全，勘察区内水系发达，存在较多鱼塘、河涌。</w:t>
      </w:r>
    </w:p>
    <w:p>
      <w:pPr>
        <w:pStyle w:val="4"/>
        <w:spacing w:line="300" w:lineRule="auto"/>
        <w:ind w:firstLine="482" w:firstLineChars="200"/>
      </w:pPr>
      <w:bookmarkStart w:id="432" w:name="_Toc7535"/>
      <w:r>
        <w:t>环境保护标准</w:t>
      </w:r>
      <w:bookmarkEnd w:id="432"/>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本项目的环境质量、卫生标准以国家标准为依据：</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（1）《地表水环境质量标准》（GB3838-2002），按IV类标准执行；</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（2）《环境空气质量标准》（GB3095-1996），按二级标准执行，即二氧化硫日平均和年平均限制分别为0.15mg/m</w:t>
      </w:r>
      <w:r>
        <w:rPr>
          <w:rFonts w:ascii="Times New Roman" w:hAnsi="Times New Roman"/>
          <w:b w:val="0"/>
          <w:color w:val="auto"/>
          <w:sz w:val="24"/>
          <w:szCs w:val="20"/>
          <w:vertAlign w:val="superscript"/>
        </w:rPr>
        <w:t>3</w:t>
      </w:r>
      <w:r>
        <w:rPr>
          <w:rFonts w:ascii="Times New Roman" w:hAnsi="Times New Roman"/>
          <w:b w:val="0"/>
          <w:color w:val="auto"/>
          <w:sz w:val="24"/>
          <w:szCs w:val="20"/>
        </w:rPr>
        <w:t>和0.06mg/m</w:t>
      </w:r>
      <w:r>
        <w:rPr>
          <w:rFonts w:ascii="Times New Roman" w:hAnsi="Times New Roman"/>
          <w:b w:val="0"/>
          <w:color w:val="auto"/>
          <w:sz w:val="24"/>
          <w:szCs w:val="20"/>
          <w:vertAlign w:val="superscript"/>
        </w:rPr>
        <w:t>3</w:t>
      </w:r>
      <w:r>
        <w:rPr>
          <w:rFonts w:ascii="Times New Roman" w:hAnsi="Times New Roman"/>
          <w:b w:val="0"/>
          <w:color w:val="auto"/>
          <w:sz w:val="24"/>
          <w:szCs w:val="20"/>
        </w:rPr>
        <w:t>、氮氧化物日平均和年平均限制分别为0.10mg/m</w:t>
      </w:r>
      <w:r>
        <w:rPr>
          <w:rFonts w:ascii="Times New Roman" w:hAnsi="Times New Roman"/>
          <w:b w:val="0"/>
          <w:color w:val="auto"/>
          <w:sz w:val="24"/>
          <w:szCs w:val="20"/>
          <w:vertAlign w:val="superscript"/>
        </w:rPr>
        <w:t>3</w:t>
      </w:r>
      <w:r>
        <w:rPr>
          <w:rFonts w:ascii="Times New Roman" w:hAnsi="Times New Roman"/>
          <w:b w:val="0"/>
          <w:color w:val="auto"/>
          <w:sz w:val="24"/>
          <w:szCs w:val="20"/>
        </w:rPr>
        <w:t>和0.05mg/m</w:t>
      </w:r>
      <w:r>
        <w:rPr>
          <w:rFonts w:ascii="Times New Roman" w:hAnsi="Times New Roman"/>
          <w:b w:val="0"/>
          <w:color w:val="auto"/>
          <w:sz w:val="24"/>
          <w:szCs w:val="20"/>
          <w:vertAlign w:val="superscript"/>
        </w:rPr>
        <w:t>3</w:t>
      </w:r>
      <w:r>
        <w:rPr>
          <w:rFonts w:ascii="Times New Roman" w:hAnsi="Times New Roman"/>
          <w:b w:val="0"/>
          <w:color w:val="auto"/>
          <w:sz w:val="24"/>
          <w:szCs w:val="20"/>
        </w:rPr>
        <w:t>、一氧化碳日平均限制为4.00mg/m</w:t>
      </w:r>
      <w:r>
        <w:rPr>
          <w:rFonts w:ascii="Times New Roman" w:hAnsi="Times New Roman"/>
          <w:b w:val="0"/>
          <w:color w:val="auto"/>
          <w:sz w:val="24"/>
          <w:szCs w:val="20"/>
          <w:vertAlign w:val="superscript"/>
        </w:rPr>
        <w:t>3</w:t>
      </w:r>
      <w:r>
        <w:rPr>
          <w:rFonts w:ascii="Times New Roman" w:hAnsi="Times New Roman"/>
          <w:b w:val="0"/>
          <w:color w:val="auto"/>
          <w:sz w:val="24"/>
          <w:szCs w:val="20"/>
        </w:rPr>
        <w:t>、总悬浮颗粒物日平均和年平均限制分别为0.30mg/m</w:t>
      </w:r>
      <w:r>
        <w:rPr>
          <w:rFonts w:ascii="Times New Roman" w:hAnsi="Times New Roman"/>
          <w:b w:val="0"/>
          <w:color w:val="auto"/>
          <w:sz w:val="24"/>
          <w:szCs w:val="20"/>
          <w:vertAlign w:val="superscript"/>
        </w:rPr>
        <w:t>3</w:t>
      </w:r>
      <w:r>
        <w:rPr>
          <w:rFonts w:ascii="Times New Roman" w:hAnsi="Times New Roman"/>
          <w:b w:val="0"/>
          <w:color w:val="auto"/>
          <w:sz w:val="24"/>
          <w:szCs w:val="20"/>
        </w:rPr>
        <w:t>和0.20mg/m</w:t>
      </w:r>
      <w:r>
        <w:rPr>
          <w:rFonts w:ascii="Times New Roman" w:hAnsi="Times New Roman"/>
          <w:b w:val="0"/>
          <w:color w:val="auto"/>
          <w:sz w:val="24"/>
          <w:szCs w:val="20"/>
          <w:vertAlign w:val="superscript"/>
        </w:rPr>
        <w:t>3</w:t>
      </w:r>
      <w:r>
        <w:rPr>
          <w:rFonts w:ascii="Times New Roman" w:hAnsi="Times New Roman"/>
          <w:b w:val="0"/>
          <w:color w:val="auto"/>
          <w:sz w:val="24"/>
          <w:szCs w:val="20"/>
        </w:rPr>
        <w:t>；</w:t>
      </w:r>
    </w:p>
    <w:p>
      <w:pPr>
        <w:pStyle w:val="4"/>
        <w:spacing w:line="300" w:lineRule="auto"/>
        <w:ind w:firstLine="482" w:firstLineChars="200"/>
      </w:pPr>
      <w:bookmarkStart w:id="433" w:name="_Toc23146"/>
      <w:r>
        <w:t>项目选址与区域环境相符性分析</w:t>
      </w:r>
      <w:bookmarkEnd w:id="433"/>
    </w:p>
    <w:p>
      <w:pPr>
        <w:pStyle w:val="5"/>
        <w:ind w:firstLine="482" w:firstLineChars="200"/>
        <w:rPr>
          <w:rFonts w:ascii="Times New Roman" w:hAnsi="Times New Roman"/>
        </w:rPr>
      </w:pPr>
      <w:r>
        <w:rPr>
          <w:rFonts w:ascii="Times New Roman" w:hAnsi="Times New Roman"/>
        </w:rPr>
        <w:t>环境功能区划</w:t>
      </w:r>
    </w:p>
    <w:p>
      <w:pPr>
        <w:spacing w:line="300" w:lineRule="auto"/>
        <w:ind w:firstLine="482" w:firstLineChars="200"/>
        <w:jc w:val="left"/>
        <w:rPr>
          <w:rFonts w:ascii="Times New Roman" w:hAnsi="Times New Roman"/>
          <w:bCs/>
          <w:color w:val="auto"/>
          <w:sz w:val="24"/>
          <w:szCs w:val="20"/>
        </w:rPr>
      </w:pPr>
      <w:r>
        <w:rPr>
          <w:rFonts w:ascii="Times New Roman" w:hAnsi="Times New Roman"/>
          <w:bCs/>
          <w:color w:val="auto"/>
          <w:sz w:val="24"/>
          <w:szCs w:val="20"/>
        </w:rPr>
        <w:t>1、地表水环境功能区划</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根据《关于广东省人民政府调整广州市饮用水源保护区的批复》（粤府函〔2016〕358号），</w:t>
      </w:r>
      <w:r>
        <w:rPr>
          <w:rFonts w:ascii="Times New Roman" w:hAnsi="Times New Roman"/>
          <w:bCs/>
          <w:color w:val="auto"/>
          <w:sz w:val="24"/>
          <w:szCs w:val="20"/>
        </w:rPr>
        <w:t>本项目所在区域不属于饮用水源保护区</w:t>
      </w:r>
      <w:r>
        <w:rPr>
          <w:rFonts w:ascii="Times New Roman" w:hAnsi="Times New Roman"/>
          <w:b w:val="0"/>
          <w:color w:val="auto"/>
          <w:sz w:val="24"/>
          <w:szCs w:val="20"/>
        </w:rPr>
        <w:t>。饮用水源保护区分布详见下图所示。</w:t>
      </w:r>
    </w:p>
    <w:p>
      <w:pPr>
        <w:spacing w:line="300" w:lineRule="auto"/>
        <w:ind w:firstLine="422" w:firstLineChars="200"/>
        <w:jc w:val="center"/>
        <w:rPr>
          <w:rFonts w:ascii="Times New Roman" w:hAnsi="Times New Roman"/>
          <w:color w:val="0000CC"/>
          <w:sz w:val="21"/>
          <w:szCs w:val="21"/>
        </w:rPr>
      </w:pPr>
      <w:r>
        <w:rPr>
          <w:rFonts w:ascii="Times New Roman" w:hAnsi="Times New Roman"/>
          <w:color w:val="0000CC"/>
          <w:sz w:val="21"/>
          <w:szCs w:val="21"/>
        </w:rPr>
        <w:drawing>
          <wp:inline distT="0" distB="0" distL="114300" distR="114300">
            <wp:extent cx="4679950" cy="6620510"/>
            <wp:effectExtent l="0" t="0" r="6350" b="8890"/>
            <wp:docPr id="2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5"/>
                    <pic:cNvPicPr>
                      <a:picLocks noChangeAspect="1"/>
                    </pic:cNvPicPr>
                  </pic:nvPicPr>
                  <pic:blipFill>
                    <a:blip r:embed="rId285"/>
                    <a:stretch>
                      <a:fillRect/>
                    </a:stretch>
                  </pic:blipFill>
                  <pic:spPr>
                    <a:xfrm>
                      <a:off x="0" y="0"/>
                      <a:ext cx="4679950" cy="6620510"/>
                    </a:xfrm>
                    <a:prstGeom prst="rect">
                      <a:avLst/>
                    </a:prstGeom>
                    <a:noFill/>
                    <a:ln>
                      <a:noFill/>
                    </a:ln>
                  </pic:spPr>
                </pic:pic>
              </a:graphicData>
            </a:graphic>
          </wp:inline>
        </w:drawing>
      </w:r>
    </w:p>
    <w:p>
      <w:pPr>
        <w:pStyle w:val="31"/>
        <w:spacing w:line="300" w:lineRule="auto"/>
        <w:ind w:firstLine="422" w:firstLineChars="200"/>
        <w:jc w:val="center"/>
        <w:rPr>
          <w:rFonts w:ascii="Times New Roman" w:hAnsi="Times New Roman"/>
          <w:color w:val="0000CC"/>
          <w:sz w:val="21"/>
          <w:szCs w:val="21"/>
        </w:rPr>
      </w:pPr>
      <w:r>
        <w:rPr>
          <w:rFonts w:ascii="Times New Roman" w:hAnsi="Times New Roman"/>
          <w:color w:val="0000CC"/>
          <w:sz w:val="21"/>
          <w:szCs w:val="21"/>
        </w:rPr>
        <w:t>建设项目所在区域饮用水源保护区区划图</w:t>
      </w:r>
    </w:p>
    <w:p>
      <w:pPr>
        <w:spacing w:line="360" w:lineRule="auto"/>
        <w:ind w:firstLine="480" w:firstLineChars="200"/>
        <w:rPr>
          <w:rFonts w:ascii="Times New Roman" w:hAnsi="Times New Roman"/>
          <w:b w:val="0"/>
          <w:color w:val="auto"/>
          <w:sz w:val="24"/>
          <w:szCs w:val="20"/>
          <w:lang w:val="zh-CN"/>
        </w:rPr>
      </w:pPr>
      <w:r>
        <w:rPr>
          <w:rFonts w:ascii="Times New Roman" w:hAnsi="Times New Roman"/>
          <w:b w:val="0"/>
          <w:color w:val="auto"/>
          <w:sz w:val="24"/>
          <w:szCs w:val="20"/>
        </w:rPr>
        <w:t>本项目跨越水体为现状东围尾涌和规划忠字号涌，</w:t>
      </w:r>
      <w:r>
        <w:rPr>
          <w:rFonts w:ascii="Times New Roman" w:hAnsi="Times New Roman"/>
          <w:b w:val="0"/>
          <w:color w:val="auto"/>
          <w:sz w:val="24"/>
          <w:szCs w:val="20"/>
          <w:lang w:val="zh-CN"/>
        </w:rPr>
        <w:t>片区内污水充分结合现状条件和自然地势，尽可能减少污水的提升量，就近汇入庙贝场路、江灵南路DN600~800污水主管后自北向南排入灵山岛尖污水处理厂处理后排放。</w:t>
      </w:r>
    </w:p>
    <w:p>
      <w:pPr>
        <w:spacing w:line="360" w:lineRule="auto"/>
        <w:ind w:firstLine="480" w:firstLineChars="200"/>
        <w:rPr>
          <w:rFonts w:ascii="Times New Roman" w:hAnsi="Times New Roman"/>
          <w:bCs/>
          <w:color w:val="auto"/>
          <w:sz w:val="24"/>
          <w:szCs w:val="20"/>
        </w:rPr>
      </w:pPr>
      <w:r>
        <w:rPr>
          <w:rFonts w:ascii="Times New Roman" w:hAnsi="Times New Roman"/>
          <w:b w:val="0"/>
          <w:color w:val="auto"/>
          <w:sz w:val="24"/>
          <w:szCs w:val="20"/>
          <w:lang w:val="zh-CN"/>
        </w:rPr>
        <w:t>根据《广东省地表水环境功能区划》(粤环〔2011〕14号)，第二章“功能区划的基本原则”第</w:t>
      </w:r>
      <w:r>
        <w:rPr>
          <w:rFonts w:ascii="Times New Roman" w:hAnsi="Times New Roman"/>
          <w:b w:val="0"/>
          <w:color w:val="auto"/>
          <w:sz w:val="24"/>
          <w:szCs w:val="20"/>
        </w:rPr>
        <w:t>9点相关规定，城市河段内河涌一般要求不低于Ⅴ类。Ⅴ类水环境质量功能区，主要适用于农业用水区及一般景观要求水域。根据《广东省地表水环境功能区划》(粤环[2011]14号文)规定:“各水体未列出的上游及支流的水体环境质量控制目标以保证主流的环境质量控制目标为最低要求，原则上与汇入干流的功能目标要求不能相差超过-个级别”。</w:t>
      </w:r>
      <w:r>
        <w:rPr>
          <w:rFonts w:ascii="Times New Roman" w:hAnsi="Times New Roman"/>
          <w:bCs/>
          <w:color w:val="auto"/>
          <w:sz w:val="24"/>
          <w:szCs w:val="20"/>
        </w:rPr>
        <w:t>因此本项目地表水标准按IV类标准执行。</w:t>
      </w:r>
    </w:p>
    <w:p>
      <w:pPr>
        <w:spacing w:line="300" w:lineRule="auto"/>
        <w:ind w:firstLine="482" w:firstLineChars="200"/>
        <w:jc w:val="left"/>
        <w:rPr>
          <w:rFonts w:ascii="Times New Roman" w:hAnsi="Times New Roman"/>
          <w:bCs/>
          <w:color w:val="auto"/>
          <w:sz w:val="24"/>
          <w:szCs w:val="20"/>
        </w:rPr>
      </w:pPr>
      <w:r>
        <w:rPr>
          <w:rFonts w:ascii="Times New Roman" w:hAnsi="Times New Roman"/>
          <w:bCs/>
          <w:color w:val="auto"/>
          <w:sz w:val="24"/>
          <w:szCs w:val="20"/>
        </w:rPr>
        <w:t>2、地下水环境功能区区划</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根据广东省水利厅《广东省地下水功能区划》（粤水资源〔2009〕19号），项目所在地位于珠江三角洲广州海珠至南沙不宜开采区，地下水功能区保护目标为Ⅴ类，执行《地下水质量标准》(GB／Tl4848-93)Ⅴ类标准，详见下图所示。</w:t>
      </w:r>
    </w:p>
    <w:p>
      <w:pPr>
        <w:spacing w:line="300" w:lineRule="auto"/>
        <w:ind w:firstLine="562" w:firstLineChars="200"/>
        <w:jc w:val="center"/>
        <w:rPr>
          <w:rFonts w:ascii="Times New Roman" w:hAnsi="Times New Roman"/>
        </w:rPr>
      </w:pPr>
      <w:r>
        <w:rPr>
          <w:rFonts w:ascii="Times New Roman" w:hAnsi="Times New Roman"/>
        </w:rPr>
        <w:drawing>
          <wp:inline distT="0" distB="0" distL="114300" distR="114300">
            <wp:extent cx="3873500" cy="4535805"/>
            <wp:effectExtent l="0" t="0" r="12700" b="17145"/>
            <wp:docPr id="2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6"/>
                    <pic:cNvPicPr>
                      <a:picLocks noChangeAspect="1"/>
                    </pic:cNvPicPr>
                  </pic:nvPicPr>
                  <pic:blipFill>
                    <a:blip r:embed="rId286"/>
                    <a:stretch>
                      <a:fillRect/>
                    </a:stretch>
                  </pic:blipFill>
                  <pic:spPr>
                    <a:xfrm>
                      <a:off x="0" y="0"/>
                      <a:ext cx="3873500" cy="4535805"/>
                    </a:xfrm>
                    <a:prstGeom prst="rect">
                      <a:avLst/>
                    </a:prstGeom>
                    <a:noFill/>
                    <a:ln>
                      <a:noFill/>
                    </a:ln>
                  </pic:spPr>
                </pic:pic>
              </a:graphicData>
            </a:graphic>
          </wp:inline>
        </w:drawing>
      </w:r>
    </w:p>
    <w:p>
      <w:pPr>
        <w:spacing w:line="300" w:lineRule="auto"/>
        <w:ind w:firstLine="422" w:firstLineChars="200"/>
        <w:jc w:val="center"/>
        <w:rPr>
          <w:rFonts w:ascii="Times New Roman" w:hAnsi="Times New Roman"/>
          <w:color w:val="0000CC"/>
          <w:sz w:val="21"/>
          <w:szCs w:val="21"/>
        </w:rPr>
      </w:pPr>
      <w:r>
        <w:rPr>
          <w:rFonts w:ascii="Times New Roman" w:hAnsi="Times New Roman"/>
          <w:color w:val="0000CC"/>
          <w:sz w:val="21"/>
          <w:szCs w:val="21"/>
        </w:rPr>
        <w:t>地下水功能区划图</w:t>
      </w:r>
    </w:p>
    <w:p>
      <w:pPr>
        <w:spacing w:line="300" w:lineRule="auto"/>
        <w:ind w:firstLine="482" w:firstLineChars="200"/>
        <w:jc w:val="left"/>
        <w:rPr>
          <w:rFonts w:ascii="Times New Roman" w:hAnsi="Times New Roman"/>
          <w:bCs/>
          <w:color w:val="auto"/>
          <w:sz w:val="24"/>
          <w:szCs w:val="20"/>
        </w:rPr>
      </w:pPr>
      <w:r>
        <w:rPr>
          <w:rFonts w:ascii="Times New Roman" w:hAnsi="Times New Roman"/>
          <w:bCs/>
          <w:color w:val="auto"/>
          <w:sz w:val="24"/>
          <w:szCs w:val="20"/>
        </w:rPr>
        <w:t>3、环境空气功能区划</w:t>
      </w:r>
    </w:p>
    <w:p>
      <w:pPr>
        <w:spacing w:line="36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根据《广州市环境空气质量功能区区划（修订）》，本项目位于二类环境功能区，执行《环境空气质量标准》（GB3095-2012）中二类标准。建设项目所在区域环境空气质量功能规划详见下图。</w:t>
      </w:r>
    </w:p>
    <w:p>
      <w:pPr>
        <w:spacing w:line="300" w:lineRule="auto"/>
        <w:ind w:firstLine="422" w:firstLineChars="200"/>
        <w:jc w:val="center"/>
        <w:rPr>
          <w:rFonts w:ascii="Times New Roman" w:hAnsi="Times New Roman"/>
          <w:color w:val="0000CC"/>
          <w:sz w:val="21"/>
          <w:szCs w:val="21"/>
        </w:rPr>
      </w:pPr>
      <w:r>
        <w:rPr>
          <w:rFonts w:ascii="Times New Roman" w:hAnsi="Times New Roman"/>
          <w:color w:val="0000CC"/>
          <w:sz w:val="21"/>
          <w:szCs w:val="21"/>
        </w:rPr>
        <w:drawing>
          <wp:inline distT="0" distB="0" distL="114300" distR="114300">
            <wp:extent cx="5579745" cy="7333615"/>
            <wp:effectExtent l="0" t="0" r="1905" b="635"/>
            <wp:docPr id="3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7"/>
                    <pic:cNvPicPr>
                      <a:picLocks noChangeAspect="1"/>
                    </pic:cNvPicPr>
                  </pic:nvPicPr>
                  <pic:blipFill>
                    <a:blip r:embed="rId287"/>
                    <a:stretch>
                      <a:fillRect/>
                    </a:stretch>
                  </pic:blipFill>
                  <pic:spPr>
                    <a:xfrm>
                      <a:off x="0" y="0"/>
                      <a:ext cx="5579745" cy="7333615"/>
                    </a:xfrm>
                    <a:prstGeom prst="rect">
                      <a:avLst/>
                    </a:prstGeom>
                    <a:noFill/>
                    <a:ln>
                      <a:noFill/>
                    </a:ln>
                  </pic:spPr>
                </pic:pic>
              </a:graphicData>
            </a:graphic>
          </wp:inline>
        </w:drawing>
      </w:r>
    </w:p>
    <w:p>
      <w:pPr>
        <w:spacing w:line="300" w:lineRule="auto"/>
        <w:ind w:firstLine="422" w:firstLineChars="200"/>
        <w:jc w:val="center"/>
        <w:rPr>
          <w:rFonts w:ascii="Times New Roman" w:hAnsi="Times New Roman"/>
          <w:b w:val="0"/>
          <w:color w:val="auto"/>
          <w:sz w:val="24"/>
          <w:szCs w:val="20"/>
        </w:rPr>
      </w:pPr>
      <w:r>
        <w:rPr>
          <w:rFonts w:ascii="Times New Roman" w:hAnsi="Times New Roman"/>
          <w:color w:val="0000CC"/>
          <w:sz w:val="21"/>
          <w:szCs w:val="21"/>
        </w:rPr>
        <w:t>建设项目所在区域大气环境功能区划图</w:t>
      </w:r>
      <w:r>
        <w:rPr>
          <w:rFonts w:ascii="Times New Roman" w:hAnsi="Times New Roman" w:eastAsia="黑体"/>
          <w:szCs w:val="24"/>
        </w:rPr>
        <w:t>环境功能区划</w:t>
      </w:r>
    </w:p>
    <w:p>
      <w:pPr>
        <w:spacing w:line="300" w:lineRule="auto"/>
        <w:ind w:firstLine="482" w:firstLineChars="200"/>
        <w:jc w:val="left"/>
        <w:rPr>
          <w:rFonts w:ascii="Times New Roman" w:hAnsi="Times New Roman"/>
          <w:bCs/>
          <w:color w:val="auto"/>
          <w:sz w:val="24"/>
          <w:szCs w:val="20"/>
        </w:rPr>
      </w:pPr>
      <w:r>
        <w:rPr>
          <w:rFonts w:ascii="Times New Roman" w:hAnsi="Times New Roman"/>
          <w:bCs/>
          <w:color w:val="auto"/>
          <w:sz w:val="24"/>
          <w:szCs w:val="20"/>
        </w:rPr>
        <w:t>4、声环境功能区划</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根据周边道路规划及《声环境质量标准》（GB3096-2008）中对交通干线的定义，城市主干路是联系城市各主要地区（住宅区、工业区以及港口、机场和车站等客货运中心等）、承担城市主要交通任务的交通干道，是城市道路网的骨架；城市次干路是城市各区域内部的主要道路，与城市主干路结合成道路网，起集散交通的作用兼有服务功能。根据建设单位提供资料，本项目包含为城市主干道和次干道，属于交通干线。</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根据《广州市声环境功能区区划》（穗环〔2018〕151号），本项目区域属于声环境2类区。当交通干线道路两侧与2类区相邻时，4a类区地带范围是车道与人行道交界处为起点，向道路两侧纵深30米的区域范围；当纵深范围内有高于3层楼房以上（含3层）的建筑物时，建筑物面向道路一侧的区域划为4a类标准适用区域，建筑物背向道路一侧适用相邻区域标准。</w:t>
      </w:r>
    </w:p>
    <w:p>
      <w:pPr>
        <w:spacing w:line="300" w:lineRule="auto"/>
        <w:ind w:firstLine="562" w:firstLineChars="200"/>
        <w:jc w:val="left"/>
        <w:rPr>
          <w:rFonts w:ascii="Times New Roman" w:hAnsi="Times New Roman"/>
        </w:rPr>
      </w:pPr>
      <w:r>
        <w:rPr>
          <w:rFonts w:ascii="Times New Roman" w:hAnsi="Times New Roman"/>
        </w:rPr>
        <w:drawing>
          <wp:inline distT="0" distB="0" distL="114300" distR="114300">
            <wp:extent cx="5760085" cy="5163820"/>
            <wp:effectExtent l="0" t="0" r="12065" b="17780"/>
            <wp:docPr id="3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8"/>
                    <pic:cNvPicPr>
                      <a:picLocks noChangeAspect="1"/>
                    </pic:cNvPicPr>
                  </pic:nvPicPr>
                  <pic:blipFill>
                    <a:blip r:embed="rId288"/>
                    <a:stretch>
                      <a:fillRect/>
                    </a:stretch>
                  </pic:blipFill>
                  <pic:spPr>
                    <a:xfrm>
                      <a:off x="0" y="0"/>
                      <a:ext cx="5760085" cy="5163820"/>
                    </a:xfrm>
                    <a:prstGeom prst="rect">
                      <a:avLst/>
                    </a:prstGeom>
                    <a:noFill/>
                    <a:ln>
                      <a:noFill/>
                    </a:ln>
                  </pic:spPr>
                </pic:pic>
              </a:graphicData>
            </a:graphic>
          </wp:inline>
        </w:drawing>
      </w:r>
    </w:p>
    <w:p>
      <w:pPr>
        <w:spacing w:line="300" w:lineRule="auto"/>
        <w:ind w:firstLine="422" w:firstLineChars="200"/>
        <w:jc w:val="center"/>
        <w:rPr>
          <w:rFonts w:ascii="Times New Roman" w:hAnsi="Times New Roman"/>
          <w:color w:val="0000CC"/>
          <w:sz w:val="21"/>
          <w:szCs w:val="21"/>
        </w:rPr>
      </w:pPr>
      <w:r>
        <w:rPr>
          <w:rFonts w:ascii="Times New Roman" w:hAnsi="Times New Roman"/>
          <w:color w:val="0000CC"/>
          <w:sz w:val="21"/>
          <w:szCs w:val="21"/>
        </w:rPr>
        <w:t>建设项目所在区域大气环境功能区划图</w:t>
      </w:r>
    </w:p>
    <w:p>
      <w:pPr>
        <w:pStyle w:val="5"/>
        <w:ind w:firstLine="482" w:firstLineChars="200"/>
        <w:rPr>
          <w:rFonts w:ascii="Times New Roman" w:hAnsi="Times New Roman"/>
        </w:rPr>
      </w:pPr>
      <w:r>
        <w:rPr>
          <w:rFonts w:ascii="Times New Roman" w:hAnsi="Times New Roman"/>
        </w:rPr>
        <w:t>项目选址与区域环境相符性分析</w:t>
      </w:r>
    </w:p>
    <w:p>
      <w:pPr>
        <w:spacing w:line="300" w:lineRule="auto"/>
        <w:ind w:firstLine="482" w:firstLineChars="200"/>
        <w:jc w:val="left"/>
        <w:rPr>
          <w:rFonts w:ascii="Times New Roman" w:hAnsi="Times New Roman"/>
          <w:bCs/>
          <w:color w:val="auto"/>
          <w:sz w:val="24"/>
          <w:szCs w:val="20"/>
        </w:rPr>
      </w:pPr>
      <w:r>
        <w:rPr>
          <w:rFonts w:ascii="Times New Roman" w:hAnsi="Times New Roman"/>
          <w:bCs/>
          <w:color w:val="auto"/>
          <w:sz w:val="24"/>
          <w:szCs w:val="20"/>
        </w:rPr>
        <w:t>1、水环境功能区及相关要求</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关于广东省人民政府调整广州市饮用水源保护区的批复》（粤府函［2016］第358号），该区域不属于饮用水源保护区。本项目为市政道路项目，自身不产生污水。道路范围内的污水管网收集污水后排放至灵山岛尖污水处理场处理后排放，因此本项目符合纳污水体水环境保护的要求。</w:t>
      </w:r>
    </w:p>
    <w:p>
      <w:pPr>
        <w:spacing w:line="300" w:lineRule="auto"/>
        <w:ind w:firstLine="482" w:firstLineChars="200"/>
        <w:jc w:val="left"/>
        <w:rPr>
          <w:rFonts w:ascii="Times New Roman" w:hAnsi="Times New Roman"/>
          <w:bCs/>
          <w:color w:val="auto"/>
          <w:sz w:val="24"/>
          <w:szCs w:val="20"/>
        </w:rPr>
      </w:pPr>
      <w:r>
        <w:rPr>
          <w:rFonts w:ascii="Times New Roman" w:hAnsi="Times New Roman"/>
          <w:bCs/>
          <w:color w:val="auto"/>
          <w:sz w:val="24"/>
          <w:szCs w:val="20"/>
        </w:rPr>
        <w:t>2、大气环境功能区及相关要求</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根据《广州市环境空气质量功能区区划（修订）》，评价区环境空气区划为环境空气质量二类区，环境空气质量执行《环境空气质量标准》（GB3095-2012）二级标准。本项目营运期排放的大气污染物主要是机动车尾气。根据机动车尾气预测结果，本项目运营期对环境空气的NOx、CO等贡献值较小，周边环境中的NOx、CO仍可达标，因此本项目与大气环境功能区及相关要求不相矛盾。</w:t>
      </w:r>
    </w:p>
    <w:p>
      <w:pPr>
        <w:spacing w:line="300" w:lineRule="auto"/>
        <w:ind w:firstLine="482" w:firstLineChars="200"/>
        <w:jc w:val="left"/>
        <w:rPr>
          <w:rFonts w:ascii="Times New Roman" w:hAnsi="Times New Roman"/>
          <w:bCs/>
          <w:color w:val="auto"/>
          <w:sz w:val="24"/>
          <w:szCs w:val="20"/>
        </w:rPr>
      </w:pPr>
      <w:r>
        <w:rPr>
          <w:rFonts w:ascii="Times New Roman" w:hAnsi="Times New Roman"/>
          <w:bCs/>
          <w:color w:val="auto"/>
          <w:sz w:val="24"/>
          <w:szCs w:val="20"/>
        </w:rPr>
        <w:t>3、声环境功能区划及相关要求</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据《广州市声环境功能区区划》（穗环〔2018〕151号）中声环境功能区的划分，本项目所在区域为声环境功能2、4a类区，执行《声环境质量标准》（GB3096-2008）2、4a类标准。本项目运营期噪声主要为机动车噪声，采取相关措施后，周边敏感点均能室内均能达到《民用建筑隔声设计规范》室内标准要求，因此本项目与声环境功能区及相关要求不相矛盾。</w:t>
      </w:r>
    </w:p>
    <w:p>
      <w:pPr>
        <w:pStyle w:val="4"/>
        <w:spacing w:line="300" w:lineRule="auto"/>
        <w:ind w:firstLine="482" w:firstLineChars="200"/>
      </w:pPr>
      <w:bookmarkStart w:id="434" w:name="_Toc1574"/>
      <w:r>
        <w:t>环境影响评价</w:t>
      </w:r>
      <w:bookmarkEnd w:id="434"/>
    </w:p>
    <w:p>
      <w:pPr>
        <w:pStyle w:val="5"/>
        <w:ind w:firstLine="482" w:firstLineChars="200"/>
        <w:rPr>
          <w:rFonts w:ascii="Times New Roman" w:hAnsi="Times New Roman"/>
        </w:rPr>
      </w:pPr>
      <w:r>
        <w:rPr>
          <w:rFonts w:ascii="Times New Roman" w:hAnsi="Times New Roman"/>
        </w:rPr>
        <w:t>施工环境影响</w:t>
      </w:r>
    </w:p>
    <w:p>
      <w:pPr>
        <w:spacing w:line="300" w:lineRule="auto"/>
        <w:ind w:firstLine="482" w:firstLineChars="200"/>
        <w:jc w:val="left"/>
        <w:rPr>
          <w:rFonts w:ascii="Times New Roman" w:hAnsi="Times New Roman"/>
          <w:bCs/>
          <w:color w:val="auto"/>
          <w:sz w:val="24"/>
          <w:szCs w:val="20"/>
        </w:rPr>
      </w:pPr>
      <w:r>
        <w:rPr>
          <w:rFonts w:ascii="Times New Roman" w:hAnsi="Times New Roman"/>
          <w:bCs/>
          <w:color w:val="auto"/>
          <w:sz w:val="24"/>
          <w:szCs w:val="20"/>
        </w:rPr>
        <w:t>1、施工期声环境影响</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若不对施工噪声采取一系列有效措施进行防治，则将会对施工场地周围声环境质量产生一定</w:t>
      </w:r>
      <w:r>
        <w:rPr>
          <w:rFonts w:hint="eastAsia" w:ascii="Times New Roman" w:hAnsi="Times New Roman"/>
          <w:b w:val="0"/>
          <w:color w:val="auto"/>
          <w:sz w:val="24"/>
          <w:szCs w:val="20"/>
        </w:rPr>
        <w:t>的</w:t>
      </w:r>
      <w:r>
        <w:rPr>
          <w:rFonts w:ascii="Times New Roman" w:hAnsi="Times New Roman"/>
          <w:b w:val="0"/>
          <w:color w:val="auto"/>
          <w:sz w:val="24"/>
          <w:szCs w:val="20"/>
        </w:rPr>
        <w:t>影响。其它同类型项目经验表明，只要加强管理并采取一系列有效措施对拟建项目施工噪声进行有效防治，则拟建项目产生的施工噪声是可以得到有效控制的，而且不会对施工场地周边区域声环境质量产生明显不良影响。</w:t>
      </w:r>
    </w:p>
    <w:p>
      <w:pPr>
        <w:spacing w:line="300" w:lineRule="auto"/>
        <w:ind w:firstLine="482" w:firstLineChars="200"/>
        <w:jc w:val="left"/>
        <w:rPr>
          <w:rFonts w:ascii="Times New Roman" w:hAnsi="Times New Roman"/>
          <w:bCs/>
          <w:color w:val="auto"/>
          <w:sz w:val="24"/>
          <w:szCs w:val="20"/>
        </w:rPr>
      </w:pPr>
      <w:r>
        <w:rPr>
          <w:rFonts w:ascii="Times New Roman" w:hAnsi="Times New Roman"/>
          <w:bCs/>
          <w:color w:val="auto"/>
          <w:sz w:val="24"/>
          <w:szCs w:val="20"/>
        </w:rPr>
        <w:t>2、施工期环境空气影响</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1、</w:t>
      </w:r>
      <w:r>
        <w:rPr>
          <w:rFonts w:hint="eastAsia" w:ascii="Times New Roman" w:hAnsi="Times New Roman"/>
          <w:b w:val="0"/>
          <w:color w:val="auto"/>
          <w:sz w:val="24"/>
          <w:szCs w:val="20"/>
        </w:rPr>
        <w:t>施工扬尘</w:t>
      </w:r>
      <w:r>
        <w:rPr>
          <w:rFonts w:ascii="Times New Roman" w:hAnsi="Times New Roman"/>
          <w:b w:val="0"/>
          <w:color w:val="auto"/>
          <w:sz w:val="24"/>
          <w:szCs w:val="20"/>
        </w:rPr>
        <w:t>环境空气影响分析</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在拟建项目施工期，可能给所在地环境空气质量产生影响的大气污染源将主要是施工扬尘。由于填土方砂土颗粒物粒径较粗，扬尘产生源高度较低，施工扬尘的影响范围仅局限在施工场地附近近距离范围内的区域，在施工场地下风向100m以内的区域TSP浓度增值明显，100m以远区域的TSP浓度值明显下降，也就是说，施工扬尘的影响范围不会超过施工场地下风向100m。</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2、其它污染因子环境空气影响分析</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在拟建项目施工期间，除了施工填土方扬尘可能对环境空气质量产生影响外，混凝土的制备、汽车运输扬尘、施工人员食堂火烟及油烟污染物、施工机械及运输车辆排放尾气等也可能对施工场地所在地的环境空气质量产生一定影响。但这些污染物的排放源强较小，排放高度较低，因此拟建项目施工期间排放的这些大气污染物对环境空气产生的影响范围较小，影响程度较轻，应该不会对拟建项目拟建址所在的环境空气质量产生明显的不良影响。</w:t>
      </w:r>
    </w:p>
    <w:p>
      <w:pPr>
        <w:spacing w:line="300" w:lineRule="auto"/>
        <w:ind w:firstLine="482" w:firstLineChars="200"/>
        <w:jc w:val="left"/>
        <w:rPr>
          <w:rFonts w:ascii="Times New Roman" w:hAnsi="Times New Roman"/>
          <w:bCs/>
          <w:color w:val="auto"/>
          <w:sz w:val="24"/>
          <w:szCs w:val="20"/>
        </w:rPr>
      </w:pPr>
      <w:r>
        <w:rPr>
          <w:rFonts w:ascii="Times New Roman" w:hAnsi="Times New Roman"/>
          <w:bCs/>
          <w:color w:val="auto"/>
          <w:sz w:val="24"/>
          <w:szCs w:val="20"/>
        </w:rPr>
        <w:t>3、施工期水环境影响</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施工期废水主要是来自暴雨的地表径流、地下水、施工废水及施工人员的生活污水。一般情况下，道路施工废水包括钻孔产生的泥浆水、机械设备运转的冷却水和洗涤水、施工机械运转中产生的油污水、施工机械维修过程中产生的含油污水。这些施工废水虽然水量不大，但是如果直接排放，则会对受纳水体水环境质量产生一定影响，使水体中泥沙含量及有机物质有所增加，施工单位应予以高度重视。另外，广州地处亚热带，降雨量流沛，特别是夏季暴雨较易对施工场地造成冲刷，污染周围环境，甚至堵塞城市排水管网系统。</w:t>
      </w:r>
    </w:p>
    <w:p>
      <w:pPr>
        <w:spacing w:line="300" w:lineRule="auto"/>
        <w:ind w:firstLine="482" w:firstLineChars="200"/>
        <w:jc w:val="left"/>
        <w:rPr>
          <w:rFonts w:ascii="Times New Roman" w:hAnsi="Times New Roman"/>
          <w:bCs/>
          <w:color w:val="auto"/>
          <w:sz w:val="24"/>
          <w:szCs w:val="20"/>
        </w:rPr>
      </w:pPr>
      <w:r>
        <w:rPr>
          <w:rFonts w:ascii="Times New Roman" w:hAnsi="Times New Roman"/>
          <w:bCs/>
          <w:color w:val="auto"/>
          <w:sz w:val="24"/>
          <w:szCs w:val="20"/>
        </w:rPr>
        <w:t>4、施工期固体废物环境影响</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施工期间建筑工地会产生大量余泥、碴土（包括拆除旧建筑物的碴土）、地表开挖的余泥、施工剩余废物料等。如不妥善处理这些建筑固体废弃物，则会阻碍交通，污染环境。在运输过程中，车辆如不注意清洁运输，沿途撒漏泥土，污染街道和公路，影响市容和交通。</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另外，如果不采取有效措施对施工场地临时碴土</w:t>
      </w:r>
      <w:r>
        <w:rPr>
          <w:rFonts w:hint="eastAsia" w:ascii="Times New Roman" w:hAnsi="Times New Roman"/>
          <w:b w:val="0"/>
          <w:color w:val="auto"/>
          <w:sz w:val="24"/>
          <w:szCs w:val="20"/>
        </w:rPr>
        <w:t>堆石场</w:t>
      </w:r>
      <w:r>
        <w:rPr>
          <w:rFonts w:ascii="Times New Roman" w:hAnsi="Times New Roman"/>
          <w:b w:val="0"/>
          <w:color w:val="auto"/>
          <w:sz w:val="24"/>
          <w:szCs w:val="20"/>
        </w:rPr>
        <w:t>采取一定的水土流失防治措施，如遇暴雨冲刷，则会造成水土流失。广州市年降雨充沛，暴雨频率高，强度大，极易引起水土流失。在靠近河涌地段，泥浆水直接排入河涌，增加河水的含砂量，造成河床沉积。同时泥浆水还夹带施工场地上的水泥、油污等污染物进入水体，造成水体污染。另外，施工期间施工人员也会产生一定的生活垃圾，如不采取措施收集、堆放，将对施工区环境产生一定的不良影响。</w:t>
      </w:r>
    </w:p>
    <w:p>
      <w:pPr>
        <w:pStyle w:val="5"/>
        <w:ind w:firstLine="482" w:firstLineChars="200"/>
        <w:rPr>
          <w:rFonts w:ascii="Times New Roman" w:hAnsi="Times New Roman"/>
        </w:rPr>
      </w:pPr>
      <w:r>
        <w:rPr>
          <w:rFonts w:ascii="Times New Roman" w:hAnsi="Times New Roman"/>
        </w:rPr>
        <w:t>运营期环境影响</w:t>
      </w:r>
    </w:p>
    <w:p>
      <w:pPr>
        <w:spacing w:line="300" w:lineRule="auto"/>
        <w:ind w:firstLine="482" w:firstLineChars="200"/>
        <w:jc w:val="left"/>
        <w:rPr>
          <w:rFonts w:ascii="Times New Roman" w:hAnsi="Times New Roman"/>
          <w:bCs/>
          <w:color w:val="auto"/>
          <w:sz w:val="24"/>
          <w:szCs w:val="20"/>
        </w:rPr>
      </w:pPr>
      <w:r>
        <w:rPr>
          <w:rFonts w:ascii="Times New Roman" w:hAnsi="Times New Roman"/>
          <w:bCs/>
          <w:color w:val="auto"/>
          <w:sz w:val="24"/>
          <w:szCs w:val="20"/>
        </w:rPr>
        <w:t>1、营运期环境空气质量影响</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运营期间机动车会产生尾气，尾气污染物将对周边环境空气质量产生一定影响。</w:t>
      </w:r>
    </w:p>
    <w:p>
      <w:pPr>
        <w:spacing w:line="300" w:lineRule="auto"/>
        <w:ind w:firstLine="482" w:firstLineChars="200"/>
        <w:jc w:val="left"/>
        <w:rPr>
          <w:rFonts w:ascii="Times New Roman" w:hAnsi="Times New Roman"/>
          <w:bCs/>
          <w:color w:val="auto"/>
          <w:sz w:val="24"/>
          <w:szCs w:val="20"/>
        </w:rPr>
      </w:pPr>
      <w:r>
        <w:rPr>
          <w:rFonts w:ascii="Times New Roman" w:hAnsi="Times New Roman"/>
          <w:bCs/>
          <w:color w:val="auto"/>
          <w:sz w:val="24"/>
          <w:szCs w:val="20"/>
        </w:rPr>
        <w:t>2、营运期声环境质量影响</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项目建成通车后，机动车运行将对周边声环境产生一定影响，且越靠近路边，噪声值越高，且越靠近路边噪声随高度增加的垂直衰减变化越明显。</w:t>
      </w:r>
    </w:p>
    <w:p>
      <w:pPr>
        <w:spacing w:line="300" w:lineRule="auto"/>
        <w:ind w:firstLine="482" w:firstLineChars="200"/>
        <w:jc w:val="left"/>
        <w:rPr>
          <w:rFonts w:ascii="Times New Roman" w:hAnsi="Times New Roman"/>
          <w:bCs/>
          <w:color w:val="auto"/>
          <w:sz w:val="24"/>
          <w:szCs w:val="20"/>
        </w:rPr>
      </w:pPr>
      <w:r>
        <w:rPr>
          <w:rFonts w:ascii="Times New Roman" w:hAnsi="Times New Roman"/>
          <w:bCs/>
          <w:color w:val="auto"/>
          <w:sz w:val="24"/>
          <w:szCs w:val="20"/>
        </w:rPr>
        <w:t>3、营运期水环境影响</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道路营运期对水的影响相对施工期对水的影响小，但影响时间更长。主要来源是行驶车辆的轮胎与路面摩擦过程中产生的杂物、车辆行驶过程中在其他路段上携带的泥沙等经地表径流或风进入水系和行驶车辆尾气排放等。此外，故障车辆的漏油等被径流带入水系后也会对水环境产生一定影响。</w:t>
      </w:r>
    </w:p>
    <w:p>
      <w:pPr>
        <w:pStyle w:val="4"/>
        <w:spacing w:line="300" w:lineRule="auto"/>
        <w:ind w:firstLine="482" w:firstLineChars="200"/>
      </w:pPr>
      <w:bookmarkStart w:id="435" w:name="_Toc2839"/>
      <w:r>
        <w:t>环境污染防治措施及对策</w:t>
      </w:r>
      <w:bookmarkEnd w:id="435"/>
    </w:p>
    <w:p>
      <w:pPr>
        <w:pStyle w:val="5"/>
        <w:ind w:firstLine="482" w:firstLineChars="200"/>
        <w:rPr>
          <w:rFonts w:ascii="Times New Roman" w:hAnsi="Times New Roman"/>
        </w:rPr>
      </w:pPr>
      <w:r>
        <w:rPr>
          <w:rFonts w:ascii="Times New Roman" w:hAnsi="Times New Roman"/>
        </w:rPr>
        <w:t>施工环境污染防治措施及对策</w:t>
      </w:r>
    </w:p>
    <w:p>
      <w:pPr>
        <w:spacing w:line="300" w:lineRule="auto"/>
        <w:ind w:firstLine="482" w:firstLineChars="200"/>
        <w:jc w:val="left"/>
        <w:rPr>
          <w:rFonts w:ascii="Times New Roman" w:hAnsi="Times New Roman"/>
          <w:bCs/>
          <w:color w:val="auto"/>
          <w:sz w:val="24"/>
          <w:szCs w:val="20"/>
        </w:rPr>
      </w:pPr>
      <w:r>
        <w:rPr>
          <w:rFonts w:ascii="Times New Roman" w:hAnsi="Times New Roman"/>
          <w:bCs/>
          <w:color w:val="auto"/>
          <w:sz w:val="24"/>
          <w:szCs w:val="20"/>
        </w:rPr>
        <w:t>1、环境空气污染防治措施及对策</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（1）平整场地、开挖基础作业时，应经常洒水使作业面土壤保持较高的湿度；对施工场地内裸露的地面，也应经常洒水防止扬尘。</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（2）施工场地产生的多余土方应尽量用于填方，并注意填方后要随时压实、撒水防止扬尘。</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（3）平整场地、开挖基础作业时，土方应随挖随装车运走，不要堆存在施工场地，以免风吹扬尘。</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（4）运土及运粉状建筑材料的运输车辆应采用加盖专用车辆或者配置防洒落装置，车辆装载不宜过满，保证运输过程中不散落。</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（5）在施工场地边界建设临时围墙，整个施工场地只设一个供人员和车辆出入的大门。在大门入口设临时洗车场，车辆出施工场地前必须将车辆冲洗干净，然后再驶出大门。</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（6）对运输过程中散落在路面上的泥土要及时清扫，以减少运输过程中的扬尘。</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（7）各建、构筑物四周在施工过程要设置防护网，防护网材料和质地要密实。</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（8）施工过程中，应严禁将废弃的建筑材料焚烧。工地食堂应使用液化石油气或电灶具，不能使用燃油灶具。</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（9）粉状建材应设临时工棚或仓库储存，不得露天堆放。</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（10）建议采用水泥搅拌车进行混凝土搅拌，不采用袋装水泥，防止水泥粉尘产生。</w:t>
      </w:r>
    </w:p>
    <w:p>
      <w:pPr>
        <w:spacing w:line="300" w:lineRule="auto"/>
        <w:ind w:firstLine="482" w:firstLineChars="200"/>
        <w:jc w:val="left"/>
        <w:rPr>
          <w:rFonts w:ascii="Times New Roman" w:hAnsi="Times New Roman"/>
          <w:bCs/>
          <w:color w:val="auto"/>
          <w:sz w:val="24"/>
          <w:szCs w:val="20"/>
        </w:rPr>
      </w:pPr>
      <w:r>
        <w:rPr>
          <w:rFonts w:ascii="Times New Roman" w:hAnsi="Times New Roman"/>
          <w:bCs/>
          <w:color w:val="auto"/>
          <w:sz w:val="24"/>
          <w:szCs w:val="20"/>
        </w:rPr>
        <w:t>2、施工期间噪声污染防治措施</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建设单位和工程施工单位必须按照《广州市环境噪声污染防治规定》的规定。建议建设单位从以下几方面着手，采取适当的实施措施来减轻其噪声的影响。</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（1）在施工开始前，建设单位要制定包括噪声污染控制在内的“施工期环境保护方案”，并上报有关环境保护行政主管部门备案。</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（2）在距施工场界较近的企事业单位和学校、居民点张贴“安民告示”，解释某些原因并予以致歉，争取取得谅解。</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（3）尽量选用低噪声系列工程机械设备。</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（4）合理布置高噪声的施工设备，大于80dB（A）的施工设备最好将其布置在远离声环境敏感点的一侧。</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（5）在有市电供给的情况下禁止使用柴油发电机组。</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（6）在施工场地边界建设临时围墙，围墙必须为大于24cm的砖质墙。</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（7）对较高噪声值的固定设备，应建设隔声间或声屏障。</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（8）严禁在早7点以前，中午12-14点，晚22点以后启动强噪声施工设备。</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采取上述措施后，可有效地降低施工噪声，保证施工场界噪声达标以及避免对声环境敏感点的扰民现象发生。</w:t>
      </w:r>
    </w:p>
    <w:p>
      <w:pPr>
        <w:spacing w:line="300" w:lineRule="auto"/>
        <w:ind w:firstLine="482" w:firstLineChars="200"/>
        <w:jc w:val="left"/>
        <w:rPr>
          <w:rFonts w:ascii="Times New Roman" w:hAnsi="Times New Roman"/>
          <w:bCs/>
          <w:color w:val="auto"/>
          <w:sz w:val="24"/>
          <w:szCs w:val="20"/>
        </w:rPr>
      </w:pPr>
      <w:r>
        <w:rPr>
          <w:rFonts w:ascii="Times New Roman" w:hAnsi="Times New Roman"/>
          <w:bCs/>
          <w:color w:val="auto"/>
          <w:sz w:val="24"/>
          <w:szCs w:val="20"/>
        </w:rPr>
        <w:t>3、施工期污水防治措施</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项目施工期间，施工单位必须严格执行《建设工程施工场地文明施工及环境管理暂行规定》，</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对污水、废水的排放进行方案设计，严禁乱排、乱流,污染道路、环境。</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（1）道路建设过程的施工污水中含有大量的泥沙与油类，如未加处理直接排入水体将影响水质，因此施工废水不得直接排入水道或排入市政管网，应作简单处理后再排入市政管网。</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2）对施工期生活污水应进行收集，处理后排放（工地粪便污水需经三级厌氧化粪池处理；工地食堂污水需经隔油隔渣处理后）；建设单位可采用一套气浮法污水处理系统对生活污水进行处理，该系统应与营运期污水处理系统相衔接，避免重复投资。</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3）对于项目施工期间的残油、废油，一般按残油、废油所混有杂质情况，分别用不同盛油容器收集存放，对于油质好，杂质少的存放在一起，可以出售给综合利用单位。对于杂质较多的残油、废油，可作为焚烧垃圾的助燃燃料，油抹布按油混合物回收处理，做好回收暂存。项目施工期的油污水来自有关作业和施工机械漏油和机械冲洗污水，对于油污水，用机械离心式油水分离器进行过滤处理。</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（4）本项目的建设施工单位还要对泥浆水进行过滤沉淀简单处理，禁止直接排入市政管网和沿线河涌，建设单位要加强管理，做到文明施工，在施工范围内分别建设雨水导流渠和过滤沉淀池。</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5）对于生活垃圾、施工垃圾、维修垃圾，由于进入水体会造成污染，所以均要求有组织回收、分类、贮藏和处理，其中可利用的物料，应重点利用或提交收购，如多数的纸质、木质、金属性和玻璃质的垃圾可供收购站再利用，对不能利用的，应交由环卫部门妥善进行无害化处理、焚烧、填埋、堆存等。建立大桥施工期垃圾的管理和回收处理计划和制度。</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（6）建设蓄水池。在施工场地建设临时蓄水池，将开挖基础产生的地下排水收集储存，并回用于施工场地裸地和土方的撒水抑尘。</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（7）设置循环水池。在施工场地设置循环水池，将设备冷却水降温后循环使用，以节约用水。</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（8）车辆、设备冲洗水循环使用。设置沉淀池，将设备、车辆洗涤水简单处理后循环使用，禁止此类废水直接外排。</w:t>
      </w:r>
    </w:p>
    <w:p>
      <w:pPr>
        <w:pStyle w:val="5"/>
        <w:ind w:firstLine="482" w:firstLineChars="200"/>
        <w:rPr>
          <w:rFonts w:ascii="Times New Roman" w:hAnsi="Times New Roman"/>
        </w:rPr>
      </w:pPr>
      <w:r>
        <w:rPr>
          <w:rFonts w:ascii="Times New Roman" w:hAnsi="Times New Roman"/>
        </w:rPr>
        <w:t>营运期环境污染防治措施及对策</w:t>
      </w:r>
    </w:p>
    <w:p>
      <w:pPr>
        <w:spacing w:line="300" w:lineRule="auto"/>
        <w:ind w:firstLine="482" w:firstLineChars="200"/>
        <w:jc w:val="left"/>
        <w:rPr>
          <w:rFonts w:ascii="Times New Roman" w:hAnsi="Times New Roman"/>
          <w:bCs/>
          <w:color w:val="auto"/>
          <w:sz w:val="24"/>
          <w:szCs w:val="20"/>
        </w:rPr>
      </w:pPr>
      <w:r>
        <w:rPr>
          <w:rFonts w:ascii="Times New Roman" w:hAnsi="Times New Roman"/>
          <w:bCs/>
          <w:color w:val="auto"/>
          <w:sz w:val="24"/>
          <w:szCs w:val="20"/>
        </w:rPr>
        <w:t>1、环境空气污染防治措施及对策</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1、对污染源采取控制措施</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1）禁止尾气污染物超标排放机动车通行。</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2）降低路面尘粒。</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3）保证机动车行驶快捷方便。</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4）支持配合当地政府搞好机动车尾气污染控制。</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2、对大气污染物扩散采取控制措施</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1）增加大气污染物扩散距离。</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2）利用植被净化空气。</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3）采取全射流纵向通风措施。</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3、对敏感点采取措施</w:t>
      </w:r>
    </w:p>
    <w:p>
      <w:pPr>
        <w:spacing w:line="300" w:lineRule="auto"/>
        <w:ind w:firstLine="482" w:firstLineChars="200"/>
        <w:jc w:val="left"/>
        <w:rPr>
          <w:rFonts w:ascii="Times New Roman" w:hAnsi="Times New Roman"/>
          <w:bCs/>
          <w:color w:val="auto"/>
          <w:sz w:val="24"/>
          <w:szCs w:val="20"/>
        </w:rPr>
      </w:pPr>
      <w:r>
        <w:rPr>
          <w:rFonts w:ascii="Times New Roman" w:hAnsi="Times New Roman"/>
          <w:bCs/>
          <w:color w:val="auto"/>
          <w:sz w:val="24"/>
          <w:szCs w:val="20"/>
        </w:rPr>
        <w:t>运营期间噪声污染防治措</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本项目采取防噪措施有以下两个方面</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1、采用吸声减噪的沥青路面。</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2、道路两侧种植绿化。</w:t>
      </w:r>
    </w:p>
    <w:p>
      <w:pPr>
        <w:spacing w:line="300" w:lineRule="auto"/>
        <w:ind w:firstLine="482" w:firstLineChars="200"/>
        <w:jc w:val="left"/>
        <w:rPr>
          <w:rFonts w:ascii="Times New Roman" w:hAnsi="Times New Roman"/>
          <w:bCs/>
          <w:color w:val="auto"/>
          <w:sz w:val="24"/>
          <w:szCs w:val="20"/>
        </w:rPr>
      </w:pPr>
      <w:r>
        <w:rPr>
          <w:rFonts w:ascii="Times New Roman" w:hAnsi="Times New Roman"/>
          <w:bCs/>
          <w:color w:val="auto"/>
          <w:sz w:val="24"/>
          <w:szCs w:val="20"/>
        </w:rPr>
        <w:t>2、运营期污水防治措施</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运营期间片充分结合现状条件和自然地势，尽可能减少污水的提升量，道路范围内的污水就近汇入庙贝场路、江灵南路污水主管后自北向南排入灵山岛尖污水处理厂处理后排放。</w:t>
      </w:r>
    </w:p>
    <w:p>
      <w:pPr>
        <w:pStyle w:val="4"/>
        <w:spacing w:line="300" w:lineRule="auto"/>
        <w:ind w:firstLine="482" w:firstLineChars="200"/>
      </w:pPr>
      <w:bookmarkStart w:id="436" w:name="_Toc4934"/>
      <w:r>
        <w:t>对生态环境的保护措施</w:t>
      </w:r>
      <w:bookmarkEnd w:id="436"/>
    </w:p>
    <w:p>
      <w:pPr>
        <w:pStyle w:val="16"/>
        <w:snapToGrid w:val="0"/>
        <w:spacing w:line="360" w:lineRule="auto"/>
        <w:ind w:firstLine="482"/>
        <w:jc w:val="left"/>
        <w:rPr>
          <w:rFonts w:ascii="Times New Roman" w:hAnsi="Times New Roman"/>
          <w:bCs/>
          <w:sz w:val="24"/>
          <w:szCs w:val="22"/>
        </w:rPr>
      </w:pPr>
      <w:r>
        <w:rPr>
          <w:rFonts w:ascii="Times New Roman" w:hAnsi="Times New Roman"/>
          <w:bCs/>
          <w:sz w:val="24"/>
          <w:szCs w:val="22"/>
        </w:rPr>
        <w:t>施工期</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1）施工单位应采取必要措施防止和减缓环境污染。施工用料的堆放应远离水体，应在材料堆放场四周挖明沟，沉沙池、设挡墙等，防止被暴雨径流进入水体，影响水质，各类材料应备有防雨遮雨设施。施工区应做好水土保持措施，防止泥沙因雨水冲刷进入河道。</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2）施工中要加强对水体环境质量的保护，防止油污、渣料、建材等产生污染；施工过程中产生的生活污水、固体废物、垃圾等须集中收集进行处理，禁止未经处理的污水、固废排入水体，避免对红树林生长区域的水质污染。同时，不得在河道、滩涂和红树林内检修施工机械，防止施工机械含油废水对红树林的影响。</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3）加强施工期间运输扬尘污染的控制。运送易产生扬尘物质车辆应实行密闭运输，避免在运输过程产生扬尘或泄漏；对区内运输道路定期洒水，来往于各施工场地卡车上的多尘物料均应用帆布覆盖；选择对周围环境影响较小的运输路线：应限制施工区内运输车辆速度，将卡车在施工场地的车速控制在10km/h内。</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（4）加强施工期环境管理和监控。工程施工期内各有关单位应制定相应制度，</w:t>
      </w:r>
      <w:r>
        <w:rPr>
          <w:rFonts w:hint="eastAsia" w:ascii="Times New Roman" w:hAnsi="Times New Roman"/>
          <w:b w:val="0"/>
          <w:color w:val="auto"/>
          <w:sz w:val="24"/>
          <w:szCs w:val="20"/>
        </w:rPr>
        <w:t>严格</w:t>
      </w:r>
      <w:r>
        <w:rPr>
          <w:rFonts w:ascii="Times New Roman" w:hAnsi="Times New Roman"/>
          <w:b w:val="0"/>
          <w:color w:val="auto"/>
          <w:sz w:val="24"/>
          <w:szCs w:val="20"/>
        </w:rPr>
        <w:t>控制进入施工区和红树林地内的人员、机具设备数量和作业时间，亚格执行林业、水保等有关部门的相关规定，并严禁任意扩大施工作业面。</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（5）加强施工期管理，</w:t>
      </w:r>
      <w:r>
        <w:rPr>
          <w:rFonts w:hint="eastAsia" w:ascii="Times New Roman" w:hAnsi="Times New Roman"/>
          <w:b w:val="0"/>
          <w:color w:val="auto"/>
          <w:sz w:val="24"/>
          <w:szCs w:val="20"/>
        </w:rPr>
        <w:t>严防水土</w:t>
      </w:r>
      <w:r>
        <w:rPr>
          <w:rFonts w:ascii="Times New Roman" w:hAnsi="Times New Roman"/>
          <w:b w:val="0"/>
          <w:color w:val="auto"/>
          <w:sz w:val="24"/>
          <w:szCs w:val="20"/>
        </w:rPr>
        <w:t>流失。施工时，尽量减少植被破坏。施工结束后迅速对弃土地区、边坡开挖区、边坡等土层裸露地带进行防护或草皮覆盖，有条件时可以先植草再种树。</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6）噪声主要来源为施工期机械及运输车辆作业，运营期汽车行驶的鸣笛、轮胎摩擦噪声，应采取相应的措施降低噪声对周边环境的影响，如修建高围墙、设置声屏障、临路两侧密集植树绿化、建筑物设置双层窗或封闭外走廊等。在湿地鸟类觅食活动设置禁止鸣笛等标识牌。</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（7）项目建设期内，加强道路沿线的水质、土壤、大气等主要影响因素的动态监测，并制定环境应急预警预案。</w:t>
      </w:r>
    </w:p>
    <w:p>
      <w:pPr>
        <w:pStyle w:val="16"/>
        <w:snapToGrid w:val="0"/>
        <w:spacing w:line="360" w:lineRule="auto"/>
        <w:ind w:firstLine="482"/>
        <w:jc w:val="left"/>
        <w:rPr>
          <w:rFonts w:ascii="Times New Roman" w:hAnsi="Times New Roman"/>
          <w:bCs/>
          <w:sz w:val="24"/>
          <w:szCs w:val="22"/>
        </w:rPr>
      </w:pPr>
      <w:r>
        <w:rPr>
          <w:rFonts w:ascii="Times New Roman" w:hAnsi="Times New Roman"/>
          <w:bCs/>
          <w:sz w:val="24"/>
          <w:szCs w:val="22"/>
        </w:rPr>
        <w:t>运营期</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（1）大气环境影响保护措施</w:t>
      </w:r>
    </w:p>
    <w:p>
      <w:pPr>
        <w:spacing w:line="300" w:lineRule="auto"/>
        <w:ind w:firstLine="480" w:firstLineChars="200"/>
        <w:jc w:val="left"/>
        <w:rPr>
          <w:rFonts w:ascii="Times New Roman" w:hAnsi="Times New Roman"/>
          <w:b w:val="0"/>
          <w:color w:val="auto"/>
          <w:sz w:val="24"/>
          <w:szCs w:val="20"/>
        </w:rPr>
      </w:pPr>
      <w:r>
        <w:rPr>
          <w:rFonts w:hint="eastAsia" w:ascii="Times New Roman" w:hAnsi="Times New Roman"/>
          <w:b w:val="0"/>
          <w:color w:val="auto"/>
          <w:sz w:val="24"/>
          <w:szCs w:val="20"/>
        </w:rPr>
        <w:t>①</w:t>
      </w:r>
      <w:r>
        <w:rPr>
          <w:rFonts w:ascii="Times New Roman" w:hAnsi="Times New Roman"/>
          <w:b w:val="0"/>
          <w:color w:val="auto"/>
          <w:sz w:val="24"/>
          <w:szCs w:val="20"/>
        </w:rPr>
        <w:t>在桥梁附近多种植乔、灌木。可以净化、吸收机动车尾气中的污染物、道路粉尘，又可以美化环境，改善路容。</w:t>
      </w:r>
      <w:r>
        <w:rPr>
          <w:rFonts w:hint="eastAsia" w:ascii="Times New Roman" w:hAnsi="Times New Roman"/>
          <w:b w:val="0"/>
          <w:color w:val="auto"/>
          <w:sz w:val="24"/>
          <w:szCs w:val="20"/>
        </w:rPr>
        <w:t>②</w:t>
      </w:r>
      <w:r>
        <w:rPr>
          <w:rFonts w:ascii="Times New Roman" w:hAnsi="Times New Roman"/>
          <w:b w:val="0"/>
          <w:color w:val="auto"/>
          <w:sz w:val="24"/>
          <w:szCs w:val="20"/>
        </w:rPr>
        <w:t>严格执行车辆排放检验制度，利用收费站对汽车排放状况进行抽查，限制尾气排放严重超标的车辆上路。</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（2）水环境影响保护措施</w:t>
      </w:r>
    </w:p>
    <w:p>
      <w:pPr>
        <w:spacing w:line="300" w:lineRule="auto"/>
        <w:ind w:firstLine="480" w:firstLineChars="200"/>
        <w:jc w:val="left"/>
        <w:rPr>
          <w:rFonts w:ascii="Times New Roman" w:hAnsi="Times New Roman"/>
          <w:b w:val="0"/>
          <w:color w:val="auto"/>
          <w:sz w:val="24"/>
          <w:szCs w:val="20"/>
        </w:rPr>
      </w:pPr>
      <w:r>
        <w:rPr>
          <w:rFonts w:hint="eastAsia" w:ascii="Times New Roman" w:hAnsi="Times New Roman"/>
          <w:b w:val="0"/>
          <w:color w:val="auto"/>
          <w:sz w:val="24"/>
          <w:szCs w:val="20"/>
        </w:rPr>
        <w:t>①</w:t>
      </w:r>
      <w:r>
        <w:rPr>
          <w:rFonts w:ascii="Times New Roman" w:hAnsi="Times New Roman"/>
          <w:b w:val="0"/>
          <w:color w:val="auto"/>
          <w:sz w:val="24"/>
          <w:szCs w:val="20"/>
        </w:rPr>
        <w:t>设置蓄水池，对平时的雨水进行收集蒸发，若出现有因车辆污染物泄漏等导致的污水可进行沉降、中和等处理。针对有严重污染的污水可进行沉降、中和等处理，而一般的雨水等可在处理池自行蒸发；</w:t>
      </w:r>
      <w:r>
        <w:rPr>
          <w:rFonts w:hint="eastAsia" w:ascii="Times New Roman" w:hAnsi="Times New Roman"/>
          <w:b w:val="0"/>
          <w:color w:val="auto"/>
          <w:sz w:val="24"/>
          <w:szCs w:val="20"/>
        </w:rPr>
        <w:t>②</w:t>
      </w:r>
      <w:r>
        <w:rPr>
          <w:rFonts w:ascii="Times New Roman" w:hAnsi="Times New Roman"/>
          <w:b w:val="0"/>
          <w:color w:val="auto"/>
          <w:sz w:val="24"/>
          <w:szCs w:val="20"/>
        </w:rPr>
        <w:t>定期对排水系统进行清理疏导，保证路面径流收集系统排水顺畅，集水池采用人工定期除砂；</w:t>
      </w:r>
      <w:r>
        <w:rPr>
          <w:rFonts w:hint="eastAsia" w:ascii="Times New Roman" w:hAnsi="Times New Roman"/>
          <w:b w:val="0"/>
          <w:color w:val="auto"/>
          <w:sz w:val="24"/>
          <w:szCs w:val="20"/>
        </w:rPr>
        <w:t>③</w:t>
      </w:r>
      <w:r>
        <w:rPr>
          <w:rFonts w:ascii="Times New Roman" w:hAnsi="Times New Roman"/>
          <w:b w:val="0"/>
          <w:color w:val="auto"/>
          <w:sz w:val="24"/>
          <w:szCs w:val="20"/>
        </w:rPr>
        <w:t>在大雾、大雨等恶劣天气，禁止载有危险品或污染性化学品的车辆来往，以免发生交通事故而造成危险品、化学品的泄漏。</w:t>
      </w:r>
    </w:p>
    <w:p>
      <w:pPr>
        <w:numPr>
          <w:ilvl w:val="0"/>
          <w:numId w:val="42"/>
        </w:num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声环境影响保护措施</w:t>
      </w:r>
    </w:p>
    <w:p>
      <w:pPr>
        <w:numPr>
          <w:ilvl w:val="0"/>
          <w:numId w:val="42"/>
        </w:numPr>
        <w:spacing w:line="300" w:lineRule="auto"/>
        <w:ind w:firstLine="480" w:firstLineChars="200"/>
        <w:jc w:val="left"/>
        <w:rPr>
          <w:rFonts w:ascii="Times New Roman" w:hAnsi="Times New Roman"/>
          <w:b w:val="0"/>
          <w:color w:val="auto"/>
          <w:sz w:val="24"/>
          <w:szCs w:val="20"/>
        </w:rPr>
      </w:pPr>
      <w:r>
        <w:rPr>
          <w:rFonts w:hint="eastAsia" w:ascii="Times New Roman" w:hAnsi="Times New Roman"/>
          <w:b w:val="0"/>
          <w:color w:val="auto"/>
          <w:sz w:val="24"/>
          <w:szCs w:val="20"/>
        </w:rPr>
        <w:t>①</w:t>
      </w:r>
      <w:r>
        <w:rPr>
          <w:rFonts w:ascii="Times New Roman" w:hAnsi="Times New Roman"/>
          <w:b w:val="0"/>
          <w:color w:val="auto"/>
          <w:sz w:val="24"/>
          <w:szCs w:val="20"/>
        </w:rPr>
        <w:t>加强道路交通管理，设置限速、减少或禁止鸣笛和远光灯的警示牌等，有效控制交通噪声污染；</w:t>
      </w:r>
      <w:r>
        <w:rPr>
          <w:rFonts w:hint="eastAsia" w:ascii="Times New Roman" w:hAnsi="Times New Roman"/>
          <w:b w:val="0"/>
          <w:color w:val="auto"/>
          <w:sz w:val="24"/>
          <w:szCs w:val="20"/>
        </w:rPr>
        <w:t>②</w:t>
      </w:r>
      <w:r>
        <w:rPr>
          <w:rFonts w:ascii="Times New Roman" w:hAnsi="Times New Roman"/>
          <w:b w:val="0"/>
          <w:color w:val="auto"/>
          <w:sz w:val="24"/>
          <w:szCs w:val="20"/>
        </w:rPr>
        <w:t>经常维持路面的平整度，避免因路况不佳造成车辆颠簸等引起交通噪声增大。</w:t>
      </w:r>
    </w:p>
    <w:p>
      <w:pPr>
        <w:pStyle w:val="4"/>
        <w:spacing w:line="300" w:lineRule="auto"/>
        <w:ind w:firstLine="482" w:firstLineChars="200"/>
      </w:pPr>
      <w:bookmarkStart w:id="437" w:name="_Toc26471"/>
      <w:r>
        <w:rPr>
          <w:rFonts w:hint="eastAsia"/>
        </w:rPr>
        <w:t>取、弃土</w:t>
      </w:r>
      <w:bookmarkEnd w:id="437"/>
    </w:p>
    <w:p>
      <w:pPr>
        <w:pStyle w:val="8"/>
        <w:adjustRightInd w:val="0"/>
        <w:snapToGrid w:val="0"/>
        <w:ind w:firstLine="480"/>
        <w:rPr>
          <w:rFonts w:ascii="宋体" w:hAnsi="宋体"/>
          <w:szCs w:val="24"/>
        </w:rPr>
      </w:pPr>
      <w:r>
        <w:rPr>
          <w:rFonts w:hint="eastAsia" w:ascii="宋体" w:hAnsi="宋体"/>
          <w:szCs w:val="24"/>
        </w:rPr>
        <w:t>本项目沿线地貌以鱼塘、塘埂、湿地为主，水系丰富。针对上述情况，项目区取、弃土拟采用以下措施：</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ascii="Times New Roman" w:hAnsi="Times New Roman" w:eastAsiaTheme="minorEastAsia"/>
          <w:b w:val="0"/>
          <w:color w:val="000000" w:themeColor="text1"/>
          <w:sz w:val="24"/>
          <w14:textFill>
            <w14:solidFill>
              <w14:schemeClr w14:val="tx1"/>
            </w14:solidFill>
          </w14:textFill>
        </w:rPr>
        <w:t>（1）对取土、弃土的要求做好边坡防护和稳定，绿化保护，合理选择弃土场位置，弃土后作好清理、平整和复垦工作，疏通排水渠道，尽可能防止水土流失，恢复土地再生能力。</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ascii="Times New Roman" w:hAnsi="Times New Roman" w:eastAsiaTheme="minorEastAsia"/>
          <w:b w:val="0"/>
          <w:color w:val="000000" w:themeColor="text1"/>
          <w:sz w:val="24"/>
          <w14:textFill>
            <w14:solidFill>
              <w14:schemeClr w14:val="tx1"/>
            </w14:solidFill>
          </w14:textFill>
        </w:rPr>
        <w:t>（2）对于可绿化区域的取土场，经过削坡、平整及覆土后，对取土坑底、边坡和平台采取绿化措施，通过采取撒草籽、植灌木的绿化方式，并进行浇水、施肥、保水保墒等养护管理措施，保证苗木成活率，使得植被防护措施在短时间内能够尽快的发挥水土保持效益，防治水土流失。</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ascii="Times New Roman" w:hAnsi="Times New Roman" w:eastAsiaTheme="minorEastAsia"/>
          <w:b w:val="0"/>
          <w:color w:val="000000" w:themeColor="text1"/>
          <w:sz w:val="24"/>
          <w14:textFill>
            <w14:solidFill>
              <w14:schemeClr w14:val="tx1"/>
            </w14:solidFill>
          </w14:textFill>
        </w:rPr>
        <w:t>(3)弃土弃碴完成后，对弃土碴顶部进行平整。为有利于植被恢复，平整后土体、碴体顶部应覆盖一定厚度的熟土，覆土来源为弃土、弃碴时剥离的表土。</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ascii="Times New Roman" w:hAnsi="Times New Roman" w:eastAsiaTheme="minorEastAsia"/>
          <w:b w:val="0"/>
          <w:color w:val="000000" w:themeColor="text1"/>
          <w:sz w:val="24"/>
          <w14:textFill>
            <w14:solidFill>
              <w14:schemeClr w14:val="tx1"/>
            </w14:solidFill>
          </w14:textFill>
        </w:rPr>
        <w:t>(4)以挖作填，尽量利用。开挖的弃土，首先做土工试验，若能够满足路基材料要球，尽量就近利用。方便有效的利用弃土，减少了对环境的污染、又降低的运输成本，实现经济与环境保护的双赢。</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ascii="Times New Roman" w:hAnsi="Times New Roman" w:eastAsiaTheme="minorEastAsia"/>
          <w:b w:val="0"/>
          <w:color w:val="000000" w:themeColor="text1"/>
          <w:sz w:val="24"/>
          <w14:textFill>
            <w14:solidFill>
              <w14:schemeClr w14:val="tx1"/>
            </w14:solidFill>
          </w14:textFill>
        </w:rPr>
        <w:t>(5)按批准的规划设置弃土场，在弃土场中应有序堆放，及时平整。为确保弃土的稳定，弃土坡脚应增设挡墙，避免泥石流等危害的发生。弃土填平后，先填30㎝厚的腐殖土，再将以前开挖存放的草皮回植，或撒播草籽，保护坡面，防止水土流失。</w:t>
      </w:r>
    </w:p>
    <w:p>
      <w:pPr>
        <w:pStyle w:val="4"/>
        <w:spacing w:line="300" w:lineRule="auto"/>
        <w:ind w:firstLine="482" w:firstLineChars="200"/>
      </w:pPr>
      <w:bookmarkStart w:id="438" w:name="_Toc20458"/>
      <w:r>
        <w:rPr>
          <w:rFonts w:hint="eastAsia"/>
        </w:rPr>
        <w:t>施工废水、弃渣对区域渔业生态的影响</w:t>
      </w:r>
      <w:bookmarkEnd w:id="438"/>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ascii="Times New Roman" w:hAnsi="Times New Roman" w:eastAsiaTheme="minorEastAsia"/>
          <w:b w:val="0"/>
          <w:color w:val="000000" w:themeColor="text1"/>
          <w:sz w:val="24"/>
          <w14:textFill>
            <w14:solidFill>
              <w14:schemeClr w14:val="tx1"/>
            </w14:solidFill>
          </w14:textFill>
        </w:rPr>
        <w:t>（1）实施阶段严禁施工废水、弃渣进入渔业生态。施工过程中产生的废水含有大量的悬浮物、颗粒物和有机物，这些物质会直接流入鱼塘，对鱼塘的水体造成严重污染，影响鱼的生长和健康。其中，悬浮物和颗粒物会使鱼塘水体混浊，影响鱼的视觉和觅食能力；有机物的大量堆积会消耗水中氧气，使水体缺氧，导致鱼缺氧、窒息甚至死亡。施工废水中含有的有机物和重金属元素都具有很强的毒性，对鱼危害严重。有机物能够引起鱼类中毒，重金属元素会蓄积在鱼体内，最终导致食用鱼类的人产生重大健康隐患。</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ascii="Times New Roman" w:hAnsi="Times New Roman" w:eastAsiaTheme="minorEastAsia"/>
          <w:b w:val="0"/>
          <w:color w:val="000000" w:themeColor="text1"/>
          <w:sz w:val="24"/>
          <w14:textFill>
            <w14:solidFill>
              <w14:schemeClr w14:val="tx1"/>
            </w14:solidFill>
          </w14:textFill>
        </w:rPr>
        <w:t>（</w:t>
      </w:r>
      <w:r>
        <w:rPr>
          <w:rFonts w:hint="eastAsia" w:ascii="Times New Roman" w:hAnsi="Times New Roman" w:eastAsiaTheme="minorEastAsia"/>
          <w:b w:val="0"/>
          <w:color w:val="000000" w:themeColor="text1"/>
          <w:sz w:val="24"/>
          <w14:textFill>
            <w14:solidFill>
              <w14:schemeClr w14:val="tx1"/>
            </w14:solidFill>
          </w14:textFill>
        </w:rPr>
        <w:t>2</w:t>
      </w:r>
      <w:r>
        <w:rPr>
          <w:rFonts w:ascii="Times New Roman" w:hAnsi="Times New Roman" w:eastAsiaTheme="minorEastAsia"/>
          <w:b w:val="0"/>
          <w:color w:val="000000" w:themeColor="text1"/>
          <w:sz w:val="24"/>
          <w14:textFill>
            <w14:solidFill>
              <w14:schemeClr w14:val="tx1"/>
            </w14:solidFill>
          </w14:textFill>
        </w:rPr>
        <w:t>）环境污染具有显著的累积效应，这种效应是不可逆的。因此，一个时期内的污染冲击可能会使该地区永久性地进一步落后。基于此，在污染控制的后续过程中，我们应该充分考虑个人应对能力的异质性。在促进工业废水减排的同时，要强调加强城市生活污水处理战略，统筹考虑生态环境治理和区域协调发展。</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ascii="Times New Roman" w:hAnsi="Times New Roman" w:eastAsiaTheme="minorEastAsia"/>
          <w:b w:val="0"/>
          <w:color w:val="000000" w:themeColor="text1"/>
          <w:sz w:val="24"/>
          <w14:textFill>
            <w14:solidFill>
              <w14:schemeClr w14:val="tx1"/>
            </w14:solidFill>
          </w14:textFill>
        </w:rPr>
        <w:t>（</w:t>
      </w:r>
      <w:r>
        <w:rPr>
          <w:rFonts w:hint="eastAsia" w:ascii="Times New Roman" w:hAnsi="Times New Roman" w:eastAsiaTheme="minorEastAsia"/>
          <w:b w:val="0"/>
          <w:color w:val="000000" w:themeColor="text1"/>
          <w:sz w:val="24"/>
          <w14:textFill>
            <w14:solidFill>
              <w14:schemeClr w14:val="tx1"/>
            </w14:solidFill>
          </w14:textFill>
        </w:rPr>
        <w:t>3</w:t>
      </w:r>
      <w:r>
        <w:rPr>
          <w:rFonts w:ascii="Times New Roman" w:hAnsi="Times New Roman" w:eastAsiaTheme="minorEastAsia"/>
          <w:b w:val="0"/>
          <w:color w:val="000000" w:themeColor="text1"/>
          <w:sz w:val="24"/>
          <w14:textFill>
            <w14:solidFill>
              <w14:schemeClr w14:val="tx1"/>
            </w14:solidFill>
          </w14:textFill>
        </w:rPr>
        <w:t>）污水本身含有多种污染源，包括病原体（表2）、有机物质、重金属和微量元素（表3）等，对生态系统和生物造成直接和间接影响。污水本质上主要是有机的，因此会受到细菌的腐蚀。由于这种细菌活性，水中的氧浓度降低。</w:t>
      </w:r>
    </w:p>
    <w:p>
      <w:pPr>
        <w:pStyle w:val="4"/>
        <w:spacing w:line="300" w:lineRule="auto"/>
        <w:ind w:firstLine="482" w:firstLineChars="200"/>
      </w:pPr>
      <w:bookmarkStart w:id="439" w:name="_Toc9951"/>
      <w:r>
        <w:rPr>
          <w:rFonts w:hint="eastAsia"/>
        </w:rPr>
        <w:t>固体废物对生态环境的影响</w:t>
      </w:r>
      <w:bookmarkEnd w:id="439"/>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1、影响</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施工期固体废物主要为建筑垃圾、废弃施工材料和生活垃圾，如不及时处理，则会堵塞下水道、滋生蚊蝇、传染疾病，对周围环境造成一定的影响。</w:t>
      </w:r>
    </w:p>
    <w:p>
      <w:pPr>
        <w:spacing w:line="300" w:lineRule="auto"/>
        <w:ind w:firstLine="480" w:firstLineChars="200"/>
        <w:jc w:val="left"/>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2、固体废弃物污染保护措施</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本项目固体废弃物污染保护措施如下：</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（1）施工单位应该在施工前向所在地的渣土管理部门申报建筑垃圾和工程渣土运输处置计划明确渣土的运输方式、线路和去向。</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（2）运载土方的车辆必须在规定时间内，按指定路段行驶，严格执行相关规定；运送散装建筑材料的车辆，用篷布覆盖以防物料洒落。</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（3）施工期产生的挖方、建筑垃圾、废弃施工材料等尽量用于道路回填或绿化，不能利用的，全部用密封散体物料车运至指定的建筑垃圾处理点。</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（4）工程施工结束后，施工单位应及时组织人力和物力，在一个月内将工地建筑垃圾及渣土等处置干净。</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（5）施工人员产生的生活垃圾应存放在指定地点，并定期运至垃圾处理场进行无害化处理。</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（6）避让森林公园、生物多样性保护措施</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在项目施工阶段,一是针对环境保护工作,要在施工方案制定阶段,由环保部门参与来论证施工工艺和优化施工方案,尽量减少工程施工对环境造成的负面影响。而对于水源来说,不仅要落实水保方案中的要求,而且要通过设置沉淀池等方式来处理含泥沙施工废水,通过设置隔油池等来处理含有石油类的施工废水,之后还要对上述处理之后的废水和生活污水统一开展生化处理。此外,在施工中使用密封性好的模板并做好模板之间缝隙的密封处理,减少泥浆水的产生量。而针对噪音环境污染问题,不仅要正确使用各类施工机械设备,使用最小剂量开展爆破作业,而且要合理控制施工时间,通过有效的减震﹑消声和隔音等措施来减少噪音污染。针对大气环境污染来说,通过在干燥天气下定时洒水等方式来减少扬尘和逸散尘的产生。二是针对野生动植物保护工作,不仅要做好科普教育和法律法规宣传工作,提升工作人员的法律意识和保护野生动植物的意识,严格遵守保护区内的法律法规,还要聘请专业人员监控施工期间的野生动物保护策略的实施情况和效果。</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在项目运营阶段，不仅要发挥政府部门的舆论引导作用,加强各种形式的宣传工作,提升公众保护自然环境和野生动植物的意识。而且要通过周边道路设置醒目标牌的方式提醒公众,严禁各种违法违规行为。同时要规划设计好项目中的道路配套设施照明系统等,最大化减少其对野生动物的危害。还要做好病虫害监测和防治工作等。此外,还要做好运营期间的事故防范和应急预案的制定工作。</w:t>
      </w:r>
    </w:p>
    <w:p>
      <w:pPr>
        <w:pStyle w:val="4"/>
        <w:spacing w:line="300" w:lineRule="auto"/>
        <w:ind w:firstLine="482" w:firstLineChars="200"/>
      </w:pPr>
      <w:bookmarkStart w:id="440" w:name="_Toc29430"/>
      <w:r>
        <w:rPr>
          <w:rFonts w:hint="eastAsia"/>
        </w:rPr>
        <w:t>对鸟类资源等湿地资源影响</w:t>
      </w:r>
      <w:bookmarkEnd w:id="440"/>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1、影响</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项目的建设使得原有植被和景观受到一定的破坏，改变了鸟类的栖息地环境，它们或暂时被迫远离，寻找新的适宜于它们生存和繁衍的生境。人员活动、机械噪音会对在河道滩涂或红树林中觅食的鸟类产生一定的干扰，由于现状灵新公路已通车运营多年，此处的鸟类对于道路有关的影响已有一定的适应性，因此施工机械噪音和人为活动等对鸟类的影响较小。</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2、鸟类保护措施</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为减轻施工活动对鸟类资源的负面影响，施工期间拟采取以下措施：</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（1）合理安排打桩机、钻机、空压机、搅拌机等高噪音机械作业时间，避开鸟类活动的敏感时段；避免夜间作业，最大限度地减轻对湿地公园动物的影响。此外，加强施工车辆的噪声管理，限制车辆鸣笛。</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2）选择低噪声的机械设备；对于开挖和运输土石方的机械设备（挖土机、推土机等），可以通过排气消声器和隔离发动机振动部分的方法来降低噪声，对施工机械的高噪声采取必要的降噪措施，如设置声屏障、消音器、隔音板等隔音设施。</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（3）实施全封闭型施工，尽可能使工程污染和影响控制在施工场地范围内，减少对周围环境的影响；同时加强对施工队伍的管理，减少人为噪声。</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（4）控制施工期灯光投光的方向、角度及被照路面的亮度，在不影响警示功能的前提下降低反光材料的反光性能，减缓施工区域灯光对途径鸟类的影响。</w:t>
      </w:r>
    </w:p>
    <w:p>
      <w:pPr>
        <w:pStyle w:val="4"/>
        <w:spacing w:line="300" w:lineRule="auto"/>
        <w:ind w:firstLine="482" w:firstLineChars="200"/>
      </w:pPr>
      <w:bookmarkStart w:id="441" w:name="_Toc21629"/>
      <w:r>
        <w:rPr>
          <w:rFonts w:hint="eastAsia"/>
        </w:rPr>
        <w:t>对海洋资源的影响</w:t>
      </w:r>
      <w:bookmarkEnd w:id="441"/>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经核实，本项目不涉及海洋生态保护红线。</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项目位于南沙垦区最南端，根据《广东省海洋功能区划（2011-2020年）》（2012年），本项目规划范围临近海洋功能区-伶仃洋保留区。根据《广东省海洋生态红线》（粤海渔[2017]275号），本项目规划范围临近横门-洪奇沥水道重要河口生态系统限制类红线区（图号143），但本项目不涉及海洋工程，不占用海洋生态红线，对海洋资源影响较小。但本项目施工期间，施工人员产生的生活污水主要为COD、BOD、NH3-N，施工废水含有大量的SS，若直接排入海域会造成水体污染。</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本项目施工期间海洋保护措施如下：</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1）施工场地的生活污水与施工废水严禁直接排入海域，也不得堆放在海域旁，应由施工单位负责及时清运至指定地点或按照有关规定处理；施工机具应避免漏油，如发生漏油应停止使用，并对泄露的废油妥善处置。</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（2）施工场地要尽量远离海域，并划定明确的施工范围，不得随意扩大，施工时应先设置拦挡措施，后进行工程建设。</w:t>
      </w:r>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3）做好施工期防水、排水工作，施工废水、生活污水将集中进行处理。设置沉淀池，经处理后排入指定地点；燃油、油、颜料等化工材料应保存在安全容器中，指定放置地点，以免外泄；防止工地死水聚积，污染环境，必要时修建临时排水道，并与永久排水设施相连接。</w:t>
      </w:r>
    </w:p>
    <w:p>
      <w:pPr>
        <w:pStyle w:val="4"/>
        <w:spacing w:line="300" w:lineRule="auto"/>
        <w:ind w:firstLine="482" w:firstLineChars="200"/>
      </w:pPr>
      <w:bookmarkStart w:id="442" w:name="_Toc29810"/>
      <w:r>
        <w:rPr>
          <w:rFonts w:hint="eastAsia"/>
        </w:rPr>
        <w:t>其他影响</w:t>
      </w:r>
      <w:bookmarkEnd w:id="442"/>
    </w:p>
    <w:p>
      <w:pPr>
        <w:spacing w:line="300" w:lineRule="auto"/>
        <w:ind w:firstLine="480" w:firstLineChars="200"/>
        <w:rPr>
          <w:rFonts w:ascii="Times New Roman" w:hAnsi="Times New Roman" w:eastAsiaTheme="minorEastAsia"/>
          <w:b w:val="0"/>
          <w:color w:val="000000" w:themeColor="text1"/>
          <w:sz w:val="24"/>
          <w14:textFill>
            <w14:solidFill>
              <w14:schemeClr w14:val="tx1"/>
            </w14:solidFill>
          </w14:textFill>
        </w:rPr>
      </w:pPr>
      <w:r>
        <w:rPr>
          <w:rFonts w:hint="eastAsia" w:ascii="Times New Roman" w:hAnsi="Times New Roman" w:eastAsiaTheme="minorEastAsia"/>
          <w:b w:val="0"/>
          <w:color w:val="000000" w:themeColor="text1"/>
          <w:sz w:val="24"/>
          <w14:textFill>
            <w14:solidFill>
              <w14:schemeClr w14:val="tx1"/>
            </w14:solidFill>
          </w14:textFill>
        </w:rPr>
        <w:t>工程动土面积大、工期长、地表植被的破坏，使土地完全处于裸露状态，施工过程中，如遇降雨特别是暴雨，就会造成水土流失和环境的破坏。</w:t>
      </w:r>
    </w:p>
    <w:p>
      <w:pPr>
        <w:pStyle w:val="4"/>
        <w:spacing w:line="300" w:lineRule="auto"/>
        <w:ind w:firstLine="482" w:firstLineChars="200"/>
      </w:pPr>
      <w:bookmarkStart w:id="443" w:name="_Toc17703"/>
      <w:r>
        <w:t>环境影响分析综合结论</w:t>
      </w:r>
      <w:bookmarkEnd w:id="443"/>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本项目对噪声防治措施采用道路两侧种植植物、降噪路面和综合交通管控措施的综合噪声污染防治措施，既可满足降噪要求，又不另外占用土地。因此，为本项目噪声污染防治措施总体可行。对于光污染采用合理设计，加强运营管理、采用截光型灯具等措施，能够满足照明需求又能保证对居民不产生影响。关于空气污染问题。地方政府已出台的大气污染防治、空气质量达标相关政策法规，新能源汽车的普及、国家汽车排放标准的不断提高等各项汽车政策持续落实，根据本地区大气污染防治工作计划，通过推广新能源汽车、推动高排放机动车提前报废、严格监控监督机动车达标排放、开展车用油品抽检以及推进绿色出行等措施，汽车尾气环境污染将进一步减轻。</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拟建项目属于城市市政设施建设项目，项目的立项符合广州城市总体规划和广州南沙新区综合交通体系规划精神和原则，项目选线合理，施工方式和施工方案科学可行。本项目的建设将进一步健全交通体系，创建优质配套服务区，完善片区路网结构，产生的经济效益、社会效益远远大于环境经济损失。本项目符合纳污水体水环境保护的要求，与大气环境功能区及相关要求、声环境功能区及相关要求不相矛盾。拟建项目在建设施工期产生的PM10和施工噪声将对施工场界周围一定范围产生一定程度的不良环境影响，但采取相应的污染防治措施后，该环境影响可以得到减缓，而且施工活动结束不利环境影响即消失。拟建项目营运期的环境空气、交通噪声的不利环境影响很小，采取相应措施后对环境的不利影响处于可接受的范围之内。</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建设单位应严格</w:t>
      </w:r>
      <w:r>
        <w:rPr>
          <w:rFonts w:hint="eastAsia" w:ascii="Times New Roman" w:hAnsi="Times New Roman"/>
          <w:b w:val="0"/>
          <w:color w:val="auto"/>
          <w:sz w:val="24"/>
          <w:szCs w:val="20"/>
        </w:rPr>
        <w:t>遵守</w:t>
      </w:r>
      <w:r>
        <w:rPr>
          <w:rFonts w:ascii="Times New Roman" w:hAnsi="Times New Roman"/>
          <w:b w:val="0"/>
          <w:color w:val="auto"/>
          <w:sz w:val="24"/>
          <w:szCs w:val="20"/>
        </w:rPr>
        <w:t>“三同时”的管理规定，完成各项报建手续，本着以人为本，为人民办实事、办好事的宗旨，确实保证本报告提出的各项环保措施的落实，减缓一切不良环境影响。同时项目建成后，须经环保主管部门验收合格后方可投入正式运营。环保设施投入使用后，应加强对设备的维修和保养，确保环保设施的正常运转。在达到本报告提出的各项要求后，该项目的建设将不会对周围环境造成明显的不良影响。</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因此，从环境保护角度而言，本项目建设是可行的。</w:t>
      </w:r>
    </w:p>
    <w:p>
      <w:pPr>
        <w:pStyle w:val="3"/>
        <w:ind w:firstLine="562" w:firstLineChars="200"/>
      </w:pPr>
      <w:bookmarkStart w:id="444" w:name="_Toc139635550"/>
      <w:bookmarkStart w:id="445" w:name="_Toc1727"/>
      <w:r>
        <w:t>资源和能源利用效果分析</w:t>
      </w:r>
      <w:bookmarkEnd w:id="444"/>
      <w:bookmarkEnd w:id="445"/>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按照国家发展与改革委《关于加强固定资产投资项目节能评估和审查工作的通知》(发改投资[2006]2787号)的规定，在项目可行性研究报告中必须包括节能分析篇。主要内容有：项目应遵循的合理用能标准及节能设计规范；建设项目能源消耗种类和数量分析；项目所在地能源供应状况分析；能耗指标；节能措施和节能效果分析。根据《国务院办公厅关于加强和规范新开工项目管理的通知》(国办发〔2007〕64号)，各类投资项目开工建设前必须按照规定完成项目节能评估和审查。</w:t>
      </w:r>
    </w:p>
    <w:p>
      <w:pPr>
        <w:pStyle w:val="4"/>
        <w:spacing w:line="300" w:lineRule="auto"/>
        <w:ind w:firstLine="482" w:firstLineChars="200"/>
      </w:pPr>
      <w:bookmarkStart w:id="446" w:name="_Toc139635551"/>
      <w:bookmarkStart w:id="447" w:name="_Toc5758"/>
      <w:r>
        <w:t>评价范围和依据</w:t>
      </w:r>
      <w:bookmarkEnd w:id="446"/>
      <w:bookmarkEnd w:id="447"/>
    </w:p>
    <w:p>
      <w:pPr>
        <w:pStyle w:val="5"/>
        <w:ind w:firstLine="482" w:firstLineChars="200"/>
        <w:rPr>
          <w:rFonts w:ascii="Times New Roman" w:hAnsi="Times New Roman"/>
        </w:rPr>
      </w:pPr>
      <w:r>
        <w:rPr>
          <w:rFonts w:ascii="Times New Roman" w:hAnsi="Times New Roman"/>
        </w:rPr>
        <w:t>节能评价范围</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城市道路运输节能是指在完成相同运输生产任务的前提下，通过采取一定的措施，使能源的消耗量减少，其实质是提高能源利用效率。主要包括以下内容：</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1）道路建设期间的节能</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道路建设期间的能源消耗是一次性投入，主要是人力、物力的大量投入，虽然存在着对能源的直接消耗，但其比例相对较小，节能潜力不大。建设时要考虑从综合运输的角度，规划合理的路网，切实减少旅客和货物中转次数，努力实现多种运输方式的“无缝衔接”。</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2）道路使用期间的节能</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道路使用期间的能源消耗是一种长期的连续投入，主要体现在运输过程中各种道路运输工具的燃耗。随着城市道路交通的日益发展，汽车的燃油消耗愈来愈大，因此在项目建设过程中采取措施节约运输燃油对社会经济发展具有重要意义。同时，通过大力推进节能科技进步，研究推广应用道路养护技术及道路沿线设施太阳能综合利用技术、废旧轮胎翻新利用等节能技术，提高能源利用效率。</w:t>
      </w:r>
    </w:p>
    <w:p>
      <w:pPr>
        <w:pStyle w:val="5"/>
        <w:ind w:firstLine="482" w:firstLineChars="200"/>
        <w:rPr>
          <w:rFonts w:ascii="Times New Roman" w:hAnsi="Times New Roman"/>
        </w:rPr>
      </w:pPr>
      <w:r>
        <w:rPr>
          <w:rFonts w:ascii="Times New Roman" w:hAnsi="Times New Roman"/>
        </w:rPr>
        <w:t>节能评价依据</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加强节能工作是交通行业一项重要而长期的战略任务。交通行业是为国民经济和社会发展提供公益服务的基础性产业，是我国能源消耗大户。随着工业化、城镇化进程逐步加快，公路、水路交通基础设施日益改善，交通运输业的机动化、自动化程度明显提高，国民经济和社会发展以及人民群众出行对交通运输提出了更安全、更便捷、更通畅、更经济、更可靠、更和谐的客观要求，交通行业的基本装备和道路水路运输总量将迅猛增长，使用能源的总量和品质要求仍将继续增加。此外，交通行业作为我国终端用能行业，面对石油资源短缺、能源问题已经成为制约我国经济发展瓶颈的形势，交通行业应成为节能领域的重要行业之一。</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交通行业节能工作的指导思想是：以邓小平理论和“三个代表”重要思想为指导，以科学发展观为统领，落实节约资源基本国策，以提高能源利用效率为核心，以强化管理为重点，通过政策引导、标准规范、市场准入、监督管理、科技创新、信息服务等手段，在全行业进一步树立节能意识，建立严格的管理制度和有效的激励机制，发挥市场配置资源的基础性作用，调动全行业开展节能的自觉性，以能源的高效利用促进交通事业又好又快发展。</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本项目节能评价的主要依据是交通部《关于交通行业全面贯彻落实国务院关于加强节能工作的决定的指导意见》。拟建的大林路项目根据该《指导意见》的要求，对建设本项目的能源消耗影响因素、节能措施和节能效果等方面进行分析。</w:t>
      </w:r>
    </w:p>
    <w:p>
      <w:pPr>
        <w:pStyle w:val="4"/>
        <w:spacing w:line="300" w:lineRule="auto"/>
        <w:ind w:firstLine="482" w:firstLineChars="200"/>
      </w:pPr>
      <w:bookmarkStart w:id="448" w:name="_Toc139635552"/>
      <w:bookmarkStart w:id="449" w:name="_Toc23195"/>
      <w:r>
        <w:t>能耗影响因素分析</w:t>
      </w:r>
      <w:bookmarkEnd w:id="448"/>
      <w:bookmarkEnd w:id="449"/>
    </w:p>
    <w:p>
      <w:pPr>
        <w:pStyle w:val="5"/>
        <w:ind w:firstLine="482" w:firstLineChars="200"/>
        <w:rPr>
          <w:rFonts w:ascii="Times New Roman" w:hAnsi="Times New Roman"/>
        </w:rPr>
      </w:pPr>
      <w:r>
        <w:rPr>
          <w:rFonts w:ascii="Times New Roman" w:hAnsi="Times New Roman"/>
        </w:rPr>
        <w:t>影响燃油消耗的因素</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影响道路运输燃油消耗的因素很多，但主要有以下两类。</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1）车辆本身的燃油经济性</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这是车辆本身的构造和制造工艺决定的，即在出厂之前就已有定值，不是项目节能评价所关注的重点。</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2）车辆的行驶状态</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这取决于车辆运行具体环境以及驾驶员的操作技能。可包括为以下方面：（1）道路条件，包括几何特征（纵坡、曲率和路面宽度等）和路面特性（平整度等）；（2）车辆特性，包括物理特性和行驶特征（发动机功率、转速和车辆重量等）；（3）交通状况，如流量、交通组成、行人流量和非机动车流量等；（4）地区因素，如司机的驾驶行为和车速限制等。</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车辆运行的燃油消耗量与道路交通条件密切相关。车辆的运行过程通常由起步、换挡、加速、减速、滑行、制动等基本单元组成。当道路条件、交通条件变化时车辆运行油耗也随之改变，在良好的道路条件（路面平整度、路面宽度、平纵线形等）和良好的交通状况（快慢车分道行驶、无非机动车、横向干扰较小等）时，车辆运行状态稳定，其耗油量相对较小；而当道路、交通状况恶劣时，车辆行驶中加减次数随之增加，车辆运行状态将变得不稳定，耗油量相对于稳定行驶时增加很多，尤其是当停车次数增加，起动加速所耗燃油将是稳定状态行驶时的数倍。</w:t>
      </w:r>
    </w:p>
    <w:p>
      <w:pPr>
        <w:pStyle w:val="5"/>
        <w:ind w:firstLine="482" w:firstLineChars="200"/>
        <w:rPr>
          <w:rFonts w:ascii="Times New Roman" w:hAnsi="Times New Roman"/>
        </w:rPr>
      </w:pPr>
      <w:r>
        <w:rPr>
          <w:rFonts w:ascii="Times New Roman" w:hAnsi="Times New Roman"/>
        </w:rPr>
        <w:t>道路条件对燃油消耗的影响</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道路几何条件对燃油消耗的影响直接由平曲线半径、纵坡、路面状况、侧向净空和道路横坡等所决定，此外燃油消耗也通过车速而受道路几何条件的间接影响（车辆因几何条件变化而加速或减速）。</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当车辆由直线驶入曲线时，车辆的燃油消耗增加，主要由以下因素造成：（1）进入曲线前因换挡减速而损失的动能；（2）当车辆受到离心力作用时滚动阻力增加（离心力与曲线半径成反比，而与车速的平方成正比）；（3）在曲线车辆以较低排挡行驶，车辆内摩阻增大。</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施工试验性研究表明当路线纵坡较小时（-3%～+3%），行车速度主要随平曲线形曲率的增加而降低，并当平曲线半径R≤400m时车辆行驶速度才明显降低。</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道路纵坡对燃油消耗影响很大，在上坡时燃油消耗随着坡度的增加而增加，但在下坡时相应的燃油节约比较有限。</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路面状况对车辆油耗也有直接影响，主要影响因素为路面平整度，在高级及次高级路面上行驶要比在非高级路面上行驶节约燃油30%～40%，因为非高级路面要克服较大滚动阻力。</w:t>
      </w:r>
    </w:p>
    <w:p>
      <w:pPr>
        <w:pStyle w:val="5"/>
        <w:ind w:firstLine="482" w:firstLineChars="200"/>
        <w:rPr>
          <w:rFonts w:ascii="Times New Roman" w:hAnsi="Times New Roman"/>
        </w:rPr>
      </w:pPr>
      <w:r>
        <w:rPr>
          <w:rFonts w:ascii="Times New Roman" w:hAnsi="Times New Roman"/>
        </w:rPr>
        <w:t>交通状况对燃油消耗的影响</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交通条件主要是指道路服务水平，包括混合交通情况、交通流大小及离散程度、行人及横向干扰程度、行车速度以及交通设施的完善程度等。在这些方面，高速公路的耗油节约明显优于其他等级公路。研究经验表明，燃油消耗是车速的函数，而车辆的实际行驶车速在道路条件良好的情况下便是交通量、交通组成和驾驶技术等因素的集中体现。在高速公路上行驶的车辆，由于有良好的交通状况，其车辆油耗主要取决于道路行驶质量和驾驶技术等因素；在二级及二级以下等级公路上行驶，由于交通状况极其复杂，非机动车和行人及横向干扰很大，致使车辆频繁地加速、减速和停车，其燃油消耗比高速公路大很多。研究表明，汽车每次停车起动的燃油消耗相当于汽车多跑180m左右。通畅的道路比拥挤的道路节约燃油，主要是由于汽车以低速行驶时，节气门开度小，曲轴转速高，发动机在非经济工况下工作。</w:t>
      </w:r>
    </w:p>
    <w:p>
      <w:pPr>
        <w:spacing w:line="300" w:lineRule="auto"/>
        <w:ind w:firstLine="480" w:firstLineChars="200"/>
        <w:jc w:val="left"/>
        <w:rPr>
          <w:rFonts w:ascii="Times New Roman" w:hAnsi="Times New Roman"/>
          <w:b w:val="0"/>
          <w:color w:val="auto"/>
          <w:kern w:val="0"/>
          <w:sz w:val="24"/>
          <w:szCs w:val="24"/>
        </w:rPr>
      </w:pPr>
      <w:r>
        <w:rPr>
          <w:rFonts w:ascii="Times New Roman" w:hAnsi="Times New Roman"/>
          <w:b w:val="0"/>
          <w:color w:val="auto"/>
          <w:sz w:val="24"/>
          <w:szCs w:val="20"/>
        </w:rPr>
        <w:t>根据日本在高速路面条件下研究得到的“基本燃料消耗指数”，结合我国的代表车种与燃料消耗率的关系，得出不同车种、不同车速在高级、次高级路面下的燃料消耗率见下表。</w:t>
      </w:r>
    </w:p>
    <w:p>
      <w:pPr>
        <w:widowControl/>
        <w:ind w:firstLine="442" w:firstLineChars="200"/>
        <w:jc w:val="center"/>
        <w:rPr>
          <w:rFonts w:ascii="Times New Roman" w:hAnsi="Times New Roman"/>
          <w:bCs/>
          <w:color w:val="auto"/>
          <w:kern w:val="0"/>
          <w:sz w:val="22"/>
          <w:szCs w:val="22"/>
        </w:rPr>
      </w:pPr>
      <w:r>
        <w:rPr>
          <w:rFonts w:ascii="Times New Roman" w:hAnsi="Times New Roman"/>
          <w:bCs/>
          <w:color w:val="auto"/>
          <w:kern w:val="0"/>
          <w:sz w:val="22"/>
          <w:szCs w:val="22"/>
        </w:rPr>
        <w:t>燃油消耗指标表</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75"/>
        <w:gridCol w:w="1072"/>
        <w:gridCol w:w="720"/>
        <w:gridCol w:w="1080"/>
        <w:gridCol w:w="701"/>
        <w:gridCol w:w="1099"/>
        <w:gridCol w:w="816"/>
        <w:gridCol w:w="1164"/>
        <w:gridCol w:w="8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99" w:hRule="atLeast"/>
          <w:jc w:val="center"/>
        </w:trPr>
        <w:tc>
          <w:tcPr>
            <w:tcW w:w="1075" w:type="dxa"/>
            <w:vMerge w:val="restart"/>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平均速度/km·h</w:t>
            </w:r>
            <w:r>
              <w:rPr>
                <w:rFonts w:ascii="Times New Roman" w:hAnsi="Times New Roman" w:eastAsia="新宋体"/>
                <w:b w:val="0"/>
                <w:color w:val="auto"/>
                <w:sz w:val="21"/>
                <w:szCs w:val="21"/>
                <w:vertAlign w:val="superscript"/>
              </w:rPr>
              <w:t>-1</w:t>
            </w:r>
          </w:p>
        </w:tc>
        <w:tc>
          <w:tcPr>
            <w:tcW w:w="1792" w:type="dxa"/>
            <w:gridSpan w:val="2"/>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小客车</w:t>
            </w:r>
          </w:p>
        </w:tc>
        <w:tc>
          <w:tcPr>
            <w:tcW w:w="1781" w:type="dxa"/>
            <w:gridSpan w:val="2"/>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大客车</w:t>
            </w:r>
          </w:p>
        </w:tc>
        <w:tc>
          <w:tcPr>
            <w:tcW w:w="1915" w:type="dxa"/>
            <w:gridSpan w:val="2"/>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中小货车</w:t>
            </w:r>
          </w:p>
        </w:tc>
        <w:tc>
          <w:tcPr>
            <w:tcW w:w="1980" w:type="dxa"/>
            <w:gridSpan w:val="2"/>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大货车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75" w:type="dxa"/>
            <w:vMerge w:val="continue"/>
            <w:vAlign w:val="center"/>
          </w:tcPr>
          <w:p>
            <w:pPr>
              <w:adjustRightInd w:val="0"/>
              <w:jc w:val="center"/>
              <w:rPr>
                <w:rFonts w:ascii="Times New Roman" w:hAnsi="Times New Roman" w:eastAsia="新宋体"/>
                <w:b w:val="0"/>
                <w:color w:val="auto"/>
                <w:sz w:val="21"/>
                <w:szCs w:val="21"/>
              </w:rPr>
            </w:pPr>
          </w:p>
        </w:tc>
        <w:tc>
          <w:tcPr>
            <w:tcW w:w="1072"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燃料消耗率/L·km</w:t>
            </w:r>
            <w:r>
              <w:rPr>
                <w:rFonts w:ascii="Times New Roman" w:hAnsi="Times New Roman" w:eastAsia="新宋体"/>
                <w:b w:val="0"/>
                <w:color w:val="auto"/>
                <w:sz w:val="21"/>
                <w:szCs w:val="21"/>
                <w:vertAlign w:val="superscript"/>
              </w:rPr>
              <w:t>-1</w:t>
            </w:r>
          </w:p>
        </w:tc>
        <w:tc>
          <w:tcPr>
            <w:tcW w:w="72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指数</w:t>
            </w:r>
          </w:p>
        </w:tc>
        <w:tc>
          <w:tcPr>
            <w:tcW w:w="108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燃料消耗率/L·km</w:t>
            </w:r>
            <w:r>
              <w:rPr>
                <w:rFonts w:ascii="Times New Roman" w:hAnsi="Times New Roman" w:eastAsia="新宋体"/>
                <w:b w:val="0"/>
                <w:color w:val="auto"/>
                <w:sz w:val="21"/>
                <w:szCs w:val="21"/>
                <w:vertAlign w:val="superscript"/>
              </w:rPr>
              <w:t>-1</w:t>
            </w:r>
          </w:p>
        </w:tc>
        <w:tc>
          <w:tcPr>
            <w:tcW w:w="701"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指数</w:t>
            </w:r>
          </w:p>
        </w:tc>
        <w:tc>
          <w:tcPr>
            <w:tcW w:w="1099"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燃料消耗率/L·km</w:t>
            </w:r>
            <w:r>
              <w:rPr>
                <w:rFonts w:ascii="Times New Roman" w:hAnsi="Times New Roman" w:eastAsia="新宋体"/>
                <w:b w:val="0"/>
                <w:color w:val="auto"/>
                <w:sz w:val="21"/>
                <w:szCs w:val="21"/>
                <w:vertAlign w:val="superscript"/>
              </w:rPr>
              <w:t>-1</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指数</w:t>
            </w:r>
          </w:p>
        </w:tc>
        <w:tc>
          <w:tcPr>
            <w:tcW w:w="1164"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燃料消耗率/L·km</w:t>
            </w:r>
            <w:r>
              <w:rPr>
                <w:rFonts w:ascii="Times New Roman" w:hAnsi="Times New Roman" w:eastAsia="新宋体"/>
                <w:b w:val="0"/>
                <w:color w:val="auto"/>
                <w:sz w:val="21"/>
                <w:szCs w:val="21"/>
                <w:vertAlign w:val="superscript"/>
              </w:rPr>
              <w:t>-1</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指数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075"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5</w:t>
            </w:r>
          </w:p>
        </w:tc>
        <w:tc>
          <w:tcPr>
            <w:tcW w:w="1072"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0.2083</w:t>
            </w:r>
          </w:p>
        </w:tc>
        <w:tc>
          <w:tcPr>
            <w:tcW w:w="72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292</w:t>
            </w:r>
          </w:p>
        </w:tc>
        <w:tc>
          <w:tcPr>
            <w:tcW w:w="108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0.7143</w:t>
            </w:r>
          </w:p>
        </w:tc>
        <w:tc>
          <w:tcPr>
            <w:tcW w:w="701"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329</w:t>
            </w:r>
          </w:p>
        </w:tc>
        <w:tc>
          <w:tcPr>
            <w:tcW w:w="1099"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0.365</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300</w:t>
            </w:r>
          </w:p>
        </w:tc>
        <w:tc>
          <w:tcPr>
            <w:tcW w:w="1164"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0.7692</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075"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10</w:t>
            </w:r>
          </w:p>
        </w:tc>
        <w:tc>
          <w:tcPr>
            <w:tcW w:w="1072"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0.1667</w:t>
            </w:r>
          </w:p>
        </w:tc>
        <w:tc>
          <w:tcPr>
            <w:tcW w:w="72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233</w:t>
            </w:r>
          </w:p>
        </w:tc>
        <w:tc>
          <w:tcPr>
            <w:tcW w:w="108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0.5556</w:t>
            </w:r>
          </w:p>
        </w:tc>
        <w:tc>
          <w:tcPr>
            <w:tcW w:w="701"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256</w:t>
            </w:r>
          </w:p>
        </w:tc>
        <w:tc>
          <w:tcPr>
            <w:tcW w:w="1099"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0.2841</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234</w:t>
            </w:r>
          </w:p>
        </w:tc>
        <w:tc>
          <w:tcPr>
            <w:tcW w:w="1164"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0.5882</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253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075"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15</w:t>
            </w:r>
          </w:p>
        </w:tc>
        <w:tc>
          <w:tcPr>
            <w:tcW w:w="1072"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0.1389</w:t>
            </w:r>
          </w:p>
        </w:tc>
        <w:tc>
          <w:tcPr>
            <w:tcW w:w="72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195</w:t>
            </w:r>
          </w:p>
        </w:tc>
        <w:tc>
          <w:tcPr>
            <w:tcW w:w="108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0.4545</w:t>
            </w:r>
          </w:p>
        </w:tc>
        <w:tc>
          <w:tcPr>
            <w:tcW w:w="701"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209</w:t>
            </w:r>
          </w:p>
        </w:tc>
        <w:tc>
          <w:tcPr>
            <w:tcW w:w="1099"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0.2326</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191</w:t>
            </w:r>
          </w:p>
        </w:tc>
        <w:tc>
          <w:tcPr>
            <w:tcW w:w="1164"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0.4762</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205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075"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20</w:t>
            </w:r>
          </w:p>
        </w:tc>
        <w:tc>
          <w:tcPr>
            <w:tcW w:w="1072"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0.119</w:t>
            </w:r>
          </w:p>
        </w:tc>
        <w:tc>
          <w:tcPr>
            <w:tcW w:w="72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167</w:t>
            </w:r>
          </w:p>
        </w:tc>
        <w:tc>
          <w:tcPr>
            <w:tcW w:w="108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0.3846</w:t>
            </w:r>
          </w:p>
        </w:tc>
        <w:tc>
          <w:tcPr>
            <w:tcW w:w="701"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177</w:t>
            </w:r>
          </w:p>
        </w:tc>
        <w:tc>
          <w:tcPr>
            <w:tcW w:w="1099"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0.198</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163</w:t>
            </w:r>
          </w:p>
        </w:tc>
        <w:tc>
          <w:tcPr>
            <w:tcW w:w="1164"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0.4</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075"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25</w:t>
            </w:r>
          </w:p>
        </w:tc>
        <w:tc>
          <w:tcPr>
            <w:tcW w:w="1072"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0.1064</w:t>
            </w:r>
          </w:p>
        </w:tc>
        <w:tc>
          <w:tcPr>
            <w:tcW w:w="72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149</w:t>
            </w:r>
          </w:p>
        </w:tc>
        <w:tc>
          <w:tcPr>
            <w:tcW w:w="108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0.3333</w:t>
            </w:r>
          </w:p>
        </w:tc>
        <w:tc>
          <w:tcPr>
            <w:tcW w:w="701"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153</w:t>
            </w:r>
          </w:p>
        </w:tc>
        <w:tc>
          <w:tcPr>
            <w:tcW w:w="1099"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0.1761</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145</w:t>
            </w:r>
          </w:p>
        </w:tc>
        <w:tc>
          <w:tcPr>
            <w:tcW w:w="1164"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0.3448</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075"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30</w:t>
            </w:r>
          </w:p>
        </w:tc>
        <w:tc>
          <w:tcPr>
            <w:tcW w:w="1072"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0.0962</w:t>
            </w:r>
          </w:p>
        </w:tc>
        <w:tc>
          <w:tcPr>
            <w:tcW w:w="72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135</w:t>
            </w:r>
          </w:p>
        </w:tc>
        <w:tc>
          <w:tcPr>
            <w:tcW w:w="108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0.2941</w:t>
            </w:r>
          </w:p>
        </w:tc>
        <w:tc>
          <w:tcPr>
            <w:tcW w:w="701"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135</w:t>
            </w:r>
          </w:p>
        </w:tc>
        <w:tc>
          <w:tcPr>
            <w:tcW w:w="1099"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0.158</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131</w:t>
            </w:r>
          </w:p>
        </w:tc>
        <w:tc>
          <w:tcPr>
            <w:tcW w:w="1164"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0.3125</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075"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35</w:t>
            </w:r>
          </w:p>
        </w:tc>
        <w:tc>
          <w:tcPr>
            <w:tcW w:w="1072"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0.0885</w:t>
            </w:r>
          </w:p>
        </w:tc>
        <w:tc>
          <w:tcPr>
            <w:tcW w:w="72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124</w:t>
            </w:r>
          </w:p>
        </w:tc>
        <w:tc>
          <w:tcPr>
            <w:tcW w:w="108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0.2703</w:t>
            </w:r>
          </w:p>
        </w:tc>
        <w:tc>
          <w:tcPr>
            <w:tcW w:w="701"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124</w:t>
            </w:r>
          </w:p>
        </w:tc>
        <w:tc>
          <w:tcPr>
            <w:tcW w:w="1099"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0.146</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120</w:t>
            </w:r>
          </w:p>
        </w:tc>
        <w:tc>
          <w:tcPr>
            <w:tcW w:w="1164"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0.2778</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075"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40</w:t>
            </w:r>
          </w:p>
        </w:tc>
        <w:tc>
          <w:tcPr>
            <w:tcW w:w="1072"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0.0833</w:t>
            </w:r>
          </w:p>
        </w:tc>
        <w:tc>
          <w:tcPr>
            <w:tcW w:w="72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117</w:t>
            </w:r>
          </w:p>
        </w:tc>
        <w:tc>
          <w:tcPr>
            <w:tcW w:w="108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0.25</w:t>
            </w:r>
          </w:p>
        </w:tc>
        <w:tc>
          <w:tcPr>
            <w:tcW w:w="701"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115</w:t>
            </w:r>
          </w:p>
        </w:tc>
        <w:tc>
          <w:tcPr>
            <w:tcW w:w="1099"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0.1361</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112</w:t>
            </w:r>
          </w:p>
        </w:tc>
        <w:tc>
          <w:tcPr>
            <w:tcW w:w="1164"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0.2632</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075"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45</w:t>
            </w:r>
          </w:p>
        </w:tc>
        <w:tc>
          <w:tcPr>
            <w:tcW w:w="1072"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0.0787</w:t>
            </w:r>
          </w:p>
        </w:tc>
        <w:tc>
          <w:tcPr>
            <w:tcW w:w="72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110</w:t>
            </w:r>
          </w:p>
        </w:tc>
        <w:tc>
          <w:tcPr>
            <w:tcW w:w="108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0.2381</w:t>
            </w:r>
          </w:p>
        </w:tc>
        <w:tc>
          <w:tcPr>
            <w:tcW w:w="701"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110</w:t>
            </w:r>
          </w:p>
        </w:tc>
        <w:tc>
          <w:tcPr>
            <w:tcW w:w="1099"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0.128</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105</w:t>
            </w:r>
          </w:p>
        </w:tc>
        <w:tc>
          <w:tcPr>
            <w:tcW w:w="1164"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0.2439</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075"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50</w:t>
            </w:r>
          </w:p>
        </w:tc>
        <w:tc>
          <w:tcPr>
            <w:tcW w:w="1072"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0.0758</w:t>
            </w:r>
          </w:p>
        </w:tc>
        <w:tc>
          <w:tcPr>
            <w:tcW w:w="72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106</w:t>
            </w:r>
          </w:p>
        </w:tc>
        <w:tc>
          <w:tcPr>
            <w:tcW w:w="108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0.2273</w:t>
            </w:r>
          </w:p>
        </w:tc>
        <w:tc>
          <w:tcPr>
            <w:tcW w:w="701"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105</w:t>
            </w:r>
          </w:p>
        </w:tc>
        <w:tc>
          <w:tcPr>
            <w:tcW w:w="1099"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0.123</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101</w:t>
            </w:r>
          </w:p>
        </w:tc>
        <w:tc>
          <w:tcPr>
            <w:tcW w:w="1164"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0.2381</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075"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55</w:t>
            </w:r>
          </w:p>
        </w:tc>
        <w:tc>
          <w:tcPr>
            <w:tcW w:w="1072"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0.0735</w:t>
            </w:r>
          </w:p>
        </w:tc>
        <w:tc>
          <w:tcPr>
            <w:tcW w:w="72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103</w:t>
            </w:r>
          </w:p>
        </w:tc>
        <w:tc>
          <w:tcPr>
            <w:tcW w:w="108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0.2222</w:t>
            </w:r>
          </w:p>
        </w:tc>
        <w:tc>
          <w:tcPr>
            <w:tcW w:w="701"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102</w:t>
            </w:r>
          </w:p>
        </w:tc>
        <w:tc>
          <w:tcPr>
            <w:tcW w:w="1099"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0.1215</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100</w:t>
            </w:r>
          </w:p>
        </w:tc>
        <w:tc>
          <w:tcPr>
            <w:tcW w:w="1164"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0.2326</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075"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60</w:t>
            </w:r>
          </w:p>
        </w:tc>
        <w:tc>
          <w:tcPr>
            <w:tcW w:w="1072"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0.0719</w:t>
            </w:r>
          </w:p>
        </w:tc>
        <w:tc>
          <w:tcPr>
            <w:tcW w:w="72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101</w:t>
            </w:r>
          </w:p>
        </w:tc>
        <w:tc>
          <w:tcPr>
            <w:tcW w:w="108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0.2174</w:t>
            </w:r>
          </w:p>
        </w:tc>
        <w:tc>
          <w:tcPr>
            <w:tcW w:w="701"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100</w:t>
            </w:r>
          </w:p>
        </w:tc>
        <w:tc>
          <w:tcPr>
            <w:tcW w:w="1099"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0.122</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100</w:t>
            </w:r>
          </w:p>
        </w:tc>
        <w:tc>
          <w:tcPr>
            <w:tcW w:w="1164"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0.2353</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075"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65</w:t>
            </w:r>
          </w:p>
        </w:tc>
        <w:tc>
          <w:tcPr>
            <w:tcW w:w="1072"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0.0714</w:t>
            </w:r>
          </w:p>
        </w:tc>
        <w:tc>
          <w:tcPr>
            <w:tcW w:w="72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100</w:t>
            </w:r>
          </w:p>
        </w:tc>
        <w:tc>
          <w:tcPr>
            <w:tcW w:w="108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0.2222</w:t>
            </w:r>
          </w:p>
        </w:tc>
        <w:tc>
          <w:tcPr>
            <w:tcW w:w="701"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102</w:t>
            </w:r>
          </w:p>
        </w:tc>
        <w:tc>
          <w:tcPr>
            <w:tcW w:w="1099"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0.1245</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102</w:t>
            </w:r>
          </w:p>
        </w:tc>
        <w:tc>
          <w:tcPr>
            <w:tcW w:w="1164"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0.2381</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075"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70</w:t>
            </w:r>
          </w:p>
        </w:tc>
        <w:tc>
          <w:tcPr>
            <w:tcW w:w="1072"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0.0719</w:t>
            </w:r>
          </w:p>
        </w:tc>
        <w:tc>
          <w:tcPr>
            <w:tcW w:w="72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101</w:t>
            </w:r>
          </w:p>
        </w:tc>
        <w:tc>
          <w:tcPr>
            <w:tcW w:w="108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0.2366</w:t>
            </w:r>
          </w:p>
        </w:tc>
        <w:tc>
          <w:tcPr>
            <w:tcW w:w="701"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109</w:t>
            </w:r>
          </w:p>
        </w:tc>
        <w:tc>
          <w:tcPr>
            <w:tcW w:w="1099"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0.128</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105</w:t>
            </w:r>
          </w:p>
        </w:tc>
        <w:tc>
          <w:tcPr>
            <w:tcW w:w="1164"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0.2439</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075"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75</w:t>
            </w:r>
          </w:p>
        </w:tc>
        <w:tc>
          <w:tcPr>
            <w:tcW w:w="1072"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0.0725</w:t>
            </w:r>
          </w:p>
        </w:tc>
        <w:tc>
          <w:tcPr>
            <w:tcW w:w="72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102</w:t>
            </w:r>
          </w:p>
        </w:tc>
        <w:tc>
          <w:tcPr>
            <w:tcW w:w="108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0.2439</w:t>
            </w:r>
          </w:p>
        </w:tc>
        <w:tc>
          <w:tcPr>
            <w:tcW w:w="701"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112</w:t>
            </w:r>
          </w:p>
        </w:tc>
        <w:tc>
          <w:tcPr>
            <w:tcW w:w="1099"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0.1335</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110</w:t>
            </w:r>
          </w:p>
        </w:tc>
        <w:tc>
          <w:tcPr>
            <w:tcW w:w="1164"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0.2564</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075"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80</w:t>
            </w:r>
          </w:p>
        </w:tc>
        <w:tc>
          <w:tcPr>
            <w:tcW w:w="1072"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0.0741</w:t>
            </w:r>
          </w:p>
        </w:tc>
        <w:tc>
          <w:tcPr>
            <w:tcW w:w="72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105</w:t>
            </w:r>
          </w:p>
        </w:tc>
        <w:tc>
          <w:tcPr>
            <w:tcW w:w="108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0.2632</w:t>
            </w:r>
          </w:p>
        </w:tc>
        <w:tc>
          <w:tcPr>
            <w:tcW w:w="701"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121</w:t>
            </w:r>
          </w:p>
        </w:tc>
        <w:tc>
          <w:tcPr>
            <w:tcW w:w="1099"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0.1391</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115</w:t>
            </w:r>
          </w:p>
        </w:tc>
        <w:tc>
          <w:tcPr>
            <w:tcW w:w="1164"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0.2778</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075"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85</w:t>
            </w:r>
          </w:p>
        </w:tc>
        <w:tc>
          <w:tcPr>
            <w:tcW w:w="1072"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0.0758</w:t>
            </w:r>
          </w:p>
        </w:tc>
        <w:tc>
          <w:tcPr>
            <w:tcW w:w="72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106</w:t>
            </w:r>
          </w:p>
        </w:tc>
        <w:tc>
          <w:tcPr>
            <w:tcW w:w="1080"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0.2857</w:t>
            </w:r>
          </w:p>
        </w:tc>
        <w:tc>
          <w:tcPr>
            <w:tcW w:w="701"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131</w:t>
            </w:r>
          </w:p>
        </w:tc>
        <w:tc>
          <w:tcPr>
            <w:tcW w:w="1099"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0.1451</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119</w:t>
            </w:r>
          </w:p>
        </w:tc>
        <w:tc>
          <w:tcPr>
            <w:tcW w:w="1164"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0.2992</w:t>
            </w:r>
          </w:p>
        </w:tc>
        <w:tc>
          <w:tcPr>
            <w:tcW w:w="816" w:type="dxa"/>
            <w:vAlign w:val="center"/>
          </w:tcPr>
          <w:p>
            <w:pPr>
              <w:adjustRightInd w:val="0"/>
              <w:jc w:val="center"/>
              <w:rPr>
                <w:rFonts w:ascii="Times New Roman" w:hAnsi="Times New Roman" w:eastAsia="新宋体"/>
                <w:b w:val="0"/>
                <w:color w:val="auto"/>
                <w:sz w:val="21"/>
                <w:szCs w:val="21"/>
              </w:rPr>
            </w:pPr>
            <w:r>
              <w:rPr>
                <w:rFonts w:ascii="Times New Roman" w:hAnsi="Times New Roman" w:eastAsia="新宋体"/>
                <w:b w:val="0"/>
                <w:color w:val="auto"/>
                <w:sz w:val="21"/>
                <w:szCs w:val="21"/>
              </w:rPr>
              <w:t>129</w:t>
            </w:r>
          </w:p>
        </w:tc>
      </w:tr>
    </w:tbl>
    <w:p>
      <w:pPr>
        <w:pStyle w:val="4"/>
        <w:spacing w:line="300" w:lineRule="auto"/>
        <w:ind w:firstLine="482" w:firstLineChars="200"/>
      </w:pPr>
      <w:bookmarkStart w:id="450" w:name="_Toc139635553"/>
      <w:bookmarkStart w:id="451" w:name="_Toc8553"/>
      <w:r>
        <w:t>项目建成后的节能效果分析</w:t>
      </w:r>
      <w:bookmarkEnd w:id="450"/>
      <w:bookmarkEnd w:id="451"/>
    </w:p>
    <w:p>
      <w:pPr>
        <w:pStyle w:val="5"/>
        <w:ind w:firstLine="482" w:firstLineChars="200"/>
        <w:rPr>
          <w:rFonts w:ascii="Times New Roman" w:hAnsi="Times New Roman"/>
        </w:rPr>
      </w:pPr>
      <w:r>
        <w:rPr>
          <w:rFonts w:ascii="Times New Roman" w:hAnsi="Times New Roman"/>
        </w:rPr>
        <w:t>节能计算的内容与方法</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（1）计算的内容</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本项目不考虑道路建设期的节能，仅考虑在道路营运期间的节能情况，计算评价期采用项目设计年限，即项目通车后15年。本项目处于平原微丘地区，纵坡较小，全部为高级路面铺装。</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在新老路的交通条件中，对燃油消耗影响较大的有老路的行驶车速较低及横向干扰导致汽车的加速、减速和停车所带来的燃油消耗的增大。横向干扰通常难以定量确定，但其已反映在道路平均行驶车速之中，因此，本次节能计算仅计算因行驶车速不同所带来的燃油节约。</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（2）计算方法</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项目建成后的油耗节约效益的计算采用“有无对比”的分析方法，无此项目时的汽车燃油消耗与建设本项目后新老路汽油燃油消耗之差额即为油耗节约量。新建项目的燃油节约主要包括以下方面。</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A道路晋级所产生的油耗节约</w:t>
      </w:r>
    </w:p>
    <w:p>
      <w:pPr>
        <w:spacing w:line="300" w:lineRule="auto"/>
        <w:ind w:firstLine="480" w:firstLineChars="200"/>
        <w:rPr>
          <w:rFonts w:ascii="Times New Roman" w:hAnsi="Times New Roman"/>
          <w:b w:val="0"/>
          <w:color w:val="auto"/>
          <w:kern w:val="0"/>
          <w:sz w:val="24"/>
          <w:szCs w:val="24"/>
        </w:rPr>
      </w:pPr>
      <w:r>
        <w:rPr>
          <w:rFonts w:ascii="Times New Roman" w:hAnsi="Times New Roman"/>
          <w:b w:val="0"/>
          <w:color w:val="auto"/>
          <w:kern w:val="0"/>
          <w:sz w:val="24"/>
          <w:szCs w:val="24"/>
        </w:rPr>
        <w:t>指道路建设项目的实施，使得车辆单位里程的燃油消耗减少而节约的燃油量。计算方法为：</w:t>
      </w:r>
    </w:p>
    <w:p>
      <w:pPr>
        <w:spacing w:line="300" w:lineRule="auto"/>
        <w:ind w:firstLine="480" w:firstLineChars="200"/>
        <w:rPr>
          <w:rFonts w:ascii="Times New Roman" w:hAnsi="Times New Roman"/>
          <w:b w:val="0"/>
          <w:color w:val="auto"/>
          <w:kern w:val="0"/>
          <w:sz w:val="24"/>
          <w:szCs w:val="24"/>
        </w:rPr>
      </w:pPr>
      <w:r>
        <w:rPr>
          <w:rFonts w:ascii="Times New Roman" w:hAnsi="Times New Roman"/>
          <w:b w:val="0"/>
          <w:color w:val="auto"/>
          <w:kern w:val="0"/>
          <w:sz w:val="24"/>
          <w:szCs w:val="24"/>
        </w:rPr>
        <w:t>B</w:t>
      </w:r>
      <w:r>
        <w:rPr>
          <w:rFonts w:ascii="Times New Roman" w:hAnsi="Times New Roman"/>
          <w:b w:val="0"/>
          <w:color w:val="auto"/>
          <w:kern w:val="0"/>
          <w:sz w:val="24"/>
          <w:szCs w:val="24"/>
          <w:vertAlign w:val="subscript"/>
        </w:rPr>
        <w:t>1</w:t>
      </w:r>
      <w:r>
        <w:rPr>
          <w:rFonts w:ascii="Times New Roman" w:hAnsi="Times New Roman"/>
          <w:b w:val="0"/>
          <w:color w:val="auto"/>
          <w:kern w:val="0"/>
          <w:sz w:val="24"/>
          <w:szCs w:val="24"/>
        </w:rPr>
        <w:t>=（C</w:t>
      </w:r>
      <w:r>
        <w:rPr>
          <w:rFonts w:ascii="Times New Roman" w:hAnsi="Times New Roman"/>
          <w:b w:val="0"/>
          <w:color w:val="auto"/>
          <w:kern w:val="0"/>
          <w:sz w:val="24"/>
          <w:szCs w:val="24"/>
          <w:vertAlign w:val="subscript"/>
        </w:rPr>
        <w:t>00</w:t>
      </w:r>
      <w:r>
        <w:rPr>
          <w:rFonts w:ascii="Times New Roman" w:hAnsi="Times New Roman"/>
          <w:b w:val="0"/>
          <w:color w:val="auto"/>
          <w:kern w:val="0"/>
          <w:sz w:val="24"/>
          <w:szCs w:val="24"/>
        </w:rPr>
        <w:t>-C</w:t>
      </w:r>
      <w:r>
        <w:rPr>
          <w:rFonts w:ascii="Times New Roman" w:hAnsi="Times New Roman"/>
          <w:b w:val="0"/>
          <w:color w:val="auto"/>
          <w:kern w:val="0"/>
          <w:sz w:val="24"/>
          <w:szCs w:val="24"/>
          <w:vertAlign w:val="subscript"/>
        </w:rPr>
        <w:t>N</w:t>
      </w:r>
      <w:r>
        <w:rPr>
          <w:rFonts w:ascii="Times New Roman" w:hAnsi="Times New Roman"/>
          <w:b w:val="0"/>
          <w:color w:val="auto"/>
          <w:kern w:val="0"/>
          <w:sz w:val="24"/>
          <w:szCs w:val="24"/>
        </w:rPr>
        <w:t>）×L</w:t>
      </w:r>
      <w:r>
        <w:rPr>
          <w:rFonts w:ascii="Times New Roman" w:hAnsi="Times New Roman"/>
          <w:b w:val="0"/>
          <w:color w:val="auto"/>
          <w:kern w:val="0"/>
          <w:sz w:val="24"/>
          <w:szCs w:val="24"/>
          <w:vertAlign w:val="subscript"/>
        </w:rPr>
        <w:t>N</w:t>
      </w:r>
      <w:r>
        <w:rPr>
          <w:rFonts w:ascii="Times New Roman" w:hAnsi="Times New Roman"/>
          <w:b w:val="0"/>
          <w:color w:val="auto"/>
          <w:kern w:val="0"/>
          <w:sz w:val="24"/>
          <w:szCs w:val="24"/>
        </w:rPr>
        <w:t>×Q</w:t>
      </w:r>
      <w:r>
        <w:rPr>
          <w:rFonts w:ascii="Times New Roman" w:hAnsi="Times New Roman"/>
          <w:b w:val="0"/>
          <w:color w:val="auto"/>
          <w:kern w:val="0"/>
          <w:sz w:val="24"/>
          <w:szCs w:val="24"/>
          <w:vertAlign w:val="subscript"/>
        </w:rPr>
        <w:t>N</w:t>
      </w:r>
      <w:r>
        <w:rPr>
          <w:rFonts w:ascii="Times New Roman" w:hAnsi="Times New Roman"/>
          <w:b w:val="0"/>
          <w:color w:val="auto"/>
          <w:kern w:val="0"/>
          <w:sz w:val="24"/>
          <w:szCs w:val="24"/>
        </w:rPr>
        <w:t>×365</w:t>
      </w:r>
    </w:p>
    <w:p>
      <w:pPr>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式中B</w:t>
      </w:r>
      <w:r>
        <w:rPr>
          <w:rFonts w:ascii="Times New Roman" w:hAnsi="Times New Roman"/>
          <w:b w:val="0"/>
          <w:bCs/>
          <w:color w:val="auto"/>
          <w:sz w:val="24"/>
          <w:szCs w:val="24"/>
          <w:vertAlign w:val="subscript"/>
        </w:rPr>
        <w:t>1</w:t>
      </w:r>
      <w:r>
        <w:rPr>
          <w:rFonts w:ascii="Times New Roman" w:hAnsi="Times New Roman"/>
          <w:b w:val="0"/>
          <w:bCs/>
          <w:color w:val="auto"/>
          <w:sz w:val="24"/>
          <w:szCs w:val="24"/>
        </w:rPr>
        <w:t>——道路晋级的燃油节约量，L；</w:t>
      </w:r>
    </w:p>
    <w:p>
      <w:pPr>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C</w:t>
      </w:r>
      <w:r>
        <w:rPr>
          <w:rFonts w:ascii="Times New Roman" w:hAnsi="Times New Roman"/>
          <w:b w:val="0"/>
          <w:bCs/>
          <w:color w:val="auto"/>
          <w:sz w:val="24"/>
          <w:szCs w:val="24"/>
          <w:vertAlign w:val="subscript"/>
        </w:rPr>
        <w:t>N</w:t>
      </w:r>
      <w:r>
        <w:rPr>
          <w:rFonts w:ascii="Times New Roman" w:hAnsi="Times New Roman"/>
          <w:b w:val="0"/>
          <w:bCs/>
          <w:color w:val="auto"/>
          <w:sz w:val="24"/>
          <w:szCs w:val="24"/>
        </w:rPr>
        <w:t>——新建项目上的平均燃油消耗；C</w:t>
      </w:r>
      <w:r>
        <w:rPr>
          <w:rFonts w:ascii="Times New Roman" w:hAnsi="Times New Roman"/>
          <w:b w:val="0"/>
          <w:bCs/>
          <w:color w:val="auto"/>
          <w:sz w:val="24"/>
          <w:szCs w:val="24"/>
          <w:vertAlign w:val="subscript"/>
        </w:rPr>
        <w:t>00</w:t>
      </w:r>
      <w:r>
        <w:rPr>
          <w:rFonts w:ascii="Times New Roman" w:hAnsi="Times New Roman"/>
          <w:b w:val="0"/>
          <w:bCs/>
          <w:color w:val="auto"/>
          <w:sz w:val="24"/>
          <w:szCs w:val="24"/>
        </w:rPr>
        <w:t>——无本项目时，老路上的加权平均燃油消耗；</w:t>
      </w:r>
    </w:p>
    <w:p>
      <w:pPr>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Q</w:t>
      </w:r>
      <w:r>
        <w:rPr>
          <w:rFonts w:ascii="Times New Roman" w:hAnsi="Times New Roman"/>
          <w:b w:val="0"/>
          <w:bCs/>
          <w:color w:val="auto"/>
          <w:sz w:val="24"/>
          <w:szCs w:val="24"/>
          <w:vertAlign w:val="subscript"/>
        </w:rPr>
        <w:t>N</w:t>
      </w:r>
      <w:r>
        <w:rPr>
          <w:rFonts w:ascii="Times New Roman" w:hAnsi="Times New Roman"/>
          <w:b w:val="0"/>
          <w:bCs/>
          <w:color w:val="auto"/>
          <w:sz w:val="24"/>
          <w:szCs w:val="24"/>
        </w:rPr>
        <w:t>——新建项目上的年均日交通量，辆/d，按交通量预测结果逐年计算；</w:t>
      </w:r>
    </w:p>
    <w:p>
      <w:pPr>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L</w:t>
      </w:r>
      <w:r>
        <w:rPr>
          <w:rFonts w:ascii="Times New Roman" w:hAnsi="Times New Roman"/>
          <w:b w:val="0"/>
          <w:bCs/>
          <w:color w:val="auto"/>
          <w:sz w:val="24"/>
          <w:szCs w:val="24"/>
          <w:vertAlign w:val="subscript"/>
        </w:rPr>
        <w:t>N</w:t>
      </w:r>
      <w:r>
        <w:rPr>
          <w:rFonts w:ascii="Times New Roman" w:hAnsi="Times New Roman"/>
          <w:b w:val="0"/>
          <w:bCs/>
          <w:color w:val="auto"/>
          <w:sz w:val="24"/>
          <w:szCs w:val="24"/>
        </w:rPr>
        <w:t>——新建项目的全程。</w:t>
      </w:r>
    </w:p>
    <w:p>
      <w:pPr>
        <w:spacing w:line="300" w:lineRule="auto"/>
        <w:ind w:firstLine="480" w:firstLineChars="200"/>
        <w:rPr>
          <w:rFonts w:ascii="Times New Roman" w:hAnsi="Times New Roman"/>
          <w:b w:val="0"/>
          <w:bCs/>
          <w:color w:val="auto"/>
          <w:sz w:val="24"/>
          <w:szCs w:val="24"/>
          <w:u w:val="single"/>
        </w:rPr>
      </w:pPr>
      <w:r>
        <w:rPr>
          <w:rFonts w:ascii="Times New Roman" w:hAnsi="Times New Roman"/>
          <w:b w:val="0"/>
          <w:bCs/>
          <w:color w:val="auto"/>
          <w:sz w:val="24"/>
          <w:szCs w:val="24"/>
          <w:u w:val="single"/>
        </w:rPr>
        <w:t>B老路减少拥挤所产生的消耗节约</w:t>
      </w:r>
    </w:p>
    <w:p>
      <w:pPr>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无此项目时，原有相关道路的交通量不断增加，平均行车速度相应降低，停车次数增加。有此项目后，使原有相关道路部分交通量发生转移从而减少了拥挤，原应提高的单位燃油量不再提高，从而形成了节约。</w:t>
      </w:r>
    </w:p>
    <w:p>
      <w:pPr>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其计算方法为：</w:t>
      </w:r>
    </w:p>
    <w:p>
      <w:pPr>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B</w:t>
      </w:r>
      <w:r>
        <w:rPr>
          <w:rFonts w:ascii="Times New Roman" w:hAnsi="Times New Roman"/>
          <w:b w:val="0"/>
          <w:bCs/>
          <w:color w:val="auto"/>
          <w:sz w:val="24"/>
          <w:szCs w:val="24"/>
          <w:vertAlign w:val="subscript"/>
        </w:rPr>
        <w:t>2</w:t>
      </w:r>
      <w:r>
        <w:rPr>
          <w:rFonts w:ascii="Times New Roman" w:hAnsi="Times New Roman"/>
          <w:b w:val="0"/>
          <w:bCs/>
          <w:color w:val="auto"/>
          <w:sz w:val="24"/>
          <w:szCs w:val="24"/>
        </w:rPr>
        <w:t>=（C</w:t>
      </w:r>
      <w:r>
        <w:rPr>
          <w:rFonts w:ascii="Times New Roman" w:hAnsi="Times New Roman"/>
          <w:b w:val="0"/>
          <w:bCs/>
          <w:color w:val="auto"/>
          <w:sz w:val="24"/>
          <w:szCs w:val="24"/>
          <w:vertAlign w:val="subscript"/>
        </w:rPr>
        <w:t>01</w:t>
      </w:r>
      <w:r>
        <w:rPr>
          <w:rFonts w:ascii="Times New Roman" w:hAnsi="Times New Roman"/>
          <w:b w:val="0"/>
          <w:bCs/>
          <w:color w:val="auto"/>
          <w:sz w:val="24"/>
          <w:szCs w:val="24"/>
        </w:rPr>
        <w:t>-C</w:t>
      </w:r>
      <w:r>
        <w:rPr>
          <w:rFonts w:ascii="Times New Roman" w:hAnsi="Times New Roman"/>
          <w:b w:val="0"/>
          <w:bCs/>
          <w:color w:val="auto"/>
          <w:sz w:val="24"/>
          <w:szCs w:val="24"/>
          <w:vertAlign w:val="subscript"/>
        </w:rPr>
        <w:t>00</w:t>
      </w:r>
      <w:r>
        <w:rPr>
          <w:rFonts w:ascii="Times New Roman" w:hAnsi="Times New Roman"/>
          <w:b w:val="0"/>
          <w:bCs/>
          <w:color w:val="auto"/>
          <w:sz w:val="24"/>
          <w:szCs w:val="24"/>
        </w:rPr>
        <w:t>）×（L</w:t>
      </w:r>
      <w:r>
        <w:rPr>
          <w:rFonts w:ascii="Times New Roman" w:hAnsi="Times New Roman"/>
          <w:b w:val="0"/>
          <w:bCs/>
          <w:color w:val="auto"/>
          <w:sz w:val="24"/>
          <w:szCs w:val="24"/>
          <w:vertAlign w:val="subscript"/>
        </w:rPr>
        <w:t>0</w:t>
      </w:r>
      <w:r>
        <w:rPr>
          <w:rFonts w:ascii="Times New Roman" w:hAnsi="Times New Roman"/>
          <w:b w:val="0"/>
          <w:bCs/>
          <w:color w:val="auto"/>
          <w:sz w:val="24"/>
          <w:szCs w:val="24"/>
        </w:rPr>
        <w:t>–L</w:t>
      </w:r>
      <w:r>
        <w:rPr>
          <w:rFonts w:ascii="Times New Roman" w:hAnsi="Times New Roman"/>
          <w:b w:val="0"/>
          <w:bCs/>
          <w:color w:val="auto"/>
          <w:sz w:val="24"/>
          <w:szCs w:val="24"/>
          <w:vertAlign w:val="subscript"/>
        </w:rPr>
        <w:t>n</w:t>
      </w:r>
      <w:r>
        <w:rPr>
          <w:rFonts w:ascii="Times New Roman" w:hAnsi="Times New Roman"/>
          <w:b w:val="0"/>
          <w:bCs/>
          <w:color w:val="auto"/>
          <w:sz w:val="24"/>
          <w:szCs w:val="24"/>
        </w:rPr>
        <w:t>）×Q</w:t>
      </w:r>
      <w:r>
        <w:rPr>
          <w:rFonts w:ascii="Times New Roman" w:hAnsi="Times New Roman"/>
          <w:b w:val="0"/>
          <w:bCs/>
          <w:color w:val="auto"/>
          <w:sz w:val="24"/>
          <w:szCs w:val="24"/>
          <w:vertAlign w:val="subscript"/>
        </w:rPr>
        <w:t>0</w:t>
      </w:r>
      <w:r>
        <w:rPr>
          <w:rFonts w:ascii="Times New Roman" w:hAnsi="Times New Roman"/>
          <w:b w:val="0"/>
          <w:bCs/>
          <w:color w:val="auto"/>
          <w:sz w:val="24"/>
          <w:szCs w:val="24"/>
        </w:rPr>
        <w:t>×365</w:t>
      </w:r>
    </w:p>
    <w:p>
      <w:pPr>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式中B</w:t>
      </w:r>
      <w:r>
        <w:rPr>
          <w:rFonts w:ascii="Times New Roman" w:hAnsi="Times New Roman"/>
          <w:b w:val="0"/>
          <w:bCs/>
          <w:color w:val="auto"/>
          <w:sz w:val="24"/>
          <w:szCs w:val="24"/>
          <w:vertAlign w:val="subscript"/>
        </w:rPr>
        <w:t>2</w:t>
      </w:r>
      <w:r>
        <w:rPr>
          <w:rFonts w:ascii="Times New Roman" w:hAnsi="Times New Roman"/>
          <w:b w:val="0"/>
          <w:bCs/>
          <w:color w:val="auto"/>
          <w:sz w:val="24"/>
          <w:szCs w:val="24"/>
        </w:rPr>
        <w:t>——减少拥挤所产生的燃油节约量，L；</w:t>
      </w:r>
    </w:p>
    <w:p>
      <w:pPr>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C</w:t>
      </w:r>
      <w:r>
        <w:rPr>
          <w:rFonts w:ascii="Times New Roman" w:hAnsi="Times New Roman"/>
          <w:b w:val="0"/>
          <w:bCs/>
          <w:color w:val="auto"/>
          <w:sz w:val="24"/>
          <w:szCs w:val="24"/>
          <w:vertAlign w:val="subscript"/>
        </w:rPr>
        <w:t>01</w:t>
      </w:r>
      <w:r>
        <w:rPr>
          <w:rFonts w:ascii="Times New Roman" w:hAnsi="Times New Roman"/>
          <w:b w:val="0"/>
          <w:bCs/>
          <w:color w:val="auto"/>
          <w:sz w:val="24"/>
          <w:szCs w:val="24"/>
        </w:rPr>
        <w:t>——建设项目后，老路上的加权平均燃油消耗；</w:t>
      </w:r>
    </w:p>
    <w:p>
      <w:pPr>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C</w:t>
      </w:r>
      <w:r>
        <w:rPr>
          <w:rFonts w:ascii="Times New Roman" w:hAnsi="Times New Roman"/>
          <w:b w:val="0"/>
          <w:bCs/>
          <w:color w:val="auto"/>
          <w:sz w:val="24"/>
          <w:szCs w:val="24"/>
          <w:vertAlign w:val="subscript"/>
        </w:rPr>
        <w:t>00</w:t>
      </w:r>
      <w:r>
        <w:rPr>
          <w:rFonts w:ascii="Times New Roman" w:hAnsi="Times New Roman"/>
          <w:b w:val="0"/>
          <w:bCs/>
          <w:color w:val="auto"/>
          <w:sz w:val="24"/>
          <w:szCs w:val="24"/>
        </w:rPr>
        <w:t>——无本项目时，老路上的加权平均燃油消耗；L</w:t>
      </w:r>
      <w:r>
        <w:rPr>
          <w:rFonts w:ascii="Times New Roman" w:hAnsi="Times New Roman"/>
          <w:b w:val="0"/>
          <w:bCs/>
          <w:color w:val="auto"/>
          <w:sz w:val="24"/>
          <w:szCs w:val="24"/>
          <w:vertAlign w:val="subscript"/>
        </w:rPr>
        <w:t>0</w:t>
      </w:r>
      <w:r>
        <w:rPr>
          <w:rFonts w:ascii="Times New Roman" w:hAnsi="Times New Roman"/>
          <w:b w:val="0"/>
          <w:bCs/>
          <w:color w:val="auto"/>
          <w:sz w:val="24"/>
          <w:szCs w:val="24"/>
        </w:rPr>
        <w:t>——老路的加权平均里程；</w:t>
      </w:r>
    </w:p>
    <w:p>
      <w:pPr>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L</w:t>
      </w:r>
      <w:r>
        <w:rPr>
          <w:rFonts w:ascii="Times New Roman" w:hAnsi="Times New Roman"/>
          <w:b w:val="0"/>
          <w:bCs/>
          <w:color w:val="auto"/>
          <w:sz w:val="24"/>
          <w:szCs w:val="24"/>
          <w:vertAlign w:val="subscript"/>
        </w:rPr>
        <w:t>n</w:t>
      </w:r>
      <w:r>
        <w:rPr>
          <w:rFonts w:ascii="Times New Roman" w:hAnsi="Times New Roman"/>
          <w:b w:val="0"/>
          <w:bCs/>
          <w:color w:val="auto"/>
          <w:sz w:val="24"/>
          <w:szCs w:val="24"/>
        </w:rPr>
        <w:t>——新路的加权平均行驶里程；Q</w:t>
      </w:r>
      <w:r>
        <w:rPr>
          <w:rFonts w:ascii="Times New Roman" w:hAnsi="Times New Roman"/>
          <w:b w:val="0"/>
          <w:bCs/>
          <w:color w:val="auto"/>
          <w:sz w:val="24"/>
          <w:szCs w:val="24"/>
          <w:vertAlign w:val="subscript"/>
        </w:rPr>
        <w:t>O</w:t>
      </w:r>
      <w:r>
        <w:rPr>
          <w:rFonts w:ascii="Times New Roman" w:hAnsi="Times New Roman"/>
          <w:b w:val="0"/>
          <w:bCs/>
          <w:color w:val="auto"/>
          <w:sz w:val="24"/>
          <w:szCs w:val="24"/>
        </w:rPr>
        <w:t>——建设项目后，老路上的平均日交通量，L/（km·车），参考交通量预测结果逐年计算。</w:t>
      </w:r>
    </w:p>
    <w:p>
      <w:pPr>
        <w:spacing w:line="300" w:lineRule="auto"/>
        <w:ind w:firstLine="480" w:firstLineChars="200"/>
        <w:rPr>
          <w:rFonts w:ascii="Times New Roman" w:hAnsi="Times New Roman"/>
          <w:b w:val="0"/>
          <w:bCs/>
          <w:color w:val="auto"/>
          <w:sz w:val="24"/>
          <w:szCs w:val="24"/>
          <w:u w:val="single"/>
        </w:rPr>
      </w:pPr>
      <w:r>
        <w:rPr>
          <w:rFonts w:ascii="Times New Roman" w:hAnsi="Times New Roman"/>
          <w:b w:val="0"/>
          <w:bCs/>
          <w:color w:val="auto"/>
          <w:sz w:val="24"/>
          <w:szCs w:val="24"/>
          <w:u w:val="single"/>
        </w:rPr>
        <w:t>C缩短里程而产生的节约</w:t>
      </w:r>
    </w:p>
    <w:p>
      <w:pPr>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拟新建的市政道路项目缩短了里程，从而直接节约了在其上运行车辆的燃油消耗。其计算方法为：</w:t>
      </w:r>
    </w:p>
    <w:p>
      <w:pPr>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B</w:t>
      </w:r>
      <w:r>
        <w:rPr>
          <w:rFonts w:ascii="Times New Roman" w:hAnsi="Times New Roman"/>
          <w:b w:val="0"/>
          <w:bCs/>
          <w:color w:val="auto"/>
          <w:sz w:val="24"/>
          <w:szCs w:val="24"/>
          <w:vertAlign w:val="subscript"/>
        </w:rPr>
        <w:t>3</w:t>
      </w:r>
      <w:r>
        <w:rPr>
          <w:rFonts w:ascii="Times New Roman" w:hAnsi="Times New Roman"/>
          <w:b w:val="0"/>
          <w:bCs/>
          <w:color w:val="auto"/>
          <w:sz w:val="24"/>
          <w:szCs w:val="24"/>
        </w:rPr>
        <w:t>=（L</w:t>
      </w:r>
      <w:r>
        <w:rPr>
          <w:rFonts w:ascii="Times New Roman" w:hAnsi="Times New Roman"/>
          <w:b w:val="0"/>
          <w:bCs/>
          <w:color w:val="auto"/>
          <w:sz w:val="24"/>
          <w:szCs w:val="24"/>
          <w:vertAlign w:val="subscript"/>
        </w:rPr>
        <w:t>0</w:t>
      </w:r>
      <w:r>
        <w:rPr>
          <w:rFonts w:ascii="Times New Roman" w:hAnsi="Times New Roman"/>
          <w:b w:val="0"/>
          <w:bCs/>
          <w:color w:val="auto"/>
          <w:sz w:val="24"/>
          <w:szCs w:val="24"/>
        </w:rPr>
        <w:t>–L</w:t>
      </w:r>
      <w:r>
        <w:rPr>
          <w:rFonts w:ascii="Times New Roman" w:hAnsi="Times New Roman"/>
          <w:b w:val="0"/>
          <w:bCs/>
          <w:color w:val="auto"/>
          <w:sz w:val="24"/>
          <w:szCs w:val="24"/>
          <w:vertAlign w:val="subscript"/>
        </w:rPr>
        <w:t>n</w:t>
      </w:r>
      <w:r>
        <w:rPr>
          <w:rFonts w:ascii="Times New Roman" w:hAnsi="Times New Roman"/>
          <w:b w:val="0"/>
          <w:bCs/>
          <w:color w:val="auto"/>
          <w:sz w:val="24"/>
          <w:szCs w:val="24"/>
        </w:rPr>
        <w:t>–L</w:t>
      </w:r>
      <w:r>
        <w:rPr>
          <w:rFonts w:ascii="Times New Roman" w:hAnsi="Times New Roman"/>
          <w:b w:val="0"/>
          <w:bCs/>
          <w:color w:val="auto"/>
          <w:sz w:val="24"/>
          <w:szCs w:val="24"/>
          <w:vertAlign w:val="subscript"/>
        </w:rPr>
        <w:t>N</w:t>
      </w:r>
      <w:r>
        <w:rPr>
          <w:rFonts w:ascii="Times New Roman" w:hAnsi="Times New Roman"/>
          <w:b w:val="0"/>
          <w:bCs/>
          <w:color w:val="auto"/>
          <w:sz w:val="24"/>
          <w:szCs w:val="24"/>
        </w:rPr>
        <w:t>）×Q</w:t>
      </w:r>
      <w:r>
        <w:rPr>
          <w:rFonts w:ascii="Times New Roman" w:hAnsi="Times New Roman"/>
          <w:b w:val="0"/>
          <w:bCs/>
          <w:color w:val="auto"/>
          <w:sz w:val="24"/>
          <w:szCs w:val="24"/>
          <w:vertAlign w:val="subscript"/>
        </w:rPr>
        <w:t>N</w:t>
      </w:r>
      <w:r>
        <w:rPr>
          <w:rFonts w:ascii="Times New Roman" w:hAnsi="Times New Roman"/>
          <w:b w:val="0"/>
          <w:bCs/>
          <w:color w:val="auto"/>
          <w:sz w:val="24"/>
          <w:szCs w:val="24"/>
        </w:rPr>
        <w:t>×C</w:t>
      </w:r>
      <w:r>
        <w:rPr>
          <w:rFonts w:ascii="Times New Roman" w:hAnsi="Times New Roman"/>
          <w:b w:val="0"/>
          <w:bCs/>
          <w:color w:val="auto"/>
          <w:sz w:val="24"/>
          <w:szCs w:val="24"/>
          <w:vertAlign w:val="subscript"/>
        </w:rPr>
        <w:t>00</w:t>
      </w:r>
      <w:r>
        <w:rPr>
          <w:rFonts w:ascii="Times New Roman" w:hAnsi="Times New Roman"/>
          <w:b w:val="0"/>
          <w:bCs/>
          <w:color w:val="auto"/>
          <w:sz w:val="24"/>
          <w:szCs w:val="24"/>
        </w:rPr>
        <w:t>×365</w:t>
      </w:r>
    </w:p>
    <w:p>
      <w:pPr>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式中B</w:t>
      </w:r>
      <w:r>
        <w:rPr>
          <w:rFonts w:ascii="Times New Roman" w:hAnsi="Times New Roman"/>
          <w:b w:val="0"/>
          <w:bCs/>
          <w:color w:val="auto"/>
          <w:sz w:val="24"/>
          <w:szCs w:val="24"/>
          <w:vertAlign w:val="subscript"/>
        </w:rPr>
        <w:t>3</w:t>
      </w:r>
      <w:r>
        <w:rPr>
          <w:rFonts w:ascii="Times New Roman" w:hAnsi="Times New Roman"/>
          <w:b w:val="0"/>
          <w:bCs/>
          <w:color w:val="auto"/>
          <w:sz w:val="24"/>
          <w:szCs w:val="24"/>
        </w:rPr>
        <w:t>——缩短里程而获得的燃油节约量，L；</w:t>
      </w:r>
    </w:p>
    <w:p>
      <w:pPr>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L</w:t>
      </w:r>
      <w:r>
        <w:rPr>
          <w:rFonts w:ascii="Times New Roman" w:hAnsi="Times New Roman"/>
          <w:b w:val="0"/>
          <w:bCs/>
          <w:color w:val="auto"/>
          <w:sz w:val="24"/>
          <w:szCs w:val="24"/>
          <w:vertAlign w:val="subscript"/>
        </w:rPr>
        <w:t>0</w:t>
      </w:r>
      <w:r>
        <w:rPr>
          <w:rFonts w:ascii="Times New Roman" w:hAnsi="Times New Roman"/>
          <w:b w:val="0"/>
          <w:bCs/>
          <w:color w:val="auto"/>
          <w:sz w:val="24"/>
          <w:szCs w:val="24"/>
        </w:rPr>
        <w:t>——老路的加权平均里程；</w:t>
      </w:r>
    </w:p>
    <w:p>
      <w:pPr>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L</w:t>
      </w:r>
      <w:r>
        <w:rPr>
          <w:rFonts w:ascii="Times New Roman" w:hAnsi="Times New Roman"/>
          <w:b w:val="0"/>
          <w:bCs/>
          <w:color w:val="auto"/>
          <w:sz w:val="24"/>
          <w:szCs w:val="24"/>
          <w:vertAlign w:val="subscript"/>
        </w:rPr>
        <w:t>n</w:t>
      </w:r>
      <w:r>
        <w:rPr>
          <w:rFonts w:ascii="Times New Roman" w:hAnsi="Times New Roman"/>
          <w:b w:val="0"/>
          <w:bCs/>
          <w:color w:val="auto"/>
          <w:sz w:val="24"/>
          <w:szCs w:val="24"/>
        </w:rPr>
        <w:t>——新路的加权平均行驶里程；</w:t>
      </w:r>
    </w:p>
    <w:p>
      <w:pPr>
        <w:spacing w:line="300" w:lineRule="auto"/>
        <w:ind w:firstLine="480" w:firstLineChars="200"/>
        <w:rPr>
          <w:rFonts w:ascii="Times New Roman" w:hAnsi="Times New Roman"/>
          <w:b w:val="0"/>
          <w:bCs/>
          <w:color w:val="auto"/>
          <w:sz w:val="24"/>
          <w:szCs w:val="24"/>
        </w:rPr>
      </w:pPr>
      <w:r>
        <w:rPr>
          <w:rFonts w:ascii="Times New Roman" w:hAnsi="Times New Roman"/>
          <w:b w:val="0"/>
          <w:bCs/>
          <w:color w:val="auto"/>
          <w:sz w:val="24"/>
          <w:szCs w:val="24"/>
        </w:rPr>
        <w:t>L</w:t>
      </w:r>
      <w:r>
        <w:rPr>
          <w:rFonts w:ascii="Times New Roman" w:hAnsi="Times New Roman"/>
          <w:b w:val="0"/>
          <w:bCs/>
          <w:color w:val="auto"/>
          <w:sz w:val="24"/>
          <w:szCs w:val="24"/>
          <w:vertAlign w:val="subscript"/>
        </w:rPr>
        <w:t>N</w:t>
      </w:r>
      <w:r>
        <w:rPr>
          <w:rFonts w:ascii="Times New Roman" w:hAnsi="Times New Roman"/>
          <w:b w:val="0"/>
          <w:bCs/>
          <w:color w:val="auto"/>
          <w:sz w:val="24"/>
          <w:szCs w:val="24"/>
        </w:rPr>
        <w:t>——新项目的里程；</w:t>
      </w:r>
    </w:p>
    <w:p>
      <w:pPr>
        <w:spacing w:line="300" w:lineRule="auto"/>
        <w:ind w:left="580" w:leftChars="207" w:firstLine="480" w:firstLineChars="200"/>
        <w:rPr>
          <w:rFonts w:ascii="Times New Roman" w:hAnsi="Times New Roman"/>
          <w:b w:val="0"/>
          <w:bCs/>
          <w:color w:val="auto"/>
          <w:sz w:val="24"/>
          <w:szCs w:val="24"/>
        </w:rPr>
      </w:pPr>
      <w:r>
        <w:rPr>
          <w:rFonts w:ascii="Times New Roman" w:hAnsi="Times New Roman"/>
          <w:b w:val="0"/>
          <w:bCs/>
          <w:color w:val="auto"/>
          <w:sz w:val="24"/>
          <w:szCs w:val="24"/>
        </w:rPr>
        <w:t>Q</w:t>
      </w:r>
      <w:r>
        <w:rPr>
          <w:rFonts w:ascii="Times New Roman" w:hAnsi="Times New Roman"/>
          <w:b w:val="0"/>
          <w:bCs/>
          <w:color w:val="auto"/>
          <w:sz w:val="24"/>
          <w:szCs w:val="24"/>
          <w:vertAlign w:val="subscript"/>
        </w:rPr>
        <w:t>N</w:t>
      </w:r>
      <w:r>
        <w:rPr>
          <w:rFonts w:ascii="Times New Roman" w:hAnsi="Times New Roman"/>
          <w:b w:val="0"/>
          <w:bCs/>
          <w:color w:val="auto"/>
          <w:sz w:val="24"/>
          <w:szCs w:val="24"/>
        </w:rPr>
        <w:t>——新建项目上的年均日交通量，辆/d，参考交通量预测结果逐年计算；</w:t>
      </w:r>
    </w:p>
    <w:p>
      <w:pPr>
        <w:spacing w:line="300" w:lineRule="auto"/>
        <w:ind w:firstLine="480" w:firstLineChars="200"/>
        <w:rPr>
          <w:rFonts w:ascii="Times New Roman" w:hAnsi="Times New Roman"/>
          <w:b w:val="0"/>
          <w:color w:val="auto"/>
          <w:kern w:val="0"/>
          <w:sz w:val="24"/>
          <w:szCs w:val="24"/>
        </w:rPr>
      </w:pPr>
      <w:r>
        <w:rPr>
          <w:rFonts w:ascii="Times New Roman" w:hAnsi="Times New Roman"/>
          <w:b w:val="0"/>
          <w:bCs/>
          <w:color w:val="auto"/>
          <w:kern w:val="0"/>
          <w:sz w:val="24"/>
          <w:szCs w:val="24"/>
        </w:rPr>
        <w:t>C</w:t>
      </w:r>
      <w:r>
        <w:rPr>
          <w:rFonts w:ascii="Times New Roman" w:hAnsi="Times New Roman"/>
          <w:b w:val="0"/>
          <w:bCs/>
          <w:color w:val="auto"/>
          <w:kern w:val="0"/>
          <w:sz w:val="24"/>
          <w:szCs w:val="24"/>
          <w:vertAlign w:val="subscript"/>
        </w:rPr>
        <w:t>00</w:t>
      </w:r>
      <w:r>
        <w:rPr>
          <w:rFonts w:ascii="Times New Roman" w:hAnsi="Times New Roman"/>
          <w:b w:val="0"/>
          <w:bCs/>
          <w:color w:val="auto"/>
          <w:kern w:val="0"/>
          <w:sz w:val="24"/>
          <w:szCs w:val="24"/>
        </w:rPr>
        <w:t>——不建本项目时，老路上的加权平均燃油消耗。</w:t>
      </w:r>
    </w:p>
    <w:p>
      <w:pPr>
        <w:pStyle w:val="5"/>
        <w:ind w:firstLine="482" w:firstLineChars="200"/>
        <w:rPr>
          <w:rFonts w:ascii="Times New Roman" w:hAnsi="Times New Roman"/>
        </w:rPr>
      </w:pPr>
      <w:r>
        <w:rPr>
          <w:rFonts w:ascii="Times New Roman" w:hAnsi="Times New Roman"/>
        </w:rPr>
        <w:t>节能计算结果</w:t>
      </w:r>
    </w:p>
    <w:p>
      <w:pPr>
        <w:spacing w:line="400" w:lineRule="exact"/>
        <w:ind w:firstLine="480" w:firstLineChars="200"/>
        <w:jc w:val="center"/>
        <w:rPr>
          <w:rFonts w:ascii="Times New Roman" w:hAnsi="Times New Roman"/>
          <w:bCs/>
          <w:color w:val="auto"/>
          <w:kern w:val="0"/>
          <w:sz w:val="24"/>
          <w:szCs w:val="24"/>
        </w:rPr>
      </w:pPr>
      <w:r>
        <w:rPr>
          <w:rFonts w:ascii="Times New Roman" w:hAnsi="Times New Roman"/>
          <w:b w:val="0"/>
          <w:color w:val="auto"/>
          <w:sz w:val="24"/>
          <w:szCs w:val="20"/>
        </w:rPr>
        <w:t>经计算，评价年限内项目共节约燃油量256.25万升，折合成标准煤约为3770.46吨。</w:t>
      </w:r>
    </w:p>
    <w:p>
      <w:pPr>
        <w:pStyle w:val="4"/>
        <w:spacing w:line="300" w:lineRule="auto"/>
        <w:ind w:firstLine="482" w:firstLineChars="200"/>
      </w:pPr>
      <w:bookmarkStart w:id="452" w:name="_Toc139635554"/>
      <w:bookmarkStart w:id="453" w:name="_Toc3076"/>
      <w:r>
        <w:t>节能措施</w:t>
      </w:r>
      <w:bookmarkEnd w:id="452"/>
      <w:bookmarkEnd w:id="453"/>
    </w:p>
    <w:p>
      <w:pPr>
        <w:pStyle w:val="5"/>
        <w:ind w:firstLine="482" w:firstLineChars="200"/>
        <w:rPr>
          <w:rFonts w:ascii="Times New Roman" w:hAnsi="Times New Roman"/>
        </w:rPr>
      </w:pPr>
      <w:r>
        <w:rPr>
          <w:rFonts w:ascii="Times New Roman" w:hAnsi="Times New Roman"/>
        </w:rPr>
        <w:t>施工期间节能管理</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（1）建立健全能源消耗原始记录和设备能耗台账，按照规定向上级报送能源消耗报表，同时应报送统计分析报告。</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（2）建立设备用能技术档案，节能技术措施、设备运行能源消耗指标等有关节能方面的技术、资料要与其它技术文件同等归档。</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（3）加强能源计量管理，配备必要的能源计量器具。</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（4）施工单位的技术、机务等管理部门，应实行节能管理责任制，并接受上级部门的监督检查。</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（5）加强机械施工组织及设备管理，提高能源效率。</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（6）大力推广应用节能“新技术、新工艺、新产品、新材料”。</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（7）开展节能培训和节能宣传活动。</w:t>
      </w:r>
    </w:p>
    <w:p>
      <w:pPr>
        <w:pStyle w:val="5"/>
        <w:ind w:firstLine="482" w:firstLineChars="200"/>
        <w:rPr>
          <w:rFonts w:ascii="Times New Roman" w:hAnsi="Times New Roman"/>
        </w:rPr>
      </w:pPr>
      <w:r>
        <w:rPr>
          <w:rFonts w:ascii="Times New Roman" w:hAnsi="Times New Roman"/>
        </w:rPr>
        <w:t>重点耗能设备用能管理</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（1）实施重点耗能设备用能管理制度。重点耗能设备是指装机容量在120KW（含）以上的施工机械、设备为重点耗能设备。</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2）业主应参与对购置或新造的重点耗能设备进行节能技术审查工作，对施工单位购置或新造、设计的机型提出节能要求，同时对机械设备的技术先进性、能耗水平和经济效益等进行评估、审查。凡超过规定能源限制指标的机械设备，要限制购进、制造，杜绝使用高耗能设备。</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（3）施工单位购置或新造重点耗能设备时，应本着选取用能耗低、效益高，技术先进的原则，要取得购置单位节能管理部门对机型的有关技术规格、能源消耗等技术指标的认同意见。</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4）施工单位要加强重点耗能设备的用能管理，建立设备能耗档案；配备能源计量器具。对设备用能实行定额考核和经济核算，同时要合理组织施工，减少设备的非生产运转，按施工生产任务和耗能定额分配指标用能。</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（5）施工单位要贯彻执行设备的技术管理制度，对在用的重点耗能设备要实行经常性的维护、保养，定期检查、修理，保持良好的技术状况。</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（6）对技术状况差、耗能高的重点耗能设备，要有停止使用、限期技术改造和更新的具体条件和措施。</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（7）重点耗能设备的节能技术改造必须通过有关节能技术部门的节能技术检测、鉴定，并提出报告，能耗指标达到规定要求的，方可用于施工。</w:t>
      </w:r>
    </w:p>
    <w:p>
      <w:pPr>
        <w:pStyle w:val="5"/>
        <w:ind w:firstLine="482" w:firstLineChars="200"/>
        <w:rPr>
          <w:rFonts w:ascii="Times New Roman" w:hAnsi="Times New Roman"/>
        </w:rPr>
      </w:pPr>
      <w:r>
        <w:rPr>
          <w:rFonts w:ascii="Times New Roman" w:hAnsi="Times New Roman"/>
        </w:rPr>
        <w:t>运营期间节能管理</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（1）加强道路的养护维修管理，使道路经常保持良好状态（平整度，路面完好无损，路基坚固无病害等），为车辆运行提供良好的交通条件。</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（2）通过加强交通管理，保持完善的交通设施和严密有序的交通组织，提高道路服务水平，减少车辆频繁的加速、减速和停车，使道路上行驶的车辆具有良好的交通通行状态，从而达到节约燃油能耗的目的。</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（3）加强对行驶车辆的监控，对排气量超标和耗能高的车辆予以查控，除提出限期整改要求外，还应采取相应的责罚措施。</w:t>
      </w:r>
    </w:p>
    <w:p>
      <w:pPr>
        <w:pStyle w:val="3"/>
        <w:ind w:firstLine="562" w:firstLineChars="200"/>
      </w:pPr>
      <w:bookmarkStart w:id="454" w:name="_Toc137563959"/>
      <w:bookmarkStart w:id="455" w:name="_Toc139635555"/>
      <w:bookmarkStart w:id="456" w:name="_Toc26065"/>
      <w:r>
        <w:t>碳达峰碳中和分析</w:t>
      </w:r>
      <w:bookmarkEnd w:id="454"/>
      <w:bookmarkEnd w:id="455"/>
      <w:bookmarkEnd w:id="456"/>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由国家生态环境部于2021年6月18日发布的《关于加强高耗能、高排放建设项目生态环境源头防控的指导意见》（环环评〔2021〕45号）中明确“两高”项目暂按以下六个行业类别：①煤电；②石化；③化工；④钢铁；⑤有色金属冶炼；⑥建材。</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本项目为市政道路项目，不属于高耗能、高排放项目。根据《政府投资项目可行性研究报告编写通用大纲（2023年版）》的要求，不需进行碳达峰碳中和分析。</w:t>
      </w:r>
    </w:p>
    <w:p>
      <w:pPr>
        <w:pStyle w:val="16"/>
        <w:ind w:firstLine="480" w:firstLineChars="200"/>
        <w:rPr>
          <w:rFonts w:ascii="Times New Roman" w:hAnsi="Times New Roman"/>
        </w:rPr>
      </w:pPr>
      <w:r>
        <w:rPr>
          <w:rFonts w:ascii="Times New Roman" w:hAnsi="Times New Roman"/>
          <w:b w:val="0"/>
          <w:sz w:val="24"/>
        </w:rPr>
        <w:br w:type="page"/>
      </w:r>
    </w:p>
    <w:p>
      <w:pPr>
        <w:pStyle w:val="2"/>
        <w:keepNext/>
        <w:keepLines/>
        <w:numPr>
          <w:ilvl w:val="0"/>
          <w:numId w:val="2"/>
        </w:numPr>
        <w:spacing w:before="191" w:beforeLines="0" w:after="191" w:afterLines="0" w:line="360" w:lineRule="auto"/>
        <w:ind w:firstLine="643" w:firstLineChars="200"/>
        <w:jc w:val="center"/>
        <w:rPr>
          <w:rFonts w:ascii="Times New Roman" w:hAnsi="Times New Roman"/>
          <w:color w:val="auto"/>
        </w:rPr>
      </w:pPr>
      <w:bookmarkStart w:id="457" w:name="_Toc18302"/>
      <w:r>
        <w:rPr>
          <w:rFonts w:ascii="Times New Roman" w:hAnsi="Times New Roman"/>
          <w:color w:val="auto"/>
        </w:rPr>
        <w:t>项目风险管控方案</w:t>
      </w:r>
      <w:bookmarkEnd w:id="457"/>
    </w:p>
    <w:p>
      <w:pPr>
        <w:pStyle w:val="3"/>
        <w:ind w:firstLine="562" w:firstLineChars="200"/>
      </w:pPr>
      <w:bookmarkStart w:id="458" w:name="_Toc139635557"/>
      <w:bookmarkStart w:id="459" w:name="_Toc24934"/>
      <w:r>
        <w:t>编制依据</w:t>
      </w:r>
      <w:bookmarkEnd w:id="458"/>
      <w:bookmarkEnd w:id="459"/>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1、国家发展改革委《关于印发国家发展改革委重大固定资产投资项目社会稳定风险评估暂行办法的通知》（发改投资〔2012〕2492号）；</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2、《重大固定资产投资项目社会稳定风险分析篇章编制大纲及说明(试行)》，国家发展和改革委，2013年2月；</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3、《广东省发展改革委关于印发重大项目社会稳定风险评估暂行办法的通知》，粤发改重点〔2012〕1095号，2012年12月；</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4、《广州市发展改革委关于印发&lt;关于加强城市建设重大项目决策风险管理的意见&gt;的通知》(穗发改〔2021〕98号)。</w:t>
      </w:r>
    </w:p>
    <w:p>
      <w:pPr>
        <w:pStyle w:val="3"/>
        <w:ind w:firstLine="562" w:firstLineChars="200"/>
      </w:pPr>
      <w:bookmarkStart w:id="460" w:name="_Toc139635558"/>
      <w:bookmarkStart w:id="461" w:name="_Toc29262"/>
      <w:r>
        <w:t>总体评估</w:t>
      </w:r>
      <w:bookmarkEnd w:id="460"/>
      <w:bookmarkEnd w:id="461"/>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本项目旨在落实高质量发展目标，加快片区的开发建设工作，完善区内部市政基础设施。经过现场踏勘及资料收集分析，本项目具备合法性、合理性、可控性，社会稳定风险低。</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根据《广州市发展改革委关于印发《关于加强城市建设重大项目决策风险管理的意见》的通知》（穗发改[2022]98号）的要求，由区人民政府或其有关部门审核后出具意见并对评估结论负责。后续项目推进过程中，区政府应跟踪了解项目实施情况，实施过程中出现社会不稳定因素的，要及时组织实施部门有针对性地做好宣传解释和说服工作，采取措施预防和化解社会矛盾；对群众合理诉求要妥善处理，对切实存在困难的群众要给予帮扶，对不明真相的群众要耐心解释，对无理取闹制造事端的不法分子要坚决依法处理；决策实施引发影响社会稳定重大问题的，要暂停实施，需要对决策进行调整的，要及时调整；做好接访工作，安排足够的接访力量进行分类、分批接访。</w:t>
      </w:r>
    </w:p>
    <w:p>
      <w:pPr>
        <w:pStyle w:val="3"/>
        <w:ind w:firstLine="562" w:firstLineChars="200"/>
      </w:pPr>
      <w:bookmarkStart w:id="462" w:name="_Toc139635559"/>
      <w:bookmarkStart w:id="463" w:name="_Toc4456"/>
      <w:r>
        <w:t>合法性</w:t>
      </w:r>
      <w:bookmarkEnd w:id="462"/>
      <w:bookmarkEnd w:id="463"/>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本项目按照政府主管部门的建设计划及区委区政府工作要求开展研究工作，充分考虑项目建设的必要性、迫切性和可行性，按照区政府投资工程建设项目建设方案联审决策实施细则执行，符合相关法律、法规、规章以及党和国家方针政策。</w:t>
      </w:r>
    </w:p>
    <w:p>
      <w:pPr>
        <w:ind w:firstLine="482" w:firstLineChars="200"/>
        <w:rPr>
          <w:rFonts w:ascii="Times New Roman" w:hAnsi="Times New Roman"/>
          <w:color w:val="auto"/>
          <w:sz w:val="24"/>
          <w:szCs w:val="20"/>
        </w:rPr>
      </w:pPr>
      <w:r>
        <w:rPr>
          <w:rFonts w:ascii="Times New Roman" w:hAnsi="Times New Roman"/>
          <w:color w:val="auto"/>
          <w:sz w:val="24"/>
          <w:szCs w:val="20"/>
        </w:rPr>
        <w:t>主要项目来源文件：</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（1）《关于印发南沙区落实《南沙全民文化体育综合体及配套设施建设第一批工作任务》的实施方案的通知要》（南沙区全民文化体育综合体建设专班办公室）。</w:t>
      </w:r>
    </w:p>
    <w:p>
      <w:pPr>
        <w:pStyle w:val="3"/>
        <w:ind w:firstLine="562" w:firstLineChars="200"/>
      </w:pPr>
      <w:bookmarkStart w:id="464" w:name="_Toc139635560"/>
      <w:bookmarkStart w:id="465" w:name="_Toc13721"/>
      <w:r>
        <w:t>合理性</w:t>
      </w:r>
      <w:bookmarkEnd w:id="464"/>
      <w:bookmarkEnd w:id="465"/>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本项目按照市政公用工程设计文件编制深度规定编制建设方案，</w:t>
      </w:r>
      <w:r>
        <w:rPr>
          <w:rFonts w:ascii="Times New Roman" w:hAnsi="Times New Roman"/>
          <w:color w:val="auto"/>
          <w:sz w:val="24"/>
          <w:szCs w:val="20"/>
        </w:rPr>
        <w:t>对项目的功能定位、建设目标、建设规模、工程方案、投资估算等多方面进行了论述和合理性分析</w:t>
      </w:r>
      <w:r>
        <w:rPr>
          <w:rFonts w:ascii="Times New Roman" w:hAnsi="Times New Roman"/>
          <w:b w:val="0"/>
          <w:color w:val="auto"/>
          <w:sz w:val="24"/>
          <w:szCs w:val="20"/>
        </w:rPr>
        <w:t>，下一步按照区政府投资工程建设项目建设方案联审决策实施细则开展专家评审会等合理性论证。</w:t>
      </w:r>
    </w:p>
    <w:p>
      <w:pPr>
        <w:pStyle w:val="3"/>
        <w:ind w:firstLine="562" w:firstLineChars="200"/>
      </w:pPr>
      <w:bookmarkStart w:id="466" w:name="_Toc139635561"/>
      <w:bookmarkStart w:id="467" w:name="_Toc8126"/>
      <w:r>
        <w:t>风险识别</w:t>
      </w:r>
      <w:bookmarkEnd w:id="466"/>
      <w:bookmarkEnd w:id="467"/>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根据调查结果，并结合国内以及广东省市政项目建设实际，本项目主要的社会稳定风险因素可以分为以下几个类别：</w:t>
      </w:r>
    </w:p>
    <w:p>
      <w:pPr>
        <w:pStyle w:val="4"/>
        <w:spacing w:line="300" w:lineRule="auto"/>
        <w:ind w:firstLine="482" w:firstLineChars="200"/>
      </w:pPr>
      <w:bookmarkStart w:id="468" w:name="_Toc2964"/>
      <w:r>
        <w:t>社会效益风险</w:t>
      </w:r>
      <w:bookmarkEnd w:id="468"/>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道路建设可以促进沿线城镇的经济发展和居民生活水平的提高，社会效益显著，但是也伴随着一定的风险。</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（1）风险内容</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项目带动沿线城镇经济发展的程度；新增就业率和居民收入是否能达到预期的水平。</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（2）风险分析</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项目建成后将大大改善区域路网结构，使货物流通更快，居民出行更方便，提高沿线居民生活水平和质量，风险较小。</w:t>
      </w:r>
    </w:p>
    <w:p>
      <w:pPr>
        <w:pStyle w:val="4"/>
        <w:spacing w:line="300" w:lineRule="auto"/>
        <w:ind w:firstLine="482" w:firstLineChars="200"/>
      </w:pPr>
      <w:bookmarkStart w:id="469" w:name="_Toc32241"/>
      <w:r>
        <w:t>生态环境风险</w:t>
      </w:r>
      <w:bookmarkEnd w:id="469"/>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本项目的建设和营运管理期间可能会对当地的生态环境造成一定程度的影响。</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（1）风险内容</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设计方案与沿线环境敏感点的关系；项目建设期间施工对当地生态环境造成的水、大气和噪声等污染；营运期间车辆行驶产生的噪声、大气污染以及施工期间易燃易爆危险有毒物品的泄露对沿线环境造成的污染；项目对沿线人文景观的破坏。</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（2）风险分析</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①本项目沿线无重要环境敏感点，路线方案研究时采取了绕避措施，对居民区生态环境有一定的影响。</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②在项目建设施工过程中，会出现产生大量粉尘、施工机械作业噪声、施工机械燃油或机油渗漏、施工物堆料场受降雨冲刷经地表径流造成水污染以及施工营地生活污水未经处理直排或生活垃圾随意抛弃引起污染的现象，污染沿线生态环境。</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③项目营运期间，车辆行驶产生的噪声和尾气排放对沿线的生态环境有一定影响，可能还伴有运输过程中易燃易爆危险有毒物品的泄露，流入沿线河流和大气中，这些都会对沿线的生态环境造成一定的破坏，甚至引起安全事故。</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④道路断面布置方案绕避了沿线主要的构筑物，建设期以及运营期间车辆产生的噪音和尾气对周边居民有一定影响。</w:t>
      </w:r>
    </w:p>
    <w:p>
      <w:pPr>
        <w:pStyle w:val="4"/>
        <w:spacing w:line="300" w:lineRule="auto"/>
        <w:ind w:firstLine="482" w:firstLineChars="200"/>
      </w:pPr>
      <w:bookmarkStart w:id="470" w:name="_Toc10026"/>
      <w:r>
        <w:t>社会安全风险</w:t>
      </w:r>
      <w:bookmarkEnd w:id="470"/>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本项目建设规模大、周期长、组织管理难度大、社会关注度高，存在较多不确定的安全风险因素。</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（1）风险内容</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项目建设及运营产生的噪声引发群众不满可能存在的风险；项目建设期间的施工安全事故；项目交通安全事故；项目拖欠农民工工资可能引发的矛盾等。</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（2）风险分析</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由于道路建设期以及运营期间车辆产生的噪音和尾气污染，沿线居民担心对自己的生活环境造成影响，以各种形式抵制道路建设，存在较大的风险。</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本项目能否按时建成一定程度上依赖于农民工的辛勤劳动，依据国家法律法规和合同规定，及时发放农民工工资，项目资金较困难时，应与农民工协商沟通，保障农民工的基本生活需求。</w:t>
      </w:r>
    </w:p>
    <w:p>
      <w:pPr>
        <w:pStyle w:val="4"/>
        <w:spacing w:line="300" w:lineRule="auto"/>
        <w:ind w:firstLine="482" w:firstLineChars="200"/>
      </w:pPr>
      <w:bookmarkStart w:id="471" w:name="_Toc1214"/>
      <w:r>
        <w:t>管理制度风险</w:t>
      </w:r>
      <w:bookmarkEnd w:id="471"/>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项目建设受政治、经济、法律法规和相关工程技术规范方面的制约，存在一定程度管理制度方面的风险。</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（1）风险内容</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项目建设信息是否公开透明及时，该项目的决策是否与现行政策、法律和法规相抵触；项目的合法性和合理性可能会遭受一定的质疑；工程建设是否能够解决当地的实际需求和产生的负面影响。</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（2）风险分析</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1.项目建设广泛邀请地方政府、发改委、交通主管部门、规划、文物、水务、环保、业内资深专家及社会民众等参与项目决策，可能个别部门或个人对项目有意见。此外本项目经过沿线区域社会发展和经济水平较高，沿线社会各界对本项目的建设非常关注，主要关注信息为本项目的对环境的破坏、何时竣工通车、对环境的影响等，可能有部分民众持反对意见，存在一定的风险。</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2.本项目建设投资规模大，施工工期长，项目前期需充分了解当地群众的意见，建立完善的工程建设管理制度。</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3.本项目勘察、设计、施工、监理及材料采购招标范围为全部招标，做到“公开、公平、公正”。</w:t>
      </w:r>
    </w:p>
    <w:p>
      <w:pPr>
        <w:pStyle w:val="4"/>
        <w:spacing w:line="300" w:lineRule="auto"/>
        <w:ind w:firstLine="482" w:firstLineChars="200"/>
      </w:pPr>
      <w:bookmarkStart w:id="472" w:name="_Toc4538"/>
      <w:r>
        <w:t>主要风险因素汇总</w:t>
      </w:r>
      <w:bookmarkEnd w:id="472"/>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通过以上四个方面的分析和论述，本项目的主要社会稳定风险因素可概括如下表所示。</w:t>
      </w:r>
    </w:p>
    <w:p>
      <w:pPr>
        <w:spacing w:before="229" w:line="219" w:lineRule="auto"/>
        <w:ind w:left="3375" w:firstLine="482" w:firstLineChars="200"/>
        <w:rPr>
          <w:rFonts w:ascii="Times New Roman" w:hAnsi="Times New Roman"/>
          <w:sz w:val="24"/>
          <w:szCs w:val="24"/>
        </w:rPr>
      </w:pPr>
      <w:r>
        <w:rPr>
          <w:rFonts w:ascii="Times New Roman" w:hAnsi="Times New Roman"/>
          <w:sz w:val="24"/>
          <w:szCs w:val="24"/>
          <w14:textOutline w14:w="3048" w14:cap="flat" w14:cmpd="sng" w14:algn="ctr">
            <w14:solidFill>
              <w14:srgbClr w14:val="000000"/>
            </w14:solidFill>
            <w14:prstDash w14:val="solid"/>
            <w14:miter w14:val="0"/>
          </w14:textOutline>
        </w:rPr>
        <w:t>本项目的主要社会稳定风险因素汇总表</w:t>
      </w:r>
    </w:p>
    <w:tbl>
      <w:tblPr>
        <w:tblStyle w:val="379"/>
        <w:tblW w:w="1034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777"/>
        <w:gridCol w:w="702"/>
        <w:gridCol w:w="4634"/>
        <w:gridCol w:w="322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jc w:val="center"/>
        </w:trPr>
        <w:tc>
          <w:tcPr>
            <w:tcW w:w="7113" w:type="dxa"/>
            <w:gridSpan w:val="3"/>
            <w:tcBorders>
              <w:top w:val="single" w:color="000000" w:sz="2" w:space="0"/>
              <w:left w:val="single" w:color="000000" w:sz="2" w:space="0"/>
            </w:tcBorders>
          </w:tcPr>
          <w:p>
            <w:pPr>
              <w:pStyle w:val="391"/>
              <w:autoSpaceDE w:val="0"/>
              <w:autoSpaceDN w:val="0"/>
              <w:spacing w:before="96" w:line="228" w:lineRule="auto"/>
              <w:ind w:left="3129"/>
              <w:rPr>
                <w:rFonts w:ascii="Times New Roman" w:hAnsi="Times New Roman" w:cs="Times New Roman" w:eastAsiaTheme="minorEastAsia"/>
                <w:b w:val="0"/>
                <w:bCs/>
                <w:color w:val="000000" w:themeColor="text1"/>
                <w:sz w:val="21"/>
                <w:szCs w:val="21"/>
                <w14:textFill>
                  <w14:solidFill>
                    <w14:schemeClr w14:val="tx1"/>
                  </w14:solidFill>
                </w14:textFill>
              </w:rPr>
            </w:pPr>
            <w:r>
              <w:rPr>
                <w:rFonts w:ascii="Times New Roman" w:hAnsi="Times New Roman" w:cs="Times New Roman" w:eastAsiaTheme="minorEastAsia"/>
                <w:b w:val="0"/>
                <w:bCs/>
                <w:color w:val="000000" w:themeColor="text1"/>
                <w:spacing w:val="7"/>
                <w:sz w:val="21"/>
                <w:szCs w:val="21"/>
                <w14:textFill>
                  <w14:solidFill>
                    <w14:schemeClr w14:val="tx1"/>
                  </w14:solidFill>
                </w14:textFill>
              </w:rPr>
              <w:t>风险因素</w:t>
            </w:r>
          </w:p>
        </w:tc>
        <w:tc>
          <w:tcPr>
            <w:tcW w:w="3228" w:type="dxa"/>
            <w:tcBorders>
              <w:top w:val="single" w:color="000000" w:sz="2" w:space="0"/>
              <w:right w:val="single" w:color="000000" w:sz="2" w:space="0"/>
            </w:tcBorders>
          </w:tcPr>
          <w:p>
            <w:pPr>
              <w:pStyle w:val="391"/>
              <w:autoSpaceDE w:val="0"/>
              <w:autoSpaceDN w:val="0"/>
              <w:spacing w:before="96" w:line="229" w:lineRule="auto"/>
              <w:ind w:left="1175"/>
              <w:rPr>
                <w:rFonts w:ascii="Times New Roman" w:hAnsi="Times New Roman" w:cs="Times New Roman" w:eastAsiaTheme="minorEastAsia"/>
                <w:b w:val="0"/>
                <w:bCs/>
                <w:color w:val="000000" w:themeColor="text1"/>
                <w:sz w:val="21"/>
                <w:szCs w:val="21"/>
                <w14:textFill>
                  <w14:solidFill>
                    <w14:schemeClr w14:val="tx1"/>
                  </w14:solidFill>
                </w14:textFill>
              </w:rPr>
            </w:pPr>
            <w:r>
              <w:rPr>
                <w:rFonts w:ascii="Times New Roman" w:hAnsi="Times New Roman" w:cs="Times New Roman" w:eastAsiaTheme="minorEastAsia"/>
                <w:b w:val="0"/>
                <w:bCs/>
                <w:color w:val="000000" w:themeColor="text1"/>
                <w:spacing w:val="7"/>
                <w:sz w:val="21"/>
                <w:szCs w:val="21"/>
                <w14:textFill>
                  <w14:solidFill>
                    <w14:schemeClr w14:val="tx1"/>
                  </w14:solidFill>
                </w14:textFill>
              </w:rPr>
              <w:t>发生阶段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2" w:hRule="atLeast"/>
          <w:jc w:val="center"/>
        </w:trPr>
        <w:tc>
          <w:tcPr>
            <w:tcW w:w="1777" w:type="dxa"/>
            <w:vMerge w:val="restart"/>
            <w:tcBorders>
              <w:left w:val="single" w:color="000000" w:sz="2" w:space="0"/>
              <w:bottom w:val="nil"/>
              <w:right w:val="nil"/>
            </w:tcBorders>
          </w:tcPr>
          <w:p>
            <w:pPr>
              <w:pStyle w:val="391"/>
              <w:autoSpaceDE w:val="0"/>
              <w:autoSpaceDN w:val="0"/>
              <w:spacing w:before="68" w:line="228" w:lineRule="auto"/>
              <w:ind w:right="21"/>
              <w:jc w:val="right"/>
              <w:rPr>
                <w:rFonts w:ascii="Times New Roman" w:hAnsi="Times New Roman" w:cs="Times New Roman" w:eastAsiaTheme="minorEastAsia"/>
                <w:b w:val="0"/>
                <w:bCs/>
                <w:color w:val="000000" w:themeColor="text1"/>
                <w:sz w:val="21"/>
                <w:szCs w:val="21"/>
                <w14:textFill>
                  <w14:solidFill>
                    <w14:schemeClr w14:val="tx1"/>
                  </w14:solidFill>
                </w14:textFill>
              </w:rPr>
            </w:pPr>
            <w:r>
              <w:rPr>
                <w:rFonts w:ascii="Times New Roman" w:hAnsi="Times New Roman" w:cs="Times New Roman" w:eastAsiaTheme="minorEastAsia"/>
                <w:b w:val="0"/>
                <w:bCs/>
                <w:color w:val="000000" w:themeColor="text1"/>
                <w:spacing w:val="8"/>
                <w:sz w:val="21"/>
                <w:szCs w:val="21"/>
                <w14:textFill>
                  <w14:solidFill>
                    <w14:schemeClr w14:val="tx1"/>
                  </w14:solidFill>
                </w14:textFill>
              </w:rPr>
              <w:t>社会效益风险</w:t>
            </w:r>
          </w:p>
        </w:tc>
        <w:tc>
          <w:tcPr>
            <w:tcW w:w="702" w:type="dxa"/>
            <w:vMerge w:val="restart"/>
            <w:tcBorders>
              <w:left w:val="nil"/>
              <w:bottom w:val="nil"/>
            </w:tcBorders>
          </w:tcPr>
          <w:p>
            <w:pPr>
              <w:autoSpaceDE w:val="0"/>
              <w:autoSpaceDN w:val="0"/>
              <w:spacing w:before="75" w:line="198" w:lineRule="auto"/>
              <w:ind w:left="18"/>
              <w:rPr>
                <w:rFonts w:ascii="Times New Roman" w:hAnsi="Times New Roman" w:eastAsia="Times New Roman" w:cstheme="minorBidi"/>
                <w:b w:val="0"/>
                <w:bCs/>
                <w:color w:val="000000" w:themeColor="text1"/>
                <w:sz w:val="15"/>
                <w:szCs w:val="15"/>
                <w:lang w:eastAsia="en-US"/>
                <w14:textFill>
                  <w14:solidFill>
                    <w14:schemeClr w14:val="tx1"/>
                  </w14:solidFill>
                </w14:textFill>
              </w:rPr>
            </w:pPr>
            <w:r>
              <w:rPr>
                <w:rFonts w:ascii="Times New Roman" w:hAnsi="Times New Roman" w:eastAsia="Times New Roman" w:cstheme="minorBidi"/>
                <w:b w:val="0"/>
                <w:bCs/>
                <w:i/>
                <w:iCs/>
                <w:color w:val="000000" w:themeColor="text1"/>
                <w:spacing w:val="4"/>
                <w:position w:val="1"/>
                <w:sz w:val="26"/>
                <w:szCs w:val="26"/>
                <w:lang w:eastAsia="en-US"/>
                <w14:textFill>
                  <w14:solidFill>
                    <w14:schemeClr w14:val="tx1"/>
                  </w14:solidFill>
                </w14:textFill>
              </w:rPr>
              <w:t>B</w:t>
            </w:r>
            <w:r>
              <w:rPr>
                <w:rFonts w:ascii="Times New Roman" w:hAnsi="Times New Roman" w:eastAsia="Times New Roman" w:cstheme="minorBidi"/>
                <w:b w:val="0"/>
                <w:bCs/>
                <w:color w:val="000000" w:themeColor="text1"/>
                <w:spacing w:val="4"/>
                <w:position w:val="-4"/>
                <w:sz w:val="15"/>
                <w:szCs w:val="15"/>
                <w:lang w:eastAsia="en-US"/>
                <w14:textFill>
                  <w14:solidFill>
                    <w14:schemeClr w14:val="tx1"/>
                  </w14:solidFill>
                </w14:textFill>
              </w:rPr>
              <w:t>1</w:t>
            </w:r>
          </w:p>
        </w:tc>
        <w:tc>
          <w:tcPr>
            <w:tcW w:w="4634" w:type="dxa"/>
          </w:tcPr>
          <w:p>
            <w:pPr>
              <w:pStyle w:val="391"/>
              <w:autoSpaceDE w:val="0"/>
              <w:autoSpaceDN w:val="0"/>
              <w:spacing w:before="94" w:line="222" w:lineRule="auto"/>
              <w:ind w:left="1039"/>
              <w:rPr>
                <w:rFonts w:ascii="Times New Roman" w:hAnsi="Times New Roman" w:eastAsia="Times New Roman" w:cs="Times New Roman"/>
                <w:b w:val="0"/>
                <w:bCs/>
                <w:color w:val="000000" w:themeColor="text1"/>
                <w:sz w:val="10"/>
                <w:szCs w:val="10"/>
                <w:lang w:eastAsia="zh-CN"/>
                <w14:textFill>
                  <w14:solidFill>
                    <w14:schemeClr w14:val="tx1"/>
                  </w14:solidFill>
                </w14:textFill>
              </w:rPr>
            </w:pPr>
            <w:r>
              <w:rPr>
                <w:rFonts w:ascii="Times New Roman" w:hAnsi="Times New Roman" w:cs="Times New Roman" w:eastAsiaTheme="minorEastAsia"/>
                <w:b w:val="0"/>
                <w:bCs/>
                <w:color w:val="000000" w:themeColor="text1"/>
                <w:spacing w:val="9"/>
                <w:sz w:val="21"/>
                <w:szCs w:val="21"/>
                <w:lang w:eastAsia="zh-CN"/>
                <w14:textFill>
                  <w14:solidFill>
                    <w14:schemeClr w14:val="tx1"/>
                  </w14:solidFill>
                </w14:textFill>
              </w:rPr>
              <w:t>带动沿线经济发展风险</w:t>
            </w:r>
            <w:r>
              <w:rPr>
                <w:rFonts w:ascii="Times New Roman" w:hAnsi="Times New Roman" w:eastAsia="Times New Roman" w:cs="Times New Roman"/>
                <w:b w:val="0"/>
                <w:bCs/>
                <w:i/>
                <w:iCs/>
                <w:color w:val="000000" w:themeColor="text1"/>
                <w:spacing w:val="9"/>
                <w:position w:val="6"/>
                <w:sz w:val="17"/>
                <w:szCs w:val="17"/>
                <w:lang w:eastAsia="zh-CN"/>
                <w14:textFill>
                  <w14:solidFill>
                    <w14:schemeClr w14:val="tx1"/>
                  </w14:solidFill>
                </w14:textFill>
              </w:rPr>
              <w:t xml:space="preserve">C </w:t>
            </w:r>
            <w:r>
              <w:rPr>
                <w:rFonts w:ascii="Times New Roman" w:hAnsi="Times New Roman" w:eastAsia="Times New Roman" w:cs="Times New Roman"/>
                <w:b w:val="0"/>
                <w:bCs/>
                <w:color w:val="000000" w:themeColor="text1"/>
                <w:spacing w:val="9"/>
                <w:position w:val="2"/>
                <w:sz w:val="10"/>
                <w:szCs w:val="10"/>
                <w:lang w:eastAsia="zh-CN"/>
                <w14:textFill>
                  <w14:solidFill>
                    <w14:schemeClr w14:val="tx1"/>
                  </w14:solidFill>
                </w14:textFill>
              </w:rPr>
              <w:t>11</w:t>
            </w:r>
          </w:p>
        </w:tc>
        <w:tc>
          <w:tcPr>
            <w:tcW w:w="3228" w:type="dxa"/>
            <w:tcBorders>
              <w:right w:val="single" w:color="000000" w:sz="2" w:space="0"/>
            </w:tcBorders>
          </w:tcPr>
          <w:p>
            <w:pPr>
              <w:pStyle w:val="391"/>
              <w:autoSpaceDE w:val="0"/>
              <w:autoSpaceDN w:val="0"/>
              <w:spacing w:before="83" w:line="228" w:lineRule="auto"/>
              <w:ind w:left="848"/>
              <w:rPr>
                <w:rFonts w:ascii="Times New Roman" w:hAnsi="Times New Roman" w:cs="Times New Roman" w:eastAsiaTheme="minorEastAsia"/>
                <w:b w:val="0"/>
                <w:bCs/>
                <w:color w:val="000000" w:themeColor="text1"/>
                <w:sz w:val="21"/>
                <w:szCs w:val="21"/>
                <w14:textFill>
                  <w14:solidFill>
                    <w14:schemeClr w14:val="tx1"/>
                  </w14:solidFill>
                </w14:textFill>
              </w:rPr>
            </w:pPr>
            <w:r>
              <w:rPr>
                <w:rFonts w:ascii="Times New Roman" w:hAnsi="Times New Roman" w:cs="Times New Roman" w:eastAsiaTheme="minorEastAsia"/>
                <w:b w:val="0"/>
                <w:bCs/>
                <w:color w:val="000000" w:themeColor="text1"/>
                <w:spacing w:val="8"/>
                <w:sz w:val="21"/>
                <w:szCs w:val="21"/>
                <w14:textFill>
                  <w14:solidFill>
                    <w14:schemeClr w14:val="tx1"/>
                  </w14:solidFill>
                </w14:textFill>
              </w:rPr>
              <w:t>决策、准备阶段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2" w:hRule="atLeast"/>
          <w:jc w:val="center"/>
        </w:trPr>
        <w:tc>
          <w:tcPr>
            <w:tcW w:w="1777" w:type="dxa"/>
            <w:vMerge w:val="continue"/>
            <w:tcBorders>
              <w:top w:val="nil"/>
              <w:left w:val="single" w:color="000000" w:sz="2" w:space="0"/>
              <w:bottom w:val="nil"/>
              <w:right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702" w:type="dxa"/>
            <w:vMerge w:val="continue"/>
            <w:tcBorders>
              <w:top w:val="nil"/>
              <w:left w:val="nil"/>
              <w:bottom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4634" w:type="dxa"/>
          </w:tcPr>
          <w:p>
            <w:pPr>
              <w:pStyle w:val="391"/>
              <w:autoSpaceDE w:val="0"/>
              <w:autoSpaceDN w:val="0"/>
              <w:spacing w:before="99" w:line="223" w:lineRule="auto"/>
              <w:ind w:left="1246"/>
              <w:rPr>
                <w:rFonts w:ascii="Times New Roman" w:hAnsi="Times New Roman" w:eastAsia="Times New Roman" w:cs="Times New Roman"/>
                <w:b w:val="0"/>
                <w:bCs/>
                <w:color w:val="000000" w:themeColor="text1"/>
                <w:sz w:val="10"/>
                <w:szCs w:val="10"/>
                <w14:textFill>
                  <w14:solidFill>
                    <w14:schemeClr w14:val="tx1"/>
                  </w14:solidFill>
                </w14:textFill>
              </w:rPr>
            </w:pPr>
            <w:r>
              <w:rPr>
                <w:rFonts w:ascii="Times New Roman" w:hAnsi="Times New Roman" w:cs="Times New Roman" w:eastAsiaTheme="minorEastAsia"/>
                <w:b w:val="0"/>
                <w:bCs/>
                <w:color w:val="000000" w:themeColor="text1"/>
                <w:spacing w:val="9"/>
                <w:sz w:val="21"/>
                <w:szCs w:val="21"/>
                <w14:textFill>
                  <w14:solidFill>
                    <w14:schemeClr w14:val="tx1"/>
                  </w14:solidFill>
                </w14:textFill>
              </w:rPr>
              <w:t>项目新增就业风险</w:t>
            </w:r>
            <w:r>
              <w:rPr>
                <w:rFonts w:ascii="Times New Roman" w:hAnsi="Times New Roman" w:eastAsia="Times New Roman" w:cs="Times New Roman"/>
                <w:b w:val="0"/>
                <w:bCs/>
                <w:i/>
                <w:iCs/>
                <w:color w:val="000000" w:themeColor="text1"/>
                <w:spacing w:val="9"/>
                <w:position w:val="6"/>
                <w:sz w:val="17"/>
                <w:szCs w:val="17"/>
                <w14:textFill>
                  <w14:solidFill>
                    <w14:schemeClr w14:val="tx1"/>
                  </w14:solidFill>
                </w14:textFill>
              </w:rPr>
              <w:t xml:space="preserve">C </w:t>
            </w:r>
            <w:r>
              <w:rPr>
                <w:rFonts w:ascii="Times New Roman" w:hAnsi="Times New Roman" w:eastAsia="Times New Roman" w:cs="Times New Roman"/>
                <w:b w:val="0"/>
                <w:bCs/>
                <w:color w:val="000000" w:themeColor="text1"/>
                <w:spacing w:val="9"/>
                <w:position w:val="2"/>
                <w:sz w:val="10"/>
                <w:szCs w:val="10"/>
                <w14:textFill>
                  <w14:solidFill>
                    <w14:schemeClr w14:val="tx1"/>
                  </w14:solidFill>
                </w14:textFill>
              </w:rPr>
              <w:t>12</w:t>
            </w:r>
          </w:p>
        </w:tc>
        <w:tc>
          <w:tcPr>
            <w:tcW w:w="3228" w:type="dxa"/>
            <w:tcBorders>
              <w:right w:val="single" w:color="000000" w:sz="2" w:space="0"/>
            </w:tcBorders>
          </w:tcPr>
          <w:p>
            <w:pPr>
              <w:pStyle w:val="391"/>
              <w:autoSpaceDE w:val="0"/>
              <w:autoSpaceDN w:val="0"/>
              <w:spacing w:before="87" w:line="228" w:lineRule="auto"/>
              <w:ind w:left="848"/>
              <w:rPr>
                <w:rFonts w:ascii="Times New Roman" w:hAnsi="Times New Roman" w:cs="Times New Roman" w:eastAsiaTheme="minorEastAsia"/>
                <w:b w:val="0"/>
                <w:bCs/>
                <w:color w:val="000000" w:themeColor="text1"/>
                <w:sz w:val="21"/>
                <w:szCs w:val="21"/>
                <w14:textFill>
                  <w14:solidFill>
                    <w14:schemeClr w14:val="tx1"/>
                  </w14:solidFill>
                </w14:textFill>
              </w:rPr>
            </w:pPr>
            <w:r>
              <w:rPr>
                <w:rFonts w:ascii="Times New Roman" w:hAnsi="Times New Roman" w:cs="Times New Roman" w:eastAsiaTheme="minorEastAsia"/>
                <w:b w:val="0"/>
                <w:bCs/>
                <w:color w:val="000000" w:themeColor="text1"/>
                <w:spacing w:val="8"/>
                <w:sz w:val="21"/>
                <w:szCs w:val="21"/>
                <w14:textFill>
                  <w14:solidFill>
                    <w14:schemeClr w14:val="tx1"/>
                  </w14:solidFill>
                </w14:textFill>
              </w:rPr>
              <w:t>决策、准备阶段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2" w:hRule="atLeast"/>
          <w:jc w:val="center"/>
        </w:trPr>
        <w:tc>
          <w:tcPr>
            <w:tcW w:w="1777" w:type="dxa"/>
            <w:vMerge w:val="continue"/>
            <w:tcBorders>
              <w:top w:val="nil"/>
              <w:left w:val="single" w:color="000000" w:sz="2" w:space="0"/>
              <w:right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702" w:type="dxa"/>
            <w:vMerge w:val="continue"/>
            <w:tcBorders>
              <w:top w:val="nil"/>
              <w:left w:val="nil"/>
            </w:tcBorders>
          </w:tcPr>
          <w:p>
            <w:pPr>
              <w:autoSpaceDE w:val="0"/>
              <w:autoSpaceDN w:val="0"/>
              <w:rPr>
                <w:rFonts w:ascii="Times New Roman" w:hAnsi="Times New Roman" w:eastAsiaTheme="minorEastAsia" w:cstheme="minorBidi"/>
                <w:b w:val="0"/>
                <w:bCs/>
                <w:color w:val="000000" w:themeColor="text1"/>
                <w:sz w:val="21"/>
                <w:lang w:eastAsia="en-US"/>
                <w14:textFill>
                  <w14:solidFill>
                    <w14:schemeClr w14:val="tx1"/>
                  </w14:solidFill>
                </w14:textFill>
              </w:rPr>
            </w:pPr>
          </w:p>
        </w:tc>
        <w:tc>
          <w:tcPr>
            <w:tcW w:w="4634" w:type="dxa"/>
          </w:tcPr>
          <w:p>
            <w:pPr>
              <w:pStyle w:val="391"/>
              <w:autoSpaceDE w:val="0"/>
              <w:autoSpaceDN w:val="0"/>
              <w:spacing w:before="92" w:line="228" w:lineRule="auto"/>
              <w:ind w:left="1024"/>
              <w:rPr>
                <w:rFonts w:ascii="Times New Roman" w:hAnsi="Times New Roman" w:eastAsia="Times New Roman" w:cs="Times New Roman"/>
                <w:b w:val="0"/>
                <w:bCs/>
                <w:color w:val="000000" w:themeColor="text1"/>
                <w:sz w:val="8"/>
                <w:szCs w:val="8"/>
                <w:lang w:eastAsia="zh-CN"/>
                <w14:textFill>
                  <w14:solidFill>
                    <w14:schemeClr w14:val="tx1"/>
                  </w14:solidFill>
                </w14:textFill>
              </w:rPr>
            </w:pPr>
            <w:r>
              <w:rPr>
                <w:rFonts w:ascii="Times New Roman" w:hAnsi="Times New Roman" w:cs="Times New Roman" w:eastAsiaTheme="minorEastAsia"/>
                <w:b w:val="0"/>
                <w:bCs/>
                <w:color w:val="000000" w:themeColor="text1"/>
                <w:spacing w:val="9"/>
                <w:sz w:val="21"/>
                <w:szCs w:val="21"/>
                <w:lang w:eastAsia="zh-CN"/>
                <w14:textFill>
                  <w14:solidFill>
                    <w14:schemeClr w14:val="tx1"/>
                  </w14:solidFill>
                </w14:textFill>
              </w:rPr>
              <w:t>提高居民收入水平风险</w:t>
            </w:r>
            <w:r>
              <w:rPr>
                <w:rFonts w:ascii="Times New Roman" w:hAnsi="Times New Roman" w:eastAsia="Times New Roman" w:cs="Times New Roman"/>
                <w:b w:val="0"/>
                <w:bCs/>
                <w:i/>
                <w:iCs/>
                <w:color w:val="000000" w:themeColor="text1"/>
                <w:spacing w:val="9"/>
                <w:position w:val="5"/>
                <w:sz w:val="14"/>
                <w:szCs w:val="14"/>
                <w:lang w:eastAsia="zh-CN"/>
                <w14:textFill>
                  <w14:solidFill>
                    <w14:schemeClr w14:val="tx1"/>
                  </w14:solidFill>
                </w14:textFill>
              </w:rPr>
              <w:t>C</w:t>
            </w:r>
            <w:r>
              <w:rPr>
                <w:rFonts w:ascii="Times New Roman" w:hAnsi="Times New Roman" w:eastAsia="Times New Roman" w:cs="Times New Roman"/>
                <w:b w:val="0"/>
                <w:bCs/>
                <w:i/>
                <w:iCs/>
                <w:color w:val="000000" w:themeColor="text1"/>
                <w:spacing w:val="5"/>
                <w:position w:val="5"/>
                <w:sz w:val="14"/>
                <w:szCs w:val="14"/>
                <w:lang w:eastAsia="zh-CN"/>
                <w14:textFill>
                  <w14:solidFill>
                    <w14:schemeClr w14:val="tx1"/>
                  </w14:solidFill>
                </w14:textFill>
              </w:rPr>
              <w:t xml:space="preserve"> </w:t>
            </w:r>
            <w:r>
              <w:rPr>
                <w:rFonts w:ascii="Times New Roman" w:hAnsi="Times New Roman" w:eastAsia="Times New Roman" w:cs="Times New Roman"/>
                <w:b w:val="0"/>
                <w:bCs/>
                <w:color w:val="000000" w:themeColor="text1"/>
                <w:spacing w:val="9"/>
                <w:position w:val="2"/>
                <w:sz w:val="8"/>
                <w:szCs w:val="8"/>
                <w:lang w:eastAsia="zh-CN"/>
                <w14:textFill>
                  <w14:solidFill>
                    <w14:schemeClr w14:val="tx1"/>
                  </w14:solidFill>
                </w14:textFill>
              </w:rPr>
              <w:t>14</w:t>
            </w:r>
          </w:p>
        </w:tc>
        <w:tc>
          <w:tcPr>
            <w:tcW w:w="3228" w:type="dxa"/>
            <w:tcBorders>
              <w:right w:val="single" w:color="000000" w:sz="2" w:space="0"/>
            </w:tcBorders>
          </w:tcPr>
          <w:p>
            <w:pPr>
              <w:pStyle w:val="391"/>
              <w:autoSpaceDE w:val="0"/>
              <w:autoSpaceDN w:val="0"/>
              <w:spacing w:before="92" w:line="229" w:lineRule="auto"/>
              <w:ind w:left="1171"/>
              <w:rPr>
                <w:rFonts w:ascii="Times New Roman" w:hAnsi="Times New Roman" w:cs="Times New Roman" w:eastAsiaTheme="minorEastAsia"/>
                <w:b w:val="0"/>
                <w:bCs/>
                <w:color w:val="000000" w:themeColor="text1"/>
                <w:sz w:val="21"/>
                <w:szCs w:val="21"/>
                <w14:textFill>
                  <w14:solidFill>
                    <w14:schemeClr w14:val="tx1"/>
                  </w14:solidFill>
                </w14:textFill>
              </w:rPr>
            </w:pPr>
            <w:r>
              <w:rPr>
                <w:rFonts w:ascii="Times New Roman" w:hAnsi="Times New Roman" w:cs="Times New Roman" w:eastAsiaTheme="minorEastAsia"/>
                <w:b w:val="0"/>
                <w:bCs/>
                <w:color w:val="000000" w:themeColor="text1"/>
                <w:spacing w:val="8"/>
                <w:sz w:val="21"/>
                <w:szCs w:val="21"/>
                <w14:textFill>
                  <w14:solidFill>
                    <w14:schemeClr w14:val="tx1"/>
                  </w14:solidFill>
                </w14:textFill>
              </w:rPr>
              <w:t>运营阶段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jc w:val="center"/>
        </w:trPr>
        <w:tc>
          <w:tcPr>
            <w:tcW w:w="1777" w:type="dxa"/>
            <w:vMerge w:val="restart"/>
            <w:tcBorders>
              <w:left w:val="single" w:color="000000" w:sz="2" w:space="0"/>
              <w:right w:val="nil"/>
            </w:tcBorders>
            <w:vAlign w:val="center"/>
          </w:tcPr>
          <w:p>
            <w:pPr>
              <w:pStyle w:val="391"/>
              <w:autoSpaceDE w:val="0"/>
              <w:autoSpaceDN w:val="0"/>
              <w:spacing w:before="203" w:line="166" w:lineRule="auto"/>
              <w:ind w:right="21"/>
              <w:jc w:val="right"/>
              <w:rPr>
                <w:rFonts w:ascii="Times New Roman" w:hAnsi="Times New Roman" w:cs="Times New Roman" w:eastAsiaTheme="minorEastAsia"/>
                <w:b w:val="0"/>
                <w:bCs/>
                <w:color w:val="000000" w:themeColor="text1"/>
                <w:sz w:val="21"/>
                <w:szCs w:val="21"/>
                <w14:textFill>
                  <w14:solidFill>
                    <w14:schemeClr w14:val="tx1"/>
                  </w14:solidFill>
                </w14:textFill>
              </w:rPr>
            </w:pPr>
            <w:r>
              <w:rPr>
                <w:rFonts w:ascii="Times New Roman" w:hAnsi="Times New Roman" w:cs="Times New Roman" w:eastAsiaTheme="minorEastAsia"/>
                <w:b w:val="0"/>
                <w:bCs/>
                <w:color w:val="000000" w:themeColor="text1"/>
                <w:spacing w:val="8"/>
                <w:sz w:val="21"/>
                <w:szCs w:val="21"/>
                <w14:textFill>
                  <w14:solidFill>
                    <w14:schemeClr w14:val="tx1"/>
                  </w14:solidFill>
                </w14:textFill>
              </w:rPr>
              <w:t>生态环境风险</w:t>
            </w:r>
          </w:p>
        </w:tc>
        <w:tc>
          <w:tcPr>
            <w:tcW w:w="702" w:type="dxa"/>
            <w:vMerge w:val="restart"/>
            <w:tcBorders>
              <w:left w:val="nil"/>
            </w:tcBorders>
            <w:vAlign w:val="center"/>
          </w:tcPr>
          <w:p>
            <w:pPr>
              <w:autoSpaceDE w:val="0"/>
              <w:autoSpaceDN w:val="0"/>
              <w:spacing w:before="107" w:line="198" w:lineRule="auto"/>
              <w:ind w:left="14"/>
              <w:rPr>
                <w:rFonts w:ascii="Times New Roman" w:hAnsi="Times New Roman" w:eastAsia="Times New Roman" w:cstheme="minorBidi"/>
                <w:b w:val="0"/>
                <w:bCs/>
                <w:color w:val="000000" w:themeColor="text1"/>
                <w:sz w:val="15"/>
                <w:szCs w:val="15"/>
                <w:lang w:eastAsia="en-US"/>
                <w14:textFill>
                  <w14:solidFill>
                    <w14:schemeClr w14:val="tx1"/>
                  </w14:solidFill>
                </w14:textFill>
              </w:rPr>
            </w:pPr>
            <w:r>
              <w:rPr>
                <w:rFonts w:ascii="Times New Roman" w:hAnsi="Times New Roman" w:eastAsia="Times New Roman" w:cstheme="minorBidi"/>
                <w:b w:val="0"/>
                <w:bCs/>
                <w:i/>
                <w:iCs/>
                <w:color w:val="000000" w:themeColor="text1"/>
                <w:spacing w:val="4"/>
                <w:position w:val="1"/>
                <w:sz w:val="26"/>
                <w:szCs w:val="26"/>
                <w:lang w:eastAsia="en-US"/>
                <w14:textFill>
                  <w14:solidFill>
                    <w14:schemeClr w14:val="tx1"/>
                  </w14:solidFill>
                </w14:textFill>
              </w:rPr>
              <w:t>B</w:t>
            </w:r>
            <w:r>
              <w:rPr>
                <w:rFonts w:ascii="Times New Roman" w:hAnsi="Times New Roman" w:eastAsia="Times New Roman" w:cstheme="minorBidi"/>
                <w:b w:val="0"/>
                <w:bCs/>
                <w:color w:val="000000" w:themeColor="text1"/>
                <w:spacing w:val="4"/>
                <w:position w:val="-4"/>
                <w:sz w:val="15"/>
                <w:szCs w:val="15"/>
                <w:lang w:eastAsia="en-US"/>
                <w14:textFill>
                  <w14:solidFill>
                    <w14:schemeClr w14:val="tx1"/>
                  </w14:solidFill>
                </w14:textFill>
              </w:rPr>
              <w:t>2</w:t>
            </w:r>
          </w:p>
        </w:tc>
        <w:tc>
          <w:tcPr>
            <w:tcW w:w="4634" w:type="dxa"/>
          </w:tcPr>
          <w:p>
            <w:pPr>
              <w:pStyle w:val="391"/>
              <w:autoSpaceDE w:val="0"/>
              <w:autoSpaceDN w:val="0"/>
              <w:spacing w:before="109" w:line="222" w:lineRule="auto"/>
              <w:ind w:left="1171"/>
              <w:rPr>
                <w:rFonts w:ascii="Times New Roman" w:hAnsi="Times New Roman" w:eastAsia="Times New Roman" w:cs="Times New Roman"/>
                <w:b w:val="0"/>
                <w:bCs/>
                <w:color w:val="000000" w:themeColor="text1"/>
                <w:sz w:val="10"/>
                <w:szCs w:val="10"/>
                <w:lang w:eastAsia="zh-CN"/>
                <w14:textFill>
                  <w14:solidFill>
                    <w14:schemeClr w14:val="tx1"/>
                  </w14:solidFill>
                </w14:textFill>
              </w:rPr>
            </w:pPr>
            <w:r>
              <w:rPr>
                <w:rFonts w:ascii="Times New Roman" w:hAnsi="Times New Roman" w:cs="Times New Roman" w:eastAsiaTheme="minorEastAsia"/>
                <w:b w:val="0"/>
                <w:bCs/>
                <w:color w:val="000000" w:themeColor="text1"/>
                <w:spacing w:val="9"/>
                <w:sz w:val="21"/>
                <w:szCs w:val="21"/>
                <w:lang w:eastAsia="zh-CN"/>
                <w14:textFill>
                  <w14:solidFill>
                    <w14:schemeClr w14:val="tx1"/>
                  </w14:solidFill>
                </w14:textFill>
              </w:rPr>
              <w:t>环境敏感点影响风险</w:t>
            </w:r>
            <w:r>
              <w:rPr>
                <w:rFonts w:ascii="Times New Roman" w:hAnsi="Times New Roman" w:eastAsia="Times New Roman" w:cs="Times New Roman"/>
                <w:b w:val="0"/>
                <w:bCs/>
                <w:i/>
                <w:iCs/>
                <w:color w:val="000000" w:themeColor="text1"/>
                <w:spacing w:val="9"/>
                <w:position w:val="6"/>
                <w:sz w:val="17"/>
                <w:szCs w:val="17"/>
                <w:lang w:eastAsia="zh-CN"/>
                <w14:textFill>
                  <w14:solidFill>
                    <w14:schemeClr w14:val="tx1"/>
                  </w14:solidFill>
                </w14:textFill>
              </w:rPr>
              <w:t>C</w:t>
            </w:r>
            <w:r>
              <w:rPr>
                <w:rFonts w:ascii="Times New Roman" w:hAnsi="Times New Roman" w:eastAsia="Times New Roman" w:cs="Times New Roman"/>
                <w:b w:val="0"/>
                <w:bCs/>
                <w:i/>
                <w:iCs/>
                <w:color w:val="000000" w:themeColor="text1"/>
                <w:spacing w:val="-12"/>
                <w:position w:val="6"/>
                <w:sz w:val="17"/>
                <w:szCs w:val="17"/>
                <w:lang w:eastAsia="zh-CN"/>
                <w14:textFill>
                  <w14:solidFill>
                    <w14:schemeClr w14:val="tx1"/>
                  </w14:solidFill>
                </w14:textFill>
              </w:rPr>
              <w:t xml:space="preserve"> </w:t>
            </w:r>
            <w:r>
              <w:rPr>
                <w:rFonts w:ascii="Times New Roman" w:hAnsi="Times New Roman" w:eastAsia="Times New Roman" w:cs="Times New Roman"/>
                <w:b w:val="0"/>
                <w:bCs/>
                <w:color w:val="000000" w:themeColor="text1"/>
                <w:spacing w:val="9"/>
                <w:position w:val="2"/>
                <w:sz w:val="10"/>
                <w:szCs w:val="10"/>
                <w:lang w:eastAsia="zh-CN"/>
                <w14:textFill>
                  <w14:solidFill>
                    <w14:schemeClr w14:val="tx1"/>
                  </w14:solidFill>
                </w14:textFill>
              </w:rPr>
              <w:t>21</w:t>
            </w:r>
          </w:p>
        </w:tc>
        <w:tc>
          <w:tcPr>
            <w:tcW w:w="3228" w:type="dxa"/>
            <w:tcBorders>
              <w:right w:val="single" w:color="000000" w:sz="2" w:space="0"/>
            </w:tcBorders>
          </w:tcPr>
          <w:p>
            <w:pPr>
              <w:pStyle w:val="391"/>
              <w:autoSpaceDE w:val="0"/>
              <w:autoSpaceDN w:val="0"/>
              <w:spacing w:before="98" w:line="228" w:lineRule="auto"/>
              <w:ind w:left="848"/>
              <w:rPr>
                <w:rFonts w:ascii="Times New Roman" w:hAnsi="Times New Roman" w:cs="Times New Roman" w:eastAsiaTheme="minorEastAsia"/>
                <w:b w:val="0"/>
                <w:bCs/>
                <w:color w:val="000000" w:themeColor="text1"/>
                <w:sz w:val="21"/>
                <w:szCs w:val="21"/>
                <w14:textFill>
                  <w14:solidFill>
                    <w14:schemeClr w14:val="tx1"/>
                  </w14:solidFill>
                </w14:textFill>
              </w:rPr>
            </w:pPr>
            <w:r>
              <w:rPr>
                <w:rFonts w:ascii="Times New Roman" w:hAnsi="Times New Roman" w:cs="Times New Roman" w:eastAsiaTheme="minorEastAsia"/>
                <w:b w:val="0"/>
                <w:bCs/>
                <w:color w:val="000000" w:themeColor="text1"/>
                <w:spacing w:val="8"/>
                <w:sz w:val="21"/>
                <w:szCs w:val="21"/>
                <w14:textFill>
                  <w14:solidFill>
                    <w14:schemeClr w14:val="tx1"/>
                  </w14:solidFill>
                </w14:textFill>
              </w:rPr>
              <w:t>决策、准备阶段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jc w:val="center"/>
        </w:trPr>
        <w:tc>
          <w:tcPr>
            <w:tcW w:w="1777" w:type="dxa"/>
            <w:vMerge w:val="continue"/>
            <w:tcBorders>
              <w:left w:val="single" w:color="000000" w:sz="2" w:space="0"/>
              <w:right w:val="nil"/>
            </w:tcBorders>
          </w:tcPr>
          <w:p>
            <w:pPr>
              <w:pStyle w:val="391"/>
              <w:autoSpaceDE w:val="0"/>
              <w:autoSpaceDN w:val="0"/>
              <w:spacing w:before="203" w:line="166" w:lineRule="auto"/>
              <w:ind w:right="21"/>
              <w:jc w:val="right"/>
              <w:rPr>
                <w:rFonts w:ascii="Times New Roman" w:hAnsi="Times New Roman" w:cs="Times New Roman" w:eastAsiaTheme="minorEastAsia"/>
                <w:b w:val="0"/>
                <w:bCs/>
                <w:color w:val="000000" w:themeColor="text1"/>
                <w:spacing w:val="8"/>
                <w:sz w:val="21"/>
                <w:szCs w:val="21"/>
                <w14:textFill>
                  <w14:solidFill>
                    <w14:schemeClr w14:val="tx1"/>
                  </w14:solidFill>
                </w14:textFill>
              </w:rPr>
            </w:pPr>
          </w:p>
        </w:tc>
        <w:tc>
          <w:tcPr>
            <w:tcW w:w="702" w:type="dxa"/>
            <w:vMerge w:val="continue"/>
            <w:tcBorders>
              <w:left w:val="nil"/>
            </w:tcBorders>
          </w:tcPr>
          <w:p>
            <w:pPr>
              <w:autoSpaceDE w:val="0"/>
              <w:autoSpaceDN w:val="0"/>
              <w:spacing w:before="107" w:line="198" w:lineRule="auto"/>
              <w:ind w:left="14"/>
              <w:rPr>
                <w:rFonts w:ascii="Times New Roman" w:hAnsi="Times New Roman" w:eastAsia="Times New Roman" w:cstheme="minorBidi"/>
                <w:b w:val="0"/>
                <w:bCs/>
                <w:i/>
                <w:iCs/>
                <w:color w:val="000000" w:themeColor="text1"/>
                <w:spacing w:val="4"/>
                <w:position w:val="1"/>
                <w:sz w:val="26"/>
                <w:szCs w:val="26"/>
                <w:lang w:eastAsia="en-US"/>
                <w14:textFill>
                  <w14:solidFill>
                    <w14:schemeClr w14:val="tx1"/>
                  </w14:solidFill>
                </w14:textFill>
              </w:rPr>
            </w:pPr>
          </w:p>
        </w:tc>
        <w:tc>
          <w:tcPr>
            <w:tcW w:w="4634" w:type="dxa"/>
          </w:tcPr>
          <w:p>
            <w:pPr>
              <w:pStyle w:val="391"/>
              <w:autoSpaceDE w:val="0"/>
              <w:autoSpaceDN w:val="0"/>
              <w:spacing w:before="76" w:line="229" w:lineRule="auto"/>
              <w:ind w:left="1184"/>
              <w:rPr>
                <w:rFonts w:ascii="Times New Roman" w:hAnsi="Times New Roman" w:cs="Times New Roman" w:eastAsiaTheme="minorEastAsia"/>
                <w:b w:val="0"/>
                <w:bCs/>
                <w:color w:val="000000" w:themeColor="text1"/>
                <w:spacing w:val="9"/>
                <w:sz w:val="21"/>
                <w:szCs w:val="21"/>
                <w:lang w:eastAsia="zh-CN"/>
                <w14:textFill>
                  <w14:solidFill>
                    <w14:schemeClr w14:val="tx1"/>
                  </w14:solidFill>
                </w14:textFill>
              </w:rPr>
            </w:pPr>
            <w:r>
              <w:rPr>
                <w:rFonts w:ascii="Times New Roman" w:hAnsi="Times New Roman" w:cs="Times New Roman" w:eastAsiaTheme="minorEastAsia"/>
                <w:b w:val="0"/>
                <w:bCs/>
                <w:color w:val="000000" w:themeColor="text1"/>
                <w:spacing w:val="8"/>
                <w:sz w:val="21"/>
                <w:szCs w:val="21"/>
                <w:lang w:eastAsia="zh-CN"/>
                <w14:textFill>
                  <w14:solidFill>
                    <w14:schemeClr w14:val="tx1"/>
                  </w14:solidFill>
                </w14:textFill>
              </w:rPr>
              <w:t>建设期生态环境影响</w:t>
            </w:r>
            <w:r>
              <w:rPr>
                <w:rFonts w:ascii="Times New Roman" w:hAnsi="Times New Roman" w:eastAsia="Times New Roman" w:cs="Times New Roman"/>
                <w:b w:val="0"/>
                <w:bCs/>
                <w:i/>
                <w:iCs/>
                <w:color w:val="000000" w:themeColor="text1"/>
                <w:spacing w:val="8"/>
                <w:position w:val="4"/>
                <w:sz w:val="10"/>
                <w:szCs w:val="10"/>
                <w:lang w:eastAsia="zh-CN"/>
                <w14:textFill>
                  <w14:solidFill>
                    <w14:schemeClr w14:val="tx1"/>
                  </w14:solidFill>
                </w14:textFill>
              </w:rPr>
              <w:t xml:space="preserve">C </w:t>
            </w:r>
            <w:r>
              <w:rPr>
                <w:rFonts w:ascii="Times New Roman" w:hAnsi="Times New Roman" w:eastAsia="Times New Roman" w:cs="Times New Roman"/>
                <w:b w:val="0"/>
                <w:bCs/>
                <w:color w:val="000000" w:themeColor="text1"/>
                <w:spacing w:val="8"/>
                <w:position w:val="1"/>
                <w:sz w:val="6"/>
                <w:szCs w:val="6"/>
                <w:lang w:eastAsia="zh-CN"/>
                <w14:textFill>
                  <w14:solidFill>
                    <w14:schemeClr w14:val="tx1"/>
                  </w14:solidFill>
                </w14:textFill>
              </w:rPr>
              <w:t>22</w:t>
            </w:r>
          </w:p>
        </w:tc>
        <w:tc>
          <w:tcPr>
            <w:tcW w:w="3228" w:type="dxa"/>
            <w:tcBorders>
              <w:right w:val="single" w:color="000000" w:sz="2" w:space="0"/>
            </w:tcBorders>
          </w:tcPr>
          <w:p>
            <w:pPr>
              <w:pStyle w:val="391"/>
              <w:autoSpaceDE w:val="0"/>
              <w:autoSpaceDN w:val="0"/>
              <w:spacing w:before="76" w:line="229" w:lineRule="auto"/>
              <w:ind w:left="1176"/>
              <w:rPr>
                <w:rFonts w:ascii="Times New Roman" w:hAnsi="Times New Roman" w:cs="Times New Roman" w:eastAsiaTheme="minorEastAsia"/>
                <w:b w:val="0"/>
                <w:bCs/>
                <w:color w:val="000000" w:themeColor="text1"/>
                <w:spacing w:val="8"/>
                <w:sz w:val="21"/>
                <w:szCs w:val="21"/>
                <w14:textFill>
                  <w14:solidFill>
                    <w14:schemeClr w14:val="tx1"/>
                  </w14:solidFill>
                </w14:textFill>
              </w:rPr>
            </w:pPr>
            <w:r>
              <w:rPr>
                <w:rFonts w:ascii="Times New Roman" w:hAnsi="Times New Roman" w:cs="Times New Roman" w:eastAsiaTheme="minorEastAsia"/>
                <w:b w:val="0"/>
                <w:bCs/>
                <w:color w:val="000000" w:themeColor="text1"/>
                <w:spacing w:val="6"/>
                <w:sz w:val="21"/>
                <w:szCs w:val="21"/>
                <w14:textFill>
                  <w14:solidFill>
                    <w14:schemeClr w14:val="tx1"/>
                  </w14:solidFill>
                </w14:textFill>
              </w:rPr>
              <w:t>实施阶段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jc w:val="center"/>
        </w:trPr>
        <w:tc>
          <w:tcPr>
            <w:tcW w:w="1777" w:type="dxa"/>
            <w:vMerge w:val="continue"/>
            <w:tcBorders>
              <w:left w:val="single" w:color="000000" w:sz="2" w:space="0"/>
              <w:right w:val="nil"/>
            </w:tcBorders>
          </w:tcPr>
          <w:p>
            <w:pPr>
              <w:pStyle w:val="391"/>
              <w:autoSpaceDE w:val="0"/>
              <w:autoSpaceDN w:val="0"/>
              <w:spacing w:before="203" w:line="166" w:lineRule="auto"/>
              <w:ind w:right="21"/>
              <w:jc w:val="right"/>
              <w:rPr>
                <w:rFonts w:ascii="Times New Roman" w:hAnsi="Times New Roman" w:cs="Times New Roman" w:eastAsiaTheme="minorEastAsia"/>
                <w:b w:val="0"/>
                <w:bCs/>
                <w:color w:val="000000" w:themeColor="text1"/>
                <w:spacing w:val="8"/>
                <w:sz w:val="21"/>
                <w:szCs w:val="21"/>
                <w14:textFill>
                  <w14:solidFill>
                    <w14:schemeClr w14:val="tx1"/>
                  </w14:solidFill>
                </w14:textFill>
              </w:rPr>
            </w:pPr>
          </w:p>
        </w:tc>
        <w:tc>
          <w:tcPr>
            <w:tcW w:w="702" w:type="dxa"/>
            <w:vMerge w:val="continue"/>
            <w:tcBorders>
              <w:left w:val="nil"/>
            </w:tcBorders>
          </w:tcPr>
          <w:p>
            <w:pPr>
              <w:autoSpaceDE w:val="0"/>
              <w:autoSpaceDN w:val="0"/>
              <w:spacing w:before="107" w:line="198" w:lineRule="auto"/>
              <w:ind w:left="14"/>
              <w:rPr>
                <w:rFonts w:ascii="Times New Roman" w:hAnsi="Times New Roman" w:eastAsia="Times New Roman" w:cstheme="minorBidi"/>
                <w:b w:val="0"/>
                <w:bCs/>
                <w:i/>
                <w:iCs/>
                <w:color w:val="000000" w:themeColor="text1"/>
                <w:spacing w:val="4"/>
                <w:position w:val="1"/>
                <w:sz w:val="26"/>
                <w:szCs w:val="26"/>
                <w:lang w:eastAsia="en-US"/>
                <w14:textFill>
                  <w14:solidFill>
                    <w14:schemeClr w14:val="tx1"/>
                  </w14:solidFill>
                </w14:textFill>
              </w:rPr>
            </w:pPr>
          </w:p>
        </w:tc>
        <w:tc>
          <w:tcPr>
            <w:tcW w:w="4634" w:type="dxa"/>
          </w:tcPr>
          <w:p>
            <w:pPr>
              <w:pStyle w:val="391"/>
              <w:autoSpaceDE w:val="0"/>
              <w:autoSpaceDN w:val="0"/>
              <w:spacing w:before="81" w:line="221" w:lineRule="auto"/>
              <w:ind w:left="915"/>
              <w:rPr>
                <w:rFonts w:ascii="Times New Roman" w:hAnsi="Times New Roman" w:cs="Times New Roman" w:eastAsiaTheme="minorEastAsia"/>
                <w:b w:val="0"/>
                <w:bCs/>
                <w:color w:val="000000" w:themeColor="text1"/>
                <w:spacing w:val="9"/>
                <w:sz w:val="21"/>
                <w:szCs w:val="21"/>
                <w:lang w:eastAsia="zh-CN"/>
                <w14:textFill>
                  <w14:solidFill>
                    <w14:schemeClr w14:val="tx1"/>
                  </w14:solidFill>
                </w14:textFill>
              </w:rPr>
            </w:pPr>
            <w:r>
              <w:rPr>
                <w:rFonts w:ascii="Times New Roman" w:hAnsi="Times New Roman" w:cs="Times New Roman" w:eastAsiaTheme="minorEastAsia"/>
                <w:b w:val="0"/>
                <w:bCs/>
                <w:color w:val="000000" w:themeColor="text1"/>
                <w:spacing w:val="9"/>
                <w:sz w:val="21"/>
                <w:szCs w:val="21"/>
                <w:lang w:eastAsia="zh-CN"/>
                <w14:textFill>
                  <w14:solidFill>
                    <w14:schemeClr w14:val="tx1"/>
                  </w14:solidFill>
                </w14:textFill>
              </w:rPr>
              <w:t>运营期生态环境影响风险</w:t>
            </w:r>
            <w:r>
              <w:rPr>
                <w:rFonts w:ascii="Times New Roman" w:hAnsi="Times New Roman" w:eastAsia="Times New Roman" w:cs="Times New Roman"/>
                <w:b w:val="0"/>
                <w:bCs/>
                <w:i/>
                <w:iCs/>
                <w:color w:val="000000" w:themeColor="text1"/>
                <w:spacing w:val="9"/>
                <w:position w:val="8"/>
                <w:sz w:val="17"/>
                <w:szCs w:val="17"/>
                <w:lang w:eastAsia="zh-CN"/>
                <w14:textFill>
                  <w14:solidFill>
                    <w14:schemeClr w14:val="tx1"/>
                  </w14:solidFill>
                </w14:textFill>
              </w:rPr>
              <w:t>C</w:t>
            </w:r>
            <w:r>
              <w:rPr>
                <w:rFonts w:ascii="Times New Roman" w:hAnsi="Times New Roman" w:eastAsia="Times New Roman" w:cs="Times New Roman"/>
                <w:b w:val="0"/>
                <w:bCs/>
                <w:i/>
                <w:iCs/>
                <w:color w:val="000000" w:themeColor="text1"/>
                <w:spacing w:val="29"/>
                <w:w w:val="101"/>
                <w:position w:val="8"/>
                <w:sz w:val="17"/>
                <w:szCs w:val="17"/>
                <w:lang w:eastAsia="zh-CN"/>
                <w14:textFill>
                  <w14:solidFill>
                    <w14:schemeClr w14:val="tx1"/>
                  </w14:solidFill>
                </w14:textFill>
              </w:rPr>
              <w:t xml:space="preserve"> </w:t>
            </w:r>
            <w:r>
              <w:rPr>
                <w:rFonts w:ascii="Times New Roman" w:hAnsi="Times New Roman" w:eastAsia="Times New Roman" w:cs="Times New Roman"/>
                <w:b w:val="0"/>
                <w:bCs/>
                <w:color w:val="000000" w:themeColor="text1"/>
                <w:spacing w:val="9"/>
                <w:position w:val="4"/>
                <w:sz w:val="10"/>
                <w:szCs w:val="10"/>
                <w:lang w:eastAsia="zh-CN"/>
                <w14:textFill>
                  <w14:solidFill>
                    <w14:schemeClr w14:val="tx1"/>
                  </w14:solidFill>
                </w14:textFill>
              </w:rPr>
              <w:t>23</w:t>
            </w:r>
          </w:p>
        </w:tc>
        <w:tc>
          <w:tcPr>
            <w:tcW w:w="3228" w:type="dxa"/>
            <w:tcBorders>
              <w:right w:val="single" w:color="000000" w:sz="2" w:space="0"/>
            </w:tcBorders>
          </w:tcPr>
          <w:p>
            <w:pPr>
              <w:pStyle w:val="391"/>
              <w:autoSpaceDE w:val="0"/>
              <w:autoSpaceDN w:val="0"/>
              <w:spacing w:before="77" w:line="229" w:lineRule="auto"/>
              <w:ind w:left="1171"/>
              <w:rPr>
                <w:rFonts w:ascii="Times New Roman" w:hAnsi="Times New Roman" w:cs="Times New Roman" w:eastAsiaTheme="minorEastAsia"/>
                <w:b w:val="0"/>
                <w:bCs/>
                <w:color w:val="000000" w:themeColor="text1"/>
                <w:spacing w:val="8"/>
                <w:sz w:val="21"/>
                <w:szCs w:val="21"/>
                <w14:textFill>
                  <w14:solidFill>
                    <w14:schemeClr w14:val="tx1"/>
                  </w14:solidFill>
                </w14:textFill>
              </w:rPr>
            </w:pPr>
            <w:r>
              <w:rPr>
                <w:rFonts w:ascii="Times New Roman" w:hAnsi="Times New Roman" w:cs="Times New Roman" w:eastAsiaTheme="minorEastAsia"/>
                <w:b w:val="0"/>
                <w:bCs/>
                <w:color w:val="000000" w:themeColor="text1"/>
                <w:spacing w:val="8"/>
                <w:sz w:val="21"/>
                <w:szCs w:val="21"/>
                <w14:textFill>
                  <w14:solidFill>
                    <w14:schemeClr w14:val="tx1"/>
                  </w14:solidFill>
                </w14:textFill>
              </w:rPr>
              <w:t>运营阶段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jc w:val="center"/>
        </w:trPr>
        <w:tc>
          <w:tcPr>
            <w:tcW w:w="1777" w:type="dxa"/>
            <w:vMerge w:val="continue"/>
            <w:tcBorders>
              <w:left w:val="single" w:color="000000" w:sz="2" w:space="0"/>
              <w:right w:val="nil"/>
            </w:tcBorders>
          </w:tcPr>
          <w:p>
            <w:pPr>
              <w:pStyle w:val="391"/>
              <w:autoSpaceDE w:val="0"/>
              <w:autoSpaceDN w:val="0"/>
              <w:spacing w:before="203" w:line="166" w:lineRule="auto"/>
              <w:ind w:right="21"/>
              <w:jc w:val="right"/>
              <w:rPr>
                <w:rFonts w:ascii="Times New Roman" w:hAnsi="Times New Roman" w:cs="Times New Roman" w:eastAsiaTheme="minorEastAsia"/>
                <w:b w:val="0"/>
                <w:bCs/>
                <w:color w:val="000000" w:themeColor="text1"/>
                <w:spacing w:val="8"/>
                <w:sz w:val="21"/>
                <w:szCs w:val="21"/>
                <w14:textFill>
                  <w14:solidFill>
                    <w14:schemeClr w14:val="tx1"/>
                  </w14:solidFill>
                </w14:textFill>
              </w:rPr>
            </w:pPr>
          </w:p>
        </w:tc>
        <w:tc>
          <w:tcPr>
            <w:tcW w:w="702" w:type="dxa"/>
            <w:vMerge w:val="continue"/>
            <w:tcBorders>
              <w:left w:val="nil"/>
            </w:tcBorders>
          </w:tcPr>
          <w:p>
            <w:pPr>
              <w:autoSpaceDE w:val="0"/>
              <w:autoSpaceDN w:val="0"/>
              <w:spacing w:before="107" w:line="198" w:lineRule="auto"/>
              <w:ind w:left="14"/>
              <w:rPr>
                <w:rFonts w:ascii="Times New Roman" w:hAnsi="Times New Roman" w:eastAsia="Times New Roman" w:cstheme="minorBidi"/>
                <w:b w:val="0"/>
                <w:bCs/>
                <w:i/>
                <w:iCs/>
                <w:color w:val="000000" w:themeColor="text1"/>
                <w:spacing w:val="4"/>
                <w:position w:val="1"/>
                <w:sz w:val="26"/>
                <w:szCs w:val="26"/>
                <w:lang w:eastAsia="en-US"/>
                <w14:textFill>
                  <w14:solidFill>
                    <w14:schemeClr w14:val="tx1"/>
                  </w14:solidFill>
                </w14:textFill>
              </w:rPr>
            </w:pPr>
          </w:p>
        </w:tc>
        <w:tc>
          <w:tcPr>
            <w:tcW w:w="4634" w:type="dxa"/>
          </w:tcPr>
          <w:p>
            <w:pPr>
              <w:pStyle w:val="391"/>
              <w:autoSpaceDE w:val="0"/>
              <w:autoSpaceDN w:val="0"/>
              <w:spacing w:before="77" w:line="228" w:lineRule="auto"/>
              <w:ind w:left="1026"/>
              <w:rPr>
                <w:rFonts w:ascii="Times New Roman" w:hAnsi="Times New Roman" w:cs="Times New Roman" w:eastAsiaTheme="minorEastAsia"/>
                <w:b w:val="0"/>
                <w:bCs/>
                <w:color w:val="000000" w:themeColor="text1"/>
                <w:spacing w:val="9"/>
                <w:sz w:val="21"/>
                <w:szCs w:val="21"/>
                <w:lang w:eastAsia="zh-CN"/>
                <w14:textFill>
                  <w14:solidFill>
                    <w14:schemeClr w14:val="tx1"/>
                  </w14:solidFill>
                </w14:textFill>
              </w:rPr>
            </w:pPr>
            <w:r>
              <w:rPr>
                <w:rFonts w:ascii="Times New Roman" w:hAnsi="Times New Roman" w:cs="Times New Roman" w:eastAsiaTheme="minorEastAsia"/>
                <w:b w:val="0"/>
                <w:bCs/>
                <w:color w:val="000000" w:themeColor="text1"/>
                <w:spacing w:val="9"/>
                <w:sz w:val="21"/>
                <w:szCs w:val="21"/>
                <w:lang w:eastAsia="zh-CN"/>
                <w14:textFill>
                  <w14:solidFill>
                    <w14:schemeClr w14:val="tx1"/>
                  </w14:solidFill>
                </w14:textFill>
              </w:rPr>
              <w:t>人文景观环境影响风险</w:t>
            </w:r>
            <w:r>
              <w:rPr>
                <w:rFonts w:ascii="Times New Roman" w:hAnsi="Times New Roman" w:eastAsia="Times New Roman" w:cs="Times New Roman"/>
                <w:b w:val="0"/>
                <w:bCs/>
                <w:i/>
                <w:iCs/>
                <w:color w:val="000000" w:themeColor="text1"/>
                <w:spacing w:val="9"/>
                <w:position w:val="5"/>
                <w:sz w:val="14"/>
                <w:szCs w:val="14"/>
                <w:lang w:eastAsia="zh-CN"/>
                <w14:textFill>
                  <w14:solidFill>
                    <w14:schemeClr w14:val="tx1"/>
                  </w14:solidFill>
                </w14:textFill>
              </w:rPr>
              <w:t xml:space="preserve">C </w:t>
            </w:r>
            <w:r>
              <w:rPr>
                <w:rFonts w:ascii="Times New Roman" w:hAnsi="Times New Roman" w:eastAsia="Times New Roman" w:cs="Times New Roman"/>
                <w:b w:val="0"/>
                <w:bCs/>
                <w:color w:val="000000" w:themeColor="text1"/>
                <w:spacing w:val="9"/>
                <w:position w:val="2"/>
                <w:sz w:val="8"/>
                <w:szCs w:val="8"/>
                <w:lang w:eastAsia="zh-CN"/>
                <w14:textFill>
                  <w14:solidFill>
                    <w14:schemeClr w14:val="tx1"/>
                  </w14:solidFill>
                </w14:textFill>
              </w:rPr>
              <w:t>24</w:t>
            </w:r>
          </w:p>
        </w:tc>
        <w:tc>
          <w:tcPr>
            <w:tcW w:w="3228" w:type="dxa"/>
            <w:tcBorders>
              <w:right w:val="single" w:color="000000" w:sz="2" w:space="0"/>
            </w:tcBorders>
          </w:tcPr>
          <w:p>
            <w:pPr>
              <w:pStyle w:val="391"/>
              <w:autoSpaceDE w:val="0"/>
              <w:autoSpaceDN w:val="0"/>
              <w:spacing w:before="77" w:line="228" w:lineRule="auto"/>
              <w:ind w:left="848"/>
              <w:rPr>
                <w:rFonts w:ascii="Times New Roman" w:hAnsi="Times New Roman" w:cs="Times New Roman" w:eastAsiaTheme="minorEastAsia"/>
                <w:b w:val="0"/>
                <w:bCs/>
                <w:color w:val="000000" w:themeColor="text1"/>
                <w:spacing w:val="8"/>
                <w:sz w:val="21"/>
                <w:szCs w:val="21"/>
                <w14:textFill>
                  <w14:solidFill>
                    <w14:schemeClr w14:val="tx1"/>
                  </w14:solidFill>
                </w14:textFill>
              </w:rPr>
            </w:pPr>
            <w:r>
              <w:rPr>
                <w:rFonts w:ascii="Times New Roman" w:hAnsi="Times New Roman" w:cs="Times New Roman" w:eastAsiaTheme="minorEastAsia"/>
                <w:b w:val="0"/>
                <w:bCs/>
                <w:color w:val="000000" w:themeColor="text1"/>
                <w:spacing w:val="8"/>
                <w:sz w:val="21"/>
                <w:szCs w:val="21"/>
                <w14:textFill>
                  <w14:solidFill>
                    <w14:schemeClr w14:val="tx1"/>
                  </w14:solidFill>
                </w14:textFill>
              </w:rPr>
              <w:t>决策、准备阶段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jc w:val="center"/>
        </w:trPr>
        <w:tc>
          <w:tcPr>
            <w:tcW w:w="1777" w:type="dxa"/>
            <w:vMerge w:val="restart"/>
            <w:tcBorders>
              <w:left w:val="single" w:color="000000" w:sz="2" w:space="0"/>
              <w:right w:val="nil"/>
            </w:tcBorders>
            <w:vAlign w:val="center"/>
          </w:tcPr>
          <w:p>
            <w:pPr>
              <w:pStyle w:val="391"/>
              <w:autoSpaceDE w:val="0"/>
              <w:autoSpaceDN w:val="0"/>
              <w:spacing w:before="203" w:line="166" w:lineRule="auto"/>
              <w:ind w:right="21"/>
              <w:jc w:val="right"/>
              <w:rPr>
                <w:rFonts w:ascii="Times New Roman" w:hAnsi="Times New Roman" w:cs="Times New Roman" w:eastAsiaTheme="minorEastAsia"/>
                <w:b w:val="0"/>
                <w:bCs/>
                <w:color w:val="000000" w:themeColor="text1"/>
                <w:spacing w:val="8"/>
                <w:sz w:val="21"/>
                <w:szCs w:val="21"/>
                <w14:textFill>
                  <w14:solidFill>
                    <w14:schemeClr w14:val="tx1"/>
                  </w14:solidFill>
                </w14:textFill>
              </w:rPr>
            </w:pPr>
            <w:r>
              <w:rPr>
                <w:rFonts w:ascii="Times New Roman" w:hAnsi="Times New Roman" w:cs="Times New Roman" w:eastAsiaTheme="minorEastAsia"/>
                <w:b w:val="0"/>
                <w:bCs/>
                <w:color w:val="000000" w:themeColor="text1"/>
                <w:spacing w:val="8"/>
                <w:sz w:val="21"/>
                <w:szCs w:val="21"/>
                <w14:textFill>
                  <w14:solidFill>
                    <w14:schemeClr w14:val="tx1"/>
                  </w14:solidFill>
                </w14:textFill>
              </w:rPr>
              <w:t>社会安全风险</w:t>
            </w:r>
          </w:p>
        </w:tc>
        <w:tc>
          <w:tcPr>
            <w:tcW w:w="702" w:type="dxa"/>
            <w:vMerge w:val="restart"/>
            <w:tcBorders>
              <w:left w:val="nil"/>
            </w:tcBorders>
            <w:vAlign w:val="center"/>
          </w:tcPr>
          <w:p>
            <w:pPr>
              <w:autoSpaceDE w:val="0"/>
              <w:autoSpaceDN w:val="0"/>
              <w:spacing w:before="107" w:line="198" w:lineRule="auto"/>
              <w:ind w:left="14"/>
              <w:rPr>
                <w:rFonts w:ascii="Times New Roman" w:hAnsi="Times New Roman" w:eastAsiaTheme="minorEastAsia" w:cstheme="minorBidi"/>
                <w:b w:val="0"/>
                <w:bCs/>
                <w:i/>
                <w:iCs/>
                <w:color w:val="000000" w:themeColor="text1"/>
                <w:spacing w:val="4"/>
                <w:position w:val="1"/>
                <w:sz w:val="26"/>
                <w:szCs w:val="26"/>
                <w:lang w:eastAsia="en-US"/>
                <w14:textFill>
                  <w14:solidFill>
                    <w14:schemeClr w14:val="tx1"/>
                  </w14:solidFill>
                </w14:textFill>
              </w:rPr>
            </w:pPr>
            <w:r>
              <w:rPr>
                <w:rFonts w:ascii="Times New Roman" w:hAnsi="Times New Roman" w:eastAsia="Times New Roman" w:cstheme="minorBidi"/>
                <w:b w:val="0"/>
                <w:bCs/>
                <w:i/>
                <w:iCs/>
                <w:color w:val="000000" w:themeColor="text1"/>
                <w:spacing w:val="4"/>
                <w:position w:val="1"/>
                <w:sz w:val="26"/>
                <w:szCs w:val="26"/>
                <w:lang w:eastAsia="en-US"/>
                <w14:textFill>
                  <w14:solidFill>
                    <w14:schemeClr w14:val="tx1"/>
                  </w14:solidFill>
                </w14:textFill>
              </w:rPr>
              <w:t>B</w:t>
            </w:r>
            <w:r>
              <w:rPr>
                <w:rFonts w:ascii="Times New Roman" w:hAnsi="Times New Roman" w:eastAsiaTheme="minorEastAsia" w:cstheme="minorBidi"/>
                <w:b w:val="0"/>
                <w:bCs/>
                <w:i/>
                <w:iCs/>
                <w:color w:val="000000" w:themeColor="text1"/>
                <w:spacing w:val="4"/>
                <w:position w:val="1"/>
                <w:sz w:val="26"/>
                <w:szCs w:val="26"/>
                <w:vertAlign w:val="subscript"/>
                <w:lang w:eastAsia="en-US"/>
                <w14:textFill>
                  <w14:solidFill>
                    <w14:schemeClr w14:val="tx1"/>
                  </w14:solidFill>
                </w14:textFill>
              </w:rPr>
              <w:t>3</w:t>
            </w:r>
          </w:p>
        </w:tc>
        <w:tc>
          <w:tcPr>
            <w:tcW w:w="4634" w:type="dxa"/>
          </w:tcPr>
          <w:p>
            <w:pPr>
              <w:pStyle w:val="391"/>
              <w:autoSpaceDE w:val="0"/>
              <w:autoSpaceDN w:val="0"/>
              <w:spacing w:before="79" w:line="228" w:lineRule="auto"/>
              <w:ind w:left="1467"/>
              <w:rPr>
                <w:rFonts w:ascii="Times New Roman" w:hAnsi="Times New Roman" w:cs="Times New Roman" w:eastAsiaTheme="minorEastAsia"/>
                <w:b w:val="0"/>
                <w:bCs/>
                <w:color w:val="000000" w:themeColor="text1"/>
                <w:spacing w:val="9"/>
                <w:sz w:val="21"/>
                <w:szCs w:val="21"/>
                <w14:textFill>
                  <w14:solidFill>
                    <w14:schemeClr w14:val="tx1"/>
                  </w14:solidFill>
                </w14:textFill>
              </w:rPr>
            </w:pPr>
            <w:r>
              <w:rPr>
                <w:rFonts w:ascii="Times New Roman" w:hAnsi="Times New Roman" w:cs="Times New Roman" w:eastAsiaTheme="minorEastAsia"/>
                <w:b w:val="0"/>
                <w:bCs/>
                <w:color w:val="000000" w:themeColor="text1"/>
                <w:spacing w:val="8"/>
                <w:sz w:val="21"/>
                <w:szCs w:val="21"/>
                <w14:textFill>
                  <w14:solidFill>
                    <w14:schemeClr w14:val="tx1"/>
                  </w14:solidFill>
                </w14:textFill>
              </w:rPr>
              <w:t>征地拆迁风险</w:t>
            </w:r>
            <w:r>
              <w:rPr>
                <w:rFonts w:ascii="Times New Roman" w:hAnsi="Times New Roman" w:eastAsia="Times New Roman" w:cs="Times New Roman"/>
                <w:b w:val="0"/>
                <w:bCs/>
                <w:i/>
                <w:iCs/>
                <w:color w:val="000000" w:themeColor="text1"/>
                <w:spacing w:val="8"/>
                <w:position w:val="4"/>
                <w:sz w:val="9"/>
                <w:szCs w:val="9"/>
                <w14:textFill>
                  <w14:solidFill>
                    <w14:schemeClr w14:val="tx1"/>
                  </w14:solidFill>
                </w14:textFill>
              </w:rPr>
              <w:t xml:space="preserve">C </w:t>
            </w:r>
            <w:r>
              <w:rPr>
                <w:rFonts w:ascii="Times New Roman" w:hAnsi="Times New Roman" w:eastAsia="Times New Roman" w:cs="Times New Roman"/>
                <w:b w:val="0"/>
                <w:bCs/>
                <w:color w:val="000000" w:themeColor="text1"/>
                <w:spacing w:val="8"/>
                <w:position w:val="2"/>
                <w:sz w:val="5"/>
                <w:szCs w:val="5"/>
                <w14:textFill>
                  <w14:solidFill>
                    <w14:schemeClr w14:val="tx1"/>
                  </w14:solidFill>
                </w14:textFill>
              </w:rPr>
              <w:t>31</w:t>
            </w:r>
          </w:p>
        </w:tc>
        <w:tc>
          <w:tcPr>
            <w:tcW w:w="3228" w:type="dxa"/>
            <w:tcBorders>
              <w:right w:val="single" w:color="000000" w:sz="2" w:space="0"/>
            </w:tcBorders>
          </w:tcPr>
          <w:p>
            <w:pPr>
              <w:pStyle w:val="391"/>
              <w:autoSpaceDE w:val="0"/>
              <w:autoSpaceDN w:val="0"/>
              <w:spacing w:before="79" w:line="228" w:lineRule="auto"/>
              <w:ind w:left="848"/>
              <w:rPr>
                <w:rFonts w:ascii="Times New Roman" w:hAnsi="Times New Roman" w:cs="Times New Roman" w:eastAsiaTheme="minorEastAsia"/>
                <w:b w:val="0"/>
                <w:bCs/>
                <w:color w:val="000000" w:themeColor="text1"/>
                <w:spacing w:val="8"/>
                <w:sz w:val="21"/>
                <w:szCs w:val="21"/>
                <w14:textFill>
                  <w14:solidFill>
                    <w14:schemeClr w14:val="tx1"/>
                  </w14:solidFill>
                </w14:textFill>
              </w:rPr>
            </w:pPr>
            <w:r>
              <w:rPr>
                <w:rFonts w:ascii="Times New Roman" w:hAnsi="Times New Roman" w:cs="Times New Roman" w:eastAsiaTheme="minorEastAsia"/>
                <w:b w:val="0"/>
                <w:bCs/>
                <w:color w:val="000000" w:themeColor="text1"/>
                <w:spacing w:val="8"/>
                <w:sz w:val="21"/>
                <w:szCs w:val="21"/>
                <w14:textFill>
                  <w14:solidFill>
                    <w14:schemeClr w14:val="tx1"/>
                  </w14:solidFill>
                </w14:textFill>
              </w:rPr>
              <w:t>决策、准备阶段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jc w:val="center"/>
        </w:trPr>
        <w:tc>
          <w:tcPr>
            <w:tcW w:w="1777" w:type="dxa"/>
            <w:vMerge w:val="continue"/>
            <w:tcBorders>
              <w:left w:val="single" w:color="000000" w:sz="2" w:space="0"/>
              <w:right w:val="nil"/>
            </w:tcBorders>
            <w:vAlign w:val="center"/>
          </w:tcPr>
          <w:p>
            <w:pPr>
              <w:pStyle w:val="391"/>
              <w:autoSpaceDE w:val="0"/>
              <w:autoSpaceDN w:val="0"/>
              <w:spacing w:before="203" w:line="166" w:lineRule="auto"/>
              <w:ind w:right="21"/>
              <w:jc w:val="right"/>
              <w:rPr>
                <w:rFonts w:ascii="Times New Roman" w:hAnsi="Times New Roman" w:cs="Times New Roman" w:eastAsiaTheme="minorEastAsia"/>
                <w:b w:val="0"/>
                <w:bCs/>
                <w:color w:val="000000" w:themeColor="text1"/>
                <w:spacing w:val="8"/>
                <w:sz w:val="21"/>
                <w:szCs w:val="21"/>
                <w14:textFill>
                  <w14:solidFill>
                    <w14:schemeClr w14:val="tx1"/>
                  </w14:solidFill>
                </w14:textFill>
              </w:rPr>
            </w:pPr>
          </w:p>
        </w:tc>
        <w:tc>
          <w:tcPr>
            <w:tcW w:w="702" w:type="dxa"/>
            <w:vMerge w:val="continue"/>
            <w:tcBorders>
              <w:left w:val="nil"/>
            </w:tcBorders>
            <w:vAlign w:val="center"/>
          </w:tcPr>
          <w:p>
            <w:pPr>
              <w:autoSpaceDE w:val="0"/>
              <w:autoSpaceDN w:val="0"/>
              <w:spacing w:before="107" w:line="198" w:lineRule="auto"/>
              <w:ind w:left="14"/>
              <w:rPr>
                <w:rFonts w:ascii="Times New Roman" w:hAnsi="Times New Roman" w:eastAsia="Times New Roman" w:cstheme="minorBidi"/>
                <w:b w:val="0"/>
                <w:bCs/>
                <w:i/>
                <w:iCs/>
                <w:color w:val="000000" w:themeColor="text1"/>
                <w:spacing w:val="4"/>
                <w:position w:val="1"/>
                <w:sz w:val="26"/>
                <w:szCs w:val="26"/>
                <w:lang w:eastAsia="en-US"/>
                <w14:textFill>
                  <w14:solidFill>
                    <w14:schemeClr w14:val="tx1"/>
                  </w14:solidFill>
                </w14:textFill>
              </w:rPr>
            </w:pPr>
          </w:p>
        </w:tc>
        <w:tc>
          <w:tcPr>
            <w:tcW w:w="4634" w:type="dxa"/>
          </w:tcPr>
          <w:p>
            <w:pPr>
              <w:pStyle w:val="391"/>
              <w:autoSpaceDE w:val="0"/>
              <w:autoSpaceDN w:val="0"/>
              <w:spacing w:before="80" w:line="229" w:lineRule="auto"/>
              <w:ind w:left="1135"/>
              <w:rPr>
                <w:rFonts w:ascii="Times New Roman" w:hAnsi="Times New Roman" w:cs="Times New Roman" w:eastAsiaTheme="minorEastAsia"/>
                <w:b w:val="0"/>
                <w:bCs/>
                <w:color w:val="000000" w:themeColor="text1"/>
                <w:spacing w:val="9"/>
                <w:sz w:val="21"/>
                <w:szCs w:val="21"/>
                <w:lang w:eastAsia="zh-CN"/>
                <w14:textFill>
                  <w14:solidFill>
                    <w14:schemeClr w14:val="tx1"/>
                  </w14:solidFill>
                </w14:textFill>
              </w:rPr>
            </w:pPr>
            <w:r>
              <w:rPr>
                <w:rFonts w:ascii="Times New Roman" w:hAnsi="Times New Roman" w:cs="Times New Roman" w:eastAsiaTheme="minorEastAsia"/>
                <w:b w:val="0"/>
                <w:bCs/>
                <w:color w:val="000000" w:themeColor="text1"/>
                <w:spacing w:val="9"/>
                <w:sz w:val="21"/>
                <w:szCs w:val="21"/>
                <w:lang w:eastAsia="zh-CN"/>
                <w14:textFill>
                  <w14:solidFill>
                    <w14:schemeClr w14:val="tx1"/>
                  </w14:solidFill>
                </w14:textFill>
              </w:rPr>
              <w:t>拖欠农民工工资风险</w:t>
            </w:r>
            <w:r>
              <w:rPr>
                <w:rFonts w:ascii="Times New Roman" w:hAnsi="Times New Roman" w:eastAsia="Times New Roman" w:cs="Times New Roman"/>
                <w:b w:val="0"/>
                <w:bCs/>
                <w:i/>
                <w:iCs/>
                <w:color w:val="000000" w:themeColor="text1"/>
                <w:spacing w:val="9"/>
                <w:position w:val="6"/>
                <w:sz w:val="13"/>
                <w:szCs w:val="13"/>
                <w:lang w:eastAsia="zh-CN"/>
                <w14:textFill>
                  <w14:solidFill>
                    <w14:schemeClr w14:val="tx1"/>
                  </w14:solidFill>
                </w14:textFill>
              </w:rPr>
              <w:t xml:space="preserve">C </w:t>
            </w:r>
            <w:r>
              <w:rPr>
                <w:rFonts w:ascii="Times New Roman" w:hAnsi="Times New Roman" w:eastAsia="Times New Roman" w:cs="Times New Roman"/>
                <w:b w:val="0"/>
                <w:bCs/>
                <w:color w:val="000000" w:themeColor="text1"/>
                <w:spacing w:val="9"/>
                <w:position w:val="3"/>
                <w:sz w:val="8"/>
                <w:szCs w:val="8"/>
                <w:lang w:eastAsia="zh-CN"/>
                <w14:textFill>
                  <w14:solidFill>
                    <w14:schemeClr w14:val="tx1"/>
                  </w14:solidFill>
                </w14:textFill>
              </w:rPr>
              <w:t>32</w:t>
            </w:r>
          </w:p>
        </w:tc>
        <w:tc>
          <w:tcPr>
            <w:tcW w:w="3228" w:type="dxa"/>
            <w:tcBorders>
              <w:right w:val="single" w:color="000000" w:sz="2" w:space="0"/>
            </w:tcBorders>
          </w:tcPr>
          <w:p>
            <w:pPr>
              <w:pStyle w:val="391"/>
              <w:autoSpaceDE w:val="0"/>
              <w:autoSpaceDN w:val="0"/>
              <w:spacing w:before="80" w:line="229" w:lineRule="auto"/>
              <w:ind w:left="1176"/>
              <w:rPr>
                <w:rFonts w:ascii="Times New Roman" w:hAnsi="Times New Roman" w:cs="Times New Roman" w:eastAsiaTheme="minorEastAsia"/>
                <w:b w:val="0"/>
                <w:bCs/>
                <w:color w:val="000000" w:themeColor="text1"/>
                <w:spacing w:val="8"/>
                <w:sz w:val="21"/>
                <w:szCs w:val="21"/>
                <w14:textFill>
                  <w14:solidFill>
                    <w14:schemeClr w14:val="tx1"/>
                  </w14:solidFill>
                </w14:textFill>
              </w:rPr>
            </w:pPr>
            <w:r>
              <w:rPr>
                <w:rFonts w:ascii="Times New Roman" w:hAnsi="Times New Roman" w:cs="Times New Roman" w:eastAsiaTheme="minorEastAsia"/>
                <w:b w:val="0"/>
                <w:bCs/>
                <w:color w:val="000000" w:themeColor="text1"/>
                <w:spacing w:val="6"/>
                <w:sz w:val="21"/>
                <w:szCs w:val="21"/>
                <w14:textFill>
                  <w14:solidFill>
                    <w14:schemeClr w14:val="tx1"/>
                  </w14:solidFill>
                </w14:textFill>
              </w:rPr>
              <w:t>实施阶段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jc w:val="center"/>
        </w:trPr>
        <w:tc>
          <w:tcPr>
            <w:tcW w:w="1777" w:type="dxa"/>
            <w:vMerge w:val="continue"/>
            <w:tcBorders>
              <w:left w:val="single" w:color="000000" w:sz="2" w:space="0"/>
              <w:right w:val="nil"/>
            </w:tcBorders>
            <w:vAlign w:val="center"/>
          </w:tcPr>
          <w:p>
            <w:pPr>
              <w:pStyle w:val="391"/>
              <w:autoSpaceDE w:val="0"/>
              <w:autoSpaceDN w:val="0"/>
              <w:spacing w:before="203" w:line="166" w:lineRule="auto"/>
              <w:ind w:right="21"/>
              <w:jc w:val="right"/>
              <w:rPr>
                <w:rFonts w:ascii="Times New Roman" w:hAnsi="Times New Roman" w:cs="Times New Roman" w:eastAsiaTheme="minorEastAsia"/>
                <w:b w:val="0"/>
                <w:bCs/>
                <w:color w:val="000000" w:themeColor="text1"/>
                <w:spacing w:val="8"/>
                <w:sz w:val="21"/>
                <w:szCs w:val="21"/>
                <w14:textFill>
                  <w14:solidFill>
                    <w14:schemeClr w14:val="tx1"/>
                  </w14:solidFill>
                </w14:textFill>
              </w:rPr>
            </w:pPr>
          </w:p>
        </w:tc>
        <w:tc>
          <w:tcPr>
            <w:tcW w:w="702" w:type="dxa"/>
            <w:vMerge w:val="continue"/>
            <w:tcBorders>
              <w:left w:val="nil"/>
            </w:tcBorders>
            <w:vAlign w:val="center"/>
          </w:tcPr>
          <w:p>
            <w:pPr>
              <w:autoSpaceDE w:val="0"/>
              <w:autoSpaceDN w:val="0"/>
              <w:spacing w:before="107" w:line="198" w:lineRule="auto"/>
              <w:ind w:left="14"/>
              <w:rPr>
                <w:rFonts w:ascii="Times New Roman" w:hAnsi="Times New Roman" w:eastAsia="Times New Roman" w:cstheme="minorBidi"/>
                <w:b w:val="0"/>
                <w:bCs/>
                <w:i/>
                <w:iCs/>
                <w:color w:val="000000" w:themeColor="text1"/>
                <w:spacing w:val="4"/>
                <w:position w:val="1"/>
                <w:sz w:val="26"/>
                <w:szCs w:val="26"/>
                <w:lang w:eastAsia="en-US"/>
                <w14:textFill>
                  <w14:solidFill>
                    <w14:schemeClr w14:val="tx1"/>
                  </w14:solidFill>
                </w14:textFill>
              </w:rPr>
            </w:pPr>
          </w:p>
        </w:tc>
        <w:tc>
          <w:tcPr>
            <w:tcW w:w="4634" w:type="dxa"/>
          </w:tcPr>
          <w:p>
            <w:pPr>
              <w:pStyle w:val="391"/>
              <w:autoSpaceDE w:val="0"/>
              <w:autoSpaceDN w:val="0"/>
              <w:spacing w:before="53" w:line="222" w:lineRule="auto"/>
              <w:ind w:right="18"/>
              <w:jc w:val="center"/>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1"/>
                <w:sz w:val="21"/>
                <w:szCs w:val="21"/>
                <w:lang w:eastAsia="zh-CN"/>
                <w14:textFill>
                  <w14:solidFill>
                    <w14:schemeClr w14:val="tx1"/>
                  </w14:solidFill>
                </w14:textFill>
              </w:rPr>
              <w:t>项目交通安全事故风险</w:t>
            </w:r>
            <w:r>
              <w:rPr>
                <w:rFonts w:ascii="Times New Roman" w:hAnsi="Times New Roman" w:eastAsia="Times New Roman" w:cs="Times New Roman"/>
                <w:b w:val="0"/>
                <w:bCs/>
                <w:i/>
                <w:iCs/>
                <w:color w:val="000000" w:themeColor="text1"/>
                <w:spacing w:val="11"/>
                <w:position w:val="-3"/>
                <w:sz w:val="17"/>
                <w:szCs w:val="17"/>
                <w:lang w:eastAsia="zh-CN"/>
                <w14:textFill>
                  <w14:solidFill>
                    <w14:schemeClr w14:val="tx1"/>
                  </w14:solidFill>
                </w14:textFill>
              </w:rPr>
              <w:t>C</w:t>
            </w:r>
            <w:r>
              <w:rPr>
                <w:rFonts w:ascii="Times New Roman" w:hAnsi="Times New Roman" w:eastAsia="Times New Roman" w:cs="Times New Roman"/>
                <w:b w:val="0"/>
                <w:bCs/>
                <w:color w:val="000000" w:themeColor="text1"/>
                <w:spacing w:val="9"/>
                <w:sz w:val="10"/>
                <w:szCs w:val="10"/>
                <w:lang w:eastAsia="zh-CN"/>
                <w14:textFill>
                  <w14:solidFill>
                    <w14:schemeClr w14:val="tx1"/>
                  </w14:solidFill>
                </w14:textFill>
              </w:rPr>
              <w:t>33</w:t>
            </w:r>
          </w:p>
        </w:tc>
        <w:tc>
          <w:tcPr>
            <w:tcW w:w="3228" w:type="dxa"/>
            <w:tcBorders>
              <w:right w:val="single" w:color="000000" w:sz="2" w:space="0"/>
            </w:tcBorders>
          </w:tcPr>
          <w:p>
            <w:pPr>
              <w:pStyle w:val="391"/>
              <w:autoSpaceDE w:val="0"/>
              <w:autoSpaceDN w:val="0"/>
              <w:spacing w:before="82" w:line="229" w:lineRule="auto"/>
              <w:ind w:left="846"/>
              <w:rPr>
                <w:rFonts w:ascii="Times New Roman" w:hAnsi="Times New Roman" w:cs="Times New Roman" w:eastAsiaTheme="minorEastAsia"/>
                <w:b w:val="0"/>
                <w:bCs/>
                <w:color w:val="000000" w:themeColor="text1"/>
                <w:spacing w:val="8"/>
                <w:sz w:val="21"/>
                <w:szCs w:val="21"/>
                <w14:textFill>
                  <w14:solidFill>
                    <w14:schemeClr w14:val="tx1"/>
                  </w14:solidFill>
                </w14:textFill>
              </w:rPr>
            </w:pPr>
            <w:r>
              <w:rPr>
                <w:rFonts w:ascii="Times New Roman" w:hAnsi="Times New Roman" w:cs="Times New Roman" w:eastAsiaTheme="minorEastAsia"/>
                <w:b w:val="0"/>
                <w:bCs/>
                <w:color w:val="000000" w:themeColor="text1"/>
                <w:spacing w:val="8"/>
                <w:sz w:val="21"/>
                <w:szCs w:val="21"/>
                <w14:textFill>
                  <w14:solidFill>
                    <w14:schemeClr w14:val="tx1"/>
                  </w14:solidFill>
                </w14:textFill>
              </w:rPr>
              <w:t>实施、运营阶段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jc w:val="center"/>
        </w:trPr>
        <w:tc>
          <w:tcPr>
            <w:tcW w:w="1777" w:type="dxa"/>
            <w:vMerge w:val="continue"/>
            <w:tcBorders>
              <w:left w:val="single" w:color="000000" w:sz="2" w:space="0"/>
              <w:right w:val="nil"/>
            </w:tcBorders>
            <w:vAlign w:val="center"/>
          </w:tcPr>
          <w:p>
            <w:pPr>
              <w:pStyle w:val="391"/>
              <w:autoSpaceDE w:val="0"/>
              <w:autoSpaceDN w:val="0"/>
              <w:spacing w:before="203" w:line="166" w:lineRule="auto"/>
              <w:ind w:right="21"/>
              <w:jc w:val="right"/>
              <w:rPr>
                <w:rFonts w:ascii="Times New Roman" w:hAnsi="Times New Roman" w:cs="Times New Roman" w:eastAsiaTheme="minorEastAsia"/>
                <w:b w:val="0"/>
                <w:bCs/>
                <w:color w:val="000000" w:themeColor="text1"/>
                <w:spacing w:val="8"/>
                <w:sz w:val="21"/>
                <w:szCs w:val="21"/>
                <w14:textFill>
                  <w14:solidFill>
                    <w14:schemeClr w14:val="tx1"/>
                  </w14:solidFill>
                </w14:textFill>
              </w:rPr>
            </w:pPr>
          </w:p>
        </w:tc>
        <w:tc>
          <w:tcPr>
            <w:tcW w:w="702" w:type="dxa"/>
            <w:vMerge w:val="continue"/>
            <w:tcBorders>
              <w:left w:val="nil"/>
            </w:tcBorders>
            <w:vAlign w:val="center"/>
          </w:tcPr>
          <w:p>
            <w:pPr>
              <w:autoSpaceDE w:val="0"/>
              <w:autoSpaceDN w:val="0"/>
              <w:spacing w:before="107" w:line="198" w:lineRule="auto"/>
              <w:ind w:left="14"/>
              <w:rPr>
                <w:rFonts w:ascii="Times New Roman" w:hAnsi="Times New Roman" w:eastAsia="Times New Roman" w:cstheme="minorBidi"/>
                <w:b w:val="0"/>
                <w:bCs/>
                <w:i/>
                <w:iCs/>
                <w:color w:val="000000" w:themeColor="text1"/>
                <w:spacing w:val="4"/>
                <w:position w:val="1"/>
                <w:sz w:val="26"/>
                <w:szCs w:val="26"/>
                <w:lang w:eastAsia="en-US"/>
                <w14:textFill>
                  <w14:solidFill>
                    <w14:schemeClr w14:val="tx1"/>
                  </w14:solidFill>
                </w14:textFill>
              </w:rPr>
            </w:pPr>
          </w:p>
        </w:tc>
        <w:tc>
          <w:tcPr>
            <w:tcW w:w="4634" w:type="dxa"/>
          </w:tcPr>
          <w:p>
            <w:pPr>
              <w:pStyle w:val="391"/>
              <w:autoSpaceDE w:val="0"/>
              <w:autoSpaceDN w:val="0"/>
              <w:spacing w:before="53" w:line="222" w:lineRule="auto"/>
              <w:ind w:right="18"/>
              <w:jc w:val="center"/>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1"/>
                <w:sz w:val="21"/>
                <w:szCs w:val="21"/>
                <w:lang w:eastAsia="zh-CN"/>
                <w14:textFill>
                  <w14:solidFill>
                    <w14:schemeClr w14:val="tx1"/>
                  </w14:solidFill>
                </w14:textFill>
              </w:rPr>
              <w:t>项目施工安全事故风险</w:t>
            </w:r>
            <w:r>
              <w:rPr>
                <w:rFonts w:ascii="Times New Roman" w:hAnsi="Times New Roman" w:eastAsia="Times New Roman" w:cs="Times New Roman"/>
                <w:b w:val="0"/>
                <w:bCs/>
                <w:i/>
                <w:iCs/>
                <w:color w:val="000000" w:themeColor="text1"/>
                <w:spacing w:val="11"/>
                <w:position w:val="-3"/>
                <w:sz w:val="17"/>
                <w:szCs w:val="17"/>
                <w:lang w:eastAsia="zh-CN"/>
                <w14:textFill>
                  <w14:solidFill>
                    <w14:schemeClr w14:val="tx1"/>
                  </w14:solidFill>
                </w14:textFill>
              </w:rPr>
              <w:t>C</w:t>
            </w:r>
            <w:r>
              <w:rPr>
                <w:rFonts w:ascii="Times New Roman" w:hAnsi="Times New Roman" w:eastAsia="Times New Roman" w:cs="Times New Roman"/>
                <w:b w:val="0"/>
                <w:bCs/>
                <w:color w:val="000000" w:themeColor="text1"/>
                <w:spacing w:val="9"/>
                <w:sz w:val="10"/>
                <w:szCs w:val="10"/>
                <w:lang w:eastAsia="zh-CN"/>
                <w14:textFill>
                  <w14:solidFill>
                    <w14:schemeClr w14:val="tx1"/>
                  </w14:solidFill>
                </w14:textFill>
              </w:rPr>
              <w:t>34</w:t>
            </w:r>
          </w:p>
        </w:tc>
        <w:tc>
          <w:tcPr>
            <w:tcW w:w="3228" w:type="dxa"/>
            <w:tcBorders>
              <w:right w:val="single" w:color="000000" w:sz="2" w:space="0"/>
            </w:tcBorders>
          </w:tcPr>
          <w:p>
            <w:pPr>
              <w:pStyle w:val="391"/>
              <w:autoSpaceDE w:val="0"/>
              <w:autoSpaceDN w:val="0"/>
              <w:spacing w:before="81" w:line="229" w:lineRule="auto"/>
              <w:ind w:left="1176"/>
              <w:rPr>
                <w:rFonts w:ascii="Times New Roman" w:hAnsi="Times New Roman" w:cs="Times New Roman" w:eastAsiaTheme="minorEastAsia"/>
                <w:b w:val="0"/>
                <w:bCs/>
                <w:color w:val="000000" w:themeColor="text1"/>
                <w:spacing w:val="8"/>
                <w:sz w:val="21"/>
                <w:szCs w:val="21"/>
                <w14:textFill>
                  <w14:solidFill>
                    <w14:schemeClr w14:val="tx1"/>
                  </w14:solidFill>
                </w14:textFill>
              </w:rPr>
            </w:pPr>
            <w:r>
              <w:rPr>
                <w:rFonts w:ascii="Times New Roman" w:hAnsi="Times New Roman" w:cs="Times New Roman" w:eastAsiaTheme="minorEastAsia"/>
                <w:b w:val="0"/>
                <w:bCs/>
                <w:color w:val="000000" w:themeColor="text1"/>
                <w:spacing w:val="6"/>
                <w:sz w:val="21"/>
                <w:szCs w:val="21"/>
                <w14:textFill>
                  <w14:solidFill>
                    <w14:schemeClr w14:val="tx1"/>
                  </w14:solidFill>
                </w14:textFill>
              </w:rPr>
              <w:t>实施阶段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jc w:val="center"/>
        </w:trPr>
        <w:tc>
          <w:tcPr>
            <w:tcW w:w="1777" w:type="dxa"/>
            <w:vMerge w:val="restart"/>
            <w:tcBorders>
              <w:left w:val="single" w:color="000000" w:sz="2" w:space="0"/>
              <w:right w:val="nil"/>
            </w:tcBorders>
            <w:vAlign w:val="center"/>
          </w:tcPr>
          <w:p>
            <w:pPr>
              <w:pStyle w:val="391"/>
              <w:autoSpaceDE w:val="0"/>
              <w:autoSpaceDN w:val="0"/>
              <w:spacing w:before="203" w:line="166" w:lineRule="auto"/>
              <w:ind w:right="21"/>
              <w:jc w:val="right"/>
              <w:rPr>
                <w:rFonts w:ascii="Times New Roman" w:hAnsi="Times New Roman" w:cs="Times New Roman" w:eastAsiaTheme="minorEastAsia"/>
                <w:b w:val="0"/>
                <w:bCs/>
                <w:color w:val="000000" w:themeColor="text1"/>
                <w:spacing w:val="8"/>
                <w:sz w:val="21"/>
                <w:szCs w:val="21"/>
                <w14:textFill>
                  <w14:solidFill>
                    <w14:schemeClr w14:val="tx1"/>
                  </w14:solidFill>
                </w14:textFill>
              </w:rPr>
            </w:pPr>
            <w:r>
              <w:rPr>
                <w:rFonts w:ascii="Times New Roman" w:hAnsi="Times New Roman" w:cs="Times New Roman" w:eastAsiaTheme="minorEastAsia"/>
                <w:b w:val="0"/>
                <w:bCs/>
                <w:color w:val="000000" w:themeColor="text1"/>
                <w:spacing w:val="8"/>
                <w:sz w:val="21"/>
                <w:szCs w:val="21"/>
                <w14:textFill>
                  <w14:solidFill>
                    <w14:schemeClr w14:val="tx1"/>
                  </w14:solidFill>
                </w14:textFill>
              </w:rPr>
              <w:t>管理制度风险</w:t>
            </w:r>
          </w:p>
        </w:tc>
        <w:tc>
          <w:tcPr>
            <w:tcW w:w="702" w:type="dxa"/>
            <w:vMerge w:val="restart"/>
            <w:tcBorders>
              <w:left w:val="nil"/>
            </w:tcBorders>
            <w:vAlign w:val="center"/>
          </w:tcPr>
          <w:p>
            <w:pPr>
              <w:autoSpaceDE w:val="0"/>
              <w:autoSpaceDN w:val="0"/>
              <w:spacing w:before="107" w:line="198" w:lineRule="auto"/>
              <w:ind w:left="14"/>
              <w:rPr>
                <w:rFonts w:ascii="Times New Roman" w:hAnsi="Times New Roman" w:eastAsiaTheme="minorEastAsia" w:cstheme="minorBidi"/>
                <w:b w:val="0"/>
                <w:bCs/>
                <w:i/>
                <w:iCs/>
                <w:color w:val="000000" w:themeColor="text1"/>
                <w:spacing w:val="4"/>
                <w:position w:val="1"/>
                <w:sz w:val="26"/>
                <w:szCs w:val="26"/>
                <w:lang w:eastAsia="en-US"/>
                <w14:textFill>
                  <w14:solidFill>
                    <w14:schemeClr w14:val="tx1"/>
                  </w14:solidFill>
                </w14:textFill>
              </w:rPr>
            </w:pPr>
            <w:r>
              <w:rPr>
                <w:rFonts w:ascii="Times New Roman" w:hAnsi="Times New Roman" w:eastAsia="Times New Roman" w:cstheme="minorBidi"/>
                <w:b w:val="0"/>
                <w:bCs/>
                <w:i/>
                <w:iCs/>
                <w:color w:val="000000" w:themeColor="text1"/>
                <w:spacing w:val="4"/>
                <w:position w:val="1"/>
                <w:sz w:val="26"/>
                <w:szCs w:val="26"/>
                <w:lang w:eastAsia="en-US"/>
                <w14:textFill>
                  <w14:solidFill>
                    <w14:schemeClr w14:val="tx1"/>
                  </w14:solidFill>
                </w14:textFill>
              </w:rPr>
              <w:t>B</w:t>
            </w:r>
            <w:r>
              <w:rPr>
                <w:rFonts w:ascii="Times New Roman" w:hAnsi="Times New Roman" w:eastAsiaTheme="minorEastAsia" w:cstheme="minorBidi"/>
                <w:b w:val="0"/>
                <w:bCs/>
                <w:color w:val="000000" w:themeColor="text1"/>
                <w:spacing w:val="4"/>
                <w:position w:val="-4"/>
                <w:sz w:val="15"/>
                <w:szCs w:val="15"/>
                <w:lang w:eastAsia="en-US"/>
                <w14:textFill>
                  <w14:solidFill>
                    <w14:schemeClr w14:val="tx1"/>
                  </w14:solidFill>
                </w14:textFill>
              </w:rPr>
              <w:t>4</w:t>
            </w:r>
          </w:p>
        </w:tc>
        <w:tc>
          <w:tcPr>
            <w:tcW w:w="4634" w:type="dxa"/>
          </w:tcPr>
          <w:p>
            <w:pPr>
              <w:pStyle w:val="391"/>
              <w:autoSpaceDE w:val="0"/>
              <w:autoSpaceDN w:val="0"/>
              <w:spacing w:before="92" w:line="222" w:lineRule="auto"/>
              <w:ind w:left="1468"/>
              <w:rPr>
                <w:rFonts w:ascii="Times New Roman" w:hAnsi="Times New Roman" w:cs="Times New Roman" w:eastAsiaTheme="minorEastAsia"/>
                <w:b w:val="0"/>
                <w:bCs/>
                <w:color w:val="000000" w:themeColor="text1"/>
                <w:spacing w:val="9"/>
                <w:sz w:val="21"/>
                <w:szCs w:val="21"/>
                <w14:textFill>
                  <w14:solidFill>
                    <w14:schemeClr w14:val="tx1"/>
                  </w14:solidFill>
                </w14:textFill>
              </w:rPr>
            </w:pPr>
            <w:r>
              <w:rPr>
                <w:rFonts w:ascii="Times New Roman" w:hAnsi="Times New Roman" w:cs="Times New Roman" w:eastAsiaTheme="minorEastAsia"/>
                <w:b w:val="0"/>
                <w:bCs/>
                <w:color w:val="000000" w:themeColor="text1"/>
                <w:spacing w:val="9"/>
                <w:sz w:val="21"/>
                <w:szCs w:val="21"/>
                <w14:textFill>
                  <w14:solidFill>
                    <w14:schemeClr w14:val="tx1"/>
                  </w14:solidFill>
                </w14:textFill>
              </w:rPr>
              <w:t>项目决策风险</w:t>
            </w:r>
            <w:r>
              <w:rPr>
                <w:rFonts w:ascii="Times New Roman" w:hAnsi="Times New Roman" w:eastAsia="Times New Roman" w:cs="Times New Roman"/>
                <w:b w:val="0"/>
                <w:bCs/>
                <w:i/>
                <w:iCs/>
                <w:color w:val="000000" w:themeColor="text1"/>
                <w:spacing w:val="9"/>
                <w:position w:val="6"/>
                <w:sz w:val="17"/>
                <w:szCs w:val="17"/>
                <w14:textFill>
                  <w14:solidFill>
                    <w14:schemeClr w14:val="tx1"/>
                  </w14:solidFill>
                </w14:textFill>
              </w:rPr>
              <w:t>C</w:t>
            </w:r>
            <w:r>
              <w:rPr>
                <w:rFonts w:ascii="Times New Roman" w:hAnsi="Times New Roman" w:eastAsia="Times New Roman" w:cs="Times New Roman"/>
                <w:b w:val="0"/>
                <w:bCs/>
                <w:i/>
                <w:iCs/>
                <w:color w:val="000000" w:themeColor="text1"/>
                <w:spacing w:val="22"/>
                <w:position w:val="6"/>
                <w:sz w:val="17"/>
                <w:szCs w:val="17"/>
                <w14:textFill>
                  <w14:solidFill>
                    <w14:schemeClr w14:val="tx1"/>
                  </w14:solidFill>
                </w14:textFill>
              </w:rPr>
              <w:t xml:space="preserve"> </w:t>
            </w:r>
            <w:r>
              <w:rPr>
                <w:rFonts w:ascii="Times New Roman" w:hAnsi="Times New Roman" w:eastAsia="Times New Roman" w:cs="Times New Roman"/>
                <w:b w:val="0"/>
                <w:bCs/>
                <w:color w:val="000000" w:themeColor="text1"/>
                <w:spacing w:val="9"/>
                <w:position w:val="2"/>
                <w:sz w:val="10"/>
                <w:szCs w:val="10"/>
                <w14:textFill>
                  <w14:solidFill>
                    <w14:schemeClr w14:val="tx1"/>
                  </w14:solidFill>
                </w14:textFill>
              </w:rPr>
              <w:t>41</w:t>
            </w:r>
          </w:p>
        </w:tc>
        <w:tc>
          <w:tcPr>
            <w:tcW w:w="3228" w:type="dxa"/>
            <w:tcBorders>
              <w:right w:val="single" w:color="000000" w:sz="2" w:space="0"/>
            </w:tcBorders>
          </w:tcPr>
          <w:p>
            <w:pPr>
              <w:pStyle w:val="391"/>
              <w:autoSpaceDE w:val="0"/>
              <w:autoSpaceDN w:val="0"/>
              <w:spacing w:before="81" w:line="228" w:lineRule="auto"/>
              <w:ind w:left="848"/>
              <w:rPr>
                <w:rFonts w:ascii="Times New Roman" w:hAnsi="Times New Roman" w:cs="Times New Roman" w:eastAsiaTheme="minorEastAsia"/>
                <w:b w:val="0"/>
                <w:bCs/>
                <w:color w:val="000000" w:themeColor="text1"/>
                <w:spacing w:val="8"/>
                <w:sz w:val="21"/>
                <w:szCs w:val="21"/>
                <w14:textFill>
                  <w14:solidFill>
                    <w14:schemeClr w14:val="tx1"/>
                  </w14:solidFill>
                </w14:textFill>
              </w:rPr>
            </w:pPr>
            <w:r>
              <w:rPr>
                <w:rFonts w:ascii="Times New Roman" w:hAnsi="Times New Roman" w:cs="Times New Roman" w:eastAsiaTheme="minorEastAsia"/>
                <w:b w:val="0"/>
                <w:bCs/>
                <w:color w:val="000000" w:themeColor="text1"/>
                <w:spacing w:val="8"/>
                <w:sz w:val="21"/>
                <w:szCs w:val="21"/>
                <w14:textFill>
                  <w14:solidFill>
                    <w14:schemeClr w14:val="tx1"/>
                  </w14:solidFill>
                </w14:textFill>
              </w:rPr>
              <w:t>决策、准备阶段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jc w:val="center"/>
        </w:trPr>
        <w:tc>
          <w:tcPr>
            <w:tcW w:w="1777" w:type="dxa"/>
            <w:vMerge w:val="continue"/>
            <w:tcBorders>
              <w:left w:val="single" w:color="000000" w:sz="2" w:space="0"/>
              <w:right w:val="nil"/>
            </w:tcBorders>
          </w:tcPr>
          <w:p>
            <w:pPr>
              <w:pStyle w:val="391"/>
              <w:autoSpaceDE w:val="0"/>
              <w:autoSpaceDN w:val="0"/>
              <w:spacing w:before="203" w:line="166" w:lineRule="auto"/>
              <w:ind w:right="21"/>
              <w:jc w:val="right"/>
              <w:rPr>
                <w:rFonts w:ascii="Times New Roman" w:hAnsi="Times New Roman" w:cs="Times New Roman" w:eastAsiaTheme="minorEastAsia"/>
                <w:b w:val="0"/>
                <w:bCs/>
                <w:color w:val="000000" w:themeColor="text1"/>
                <w:spacing w:val="8"/>
                <w:sz w:val="21"/>
                <w:szCs w:val="21"/>
                <w14:textFill>
                  <w14:solidFill>
                    <w14:schemeClr w14:val="tx1"/>
                  </w14:solidFill>
                </w14:textFill>
              </w:rPr>
            </w:pPr>
          </w:p>
        </w:tc>
        <w:tc>
          <w:tcPr>
            <w:tcW w:w="702" w:type="dxa"/>
            <w:vMerge w:val="continue"/>
            <w:tcBorders>
              <w:left w:val="nil"/>
            </w:tcBorders>
          </w:tcPr>
          <w:p>
            <w:pPr>
              <w:autoSpaceDE w:val="0"/>
              <w:autoSpaceDN w:val="0"/>
              <w:spacing w:before="107" w:line="198" w:lineRule="auto"/>
              <w:ind w:left="14"/>
              <w:rPr>
                <w:rFonts w:ascii="Times New Roman" w:hAnsi="Times New Roman" w:eastAsia="Times New Roman" w:cstheme="minorBidi"/>
                <w:b w:val="0"/>
                <w:bCs/>
                <w:i/>
                <w:iCs/>
                <w:color w:val="000000" w:themeColor="text1"/>
                <w:spacing w:val="4"/>
                <w:position w:val="1"/>
                <w:sz w:val="26"/>
                <w:szCs w:val="26"/>
                <w:lang w:eastAsia="en-US"/>
                <w14:textFill>
                  <w14:solidFill>
                    <w14:schemeClr w14:val="tx1"/>
                  </w14:solidFill>
                </w14:textFill>
              </w:rPr>
            </w:pPr>
          </w:p>
        </w:tc>
        <w:tc>
          <w:tcPr>
            <w:tcW w:w="4634" w:type="dxa"/>
          </w:tcPr>
          <w:p>
            <w:pPr>
              <w:pStyle w:val="391"/>
              <w:autoSpaceDE w:val="0"/>
              <w:autoSpaceDN w:val="0"/>
              <w:spacing w:before="92" w:line="223" w:lineRule="auto"/>
              <w:ind w:left="589"/>
              <w:rPr>
                <w:rFonts w:ascii="Times New Roman" w:hAnsi="Times New Roman" w:cs="Times New Roman" w:eastAsiaTheme="minorEastAsia"/>
                <w:b w:val="0"/>
                <w:bCs/>
                <w:color w:val="000000" w:themeColor="text1"/>
                <w:spacing w:val="9"/>
                <w:sz w:val="21"/>
                <w:szCs w:val="21"/>
                <w:lang w:eastAsia="zh-CN"/>
                <w14:textFill>
                  <w14:solidFill>
                    <w14:schemeClr w14:val="tx1"/>
                  </w14:solidFill>
                </w14:textFill>
              </w:rPr>
            </w:pPr>
            <w:r>
              <w:rPr>
                <w:rFonts w:ascii="Times New Roman" w:hAnsi="Times New Roman" w:cs="Times New Roman" w:eastAsiaTheme="minorEastAsia"/>
                <w:b w:val="0"/>
                <w:bCs/>
                <w:color w:val="000000" w:themeColor="text1"/>
                <w:spacing w:val="9"/>
                <w:sz w:val="21"/>
                <w:szCs w:val="21"/>
                <w:lang w:eastAsia="zh-CN"/>
                <w14:textFill>
                  <w14:solidFill>
                    <w14:schemeClr w14:val="tx1"/>
                  </w14:solidFill>
                </w14:textFill>
              </w:rPr>
              <w:t>项目合法合理性遭受质疑的风险</w:t>
            </w:r>
            <w:r>
              <w:rPr>
                <w:rFonts w:ascii="Times New Roman" w:hAnsi="Times New Roman" w:eastAsia="Times New Roman" w:cs="Times New Roman"/>
                <w:b w:val="0"/>
                <w:bCs/>
                <w:i/>
                <w:iCs/>
                <w:color w:val="000000" w:themeColor="text1"/>
                <w:spacing w:val="9"/>
                <w:position w:val="6"/>
                <w:sz w:val="17"/>
                <w:szCs w:val="17"/>
                <w:lang w:eastAsia="zh-CN"/>
                <w14:textFill>
                  <w14:solidFill>
                    <w14:schemeClr w14:val="tx1"/>
                  </w14:solidFill>
                </w14:textFill>
              </w:rPr>
              <w:t>C</w:t>
            </w:r>
            <w:r>
              <w:rPr>
                <w:rFonts w:ascii="Times New Roman" w:hAnsi="Times New Roman" w:eastAsia="Times New Roman" w:cs="Times New Roman"/>
                <w:b w:val="0"/>
                <w:bCs/>
                <w:i/>
                <w:iCs/>
                <w:color w:val="000000" w:themeColor="text1"/>
                <w:spacing w:val="28"/>
                <w:position w:val="6"/>
                <w:sz w:val="17"/>
                <w:szCs w:val="17"/>
                <w:lang w:eastAsia="zh-CN"/>
                <w14:textFill>
                  <w14:solidFill>
                    <w14:schemeClr w14:val="tx1"/>
                  </w14:solidFill>
                </w14:textFill>
              </w:rPr>
              <w:t xml:space="preserve"> </w:t>
            </w:r>
            <w:r>
              <w:rPr>
                <w:rFonts w:ascii="Times New Roman" w:hAnsi="Times New Roman" w:eastAsia="Times New Roman" w:cs="Times New Roman"/>
                <w:b w:val="0"/>
                <w:bCs/>
                <w:color w:val="000000" w:themeColor="text1"/>
                <w:spacing w:val="9"/>
                <w:position w:val="2"/>
                <w:sz w:val="10"/>
                <w:szCs w:val="10"/>
                <w:lang w:eastAsia="zh-CN"/>
                <w14:textFill>
                  <w14:solidFill>
                    <w14:schemeClr w14:val="tx1"/>
                  </w14:solidFill>
                </w14:textFill>
              </w:rPr>
              <w:t>42</w:t>
            </w:r>
          </w:p>
        </w:tc>
        <w:tc>
          <w:tcPr>
            <w:tcW w:w="3228" w:type="dxa"/>
            <w:tcBorders>
              <w:right w:val="single" w:color="000000" w:sz="2" w:space="0"/>
            </w:tcBorders>
          </w:tcPr>
          <w:p>
            <w:pPr>
              <w:pStyle w:val="391"/>
              <w:autoSpaceDE w:val="0"/>
              <w:autoSpaceDN w:val="0"/>
              <w:spacing w:before="81" w:line="228" w:lineRule="auto"/>
              <w:ind w:left="848"/>
              <w:rPr>
                <w:rFonts w:ascii="Times New Roman" w:hAnsi="Times New Roman" w:cs="Times New Roman" w:eastAsiaTheme="minorEastAsia"/>
                <w:b w:val="0"/>
                <w:bCs/>
                <w:color w:val="000000" w:themeColor="text1"/>
                <w:spacing w:val="8"/>
                <w:sz w:val="21"/>
                <w:szCs w:val="21"/>
                <w14:textFill>
                  <w14:solidFill>
                    <w14:schemeClr w14:val="tx1"/>
                  </w14:solidFill>
                </w14:textFill>
              </w:rPr>
            </w:pPr>
            <w:r>
              <w:rPr>
                <w:rFonts w:ascii="Times New Roman" w:hAnsi="Times New Roman" w:cs="Times New Roman" w:eastAsiaTheme="minorEastAsia"/>
                <w:b w:val="0"/>
                <w:bCs/>
                <w:color w:val="000000" w:themeColor="text1"/>
                <w:spacing w:val="8"/>
                <w:sz w:val="21"/>
                <w:szCs w:val="21"/>
                <w14:textFill>
                  <w14:solidFill>
                    <w14:schemeClr w14:val="tx1"/>
                  </w14:solidFill>
                </w14:textFill>
              </w:rPr>
              <w:t>决策、准备阶段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jc w:val="center"/>
        </w:trPr>
        <w:tc>
          <w:tcPr>
            <w:tcW w:w="1777" w:type="dxa"/>
            <w:vMerge w:val="continue"/>
            <w:tcBorders>
              <w:left w:val="single" w:color="000000" w:sz="2" w:space="0"/>
              <w:right w:val="nil"/>
            </w:tcBorders>
          </w:tcPr>
          <w:p>
            <w:pPr>
              <w:pStyle w:val="391"/>
              <w:autoSpaceDE w:val="0"/>
              <w:autoSpaceDN w:val="0"/>
              <w:spacing w:before="203" w:line="166" w:lineRule="auto"/>
              <w:ind w:right="21"/>
              <w:jc w:val="right"/>
              <w:rPr>
                <w:rFonts w:ascii="Times New Roman" w:hAnsi="Times New Roman" w:cs="Times New Roman" w:eastAsiaTheme="minorEastAsia"/>
                <w:b w:val="0"/>
                <w:bCs/>
                <w:color w:val="000000" w:themeColor="text1"/>
                <w:spacing w:val="8"/>
                <w:sz w:val="21"/>
                <w:szCs w:val="21"/>
                <w14:textFill>
                  <w14:solidFill>
                    <w14:schemeClr w14:val="tx1"/>
                  </w14:solidFill>
                </w14:textFill>
              </w:rPr>
            </w:pPr>
          </w:p>
        </w:tc>
        <w:tc>
          <w:tcPr>
            <w:tcW w:w="702" w:type="dxa"/>
            <w:vMerge w:val="continue"/>
            <w:tcBorders>
              <w:left w:val="nil"/>
            </w:tcBorders>
          </w:tcPr>
          <w:p>
            <w:pPr>
              <w:autoSpaceDE w:val="0"/>
              <w:autoSpaceDN w:val="0"/>
              <w:spacing w:before="107" w:line="198" w:lineRule="auto"/>
              <w:ind w:left="14"/>
              <w:rPr>
                <w:rFonts w:ascii="Times New Roman" w:hAnsi="Times New Roman" w:eastAsia="Times New Roman" w:cstheme="minorBidi"/>
                <w:b w:val="0"/>
                <w:bCs/>
                <w:i/>
                <w:iCs/>
                <w:color w:val="000000" w:themeColor="text1"/>
                <w:spacing w:val="4"/>
                <w:position w:val="1"/>
                <w:sz w:val="26"/>
                <w:szCs w:val="26"/>
                <w:lang w:eastAsia="en-US"/>
                <w14:textFill>
                  <w14:solidFill>
                    <w14:schemeClr w14:val="tx1"/>
                  </w14:solidFill>
                </w14:textFill>
              </w:rPr>
            </w:pPr>
          </w:p>
        </w:tc>
        <w:tc>
          <w:tcPr>
            <w:tcW w:w="4634" w:type="dxa"/>
          </w:tcPr>
          <w:p>
            <w:pPr>
              <w:pStyle w:val="391"/>
              <w:autoSpaceDE w:val="0"/>
              <w:autoSpaceDN w:val="0"/>
              <w:spacing w:before="86" w:line="219" w:lineRule="auto"/>
              <w:ind w:left="1028"/>
              <w:rPr>
                <w:rFonts w:ascii="Times New Roman" w:hAnsi="Times New Roman" w:cs="Times New Roman" w:eastAsiaTheme="minorEastAsia"/>
                <w:b w:val="0"/>
                <w:bCs/>
                <w:color w:val="000000" w:themeColor="text1"/>
                <w:spacing w:val="9"/>
                <w:sz w:val="21"/>
                <w:szCs w:val="21"/>
                <w:lang w:eastAsia="zh-CN"/>
                <w14:textFill>
                  <w14:solidFill>
                    <w14:schemeClr w14:val="tx1"/>
                  </w14:solidFill>
                </w14:textFill>
              </w:rPr>
            </w:pPr>
            <w:r>
              <w:rPr>
                <w:rFonts w:ascii="Times New Roman" w:hAnsi="Times New Roman" w:cs="Times New Roman" w:eastAsiaTheme="minorEastAsia"/>
                <w:b w:val="0"/>
                <w:bCs/>
                <w:color w:val="000000" w:themeColor="text1"/>
                <w:spacing w:val="9"/>
                <w:sz w:val="21"/>
                <w:szCs w:val="21"/>
                <w:lang w:eastAsia="zh-CN"/>
                <w14:textFill>
                  <w14:solidFill>
                    <w14:schemeClr w14:val="tx1"/>
                  </w14:solidFill>
                </w14:textFill>
              </w:rPr>
              <w:t>项目建设管理制度风险</w:t>
            </w:r>
            <w:r>
              <w:rPr>
                <w:rFonts w:ascii="Times New Roman" w:hAnsi="Times New Roman" w:eastAsia="Times New Roman" w:cs="Times New Roman"/>
                <w:b w:val="0"/>
                <w:bCs/>
                <w:i/>
                <w:iCs/>
                <w:color w:val="000000" w:themeColor="text1"/>
                <w:spacing w:val="9"/>
                <w:position w:val="8"/>
                <w:sz w:val="17"/>
                <w:szCs w:val="17"/>
                <w:lang w:eastAsia="zh-CN"/>
                <w14:textFill>
                  <w14:solidFill>
                    <w14:schemeClr w14:val="tx1"/>
                  </w14:solidFill>
                </w14:textFill>
              </w:rPr>
              <w:t>C</w:t>
            </w:r>
            <w:r>
              <w:rPr>
                <w:rFonts w:ascii="Times New Roman" w:hAnsi="Times New Roman" w:eastAsia="Times New Roman" w:cs="Times New Roman"/>
                <w:b w:val="0"/>
                <w:bCs/>
                <w:i/>
                <w:iCs/>
                <w:color w:val="000000" w:themeColor="text1"/>
                <w:spacing w:val="26"/>
                <w:position w:val="8"/>
                <w:sz w:val="17"/>
                <w:szCs w:val="17"/>
                <w:lang w:eastAsia="zh-CN"/>
                <w14:textFill>
                  <w14:solidFill>
                    <w14:schemeClr w14:val="tx1"/>
                  </w14:solidFill>
                </w14:textFill>
              </w:rPr>
              <w:t xml:space="preserve"> </w:t>
            </w:r>
            <w:r>
              <w:rPr>
                <w:rFonts w:ascii="Times New Roman" w:hAnsi="Times New Roman" w:eastAsia="Times New Roman" w:cs="Times New Roman"/>
                <w:b w:val="0"/>
                <w:bCs/>
                <w:color w:val="000000" w:themeColor="text1"/>
                <w:spacing w:val="9"/>
                <w:position w:val="3"/>
                <w:sz w:val="10"/>
                <w:szCs w:val="10"/>
                <w:lang w:eastAsia="zh-CN"/>
                <w14:textFill>
                  <w14:solidFill>
                    <w14:schemeClr w14:val="tx1"/>
                  </w14:solidFill>
                </w14:textFill>
              </w:rPr>
              <w:t>43</w:t>
            </w:r>
          </w:p>
        </w:tc>
        <w:tc>
          <w:tcPr>
            <w:tcW w:w="3228" w:type="dxa"/>
            <w:tcBorders>
              <w:right w:val="single" w:color="000000" w:sz="2" w:space="0"/>
            </w:tcBorders>
          </w:tcPr>
          <w:p>
            <w:pPr>
              <w:pStyle w:val="391"/>
              <w:autoSpaceDE w:val="0"/>
              <w:autoSpaceDN w:val="0"/>
              <w:spacing w:before="81" w:line="229" w:lineRule="auto"/>
              <w:ind w:left="1176"/>
              <w:rPr>
                <w:rFonts w:ascii="Times New Roman" w:hAnsi="Times New Roman" w:cs="Times New Roman" w:eastAsiaTheme="minorEastAsia"/>
                <w:b w:val="0"/>
                <w:bCs/>
                <w:color w:val="000000" w:themeColor="text1"/>
                <w:spacing w:val="8"/>
                <w:sz w:val="21"/>
                <w:szCs w:val="21"/>
                <w14:textFill>
                  <w14:solidFill>
                    <w14:schemeClr w14:val="tx1"/>
                  </w14:solidFill>
                </w14:textFill>
              </w:rPr>
            </w:pPr>
            <w:r>
              <w:rPr>
                <w:rFonts w:ascii="Times New Roman" w:hAnsi="Times New Roman" w:cs="Times New Roman" w:eastAsiaTheme="minorEastAsia"/>
                <w:b w:val="0"/>
                <w:bCs/>
                <w:color w:val="000000" w:themeColor="text1"/>
                <w:spacing w:val="6"/>
                <w:sz w:val="21"/>
                <w:szCs w:val="21"/>
                <w14:textFill>
                  <w14:solidFill>
                    <w14:schemeClr w14:val="tx1"/>
                  </w14:solidFill>
                </w14:textFill>
              </w:rPr>
              <w:t>实施阶段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jc w:val="center"/>
        </w:trPr>
        <w:tc>
          <w:tcPr>
            <w:tcW w:w="1777" w:type="dxa"/>
            <w:vMerge w:val="continue"/>
            <w:tcBorders>
              <w:left w:val="single" w:color="000000" w:sz="2" w:space="0"/>
              <w:bottom w:val="single" w:color="000000" w:sz="10" w:space="0"/>
              <w:right w:val="nil"/>
            </w:tcBorders>
          </w:tcPr>
          <w:p>
            <w:pPr>
              <w:pStyle w:val="391"/>
              <w:autoSpaceDE w:val="0"/>
              <w:autoSpaceDN w:val="0"/>
              <w:spacing w:before="203" w:line="166" w:lineRule="auto"/>
              <w:ind w:right="21"/>
              <w:jc w:val="right"/>
              <w:rPr>
                <w:rFonts w:ascii="Times New Roman" w:hAnsi="Times New Roman" w:cs="Times New Roman" w:eastAsiaTheme="minorEastAsia"/>
                <w:b w:val="0"/>
                <w:bCs/>
                <w:color w:val="000000" w:themeColor="text1"/>
                <w:spacing w:val="8"/>
                <w:sz w:val="21"/>
                <w:szCs w:val="21"/>
                <w14:textFill>
                  <w14:solidFill>
                    <w14:schemeClr w14:val="tx1"/>
                  </w14:solidFill>
                </w14:textFill>
              </w:rPr>
            </w:pPr>
          </w:p>
        </w:tc>
        <w:tc>
          <w:tcPr>
            <w:tcW w:w="702" w:type="dxa"/>
            <w:vMerge w:val="continue"/>
            <w:tcBorders>
              <w:left w:val="nil"/>
              <w:bottom w:val="single" w:color="000000" w:sz="10" w:space="0"/>
            </w:tcBorders>
          </w:tcPr>
          <w:p>
            <w:pPr>
              <w:autoSpaceDE w:val="0"/>
              <w:autoSpaceDN w:val="0"/>
              <w:spacing w:before="107" w:line="198" w:lineRule="auto"/>
              <w:ind w:left="14"/>
              <w:rPr>
                <w:rFonts w:ascii="Times New Roman" w:hAnsi="Times New Roman" w:eastAsia="Times New Roman" w:cstheme="minorBidi"/>
                <w:b w:val="0"/>
                <w:bCs/>
                <w:i/>
                <w:iCs/>
                <w:color w:val="000000" w:themeColor="text1"/>
                <w:spacing w:val="4"/>
                <w:position w:val="1"/>
                <w:sz w:val="26"/>
                <w:szCs w:val="26"/>
                <w:lang w:eastAsia="en-US"/>
                <w14:textFill>
                  <w14:solidFill>
                    <w14:schemeClr w14:val="tx1"/>
                  </w14:solidFill>
                </w14:textFill>
              </w:rPr>
            </w:pPr>
          </w:p>
        </w:tc>
        <w:tc>
          <w:tcPr>
            <w:tcW w:w="4634" w:type="dxa"/>
            <w:tcBorders>
              <w:bottom w:val="single" w:color="000000" w:sz="10" w:space="0"/>
            </w:tcBorders>
          </w:tcPr>
          <w:p>
            <w:pPr>
              <w:pStyle w:val="391"/>
              <w:autoSpaceDE w:val="0"/>
              <w:autoSpaceDN w:val="0"/>
              <w:spacing w:before="92" w:line="223" w:lineRule="auto"/>
              <w:ind w:left="1358"/>
              <w:rPr>
                <w:rFonts w:ascii="Times New Roman" w:hAnsi="Times New Roman" w:cs="Times New Roman" w:eastAsiaTheme="minorEastAsia"/>
                <w:b w:val="0"/>
                <w:bCs/>
                <w:color w:val="000000" w:themeColor="text1"/>
                <w:spacing w:val="9"/>
                <w:sz w:val="21"/>
                <w:szCs w:val="21"/>
                <w14:textFill>
                  <w14:solidFill>
                    <w14:schemeClr w14:val="tx1"/>
                  </w14:solidFill>
                </w14:textFill>
              </w:rPr>
            </w:pPr>
            <w:r>
              <w:rPr>
                <w:rFonts w:ascii="Times New Roman" w:hAnsi="Times New Roman" w:cs="Times New Roman" w:eastAsiaTheme="minorEastAsia"/>
                <w:b w:val="0"/>
                <w:bCs/>
                <w:color w:val="000000" w:themeColor="text1"/>
                <w:spacing w:val="9"/>
                <w:sz w:val="21"/>
                <w:szCs w:val="21"/>
                <w14:textFill>
                  <w14:solidFill>
                    <w14:schemeClr w14:val="tx1"/>
                  </w14:solidFill>
                </w14:textFill>
              </w:rPr>
              <w:t>项目招投标风险</w:t>
            </w:r>
            <w:r>
              <w:rPr>
                <w:rFonts w:ascii="Times New Roman" w:hAnsi="Times New Roman" w:eastAsia="Times New Roman" w:cs="Times New Roman"/>
                <w:b w:val="0"/>
                <w:bCs/>
                <w:i/>
                <w:iCs/>
                <w:color w:val="000000" w:themeColor="text1"/>
                <w:spacing w:val="9"/>
                <w:position w:val="6"/>
                <w:sz w:val="17"/>
                <w:szCs w:val="17"/>
                <w14:textFill>
                  <w14:solidFill>
                    <w14:schemeClr w14:val="tx1"/>
                  </w14:solidFill>
                </w14:textFill>
              </w:rPr>
              <w:t>C</w:t>
            </w:r>
            <w:r>
              <w:rPr>
                <w:rFonts w:ascii="Times New Roman" w:hAnsi="Times New Roman" w:eastAsia="Times New Roman" w:cs="Times New Roman"/>
                <w:b w:val="0"/>
                <w:bCs/>
                <w:i/>
                <w:iCs/>
                <w:color w:val="000000" w:themeColor="text1"/>
                <w:spacing w:val="22"/>
                <w:w w:val="101"/>
                <w:position w:val="6"/>
                <w:sz w:val="17"/>
                <w:szCs w:val="17"/>
                <w14:textFill>
                  <w14:solidFill>
                    <w14:schemeClr w14:val="tx1"/>
                  </w14:solidFill>
                </w14:textFill>
              </w:rPr>
              <w:t xml:space="preserve"> </w:t>
            </w:r>
            <w:r>
              <w:rPr>
                <w:rFonts w:ascii="Times New Roman" w:hAnsi="Times New Roman" w:eastAsia="Times New Roman" w:cs="Times New Roman"/>
                <w:b w:val="0"/>
                <w:bCs/>
                <w:color w:val="000000" w:themeColor="text1"/>
                <w:spacing w:val="9"/>
                <w:position w:val="2"/>
                <w:sz w:val="10"/>
                <w:szCs w:val="10"/>
                <w14:textFill>
                  <w14:solidFill>
                    <w14:schemeClr w14:val="tx1"/>
                  </w14:solidFill>
                </w14:textFill>
              </w:rPr>
              <w:t>44</w:t>
            </w:r>
          </w:p>
        </w:tc>
        <w:tc>
          <w:tcPr>
            <w:tcW w:w="3228" w:type="dxa"/>
            <w:tcBorders>
              <w:bottom w:val="single" w:color="000000" w:sz="10" w:space="0"/>
              <w:right w:val="single" w:color="000000" w:sz="2" w:space="0"/>
            </w:tcBorders>
          </w:tcPr>
          <w:p>
            <w:pPr>
              <w:pStyle w:val="391"/>
              <w:autoSpaceDE w:val="0"/>
              <w:autoSpaceDN w:val="0"/>
              <w:spacing w:before="82" w:line="228" w:lineRule="auto"/>
              <w:ind w:left="518"/>
              <w:rPr>
                <w:rFonts w:ascii="Times New Roman" w:hAnsi="Times New Roman" w:cs="Times New Roman" w:eastAsiaTheme="minorEastAsia"/>
                <w:b w:val="0"/>
                <w:bCs/>
                <w:color w:val="000000" w:themeColor="text1"/>
                <w:spacing w:val="8"/>
                <w:sz w:val="21"/>
                <w:szCs w:val="21"/>
                <w:lang w:eastAsia="zh-CN"/>
                <w14:textFill>
                  <w14:solidFill>
                    <w14:schemeClr w14:val="tx1"/>
                  </w14:solidFill>
                </w14:textFill>
              </w:rPr>
            </w:pPr>
            <w:r>
              <w:rPr>
                <w:rFonts w:ascii="Times New Roman" w:hAnsi="Times New Roman" w:cs="Times New Roman" w:eastAsiaTheme="minorEastAsia"/>
                <w:b w:val="0"/>
                <w:bCs/>
                <w:color w:val="000000" w:themeColor="text1"/>
                <w:spacing w:val="8"/>
                <w:sz w:val="21"/>
                <w:szCs w:val="21"/>
                <w:lang w:eastAsia="zh-CN"/>
                <w14:textFill>
                  <w14:solidFill>
                    <w14:schemeClr w14:val="tx1"/>
                  </w14:solidFill>
                </w14:textFill>
              </w:rPr>
              <w:t>决策、准备、实施阶段</w:t>
            </w:r>
          </w:p>
        </w:tc>
      </w:tr>
    </w:tbl>
    <w:p>
      <w:pPr>
        <w:spacing w:line="300" w:lineRule="auto"/>
        <w:ind w:firstLine="562" w:firstLineChars="200"/>
        <w:rPr>
          <w:rFonts w:ascii="Times New Roman" w:hAnsi="Times New Roman"/>
          <w:b w:val="0"/>
          <w:color w:val="auto"/>
          <w:sz w:val="24"/>
          <w:szCs w:val="20"/>
        </w:rPr>
      </w:pPr>
      <w:r>
        <w:rPr>
          <w:rFonts w:ascii="Times New Roman" w:hAnsi="Times New Roman"/>
        </w:rPr>
        <w:drawing>
          <wp:inline distT="0" distB="0" distL="114300" distR="114300">
            <wp:extent cx="6198235" cy="4471670"/>
            <wp:effectExtent l="0" t="0" r="12065" b="5080"/>
            <wp:docPr id="442"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图片 86"/>
                    <pic:cNvPicPr>
                      <a:picLocks noChangeAspect="1"/>
                    </pic:cNvPicPr>
                  </pic:nvPicPr>
                  <pic:blipFill>
                    <a:blip r:embed="rId289"/>
                    <a:stretch>
                      <a:fillRect/>
                    </a:stretch>
                  </pic:blipFill>
                  <pic:spPr>
                    <a:xfrm>
                      <a:off x="0" y="0"/>
                      <a:ext cx="6198235" cy="4471670"/>
                    </a:xfrm>
                    <a:prstGeom prst="rect">
                      <a:avLst/>
                    </a:prstGeom>
                    <a:noFill/>
                    <a:ln>
                      <a:noFill/>
                    </a:ln>
                  </pic:spPr>
                </pic:pic>
              </a:graphicData>
            </a:graphic>
          </wp:inline>
        </w:drawing>
      </w:r>
    </w:p>
    <w:p>
      <w:pPr>
        <w:pStyle w:val="3"/>
        <w:ind w:firstLine="562" w:firstLineChars="200"/>
      </w:pPr>
      <w:bookmarkStart w:id="473" w:name="_Toc9553"/>
      <w:r>
        <w:t>风险估计</w:t>
      </w:r>
      <w:bookmarkEnd w:id="473"/>
    </w:p>
    <w:p>
      <w:pPr>
        <w:pStyle w:val="4"/>
        <w:spacing w:line="300" w:lineRule="auto"/>
        <w:ind w:firstLine="482" w:firstLineChars="200"/>
      </w:pPr>
      <w:bookmarkStart w:id="474" w:name="_Toc30684"/>
      <w:r>
        <w:t>风险估计的指标体系</w:t>
      </w:r>
      <w:bookmarkEnd w:id="474"/>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本项目谨根据《评估暂行办法》的宏观要求，分别从单因素风险和项目整体风险两个层面提出切实、合理的评价标准。</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（1）单因素风险评价标准</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风险评价主要考虑风险事件发生的可能性与事件影响程度两个方面，因此需要从这两个方面进行分析，最终给出风险评价的等级。本次分析中，风险概率划分为很高、较高、中等、较低、很低五个等级，风险影响也划分为严重影响、较大影响、中等影响、较小影响和可忽略影响五个级别，具体参考标准见下表所示。</w:t>
      </w:r>
    </w:p>
    <w:p>
      <w:pPr>
        <w:spacing w:before="143" w:line="220" w:lineRule="auto"/>
        <w:ind w:left="3858" w:firstLine="478" w:firstLineChars="200"/>
        <w:rPr>
          <w:rFonts w:ascii="Times New Roman" w:hAnsi="Times New Roman"/>
          <w:sz w:val="24"/>
          <w:szCs w:val="24"/>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单因素风险概率评判参考标准</w:t>
      </w:r>
    </w:p>
    <w:tbl>
      <w:tblPr>
        <w:tblStyle w:val="379"/>
        <w:tblW w:w="10341" w:type="dxa"/>
        <w:tblInd w:w="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396"/>
        <w:gridCol w:w="2411"/>
        <w:gridCol w:w="5138"/>
        <w:gridCol w:w="139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trPr>
        <w:tc>
          <w:tcPr>
            <w:tcW w:w="1396" w:type="dxa"/>
            <w:tcBorders>
              <w:top w:val="single" w:color="000000" w:sz="2" w:space="0"/>
              <w:left w:val="single" w:color="000000" w:sz="2" w:space="0"/>
            </w:tcBorders>
          </w:tcPr>
          <w:p>
            <w:pPr>
              <w:pStyle w:val="391"/>
              <w:autoSpaceDE w:val="0"/>
              <w:autoSpaceDN w:val="0"/>
              <w:spacing w:before="75" w:line="211" w:lineRule="auto"/>
              <w:ind w:left="457"/>
              <w:rPr>
                <w:rFonts w:ascii="Times New Roman" w:hAnsi="Times New Roman" w:cs="Times New Roman" w:eastAsiaTheme="minorEastAsia"/>
              </w:rPr>
            </w:pPr>
            <w:r>
              <w:rPr>
                <w:rFonts w:ascii="Times New Roman" w:hAnsi="Times New Roman" w:cs="Times New Roman" w:eastAsiaTheme="minorEastAsia"/>
                <w14:textOutline w14:w="3048" w14:cap="flat" w14:cmpd="sng" w14:algn="ctr">
                  <w14:solidFill>
                    <w14:srgbClr w14:val="000000"/>
                  </w14:solidFill>
                  <w14:prstDash w14:val="solid"/>
                  <w14:miter w14:val="0"/>
                </w14:textOutline>
              </w:rPr>
              <w:t>等级</w:t>
            </w:r>
          </w:p>
        </w:tc>
        <w:tc>
          <w:tcPr>
            <w:tcW w:w="2411" w:type="dxa"/>
            <w:tcBorders>
              <w:top w:val="single" w:color="000000" w:sz="2" w:space="0"/>
            </w:tcBorders>
          </w:tcPr>
          <w:p>
            <w:pPr>
              <w:pStyle w:val="391"/>
              <w:autoSpaceDE w:val="0"/>
              <w:autoSpaceDN w:val="0"/>
              <w:spacing w:before="75" w:line="211" w:lineRule="auto"/>
              <w:ind w:left="455"/>
              <w:rPr>
                <w:rFonts w:ascii="Times New Roman" w:hAnsi="Times New Roman" w:cs="Times New Roman" w:eastAsiaTheme="minorEastAsia"/>
              </w:rPr>
            </w:pPr>
            <w:r>
              <w:rPr>
                <w:rFonts w:ascii="Times New Roman" w:hAnsi="Times New Roman" w:cs="Times New Roman" w:eastAsiaTheme="minorEastAsia"/>
                <w:spacing w:val="8"/>
                <w14:textOutline w14:w="3048" w14:cap="flat" w14:cmpd="sng" w14:algn="ctr">
                  <w14:solidFill>
                    <w14:srgbClr w14:val="000000"/>
                  </w14:solidFill>
                  <w14:prstDash w14:val="solid"/>
                  <w14:miter w14:val="0"/>
                </w14:textOutline>
              </w:rPr>
              <w:t>定量评判标准</w:t>
            </w:r>
          </w:p>
        </w:tc>
        <w:tc>
          <w:tcPr>
            <w:tcW w:w="5138" w:type="dxa"/>
            <w:tcBorders>
              <w:top w:val="single" w:color="000000" w:sz="2" w:space="0"/>
            </w:tcBorders>
          </w:tcPr>
          <w:p>
            <w:pPr>
              <w:pStyle w:val="391"/>
              <w:autoSpaceDE w:val="0"/>
              <w:autoSpaceDN w:val="0"/>
              <w:spacing w:before="75" w:line="211" w:lineRule="auto"/>
              <w:ind w:left="1820"/>
              <w:rPr>
                <w:rFonts w:ascii="Times New Roman" w:hAnsi="Times New Roman" w:cs="Times New Roman" w:eastAsiaTheme="minorEastAsia"/>
              </w:rPr>
            </w:pPr>
            <w:r>
              <w:rPr>
                <w:rFonts w:ascii="Times New Roman" w:hAnsi="Times New Roman" w:cs="Times New Roman" w:eastAsiaTheme="minorEastAsia"/>
                <w:spacing w:val="8"/>
                <w14:textOutline w14:w="3048" w14:cap="flat" w14:cmpd="sng" w14:algn="ctr">
                  <w14:solidFill>
                    <w14:srgbClr w14:val="000000"/>
                  </w14:solidFill>
                  <w14:prstDash w14:val="solid"/>
                  <w14:miter w14:val="0"/>
                </w14:textOutline>
              </w:rPr>
              <w:t>定性评判标准</w:t>
            </w:r>
          </w:p>
        </w:tc>
        <w:tc>
          <w:tcPr>
            <w:tcW w:w="1396" w:type="dxa"/>
            <w:tcBorders>
              <w:top w:val="single" w:color="000000" w:sz="2" w:space="0"/>
              <w:right w:val="single" w:color="000000" w:sz="2" w:space="0"/>
            </w:tcBorders>
          </w:tcPr>
          <w:p>
            <w:pPr>
              <w:pStyle w:val="391"/>
              <w:autoSpaceDE w:val="0"/>
              <w:autoSpaceDN w:val="0"/>
              <w:spacing w:before="75" w:line="211" w:lineRule="auto"/>
              <w:ind w:left="442"/>
              <w:rPr>
                <w:rFonts w:ascii="Times New Roman" w:hAnsi="Times New Roman" w:cs="Times New Roman" w:eastAsiaTheme="minorEastAsia"/>
              </w:rPr>
            </w:pPr>
            <w:r>
              <w:rPr>
                <w:rFonts w:ascii="Times New Roman" w:hAnsi="Times New Roman" w:cs="Times New Roman" w:eastAsiaTheme="minorEastAsia"/>
                <w:spacing w:val="2"/>
                <w14:textOutline w14:w="3048" w14:cap="flat" w14:cmpd="sng" w14:algn="ctr">
                  <w14:solidFill>
                    <w14:srgbClr w14:val="000000"/>
                  </w14:solidFill>
                  <w14:prstDash w14:val="solid"/>
                  <w14:miter w14:val="0"/>
                </w14:textOutline>
              </w:rPr>
              <w:t>表示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3" w:hRule="atLeast"/>
        </w:trPr>
        <w:tc>
          <w:tcPr>
            <w:tcW w:w="1396" w:type="dxa"/>
            <w:tcBorders>
              <w:left w:val="single" w:color="000000" w:sz="2" w:space="0"/>
            </w:tcBorders>
          </w:tcPr>
          <w:p>
            <w:pPr>
              <w:pStyle w:val="391"/>
              <w:autoSpaceDE w:val="0"/>
              <w:autoSpaceDN w:val="0"/>
              <w:spacing w:before="50" w:line="210" w:lineRule="auto"/>
              <w:ind w:left="458"/>
              <w:rPr>
                <w:rFonts w:ascii="Times New Roman" w:hAnsi="Times New Roman" w:cs="Times New Roman" w:eastAsiaTheme="minorEastAsia"/>
              </w:rPr>
            </w:pPr>
            <w:r>
              <w:rPr>
                <w:rFonts w:ascii="Times New Roman" w:hAnsi="Times New Roman" w:cs="Times New Roman" w:eastAsiaTheme="minorEastAsia"/>
              </w:rPr>
              <w:t>很高</w:t>
            </w:r>
          </w:p>
        </w:tc>
        <w:tc>
          <w:tcPr>
            <w:tcW w:w="2411" w:type="dxa"/>
          </w:tcPr>
          <w:p>
            <w:pPr>
              <w:pStyle w:val="391"/>
              <w:autoSpaceDE w:val="0"/>
              <w:autoSpaceDN w:val="0"/>
              <w:spacing w:before="86" w:line="182" w:lineRule="auto"/>
              <w:ind w:left="642"/>
              <w:rPr>
                <w:rFonts w:ascii="Times New Roman" w:hAnsi="Times New Roman" w:cs="Times New Roman" w:eastAsiaTheme="minorEastAsia"/>
              </w:rPr>
            </w:pPr>
            <w:r>
              <w:rPr>
                <w:rFonts w:ascii="Times New Roman" w:hAnsi="Times New Roman" w:cs="Times New Roman" w:eastAsiaTheme="minorEastAsia"/>
                <w:spacing w:val="4"/>
              </w:rPr>
              <w:t>81%～100%</w:t>
            </w:r>
          </w:p>
        </w:tc>
        <w:tc>
          <w:tcPr>
            <w:tcW w:w="5138" w:type="dxa"/>
          </w:tcPr>
          <w:p>
            <w:pPr>
              <w:pStyle w:val="391"/>
              <w:autoSpaceDE w:val="0"/>
              <w:autoSpaceDN w:val="0"/>
              <w:spacing w:before="50" w:line="210" w:lineRule="auto"/>
              <w:ind w:left="2074"/>
              <w:rPr>
                <w:rFonts w:ascii="Times New Roman" w:hAnsi="Times New Roman" w:cs="Times New Roman" w:eastAsiaTheme="minorEastAsia"/>
              </w:rPr>
            </w:pPr>
            <w:r>
              <w:rPr>
                <w:rFonts w:ascii="Times New Roman" w:hAnsi="Times New Roman" w:cs="Times New Roman" w:eastAsiaTheme="minorEastAsia"/>
                <w:spacing w:val="5"/>
              </w:rPr>
              <w:t>几乎确定</w:t>
            </w:r>
          </w:p>
        </w:tc>
        <w:tc>
          <w:tcPr>
            <w:tcW w:w="1396" w:type="dxa"/>
            <w:tcBorders>
              <w:right w:val="single" w:color="000000" w:sz="2" w:space="0"/>
            </w:tcBorders>
          </w:tcPr>
          <w:p>
            <w:pPr>
              <w:pStyle w:val="391"/>
              <w:autoSpaceDE w:val="0"/>
              <w:autoSpaceDN w:val="0"/>
              <w:spacing w:before="87" w:line="181" w:lineRule="auto"/>
              <w:ind w:left="635"/>
              <w:rPr>
                <w:rFonts w:ascii="Times New Roman" w:hAnsi="Times New Roman" w:cs="Times New Roman" w:eastAsiaTheme="minorEastAsia"/>
              </w:rPr>
            </w:pPr>
            <w:r>
              <w:rPr>
                <w:rFonts w:ascii="Times New Roman" w:hAnsi="Times New Roman" w:cs="Times New Roman" w:eastAsiaTheme="minorEastAsia"/>
              </w:rPr>
              <w:t>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2" w:hRule="atLeast"/>
        </w:trPr>
        <w:tc>
          <w:tcPr>
            <w:tcW w:w="1396" w:type="dxa"/>
            <w:tcBorders>
              <w:left w:val="single" w:color="000000" w:sz="2" w:space="0"/>
            </w:tcBorders>
          </w:tcPr>
          <w:p>
            <w:pPr>
              <w:pStyle w:val="391"/>
              <w:autoSpaceDE w:val="0"/>
              <w:autoSpaceDN w:val="0"/>
              <w:spacing w:before="51" w:line="208" w:lineRule="auto"/>
              <w:ind w:left="45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较高</w:t>
            </w:r>
          </w:p>
        </w:tc>
        <w:tc>
          <w:tcPr>
            <w:tcW w:w="2411" w:type="dxa"/>
          </w:tcPr>
          <w:p>
            <w:pPr>
              <w:pStyle w:val="391"/>
              <w:autoSpaceDE w:val="0"/>
              <w:autoSpaceDN w:val="0"/>
              <w:spacing w:before="87" w:line="180" w:lineRule="auto"/>
              <w:ind w:left="70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61%～80%</w:t>
            </w:r>
          </w:p>
        </w:tc>
        <w:tc>
          <w:tcPr>
            <w:tcW w:w="5138" w:type="dxa"/>
          </w:tcPr>
          <w:p>
            <w:pPr>
              <w:pStyle w:val="391"/>
              <w:autoSpaceDE w:val="0"/>
              <w:autoSpaceDN w:val="0"/>
              <w:spacing w:before="51" w:line="208" w:lineRule="auto"/>
              <w:ind w:left="181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8"/>
                <w14:textFill>
                  <w14:solidFill>
                    <w14:schemeClr w14:val="tx1"/>
                  </w14:solidFill>
                </w14:textFill>
              </w:rPr>
              <w:t>很有可能发生</w:t>
            </w:r>
          </w:p>
        </w:tc>
        <w:tc>
          <w:tcPr>
            <w:tcW w:w="1396" w:type="dxa"/>
            <w:tcBorders>
              <w:right w:val="single" w:color="000000" w:sz="2" w:space="0"/>
            </w:tcBorders>
          </w:tcPr>
          <w:p>
            <w:pPr>
              <w:pStyle w:val="391"/>
              <w:autoSpaceDE w:val="0"/>
              <w:autoSpaceDN w:val="0"/>
              <w:spacing w:before="90" w:line="178" w:lineRule="auto"/>
              <w:ind w:left="62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1396" w:type="dxa"/>
            <w:tcBorders>
              <w:left w:val="single" w:color="000000" w:sz="2" w:space="0"/>
            </w:tcBorders>
          </w:tcPr>
          <w:p>
            <w:pPr>
              <w:pStyle w:val="391"/>
              <w:autoSpaceDE w:val="0"/>
              <w:autoSpaceDN w:val="0"/>
              <w:spacing w:before="52" w:line="209" w:lineRule="auto"/>
              <w:ind w:left="47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5"/>
                <w14:textFill>
                  <w14:solidFill>
                    <w14:schemeClr w14:val="tx1"/>
                  </w14:solidFill>
                </w14:textFill>
              </w:rPr>
              <w:t>中等</w:t>
            </w:r>
          </w:p>
        </w:tc>
        <w:tc>
          <w:tcPr>
            <w:tcW w:w="2411" w:type="dxa"/>
          </w:tcPr>
          <w:p>
            <w:pPr>
              <w:pStyle w:val="391"/>
              <w:autoSpaceDE w:val="0"/>
              <w:autoSpaceDN w:val="0"/>
              <w:spacing w:before="90" w:line="180" w:lineRule="auto"/>
              <w:ind w:left="70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41%～60%</w:t>
            </w:r>
          </w:p>
        </w:tc>
        <w:tc>
          <w:tcPr>
            <w:tcW w:w="5138" w:type="dxa"/>
          </w:tcPr>
          <w:p>
            <w:pPr>
              <w:pStyle w:val="391"/>
              <w:autoSpaceDE w:val="0"/>
              <w:autoSpaceDN w:val="0"/>
              <w:spacing w:before="52" w:line="209" w:lineRule="auto"/>
              <w:ind w:left="194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有可能发生</w:t>
            </w:r>
          </w:p>
        </w:tc>
        <w:tc>
          <w:tcPr>
            <w:tcW w:w="1396" w:type="dxa"/>
            <w:tcBorders>
              <w:right w:val="single" w:color="000000" w:sz="2" w:space="0"/>
            </w:tcBorders>
          </w:tcPr>
          <w:p>
            <w:pPr>
              <w:pStyle w:val="391"/>
              <w:autoSpaceDE w:val="0"/>
              <w:autoSpaceDN w:val="0"/>
              <w:spacing w:before="92" w:line="178" w:lineRule="auto"/>
              <w:ind w:left="62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1396" w:type="dxa"/>
            <w:tcBorders>
              <w:left w:val="single" w:color="000000" w:sz="2" w:space="0"/>
            </w:tcBorders>
          </w:tcPr>
          <w:p>
            <w:pPr>
              <w:pStyle w:val="391"/>
              <w:autoSpaceDE w:val="0"/>
              <w:autoSpaceDN w:val="0"/>
              <w:spacing w:before="53" w:line="208" w:lineRule="auto"/>
              <w:ind w:left="45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较低</w:t>
            </w:r>
          </w:p>
        </w:tc>
        <w:tc>
          <w:tcPr>
            <w:tcW w:w="2411" w:type="dxa"/>
          </w:tcPr>
          <w:p>
            <w:pPr>
              <w:pStyle w:val="391"/>
              <w:autoSpaceDE w:val="0"/>
              <w:autoSpaceDN w:val="0"/>
              <w:spacing w:before="90" w:line="180" w:lineRule="auto"/>
              <w:ind w:left="70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21%～40%</w:t>
            </w:r>
          </w:p>
        </w:tc>
        <w:tc>
          <w:tcPr>
            <w:tcW w:w="5138" w:type="dxa"/>
          </w:tcPr>
          <w:p>
            <w:pPr>
              <w:pStyle w:val="391"/>
              <w:autoSpaceDE w:val="0"/>
              <w:autoSpaceDN w:val="0"/>
              <w:spacing w:before="53" w:line="208" w:lineRule="auto"/>
              <w:ind w:left="156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8"/>
                <w14:textFill>
                  <w14:solidFill>
                    <w14:schemeClr w14:val="tx1"/>
                  </w14:solidFill>
                </w14:textFill>
              </w:rPr>
              <w:t>发生的可能性很小</w:t>
            </w:r>
          </w:p>
        </w:tc>
        <w:tc>
          <w:tcPr>
            <w:tcW w:w="1396" w:type="dxa"/>
            <w:tcBorders>
              <w:right w:val="single" w:color="000000" w:sz="2" w:space="0"/>
            </w:tcBorders>
          </w:tcPr>
          <w:p>
            <w:pPr>
              <w:pStyle w:val="391"/>
              <w:autoSpaceDE w:val="0"/>
              <w:autoSpaceDN w:val="0"/>
              <w:spacing w:before="92" w:line="178" w:lineRule="auto"/>
              <w:ind w:left="63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4" w:hRule="atLeast"/>
        </w:trPr>
        <w:tc>
          <w:tcPr>
            <w:tcW w:w="1396" w:type="dxa"/>
            <w:tcBorders>
              <w:left w:val="single" w:color="000000" w:sz="2" w:space="0"/>
              <w:bottom w:val="single" w:color="000000" w:sz="2" w:space="0"/>
            </w:tcBorders>
          </w:tcPr>
          <w:p>
            <w:pPr>
              <w:pStyle w:val="391"/>
              <w:autoSpaceDE w:val="0"/>
              <w:autoSpaceDN w:val="0"/>
              <w:spacing w:before="53" w:line="220" w:lineRule="auto"/>
              <w:ind w:left="45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很低</w:t>
            </w:r>
          </w:p>
        </w:tc>
        <w:tc>
          <w:tcPr>
            <w:tcW w:w="2411" w:type="dxa"/>
            <w:tcBorders>
              <w:bottom w:val="single" w:color="000000" w:sz="2" w:space="0"/>
            </w:tcBorders>
          </w:tcPr>
          <w:p>
            <w:pPr>
              <w:pStyle w:val="391"/>
              <w:autoSpaceDE w:val="0"/>
              <w:autoSpaceDN w:val="0"/>
              <w:spacing w:before="91" w:line="183" w:lineRule="auto"/>
              <w:ind w:left="76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0%～20%</w:t>
            </w:r>
          </w:p>
        </w:tc>
        <w:tc>
          <w:tcPr>
            <w:tcW w:w="5138" w:type="dxa"/>
            <w:tcBorders>
              <w:bottom w:val="single" w:color="000000" w:sz="2" w:space="0"/>
            </w:tcBorders>
          </w:tcPr>
          <w:p>
            <w:pPr>
              <w:pStyle w:val="391"/>
              <w:autoSpaceDE w:val="0"/>
              <w:autoSpaceDN w:val="0"/>
              <w:spacing w:before="53" w:line="219" w:lineRule="auto"/>
              <w:ind w:left="813"/>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0"/>
                <w:lang w:eastAsia="zh-CN"/>
                <w14:textFill>
                  <w14:solidFill>
                    <w14:schemeClr w14:val="tx1"/>
                  </w14:solidFill>
                </w14:textFill>
              </w:rPr>
              <w:t>发生的可能性很小，几乎不可能</w:t>
            </w:r>
          </w:p>
        </w:tc>
        <w:tc>
          <w:tcPr>
            <w:tcW w:w="1396" w:type="dxa"/>
            <w:tcBorders>
              <w:bottom w:val="single" w:color="000000" w:sz="2" w:space="0"/>
              <w:right w:val="single" w:color="000000" w:sz="2" w:space="0"/>
            </w:tcBorders>
          </w:tcPr>
          <w:p>
            <w:pPr>
              <w:pStyle w:val="391"/>
              <w:autoSpaceDE w:val="0"/>
              <w:autoSpaceDN w:val="0"/>
              <w:spacing w:before="92" w:line="182" w:lineRule="auto"/>
              <w:ind w:left="62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N</w:t>
            </w:r>
          </w:p>
        </w:tc>
      </w:tr>
    </w:tbl>
    <w:p>
      <w:pPr>
        <w:spacing w:before="146" w:line="220" w:lineRule="auto"/>
        <w:ind w:left="3858" w:firstLine="478" w:firstLineChars="200"/>
        <w:rPr>
          <w:rFonts w:ascii="Times New Roman" w:hAnsi="Times New Roman"/>
          <w:sz w:val="24"/>
          <w:szCs w:val="24"/>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单因素风险影响评判参考标准</w:t>
      </w:r>
    </w:p>
    <w:tbl>
      <w:tblPr>
        <w:tblStyle w:val="379"/>
        <w:tblW w:w="10341" w:type="dxa"/>
        <w:tblInd w:w="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56"/>
        <w:gridCol w:w="1961"/>
        <w:gridCol w:w="6211"/>
        <w:gridCol w:w="101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6" w:hRule="atLeast"/>
        </w:trPr>
        <w:tc>
          <w:tcPr>
            <w:tcW w:w="1156" w:type="dxa"/>
            <w:tcBorders>
              <w:top w:val="single" w:color="000000" w:sz="2" w:space="0"/>
              <w:left w:val="single" w:color="000000" w:sz="2" w:space="0"/>
            </w:tcBorders>
          </w:tcPr>
          <w:p>
            <w:pPr>
              <w:pStyle w:val="391"/>
              <w:autoSpaceDE w:val="0"/>
              <w:autoSpaceDN w:val="0"/>
              <w:spacing w:before="202" w:line="220" w:lineRule="auto"/>
              <w:ind w:left="337"/>
              <w:rPr>
                <w:rFonts w:ascii="Times New Roman" w:hAnsi="Times New Roman" w:cs="Times New Roman" w:eastAsiaTheme="minorEastAsia"/>
              </w:rPr>
            </w:pPr>
            <w:r>
              <w:rPr>
                <w:rFonts w:ascii="Times New Roman" w:hAnsi="Times New Roman" w:cs="Times New Roman" w:eastAsiaTheme="minorEastAsia"/>
                <w14:textOutline w14:w="3048" w14:cap="flat" w14:cmpd="sng" w14:algn="ctr">
                  <w14:solidFill>
                    <w14:srgbClr w14:val="000000"/>
                  </w14:solidFill>
                  <w14:prstDash w14:val="solid"/>
                  <w14:miter w14:val="0"/>
                </w14:textOutline>
              </w:rPr>
              <w:t>等级</w:t>
            </w:r>
          </w:p>
        </w:tc>
        <w:tc>
          <w:tcPr>
            <w:tcW w:w="1961" w:type="dxa"/>
            <w:tcBorders>
              <w:top w:val="single" w:color="000000" w:sz="2" w:space="0"/>
            </w:tcBorders>
          </w:tcPr>
          <w:p>
            <w:pPr>
              <w:pStyle w:val="391"/>
              <w:autoSpaceDE w:val="0"/>
              <w:autoSpaceDN w:val="0"/>
              <w:spacing w:before="203" w:line="220" w:lineRule="auto"/>
              <w:ind w:left="230"/>
              <w:rPr>
                <w:rFonts w:ascii="Times New Roman" w:hAnsi="Times New Roman" w:cs="Times New Roman" w:eastAsiaTheme="minorEastAsia"/>
              </w:rPr>
            </w:pPr>
            <w:r>
              <w:rPr>
                <w:rFonts w:ascii="Times New Roman" w:hAnsi="Times New Roman" w:cs="Times New Roman" w:eastAsiaTheme="minorEastAsia"/>
                <w:spacing w:val="7"/>
                <w14:textOutline w14:w="3048" w14:cap="flat" w14:cmpd="sng" w14:algn="ctr">
                  <w14:solidFill>
                    <w14:srgbClr w14:val="000000"/>
                  </w14:solidFill>
                  <w14:prstDash w14:val="solid"/>
                  <w14:miter w14:val="0"/>
                </w14:textOutline>
              </w:rPr>
              <w:t>定量评判标准</w:t>
            </w:r>
          </w:p>
        </w:tc>
        <w:tc>
          <w:tcPr>
            <w:tcW w:w="6211" w:type="dxa"/>
            <w:tcBorders>
              <w:top w:val="single" w:color="000000" w:sz="2" w:space="0"/>
            </w:tcBorders>
          </w:tcPr>
          <w:p>
            <w:pPr>
              <w:pStyle w:val="391"/>
              <w:autoSpaceDE w:val="0"/>
              <w:autoSpaceDN w:val="0"/>
              <w:spacing w:before="203" w:line="220" w:lineRule="auto"/>
              <w:ind w:left="2603"/>
              <w:rPr>
                <w:rFonts w:ascii="Times New Roman" w:hAnsi="Times New Roman" w:cs="Times New Roman" w:eastAsiaTheme="minorEastAsia"/>
              </w:rPr>
            </w:pPr>
            <w:r>
              <w:rPr>
                <w:rFonts w:ascii="Times New Roman" w:hAnsi="Times New Roman" w:cs="Times New Roman" w:eastAsiaTheme="minorEastAsia"/>
                <w:spacing w:val="6"/>
                <w14:textOutline w14:w="3048" w14:cap="flat" w14:cmpd="sng" w14:algn="ctr">
                  <w14:solidFill>
                    <w14:srgbClr w14:val="000000"/>
                  </w14:solidFill>
                  <w14:prstDash w14:val="solid"/>
                  <w14:miter w14:val="0"/>
                </w14:textOutline>
              </w:rPr>
              <w:t>影响程度</w:t>
            </w:r>
          </w:p>
        </w:tc>
        <w:tc>
          <w:tcPr>
            <w:tcW w:w="1013" w:type="dxa"/>
            <w:tcBorders>
              <w:top w:val="single" w:color="000000" w:sz="2" w:space="0"/>
              <w:right w:val="single" w:color="000000" w:sz="2" w:space="0"/>
            </w:tcBorders>
          </w:tcPr>
          <w:p>
            <w:pPr>
              <w:pStyle w:val="391"/>
              <w:autoSpaceDE w:val="0"/>
              <w:autoSpaceDN w:val="0"/>
              <w:spacing w:before="202" w:line="221" w:lineRule="auto"/>
              <w:ind w:left="250"/>
              <w:rPr>
                <w:rFonts w:ascii="Times New Roman" w:hAnsi="Times New Roman" w:cs="Times New Roman" w:eastAsiaTheme="minorEastAsia"/>
              </w:rPr>
            </w:pPr>
            <w:r>
              <w:rPr>
                <w:rFonts w:ascii="Times New Roman" w:hAnsi="Times New Roman" w:cs="Times New Roman" w:eastAsiaTheme="minorEastAsia"/>
                <w:spacing w:val="2"/>
                <w14:textOutline w14:w="3048" w14:cap="flat" w14:cmpd="sng" w14:algn="ctr">
                  <w14:solidFill>
                    <w14:srgbClr w14:val="000000"/>
                  </w14:solidFill>
                  <w14:prstDash w14:val="solid"/>
                  <w14:miter w14:val="0"/>
                </w14:textOutline>
              </w:rPr>
              <w:t>表示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5" w:hRule="atLeast"/>
        </w:trPr>
        <w:tc>
          <w:tcPr>
            <w:tcW w:w="1156" w:type="dxa"/>
            <w:tcBorders>
              <w:left w:val="single" w:color="000000" w:sz="2" w:space="0"/>
            </w:tcBorders>
          </w:tcPr>
          <w:p>
            <w:pPr>
              <w:pStyle w:val="391"/>
              <w:autoSpaceDE w:val="0"/>
              <w:autoSpaceDN w:val="0"/>
              <w:spacing w:before="78" w:line="220" w:lineRule="auto"/>
              <w:ind w:left="33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严重</w:t>
            </w:r>
          </w:p>
        </w:tc>
        <w:tc>
          <w:tcPr>
            <w:tcW w:w="1961" w:type="dxa"/>
          </w:tcPr>
          <w:p>
            <w:pPr>
              <w:pStyle w:val="391"/>
              <w:autoSpaceDE w:val="0"/>
              <w:autoSpaceDN w:val="0"/>
              <w:spacing w:before="78" w:line="184" w:lineRule="auto"/>
              <w:ind w:left="41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81%～100%</w:t>
            </w:r>
          </w:p>
        </w:tc>
        <w:tc>
          <w:tcPr>
            <w:tcW w:w="6211" w:type="dxa"/>
          </w:tcPr>
          <w:p>
            <w:pPr>
              <w:pStyle w:val="391"/>
              <w:autoSpaceDE w:val="0"/>
              <w:autoSpaceDN w:val="0"/>
              <w:spacing w:before="49" w:line="219" w:lineRule="auto"/>
              <w:ind w:left="110" w:firstLine="516"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9"/>
                <w:lang w:eastAsia="zh-CN"/>
                <w14:textFill>
                  <w14:solidFill>
                    <w14:schemeClr w14:val="tx1"/>
                  </w14:solidFill>
                </w14:textFill>
              </w:rPr>
              <w:t>在全省或更大范围内造成一定负面影响（社会稳定、形</w:t>
            </w:r>
          </w:p>
          <w:p>
            <w:pPr>
              <w:pStyle w:val="391"/>
              <w:autoSpaceDE w:val="0"/>
              <w:autoSpaceDN w:val="0"/>
              <w:spacing w:before="26" w:line="219" w:lineRule="auto"/>
              <w:ind w:left="120" w:firstLine="460" w:firstLineChars="200"/>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5"/>
                <w:lang w:eastAsia="zh-CN"/>
                <w14:textFill>
                  <w14:solidFill>
                    <w14:schemeClr w14:val="tx1"/>
                  </w14:solidFill>
                </w14:textFill>
              </w:rPr>
              <w:t>象等方面</w:t>
            </w:r>
            <w:r>
              <w:rPr>
                <w:rFonts w:ascii="Times New Roman" w:hAnsi="Times New Roman" w:cs="Times New Roman" w:eastAsiaTheme="minorEastAsia"/>
                <w:b w:val="0"/>
                <w:bCs/>
                <w:color w:val="000000" w:themeColor="text1"/>
                <w:spacing w:val="-11"/>
                <w:lang w:eastAsia="zh-CN"/>
                <w14:textFill>
                  <w14:solidFill>
                    <w14:schemeClr w14:val="tx1"/>
                  </w14:solidFill>
                </w14:textFill>
              </w:rPr>
              <w:t>），</w:t>
            </w:r>
            <w:r>
              <w:rPr>
                <w:rFonts w:ascii="Times New Roman" w:hAnsi="Times New Roman" w:cs="Times New Roman" w:eastAsiaTheme="minorEastAsia"/>
                <w:b w:val="0"/>
                <w:bCs/>
                <w:color w:val="000000" w:themeColor="text1"/>
                <w:spacing w:val="-5"/>
                <w:lang w:eastAsia="zh-CN"/>
                <w14:textFill>
                  <w14:solidFill>
                    <w14:schemeClr w14:val="tx1"/>
                  </w14:solidFill>
                </w14:textFill>
              </w:rPr>
              <w:t>需要通过长时间努力才能消除，且付出巨</w:t>
            </w:r>
          </w:p>
          <w:p>
            <w:pPr>
              <w:pStyle w:val="391"/>
              <w:autoSpaceDE w:val="0"/>
              <w:autoSpaceDN w:val="0"/>
              <w:spacing w:before="25" w:line="211" w:lineRule="auto"/>
              <w:ind w:left="2734" w:firstLine="492" w:firstLineChars="20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大代价</w:t>
            </w:r>
          </w:p>
        </w:tc>
        <w:tc>
          <w:tcPr>
            <w:tcW w:w="1013" w:type="dxa"/>
            <w:tcBorders>
              <w:right w:val="single" w:color="000000" w:sz="2" w:space="0"/>
            </w:tcBorders>
          </w:tcPr>
          <w:p>
            <w:pPr>
              <w:pStyle w:val="391"/>
              <w:autoSpaceDE w:val="0"/>
              <w:autoSpaceDN w:val="0"/>
              <w:spacing w:before="78" w:line="183" w:lineRule="auto"/>
              <w:ind w:left="44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3" w:hRule="atLeast"/>
        </w:trPr>
        <w:tc>
          <w:tcPr>
            <w:tcW w:w="1156" w:type="dxa"/>
            <w:tcBorders>
              <w:left w:val="single" w:color="000000" w:sz="2" w:space="0"/>
            </w:tcBorders>
          </w:tcPr>
          <w:p>
            <w:pPr>
              <w:pStyle w:val="391"/>
              <w:autoSpaceDE w:val="0"/>
              <w:autoSpaceDN w:val="0"/>
              <w:spacing w:before="204" w:line="220" w:lineRule="auto"/>
              <w:ind w:left="33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较大</w:t>
            </w:r>
          </w:p>
        </w:tc>
        <w:tc>
          <w:tcPr>
            <w:tcW w:w="1961" w:type="dxa"/>
          </w:tcPr>
          <w:p>
            <w:pPr>
              <w:pStyle w:val="391"/>
              <w:autoSpaceDE w:val="0"/>
              <w:autoSpaceDN w:val="0"/>
              <w:spacing w:before="240" w:line="184" w:lineRule="auto"/>
              <w:ind w:left="48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61%～80%</w:t>
            </w:r>
          </w:p>
        </w:tc>
        <w:tc>
          <w:tcPr>
            <w:tcW w:w="6211" w:type="dxa"/>
          </w:tcPr>
          <w:p>
            <w:pPr>
              <w:pStyle w:val="391"/>
              <w:autoSpaceDE w:val="0"/>
              <w:autoSpaceDN w:val="0"/>
              <w:spacing w:before="50" w:line="224" w:lineRule="auto"/>
              <w:ind w:left="714" w:right="113" w:hanging="604"/>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在省内造成一定影响（社会稳定、形象等方面</w:t>
            </w:r>
            <w:r>
              <w:rPr>
                <w:rFonts w:ascii="Times New Roman" w:hAnsi="Times New Roman" w:cs="Times New Roman" w:eastAsiaTheme="minorEastAsia"/>
                <w:b w:val="0"/>
                <w:bCs/>
                <w:color w:val="000000" w:themeColor="text1"/>
                <w:spacing w:val="3"/>
                <w:lang w:eastAsia="zh-CN"/>
                <w14:textFill>
                  <w14:solidFill>
                    <w14:schemeClr w14:val="tx1"/>
                  </w14:solidFill>
                </w14:textFill>
              </w:rPr>
              <w:t>），</w:t>
            </w:r>
            <w:r>
              <w:rPr>
                <w:rFonts w:ascii="Times New Roman" w:hAnsi="Times New Roman" w:cs="Times New Roman" w:eastAsiaTheme="minorEastAsia"/>
                <w:b w:val="0"/>
                <w:bCs/>
                <w:color w:val="000000" w:themeColor="text1"/>
                <w:spacing w:val="2"/>
                <w:lang w:eastAsia="zh-CN"/>
                <w14:textFill>
                  <w14:solidFill>
                    <w14:schemeClr w14:val="tx1"/>
                  </w14:solidFill>
                </w14:textFill>
              </w:rPr>
              <w:t>需要</w:t>
            </w:r>
            <w:r>
              <w:rPr>
                <w:rFonts w:ascii="Times New Roman" w:hAnsi="Times New Roman" w:cs="Times New Roman" w:eastAsiaTheme="minorEastAsia"/>
                <w:b w:val="0"/>
                <w:bCs/>
                <w:color w:val="000000" w:themeColor="text1"/>
                <w:spacing w:val="10"/>
                <w:lang w:eastAsia="zh-CN"/>
                <w14:textFill>
                  <w14:solidFill>
                    <w14:schemeClr w14:val="tx1"/>
                  </w14:solidFill>
                </w14:textFill>
              </w:rPr>
              <w:t>通过较长时间才能消除，并需付出较大代价</w:t>
            </w:r>
          </w:p>
        </w:tc>
        <w:tc>
          <w:tcPr>
            <w:tcW w:w="1013" w:type="dxa"/>
            <w:tcBorders>
              <w:right w:val="single" w:color="000000" w:sz="2" w:space="0"/>
            </w:tcBorders>
          </w:tcPr>
          <w:p>
            <w:pPr>
              <w:pStyle w:val="391"/>
              <w:autoSpaceDE w:val="0"/>
              <w:autoSpaceDN w:val="0"/>
              <w:spacing w:before="243" w:line="182" w:lineRule="auto"/>
              <w:ind w:left="43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4" w:hRule="atLeast"/>
        </w:trPr>
        <w:tc>
          <w:tcPr>
            <w:tcW w:w="1156" w:type="dxa"/>
            <w:tcBorders>
              <w:left w:val="single" w:color="000000" w:sz="2" w:space="0"/>
            </w:tcBorders>
          </w:tcPr>
          <w:p>
            <w:pPr>
              <w:pStyle w:val="391"/>
              <w:autoSpaceDE w:val="0"/>
              <w:autoSpaceDN w:val="0"/>
              <w:spacing w:before="205" w:line="220" w:lineRule="auto"/>
              <w:ind w:left="35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0"/>
                <w14:textFill>
                  <w14:solidFill>
                    <w14:schemeClr w14:val="tx1"/>
                  </w14:solidFill>
                </w14:textFill>
              </w:rPr>
              <w:t>中等</w:t>
            </w:r>
          </w:p>
        </w:tc>
        <w:tc>
          <w:tcPr>
            <w:tcW w:w="1961" w:type="dxa"/>
          </w:tcPr>
          <w:p>
            <w:pPr>
              <w:pStyle w:val="391"/>
              <w:autoSpaceDE w:val="0"/>
              <w:autoSpaceDN w:val="0"/>
              <w:spacing w:before="243" w:line="184" w:lineRule="auto"/>
              <w:ind w:left="47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41%～60%</w:t>
            </w:r>
          </w:p>
        </w:tc>
        <w:tc>
          <w:tcPr>
            <w:tcW w:w="6211" w:type="dxa"/>
          </w:tcPr>
          <w:p>
            <w:pPr>
              <w:pStyle w:val="391"/>
              <w:autoSpaceDE w:val="0"/>
              <w:autoSpaceDN w:val="0"/>
              <w:spacing w:before="51" w:line="224" w:lineRule="auto"/>
              <w:ind w:left="714" w:right="113" w:hanging="604"/>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在当地造成一定影响（社会稳定、形象等方面</w:t>
            </w:r>
            <w:r>
              <w:rPr>
                <w:rFonts w:ascii="Times New Roman" w:hAnsi="Times New Roman" w:cs="Times New Roman" w:eastAsiaTheme="minorEastAsia"/>
                <w:b w:val="0"/>
                <w:bCs/>
                <w:color w:val="000000" w:themeColor="text1"/>
                <w:spacing w:val="3"/>
                <w:lang w:eastAsia="zh-CN"/>
                <w14:textFill>
                  <w14:solidFill>
                    <w14:schemeClr w14:val="tx1"/>
                  </w14:solidFill>
                </w14:textFill>
              </w:rPr>
              <w:t>），</w:t>
            </w:r>
            <w:r>
              <w:rPr>
                <w:rFonts w:ascii="Times New Roman" w:hAnsi="Times New Roman" w:cs="Times New Roman" w:eastAsiaTheme="minorEastAsia"/>
                <w:b w:val="0"/>
                <w:bCs/>
                <w:color w:val="000000" w:themeColor="text1"/>
                <w:spacing w:val="2"/>
                <w:lang w:eastAsia="zh-CN"/>
                <w14:textFill>
                  <w14:solidFill>
                    <w14:schemeClr w14:val="tx1"/>
                  </w14:solidFill>
                </w14:textFill>
              </w:rPr>
              <w:t>需要</w:t>
            </w:r>
            <w:r>
              <w:rPr>
                <w:rFonts w:ascii="Times New Roman" w:hAnsi="Times New Roman" w:cs="Times New Roman" w:eastAsiaTheme="minorEastAsia"/>
                <w:b w:val="0"/>
                <w:bCs/>
                <w:color w:val="000000" w:themeColor="text1"/>
                <w:spacing w:val="10"/>
                <w:lang w:eastAsia="zh-CN"/>
                <w14:textFill>
                  <w14:solidFill>
                    <w14:schemeClr w14:val="tx1"/>
                  </w14:solidFill>
                </w14:textFill>
              </w:rPr>
              <w:t>通过一定时间才能消除，并需付出一定代价</w:t>
            </w:r>
          </w:p>
        </w:tc>
        <w:tc>
          <w:tcPr>
            <w:tcW w:w="1013" w:type="dxa"/>
            <w:tcBorders>
              <w:right w:val="single" w:color="000000" w:sz="2" w:space="0"/>
            </w:tcBorders>
          </w:tcPr>
          <w:p>
            <w:pPr>
              <w:pStyle w:val="391"/>
              <w:autoSpaceDE w:val="0"/>
              <w:autoSpaceDN w:val="0"/>
              <w:spacing w:before="245" w:line="182" w:lineRule="auto"/>
              <w:ind w:left="43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3" w:hRule="atLeast"/>
        </w:trPr>
        <w:tc>
          <w:tcPr>
            <w:tcW w:w="1156" w:type="dxa"/>
            <w:tcBorders>
              <w:left w:val="single" w:color="000000" w:sz="2" w:space="0"/>
            </w:tcBorders>
          </w:tcPr>
          <w:p>
            <w:pPr>
              <w:pStyle w:val="391"/>
              <w:autoSpaceDE w:val="0"/>
              <w:autoSpaceDN w:val="0"/>
              <w:spacing w:before="206" w:line="222" w:lineRule="auto"/>
              <w:ind w:left="33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较小</w:t>
            </w:r>
          </w:p>
        </w:tc>
        <w:tc>
          <w:tcPr>
            <w:tcW w:w="1961" w:type="dxa"/>
          </w:tcPr>
          <w:p>
            <w:pPr>
              <w:pStyle w:val="391"/>
              <w:autoSpaceDE w:val="0"/>
              <w:autoSpaceDN w:val="0"/>
              <w:spacing w:before="243" w:line="184" w:lineRule="auto"/>
              <w:ind w:left="48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21%～40%</w:t>
            </w:r>
          </w:p>
        </w:tc>
        <w:tc>
          <w:tcPr>
            <w:tcW w:w="6211" w:type="dxa"/>
          </w:tcPr>
          <w:p>
            <w:pPr>
              <w:pStyle w:val="391"/>
              <w:autoSpaceDE w:val="0"/>
              <w:autoSpaceDN w:val="0"/>
              <w:spacing w:before="50" w:line="224" w:lineRule="auto"/>
              <w:ind w:left="2351" w:right="113" w:hanging="2241"/>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在当地造成一定影响（社会稳定、形象等方面</w:t>
            </w:r>
            <w:r>
              <w:rPr>
                <w:rFonts w:ascii="Times New Roman" w:hAnsi="Times New Roman" w:cs="Times New Roman" w:eastAsiaTheme="minorEastAsia"/>
                <w:b w:val="0"/>
                <w:bCs/>
                <w:color w:val="000000" w:themeColor="text1"/>
                <w:spacing w:val="3"/>
                <w:lang w:eastAsia="zh-CN"/>
                <w14:textFill>
                  <w14:solidFill>
                    <w14:schemeClr w14:val="tx1"/>
                  </w14:solidFill>
                </w14:textFill>
              </w:rPr>
              <w:t>），</w:t>
            </w:r>
            <w:r>
              <w:rPr>
                <w:rFonts w:ascii="Times New Roman" w:hAnsi="Times New Roman" w:cs="Times New Roman" w:eastAsiaTheme="minorEastAsia"/>
                <w:b w:val="0"/>
                <w:bCs/>
                <w:color w:val="000000" w:themeColor="text1"/>
                <w:spacing w:val="2"/>
                <w:lang w:eastAsia="zh-CN"/>
                <w14:textFill>
                  <w14:solidFill>
                    <w14:schemeClr w14:val="tx1"/>
                  </w14:solidFill>
                </w14:textFill>
              </w:rPr>
              <w:t>但可</w:t>
            </w:r>
            <w:r>
              <w:rPr>
                <w:rFonts w:ascii="Times New Roman" w:hAnsi="Times New Roman" w:cs="Times New Roman" w:eastAsiaTheme="minorEastAsia"/>
                <w:b w:val="0"/>
                <w:bCs/>
                <w:color w:val="000000" w:themeColor="text1"/>
                <w:spacing w:val="8"/>
                <w:lang w:eastAsia="zh-CN"/>
                <w14:textFill>
                  <w14:solidFill>
                    <w14:schemeClr w14:val="tx1"/>
                  </w14:solidFill>
                </w14:textFill>
              </w:rPr>
              <w:t>在短期内消除</w:t>
            </w:r>
          </w:p>
        </w:tc>
        <w:tc>
          <w:tcPr>
            <w:tcW w:w="1013" w:type="dxa"/>
            <w:tcBorders>
              <w:right w:val="single" w:color="000000" w:sz="2" w:space="0"/>
            </w:tcBorders>
          </w:tcPr>
          <w:p>
            <w:pPr>
              <w:pStyle w:val="391"/>
              <w:autoSpaceDE w:val="0"/>
              <w:autoSpaceDN w:val="0"/>
              <w:spacing w:before="245" w:line="182" w:lineRule="auto"/>
              <w:ind w:left="44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0" w:hRule="atLeast"/>
        </w:trPr>
        <w:tc>
          <w:tcPr>
            <w:tcW w:w="1156" w:type="dxa"/>
            <w:tcBorders>
              <w:left w:val="single" w:color="000000" w:sz="2" w:space="0"/>
              <w:bottom w:val="single" w:color="000000" w:sz="2" w:space="0"/>
            </w:tcBorders>
          </w:tcPr>
          <w:p>
            <w:pPr>
              <w:pStyle w:val="391"/>
              <w:autoSpaceDE w:val="0"/>
              <w:autoSpaceDN w:val="0"/>
              <w:spacing w:before="308" w:line="221" w:lineRule="auto"/>
              <w:ind w:left="21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可忽略</w:t>
            </w:r>
          </w:p>
        </w:tc>
        <w:tc>
          <w:tcPr>
            <w:tcW w:w="1961" w:type="dxa"/>
            <w:tcBorders>
              <w:bottom w:val="single" w:color="000000" w:sz="2" w:space="0"/>
            </w:tcBorders>
          </w:tcPr>
          <w:p>
            <w:pPr>
              <w:pStyle w:val="391"/>
              <w:autoSpaceDE w:val="0"/>
              <w:autoSpaceDN w:val="0"/>
              <w:spacing w:before="217" w:line="183" w:lineRule="auto"/>
              <w:ind w:left="54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0%～20%</w:t>
            </w:r>
          </w:p>
        </w:tc>
        <w:tc>
          <w:tcPr>
            <w:tcW w:w="6211" w:type="dxa"/>
            <w:tcBorders>
              <w:bottom w:val="single" w:color="000000" w:sz="2" w:space="0"/>
            </w:tcBorders>
          </w:tcPr>
          <w:p>
            <w:pPr>
              <w:pStyle w:val="391"/>
              <w:autoSpaceDE w:val="0"/>
              <w:autoSpaceDN w:val="0"/>
              <w:spacing w:before="179" w:line="220" w:lineRule="auto"/>
              <w:ind w:left="1218"/>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0"/>
                <w:lang w:eastAsia="zh-CN"/>
                <w14:textFill>
                  <w14:solidFill>
                    <w14:schemeClr w14:val="tx1"/>
                  </w14:solidFill>
                </w14:textFill>
              </w:rPr>
              <w:t>在当地造成很小影响，可自行消除</w:t>
            </w:r>
          </w:p>
        </w:tc>
        <w:tc>
          <w:tcPr>
            <w:tcW w:w="1013" w:type="dxa"/>
            <w:tcBorders>
              <w:bottom w:val="single" w:color="000000" w:sz="2" w:space="0"/>
              <w:right w:val="single" w:color="000000" w:sz="2" w:space="0"/>
            </w:tcBorders>
          </w:tcPr>
          <w:p>
            <w:pPr>
              <w:pStyle w:val="391"/>
              <w:autoSpaceDE w:val="0"/>
              <w:autoSpaceDN w:val="0"/>
              <w:spacing w:before="219" w:line="182" w:lineRule="auto"/>
              <w:ind w:left="43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N</w:t>
            </w:r>
          </w:p>
        </w:tc>
      </w:tr>
    </w:tbl>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按不同风险因素影响程度和风险因素发生可能性，综合分析后的风险因素的风险等级可分为重大风险、较大风险、一般风险、较小风险、微小风险五个等级。风险影响程度、风险发生可能性、风险等级三者之间关系如下图所示。</w:t>
      </w:r>
    </w:p>
    <w:p>
      <w:pPr>
        <w:spacing w:line="300" w:lineRule="auto"/>
        <w:ind w:firstLine="562" w:firstLineChars="200"/>
        <w:rPr>
          <w:rFonts w:ascii="Times New Roman" w:hAnsi="Times New Roman"/>
        </w:rPr>
      </w:pPr>
      <w:r>
        <w:rPr>
          <w:rFonts w:ascii="Times New Roman" w:hAnsi="Times New Roman"/>
        </w:rPr>
        <w:drawing>
          <wp:inline distT="0" distB="0" distL="114300" distR="114300">
            <wp:extent cx="5459095" cy="3994150"/>
            <wp:effectExtent l="0" t="0" r="8255" b="6350"/>
            <wp:docPr id="443"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图片 87"/>
                    <pic:cNvPicPr>
                      <a:picLocks noChangeAspect="1"/>
                    </pic:cNvPicPr>
                  </pic:nvPicPr>
                  <pic:blipFill>
                    <a:blip r:embed="rId290"/>
                    <a:stretch>
                      <a:fillRect/>
                    </a:stretch>
                  </pic:blipFill>
                  <pic:spPr>
                    <a:xfrm>
                      <a:off x="0" y="0"/>
                      <a:ext cx="5459095" cy="3994150"/>
                    </a:xfrm>
                    <a:prstGeom prst="rect">
                      <a:avLst/>
                    </a:prstGeom>
                    <a:noFill/>
                    <a:ln>
                      <a:noFill/>
                    </a:ln>
                  </pic:spPr>
                </pic:pic>
              </a:graphicData>
            </a:graphic>
          </wp:inline>
        </w:drawing>
      </w:r>
    </w:p>
    <w:p>
      <w:pPr>
        <w:spacing w:line="300" w:lineRule="auto"/>
        <w:ind w:firstLine="478" w:firstLineChars="200"/>
        <w:jc w:val="center"/>
        <w:rPr>
          <w:rFonts w:ascii="Times New Roman" w:hAnsi="Times New Roman"/>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风险概率－影响矩阵示意图</w:t>
      </w:r>
    </w:p>
    <w:p>
      <w:pPr>
        <w:spacing w:before="144" w:line="220" w:lineRule="auto"/>
        <w:ind w:firstLine="478" w:firstLineChars="200"/>
        <w:jc w:val="center"/>
        <w:rPr>
          <w:rFonts w:ascii="Times New Roman" w:hAnsi="Times New Roman"/>
          <w:spacing w:val="-1"/>
          <w:sz w:val="24"/>
          <w:szCs w:val="24"/>
          <w14:textOutline w14:w="3048" w14:cap="flat" w14:cmpd="sng" w14:algn="ctr">
            <w14:solidFill>
              <w14:srgbClr w14:val="000000"/>
            </w14:solidFill>
            <w14:prstDash w14:val="solid"/>
            <w14:miter w14:val="0"/>
          </w14:textOutline>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单因素风险等级评判参考标准</w:t>
      </w:r>
    </w:p>
    <w:tbl>
      <w:tblPr>
        <w:tblStyle w:val="379"/>
        <w:tblpPr w:leftFromText="180" w:rightFromText="180" w:vertAnchor="text" w:horzAnchor="page" w:tblpX="1038" w:tblpY="410"/>
        <w:tblOverlap w:val="never"/>
        <w:tblW w:w="10342"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56"/>
        <w:gridCol w:w="1699"/>
        <w:gridCol w:w="6611"/>
        <w:gridCol w:w="77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0" w:hRule="atLeast"/>
        </w:trPr>
        <w:tc>
          <w:tcPr>
            <w:tcW w:w="1256" w:type="dxa"/>
            <w:tcBorders>
              <w:top w:val="single" w:color="000000" w:sz="2" w:space="0"/>
              <w:left w:val="single" w:color="000000" w:sz="2" w:space="0"/>
            </w:tcBorders>
          </w:tcPr>
          <w:p>
            <w:pPr>
              <w:pStyle w:val="391"/>
              <w:autoSpaceDE w:val="0"/>
              <w:autoSpaceDN w:val="0"/>
              <w:spacing w:before="229" w:line="220" w:lineRule="auto"/>
              <w:ind w:left="134"/>
              <w:rPr>
                <w:rFonts w:ascii="Times New Roman" w:hAnsi="Times New Roman" w:cs="Times New Roman" w:eastAsiaTheme="minorEastAsia"/>
              </w:rPr>
            </w:pPr>
            <w:r>
              <w:rPr>
                <w:rFonts w:ascii="Times New Roman" w:hAnsi="Times New Roman" w:cs="Times New Roman" w:eastAsiaTheme="minorEastAsia"/>
                <w:spacing w:val="6"/>
                <w14:textOutline w14:w="3048" w14:cap="flat" w14:cmpd="sng" w14:algn="ctr">
                  <w14:solidFill>
                    <w14:srgbClr w14:val="000000"/>
                  </w14:solidFill>
                  <w14:prstDash w14:val="solid"/>
                  <w14:miter w14:val="0"/>
                </w14:textOutline>
              </w:rPr>
              <w:t>风险等级</w:t>
            </w:r>
          </w:p>
        </w:tc>
        <w:tc>
          <w:tcPr>
            <w:tcW w:w="1699" w:type="dxa"/>
            <w:tcBorders>
              <w:top w:val="single" w:color="000000" w:sz="2" w:space="0"/>
            </w:tcBorders>
          </w:tcPr>
          <w:p>
            <w:pPr>
              <w:pStyle w:val="391"/>
              <w:autoSpaceDE w:val="0"/>
              <w:autoSpaceDN w:val="0"/>
              <w:spacing w:before="75" w:line="225" w:lineRule="auto"/>
              <w:ind w:left="726" w:right="228" w:hanging="501"/>
              <w:rPr>
                <w:rFonts w:ascii="Times New Roman" w:hAnsi="Times New Roman" w:cs="Times New Roman" w:eastAsiaTheme="minorEastAsia"/>
              </w:rPr>
            </w:pPr>
            <w:r>
              <w:rPr>
                <w:rFonts w:ascii="Times New Roman" w:hAnsi="Times New Roman" w:cs="Times New Roman" w:eastAsiaTheme="minorEastAsia"/>
                <w:spacing w:val="7"/>
                <w14:textOutline w14:w="3048" w14:cap="flat" w14:cmpd="sng" w14:algn="ctr">
                  <w14:solidFill>
                    <w14:srgbClr w14:val="000000"/>
                  </w14:solidFill>
                  <w14:prstDash w14:val="solid"/>
                  <w14:miter w14:val="0"/>
                </w14:textOutline>
              </w:rPr>
              <w:t>定量评判标</w:t>
            </w:r>
            <w:r>
              <w:rPr>
                <w:rFonts w:ascii="Times New Roman" w:hAnsi="Times New Roman" w:cs="Times New Roman" w:eastAsiaTheme="minorEastAsia"/>
                <w14:textOutline w14:w="3048" w14:cap="flat" w14:cmpd="sng" w14:algn="ctr">
                  <w14:solidFill>
                    <w14:srgbClr w14:val="000000"/>
                  </w14:solidFill>
                  <w14:prstDash w14:val="solid"/>
                  <w14:miter w14:val="0"/>
                </w14:textOutline>
              </w:rPr>
              <w:t>准</w:t>
            </w:r>
          </w:p>
        </w:tc>
        <w:tc>
          <w:tcPr>
            <w:tcW w:w="6611" w:type="dxa"/>
            <w:tcBorders>
              <w:top w:val="single" w:color="000000" w:sz="2" w:space="0"/>
            </w:tcBorders>
          </w:tcPr>
          <w:p>
            <w:pPr>
              <w:pStyle w:val="391"/>
              <w:autoSpaceDE w:val="0"/>
              <w:autoSpaceDN w:val="0"/>
              <w:spacing w:before="230" w:line="220" w:lineRule="auto"/>
              <w:ind w:left="2175"/>
              <w:rPr>
                <w:rFonts w:ascii="Times New Roman" w:hAnsi="Times New Roman" w:cs="Times New Roman" w:eastAsiaTheme="minorEastAsia"/>
              </w:rPr>
            </w:pPr>
            <w:r>
              <w:rPr>
                <w:rFonts w:ascii="Times New Roman" w:hAnsi="Times New Roman" w:cs="Times New Roman" w:eastAsiaTheme="minorEastAsia"/>
                <w:spacing w:val="9"/>
                <w14:textOutline w14:w="3048" w14:cap="flat" w14:cmpd="sng" w14:algn="ctr">
                  <w14:solidFill>
                    <w14:srgbClr w14:val="000000"/>
                  </w14:solidFill>
                  <w14:prstDash w14:val="solid"/>
                  <w14:miter w14:val="0"/>
                </w14:textOutline>
              </w:rPr>
              <w:t>发生的可能性和后果</w:t>
            </w:r>
          </w:p>
        </w:tc>
        <w:tc>
          <w:tcPr>
            <w:tcW w:w="776" w:type="dxa"/>
            <w:tcBorders>
              <w:top w:val="single" w:color="000000" w:sz="2" w:space="0"/>
              <w:right w:val="single" w:color="000000" w:sz="2" w:space="0"/>
            </w:tcBorders>
          </w:tcPr>
          <w:p>
            <w:pPr>
              <w:pStyle w:val="391"/>
              <w:autoSpaceDE w:val="0"/>
              <w:autoSpaceDN w:val="0"/>
              <w:spacing w:before="230" w:line="221" w:lineRule="auto"/>
              <w:ind w:left="134"/>
              <w:rPr>
                <w:rFonts w:ascii="Times New Roman" w:hAnsi="Times New Roman" w:cs="Times New Roman" w:eastAsiaTheme="minorEastAsia"/>
              </w:rPr>
            </w:pPr>
            <w:r>
              <w:rPr>
                <w:rFonts w:ascii="Times New Roman" w:hAnsi="Times New Roman" w:cs="Times New Roman" w:eastAsiaTheme="minorEastAsia"/>
                <w:spacing w:val="2"/>
                <w14:textOutline w14:w="3048" w14:cap="flat" w14:cmpd="sng" w14:algn="ctr">
                  <w14:solidFill>
                    <w14:srgbClr w14:val="000000"/>
                  </w14:solidFill>
                  <w14:prstDash w14:val="solid"/>
                  <w14:miter w14:val="0"/>
                </w14:textOutline>
              </w:rPr>
              <w:t>表示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3" w:hRule="atLeast"/>
        </w:trPr>
        <w:tc>
          <w:tcPr>
            <w:tcW w:w="1256" w:type="dxa"/>
            <w:tcBorders>
              <w:left w:val="single" w:color="000000" w:sz="2" w:space="0"/>
            </w:tcBorders>
          </w:tcPr>
          <w:p>
            <w:pPr>
              <w:pStyle w:val="391"/>
              <w:autoSpaceDE w:val="0"/>
              <w:autoSpaceDN w:val="0"/>
              <w:spacing w:before="204" w:line="220" w:lineRule="auto"/>
              <w:ind w:left="13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6"/>
                <w14:textFill>
                  <w14:solidFill>
                    <w14:schemeClr w14:val="tx1"/>
                  </w14:solidFill>
                </w14:textFill>
              </w:rPr>
              <w:t>重大风险</w:t>
            </w:r>
          </w:p>
        </w:tc>
        <w:tc>
          <w:tcPr>
            <w:tcW w:w="1699" w:type="dxa"/>
          </w:tcPr>
          <w:p>
            <w:pPr>
              <w:pStyle w:val="391"/>
              <w:autoSpaceDE w:val="0"/>
              <w:autoSpaceDN w:val="0"/>
              <w:spacing w:before="241" w:line="184" w:lineRule="auto"/>
              <w:ind w:left="28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65%～100%</w:t>
            </w:r>
          </w:p>
        </w:tc>
        <w:tc>
          <w:tcPr>
            <w:tcW w:w="6611" w:type="dxa"/>
          </w:tcPr>
          <w:p>
            <w:pPr>
              <w:pStyle w:val="391"/>
              <w:autoSpaceDE w:val="0"/>
              <w:autoSpaceDN w:val="0"/>
              <w:spacing w:before="48" w:line="225" w:lineRule="auto"/>
              <w:ind w:left="113" w:right="211" w:hanging="1"/>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1"/>
                <w:lang w:eastAsia="zh-CN"/>
                <w14:textFill>
                  <w14:solidFill>
                    <w14:schemeClr w14:val="tx1"/>
                  </w14:solidFill>
                </w14:textFill>
              </w:rPr>
              <w:t>可能性大，社会影响和损失大，影响和损失不可接受，必</w:t>
            </w:r>
            <w:r>
              <w:rPr>
                <w:rFonts w:ascii="Times New Roman" w:hAnsi="Times New Roman" w:cs="Times New Roman" w:eastAsiaTheme="minorEastAsia"/>
                <w:b w:val="0"/>
                <w:bCs/>
                <w:color w:val="000000" w:themeColor="text1"/>
                <w:spacing w:val="10"/>
                <w:lang w:eastAsia="zh-CN"/>
                <w14:textFill>
                  <w14:solidFill>
                    <w14:schemeClr w14:val="tx1"/>
                  </w14:solidFill>
                </w14:textFill>
              </w:rPr>
              <w:t>须采取积极有效的防范化解措施</w:t>
            </w:r>
          </w:p>
        </w:tc>
        <w:tc>
          <w:tcPr>
            <w:tcW w:w="776" w:type="dxa"/>
            <w:tcBorders>
              <w:right w:val="single" w:color="000000" w:sz="2" w:space="0"/>
            </w:tcBorders>
          </w:tcPr>
          <w:p>
            <w:pPr>
              <w:pStyle w:val="391"/>
              <w:autoSpaceDE w:val="0"/>
              <w:autoSpaceDN w:val="0"/>
              <w:spacing w:before="242" w:line="183" w:lineRule="auto"/>
              <w:ind w:left="32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3" w:hRule="atLeast"/>
        </w:trPr>
        <w:tc>
          <w:tcPr>
            <w:tcW w:w="1256" w:type="dxa"/>
            <w:tcBorders>
              <w:left w:val="single" w:color="000000" w:sz="2" w:space="0"/>
            </w:tcBorders>
          </w:tcPr>
          <w:p>
            <w:pPr>
              <w:pStyle w:val="391"/>
              <w:autoSpaceDE w:val="0"/>
              <w:autoSpaceDN w:val="0"/>
              <w:spacing w:before="205" w:line="220" w:lineRule="auto"/>
              <w:ind w:left="13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6"/>
                <w14:textFill>
                  <w14:solidFill>
                    <w14:schemeClr w14:val="tx1"/>
                  </w14:solidFill>
                </w14:textFill>
              </w:rPr>
              <w:t>较大风险</w:t>
            </w:r>
          </w:p>
        </w:tc>
        <w:tc>
          <w:tcPr>
            <w:tcW w:w="1699" w:type="dxa"/>
          </w:tcPr>
          <w:p>
            <w:pPr>
              <w:pStyle w:val="391"/>
              <w:autoSpaceDE w:val="0"/>
              <w:autoSpaceDN w:val="0"/>
              <w:spacing w:before="243" w:line="183" w:lineRule="auto"/>
              <w:ind w:left="35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37%～64%</w:t>
            </w:r>
          </w:p>
        </w:tc>
        <w:tc>
          <w:tcPr>
            <w:tcW w:w="6611" w:type="dxa"/>
          </w:tcPr>
          <w:p>
            <w:pPr>
              <w:pStyle w:val="391"/>
              <w:autoSpaceDE w:val="0"/>
              <w:autoSpaceDN w:val="0"/>
              <w:spacing w:before="50" w:line="224" w:lineRule="auto"/>
              <w:ind w:left="109" w:right="211" w:firstLine="2"/>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1"/>
                <w:lang w:eastAsia="zh-CN"/>
                <w14:textFill>
                  <w14:solidFill>
                    <w14:schemeClr w14:val="tx1"/>
                  </w14:solidFill>
                </w14:textFill>
              </w:rPr>
              <w:t>可能性较大，或社会影响和损失较大，影响和损失是可以</w:t>
            </w:r>
            <w:r>
              <w:rPr>
                <w:rFonts w:ascii="Times New Roman" w:hAnsi="Times New Roman" w:cs="Times New Roman" w:eastAsiaTheme="minorEastAsia"/>
                <w:b w:val="0"/>
                <w:bCs/>
                <w:color w:val="000000" w:themeColor="text1"/>
                <w:spacing w:val="10"/>
                <w:lang w:eastAsia="zh-CN"/>
                <w14:textFill>
                  <w14:solidFill>
                    <w14:schemeClr w14:val="tx1"/>
                  </w14:solidFill>
                </w14:textFill>
              </w:rPr>
              <w:t>接受的，需采取一定的防范化解措施</w:t>
            </w:r>
          </w:p>
        </w:tc>
        <w:tc>
          <w:tcPr>
            <w:tcW w:w="776" w:type="dxa"/>
            <w:tcBorders>
              <w:right w:val="single" w:color="000000" w:sz="2" w:space="0"/>
            </w:tcBorders>
          </w:tcPr>
          <w:p>
            <w:pPr>
              <w:pStyle w:val="391"/>
              <w:autoSpaceDE w:val="0"/>
              <w:autoSpaceDN w:val="0"/>
              <w:spacing w:before="244" w:line="182" w:lineRule="auto"/>
              <w:ind w:left="31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3" w:hRule="atLeast"/>
        </w:trPr>
        <w:tc>
          <w:tcPr>
            <w:tcW w:w="1256" w:type="dxa"/>
            <w:tcBorders>
              <w:left w:val="single" w:color="000000" w:sz="2" w:space="0"/>
            </w:tcBorders>
          </w:tcPr>
          <w:p>
            <w:pPr>
              <w:pStyle w:val="391"/>
              <w:autoSpaceDE w:val="0"/>
              <w:autoSpaceDN w:val="0"/>
              <w:spacing w:before="206" w:line="220" w:lineRule="auto"/>
              <w:ind w:left="138"/>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5"/>
                <w14:textFill>
                  <w14:solidFill>
                    <w14:schemeClr w14:val="tx1"/>
                  </w14:solidFill>
                </w14:textFill>
              </w:rPr>
              <w:t>一般风险</w:t>
            </w:r>
          </w:p>
        </w:tc>
        <w:tc>
          <w:tcPr>
            <w:tcW w:w="1699" w:type="dxa"/>
          </w:tcPr>
          <w:p>
            <w:pPr>
              <w:pStyle w:val="391"/>
              <w:autoSpaceDE w:val="0"/>
              <w:autoSpaceDN w:val="0"/>
              <w:spacing w:before="243" w:line="184" w:lineRule="auto"/>
              <w:ind w:left="36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17%～36%</w:t>
            </w:r>
          </w:p>
        </w:tc>
        <w:tc>
          <w:tcPr>
            <w:tcW w:w="6611" w:type="dxa"/>
          </w:tcPr>
          <w:p>
            <w:pPr>
              <w:pStyle w:val="391"/>
              <w:autoSpaceDE w:val="0"/>
              <w:autoSpaceDN w:val="0"/>
              <w:spacing w:before="50" w:line="224" w:lineRule="auto"/>
              <w:ind w:left="112" w:right="211"/>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3"/>
                <w:lang w:eastAsia="zh-CN"/>
                <w14:textFill>
                  <w14:solidFill>
                    <w14:schemeClr w14:val="tx1"/>
                  </w14:solidFill>
                </w14:textFill>
              </w:rPr>
              <w:t>可能性不大，或社会影响和损失不大，一般不影响项目的</w:t>
            </w:r>
            <w:r>
              <w:rPr>
                <w:rFonts w:ascii="Times New Roman" w:hAnsi="Times New Roman" w:cs="Times New Roman" w:eastAsiaTheme="minorEastAsia"/>
                <w:b w:val="0"/>
                <w:bCs/>
                <w:color w:val="000000" w:themeColor="text1"/>
                <w:spacing w:val="10"/>
                <w:lang w:eastAsia="zh-CN"/>
                <w14:textFill>
                  <w14:solidFill>
                    <w14:schemeClr w14:val="tx1"/>
                  </w14:solidFill>
                </w14:textFill>
              </w:rPr>
              <w:t>可行性，应采取一定的防范化解措施</w:t>
            </w:r>
          </w:p>
        </w:tc>
        <w:tc>
          <w:tcPr>
            <w:tcW w:w="776" w:type="dxa"/>
            <w:tcBorders>
              <w:right w:val="single" w:color="000000" w:sz="2" w:space="0"/>
            </w:tcBorders>
          </w:tcPr>
          <w:p>
            <w:pPr>
              <w:pStyle w:val="391"/>
              <w:autoSpaceDE w:val="0"/>
              <w:autoSpaceDN w:val="0"/>
              <w:spacing w:before="245" w:line="182" w:lineRule="auto"/>
              <w:ind w:left="31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3" w:hRule="atLeast"/>
        </w:trPr>
        <w:tc>
          <w:tcPr>
            <w:tcW w:w="1256" w:type="dxa"/>
            <w:tcBorders>
              <w:left w:val="single" w:color="000000" w:sz="2" w:space="0"/>
            </w:tcBorders>
          </w:tcPr>
          <w:p>
            <w:pPr>
              <w:pStyle w:val="391"/>
              <w:autoSpaceDE w:val="0"/>
              <w:autoSpaceDN w:val="0"/>
              <w:spacing w:before="207" w:line="220" w:lineRule="auto"/>
              <w:ind w:left="13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6"/>
                <w14:textFill>
                  <w14:solidFill>
                    <w14:schemeClr w14:val="tx1"/>
                  </w14:solidFill>
                </w14:textFill>
              </w:rPr>
              <w:t>较小风险</w:t>
            </w:r>
          </w:p>
        </w:tc>
        <w:tc>
          <w:tcPr>
            <w:tcW w:w="1699" w:type="dxa"/>
          </w:tcPr>
          <w:p>
            <w:pPr>
              <w:pStyle w:val="391"/>
              <w:autoSpaceDE w:val="0"/>
              <w:autoSpaceDN w:val="0"/>
              <w:spacing w:before="244" w:line="184" w:lineRule="auto"/>
              <w:ind w:left="41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5%～16%</w:t>
            </w:r>
          </w:p>
        </w:tc>
        <w:tc>
          <w:tcPr>
            <w:tcW w:w="6611" w:type="dxa"/>
          </w:tcPr>
          <w:p>
            <w:pPr>
              <w:pStyle w:val="391"/>
              <w:autoSpaceDE w:val="0"/>
              <w:autoSpaceDN w:val="0"/>
              <w:spacing w:before="207" w:line="219" w:lineRule="auto"/>
              <w:ind w:left="112"/>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23"/>
                <w:lang w:eastAsia="zh-CN"/>
                <w14:textFill>
                  <w14:solidFill>
                    <w14:schemeClr w14:val="tx1"/>
                  </w14:solidFill>
                </w14:textFill>
              </w:rPr>
              <w:t>可能性较小，或社会影响和损失较小，不影响项目的可行性</w:t>
            </w:r>
          </w:p>
        </w:tc>
        <w:tc>
          <w:tcPr>
            <w:tcW w:w="776" w:type="dxa"/>
            <w:tcBorders>
              <w:right w:val="single" w:color="000000" w:sz="2" w:space="0"/>
            </w:tcBorders>
          </w:tcPr>
          <w:p>
            <w:pPr>
              <w:pStyle w:val="391"/>
              <w:autoSpaceDE w:val="0"/>
              <w:autoSpaceDN w:val="0"/>
              <w:spacing w:before="246" w:line="182" w:lineRule="auto"/>
              <w:ind w:left="32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5" w:hRule="atLeast"/>
        </w:trPr>
        <w:tc>
          <w:tcPr>
            <w:tcW w:w="1256" w:type="dxa"/>
            <w:tcBorders>
              <w:left w:val="single" w:color="000000" w:sz="2" w:space="0"/>
              <w:bottom w:val="single" w:color="000000" w:sz="2" w:space="0"/>
            </w:tcBorders>
          </w:tcPr>
          <w:p>
            <w:pPr>
              <w:pStyle w:val="391"/>
              <w:autoSpaceDE w:val="0"/>
              <w:autoSpaceDN w:val="0"/>
              <w:spacing w:before="207" w:line="220" w:lineRule="auto"/>
              <w:ind w:left="13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6"/>
                <w14:textFill>
                  <w14:solidFill>
                    <w14:schemeClr w14:val="tx1"/>
                  </w14:solidFill>
                </w14:textFill>
              </w:rPr>
              <w:t>微小风险</w:t>
            </w:r>
          </w:p>
        </w:tc>
        <w:tc>
          <w:tcPr>
            <w:tcW w:w="1699" w:type="dxa"/>
            <w:tcBorders>
              <w:bottom w:val="single" w:color="000000" w:sz="2" w:space="0"/>
            </w:tcBorders>
          </w:tcPr>
          <w:p>
            <w:pPr>
              <w:pStyle w:val="391"/>
              <w:autoSpaceDE w:val="0"/>
              <w:autoSpaceDN w:val="0"/>
              <w:spacing w:before="246" w:line="183" w:lineRule="auto"/>
              <w:ind w:left="47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0%～4%</w:t>
            </w:r>
          </w:p>
        </w:tc>
        <w:tc>
          <w:tcPr>
            <w:tcW w:w="6611" w:type="dxa"/>
            <w:tcBorders>
              <w:bottom w:val="single" w:color="000000" w:sz="2" w:space="0"/>
            </w:tcBorders>
          </w:tcPr>
          <w:p>
            <w:pPr>
              <w:pStyle w:val="391"/>
              <w:autoSpaceDE w:val="0"/>
              <w:autoSpaceDN w:val="0"/>
              <w:spacing w:before="208" w:line="219" w:lineRule="auto"/>
              <w:ind w:left="112"/>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11"/>
                <w:lang w:eastAsia="zh-CN"/>
                <w14:textFill>
                  <w14:solidFill>
                    <w14:schemeClr w14:val="tx1"/>
                  </w14:solidFill>
                </w14:textFill>
              </w:rPr>
              <w:t>可能性很小，且社会影响和损失很小，对项目影响很小</w:t>
            </w:r>
          </w:p>
        </w:tc>
        <w:tc>
          <w:tcPr>
            <w:tcW w:w="776" w:type="dxa"/>
            <w:tcBorders>
              <w:bottom w:val="single" w:color="000000" w:sz="2" w:space="0"/>
              <w:right w:val="single" w:color="000000" w:sz="2" w:space="0"/>
            </w:tcBorders>
          </w:tcPr>
          <w:p>
            <w:pPr>
              <w:pStyle w:val="391"/>
              <w:autoSpaceDE w:val="0"/>
              <w:autoSpaceDN w:val="0"/>
              <w:spacing w:before="247" w:line="182" w:lineRule="auto"/>
              <w:ind w:left="31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N</w:t>
            </w:r>
          </w:p>
        </w:tc>
      </w:tr>
    </w:tbl>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（2）整体风险评价标准</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根据《评估暂行办法》，重大固定资产投资项目社会稳定风险评价等级分为三级：高风险、中风险和低风险，相应给出了风险等级的定性描述。</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高风险：大部分群众对项目有意见、反应特别强烈，可能引发大规模群体性事件。</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中风险：部分群众对项目有意见、反应强烈，可能引发矛盾冲突。</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低风险：多数群众理解支持但少部分人对项目有意见，通过有效工作可防范和化解矛盾。</w:t>
      </w:r>
    </w:p>
    <w:p>
      <w:pPr>
        <w:spacing w:line="300" w:lineRule="auto"/>
        <w:ind w:firstLine="478" w:firstLineChars="200"/>
        <w:jc w:val="center"/>
        <w:rPr>
          <w:rFonts w:ascii="Times New Roman" w:hAnsi="Times New Roman"/>
          <w:b w:val="0"/>
          <w:color w:val="auto"/>
          <w:sz w:val="24"/>
          <w:szCs w:val="20"/>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项目整体社会稳定风险等级评判参考标准</w:t>
      </w:r>
    </w:p>
    <w:tbl>
      <w:tblPr>
        <w:tblStyle w:val="379"/>
        <w:tblW w:w="10342" w:type="dxa"/>
        <w:tblInd w:w="2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628"/>
        <w:gridCol w:w="3201"/>
        <w:gridCol w:w="2846"/>
        <w:gridCol w:w="266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6" w:hRule="atLeast"/>
        </w:trPr>
        <w:tc>
          <w:tcPr>
            <w:tcW w:w="1628" w:type="dxa"/>
            <w:tcBorders>
              <w:top w:val="single" w:color="000000" w:sz="2" w:space="0"/>
              <w:left w:val="single" w:color="000000" w:sz="2" w:space="0"/>
            </w:tcBorders>
          </w:tcPr>
          <w:p>
            <w:pPr>
              <w:pStyle w:val="391"/>
              <w:autoSpaceDE w:val="0"/>
              <w:autoSpaceDN w:val="0"/>
              <w:spacing w:before="157" w:line="220" w:lineRule="auto"/>
              <w:ind w:left="32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6"/>
                <w14:textFill>
                  <w14:solidFill>
                    <w14:schemeClr w14:val="tx1"/>
                  </w14:solidFill>
                </w14:textFill>
              </w:rPr>
              <w:t>风险等级</w:t>
            </w:r>
          </w:p>
        </w:tc>
        <w:tc>
          <w:tcPr>
            <w:tcW w:w="3201" w:type="dxa"/>
            <w:tcBorders>
              <w:top w:val="single" w:color="000000" w:sz="2" w:space="0"/>
            </w:tcBorders>
          </w:tcPr>
          <w:p>
            <w:pPr>
              <w:pStyle w:val="391"/>
              <w:autoSpaceDE w:val="0"/>
              <w:autoSpaceDN w:val="0"/>
              <w:spacing w:before="157" w:line="220" w:lineRule="auto"/>
              <w:ind w:left="123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高风险</w:t>
            </w:r>
          </w:p>
        </w:tc>
        <w:tc>
          <w:tcPr>
            <w:tcW w:w="2846" w:type="dxa"/>
            <w:tcBorders>
              <w:top w:val="single" w:color="000000" w:sz="2" w:space="0"/>
            </w:tcBorders>
          </w:tcPr>
          <w:p>
            <w:pPr>
              <w:pStyle w:val="391"/>
              <w:autoSpaceDE w:val="0"/>
              <w:autoSpaceDN w:val="0"/>
              <w:spacing w:before="158" w:line="220" w:lineRule="auto"/>
              <w:ind w:left="107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中风险</w:t>
            </w:r>
          </w:p>
        </w:tc>
        <w:tc>
          <w:tcPr>
            <w:tcW w:w="2667" w:type="dxa"/>
            <w:tcBorders>
              <w:top w:val="single" w:color="000000" w:sz="2" w:space="0"/>
              <w:right w:val="single" w:color="000000" w:sz="2" w:space="0"/>
            </w:tcBorders>
          </w:tcPr>
          <w:p>
            <w:pPr>
              <w:pStyle w:val="391"/>
              <w:autoSpaceDE w:val="0"/>
              <w:autoSpaceDN w:val="0"/>
              <w:spacing w:before="158" w:line="220" w:lineRule="auto"/>
              <w:ind w:left="95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5"/>
                <w14:textFill>
                  <w14:solidFill>
                    <w14:schemeClr w14:val="tx1"/>
                  </w14:solidFill>
                </w14:textFill>
              </w:rPr>
              <w:t>低风险</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0" w:hRule="atLeast"/>
        </w:trPr>
        <w:tc>
          <w:tcPr>
            <w:tcW w:w="1628" w:type="dxa"/>
            <w:tcBorders>
              <w:left w:val="single" w:color="000000" w:sz="2" w:space="0"/>
              <w:bottom w:val="single" w:color="000000" w:sz="2" w:space="0"/>
            </w:tcBorders>
          </w:tcPr>
          <w:p>
            <w:pPr>
              <w:pStyle w:val="391"/>
              <w:autoSpaceDE w:val="0"/>
              <w:autoSpaceDN w:val="0"/>
              <w:spacing w:before="135" w:line="220" w:lineRule="auto"/>
              <w:ind w:left="39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14"/>
                <w14:textFill>
                  <w14:solidFill>
                    <w14:schemeClr w14:val="tx1"/>
                  </w14:solidFill>
                </w14:textFill>
              </w:rPr>
              <w:t>定量标准</w:t>
            </w:r>
          </w:p>
        </w:tc>
        <w:tc>
          <w:tcPr>
            <w:tcW w:w="3201" w:type="dxa"/>
            <w:tcBorders>
              <w:bottom w:val="single" w:color="000000" w:sz="2" w:space="0"/>
            </w:tcBorders>
          </w:tcPr>
          <w:p>
            <w:pPr>
              <w:pStyle w:val="391"/>
              <w:autoSpaceDE w:val="0"/>
              <w:autoSpaceDN w:val="0"/>
              <w:spacing w:before="134"/>
              <w:ind w:left="138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9"/>
                <w14:textFill>
                  <w14:solidFill>
                    <w14:schemeClr w14:val="tx1"/>
                  </w14:solidFill>
                </w14:textFill>
              </w:rPr>
              <w:t>&gt;64%</w:t>
            </w:r>
          </w:p>
        </w:tc>
        <w:tc>
          <w:tcPr>
            <w:tcW w:w="2846" w:type="dxa"/>
            <w:tcBorders>
              <w:bottom w:val="single" w:color="000000" w:sz="2" w:space="0"/>
            </w:tcBorders>
          </w:tcPr>
          <w:p>
            <w:pPr>
              <w:pStyle w:val="391"/>
              <w:autoSpaceDE w:val="0"/>
              <w:autoSpaceDN w:val="0"/>
              <w:spacing w:before="172" w:line="183" w:lineRule="auto"/>
              <w:ind w:left="103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36%-64%</w:t>
            </w:r>
          </w:p>
        </w:tc>
        <w:tc>
          <w:tcPr>
            <w:tcW w:w="2667" w:type="dxa"/>
            <w:tcBorders>
              <w:bottom w:val="single" w:color="000000" w:sz="2" w:space="0"/>
              <w:right w:val="single" w:color="000000" w:sz="2" w:space="0"/>
            </w:tcBorders>
          </w:tcPr>
          <w:p>
            <w:pPr>
              <w:pStyle w:val="391"/>
              <w:autoSpaceDE w:val="0"/>
              <w:autoSpaceDN w:val="0"/>
              <w:spacing w:before="134"/>
              <w:ind w:left="110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9"/>
                <w14:textFill>
                  <w14:solidFill>
                    <w14:schemeClr w14:val="tx1"/>
                  </w14:solidFill>
                </w14:textFill>
              </w:rPr>
              <w:t>&lt;36%</w:t>
            </w:r>
          </w:p>
        </w:tc>
      </w:tr>
    </w:tbl>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项目整体风险估计，应运用适当的方法，综合各单因素风险对拟建项目整体的风险影响，将项目整体风险估计结果与风险评判标准进行对比，确定风险等级。本次分析将本着“就高不就低”、“叠加累积”的原则，根据单因素风险等级综合确定本项目社会稳定风险等级。</w:t>
      </w:r>
    </w:p>
    <w:p>
      <w:pPr>
        <w:pStyle w:val="4"/>
        <w:spacing w:line="300" w:lineRule="auto"/>
        <w:ind w:firstLine="482" w:firstLineChars="200"/>
      </w:pPr>
      <w:bookmarkStart w:id="475" w:name="_Toc24953"/>
      <w:r>
        <w:t>单风险因素估计</w:t>
      </w:r>
      <w:bookmarkEnd w:id="475"/>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根据前面对各风险因素的分析论述，结合专家调查和项目实际情况，对影响本项目工程风险的单风险因素的性质特征、未来变化趋势及可能造成的影响后果进行分析，如下表所示。</w:t>
      </w:r>
    </w:p>
    <w:p>
      <w:pPr>
        <w:spacing w:before="226" w:line="218" w:lineRule="auto"/>
        <w:ind w:left="4314" w:firstLine="478" w:firstLineChars="200"/>
        <w:rPr>
          <w:rFonts w:ascii="Times New Roman" w:hAnsi="Times New Roman"/>
          <w:sz w:val="24"/>
          <w:szCs w:val="24"/>
        </w:rPr>
      </w:pPr>
      <w:r>
        <w:rPr>
          <w:rFonts w:ascii="Times New Roman" w:hAnsi="Times New Roman"/>
          <w:spacing w:val="-1"/>
          <w:sz w:val="24"/>
          <w:szCs w:val="24"/>
          <w14:textOutline w14:w="3048" w14:cap="flat" w14:cmpd="sng" w14:algn="ctr">
            <w14:solidFill>
              <w14:srgbClr w14:val="000000"/>
            </w14:solidFill>
            <w14:prstDash w14:val="solid"/>
            <w14:miter w14:val="0"/>
          </w14:textOutline>
        </w:rPr>
        <w:t>主要风险因素估计汇总表</w:t>
      </w:r>
    </w:p>
    <w:tbl>
      <w:tblPr>
        <w:tblStyle w:val="379"/>
        <w:tblW w:w="10164"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36"/>
        <w:gridCol w:w="3207"/>
        <w:gridCol w:w="1552"/>
        <w:gridCol w:w="1551"/>
        <w:gridCol w:w="1551"/>
        <w:gridCol w:w="1567"/>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6" w:hRule="atLeast"/>
        </w:trPr>
        <w:tc>
          <w:tcPr>
            <w:tcW w:w="736" w:type="dxa"/>
          </w:tcPr>
          <w:p>
            <w:pPr>
              <w:pStyle w:val="391"/>
              <w:autoSpaceDE w:val="0"/>
              <w:autoSpaceDN w:val="0"/>
              <w:spacing w:before="143" w:line="221" w:lineRule="auto"/>
              <w:ind w:left="13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序号</w:t>
            </w:r>
          </w:p>
        </w:tc>
        <w:tc>
          <w:tcPr>
            <w:tcW w:w="3207" w:type="dxa"/>
          </w:tcPr>
          <w:p>
            <w:pPr>
              <w:pStyle w:val="391"/>
              <w:autoSpaceDE w:val="0"/>
              <w:autoSpaceDN w:val="0"/>
              <w:spacing w:before="143" w:line="220" w:lineRule="auto"/>
              <w:ind w:left="112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风险因素</w:t>
            </w:r>
          </w:p>
        </w:tc>
        <w:tc>
          <w:tcPr>
            <w:tcW w:w="1552" w:type="dxa"/>
          </w:tcPr>
          <w:p>
            <w:pPr>
              <w:pStyle w:val="391"/>
              <w:autoSpaceDE w:val="0"/>
              <w:autoSpaceDN w:val="0"/>
              <w:spacing w:before="143" w:line="220" w:lineRule="auto"/>
              <w:ind w:left="30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风险概率</w:t>
            </w:r>
          </w:p>
        </w:tc>
        <w:tc>
          <w:tcPr>
            <w:tcW w:w="1551" w:type="dxa"/>
          </w:tcPr>
          <w:p>
            <w:pPr>
              <w:pStyle w:val="391"/>
              <w:autoSpaceDE w:val="0"/>
              <w:autoSpaceDN w:val="0"/>
              <w:spacing w:before="144" w:line="220" w:lineRule="auto"/>
              <w:ind w:left="302"/>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影响程度</w:t>
            </w:r>
          </w:p>
        </w:tc>
        <w:tc>
          <w:tcPr>
            <w:tcW w:w="1551" w:type="dxa"/>
          </w:tcPr>
          <w:p>
            <w:pPr>
              <w:pStyle w:val="391"/>
              <w:autoSpaceDE w:val="0"/>
              <w:autoSpaceDN w:val="0"/>
              <w:spacing w:before="143" w:line="220" w:lineRule="auto"/>
              <w:ind w:left="30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风险等级</w:t>
            </w:r>
          </w:p>
        </w:tc>
        <w:tc>
          <w:tcPr>
            <w:tcW w:w="1567" w:type="dxa"/>
          </w:tcPr>
          <w:p>
            <w:pPr>
              <w:pStyle w:val="391"/>
              <w:autoSpaceDE w:val="0"/>
              <w:autoSpaceDN w:val="0"/>
              <w:spacing w:before="144" w:line="218" w:lineRule="auto"/>
              <w:ind w:left="31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定性评价</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4" w:hRule="atLeast"/>
        </w:trPr>
        <w:tc>
          <w:tcPr>
            <w:tcW w:w="736" w:type="dxa"/>
          </w:tcPr>
          <w:p>
            <w:pPr>
              <w:pStyle w:val="391"/>
              <w:autoSpaceDE w:val="0"/>
              <w:autoSpaceDN w:val="0"/>
              <w:spacing w:before="158" w:line="184" w:lineRule="auto"/>
              <w:ind w:left="33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1</w:t>
            </w:r>
          </w:p>
        </w:tc>
        <w:tc>
          <w:tcPr>
            <w:tcW w:w="3207" w:type="dxa"/>
          </w:tcPr>
          <w:p>
            <w:pPr>
              <w:pStyle w:val="391"/>
              <w:autoSpaceDE w:val="0"/>
              <w:autoSpaceDN w:val="0"/>
              <w:spacing w:before="121" w:line="220" w:lineRule="auto"/>
              <w:ind w:left="414"/>
              <w:rPr>
                <w:rFonts w:ascii="Times New Roman" w:hAnsi="Times New Roman" w:cs="Times New Roman" w:eastAsiaTheme="minorEastAsia"/>
                <w:b w:val="0"/>
                <w:bCs/>
                <w:color w:val="000000" w:themeColor="text1"/>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带动沿线经济发展风险</w:t>
            </w:r>
          </w:p>
        </w:tc>
        <w:tc>
          <w:tcPr>
            <w:tcW w:w="1552" w:type="dxa"/>
          </w:tcPr>
          <w:p>
            <w:pPr>
              <w:pStyle w:val="391"/>
              <w:autoSpaceDE w:val="0"/>
              <w:autoSpaceDN w:val="0"/>
              <w:spacing w:before="159" w:line="183" w:lineRule="auto"/>
              <w:ind w:left="54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0.09</w:t>
            </w:r>
          </w:p>
        </w:tc>
        <w:tc>
          <w:tcPr>
            <w:tcW w:w="1551" w:type="dxa"/>
          </w:tcPr>
          <w:p>
            <w:pPr>
              <w:pStyle w:val="391"/>
              <w:autoSpaceDE w:val="0"/>
              <w:autoSpaceDN w:val="0"/>
              <w:spacing w:before="159" w:line="183" w:lineRule="auto"/>
              <w:ind w:left="54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0.32</w:t>
            </w:r>
          </w:p>
        </w:tc>
        <w:tc>
          <w:tcPr>
            <w:tcW w:w="1551" w:type="dxa"/>
          </w:tcPr>
          <w:p>
            <w:pPr>
              <w:pStyle w:val="391"/>
              <w:autoSpaceDE w:val="0"/>
              <w:autoSpaceDN w:val="0"/>
              <w:spacing w:before="159" w:line="183" w:lineRule="auto"/>
              <w:ind w:left="42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0.0288</w:t>
            </w:r>
          </w:p>
        </w:tc>
        <w:tc>
          <w:tcPr>
            <w:tcW w:w="1567" w:type="dxa"/>
          </w:tcPr>
          <w:p>
            <w:pPr>
              <w:pStyle w:val="391"/>
              <w:autoSpaceDE w:val="0"/>
              <w:autoSpaceDN w:val="0"/>
              <w:spacing w:before="122" w:line="220" w:lineRule="auto"/>
              <w:ind w:left="305"/>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较小风险</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4" w:hRule="atLeast"/>
        </w:trPr>
        <w:tc>
          <w:tcPr>
            <w:tcW w:w="736" w:type="dxa"/>
          </w:tcPr>
          <w:p>
            <w:pPr>
              <w:pStyle w:val="391"/>
              <w:autoSpaceDE w:val="0"/>
              <w:autoSpaceDN w:val="0"/>
              <w:spacing w:before="181" w:line="183" w:lineRule="auto"/>
              <w:ind w:left="321"/>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2</w:t>
            </w:r>
          </w:p>
        </w:tc>
        <w:tc>
          <w:tcPr>
            <w:tcW w:w="3207" w:type="dxa"/>
          </w:tcPr>
          <w:p>
            <w:pPr>
              <w:pStyle w:val="391"/>
              <w:autoSpaceDE w:val="0"/>
              <w:autoSpaceDN w:val="0"/>
              <w:spacing w:before="144" w:line="220" w:lineRule="auto"/>
              <w:ind w:left="652"/>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项目新增就业风险</w:t>
            </w:r>
          </w:p>
        </w:tc>
        <w:tc>
          <w:tcPr>
            <w:tcW w:w="1552" w:type="dxa"/>
          </w:tcPr>
          <w:p>
            <w:pPr>
              <w:pStyle w:val="391"/>
              <w:autoSpaceDE w:val="0"/>
              <w:autoSpaceDN w:val="0"/>
              <w:spacing w:before="180" w:line="184"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0.12</w:t>
            </w:r>
          </w:p>
        </w:tc>
        <w:tc>
          <w:tcPr>
            <w:tcW w:w="1551" w:type="dxa"/>
          </w:tcPr>
          <w:p>
            <w:pPr>
              <w:pStyle w:val="391"/>
              <w:autoSpaceDE w:val="0"/>
              <w:autoSpaceDN w:val="0"/>
              <w:spacing w:before="181" w:line="183"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0.64</w:t>
            </w:r>
          </w:p>
        </w:tc>
        <w:tc>
          <w:tcPr>
            <w:tcW w:w="1551" w:type="dxa"/>
          </w:tcPr>
          <w:p>
            <w:pPr>
              <w:pStyle w:val="391"/>
              <w:autoSpaceDE w:val="0"/>
              <w:autoSpaceDN w:val="0"/>
              <w:spacing w:before="181" w:line="183" w:lineRule="auto"/>
              <w:ind w:left="425"/>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0.0768</w:t>
            </w:r>
          </w:p>
        </w:tc>
        <w:tc>
          <w:tcPr>
            <w:tcW w:w="1567" w:type="dxa"/>
          </w:tcPr>
          <w:p>
            <w:pPr>
              <w:pStyle w:val="391"/>
              <w:autoSpaceDE w:val="0"/>
              <w:autoSpaceDN w:val="0"/>
              <w:spacing w:before="144" w:line="220" w:lineRule="auto"/>
              <w:ind w:left="304"/>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较小风险</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4" w:hRule="atLeast"/>
        </w:trPr>
        <w:tc>
          <w:tcPr>
            <w:tcW w:w="736" w:type="dxa"/>
          </w:tcPr>
          <w:p>
            <w:pPr>
              <w:pStyle w:val="391"/>
              <w:autoSpaceDE w:val="0"/>
              <w:autoSpaceDN w:val="0"/>
              <w:spacing w:before="156" w:line="183" w:lineRule="auto"/>
              <w:ind w:left="32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3</w:t>
            </w:r>
          </w:p>
        </w:tc>
        <w:tc>
          <w:tcPr>
            <w:tcW w:w="3207" w:type="dxa"/>
          </w:tcPr>
          <w:p>
            <w:pPr>
              <w:pStyle w:val="391"/>
              <w:autoSpaceDE w:val="0"/>
              <w:autoSpaceDN w:val="0"/>
              <w:spacing w:before="118" w:line="220" w:lineRule="auto"/>
              <w:ind w:left="409"/>
              <w:rPr>
                <w:rFonts w:ascii="Times New Roman" w:hAnsi="Times New Roman" w:cs="Times New Roman" w:eastAsiaTheme="minorEastAsia"/>
                <w:b w:val="0"/>
                <w:bCs/>
                <w:color w:val="000000" w:themeColor="text1"/>
                <w:spacing w:val="-2"/>
                <w:lang w:eastAsia="zh-CN"/>
                <w14:textFill>
                  <w14:solidFill>
                    <w14:schemeClr w14:val="tx1"/>
                  </w14:solidFill>
                </w14:textFill>
              </w:rPr>
            </w:pPr>
            <w:r>
              <w:rPr>
                <w:rFonts w:ascii="Times New Roman" w:hAnsi="Times New Roman" w:cs="Times New Roman" w:eastAsiaTheme="minorEastAsia"/>
                <w:b w:val="0"/>
                <w:bCs/>
                <w:color w:val="000000" w:themeColor="text1"/>
                <w:spacing w:val="-1"/>
                <w:lang w:eastAsia="zh-CN"/>
                <w14:textFill>
                  <w14:solidFill>
                    <w14:schemeClr w14:val="tx1"/>
                  </w14:solidFill>
                </w14:textFill>
              </w:rPr>
              <w:t>提高居民收入水平风险</w:t>
            </w:r>
          </w:p>
        </w:tc>
        <w:tc>
          <w:tcPr>
            <w:tcW w:w="1552" w:type="dxa"/>
          </w:tcPr>
          <w:p>
            <w:pPr>
              <w:pStyle w:val="391"/>
              <w:autoSpaceDE w:val="0"/>
              <w:autoSpaceDN w:val="0"/>
              <w:spacing w:before="156" w:line="183"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0.34</w:t>
            </w:r>
          </w:p>
        </w:tc>
        <w:tc>
          <w:tcPr>
            <w:tcW w:w="1551" w:type="dxa"/>
          </w:tcPr>
          <w:p>
            <w:pPr>
              <w:pStyle w:val="391"/>
              <w:autoSpaceDE w:val="0"/>
              <w:autoSpaceDN w:val="0"/>
              <w:spacing w:before="156" w:line="183"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0.42</w:t>
            </w:r>
          </w:p>
        </w:tc>
        <w:tc>
          <w:tcPr>
            <w:tcW w:w="1551" w:type="dxa"/>
          </w:tcPr>
          <w:p>
            <w:pPr>
              <w:pStyle w:val="391"/>
              <w:autoSpaceDE w:val="0"/>
              <w:autoSpaceDN w:val="0"/>
              <w:spacing w:before="155" w:line="184" w:lineRule="auto"/>
              <w:ind w:left="425"/>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0.1428</w:t>
            </w:r>
          </w:p>
        </w:tc>
        <w:tc>
          <w:tcPr>
            <w:tcW w:w="1567" w:type="dxa"/>
          </w:tcPr>
          <w:p>
            <w:pPr>
              <w:pStyle w:val="391"/>
              <w:autoSpaceDE w:val="0"/>
              <w:autoSpaceDN w:val="0"/>
              <w:spacing w:before="118" w:line="220" w:lineRule="auto"/>
              <w:ind w:left="304"/>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较小风险</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4" w:hRule="atLeast"/>
        </w:trPr>
        <w:tc>
          <w:tcPr>
            <w:tcW w:w="736" w:type="dxa"/>
          </w:tcPr>
          <w:p>
            <w:pPr>
              <w:pStyle w:val="391"/>
              <w:autoSpaceDE w:val="0"/>
              <w:autoSpaceDN w:val="0"/>
              <w:spacing w:before="158" w:line="183" w:lineRule="auto"/>
              <w:ind w:left="317"/>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4</w:t>
            </w:r>
          </w:p>
        </w:tc>
        <w:tc>
          <w:tcPr>
            <w:tcW w:w="3207" w:type="dxa"/>
          </w:tcPr>
          <w:p>
            <w:pPr>
              <w:pStyle w:val="391"/>
              <w:autoSpaceDE w:val="0"/>
              <w:autoSpaceDN w:val="0"/>
              <w:spacing w:before="120" w:line="220" w:lineRule="auto"/>
              <w:ind w:left="528"/>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1"/>
                <w14:textFill>
                  <w14:solidFill>
                    <w14:schemeClr w14:val="tx1"/>
                  </w14:solidFill>
                </w14:textFill>
              </w:rPr>
              <w:t>环境敏感点影响风险</w:t>
            </w:r>
          </w:p>
        </w:tc>
        <w:tc>
          <w:tcPr>
            <w:tcW w:w="1552" w:type="dxa"/>
          </w:tcPr>
          <w:p>
            <w:pPr>
              <w:pStyle w:val="391"/>
              <w:autoSpaceDE w:val="0"/>
              <w:autoSpaceDN w:val="0"/>
              <w:spacing w:before="158" w:line="183"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0.26</w:t>
            </w:r>
          </w:p>
        </w:tc>
        <w:tc>
          <w:tcPr>
            <w:tcW w:w="1551" w:type="dxa"/>
          </w:tcPr>
          <w:p>
            <w:pPr>
              <w:pStyle w:val="391"/>
              <w:autoSpaceDE w:val="0"/>
              <w:autoSpaceDN w:val="0"/>
              <w:spacing w:before="157" w:line="184"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0.21</w:t>
            </w:r>
          </w:p>
        </w:tc>
        <w:tc>
          <w:tcPr>
            <w:tcW w:w="1551" w:type="dxa"/>
          </w:tcPr>
          <w:p>
            <w:pPr>
              <w:pStyle w:val="391"/>
              <w:autoSpaceDE w:val="0"/>
              <w:autoSpaceDN w:val="0"/>
              <w:spacing w:before="158" w:line="183" w:lineRule="auto"/>
              <w:ind w:left="425"/>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0.0546</w:t>
            </w:r>
          </w:p>
        </w:tc>
        <w:tc>
          <w:tcPr>
            <w:tcW w:w="1567" w:type="dxa"/>
          </w:tcPr>
          <w:p>
            <w:pPr>
              <w:pStyle w:val="391"/>
              <w:autoSpaceDE w:val="0"/>
              <w:autoSpaceDN w:val="0"/>
              <w:spacing w:before="120" w:line="220" w:lineRule="auto"/>
              <w:ind w:left="304"/>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较小风险</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4" w:hRule="atLeast"/>
        </w:trPr>
        <w:tc>
          <w:tcPr>
            <w:tcW w:w="736" w:type="dxa"/>
          </w:tcPr>
          <w:p>
            <w:pPr>
              <w:pStyle w:val="391"/>
              <w:autoSpaceDE w:val="0"/>
              <w:autoSpaceDN w:val="0"/>
              <w:spacing w:before="160" w:line="182" w:lineRule="auto"/>
              <w:ind w:left="323"/>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5</w:t>
            </w:r>
          </w:p>
        </w:tc>
        <w:tc>
          <w:tcPr>
            <w:tcW w:w="3207" w:type="dxa"/>
          </w:tcPr>
          <w:p>
            <w:pPr>
              <w:pStyle w:val="391"/>
              <w:autoSpaceDE w:val="0"/>
              <w:autoSpaceDN w:val="0"/>
              <w:spacing w:before="121" w:line="220" w:lineRule="auto"/>
              <w:ind w:left="291"/>
              <w:rPr>
                <w:rFonts w:ascii="Times New Roman" w:hAnsi="Times New Roman" w:cs="Times New Roman" w:eastAsiaTheme="minorEastAsia"/>
                <w:b w:val="0"/>
                <w:bCs/>
                <w:color w:val="000000" w:themeColor="text1"/>
                <w:spacing w:val="-2"/>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建设期生态环境影响风险</w:t>
            </w:r>
          </w:p>
        </w:tc>
        <w:tc>
          <w:tcPr>
            <w:tcW w:w="1552" w:type="dxa"/>
          </w:tcPr>
          <w:p>
            <w:pPr>
              <w:pStyle w:val="391"/>
              <w:autoSpaceDE w:val="0"/>
              <w:autoSpaceDN w:val="0"/>
              <w:spacing w:before="159" w:line="183"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0.42</w:t>
            </w:r>
          </w:p>
        </w:tc>
        <w:tc>
          <w:tcPr>
            <w:tcW w:w="1551" w:type="dxa"/>
          </w:tcPr>
          <w:p>
            <w:pPr>
              <w:pStyle w:val="391"/>
              <w:autoSpaceDE w:val="0"/>
              <w:autoSpaceDN w:val="0"/>
              <w:spacing w:before="159" w:line="183"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0.53</w:t>
            </w:r>
          </w:p>
        </w:tc>
        <w:tc>
          <w:tcPr>
            <w:tcW w:w="1551" w:type="dxa"/>
          </w:tcPr>
          <w:p>
            <w:pPr>
              <w:pStyle w:val="391"/>
              <w:autoSpaceDE w:val="0"/>
              <w:autoSpaceDN w:val="0"/>
              <w:spacing w:before="159" w:line="183" w:lineRule="auto"/>
              <w:ind w:left="425"/>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0.2226</w:t>
            </w:r>
          </w:p>
        </w:tc>
        <w:tc>
          <w:tcPr>
            <w:tcW w:w="1567" w:type="dxa"/>
          </w:tcPr>
          <w:p>
            <w:pPr>
              <w:pStyle w:val="391"/>
              <w:autoSpaceDE w:val="0"/>
              <w:autoSpaceDN w:val="0"/>
              <w:spacing w:before="121" w:line="220" w:lineRule="auto"/>
              <w:ind w:left="307"/>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一般风险</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4" w:hRule="atLeast"/>
        </w:trPr>
        <w:tc>
          <w:tcPr>
            <w:tcW w:w="736" w:type="dxa"/>
          </w:tcPr>
          <w:p>
            <w:pPr>
              <w:pStyle w:val="391"/>
              <w:autoSpaceDE w:val="0"/>
              <w:autoSpaceDN w:val="0"/>
              <w:spacing w:before="158" w:line="183" w:lineRule="auto"/>
              <w:ind w:left="320"/>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6</w:t>
            </w:r>
          </w:p>
        </w:tc>
        <w:tc>
          <w:tcPr>
            <w:tcW w:w="3207" w:type="dxa"/>
          </w:tcPr>
          <w:p>
            <w:pPr>
              <w:pStyle w:val="391"/>
              <w:autoSpaceDE w:val="0"/>
              <w:autoSpaceDN w:val="0"/>
              <w:spacing w:before="120" w:line="220" w:lineRule="auto"/>
              <w:ind w:left="288"/>
              <w:rPr>
                <w:rFonts w:ascii="Times New Roman" w:hAnsi="Times New Roman" w:cs="Times New Roman" w:eastAsiaTheme="minorEastAsia"/>
                <w:b w:val="0"/>
                <w:bCs/>
                <w:color w:val="000000" w:themeColor="text1"/>
                <w:spacing w:val="-2"/>
                <w:lang w:eastAsia="zh-CN"/>
                <w14:textFill>
                  <w14:solidFill>
                    <w14:schemeClr w14:val="tx1"/>
                  </w14:solidFill>
                </w14:textFill>
              </w:rPr>
            </w:pPr>
            <w:r>
              <w:rPr>
                <w:rFonts w:ascii="Times New Roman" w:hAnsi="Times New Roman" w:cs="Times New Roman" w:eastAsiaTheme="minorEastAsia"/>
                <w:b w:val="0"/>
                <w:bCs/>
                <w:color w:val="000000" w:themeColor="text1"/>
                <w:spacing w:val="-1"/>
                <w:lang w:eastAsia="zh-CN"/>
                <w14:textFill>
                  <w14:solidFill>
                    <w14:schemeClr w14:val="tx1"/>
                  </w14:solidFill>
                </w14:textFill>
              </w:rPr>
              <w:t>运营期生态环境影响风险</w:t>
            </w:r>
          </w:p>
        </w:tc>
        <w:tc>
          <w:tcPr>
            <w:tcW w:w="1552" w:type="dxa"/>
          </w:tcPr>
          <w:p>
            <w:pPr>
              <w:pStyle w:val="391"/>
              <w:autoSpaceDE w:val="0"/>
              <w:autoSpaceDN w:val="0"/>
              <w:spacing w:before="158" w:line="183"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0.46</w:t>
            </w:r>
          </w:p>
        </w:tc>
        <w:tc>
          <w:tcPr>
            <w:tcW w:w="1551" w:type="dxa"/>
          </w:tcPr>
          <w:p>
            <w:pPr>
              <w:pStyle w:val="391"/>
              <w:autoSpaceDE w:val="0"/>
              <w:autoSpaceDN w:val="0"/>
              <w:spacing w:before="158" w:line="183"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0.55</w:t>
            </w:r>
          </w:p>
        </w:tc>
        <w:tc>
          <w:tcPr>
            <w:tcW w:w="1551" w:type="dxa"/>
          </w:tcPr>
          <w:p>
            <w:pPr>
              <w:pStyle w:val="391"/>
              <w:autoSpaceDE w:val="0"/>
              <w:autoSpaceDN w:val="0"/>
              <w:spacing w:before="158" w:line="183" w:lineRule="auto"/>
              <w:ind w:left="485"/>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0.253</w:t>
            </w:r>
          </w:p>
        </w:tc>
        <w:tc>
          <w:tcPr>
            <w:tcW w:w="1567" w:type="dxa"/>
          </w:tcPr>
          <w:p>
            <w:pPr>
              <w:pStyle w:val="391"/>
              <w:autoSpaceDE w:val="0"/>
              <w:autoSpaceDN w:val="0"/>
              <w:spacing w:before="120" w:line="220" w:lineRule="auto"/>
              <w:ind w:left="307"/>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4"/>
                <w14:textFill>
                  <w14:solidFill>
                    <w14:schemeClr w14:val="tx1"/>
                  </w14:solidFill>
                </w14:textFill>
              </w:rPr>
              <w:t>一般风险</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4" w:hRule="atLeast"/>
        </w:trPr>
        <w:tc>
          <w:tcPr>
            <w:tcW w:w="736" w:type="dxa"/>
          </w:tcPr>
          <w:p>
            <w:pPr>
              <w:pStyle w:val="391"/>
              <w:autoSpaceDE w:val="0"/>
              <w:autoSpaceDN w:val="0"/>
              <w:spacing w:before="160" w:line="182" w:lineRule="auto"/>
              <w:ind w:left="324"/>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7</w:t>
            </w:r>
          </w:p>
        </w:tc>
        <w:tc>
          <w:tcPr>
            <w:tcW w:w="3207" w:type="dxa"/>
          </w:tcPr>
          <w:p>
            <w:pPr>
              <w:pStyle w:val="391"/>
              <w:autoSpaceDE w:val="0"/>
              <w:autoSpaceDN w:val="0"/>
              <w:spacing w:before="120" w:line="220" w:lineRule="auto"/>
              <w:ind w:left="410"/>
              <w:rPr>
                <w:rFonts w:ascii="Times New Roman" w:hAnsi="Times New Roman" w:cs="Times New Roman" w:eastAsiaTheme="minorEastAsia"/>
                <w:b w:val="0"/>
                <w:bCs/>
                <w:color w:val="000000" w:themeColor="text1"/>
                <w:spacing w:val="-2"/>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人文景观环境影响风险</w:t>
            </w:r>
          </w:p>
        </w:tc>
        <w:tc>
          <w:tcPr>
            <w:tcW w:w="1552" w:type="dxa"/>
          </w:tcPr>
          <w:p>
            <w:pPr>
              <w:pStyle w:val="391"/>
              <w:autoSpaceDE w:val="0"/>
              <w:autoSpaceDN w:val="0"/>
              <w:spacing w:before="159" w:line="183"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0.23</w:t>
            </w:r>
          </w:p>
        </w:tc>
        <w:tc>
          <w:tcPr>
            <w:tcW w:w="1551" w:type="dxa"/>
          </w:tcPr>
          <w:p>
            <w:pPr>
              <w:pStyle w:val="391"/>
              <w:autoSpaceDE w:val="0"/>
              <w:autoSpaceDN w:val="0"/>
              <w:spacing w:before="159" w:line="183"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0.34</w:t>
            </w:r>
          </w:p>
        </w:tc>
        <w:tc>
          <w:tcPr>
            <w:tcW w:w="1551" w:type="dxa"/>
          </w:tcPr>
          <w:p>
            <w:pPr>
              <w:pStyle w:val="391"/>
              <w:autoSpaceDE w:val="0"/>
              <w:autoSpaceDN w:val="0"/>
              <w:spacing w:before="159" w:line="183" w:lineRule="auto"/>
              <w:ind w:left="425"/>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0.0782</w:t>
            </w:r>
          </w:p>
        </w:tc>
        <w:tc>
          <w:tcPr>
            <w:tcW w:w="1567" w:type="dxa"/>
          </w:tcPr>
          <w:p>
            <w:pPr>
              <w:pStyle w:val="391"/>
              <w:autoSpaceDE w:val="0"/>
              <w:autoSpaceDN w:val="0"/>
              <w:spacing w:before="121" w:line="220" w:lineRule="auto"/>
              <w:ind w:left="304"/>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较小风险</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4" w:hRule="atLeast"/>
        </w:trPr>
        <w:tc>
          <w:tcPr>
            <w:tcW w:w="736" w:type="dxa"/>
          </w:tcPr>
          <w:p>
            <w:pPr>
              <w:pStyle w:val="391"/>
              <w:autoSpaceDE w:val="0"/>
              <w:autoSpaceDN w:val="0"/>
              <w:spacing w:before="159" w:line="183" w:lineRule="auto"/>
              <w:ind w:left="31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8</w:t>
            </w:r>
          </w:p>
        </w:tc>
        <w:tc>
          <w:tcPr>
            <w:tcW w:w="3207" w:type="dxa"/>
          </w:tcPr>
          <w:p>
            <w:pPr>
              <w:pStyle w:val="391"/>
              <w:autoSpaceDE w:val="0"/>
              <w:autoSpaceDN w:val="0"/>
              <w:spacing w:before="121" w:line="220" w:lineRule="auto"/>
              <w:ind w:left="891"/>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征地拆迁风险</w:t>
            </w:r>
          </w:p>
        </w:tc>
        <w:tc>
          <w:tcPr>
            <w:tcW w:w="1552" w:type="dxa"/>
          </w:tcPr>
          <w:p>
            <w:pPr>
              <w:pStyle w:val="391"/>
              <w:autoSpaceDE w:val="0"/>
              <w:autoSpaceDN w:val="0"/>
              <w:spacing w:before="159" w:line="183"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0.22</w:t>
            </w:r>
          </w:p>
        </w:tc>
        <w:tc>
          <w:tcPr>
            <w:tcW w:w="1551" w:type="dxa"/>
          </w:tcPr>
          <w:p>
            <w:pPr>
              <w:pStyle w:val="391"/>
              <w:autoSpaceDE w:val="0"/>
              <w:autoSpaceDN w:val="0"/>
              <w:spacing w:before="159" w:line="183"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0.26</w:t>
            </w:r>
          </w:p>
        </w:tc>
        <w:tc>
          <w:tcPr>
            <w:tcW w:w="1551" w:type="dxa"/>
          </w:tcPr>
          <w:p>
            <w:pPr>
              <w:pStyle w:val="391"/>
              <w:autoSpaceDE w:val="0"/>
              <w:autoSpaceDN w:val="0"/>
              <w:spacing w:before="159" w:line="183" w:lineRule="auto"/>
              <w:ind w:left="425"/>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0.0572</w:t>
            </w:r>
          </w:p>
        </w:tc>
        <w:tc>
          <w:tcPr>
            <w:tcW w:w="1567" w:type="dxa"/>
          </w:tcPr>
          <w:p>
            <w:pPr>
              <w:pStyle w:val="391"/>
              <w:autoSpaceDE w:val="0"/>
              <w:autoSpaceDN w:val="0"/>
              <w:spacing w:before="122" w:line="220" w:lineRule="auto"/>
              <w:ind w:left="304"/>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较小风险</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4" w:hRule="atLeast"/>
        </w:trPr>
        <w:tc>
          <w:tcPr>
            <w:tcW w:w="736" w:type="dxa"/>
          </w:tcPr>
          <w:p>
            <w:pPr>
              <w:pStyle w:val="391"/>
              <w:autoSpaceDE w:val="0"/>
              <w:autoSpaceDN w:val="0"/>
              <w:spacing w:before="160" w:line="183" w:lineRule="auto"/>
              <w:ind w:left="319"/>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14:textFill>
                  <w14:solidFill>
                    <w14:schemeClr w14:val="tx1"/>
                  </w14:solidFill>
                </w14:textFill>
              </w:rPr>
              <w:t>9</w:t>
            </w:r>
          </w:p>
        </w:tc>
        <w:tc>
          <w:tcPr>
            <w:tcW w:w="3207" w:type="dxa"/>
          </w:tcPr>
          <w:p>
            <w:pPr>
              <w:pStyle w:val="391"/>
              <w:autoSpaceDE w:val="0"/>
              <w:autoSpaceDN w:val="0"/>
              <w:spacing w:before="122" w:line="220" w:lineRule="auto"/>
              <w:ind w:left="529"/>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拖欠农民工工资风险</w:t>
            </w:r>
          </w:p>
        </w:tc>
        <w:tc>
          <w:tcPr>
            <w:tcW w:w="1552" w:type="dxa"/>
          </w:tcPr>
          <w:p>
            <w:pPr>
              <w:pStyle w:val="391"/>
              <w:autoSpaceDE w:val="0"/>
              <w:autoSpaceDN w:val="0"/>
              <w:spacing w:before="160" w:line="183"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0.35</w:t>
            </w:r>
          </w:p>
        </w:tc>
        <w:tc>
          <w:tcPr>
            <w:tcW w:w="1551" w:type="dxa"/>
          </w:tcPr>
          <w:p>
            <w:pPr>
              <w:pStyle w:val="391"/>
              <w:autoSpaceDE w:val="0"/>
              <w:autoSpaceDN w:val="0"/>
              <w:spacing w:before="160" w:line="183"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0.43</w:t>
            </w:r>
          </w:p>
        </w:tc>
        <w:tc>
          <w:tcPr>
            <w:tcW w:w="1551" w:type="dxa"/>
          </w:tcPr>
          <w:p>
            <w:pPr>
              <w:pStyle w:val="391"/>
              <w:autoSpaceDE w:val="0"/>
              <w:autoSpaceDN w:val="0"/>
              <w:spacing w:before="159" w:line="184" w:lineRule="auto"/>
              <w:ind w:left="425"/>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0.1505</w:t>
            </w:r>
          </w:p>
        </w:tc>
        <w:tc>
          <w:tcPr>
            <w:tcW w:w="1567" w:type="dxa"/>
          </w:tcPr>
          <w:p>
            <w:pPr>
              <w:pStyle w:val="391"/>
              <w:autoSpaceDE w:val="0"/>
              <w:autoSpaceDN w:val="0"/>
              <w:spacing w:before="122" w:line="220" w:lineRule="auto"/>
              <w:ind w:left="304"/>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较小风险</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4" w:hRule="atLeast"/>
        </w:trPr>
        <w:tc>
          <w:tcPr>
            <w:tcW w:w="736" w:type="dxa"/>
          </w:tcPr>
          <w:p>
            <w:pPr>
              <w:pStyle w:val="391"/>
              <w:autoSpaceDE w:val="0"/>
              <w:autoSpaceDN w:val="0"/>
              <w:spacing w:before="161" w:line="184" w:lineRule="auto"/>
              <w:ind w:left="27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10</w:t>
            </w:r>
          </w:p>
        </w:tc>
        <w:tc>
          <w:tcPr>
            <w:tcW w:w="3207" w:type="dxa"/>
          </w:tcPr>
          <w:p>
            <w:pPr>
              <w:pStyle w:val="391"/>
              <w:autoSpaceDE w:val="0"/>
              <w:autoSpaceDN w:val="0"/>
              <w:spacing w:before="124" w:line="220" w:lineRule="auto"/>
              <w:ind w:left="412"/>
              <w:rPr>
                <w:rFonts w:ascii="Times New Roman" w:hAnsi="Times New Roman" w:cs="Times New Roman" w:eastAsiaTheme="minorEastAsia"/>
                <w:b w:val="0"/>
                <w:bCs/>
                <w:color w:val="000000" w:themeColor="text1"/>
                <w:spacing w:val="-2"/>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项目交通安全事故风险</w:t>
            </w:r>
          </w:p>
        </w:tc>
        <w:tc>
          <w:tcPr>
            <w:tcW w:w="1552" w:type="dxa"/>
          </w:tcPr>
          <w:p>
            <w:pPr>
              <w:pStyle w:val="391"/>
              <w:autoSpaceDE w:val="0"/>
              <w:autoSpaceDN w:val="0"/>
              <w:spacing w:before="162" w:line="183"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0.37</w:t>
            </w:r>
          </w:p>
        </w:tc>
        <w:tc>
          <w:tcPr>
            <w:tcW w:w="1551" w:type="dxa"/>
          </w:tcPr>
          <w:p>
            <w:pPr>
              <w:pStyle w:val="391"/>
              <w:autoSpaceDE w:val="0"/>
              <w:autoSpaceDN w:val="0"/>
              <w:spacing w:before="162" w:line="183"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0.25</w:t>
            </w:r>
          </w:p>
        </w:tc>
        <w:tc>
          <w:tcPr>
            <w:tcW w:w="1551" w:type="dxa"/>
          </w:tcPr>
          <w:p>
            <w:pPr>
              <w:pStyle w:val="391"/>
              <w:autoSpaceDE w:val="0"/>
              <w:autoSpaceDN w:val="0"/>
              <w:spacing w:before="162" w:line="183" w:lineRule="auto"/>
              <w:ind w:left="425"/>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0.0925</w:t>
            </w:r>
          </w:p>
        </w:tc>
        <w:tc>
          <w:tcPr>
            <w:tcW w:w="1567" w:type="dxa"/>
          </w:tcPr>
          <w:p>
            <w:pPr>
              <w:pStyle w:val="391"/>
              <w:autoSpaceDE w:val="0"/>
              <w:autoSpaceDN w:val="0"/>
              <w:spacing w:before="124" w:line="220" w:lineRule="auto"/>
              <w:ind w:left="304"/>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较小风险</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4" w:hRule="atLeast"/>
        </w:trPr>
        <w:tc>
          <w:tcPr>
            <w:tcW w:w="736" w:type="dxa"/>
          </w:tcPr>
          <w:p>
            <w:pPr>
              <w:pStyle w:val="391"/>
              <w:autoSpaceDE w:val="0"/>
              <w:autoSpaceDN w:val="0"/>
              <w:spacing w:before="162" w:line="184" w:lineRule="auto"/>
              <w:ind w:left="27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11</w:t>
            </w:r>
          </w:p>
        </w:tc>
        <w:tc>
          <w:tcPr>
            <w:tcW w:w="3207" w:type="dxa"/>
          </w:tcPr>
          <w:p>
            <w:pPr>
              <w:pStyle w:val="391"/>
              <w:autoSpaceDE w:val="0"/>
              <w:autoSpaceDN w:val="0"/>
              <w:spacing w:before="125" w:line="220" w:lineRule="auto"/>
              <w:ind w:left="412"/>
              <w:rPr>
                <w:rFonts w:ascii="Times New Roman" w:hAnsi="Times New Roman" w:cs="Times New Roman" w:eastAsiaTheme="minorEastAsia"/>
                <w:b w:val="0"/>
                <w:bCs/>
                <w:color w:val="000000" w:themeColor="text1"/>
                <w:spacing w:val="-2"/>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项目施工安全事故风险</w:t>
            </w:r>
          </w:p>
        </w:tc>
        <w:tc>
          <w:tcPr>
            <w:tcW w:w="1552" w:type="dxa"/>
          </w:tcPr>
          <w:p>
            <w:pPr>
              <w:pStyle w:val="391"/>
              <w:autoSpaceDE w:val="0"/>
              <w:autoSpaceDN w:val="0"/>
              <w:spacing w:before="163" w:line="183"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0.04</w:t>
            </w:r>
          </w:p>
        </w:tc>
        <w:tc>
          <w:tcPr>
            <w:tcW w:w="1551" w:type="dxa"/>
          </w:tcPr>
          <w:p>
            <w:pPr>
              <w:pStyle w:val="391"/>
              <w:autoSpaceDE w:val="0"/>
              <w:autoSpaceDN w:val="0"/>
              <w:spacing w:before="163" w:line="183"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0.77</w:t>
            </w:r>
          </w:p>
        </w:tc>
        <w:tc>
          <w:tcPr>
            <w:tcW w:w="1551" w:type="dxa"/>
          </w:tcPr>
          <w:p>
            <w:pPr>
              <w:pStyle w:val="391"/>
              <w:autoSpaceDE w:val="0"/>
              <w:autoSpaceDN w:val="0"/>
              <w:spacing w:before="163" w:line="183" w:lineRule="auto"/>
              <w:ind w:left="425"/>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0.0308</w:t>
            </w:r>
          </w:p>
        </w:tc>
        <w:tc>
          <w:tcPr>
            <w:tcW w:w="1567" w:type="dxa"/>
          </w:tcPr>
          <w:p>
            <w:pPr>
              <w:pStyle w:val="391"/>
              <w:autoSpaceDE w:val="0"/>
              <w:autoSpaceDN w:val="0"/>
              <w:spacing w:before="124" w:line="220" w:lineRule="auto"/>
              <w:ind w:left="304"/>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微小风险</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4" w:hRule="atLeast"/>
        </w:trPr>
        <w:tc>
          <w:tcPr>
            <w:tcW w:w="736" w:type="dxa"/>
          </w:tcPr>
          <w:p>
            <w:pPr>
              <w:pStyle w:val="391"/>
              <w:autoSpaceDE w:val="0"/>
              <w:autoSpaceDN w:val="0"/>
              <w:spacing w:before="160" w:line="184" w:lineRule="auto"/>
              <w:ind w:left="27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12</w:t>
            </w:r>
          </w:p>
        </w:tc>
        <w:tc>
          <w:tcPr>
            <w:tcW w:w="3207" w:type="dxa"/>
          </w:tcPr>
          <w:p>
            <w:pPr>
              <w:pStyle w:val="391"/>
              <w:autoSpaceDE w:val="0"/>
              <w:autoSpaceDN w:val="0"/>
              <w:spacing w:before="123" w:line="220" w:lineRule="auto"/>
              <w:ind w:left="892"/>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项目决策风险</w:t>
            </w:r>
          </w:p>
        </w:tc>
        <w:tc>
          <w:tcPr>
            <w:tcW w:w="1552" w:type="dxa"/>
          </w:tcPr>
          <w:p>
            <w:pPr>
              <w:pStyle w:val="391"/>
              <w:autoSpaceDE w:val="0"/>
              <w:autoSpaceDN w:val="0"/>
              <w:spacing w:before="160" w:line="184"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0.16</w:t>
            </w:r>
          </w:p>
        </w:tc>
        <w:tc>
          <w:tcPr>
            <w:tcW w:w="1551" w:type="dxa"/>
          </w:tcPr>
          <w:p>
            <w:pPr>
              <w:pStyle w:val="391"/>
              <w:autoSpaceDE w:val="0"/>
              <w:autoSpaceDN w:val="0"/>
              <w:spacing w:before="162" w:line="183"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0.58</w:t>
            </w:r>
          </w:p>
        </w:tc>
        <w:tc>
          <w:tcPr>
            <w:tcW w:w="1551" w:type="dxa"/>
          </w:tcPr>
          <w:p>
            <w:pPr>
              <w:pStyle w:val="391"/>
              <w:autoSpaceDE w:val="0"/>
              <w:autoSpaceDN w:val="0"/>
              <w:spacing w:before="162" w:line="183" w:lineRule="auto"/>
              <w:ind w:left="425"/>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0.0928</w:t>
            </w:r>
          </w:p>
        </w:tc>
        <w:tc>
          <w:tcPr>
            <w:tcW w:w="1567" w:type="dxa"/>
          </w:tcPr>
          <w:p>
            <w:pPr>
              <w:pStyle w:val="391"/>
              <w:autoSpaceDE w:val="0"/>
              <w:autoSpaceDN w:val="0"/>
              <w:spacing w:before="124" w:line="220" w:lineRule="auto"/>
              <w:ind w:left="304"/>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较小风险</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4" w:hRule="atLeast"/>
        </w:trPr>
        <w:tc>
          <w:tcPr>
            <w:tcW w:w="736" w:type="dxa"/>
          </w:tcPr>
          <w:p>
            <w:pPr>
              <w:pStyle w:val="391"/>
              <w:autoSpaceDE w:val="0"/>
              <w:autoSpaceDN w:val="0"/>
              <w:spacing w:before="262" w:line="184" w:lineRule="auto"/>
              <w:ind w:left="27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13</w:t>
            </w:r>
          </w:p>
        </w:tc>
        <w:tc>
          <w:tcPr>
            <w:tcW w:w="3207" w:type="dxa"/>
          </w:tcPr>
          <w:p>
            <w:pPr>
              <w:pStyle w:val="391"/>
              <w:autoSpaceDE w:val="0"/>
              <w:autoSpaceDN w:val="0"/>
              <w:spacing w:before="61" w:line="233" w:lineRule="auto"/>
              <w:ind w:left="1501" w:right="43" w:hanging="1449"/>
              <w:rPr>
                <w:rFonts w:ascii="Times New Roman" w:hAnsi="Times New Roman" w:cs="Times New Roman" w:eastAsiaTheme="minorEastAsia"/>
                <w:b w:val="0"/>
                <w:bCs/>
                <w:color w:val="000000" w:themeColor="text1"/>
                <w:spacing w:val="-2"/>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项目合法合理性遭受质疑的风</w:t>
            </w:r>
            <w:r>
              <w:rPr>
                <w:rFonts w:ascii="Times New Roman" w:hAnsi="Times New Roman" w:cs="Times New Roman" w:eastAsiaTheme="minorEastAsia"/>
                <w:b w:val="0"/>
                <w:bCs/>
                <w:color w:val="000000" w:themeColor="text1"/>
                <w:lang w:eastAsia="zh-CN"/>
                <w14:textFill>
                  <w14:solidFill>
                    <w14:schemeClr w14:val="tx1"/>
                  </w14:solidFill>
                </w14:textFill>
              </w:rPr>
              <w:t>险</w:t>
            </w:r>
          </w:p>
        </w:tc>
        <w:tc>
          <w:tcPr>
            <w:tcW w:w="1552" w:type="dxa"/>
          </w:tcPr>
          <w:p>
            <w:pPr>
              <w:pStyle w:val="391"/>
              <w:autoSpaceDE w:val="0"/>
              <w:autoSpaceDN w:val="0"/>
              <w:spacing w:before="264" w:line="183"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0.27</w:t>
            </w:r>
          </w:p>
        </w:tc>
        <w:tc>
          <w:tcPr>
            <w:tcW w:w="1551" w:type="dxa"/>
          </w:tcPr>
          <w:p>
            <w:pPr>
              <w:pStyle w:val="391"/>
              <w:autoSpaceDE w:val="0"/>
              <w:autoSpaceDN w:val="0"/>
              <w:spacing w:before="264" w:line="183"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0.44</w:t>
            </w:r>
          </w:p>
        </w:tc>
        <w:tc>
          <w:tcPr>
            <w:tcW w:w="1551" w:type="dxa"/>
          </w:tcPr>
          <w:p>
            <w:pPr>
              <w:pStyle w:val="391"/>
              <w:autoSpaceDE w:val="0"/>
              <w:autoSpaceDN w:val="0"/>
              <w:spacing w:before="262" w:line="184" w:lineRule="auto"/>
              <w:ind w:left="425"/>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0.1188</w:t>
            </w:r>
          </w:p>
        </w:tc>
        <w:tc>
          <w:tcPr>
            <w:tcW w:w="1567" w:type="dxa"/>
          </w:tcPr>
          <w:p>
            <w:pPr>
              <w:pStyle w:val="391"/>
              <w:autoSpaceDE w:val="0"/>
              <w:autoSpaceDN w:val="0"/>
              <w:spacing w:before="226" w:line="220" w:lineRule="auto"/>
              <w:ind w:left="304"/>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较小风险</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4" w:hRule="atLeast"/>
        </w:trPr>
        <w:tc>
          <w:tcPr>
            <w:tcW w:w="736" w:type="dxa"/>
          </w:tcPr>
          <w:p>
            <w:pPr>
              <w:pStyle w:val="391"/>
              <w:autoSpaceDE w:val="0"/>
              <w:autoSpaceDN w:val="0"/>
              <w:spacing w:before="161" w:line="184" w:lineRule="auto"/>
              <w:ind w:left="27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14</w:t>
            </w:r>
          </w:p>
        </w:tc>
        <w:tc>
          <w:tcPr>
            <w:tcW w:w="3207" w:type="dxa"/>
          </w:tcPr>
          <w:p>
            <w:pPr>
              <w:pStyle w:val="391"/>
              <w:autoSpaceDE w:val="0"/>
              <w:autoSpaceDN w:val="0"/>
              <w:spacing w:before="124" w:line="220" w:lineRule="auto"/>
              <w:ind w:left="412"/>
              <w:rPr>
                <w:rFonts w:ascii="Times New Roman" w:hAnsi="Times New Roman" w:cs="Times New Roman" w:eastAsiaTheme="minorEastAsia"/>
                <w:b w:val="0"/>
                <w:bCs/>
                <w:color w:val="000000" w:themeColor="text1"/>
                <w:spacing w:val="-2"/>
                <w:lang w:eastAsia="zh-CN"/>
                <w14:textFill>
                  <w14:solidFill>
                    <w14:schemeClr w14:val="tx1"/>
                  </w14:solidFill>
                </w14:textFill>
              </w:rPr>
            </w:pPr>
            <w:r>
              <w:rPr>
                <w:rFonts w:ascii="Times New Roman" w:hAnsi="Times New Roman" w:cs="Times New Roman" w:eastAsiaTheme="minorEastAsia"/>
                <w:b w:val="0"/>
                <w:bCs/>
                <w:color w:val="000000" w:themeColor="text1"/>
                <w:spacing w:val="-2"/>
                <w:lang w:eastAsia="zh-CN"/>
                <w14:textFill>
                  <w14:solidFill>
                    <w14:schemeClr w14:val="tx1"/>
                  </w14:solidFill>
                </w14:textFill>
              </w:rPr>
              <w:t>项目建设管理制度风险</w:t>
            </w:r>
          </w:p>
        </w:tc>
        <w:tc>
          <w:tcPr>
            <w:tcW w:w="1552" w:type="dxa"/>
          </w:tcPr>
          <w:p>
            <w:pPr>
              <w:pStyle w:val="391"/>
              <w:autoSpaceDE w:val="0"/>
              <w:autoSpaceDN w:val="0"/>
              <w:spacing w:before="161" w:line="184"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0.14</w:t>
            </w:r>
          </w:p>
        </w:tc>
        <w:tc>
          <w:tcPr>
            <w:tcW w:w="1551" w:type="dxa"/>
          </w:tcPr>
          <w:p>
            <w:pPr>
              <w:pStyle w:val="391"/>
              <w:autoSpaceDE w:val="0"/>
              <w:autoSpaceDN w:val="0"/>
              <w:spacing w:before="162" w:line="183"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0.76</w:t>
            </w:r>
          </w:p>
        </w:tc>
        <w:tc>
          <w:tcPr>
            <w:tcW w:w="1551" w:type="dxa"/>
          </w:tcPr>
          <w:p>
            <w:pPr>
              <w:pStyle w:val="391"/>
              <w:autoSpaceDE w:val="0"/>
              <w:autoSpaceDN w:val="0"/>
              <w:spacing w:before="161" w:line="184" w:lineRule="auto"/>
              <w:ind w:left="425"/>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0.1064</w:t>
            </w:r>
          </w:p>
        </w:tc>
        <w:tc>
          <w:tcPr>
            <w:tcW w:w="1567" w:type="dxa"/>
          </w:tcPr>
          <w:p>
            <w:pPr>
              <w:pStyle w:val="391"/>
              <w:autoSpaceDE w:val="0"/>
              <w:autoSpaceDN w:val="0"/>
              <w:spacing w:before="125" w:line="220" w:lineRule="auto"/>
              <w:ind w:left="304"/>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较小风险</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4" w:hRule="atLeast"/>
        </w:trPr>
        <w:tc>
          <w:tcPr>
            <w:tcW w:w="736" w:type="dxa"/>
          </w:tcPr>
          <w:p>
            <w:pPr>
              <w:pStyle w:val="391"/>
              <w:autoSpaceDE w:val="0"/>
              <w:autoSpaceDN w:val="0"/>
              <w:spacing w:before="161" w:line="184" w:lineRule="auto"/>
              <w:ind w:left="276"/>
              <w:rPr>
                <w:rFonts w:ascii="Times New Roman" w:hAnsi="Times New Roman" w:cs="Times New Roman" w:eastAsiaTheme="minorEastAsia"/>
                <w:b w:val="0"/>
                <w:bCs/>
                <w:color w:val="000000" w:themeColor="text1"/>
                <w14:textFill>
                  <w14:solidFill>
                    <w14:schemeClr w14:val="tx1"/>
                  </w14:solidFill>
                </w14:textFill>
              </w:rPr>
            </w:pPr>
            <w:r>
              <w:rPr>
                <w:rFonts w:ascii="Times New Roman" w:hAnsi="Times New Roman" w:cs="Times New Roman" w:eastAsiaTheme="minorEastAsia"/>
                <w:b w:val="0"/>
                <w:bCs/>
                <w:color w:val="000000" w:themeColor="text1"/>
                <w:spacing w:val="-7"/>
                <w14:textFill>
                  <w14:solidFill>
                    <w14:schemeClr w14:val="tx1"/>
                  </w14:solidFill>
                </w14:textFill>
              </w:rPr>
              <w:t>15</w:t>
            </w:r>
          </w:p>
        </w:tc>
        <w:tc>
          <w:tcPr>
            <w:tcW w:w="3207" w:type="dxa"/>
          </w:tcPr>
          <w:p>
            <w:pPr>
              <w:pStyle w:val="391"/>
              <w:autoSpaceDE w:val="0"/>
              <w:autoSpaceDN w:val="0"/>
              <w:spacing w:before="124" w:line="220" w:lineRule="auto"/>
              <w:ind w:left="772"/>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项目招投标风险</w:t>
            </w:r>
          </w:p>
        </w:tc>
        <w:tc>
          <w:tcPr>
            <w:tcW w:w="1552" w:type="dxa"/>
          </w:tcPr>
          <w:p>
            <w:pPr>
              <w:pStyle w:val="391"/>
              <w:autoSpaceDE w:val="0"/>
              <w:autoSpaceDN w:val="0"/>
              <w:spacing w:before="162" w:line="183"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0.03</w:t>
            </w:r>
          </w:p>
        </w:tc>
        <w:tc>
          <w:tcPr>
            <w:tcW w:w="1551" w:type="dxa"/>
          </w:tcPr>
          <w:p>
            <w:pPr>
              <w:pStyle w:val="391"/>
              <w:autoSpaceDE w:val="0"/>
              <w:autoSpaceDN w:val="0"/>
              <w:spacing w:before="161" w:line="184" w:lineRule="auto"/>
              <w:ind w:left="544"/>
              <w:rPr>
                <w:rFonts w:ascii="Times New Roman" w:hAnsi="Times New Roman" w:cs="Times New Roman" w:eastAsiaTheme="minorEastAsia"/>
                <w:b w:val="0"/>
                <w:bCs/>
                <w:color w:val="000000" w:themeColor="text1"/>
                <w:spacing w:val="-3"/>
                <w14:textFill>
                  <w14:solidFill>
                    <w14:schemeClr w14:val="tx1"/>
                  </w14:solidFill>
                </w14:textFill>
              </w:rPr>
            </w:pPr>
            <w:r>
              <w:rPr>
                <w:rFonts w:ascii="Times New Roman" w:hAnsi="Times New Roman" w:cs="Times New Roman" w:eastAsiaTheme="minorEastAsia"/>
                <w:b w:val="0"/>
                <w:bCs/>
                <w:color w:val="000000" w:themeColor="text1"/>
                <w:spacing w:val="-3"/>
                <w14:textFill>
                  <w14:solidFill>
                    <w14:schemeClr w14:val="tx1"/>
                  </w14:solidFill>
                </w14:textFill>
              </w:rPr>
              <w:t>0.61</w:t>
            </w:r>
          </w:p>
        </w:tc>
        <w:tc>
          <w:tcPr>
            <w:tcW w:w="1551" w:type="dxa"/>
          </w:tcPr>
          <w:p>
            <w:pPr>
              <w:pStyle w:val="391"/>
              <w:autoSpaceDE w:val="0"/>
              <w:autoSpaceDN w:val="0"/>
              <w:spacing w:before="161" w:line="184" w:lineRule="auto"/>
              <w:ind w:left="425"/>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0.0183</w:t>
            </w:r>
          </w:p>
        </w:tc>
        <w:tc>
          <w:tcPr>
            <w:tcW w:w="1567" w:type="dxa"/>
          </w:tcPr>
          <w:p>
            <w:pPr>
              <w:pStyle w:val="391"/>
              <w:autoSpaceDE w:val="0"/>
              <w:autoSpaceDN w:val="0"/>
              <w:spacing w:before="124" w:line="220" w:lineRule="auto"/>
              <w:ind w:left="304"/>
              <w:rPr>
                <w:rFonts w:ascii="Times New Roman" w:hAnsi="Times New Roman" w:cs="Times New Roman" w:eastAsiaTheme="minorEastAsia"/>
                <w:b w:val="0"/>
                <w:bCs/>
                <w:color w:val="000000" w:themeColor="text1"/>
                <w:spacing w:val="-2"/>
                <w14:textFill>
                  <w14:solidFill>
                    <w14:schemeClr w14:val="tx1"/>
                  </w14:solidFill>
                </w14:textFill>
              </w:rPr>
            </w:pPr>
            <w:r>
              <w:rPr>
                <w:rFonts w:ascii="Times New Roman" w:hAnsi="Times New Roman" w:cs="Times New Roman" w:eastAsiaTheme="minorEastAsia"/>
                <w:b w:val="0"/>
                <w:bCs/>
                <w:color w:val="000000" w:themeColor="text1"/>
                <w:spacing w:val="-2"/>
                <w14:textFill>
                  <w14:solidFill>
                    <w14:schemeClr w14:val="tx1"/>
                  </w14:solidFill>
                </w14:textFill>
              </w:rPr>
              <w:t>微小风险</w:t>
            </w:r>
          </w:p>
        </w:tc>
      </w:tr>
    </w:tbl>
    <w:p>
      <w:pPr>
        <w:pStyle w:val="4"/>
        <w:spacing w:line="300" w:lineRule="auto"/>
        <w:ind w:firstLine="482" w:firstLineChars="200"/>
      </w:pPr>
      <w:bookmarkStart w:id="476" w:name="_Toc9559"/>
      <w:r>
        <w:t>初始社会稳定风险综合评价</w:t>
      </w:r>
      <w:bookmarkEnd w:id="476"/>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由上表可知，项目主要风险因素的初始风险等级均在一般风险以下。根据本项目整体风险评价标准，项目初始社会稳定风险综合评判等级为低风险。实施过程中有引发个体矛盾冲突的可能，需要前期协调工作充分到位，采取相关措施预防社会稳定风险的发生。</w:t>
      </w:r>
    </w:p>
    <w:p>
      <w:pPr>
        <w:pStyle w:val="3"/>
        <w:ind w:firstLine="562" w:firstLineChars="200"/>
      </w:pPr>
      <w:bookmarkStart w:id="477" w:name="_Toc10830"/>
      <w:r>
        <w:t>风险防范和化解措施</w:t>
      </w:r>
      <w:bookmarkEnd w:id="477"/>
    </w:p>
    <w:p>
      <w:pPr>
        <w:pStyle w:val="4"/>
        <w:spacing w:line="300" w:lineRule="auto"/>
        <w:ind w:firstLine="482" w:firstLineChars="200"/>
      </w:pPr>
      <w:bookmarkStart w:id="478" w:name="_Toc29093"/>
      <w:r>
        <w:t>社会效益风险防范措施</w:t>
      </w:r>
      <w:bookmarkEnd w:id="478"/>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社会效益风险防范措施主要是针对沿线居民对项目质疑的风险措施，如何解决少部分居民的疑虑，切实落实当地居民的意见，充分为每一位居民办好事、办实事。</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社会效益风险防范措施主要是针对沿线居民对项目质疑的风险措施，如何解决少部分居民的疑虑，切实落实当地居民的意见，充分为每一位居民办好事、办实事。</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1、根据项目沿线实际情况，多方渠道解决当地的就业问题，如：沿街开办商铺、出租等。为居民提供更多就业机会，增加群众对项目认同感。</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2、正确的交通量预测方法，科学合理预测项目未来承受交通量。采用四阶段交通量预测法，考虑趋势、诱增、和转移交通量。</w:t>
      </w:r>
    </w:p>
    <w:p>
      <w:pPr>
        <w:pStyle w:val="4"/>
        <w:spacing w:line="300" w:lineRule="auto"/>
        <w:ind w:firstLine="482" w:firstLineChars="200"/>
      </w:pPr>
      <w:bookmarkStart w:id="479" w:name="_Toc282"/>
      <w:r>
        <w:t>社会安全风险防范措施</w:t>
      </w:r>
      <w:bookmarkEnd w:id="479"/>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本项目是服务周边地块道路，非过境干线，周边建筑情况对市容市貌影响较小，并且美化周边环境。同时根据道路规划条件及交通出行需求分析，远期可结合周边用地情况和交通出行需求进一步完善道路交通出行条件。</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项目建设有利于完善该片区交通路网，完善相关市政配套管网系统（雨污水、电力、电信、燃气等）。项目也充分考虑交通噪声影响，通过采取低噪声路面、道路两侧种植绿化、加强运营期跟踪监测、预留环保经费等措施，确保噪声符合相关要求。同时结合周边实际情况和居民体验，根据不同路段、位置进一步优化调整路灯照明方案，确保路灯在方便市民夜间出行，最大限度降低对居民的影响。</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在项目各个阶段都会和市民及时积极沟通，切实保护市民的合法利益。</w:t>
      </w:r>
    </w:p>
    <w:p>
      <w:pPr>
        <w:pStyle w:val="4"/>
        <w:spacing w:line="300" w:lineRule="auto"/>
        <w:ind w:firstLine="482" w:firstLineChars="200"/>
      </w:pPr>
      <w:bookmarkStart w:id="480" w:name="_Toc10683"/>
      <w:r>
        <w:t>管理制度风险防范措施</w:t>
      </w:r>
      <w:bookmarkEnd w:id="480"/>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①民主决策。项目建设信息公开透明化，提高社会民众的参与程度，广泛与规划、水利、交通、环保、发改等部门沟通，邀请业内资深专家对项目进行民主决策。</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②遵守行业技术标准和实行办法。依照市政行业技术标准和《市政公用工程设计文件编制深度规定》确定方案，确定合理的技术标准。</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③严格遵守法律法规。本项目建设投资规模大，时间长，在项目前期规划、设计、施工和运营期间均需严格遵守国家的法律法规，依法办事。</w:t>
      </w:r>
    </w:p>
    <w:p>
      <w:pPr>
        <w:spacing w:line="300" w:lineRule="auto"/>
        <w:ind w:firstLine="480" w:firstLineChars="200"/>
        <w:rPr>
          <w:rFonts w:ascii="Times New Roman" w:hAnsi="Times New Roman"/>
          <w:b w:val="0"/>
          <w:color w:val="auto"/>
          <w:sz w:val="24"/>
          <w:szCs w:val="20"/>
        </w:rPr>
      </w:pPr>
      <w:r>
        <w:rPr>
          <w:rFonts w:ascii="Times New Roman" w:hAnsi="Times New Roman"/>
          <w:b w:val="0"/>
          <w:color w:val="auto"/>
          <w:sz w:val="24"/>
          <w:szCs w:val="20"/>
        </w:rPr>
        <w:t>④根据《中华人民共和国招标投标法》以及相关办法、规定，本项目招标采取委托招标的组织形式，坚持“公开、公平、公正”的原则。</w:t>
      </w:r>
    </w:p>
    <w:p>
      <w:pPr>
        <w:pStyle w:val="3"/>
        <w:ind w:firstLine="562" w:firstLineChars="200"/>
      </w:pPr>
      <w:bookmarkStart w:id="481" w:name="_Toc139635562"/>
      <w:bookmarkStart w:id="482" w:name="_Toc21643"/>
      <w:r>
        <w:t>风险应急预案</w:t>
      </w:r>
      <w:bookmarkEnd w:id="481"/>
      <w:bookmarkEnd w:id="482"/>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本项目建设规模大、时间跨度大、社会稳定牵涉点多面广，在建设过程中，要坚持社会稳定问题全过程管理，及时发现问题，采取措施。同时为确保对可能发生的社会稳定问题能及时、高效、有序地开展工作，提高应急反应能力和处理突发事件的水平，可参照以下内容制定应急预案，并根据实际情况不断调整完善。</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（1）工作原则</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应急预案工作原则：重点稳控，紧急处置，职责明确，统筹配合。</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（2）组织保障</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各有关责任部门主要领导组成工作组织，建立通常高效的联动工作机制。</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（3）制定保障</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①把维护社会稳定工作列入项目建设重要议事日程，定期听取有关单位社会稳定工作汇报；认真研究群众反映的新情况，分析可能出现的重大问题研究对策。</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②落实维护社会稳定责任制，明确维护社会稳定工作的重点部位、重点问题。对维护社会稳定工作实行目标管理，并对各责任部门维护社会稳定工作进行考核。对因工作不负责、失职、处理失当而引发大规模群体性事件造成严重后果的，追究有关领导的责任。</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③坚持走访调研工作制度，转变工作方法，由群众反映变为走访，深入工程现场、社区，倾听群众意见建议，有针对性地研究和解决问题。</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④坚持信息通报、预测排查制度，对群众反映的普遍性、突出性问题，研究制定解决办法，发现群体性事件苗头，要及时就地化解。</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（4）应急措施</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发现重大社会稳定问题苗头或事件时，启动预案，并展开以下工作程序：</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①对已发生的群体性事件，相关部门要认真接待，并根据起因即通知有关人员赶赴现场做好耐心细致的疏导工作，防止矛盾激化。</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②第一时间召开维护社会稳定工作会议，通报不稳定情况和处理情况，分析研究可能出现的重大问题及对策。并将不稳定情况向所在地政府等有关部门报告，请求帮助和支持。</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③对问题复杂、规模较大的群体性事件，有关领导要迅速抵达现场，组织工作，及时提出处理意见。</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④对有轻生或危害社会倾向的特殊人员要耐心开导，稳定他们的情绪，并联系有关方面解决问题。必要时，报请有关机关采取应急措施。</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（5）通信保障</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有关人员在接到重大社会不稳定通报后，移动电话要保证24小时畅通；值班电话24小时值班，随时掌握各方面信息并上传下达。</w:t>
      </w:r>
    </w:p>
    <w:p>
      <w:pPr>
        <w:pStyle w:val="3"/>
        <w:ind w:firstLine="562" w:firstLineChars="200"/>
      </w:pPr>
      <w:bookmarkStart w:id="483" w:name="_Toc10479"/>
      <w:r>
        <w:t>风险分析结论</w:t>
      </w:r>
      <w:bookmarkEnd w:id="483"/>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根据项目组的社会实地调查和有关部门走访，结合专家的咨询意见，并通过对项目进行风险分析与识别，本项目社会稳定风险主要包括社会效益风险、生态环境风险、社会安全风险和管理制度风险四大类，进一步可细化为15种风险因素。</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结合风险分析和识别，项目社会稳定风险可预测、能防范、可化解、能控制，本报告就相关风险因素制定了合理可行的防范化解措施。分析认为，风险防范和化解措施较为具有可行性和有效性。</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采取相关防范、化解措施后，各风险因素的发生概率、影响程度均有所降低，风险程度相应降低，各风险因素等级均在“较小风险”以下，根据项目整体风险评价标准，项目社会稳定风险综合评判等级为低风险。</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根据国家发改委颁布《国家发展改革委重大固定资产投资项目社会稳定风险评估暂行办法》，从社会稳定角度来看，本项目是可行的。</w:t>
      </w:r>
    </w:p>
    <w:p>
      <w:pPr>
        <w:spacing w:line="300" w:lineRule="auto"/>
        <w:ind w:firstLine="480" w:firstLineChars="200"/>
        <w:jc w:val="left"/>
        <w:rPr>
          <w:rFonts w:ascii="Times New Roman" w:hAnsi="Times New Roman"/>
        </w:rPr>
      </w:pPr>
      <w:r>
        <w:rPr>
          <w:rFonts w:ascii="Times New Roman" w:hAnsi="Times New Roman"/>
          <w:b w:val="0"/>
          <w:color w:val="auto"/>
          <w:sz w:val="24"/>
          <w:szCs w:val="20"/>
        </w:rPr>
        <w:t>综合评价，本项目社会稳定性风险程度低，目前已采取的和下一步将采取的系列风险防范措施，在一定程度上会起到降低以致消除社会风险的效果。</w:t>
      </w:r>
      <w:r>
        <w:rPr>
          <w:rFonts w:ascii="Times New Roman" w:hAnsi="Times New Roman"/>
          <w:b w:val="0"/>
          <w:sz w:val="24"/>
        </w:rPr>
        <w:br w:type="page"/>
      </w:r>
    </w:p>
    <w:p>
      <w:pPr>
        <w:pStyle w:val="2"/>
        <w:keepNext/>
        <w:keepLines/>
        <w:numPr>
          <w:ilvl w:val="0"/>
          <w:numId w:val="2"/>
        </w:numPr>
        <w:spacing w:before="191" w:beforeLines="0" w:after="191" w:afterLines="0" w:line="360" w:lineRule="auto"/>
        <w:ind w:firstLine="643" w:firstLineChars="200"/>
        <w:jc w:val="center"/>
        <w:rPr>
          <w:rFonts w:ascii="Times New Roman" w:hAnsi="Times New Roman"/>
          <w:color w:val="auto"/>
        </w:rPr>
      </w:pPr>
      <w:bookmarkStart w:id="484" w:name="_Toc9336"/>
      <w:r>
        <w:rPr>
          <w:rFonts w:ascii="Times New Roman" w:hAnsi="Times New Roman"/>
          <w:color w:val="auto"/>
        </w:rPr>
        <w:t>海绵城市专章</w:t>
      </w:r>
      <w:bookmarkEnd w:id="484"/>
    </w:p>
    <w:p>
      <w:pPr>
        <w:pStyle w:val="3"/>
        <w:ind w:firstLine="562" w:firstLineChars="200"/>
      </w:pPr>
      <w:bookmarkStart w:id="485" w:name="_Toc8753"/>
      <w:r>
        <w:t>设计依据</w:t>
      </w:r>
      <w:bookmarkEnd w:id="485"/>
    </w:p>
    <w:p>
      <w:pPr>
        <w:numPr>
          <w:ilvl w:val="0"/>
          <w:numId w:val="47"/>
        </w:numPr>
        <w:tabs>
          <w:tab w:val="clear" w:pos="567"/>
        </w:tabs>
        <w:adjustRightInd w:val="0"/>
        <w:spacing w:line="295" w:lineRule="auto"/>
        <w:ind w:firstLine="480" w:firstLineChars="200"/>
        <w:rPr>
          <w:rFonts w:ascii="Times New Roman" w:hAnsi="Times New Roman"/>
          <w:b w:val="0"/>
          <w:color w:val="000000"/>
          <w:sz w:val="24"/>
          <w:szCs w:val="24"/>
        </w:rPr>
      </w:pPr>
      <w:r>
        <w:rPr>
          <w:rFonts w:ascii="Times New Roman" w:hAnsi="Times New Roman"/>
          <w:b w:val="0"/>
          <w:color w:val="000000"/>
          <w:sz w:val="24"/>
          <w:szCs w:val="24"/>
        </w:rPr>
        <w:t>《广州市建设项目雨水径流控制办法》（广州市人民政府令（第107号））</w:t>
      </w:r>
    </w:p>
    <w:p>
      <w:pPr>
        <w:numPr>
          <w:ilvl w:val="0"/>
          <w:numId w:val="47"/>
        </w:numPr>
        <w:tabs>
          <w:tab w:val="clear" w:pos="567"/>
        </w:tabs>
        <w:adjustRightInd w:val="0"/>
        <w:spacing w:line="295" w:lineRule="auto"/>
        <w:ind w:firstLine="480" w:firstLineChars="200"/>
        <w:rPr>
          <w:rFonts w:ascii="Times New Roman" w:hAnsi="Times New Roman"/>
          <w:b w:val="0"/>
          <w:color w:val="000000"/>
          <w:sz w:val="24"/>
          <w:szCs w:val="24"/>
        </w:rPr>
      </w:pPr>
      <w:r>
        <w:rPr>
          <w:rFonts w:ascii="Times New Roman" w:hAnsi="Times New Roman"/>
          <w:b w:val="0"/>
          <w:color w:val="000000"/>
          <w:sz w:val="24"/>
          <w:szCs w:val="24"/>
        </w:rPr>
        <w:t>《广东省海绵城市建设管理与评价细则》（粤建城【2017】103号）</w:t>
      </w:r>
    </w:p>
    <w:p>
      <w:pPr>
        <w:numPr>
          <w:ilvl w:val="0"/>
          <w:numId w:val="47"/>
        </w:numPr>
        <w:tabs>
          <w:tab w:val="clear" w:pos="567"/>
        </w:tabs>
        <w:adjustRightInd w:val="0"/>
        <w:spacing w:line="295" w:lineRule="auto"/>
        <w:ind w:firstLine="480" w:firstLineChars="200"/>
        <w:rPr>
          <w:rFonts w:ascii="Times New Roman" w:hAnsi="Times New Roman"/>
          <w:b w:val="0"/>
          <w:color w:val="000000"/>
          <w:sz w:val="24"/>
          <w:szCs w:val="24"/>
        </w:rPr>
      </w:pPr>
      <w:r>
        <w:rPr>
          <w:rFonts w:ascii="Times New Roman" w:hAnsi="Times New Roman"/>
          <w:b w:val="0"/>
          <w:color w:val="000000"/>
          <w:sz w:val="24"/>
          <w:szCs w:val="24"/>
        </w:rPr>
        <w:t>《广州市海绵城市规划建设管理暂行办法》（穗建规字【2017】6号）</w:t>
      </w:r>
    </w:p>
    <w:p>
      <w:pPr>
        <w:numPr>
          <w:ilvl w:val="0"/>
          <w:numId w:val="47"/>
        </w:numPr>
        <w:tabs>
          <w:tab w:val="clear" w:pos="567"/>
        </w:tabs>
        <w:adjustRightInd w:val="0"/>
        <w:spacing w:line="295" w:lineRule="auto"/>
        <w:ind w:firstLine="480" w:firstLineChars="200"/>
        <w:rPr>
          <w:rFonts w:ascii="Times New Roman" w:hAnsi="Times New Roman"/>
          <w:b w:val="0"/>
          <w:color w:val="000000"/>
          <w:sz w:val="24"/>
          <w:szCs w:val="24"/>
        </w:rPr>
      </w:pPr>
      <w:r>
        <w:rPr>
          <w:rFonts w:ascii="Times New Roman" w:hAnsi="Times New Roman"/>
          <w:b w:val="0"/>
          <w:color w:val="000000"/>
          <w:sz w:val="24"/>
          <w:szCs w:val="24"/>
        </w:rPr>
        <w:t>广州市水务局关于印发广州市海绵城市建设技术指引及标准图集（试行）的通知（穗水【2017】12号）</w:t>
      </w:r>
    </w:p>
    <w:p>
      <w:pPr>
        <w:numPr>
          <w:ilvl w:val="0"/>
          <w:numId w:val="47"/>
        </w:numPr>
        <w:tabs>
          <w:tab w:val="clear" w:pos="567"/>
        </w:tabs>
        <w:adjustRightInd w:val="0"/>
        <w:spacing w:line="295" w:lineRule="auto"/>
        <w:ind w:firstLine="480" w:firstLineChars="200"/>
        <w:rPr>
          <w:rFonts w:ascii="Times New Roman" w:hAnsi="Times New Roman"/>
          <w:b w:val="0"/>
          <w:color w:val="000000"/>
          <w:sz w:val="24"/>
          <w:szCs w:val="24"/>
        </w:rPr>
      </w:pPr>
      <w:r>
        <w:rPr>
          <w:rFonts w:ascii="Times New Roman" w:hAnsi="Times New Roman"/>
          <w:b w:val="0"/>
          <w:color w:val="000000"/>
          <w:sz w:val="24"/>
          <w:szCs w:val="24"/>
        </w:rPr>
        <w:t>广州市水务局、广州市规划和自然资源局、广州市住房城乡建设局、广州市交通运输局和广州市林业和园林局关于印发广州市建设项目海绵城市建设管控指标分类指引（试行）的通知（穗水河湖【2020】7号）</w:t>
      </w:r>
    </w:p>
    <w:p>
      <w:pPr>
        <w:numPr>
          <w:ilvl w:val="0"/>
          <w:numId w:val="47"/>
        </w:numPr>
        <w:tabs>
          <w:tab w:val="clear" w:pos="567"/>
        </w:tabs>
        <w:adjustRightInd w:val="0"/>
        <w:spacing w:line="295" w:lineRule="auto"/>
        <w:ind w:firstLine="480" w:firstLineChars="200"/>
        <w:rPr>
          <w:rFonts w:ascii="Times New Roman" w:hAnsi="Times New Roman"/>
          <w:b w:val="0"/>
          <w:color w:val="000000"/>
          <w:sz w:val="24"/>
          <w:szCs w:val="24"/>
        </w:rPr>
      </w:pPr>
      <w:r>
        <w:rPr>
          <w:rFonts w:ascii="Times New Roman" w:hAnsi="Times New Roman"/>
          <w:b w:val="0"/>
          <w:color w:val="000000"/>
          <w:sz w:val="24"/>
          <w:szCs w:val="24"/>
        </w:rPr>
        <w:t>广州市林业和园林局关于印发《广州市海绵城市绿地建设指导意见（试行）》的通知（穗林业园林通【2017】36号）</w:t>
      </w:r>
    </w:p>
    <w:p>
      <w:pPr>
        <w:numPr>
          <w:ilvl w:val="0"/>
          <w:numId w:val="47"/>
        </w:numPr>
        <w:tabs>
          <w:tab w:val="clear" w:pos="567"/>
        </w:tabs>
        <w:adjustRightInd w:val="0"/>
        <w:spacing w:line="295" w:lineRule="auto"/>
        <w:ind w:firstLine="480" w:firstLineChars="200"/>
        <w:rPr>
          <w:rFonts w:ascii="Times New Roman" w:hAnsi="Times New Roman"/>
          <w:b w:val="0"/>
          <w:color w:val="000000"/>
          <w:sz w:val="24"/>
          <w:szCs w:val="24"/>
        </w:rPr>
      </w:pPr>
      <w:r>
        <w:rPr>
          <w:rFonts w:ascii="Times New Roman" w:hAnsi="Times New Roman"/>
          <w:b w:val="0"/>
          <w:color w:val="000000"/>
          <w:sz w:val="24"/>
          <w:szCs w:val="24"/>
        </w:rPr>
        <w:t>广州市水务局关于印发《广州市海绵城市工程施工与质量验收标准（试行）》的通知（穗水【2017】43号）</w:t>
      </w:r>
    </w:p>
    <w:p>
      <w:pPr>
        <w:numPr>
          <w:ilvl w:val="0"/>
          <w:numId w:val="47"/>
        </w:numPr>
        <w:tabs>
          <w:tab w:val="clear" w:pos="567"/>
        </w:tabs>
        <w:adjustRightInd w:val="0"/>
        <w:spacing w:line="295" w:lineRule="auto"/>
        <w:ind w:firstLine="480" w:firstLineChars="200"/>
        <w:rPr>
          <w:rFonts w:ascii="Times New Roman" w:hAnsi="Times New Roman"/>
          <w:b w:val="0"/>
          <w:color w:val="000000"/>
          <w:sz w:val="24"/>
          <w:szCs w:val="24"/>
        </w:rPr>
      </w:pPr>
      <w:r>
        <w:rPr>
          <w:rFonts w:ascii="Times New Roman" w:hAnsi="Times New Roman"/>
          <w:b w:val="0"/>
          <w:color w:val="000000"/>
          <w:sz w:val="24"/>
          <w:szCs w:val="24"/>
        </w:rPr>
        <w:t>《海绵城市建设技术指南-低影响开发雨水系统构建〔试行）》（住房城乡建设部2014年10月）</w:t>
      </w:r>
    </w:p>
    <w:p>
      <w:pPr>
        <w:numPr>
          <w:ilvl w:val="0"/>
          <w:numId w:val="47"/>
        </w:numPr>
        <w:tabs>
          <w:tab w:val="clear" w:pos="567"/>
        </w:tabs>
        <w:adjustRightInd w:val="0"/>
        <w:spacing w:line="295" w:lineRule="auto"/>
        <w:ind w:firstLine="480" w:firstLineChars="200"/>
        <w:rPr>
          <w:rFonts w:ascii="Times New Roman" w:hAnsi="Times New Roman"/>
          <w:b w:val="0"/>
          <w:color w:val="000000"/>
          <w:sz w:val="24"/>
          <w:szCs w:val="24"/>
        </w:rPr>
      </w:pPr>
      <w:r>
        <w:rPr>
          <w:rFonts w:ascii="Times New Roman" w:hAnsi="Times New Roman"/>
          <w:b w:val="0"/>
          <w:color w:val="000000"/>
          <w:sz w:val="24"/>
          <w:szCs w:val="24"/>
        </w:rPr>
        <w:t>国务院办公厅关于推进海绵城市建设的指导意见（国办发【2015】75号）</w:t>
      </w:r>
    </w:p>
    <w:p>
      <w:pPr>
        <w:numPr>
          <w:ilvl w:val="0"/>
          <w:numId w:val="47"/>
        </w:numPr>
        <w:tabs>
          <w:tab w:val="clear" w:pos="567"/>
        </w:tabs>
        <w:adjustRightInd w:val="0"/>
        <w:spacing w:line="295" w:lineRule="auto"/>
        <w:ind w:firstLine="480" w:firstLineChars="200"/>
        <w:rPr>
          <w:rFonts w:ascii="Times New Roman" w:hAnsi="Times New Roman"/>
          <w:b w:val="0"/>
          <w:color w:val="000000"/>
          <w:sz w:val="24"/>
          <w:szCs w:val="24"/>
        </w:rPr>
      </w:pPr>
      <w:r>
        <w:rPr>
          <w:rFonts w:ascii="Times New Roman" w:hAnsi="Times New Roman"/>
          <w:b w:val="0"/>
          <w:color w:val="000000"/>
          <w:sz w:val="24"/>
          <w:szCs w:val="24"/>
        </w:rPr>
        <w:t>省人民政府关于推进海绵城市建设的实施意见（粤府办【2016】53号）</w:t>
      </w:r>
    </w:p>
    <w:p>
      <w:pPr>
        <w:numPr>
          <w:ilvl w:val="0"/>
          <w:numId w:val="47"/>
        </w:numPr>
        <w:tabs>
          <w:tab w:val="clear" w:pos="567"/>
        </w:tabs>
        <w:adjustRightInd w:val="0"/>
        <w:spacing w:line="295" w:lineRule="auto"/>
        <w:ind w:firstLine="480" w:firstLineChars="200"/>
        <w:rPr>
          <w:rFonts w:ascii="Times New Roman" w:hAnsi="Times New Roman"/>
          <w:b w:val="0"/>
          <w:color w:val="000000"/>
          <w:sz w:val="24"/>
          <w:szCs w:val="24"/>
        </w:rPr>
      </w:pPr>
      <w:r>
        <w:rPr>
          <w:rFonts w:ascii="Times New Roman" w:hAnsi="Times New Roman"/>
          <w:b w:val="0"/>
          <w:color w:val="000000"/>
          <w:sz w:val="24"/>
          <w:szCs w:val="24"/>
        </w:rPr>
        <w:t>广州市海绵城市建设工作方案（穗建督办【2016】1701号）</w:t>
      </w:r>
    </w:p>
    <w:p>
      <w:pPr>
        <w:numPr>
          <w:ilvl w:val="0"/>
          <w:numId w:val="47"/>
        </w:numPr>
        <w:tabs>
          <w:tab w:val="clear" w:pos="567"/>
        </w:tabs>
        <w:adjustRightInd w:val="0"/>
        <w:spacing w:line="295" w:lineRule="auto"/>
        <w:ind w:firstLine="480" w:firstLineChars="200"/>
        <w:rPr>
          <w:rFonts w:ascii="Times New Roman" w:hAnsi="Times New Roman"/>
          <w:b w:val="0"/>
          <w:color w:val="000000"/>
          <w:sz w:val="24"/>
          <w:szCs w:val="24"/>
        </w:rPr>
      </w:pPr>
      <w:r>
        <w:rPr>
          <w:rFonts w:ascii="Times New Roman" w:hAnsi="Times New Roman"/>
          <w:b w:val="0"/>
          <w:color w:val="000000"/>
          <w:sz w:val="24"/>
          <w:szCs w:val="24"/>
        </w:rPr>
        <w:t>关于印发《广州市海绵城市规划设计导则（试行）》的通知（穗水【2017】247号）</w:t>
      </w:r>
    </w:p>
    <w:p>
      <w:pPr>
        <w:numPr>
          <w:ilvl w:val="0"/>
          <w:numId w:val="47"/>
        </w:numPr>
        <w:tabs>
          <w:tab w:val="clear" w:pos="567"/>
        </w:tabs>
        <w:adjustRightInd w:val="0"/>
        <w:spacing w:line="295" w:lineRule="auto"/>
        <w:ind w:firstLine="480" w:firstLineChars="200"/>
        <w:rPr>
          <w:rFonts w:ascii="Times New Roman" w:hAnsi="Times New Roman"/>
          <w:b w:val="0"/>
          <w:color w:val="000000"/>
          <w:sz w:val="24"/>
          <w:szCs w:val="24"/>
        </w:rPr>
      </w:pPr>
      <w:r>
        <w:rPr>
          <w:rFonts w:ascii="Times New Roman" w:hAnsi="Times New Roman"/>
          <w:b w:val="0"/>
          <w:color w:val="000000"/>
          <w:sz w:val="24"/>
          <w:szCs w:val="24"/>
        </w:rPr>
        <w:t>广州市人民政府办公厅关于成立广州市海绵城市建设领导小组的通知（综四城建【2017】436号）</w:t>
      </w:r>
    </w:p>
    <w:p>
      <w:pPr>
        <w:numPr>
          <w:ilvl w:val="0"/>
          <w:numId w:val="47"/>
        </w:numPr>
        <w:tabs>
          <w:tab w:val="clear" w:pos="567"/>
        </w:tabs>
        <w:adjustRightInd w:val="0"/>
        <w:spacing w:line="295" w:lineRule="auto"/>
        <w:ind w:firstLine="480" w:firstLineChars="200"/>
        <w:rPr>
          <w:rFonts w:ascii="Times New Roman" w:hAnsi="Times New Roman"/>
          <w:b w:val="0"/>
          <w:color w:val="000000"/>
          <w:sz w:val="24"/>
          <w:szCs w:val="24"/>
        </w:rPr>
      </w:pPr>
      <w:r>
        <w:rPr>
          <w:rFonts w:ascii="Times New Roman" w:hAnsi="Times New Roman"/>
          <w:b w:val="0"/>
          <w:color w:val="000000"/>
          <w:sz w:val="24"/>
          <w:szCs w:val="24"/>
        </w:rPr>
        <w:t>《广州市城市总体规划》</w:t>
      </w:r>
    </w:p>
    <w:p>
      <w:pPr>
        <w:numPr>
          <w:ilvl w:val="0"/>
          <w:numId w:val="47"/>
        </w:numPr>
        <w:tabs>
          <w:tab w:val="clear" w:pos="567"/>
        </w:tabs>
        <w:adjustRightInd w:val="0"/>
        <w:spacing w:line="295" w:lineRule="auto"/>
        <w:ind w:firstLine="480" w:firstLineChars="200"/>
        <w:rPr>
          <w:rFonts w:ascii="Times New Roman" w:hAnsi="Times New Roman"/>
          <w:b w:val="0"/>
          <w:color w:val="000000"/>
          <w:sz w:val="24"/>
          <w:szCs w:val="24"/>
        </w:rPr>
      </w:pPr>
      <w:r>
        <w:rPr>
          <w:rFonts w:ascii="Times New Roman" w:hAnsi="Times New Roman"/>
          <w:b w:val="0"/>
          <w:color w:val="000000"/>
          <w:sz w:val="24"/>
          <w:szCs w:val="24"/>
        </w:rPr>
        <w:t>《广州市海绵城市专项规划》</w:t>
      </w:r>
    </w:p>
    <w:p>
      <w:pPr>
        <w:numPr>
          <w:ilvl w:val="0"/>
          <w:numId w:val="47"/>
        </w:numPr>
        <w:tabs>
          <w:tab w:val="clear" w:pos="567"/>
        </w:tabs>
        <w:adjustRightInd w:val="0"/>
        <w:spacing w:line="295" w:lineRule="auto"/>
        <w:ind w:firstLine="480" w:firstLineChars="200"/>
        <w:rPr>
          <w:rFonts w:ascii="Times New Roman" w:hAnsi="Times New Roman"/>
          <w:b w:val="0"/>
          <w:color w:val="000000"/>
          <w:sz w:val="24"/>
          <w:szCs w:val="24"/>
        </w:rPr>
      </w:pPr>
      <w:r>
        <w:rPr>
          <w:rFonts w:ascii="Times New Roman" w:hAnsi="Times New Roman"/>
          <w:b w:val="0"/>
          <w:color w:val="000000"/>
          <w:sz w:val="24"/>
          <w:szCs w:val="24"/>
        </w:rPr>
        <w:t>《广州市城市绿地系统海绵城市专项规划（2016-2030）</w:t>
      </w:r>
    </w:p>
    <w:p>
      <w:pPr>
        <w:numPr>
          <w:ilvl w:val="0"/>
          <w:numId w:val="47"/>
        </w:numPr>
        <w:tabs>
          <w:tab w:val="clear" w:pos="567"/>
        </w:tabs>
        <w:adjustRightInd w:val="0"/>
        <w:spacing w:line="295" w:lineRule="auto"/>
        <w:ind w:firstLine="480" w:firstLineChars="200"/>
        <w:rPr>
          <w:rFonts w:ascii="Times New Roman" w:hAnsi="Times New Roman"/>
          <w:b w:val="0"/>
          <w:color w:val="000000"/>
          <w:sz w:val="24"/>
          <w:szCs w:val="24"/>
        </w:rPr>
      </w:pPr>
      <w:r>
        <w:rPr>
          <w:rFonts w:ascii="Times New Roman" w:hAnsi="Times New Roman"/>
          <w:b w:val="0"/>
          <w:color w:val="auto"/>
          <w:sz w:val="24"/>
          <w:szCs w:val="24"/>
        </w:rPr>
        <w:t>《南沙新区海绵城市专项规划（正式稿）》（上海勘察设计研究院有限公司、广州市市政工程设计研究总院2019年3月）</w:t>
      </w:r>
    </w:p>
    <w:p>
      <w:pPr>
        <w:pStyle w:val="3"/>
        <w:ind w:firstLine="562" w:firstLineChars="200"/>
      </w:pPr>
      <w:bookmarkStart w:id="486" w:name="_Toc2234"/>
      <w:r>
        <w:t>设计原理</w:t>
      </w:r>
      <w:bookmarkEnd w:id="486"/>
    </w:p>
    <w:p>
      <w:pPr>
        <w:spacing w:line="276"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海绵城市是指城市能够像海绵一样，在适应环境变化和应对自然灾害等方面具有良好的“弹性”，下雨时吸水、蓄水、渗水、净水，需要时将蓄存的水“释放”并加以利用。海绵城市建设应遵循生态优先等原则，将自然途径与人工措施相结合，在确保城市排水防涝安全的前提下，最大限度地实现雨水在城市区域的积存、渗透和净化，促进雨水资源的利用和生态环境保护。在海绵城市建设过程中，应统筹自然降水、地表水和地下水的系统性，协调给水、排水等水循环利用各环节，并考虑其复杂性和长期性。与传统设计理念相比，海绵城市减小了地面径流，通过下渗减排，以及对雨水的储存、调节、传输、截污净化等功能有效地控制径流总量、径流峰值和径流污染。</w:t>
      </w:r>
    </w:p>
    <w:p>
      <w:pPr>
        <w:spacing w:before="38" w:beforeLines="10"/>
        <w:ind w:firstLine="562" w:firstLineChars="200"/>
        <w:jc w:val="center"/>
        <w:rPr>
          <w:rFonts w:ascii="Times New Roman" w:hAnsi="Times New Roman"/>
          <w:color w:val="auto"/>
          <w:sz w:val="24"/>
        </w:rPr>
      </w:pPr>
      <w:r>
        <w:rPr>
          <w:rFonts w:ascii="Times New Roman" w:hAnsi="Times New Roman"/>
          <w:color w:val="auto"/>
        </w:rPr>
        <w:drawing>
          <wp:inline distT="0" distB="0" distL="0" distR="0">
            <wp:extent cx="4126230" cy="2889885"/>
            <wp:effectExtent l="0" t="0" r="7620" b="5715"/>
            <wp:docPr id="161"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36"/>
                    <pic:cNvPicPr>
                      <a:picLocks noChangeAspect="1" noChangeArrowheads="1"/>
                    </pic:cNvPicPr>
                  </pic:nvPicPr>
                  <pic:blipFill>
                    <a:blip r:embed="rId291" cstate="print"/>
                    <a:srcRect/>
                    <a:stretch>
                      <a:fillRect/>
                    </a:stretch>
                  </pic:blipFill>
                  <pic:spPr>
                    <a:xfrm>
                      <a:off x="0" y="0"/>
                      <a:ext cx="4141941" cy="2900818"/>
                    </a:xfrm>
                    <a:prstGeom prst="rect">
                      <a:avLst/>
                    </a:prstGeom>
                    <a:noFill/>
                    <a:ln w="9525">
                      <a:noFill/>
                      <a:miter lim="800000"/>
                      <a:headEnd/>
                      <a:tailEnd/>
                    </a:ln>
                  </pic:spPr>
                </pic:pic>
              </a:graphicData>
            </a:graphic>
          </wp:inline>
        </w:drawing>
      </w:r>
    </w:p>
    <w:p>
      <w:pPr>
        <w:pStyle w:val="117"/>
        <w:snapToGrid w:val="0"/>
        <w:spacing w:line="240" w:lineRule="auto"/>
        <w:ind w:firstLine="422"/>
        <w:jc w:val="center"/>
        <w:rPr>
          <w:rFonts w:ascii="Times New Roman" w:hAnsi="Times New Roman"/>
          <w:b/>
          <w:sz w:val="21"/>
          <w:szCs w:val="21"/>
        </w:rPr>
      </w:pPr>
      <w:r>
        <w:rPr>
          <w:rFonts w:ascii="Times New Roman" w:hAnsi="Times New Roman"/>
          <w:b/>
          <w:sz w:val="21"/>
          <w:szCs w:val="21"/>
        </w:rPr>
        <w:t>海绵城市与一般设计雨水排放量比较示意图</w:t>
      </w:r>
    </w:p>
    <w:p>
      <w:pPr>
        <w:pStyle w:val="3"/>
        <w:ind w:firstLine="562" w:firstLineChars="200"/>
      </w:pPr>
      <w:bookmarkStart w:id="487" w:name="_Toc25590"/>
      <w:r>
        <w:t>设计原则</w:t>
      </w:r>
      <w:bookmarkEnd w:id="487"/>
    </w:p>
    <w:p>
      <w:pPr>
        <w:numPr>
          <w:ilvl w:val="0"/>
          <w:numId w:val="48"/>
        </w:numPr>
        <w:tabs>
          <w:tab w:val="left" w:pos="284"/>
        </w:tabs>
        <w:spacing w:line="300" w:lineRule="auto"/>
        <w:ind w:left="0" w:firstLine="480" w:firstLineChars="200"/>
        <w:rPr>
          <w:rFonts w:ascii="Times New Roman" w:hAnsi="Times New Roman"/>
          <w:b w:val="0"/>
          <w:color w:val="auto"/>
          <w:sz w:val="24"/>
          <w:szCs w:val="24"/>
        </w:rPr>
      </w:pPr>
      <w:r>
        <w:rPr>
          <w:rFonts w:ascii="Times New Roman" w:hAnsi="Times New Roman"/>
          <w:b w:val="0"/>
          <w:color w:val="auto"/>
          <w:sz w:val="24"/>
          <w:szCs w:val="24"/>
        </w:rPr>
        <w:t>城市道路低影响开发雨水设施设计应遵循以削减地表径流及其径流污染为主，雨水收集为辅的原则。</w:t>
      </w:r>
    </w:p>
    <w:p>
      <w:pPr>
        <w:numPr>
          <w:ilvl w:val="0"/>
          <w:numId w:val="48"/>
        </w:numPr>
        <w:tabs>
          <w:tab w:val="left" w:pos="284"/>
        </w:tabs>
        <w:spacing w:line="300" w:lineRule="auto"/>
        <w:ind w:left="0" w:firstLine="480" w:firstLineChars="200"/>
        <w:rPr>
          <w:rFonts w:ascii="Times New Roman" w:hAnsi="Times New Roman"/>
          <w:b w:val="0"/>
          <w:color w:val="auto"/>
          <w:sz w:val="24"/>
          <w:szCs w:val="24"/>
        </w:rPr>
      </w:pPr>
      <w:r>
        <w:rPr>
          <w:rFonts w:ascii="Times New Roman" w:hAnsi="Times New Roman"/>
          <w:b w:val="0"/>
          <w:color w:val="auto"/>
          <w:sz w:val="24"/>
          <w:szCs w:val="24"/>
        </w:rPr>
        <w:t>城市道路低影响开发雨水设施的设计不应降低道路范围内的雨水排放系统设计降雨重现期标准。</w:t>
      </w:r>
    </w:p>
    <w:p>
      <w:pPr>
        <w:numPr>
          <w:ilvl w:val="0"/>
          <w:numId w:val="48"/>
        </w:numPr>
        <w:tabs>
          <w:tab w:val="left" w:pos="284"/>
        </w:tabs>
        <w:spacing w:line="300" w:lineRule="auto"/>
        <w:ind w:left="0" w:firstLine="480" w:firstLineChars="200"/>
        <w:rPr>
          <w:rFonts w:ascii="Times New Roman" w:hAnsi="Times New Roman"/>
          <w:b w:val="0"/>
          <w:color w:val="auto"/>
          <w:sz w:val="24"/>
          <w:szCs w:val="24"/>
        </w:rPr>
      </w:pPr>
      <w:r>
        <w:rPr>
          <w:rFonts w:ascii="Times New Roman" w:hAnsi="Times New Roman"/>
          <w:b w:val="0"/>
          <w:color w:val="auto"/>
          <w:sz w:val="24"/>
          <w:szCs w:val="24"/>
        </w:rPr>
        <w:t>城市道路低影响开发雨水设施的设计应以区域总体规划、控制性详细规划以及相关的专项规划为主要依据并与之协调。</w:t>
      </w:r>
    </w:p>
    <w:p>
      <w:pPr>
        <w:numPr>
          <w:ilvl w:val="0"/>
          <w:numId w:val="48"/>
        </w:numPr>
        <w:tabs>
          <w:tab w:val="left" w:pos="284"/>
        </w:tabs>
        <w:spacing w:line="300" w:lineRule="auto"/>
        <w:ind w:left="0" w:firstLine="480" w:firstLineChars="200"/>
        <w:rPr>
          <w:rFonts w:ascii="Times New Roman" w:hAnsi="Times New Roman"/>
          <w:b w:val="0"/>
          <w:color w:val="auto"/>
          <w:sz w:val="24"/>
          <w:szCs w:val="24"/>
        </w:rPr>
      </w:pPr>
      <w:r>
        <w:rPr>
          <w:rFonts w:ascii="Times New Roman" w:hAnsi="Times New Roman"/>
          <w:b w:val="0"/>
          <w:color w:val="auto"/>
          <w:sz w:val="24"/>
          <w:szCs w:val="24"/>
        </w:rPr>
        <w:t>城市道路低影响开发雨水设施的选择应根据水文地质、施工条件以及养护管理等因素综合考虑确定，要注重节能环保和经济效益。</w:t>
      </w:r>
    </w:p>
    <w:p>
      <w:pPr>
        <w:pStyle w:val="3"/>
        <w:ind w:firstLine="562" w:firstLineChars="200"/>
      </w:pPr>
      <w:bookmarkStart w:id="488" w:name="_Toc23531"/>
      <w:r>
        <w:t>设计要点</w:t>
      </w:r>
      <w:bookmarkEnd w:id="488"/>
    </w:p>
    <w:p>
      <w:pPr>
        <w:numPr>
          <w:ilvl w:val="0"/>
          <w:numId w:val="49"/>
        </w:numPr>
        <w:tabs>
          <w:tab w:val="left" w:pos="284"/>
        </w:tabs>
        <w:spacing w:line="300" w:lineRule="auto"/>
        <w:ind w:left="0" w:firstLine="480" w:firstLineChars="200"/>
        <w:rPr>
          <w:rFonts w:ascii="Times New Roman" w:hAnsi="Times New Roman"/>
          <w:b w:val="0"/>
          <w:color w:val="auto"/>
          <w:sz w:val="24"/>
          <w:szCs w:val="24"/>
        </w:rPr>
      </w:pPr>
      <w:r>
        <w:rPr>
          <w:rFonts w:ascii="Times New Roman" w:hAnsi="Times New Roman"/>
          <w:b w:val="0"/>
          <w:color w:val="auto"/>
          <w:sz w:val="24"/>
          <w:szCs w:val="24"/>
        </w:rPr>
        <w:t>道路应在满足道路功能的前提下达到关规划提出的低影响开发控制目标与指标要求。</w:t>
      </w:r>
    </w:p>
    <w:p>
      <w:pPr>
        <w:numPr>
          <w:ilvl w:val="0"/>
          <w:numId w:val="49"/>
        </w:numPr>
        <w:tabs>
          <w:tab w:val="left" w:pos="284"/>
        </w:tabs>
        <w:spacing w:line="300" w:lineRule="auto"/>
        <w:ind w:left="0" w:firstLine="480" w:firstLineChars="200"/>
        <w:rPr>
          <w:rFonts w:ascii="Times New Roman" w:hAnsi="Times New Roman"/>
          <w:b w:val="0"/>
          <w:color w:val="auto"/>
          <w:sz w:val="24"/>
          <w:szCs w:val="24"/>
        </w:rPr>
      </w:pPr>
      <w:r>
        <w:rPr>
          <w:rFonts w:ascii="Times New Roman" w:hAnsi="Times New Roman"/>
          <w:b w:val="0"/>
          <w:color w:val="auto"/>
          <w:sz w:val="24"/>
          <w:szCs w:val="24"/>
        </w:rPr>
        <w:t>道路人行道宜采用透水铺装，非机动车道和机动车道可釆用透水沥青路面或透水水泥混凝土路面，透水铺装设计应满足国家有关标准规范的要求。</w:t>
      </w:r>
    </w:p>
    <w:p>
      <w:pPr>
        <w:numPr>
          <w:ilvl w:val="0"/>
          <w:numId w:val="49"/>
        </w:numPr>
        <w:tabs>
          <w:tab w:val="left" w:pos="284"/>
        </w:tabs>
        <w:spacing w:line="300" w:lineRule="auto"/>
        <w:ind w:left="0" w:firstLine="480" w:firstLineChars="200"/>
        <w:rPr>
          <w:rFonts w:ascii="Times New Roman" w:hAnsi="Times New Roman"/>
          <w:b w:val="0"/>
          <w:color w:val="auto"/>
          <w:sz w:val="24"/>
          <w:szCs w:val="24"/>
        </w:rPr>
      </w:pPr>
      <w:r>
        <w:rPr>
          <w:rFonts w:ascii="Times New Roman" w:hAnsi="Times New Roman"/>
          <w:b w:val="0"/>
          <w:color w:val="auto"/>
          <w:sz w:val="24"/>
          <w:szCs w:val="24"/>
        </w:rPr>
        <w:t>道路横断面设计应优化道路横坡坡向、路面与道路绿化带及周边绿地的坚向关系等，便于径流雨水汇入低影响开发设施。</w:t>
      </w:r>
    </w:p>
    <w:p>
      <w:pPr>
        <w:numPr>
          <w:ilvl w:val="0"/>
          <w:numId w:val="49"/>
        </w:numPr>
        <w:tabs>
          <w:tab w:val="left" w:pos="284"/>
        </w:tabs>
        <w:spacing w:line="300" w:lineRule="auto"/>
        <w:ind w:left="0" w:firstLine="480" w:firstLineChars="200"/>
        <w:rPr>
          <w:rFonts w:ascii="Times New Roman" w:hAnsi="Times New Roman"/>
          <w:b w:val="0"/>
          <w:color w:val="auto"/>
          <w:sz w:val="24"/>
          <w:szCs w:val="24"/>
        </w:rPr>
      </w:pPr>
      <w:r>
        <w:rPr>
          <w:rFonts w:ascii="Times New Roman" w:hAnsi="Times New Roman"/>
          <w:b w:val="0"/>
          <w:color w:val="auto"/>
          <w:sz w:val="24"/>
          <w:szCs w:val="24"/>
        </w:rPr>
        <w:t>路面雨水宜首先排入道路红线内绿化带，当红线内绿地空间有限时，将道路雨水引入道路红线外绿地内的低影响开发设施内进行消纳。当红线内绿地空间充足时，也可利用红线内低影响开发设施消纳红线外空</w:t>
      </w:r>
    </w:p>
    <w:p>
      <w:pPr>
        <w:numPr>
          <w:ilvl w:val="0"/>
          <w:numId w:val="49"/>
        </w:numPr>
        <w:tabs>
          <w:tab w:val="left" w:pos="284"/>
        </w:tabs>
        <w:spacing w:line="300" w:lineRule="auto"/>
        <w:ind w:left="0" w:firstLine="480" w:firstLineChars="200"/>
        <w:rPr>
          <w:rFonts w:ascii="Times New Roman" w:hAnsi="Times New Roman"/>
          <w:b w:val="0"/>
          <w:color w:val="auto"/>
          <w:sz w:val="24"/>
          <w:szCs w:val="24"/>
        </w:rPr>
      </w:pPr>
      <w:r>
        <w:rPr>
          <w:rFonts w:ascii="Times New Roman" w:hAnsi="Times New Roman"/>
          <w:b w:val="0"/>
          <w:color w:val="auto"/>
          <w:sz w:val="24"/>
          <w:szCs w:val="24"/>
        </w:rPr>
        <w:t>间的径流雨水。如果道路红线内外均无绿地时，径流雨水应排入周边调蓄设施或排水设施。</w:t>
      </w:r>
    </w:p>
    <w:p>
      <w:pPr>
        <w:numPr>
          <w:ilvl w:val="0"/>
          <w:numId w:val="49"/>
        </w:numPr>
        <w:tabs>
          <w:tab w:val="left" w:pos="284"/>
        </w:tabs>
        <w:spacing w:line="300" w:lineRule="auto"/>
        <w:ind w:left="0" w:firstLine="480" w:firstLineChars="200"/>
        <w:rPr>
          <w:rFonts w:ascii="Times New Roman" w:hAnsi="Times New Roman"/>
          <w:b w:val="0"/>
          <w:color w:val="auto"/>
          <w:sz w:val="24"/>
          <w:szCs w:val="24"/>
        </w:rPr>
      </w:pPr>
      <w:r>
        <w:rPr>
          <w:rFonts w:ascii="Times New Roman" w:hAnsi="Times New Roman"/>
          <w:b w:val="0"/>
          <w:color w:val="auto"/>
          <w:sz w:val="24"/>
          <w:szCs w:val="24"/>
        </w:rPr>
        <w:t>绿化带内低影响开发设施应通过溢流排放系统与城市雨水管渠系统相衔接，保证上下游排水系统通畅。</w:t>
      </w:r>
    </w:p>
    <w:p>
      <w:pPr>
        <w:numPr>
          <w:ilvl w:val="0"/>
          <w:numId w:val="49"/>
        </w:numPr>
        <w:tabs>
          <w:tab w:val="left" w:pos="284"/>
        </w:tabs>
        <w:spacing w:line="300" w:lineRule="auto"/>
        <w:ind w:left="0" w:firstLine="480" w:firstLineChars="200"/>
        <w:rPr>
          <w:rFonts w:ascii="Times New Roman" w:hAnsi="Times New Roman"/>
          <w:b w:val="0"/>
          <w:color w:val="auto"/>
          <w:sz w:val="24"/>
          <w:szCs w:val="24"/>
        </w:rPr>
      </w:pPr>
      <w:r>
        <w:rPr>
          <w:rFonts w:ascii="Times New Roman" w:hAnsi="Times New Roman"/>
          <w:b w:val="0"/>
          <w:color w:val="auto"/>
          <w:sz w:val="24"/>
          <w:szCs w:val="24"/>
        </w:rPr>
        <w:t>道路绿化带内低影响开发设施应采取必要的防渗措施，防止径流雨水下渗对道路路面及路基的强度和稳定性造成破坏。</w:t>
      </w:r>
    </w:p>
    <w:p>
      <w:pPr>
        <w:numPr>
          <w:ilvl w:val="0"/>
          <w:numId w:val="49"/>
        </w:numPr>
        <w:tabs>
          <w:tab w:val="left" w:pos="284"/>
        </w:tabs>
        <w:spacing w:line="300" w:lineRule="auto"/>
        <w:ind w:left="0" w:firstLine="480" w:firstLineChars="200"/>
        <w:rPr>
          <w:rFonts w:ascii="Times New Roman" w:hAnsi="Times New Roman"/>
          <w:b w:val="0"/>
          <w:color w:val="auto"/>
          <w:sz w:val="24"/>
          <w:szCs w:val="24"/>
        </w:rPr>
      </w:pPr>
      <w:r>
        <w:rPr>
          <w:rFonts w:ascii="Times New Roman" w:hAnsi="Times New Roman"/>
          <w:b w:val="0"/>
          <w:color w:val="auto"/>
          <w:sz w:val="24"/>
          <w:szCs w:val="24"/>
        </w:rPr>
        <w:t>低影响开发设施内植物宜根据水分条件、径流雨水水质等进行选择，宜选择耐盐、耐淹、耐污等能力较强的乡土植物。</w:t>
      </w:r>
    </w:p>
    <w:p>
      <w:pPr>
        <w:numPr>
          <w:ilvl w:val="0"/>
          <w:numId w:val="49"/>
        </w:numPr>
        <w:tabs>
          <w:tab w:val="left" w:pos="284"/>
        </w:tabs>
        <w:spacing w:line="300" w:lineRule="auto"/>
        <w:ind w:left="0" w:firstLine="480" w:firstLineChars="200"/>
        <w:rPr>
          <w:rFonts w:ascii="Times New Roman" w:hAnsi="Times New Roman"/>
          <w:b w:val="0"/>
          <w:color w:val="auto"/>
          <w:sz w:val="24"/>
          <w:szCs w:val="24"/>
        </w:rPr>
      </w:pPr>
      <w:r>
        <w:rPr>
          <w:rFonts w:ascii="Times New Roman" w:hAnsi="Times New Roman"/>
          <w:b w:val="0"/>
          <w:color w:val="auto"/>
          <w:sz w:val="24"/>
          <w:szCs w:val="24"/>
        </w:rPr>
        <w:t>道路应设置低于路面的下凹式绿化带，下凹深度应根据路幅、路宽以及径流量来考虑，下凹式绿化带应设置溢流口，溢流口应控制雨水流速，并与市政管道相衔接，同时，道路下四式绿化带内应设置穿孔透水管/排水盲沟，穿孔透水管/排水盲沟与溢流口相接，便于绿化带内雨水持续</w:t>
      </w:r>
      <w:r>
        <w:rPr>
          <w:rFonts w:hint="eastAsia" w:ascii="Times New Roman" w:hAnsi="Times New Roman"/>
          <w:b w:val="0"/>
          <w:color w:val="auto"/>
          <w:sz w:val="24"/>
          <w:szCs w:val="24"/>
        </w:rPr>
        <w:t>渗</w:t>
      </w:r>
      <w:r>
        <w:rPr>
          <w:rFonts w:ascii="Times New Roman" w:hAnsi="Times New Roman"/>
          <w:b w:val="0"/>
          <w:color w:val="auto"/>
          <w:sz w:val="24"/>
          <w:szCs w:val="24"/>
        </w:rPr>
        <w:t>透。</w:t>
      </w:r>
    </w:p>
    <w:p>
      <w:pPr>
        <w:numPr>
          <w:ilvl w:val="0"/>
          <w:numId w:val="49"/>
        </w:numPr>
        <w:tabs>
          <w:tab w:val="left" w:pos="284"/>
        </w:tabs>
        <w:spacing w:line="300" w:lineRule="auto"/>
        <w:ind w:left="0" w:firstLine="480" w:firstLineChars="200"/>
        <w:rPr>
          <w:rFonts w:ascii="Times New Roman" w:hAnsi="Times New Roman"/>
          <w:b w:val="0"/>
          <w:color w:val="auto"/>
          <w:sz w:val="24"/>
          <w:szCs w:val="24"/>
        </w:rPr>
      </w:pPr>
      <w:r>
        <w:rPr>
          <w:rFonts w:ascii="Times New Roman" w:hAnsi="Times New Roman"/>
          <w:b w:val="0"/>
          <w:color w:val="auto"/>
          <w:sz w:val="24"/>
          <w:szCs w:val="24"/>
        </w:rPr>
        <w:t>绿化带内雨水的排空时间为雨后24小时内排空。</w:t>
      </w:r>
    </w:p>
    <w:p>
      <w:pPr>
        <w:pStyle w:val="3"/>
        <w:ind w:firstLine="562" w:firstLineChars="200"/>
      </w:pPr>
      <w:bookmarkStart w:id="489" w:name="_Toc29825"/>
      <w:r>
        <w:t>市政道路常用的低影响开发设施</w:t>
      </w:r>
      <w:bookmarkEnd w:id="489"/>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城市道路应在满足道路交通设施等基本功能的前提下，利用道路周边绿地空间，以及道路自身落实低影响开发设施。结合道路横断面和排水方向，利用机动车道（通行轻型荷载交通）、非机动车道、人行道、绿化分隔带设置入渗、滞留、调蓄和净化等设施，各部分所采取的设施比选详见下表。</w:t>
      </w:r>
    </w:p>
    <w:p>
      <w:pPr>
        <w:pStyle w:val="117"/>
        <w:ind w:firstLine="422"/>
        <w:jc w:val="center"/>
        <w:rPr>
          <w:rFonts w:ascii="Times New Roman" w:hAnsi="Times New Roman"/>
          <w:b/>
          <w:sz w:val="21"/>
          <w:szCs w:val="21"/>
        </w:rPr>
      </w:pPr>
      <w:r>
        <w:rPr>
          <w:rFonts w:ascii="Times New Roman" w:hAnsi="Times New Roman"/>
          <w:b/>
          <w:sz w:val="21"/>
          <w:szCs w:val="21"/>
        </w:rPr>
        <w:t>城市道路低影响开发设施比选一览表</w:t>
      </w:r>
    </w:p>
    <w:p>
      <w:pPr>
        <w:spacing w:line="360" w:lineRule="auto"/>
        <w:ind w:firstLine="482" w:firstLineChars="200"/>
        <w:jc w:val="center"/>
        <w:rPr>
          <w:rFonts w:ascii="Times New Roman" w:hAnsi="Times New Roman"/>
          <w:sz w:val="24"/>
          <w:szCs w:val="24"/>
        </w:rPr>
      </w:pPr>
      <w:r>
        <w:rPr>
          <w:rFonts w:ascii="Times New Roman" w:hAnsi="Times New Roman"/>
          <w:sz w:val="24"/>
          <w:szCs w:val="24"/>
        </w:rPr>
        <w:drawing>
          <wp:inline distT="0" distB="0" distL="0" distR="0">
            <wp:extent cx="5038725" cy="3001010"/>
            <wp:effectExtent l="0" t="0" r="9525" b="8890"/>
            <wp:docPr id="162"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37"/>
                    <pic:cNvPicPr>
                      <a:picLocks noChangeAspect="1" noChangeArrowheads="1"/>
                    </pic:cNvPicPr>
                  </pic:nvPicPr>
                  <pic:blipFill>
                    <a:blip r:embed="rId292" cstate="email"/>
                    <a:srcRect/>
                    <a:stretch>
                      <a:fillRect/>
                    </a:stretch>
                  </pic:blipFill>
                  <pic:spPr>
                    <a:xfrm>
                      <a:off x="0" y="0"/>
                      <a:ext cx="5049888" cy="3008076"/>
                    </a:xfrm>
                    <a:prstGeom prst="rect">
                      <a:avLst/>
                    </a:prstGeom>
                    <a:noFill/>
                    <a:ln w="9525">
                      <a:noFill/>
                      <a:miter lim="800000"/>
                      <a:headEnd/>
                      <a:tailEnd/>
                    </a:ln>
                  </pic:spPr>
                </pic:pic>
              </a:graphicData>
            </a:graphic>
          </wp:inline>
        </w:drawing>
      </w:r>
    </w:p>
    <w:p>
      <w:pPr>
        <w:numPr>
          <w:ilvl w:val="0"/>
          <w:numId w:val="50"/>
        </w:numPr>
        <w:tabs>
          <w:tab w:val="left" w:pos="284"/>
        </w:tabs>
        <w:spacing w:line="300" w:lineRule="auto"/>
        <w:ind w:left="0" w:firstLine="480" w:firstLineChars="200"/>
        <w:rPr>
          <w:rFonts w:ascii="Times New Roman" w:hAnsi="Times New Roman"/>
          <w:b w:val="0"/>
          <w:color w:val="auto"/>
          <w:sz w:val="24"/>
          <w:szCs w:val="24"/>
        </w:rPr>
      </w:pPr>
      <w:r>
        <w:rPr>
          <w:rFonts w:ascii="Times New Roman" w:hAnsi="Times New Roman"/>
          <w:b w:val="0"/>
          <w:color w:val="auto"/>
          <w:sz w:val="24"/>
          <w:szCs w:val="24"/>
        </w:rPr>
        <w:t>透水铺装</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透水铺装为可渗透、滞留和排放雨水并满足荷载要求和结构强度的铺装结构。</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城市道路路面与停车场、广场的地面雨水径流量较大，如在人行道、非机动车道和停车场上铺设透水砖或透水混凝土，可以减少中心城区地面硬化率，提高地面的渗透能力。</w:t>
      </w:r>
    </w:p>
    <w:p>
      <w:pPr>
        <w:spacing w:line="360" w:lineRule="auto"/>
        <w:ind w:firstLine="480" w:firstLineChars="200"/>
        <w:jc w:val="center"/>
        <w:rPr>
          <w:rFonts w:ascii="Times New Roman" w:hAnsi="Times New Roman"/>
          <w:b w:val="0"/>
          <w:color w:val="auto"/>
          <w:sz w:val="24"/>
          <w:szCs w:val="24"/>
        </w:rPr>
      </w:pPr>
      <w:r>
        <w:rPr>
          <w:rFonts w:ascii="Times New Roman" w:hAnsi="Times New Roman"/>
          <w:b w:val="0"/>
          <w:color w:val="auto"/>
          <w:sz w:val="24"/>
          <w:szCs w:val="24"/>
        </w:rPr>
        <w:drawing>
          <wp:inline distT="0" distB="0" distL="0" distR="0">
            <wp:extent cx="2037080" cy="1524000"/>
            <wp:effectExtent l="0" t="0" r="1270" b="0"/>
            <wp:docPr id="163"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39"/>
                    <pic:cNvPicPr>
                      <a:picLocks noChangeAspect="1" noChangeArrowheads="1"/>
                    </pic:cNvPicPr>
                  </pic:nvPicPr>
                  <pic:blipFill>
                    <a:blip r:embed="rId293" cstate="email"/>
                    <a:srcRect/>
                    <a:stretch>
                      <a:fillRect/>
                    </a:stretch>
                  </pic:blipFill>
                  <pic:spPr>
                    <a:xfrm>
                      <a:off x="0" y="0"/>
                      <a:ext cx="2040383" cy="1526185"/>
                    </a:xfrm>
                    <a:prstGeom prst="rect">
                      <a:avLst/>
                    </a:prstGeom>
                    <a:noFill/>
                    <a:ln w="9525">
                      <a:noFill/>
                      <a:miter lim="800000"/>
                      <a:headEnd/>
                      <a:tailEnd/>
                    </a:ln>
                  </pic:spPr>
                </pic:pic>
              </a:graphicData>
            </a:graphic>
          </wp:inline>
        </w:drawing>
      </w:r>
      <w:r>
        <w:rPr>
          <w:rFonts w:ascii="Times New Roman" w:hAnsi="Times New Roman"/>
          <w:b w:val="0"/>
          <w:color w:val="auto"/>
          <w:sz w:val="24"/>
          <w:szCs w:val="24"/>
        </w:rPr>
        <w:drawing>
          <wp:inline distT="0" distB="0" distL="0" distR="0">
            <wp:extent cx="2643505" cy="1536700"/>
            <wp:effectExtent l="0" t="0" r="4445" b="6350"/>
            <wp:docPr id="164"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40"/>
                    <pic:cNvPicPr>
                      <a:picLocks noChangeAspect="1" noChangeArrowheads="1"/>
                    </pic:cNvPicPr>
                  </pic:nvPicPr>
                  <pic:blipFill>
                    <a:blip r:embed="rId294" cstate="print"/>
                    <a:srcRect/>
                    <a:stretch>
                      <a:fillRect/>
                    </a:stretch>
                  </pic:blipFill>
                  <pic:spPr>
                    <a:xfrm>
                      <a:off x="0" y="0"/>
                      <a:ext cx="2647520" cy="1538872"/>
                    </a:xfrm>
                    <a:prstGeom prst="rect">
                      <a:avLst/>
                    </a:prstGeom>
                    <a:noFill/>
                    <a:ln w="9525">
                      <a:noFill/>
                      <a:miter lim="800000"/>
                      <a:headEnd/>
                      <a:tailEnd/>
                    </a:ln>
                  </pic:spPr>
                </pic:pic>
              </a:graphicData>
            </a:graphic>
          </wp:inline>
        </w:drawing>
      </w:r>
    </w:p>
    <w:p>
      <w:pPr>
        <w:pStyle w:val="117"/>
        <w:ind w:firstLine="422"/>
        <w:jc w:val="center"/>
        <w:rPr>
          <w:rFonts w:ascii="Times New Roman" w:hAnsi="Times New Roman"/>
          <w:b/>
          <w:sz w:val="21"/>
          <w:szCs w:val="21"/>
        </w:rPr>
      </w:pPr>
      <w:r>
        <w:rPr>
          <w:rFonts w:ascii="Times New Roman" w:hAnsi="Times New Roman"/>
          <w:b/>
          <w:sz w:val="21"/>
          <w:szCs w:val="21"/>
        </w:rPr>
        <w:t>人行道及停车场透水铺装</w:t>
      </w:r>
    </w:p>
    <w:p>
      <w:pPr>
        <w:numPr>
          <w:ilvl w:val="0"/>
          <w:numId w:val="50"/>
        </w:numPr>
        <w:tabs>
          <w:tab w:val="left" w:pos="284"/>
        </w:tabs>
        <w:spacing w:line="300" w:lineRule="auto"/>
        <w:ind w:left="0" w:firstLine="480" w:firstLineChars="200"/>
        <w:rPr>
          <w:rFonts w:ascii="Times New Roman" w:hAnsi="Times New Roman"/>
          <w:b w:val="0"/>
          <w:color w:val="auto"/>
          <w:sz w:val="24"/>
          <w:szCs w:val="24"/>
        </w:rPr>
      </w:pPr>
      <w:r>
        <w:rPr>
          <w:rFonts w:ascii="Times New Roman" w:hAnsi="Times New Roman"/>
          <w:b w:val="0"/>
          <w:color w:val="auto"/>
          <w:sz w:val="24"/>
          <w:szCs w:val="24"/>
        </w:rPr>
        <w:t>下沉式绿地</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下沉式绿地具有狭义和广义之分，狭义的下沉式绿地指低于周边铺砌地面或道路在200 mm以内的绿地；广义的下沉式绿地泛指具有一定的调蓄容积，且可用于调蓄和净化径流雨水的绿地，包括生物滞留设施、渗透塘、湿塘、雨水湿地、调节塘等。</w:t>
      </w:r>
    </w:p>
    <w:p>
      <w:pPr>
        <w:spacing w:line="360" w:lineRule="auto"/>
        <w:ind w:firstLine="480" w:firstLineChars="200"/>
        <w:jc w:val="center"/>
        <w:rPr>
          <w:rFonts w:ascii="Times New Roman" w:hAnsi="Times New Roman"/>
          <w:b w:val="0"/>
          <w:color w:val="auto"/>
          <w:sz w:val="24"/>
          <w:szCs w:val="24"/>
          <w:highlight w:val="yellow"/>
        </w:rPr>
      </w:pPr>
      <w:r>
        <w:rPr>
          <w:rFonts w:ascii="Times New Roman" w:hAnsi="Times New Roman"/>
          <w:b w:val="0"/>
          <w:color w:val="auto"/>
          <w:sz w:val="24"/>
          <w:szCs w:val="24"/>
        </w:rPr>
        <w:drawing>
          <wp:inline distT="0" distB="0" distL="0" distR="0">
            <wp:extent cx="2895600" cy="1543050"/>
            <wp:effectExtent l="0" t="0" r="0" b="0"/>
            <wp:docPr id="165"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41"/>
                    <pic:cNvPicPr>
                      <a:picLocks noChangeAspect="1" noChangeArrowheads="1"/>
                    </pic:cNvPicPr>
                  </pic:nvPicPr>
                  <pic:blipFill>
                    <a:blip r:embed="rId295" cstate="email"/>
                    <a:srcRect/>
                    <a:stretch>
                      <a:fillRect/>
                    </a:stretch>
                  </pic:blipFill>
                  <pic:spPr>
                    <a:xfrm>
                      <a:off x="0" y="0"/>
                      <a:ext cx="2895600" cy="1543050"/>
                    </a:xfrm>
                    <a:prstGeom prst="rect">
                      <a:avLst/>
                    </a:prstGeom>
                    <a:noFill/>
                    <a:ln w="9525">
                      <a:noFill/>
                      <a:miter lim="800000"/>
                      <a:headEnd/>
                      <a:tailEnd/>
                    </a:ln>
                  </pic:spPr>
                </pic:pic>
              </a:graphicData>
            </a:graphic>
          </wp:inline>
        </w:drawing>
      </w:r>
      <w:r>
        <w:rPr>
          <w:rFonts w:ascii="Times New Roman" w:hAnsi="Times New Roman"/>
          <w:b w:val="0"/>
          <w:color w:val="auto"/>
          <w:sz w:val="24"/>
          <w:szCs w:val="24"/>
        </w:rPr>
        <w:drawing>
          <wp:inline distT="0" distB="0" distL="0" distR="0">
            <wp:extent cx="2120900" cy="1480820"/>
            <wp:effectExtent l="0" t="0" r="12700" b="5080"/>
            <wp:docPr id="166"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42"/>
                    <pic:cNvPicPr>
                      <a:picLocks noChangeAspect="1" noChangeArrowheads="1"/>
                    </pic:cNvPicPr>
                  </pic:nvPicPr>
                  <pic:blipFill>
                    <a:blip r:embed="rId296" cstate="email"/>
                    <a:srcRect/>
                    <a:stretch>
                      <a:fillRect/>
                    </a:stretch>
                  </pic:blipFill>
                  <pic:spPr>
                    <a:xfrm>
                      <a:off x="0" y="0"/>
                      <a:ext cx="2127250" cy="1485168"/>
                    </a:xfrm>
                    <a:prstGeom prst="rect">
                      <a:avLst/>
                    </a:prstGeom>
                    <a:noFill/>
                    <a:ln>
                      <a:noFill/>
                    </a:ln>
                  </pic:spPr>
                </pic:pic>
              </a:graphicData>
            </a:graphic>
          </wp:inline>
        </w:drawing>
      </w:r>
      <w:r>
        <w:t xml:space="preserve"> </w:t>
      </w:r>
      <w:r>
        <w:rPr>
          <w:highlight w:val="yellow"/>
        </w:rPr>
        <w:drawing>
          <wp:inline distT="0" distB="0" distL="0" distR="0">
            <wp:extent cx="5951220" cy="2971800"/>
            <wp:effectExtent l="0" t="0" r="11430" b="0"/>
            <wp:docPr id="5754422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442274" name="图片 1"/>
                    <pic:cNvPicPr>
                      <a:picLocks noChangeAspect="1"/>
                    </pic:cNvPicPr>
                  </pic:nvPicPr>
                  <pic:blipFill>
                    <a:blip r:embed="rId297"/>
                    <a:stretch>
                      <a:fillRect/>
                    </a:stretch>
                  </pic:blipFill>
                  <pic:spPr>
                    <a:xfrm>
                      <a:off x="0" y="0"/>
                      <a:ext cx="5951736" cy="2972058"/>
                    </a:xfrm>
                    <a:prstGeom prst="rect">
                      <a:avLst/>
                    </a:prstGeom>
                  </pic:spPr>
                </pic:pic>
              </a:graphicData>
            </a:graphic>
          </wp:inline>
        </w:drawing>
      </w:r>
    </w:p>
    <w:p>
      <w:pPr>
        <w:pStyle w:val="117"/>
        <w:ind w:firstLine="422"/>
        <w:jc w:val="center"/>
        <w:rPr>
          <w:rFonts w:ascii="Times New Roman" w:hAnsi="Times New Roman"/>
          <w:b/>
          <w:sz w:val="21"/>
          <w:szCs w:val="21"/>
        </w:rPr>
      </w:pPr>
      <w:r>
        <w:rPr>
          <w:rFonts w:ascii="Times New Roman" w:hAnsi="Times New Roman"/>
          <w:b/>
          <w:sz w:val="21"/>
          <w:szCs w:val="21"/>
          <w:highlight w:val="yellow"/>
        </w:rPr>
        <w:t>下沉式绿地</w:t>
      </w:r>
    </w:p>
    <w:p>
      <w:pPr>
        <w:numPr>
          <w:ilvl w:val="0"/>
          <w:numId w:val="50"/>
        </w:numPr>
        <w:tabs>
          <w:tab w:val="left" w:pos="284"/>
        </w:tabs>
        <w:spacing w:line="300" w:lineRule="auto"/>
        <w:ind w:left="0" w:firstLine="480" w:firstLineChars="200"/>
        <w:rPr>
          <w:rFonts w:ascii="Times New Roman" w:hAnsi="Times New Roman"/>
          <w:b w:val="0"/>
          <w:color w:val="auto"/>
          <w:sz w:val="24"/>
          <w:szCs w:val="24"/>
        </w:rPr>
      </w:pPr>
      <w:r>
        <w:rPr>
          <w:rFonts w:ascii="Times New Roman" w:hAnsi="Times New Roman"/>
          <w:b w:val="0"/>
          <w:color w:val="auto"/>
          <w:sz w:val="24"/>
          <w:szCs w:val="24"/>
        </w:rPr>
        <w:t>生物滞留设施</w:t>
      </w:r>
    </w:p>
    <w:p>
      <w:pPr>
        <w:tabs>
          <w:tab w:val="left" w:pos="284"/>
        </w:tabs>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生物滞留设施指在地势较低的区域，通过植物、土壤和微生物系统蓄渗、净化径流雨水的设施。生物滞留设施分为简易型生物滞留设施和复杂型生物滞留设施，按应用位置不同又称作雨水花园、生物滞留带等。</w:t>
      </w:r>
    </w:p>
    <w:p>
      <w:pPr>
        <w:spacing w:line="360" w:lineRule="auto"/>
        <w:ind w:firstLine="480" w:firstLineChars="200"/>
        <w:jc w:val="center"/>
        <w:rPr>
          <w:rFonts w:ascii="Times New Roman" w:hAnsi="Times New Roman"/>
          <w:b w:val="0"/>
          <w:color w:val="auto"/>
          <w:sz w:val="24"/>
          <w:szCs w:val="24"/>
        </w:rPr>
      </w:pPr>
      <w:r>
        <w:rPr>
          <w:rFonts w:ascii="Times New Roman" w:hAnsi="Times New Roman"/>
          <w:b w:val="0"/>
          <w:color w:val="auto"/>
          <w:sz w:val="24"/>
          <w:szCs w:val="24"/>
        </w:rPr>
        <w:drawing>
          <wp:inline distT="0" distB="0" distL="0" distR="0">
            <wp:extent cx="5334000" cy="1261745"/>
            <wp:effectExtent l="0" t="0" r="0" b="14605"/>
            <wp:docPr id="167"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43"/>
                    <pic:cNvPicPr>
                      <a:picLocks noChangeAspect="1" noChangeArrowheads="1"/>
                    </pic:cNvPicPr>
                  </pic:nvPicPr>
                  <pic:blipFill>
                    <a:blip r:embed="rId298" cstate="email"/>
                    <a:srcRect/>
                    <a:stretch>
                      <a:fillRect/>
                    </a:stretch>
                  </pic:blipFill>
                  <pic:spPr>
                    <a:xfrm>
                      <a:off x="0" y="0"/>
                      <a:ext cx="5334000" cy="1262269"/>
                    </a:xfrm>
                    <a:prstGeom prst="rect">
                      <a:avLst/>
                    </a:prstGeom>
                    <a:noFill/>
                    <a:ln>
                      <a:noFill/>
                    </a:ln>
                  </pic:spPr>
                </pic:pic>
              </a:graphicData>
            </a:graphic>
          </wp:inline>
        </w:drawing>
      </w:r>
    </w:p>
    <w:p>
      <w:pPr>
        <w:pStyle w:val="117"/>
        <w:ind w:firstLine="422"/>
        <w:jc w:val="center"/>
        <w:rPr>
          <w:rFonts w:ascii="Times New Roman" w:hAnsi="Times New Roman"/>
          <w:b/>
          <w:sz w:val="21"/>
          <w:szCs w:val="21"/>
        </w:rPr>
      </w:pPr>
      <w:r>
        <w:rPr>
          <w:rFonts w:ascii="Times New Roman" w:hAnsi="Times New Roman"/>
          <w:b/>
          <w:sz w:val="21"/>
          <w:szCs w:val="21"/>
        </w:rPr>
        <w:t>简易型生物滞留设施构造示意图</w:t>
      </w:r>
    </w:p>
    <w:p>
      <w:pPr>
        <w:spacing w:line="360" w:lineRule="auto"/>
        <w:ind w:firstLine="456" w:firstLineChars="200"/>
        <w:jc w:val="center"/>
        <w:rPr>
          <w:rFonts w:ascii="Times New Roman" w:hAnsi="Times New Roman"/>
          <w:b w:val="0"/>
          <w:color w:val="auto"/>
          <w:spacing w:val="-6"/>
          <w:sz w:val="24"/>
          <w:szCs w:val="24"/>
        </w:rPr>
      </w:pPr>
      <w:r>
        <w:rPr>
          <w:rFonts w:ascii="Times New Roman" w:hAnsi="Times New Roman"/>
          <w:b w:val="0"/>
          <w:color w:val="auto"/>
          <w:spacing w:val="-6"/>
          <w:sz w:val="24"/>
          <w:szCs w:val="24"/>
        </w:rPr>
        <w:drawing>
          <wp:inline distT="0" distB="0" distL="0" distR="0">
            <wp:extent cx="4790440" cy="1421130"/>
            <wp:effectExtent l="0" t="0" r="10160" b="7620"/>
            <wp:docPr id="168"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44"/>
                    <pic:cNvPicPr>
                      <a:picLocks noChangeAspect="1" noChangeArrowheads="1"/>
                    </pic:cNvPicPr>
                  </pic:nvPicPr>
                  <pic:blipFill>
                    <a:blip r:embed="rId299" cstate="email"/>
                    <a:srcRect/>
                    <a:stretch>
                      <a:fillRect/>
                    </a:stretch>
                  </pic:blipFill>
                  <pic:spPr>
                    <a:xfrm>
                      <a:off x="0" y="0"/>
                      <a:ext cx="4790661" cy="1421296"/>
                    </a:xfrm>
                    <a:prstGeom prst="rect">
                      <a:avLst/>
                    </a:prstGeom>
                    <a:noFill/>
                    <a:ln>
                      <a:noFill/>
                    </a:ln>
                  </pic:spPr>
                </pic:pic>
              </a:graphicData>
            </a:graphic>
          </wp:inline>
        </w:drawing>
      </w:r>
    </w:p>
    <w:p>
      <w:pPr>
        <w:pStyle w:val="117"/>
        <w:snapToGrid w:val="0"/>
        <w:spacing w:line="240" w:lineRule="auto"/>
        <w:ind w:firstLine="422"/>
        <w:jc w:val="center"/>
        <w:rPr>
          <w:rFonts w:ascii="Times New Roman" w:hAnsi="Times New Roman"/>
          <w:b/>
          <w:sz w:val="21"/>
          <w:szCs w:val="21"/>
        </w:rPr>
      </w:pPr>
      <w:r>
        <w:rPr>
          <w:rFonts w:ascii="Times New Roman" w:hAnsi="Times New Roman"/>
          <w:b/>
          <w:sz w:val="21"/>
          <w:szCs w:val="21"/>
        </w:rPr>
        <w:t>复杂型生物滞留设施构造示意图</w:t>
      </w:r>
    </w:p>
    <w:p>
      <w:pPr>
        <w:spacing w:line="360" w:lineRule="auto"/>
        <w:ind w:firstLine="456" w:firstLineChars="200"/>
        <w:jc w:val="center"/>
        <w:rPr>
          <w:rFonts w:ascii="Times New Roman" w:hAnsi="Times New Roman"/>
          <w:b w:val="0"/>
          <w:color w:val="auto"/>
          <w:spacing w:val="-6"/>
          <w:sz w:val="24"/>
          <w:szCs w:val="24"/>
        </w:rPr>
      </w:pPr>
      <w:r>
        <w:rPr>
          <w:rFonts w:ascii="Times New Roman" w:hAnsi="Times New Roman"/>
          <w:b w:val="0"/>
          <w:color w:val="auto"/>
          <w:spacing w:val="-6"/>
          <w:sz w:val="24"/>
          <w:szCs w:val="24"/>
        </w:rPr>
        <w:drawing>
          <wp:inline distT="0" distB="0" distL="0" distR="0">
            <wp:extent cx="2221865" cy="2908300"/>
            <wp:effectExtent l="0" t="0" r="6985" b="6350"/>
            <wp:docPr id="169"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45"/>
                    <pic:cNvPicPr>
                      <a:picLocks noChangeAspect="1" noChangeArrowheads="1"/>
                    </pic:cNvPicPr>
                  </pic:nvPicPr>
                  <pic:blipFill>
                    <a:blip r:embed="rId300" cstate="email"/>
                    <a:srcRect t="2314" r="-166" b="1"/>
                    <a:stretch>
                      <a:fillRect/>
                    </a:stretch>
                  </pic:blipFill>
                  <pic:spPr>
                    <a:xfrm>
                      <a:off x="0" y="0"/>
                      <a:ext cx="2224302" cy="2911337"/>
                    </a:xfrm>
                    <a:prstGeom prst="rect">
                      <a:avLst/>
                    </a:prstGeom>
                    <a:noFill/>
                    <a:ln>
                      <a:noFill/>
                    </a:ln>
                  </pic:spPr>
                </pic:pic>
              </a:graphicData>
            </a:graphic>
          </wp:inline>
        </w:drawing>
      </w:r>
      <w:r>
        <w:rPr>
          <w:rFonts w:ascii="Times New Roman" w:hAnsi="Times New Roman"/>
          <w:b w:val="0"/>
          <w:color w:val="auto"/>
          <w:spacing w:val="-6"/>
          <w:sz w:val="24"/>
          <w:szCs w:val="24"/>
        </w:rPr>
        <w:drawing>
          <wp:inline distT="0" distB="0" distL="0" distR="0">
            <wp:extent cx="2202815" cy="2891790"/>
            <wp:effectExtent l="0" t="0" r="6985" b="3810"/>
            <wp:docPr id="170"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46"/>
                    <pic:cNvPicPr>
                      <a:picLocks noChangeAspect="1" noChangeArrowheads="1"/>
                    </pic:cNvPicPr>
                  </pic:nvPicPr>
                  <pic:blipFill>
                    <a:blip r:embed="rId301" cstate="email"/>
                    <a:srcRect t="1921" b="1"/>
                    <a:stretch>
                      <a:fillRect/>
                    </a:stretch>
                  </pic:blipFill>
                  <pic:spPr>
                    <a:xfrm>
                      <a:off x="0" y="0"/>
                      <a:ext cx="2203109" cy="2892396"/>
                    </a:xfrm>
                    <a:prstGeom prst="rect">
                      <a:avLst/>
                    </a:prstGeom>
                    <a:noFill/>
                    <a:ln>
                      <a:noFill/>
                    </a:ln>
                  </pic:spPr>
                </pic:pic>
              </a:graphicData>
            </a:graphic>
          </wp:inline>
        </w:drawing>
      </w:r>
    </w:p>
    <w:p>
      <w:pPr>
        <w:pStyle w:val="117"/>
        <w:snapToGrid w:val="0"/>
        <w:spacing w:line="300" w:lineRule="auto"/>
        <w:ind w:firstLine="422"/>
        <w:jc w:val="center"/>
        <w:rPr>
          <w:rFonts w:ascii="Times New Roman" w:hAnsi="Times New Roman"/>
          <w:b/>
          <w:sz w:val="21"/>
          <w:szCs w:val="21"/>
        </w:rPr>
      </w:pPr>
      <w:r>
        <w:rPr>
          <w:rFonts w:ascii="Times New Roman" w:hAnsi="Times New Roman"/>
          <w:b/>
          <w:sz w:val="21"/>
          <w:szCs w:val="21"/>
        </w:rPr>
        <w:t>生物滞留设施</w:t>
      </w:r>
    </w:p>
    <w:p>
      <w:pPr>
        <w:numPr>
          <w:ilvl w:val="0"/>
          <w:numId w:val="50"/>
        </w:numPr>
        <w:tabs>
          <w:tab w:val="left" w:pos="284"/>
        </w:tabs>
        <w:spacing w:line="300" w:lineRule="auto"/>
        <w:ind w:left="0" w:firstLine="480" w:firstLineChars="200"/>
        <w:rPr>
          <w:rFonts w:ascii="Times New Roman" w:hAnsi="Times New Roman"/>
          <w:b w:val="0"/>
          <w:color w:val="auto"/>
          <w:sz w:val="24"/>
          <w:szCs w:val="24"/>
        </w:rPr>
      </w:pPr>
      <w:r>
        <w:rPr>
          <w:rFonts w:ascii="Times New Roman" w:hAnsi="Times New Roman"/>
          <w:b w:val="0"/>
          <w:color w:val="auto"/>
          <w:sz w:val="24"/>
          <w:szCs w:val="24"/>
        </w:rPr>
        <w:t>生态树池</w:t>
      </w:r>
    </w:p>
    <w:p>
      <w:pPr>
        <w:pStyle w:val="67"/>
        <w:spacing w:line="300" w:lineRule="auto"/>
        <w:ind w:firstLine="480"/>
        <w:rPr>
          <w:rFonts w:ascii="Times New Roman" w:hAnsi="Times New Roman"/>
          <w:b w:val="0"/>
          <w:color w:val="auto"/>
          <w:sz w:val="24"/>
          <w:szCs w:val="24"/>
        </w:rPr>
      </w:pPr>
      <w:r>
        <w:rPr>
          <w:rFonts w:ascii="Times New Roman" w:hAnsi="Times New Roman"/>
          <w:b w:val="0"/>
          <w:color w:val="auto"/>
          <w:sz w:val="24"/>
          <w:szCs w:val="24"/>
        </w:rPr>
        <w:t>在有铺装的地面上栽种树木时，在树木的周围保留的一块没有铺装且标高低于周边铺装的土地，可吸纳来自人行道、非机动车道和停车场的雨水径流，是下沉式绿地的一种。</w:t>
      </w:r>
    </w:p>
    <w:p>
      <w:pPr>
        <w:spacing w:line="360" w:lineRule="auto"/>
        <w:ind w:left="420" w:firstLine="562" w:firstLineChars="200"/>
        <w:jc w:val="center"/>
        <w:rPr>
          <w:rFonts w:ascii="Times New Roman" w:hAnsi="Times New Roman"/>
          <w:b w:val="0"/>
          <w:color w:val="auto"/>
          <w:sz w:val="24"/>
          <w:szCs w:val="24"/>
        </w:rPr>
      </w:pPr>
      <w:r>
        <w:rPr>
          <w:rFonts w:ascii="Times New Roman" w:hAnsi="Times New Roman"/>
          <w:color w:val="auto"/>
        </w:rPr>
        <mc:AlternateContent>
          <mc:Choice Requires="wps">
            <w:drawing>
              <wp:anchor distT="0" distB="0" distL="114300" distR="114300" simplePos="0" relativeHeight="251666432" behindDoc="0" locked="0" layoutInCell="1" allowOverlap="1">
                <wp:simplePos x="0" y="0"/>
                <wp:positionH relativeFrom="column">
                  <wp:posOffset>1394460</wp:posOffset>
                </wp:positionH>
                <wp:positionV relativeFrom="paragraph">
                  <wp:posOffset>9525</wp:posOffset>
                </wp:positionV>
                <wp:extent cx="1449070" cy="434975"/>
                <wp:effectExtent l="0" t="0" r="17780" b="3175"/>
                <wp:wrapNone/>
                <wp:docPr id="171" name="矩形 140416"/>
                <wp:cNvGraphicFramePr/>
                <a:graphic xmlns:a="http://schemas.openxmlformats.org/drawingml/2006/main">
                  <a:graphicData uri="http://schemas.microsoft.com/office/word/2010/wordprocessingShape">
                    <wps:wsp>
                      <wps:cNvSpPr/>
                      <wps:spPr>
                        <a:xfrm>
                          <a:off x="0" y="0"/>
                          <a:ext cx="1449070" cy="434975"/>
                        </a:xfrm>
                        <a:prstGeom prst="rect">
                          <a:avLst/>
                        </a:prstGeom>
                        <a:solidFill>
                          <a:srgbClr val="FFFFFF"/>
                        </a:solidFill>
                        <a:ln w="25400">
                          <a:noFill/>
                        </a:ln>
                      </wps:spPr>
                      <wps:bodyPr anchor="ctr" anchorCtr="0" upright="1"/>
                    </wps:wsp>
                  </a:graphicData>
                </a:graphic>
              </wp:anchor>
            </w:drawing>
          </mc:Choice>
          <mc:Fallback>
            <w:pict>
              <v:rect id="矩形 140416" o:spid="_x0000_s1026" o:spt="1" style="position:absolute;left:0pt;margin-left:109.8pt;margin-top:0.75pt;height:34.25pt;width:114.1pt;z-index:251666432;v-text-anchor:middle;mso-width-relative:page;mso-height-relative:page;" fillcolor="#FFFFFF" filled="t" stroked="f" coordsize="21600,21600" o:gfxdata="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71Ga49QAAAAIAQAADwAAAAAAAAABACAAAAAiAAAAZHJzL2Rv&#10;d25yZXYueG1sUEsBAhQAFAAAAAgAh07iQJMvIBXMAQAAiwMAAA4AAAAAAAAAAQAgAAAAIwEAAGRy&#10;cy9lMm9Eb2MueG1sUEsFBgAAAAAGAAYAWQEAAGEFAAAAAA==&#10;">
                <v:fill on="t" focussize="0,0"/>
                <v:stroke on="f" weight="2pt"/>
                <v:imagedata o:title=""/>
                <o:lock v:ext="edit" aspectratio="f"/>
              </v:rect>
            </w:pict>
          </mc:Fallback>
        </mc:AlternateContent>
      </w:r>
      <w:r>
        <w:rPr>
          <w:rFonts w:ascii="Times New Roman" w:hAnsi="Times New Roman"/>
          <w:b w:val="0"/>
          <w:color w:val="auto"/>
          <w:sz w:val="24"/>
          <w:szCs w:val="24"/>
        </w:rPr>
        <w:drawing>
          <wp:inline distT="0" distB="0" distL="0" distR="0">
            <wp:extent cx="2902585" cy="2202180"/>
            <wp:effectExtent l="0" t="0" r="12065" b="7620"/>
            <wp:docPr id="201"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147"/>
                    <pic:cNvPicPr>
                      <a:picLocks noChangeAspect="1" noChangeArrowheads="1"/>
                    </pic:cNvPicPr>
                  </pic:nvPicPr>
                  <pic:blipFill>
                    <a:blip r:embed="rId302" cstate="email"/>
                    <a:srcRect/>
                    <a:stretch>
                      <a:fillRect/>
                    </a:stretch>
                  </pic:blipFill>
                  <pic:spPr>
                    <a:xfrm>
                      <a:off x="0" y="0"/>
                      <a:ext cx="2918063" cy="2214296"/>
                    </a:xfrm>
                    <a:prstGeom prst="rect">
                      <a:avLst/>
                    </a:prstGeom>
                    <a:noFill/>
                    <a:ln w="9525">
                      <a:noFill/>
                      <a:miter lim="800000"/>
                      <a:headEnd/>
                      <a:tailEnd/>
                    </a:ln>
                  </pic:spPr>
                </pic:pic>
              </a:graphicData>
            </a:graphic>
          </wp:inline>
        </w:drawing>
      </w:r>
    </w:p>
    <w:p>
      <w:pPr>
        <w:pStyle w:val="117"/>
        <w:ind w:left="420" w:firstLine="422"/>
        <w:jc w:val="center"/>
        <w:rPr>
          <w:rFonts w:ascii="Times New Roman" w:hAnsi="Times New Roman"/>
          <w:b/>
          <w:sz w:val="21"/>
          <w:szCs w:val="21"/>
        </w:rPr>
      </w:pPr>
      <w:r>
        <w:rPr>
          <w:rFonts w:ascii="Times New Roman" w:hAnsi="Times New Roman"/>
          <w:b/>
          <w:sz w:val="21"/>
          <w:szCs w:val="21"/>
        </w:rPr>
        <w:t>生态树池</w:t>
      </w:r>
    </w:p>
    <w:p>
      <w:pPr>
        <w:numPr>
          <w:ilvl w:val="0"/>
          <w:numId w:val="50"/>
        </w:numPr>
        <w:tabs>
          <w:tab w:val="left" w:pos="284"/>
        </w:tabs>
        <w:spacing w:line="288" w:lineRule="auto"/>
        <w:ind w:left="0" w:firstLine="480" w:firstLineChars="200"/>
        <w:rPr>
          <w:rFonts w:ascii="Times New Roman" w:hAnsi="Times New Roman"/>
          <w:b w:val="0"/>
          <w:color w:val="auto"/>
          <w:sz w:val="24"/>
          <w:szCs w:val="24"/>
        </w:rPr>
      </w:pPr>
      <w:r>
        <w:rPr>
          <w:rFonts w:ascii="Times New Roman" w:hAnsi="Times New Roman"/>
          <w:b w:val="0"/>
          <w:color w:val="auto"/>
          <w:sz w:val="24"/>
          <w:szCs w:val="24"/>
        </w:rPr>
        <w:t>生态植草沟</w:t>
      </w:r>
    </w:p>
    <w:p>
      <w:pPr>
        <w:spacing w:line="288"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生态植草沟是用来收集、输送和净化雨水的表面覆盖植被的明渠，可用于衔接其他海绵城市单项设施、城市雨水管渠和超标雨水径流排放系统。主要型式有转输型植草沟、渗透型干式植草沟和经常有水的湿式植草沟。</w:t>
      </w:r>
    </w:p>
    <w:p>
      <w:pPr>
        <w:spacing w:line="288"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生态植草沟的构造比较简单，为横切面呈三角形或梯形的带状下凹绿地，主要是利用天然的地形分布截流和输送雨水，适用于道路两侧绿化隔离带等狭长地带。</w:t>
      </w:r>
    </w:p>
    <w:p>
      <w:pPr>
        <w:spacing w:line="360" w:lineRule="auto"/>
        <w:ind w:firstLine="480" w:firstLineChars="200"/>
        <w:jc w:val="center"/>
        <w:rPr>
          <w:rFonts w:ascii="Times New Roman" w:hAnsi="Times New Roman"/>
          <w:b w:val="0"/>
          <w:color w:val="auto"/>
          <w:sz w:val="24"/>
          <w:szCs w:val="24"/>
        </w:rPr>
      </w:pPr>
      <w:r>
        <w:rPr>
          <w:rFonts w:ascii="Times New Roman" w:hAnsi="Times New Roman"/>
          <w:b w:val="0"/>
          <w:color w:val="auto"/>
          <w:sz w:val="24"/>
          <w:szCs w:val="24"/>
        </w:rPr>
        <w:drawing>
          <wp:inline distT="0" distB="0" distL="0" distR="0">
            <wp:extent cx="2606040" cy="2496820"/>
            <wp:effectExtent l="0" t="0" r="3810" b="17780"/>
            <wp:docPr id="217"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148"/>
                    <pic:cNvPicPr>
                      <a:picLocks noChangeAspect="1" noChangeArrowheads="1"/>
                    </pic:cNvPicPr>
                  </pic:nvPicPr>
                  <pic:blipFill>
                    <a:blip r:embed="rId303" cstate="email"/>
                    <a:srcRect/>
                    <a:stretch>
                      <a:fillRect/>
                    </a:stretch>
                  </pic:blipFill>
                  <pic:spPr>
                    <a:xfrm>
                      <a:off x="0" y="0"/>
                      <a:ext cx="2618300" cy="2508953"/>
                    </a:xfrm>
                    <a:prstGeom prst="rect">
                      <a:avLst/>
                    </a:prstGeom>
                    <a:noFill/>
                    <a:ln w="9525">
                      <a:noFill/>
                      <a:miter lim="800000"/>
                      <a:headEnd/>
                      <a:tailEnd/>
                    </a:ln>
                  </pic:spPr>
                </pic:pic>
              </a:graphicData>
            </a:graphic>
          </wp:inline>
        </w:drawing>
      </w:r>
      <w:r>
        <w:rPr>
          <w:rFonts w:ascii="Times New Roman" w:hAnsi="Times New Roman"/>
          <w:b w:val="0"/>
          <w:color w:val="auto"/>
          <w:sz w:val="24"/>
          <w:szCs w:val="24"/>
        </w:rPr>
        <w:drawing>
          <wp:inline distT="0" distB="0" distL="0" distR="0">
            <wp:extent cx="2529840" cy="2486660"/>
            <wp:effectExtent l="0" t="0" r="3810" b="8890"/>
            <wp:docPr id="218"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149"/>
                    <pic:cNvPicPr>
                      <a:picLocks noChangeAspect="1" noChangeArrowheads="1"/>
                    </pic:cNvPicPr>
                  </pic:nvPicPr>
                  <pic:blipFill>
                    <a:blip r:embed="rId304" cstate="email"/>
                    <a:srcRect/>
                    <a:stretch>
                      <a:fillRect/>
                    </a:stretch>
                  </pic:blipFill>
                  <pic:spPr>
                    <a:xfrm>
                      <a:off x="0" y="0"/>
                      <a:ext cx="2535571" cy="2492807"/>
                    </a:xfrm>
                    <a:prstGeom prst="rect">
                      <a:avLst/>
                    </a:prstGeom>
                    <a:noFill/>
                    <a:ln w="9525">
                      <a:noFill/>
                      <a:miter lim="800000"/>
                      <a:headEnd/>
                      <a:tailEnd/>
                    </a:ln>
                  </pic:spPr>
                </pic:pic>
              </a:graphicData>
            </a:graphic>
          </wp:inline>
        </w:drawing>
      </w:r>
    </w:p>
    <w:p>
      <w:pPr>
        <w:pStyle w:val="117"/>
        <w:ind w:firstLine="422"/>
        <w:jc w:val="center"/>
        <w:rPr>
          <w:rFonts w:ascii="Times New Roman" w:hAnsi="Times New Roman"/>
          <w:b/>
          <w:sz w:val="21"/>
          <w:szCs w:val="21"/>
        </w:rPr>
      </w:pPr>
      <w:r>
        <w:rPr>
          <w:rFonts w:ascii="Times New Roman" w:hAnsi="Times New Roman"/>
          <w:b/>
          <w:sz w:val="21"/>
          <w:szCs w:val="21"/>
        </w:rPr>
        <w:t>生态植草沟</w:t>
      </w:r>
    </w:p>
    <w:p>
      <w:pPr>
        <w:numPr>
          <w:ilvl w:val="0"/>
          <w:numId w:val="50"/>
        </w:numPr>
        <w:tabs>
          <w:tab w:val="left" w:pos="284"/>
        </w:tabs>
        <w:spacing w:line="300" w:lineRule="auto"/>
        <w:ind w:left="0" w:firstLine="480" w:firstLineChars="200"/>
        <w:rPr>
          <w:rFonts w:ascii="Times New Roman" w:hAnsi="Times New Roman"/>
          <w:b w:val="0"/>
          <w:color w:val="auto"/>
          <w:sz w:val="24"/>
          <w:szCs w:val="24"/>
        </w:rPr>
      </w:pPr>
      <w:r>
        <w:rPr>
          <w:rFonts w:ascii="Times New Roman" w:hAnsi="Times New Roman"/>
          <w:b w:val="0"/>
          <w:color w:val="auto"/>
          <w:sz w:val="24"/>
          <w:szCs w:val="24"/>
        </w:rPr>
        <w:t>渗井</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渗井指通过井壁和井底进行雨水下渗的设施，为增大渗透效果，可在渗井周围设置水平渗排管，并在渗排管周围铺设砾（碎）石。</w:t>
      </w:r>
    </w:p>
    <w:p>
      <w:pPr>
        <w:spacing w:line="36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drawing>
          <wp:anchor distT="0" distB="0" distL="114300" distR="114300" simplePos="0" relativeHeight="251665408" behindDoc="0" locked="0" layoutInCell="1" allowOverlap="1">
            <wp:simplePos x="0" y="0"/>
            <wp:positionH relativeFrom="column">
              <wp:posOffset>4881245</wp:posOffset>
            </wp:positionH>
            <wp:positionV relativeFrom="paragraph">
              <wp:posOffset>158115</wp:posOffset>
            </wp:positionV>
            <wp:extent cx="1638300" cy="1999615"/>
            <wp:effectExtent l="0" t="0" r="0" b="635"/>
            <wp:wrapNone/>
            <wp:docPr id="219"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151"/>
                    <pic:cNvPicPr>
                      <a:picLocks noChangeAspect="1" noChangeArrowheads="1"/>
                    </pic:cNvPicPr>
                  </pic:nvPicPr>
                  <pic:blipFill>
                    <a:blip r:embed="rId305" cstate="email"/>
                    <a:srcRect/>
                    <a:stretch>
                      <a:fillRect/>
                    </a:stretch>
                  </pic:blipFill>
                  <pic:spPr>
                    <a:xfrm>
                      <a:off x="0" y="0"/>
                      <a:ext cx="1638300" cy="1999624"/>
                    </a:xfrm>
                    <a:prstGeom prst="rect">
                      <a:avLst/>
                    </a:prstGeom>
                    <a:noFill/>
                    <a:ln w="9525">
                      <a:noFill/>
                      <a:miter lim="800000"/>
                      <a:headEnd/>
                      <a:tailEnd/>
                    </a:ln>
                  </pic:spPr>
                </pic:pic>
              </a:graphicData>
            </a:graphic>
          </wp:anchor>
        </w:drawing>
      </w:r>
      <w:r>
        <w:rPr>
          <w:rFonts w:ascii="Times New Roman" w:hAnsi="Times New Roman"/>
          <w:b w:val="0"/>
          <w:color w:val="auto"/>
          <w:sz w:val="24"/>
          <w:szCs w:val="24"/>
        </w:rPr>
        <w:drawing>
          <wp:inline distT="0" distB="0" distL="0" distR="0">
            <wp:extent cx="5053965" cy="2143760"/>
            <wp:effectExtent l="0" t="0" r="13335" b="8890"/>
            <wp:docPr id="22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150"/>
                    <pic:cNvPicPr>
                      <a:picLocks noChangeAspect="1" noChangeArrowheads="1"/>
                    </pic:cNvPicPr>
                  </pic:nvPicPr>
                  <pic:blipFill>
                    <a:blip r:embed="rId306" cstate="email"/>
                    <a:srcRect/>
                    <a:stretch>
                      <a:fillRect/>
                    </a:stretch>
                  </pic:blipFill>
                  <pic:spPr>
                    <a:xfrm>
                      <a:off x="0" y="0"/>
                      <a:ext cx="5079262" cy="2154360"/>
                    </a:xfrm>
                    <a:prstGeom prst="rect">
                      <a:avLst/>
                    </a:prstGeom>
                    <a:noFill/>
                    <a:ln>
                      <a:noFill/>
                    </a:ln>
                  </pic:spPr>
                </pic:pic>
              </a:graphicData>
            </a:graphic>
          </wp:inline>
        </w:drawing>
      </w:r>
    </w:p>
    <w:p>
      <w:pPr>
        <w:pStyle w:val="117"/>
        <w:ind w:firstLine="422"/>
        <w:jc w:val="center"/>
        <w:rPr>
          <w:rFonts w:ascii="Times New Roman" w:hAnsi="Times New Roman"/>
          <w:b/>
          <w:sz w:val="21"/>
          <w:szCs w:val="21"/>
        </w:rPr>
      </w:pPr>
      <w:r>
        <w:rPr>
          <w:rFonts w:ascii="Times New Roman" w:hAnsi="Times New Roman"/>
          <w:b/>
          <w:sz w:val="21"/>
          <w:szCs w:val="21"/>
        </w:rPr>
        <w:t>渗井</w:t>
      </w:r>
    </w:p>
    <w:p>
      <w:pPr>
        <w:numPr>
          <w:ilvl w:val="0"/>
          <w:numId w:val="50"/>
        </w:numPr>
        <w:tabs>
          <w:tab w:val="left" w:pos="284"/>
        </w:tabs>
        <w:spacing w:line="300" w:lineRule="auto"/>
        <w:ind w:left="0" w:firstLine="480" w:firstLineChars="200"/>
        <w:rPr>
          <w:rFonts w:ascii="Times New Roman" w:hAnsi="Times New Roman"/>
          <w:b w:val="0"/>
          <w:color w:val="auto"/>
          <w:sz w:val="24"/>
          <w:szCs w:val="24"/>
        </w:rPr>
      </w:pPr>
      <w:r>
        <w:rPr>
          <w:rFonts w:ascii="Times New Roman" w:hAnsi="Times New Roman"/>
          <w:b w:val="0"/>
          <w:color w:val="auto"/>
          <w:sz w:val="24"/>
          <w:szCs w:val="24"/>
        </w:rPr>
        <w:t>溢流雨水口</w:t>
      </w:r>
    </w:p>
    <w:p>
      <w:pPr>
        <w:spacing w:line="360" w:lineRule="auto"/>
        <w:ind w:firstLine="480" w:firstLineChars="200"/>
        <w:jc w:val="center"/>
        <w:rPr>
          <w:rFonts w:ascii="Times New Roman" w:hAnsi="Times New Roman"/>
          <w:b w:val="0"/>
          <w:color w:val="auto"/>
          <w:sz w:val="24"/>
          <w:szCs w:val="24"/>
        </w:rPr>
      </w:pPr>
      <w:r>
        <w:rPr>
          <w:rFonts w:ascii="Times New Roman" w:hAnsi="Times New Roman"/>
          <w:b w:val="0"/>
          <w:color w:val="auto"/>
          <w:sz w:val="24"/>
          <w:szCs w:val="24"/>
        </w:rPr>
        <w:drawing>
          <wp:inline distT="0" distB="0" distL="0" distR="0">
            <wp:extent cx="2166620" cy="1619885"/>
            <wp:effectExtent l="0" t="0" r="5080" b="18415"/>
            <wp:docPr id="221"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152"/>
                    <pic:cNvPicPr>
                      <a:picLocks noChangeAspect="1" noChangeArrowheads="1"/>
                    </pic:cNvPicPr>
                  </pic:nvPicPr>
                  <pic:blipFill>
                    <a:blip r:embed="rId307" cstate="email"/>
                    <a:srcRect/>
                    <a:stretch>
                      <a:fillRect/>
                    </a:stretch>
                  </pic:blipFill>
                  <pic:spPr>
                    <a:xfrm>
                      <a:off x="0" y="0"/>
                      <a:ext cx="2166620" cy="1619885"/>
                    </a:xfrm>
                    <a:prstGeom prst="rect">
                      <a:avLst/>
                    </a:prstGeom>
                    <a:noFill/>
                    <a:ln w="9525">
                      <a:noFill/>
                      <a:miter lim="800000"/>
                      <a:headEnd/>
                      <a:tailEnd/>
                    </a:ln>
                  </pic:spPr>
                </pic:pic>
              </a:graphicData>
            </a:graphic>
          </wp:inline>
        </w:drawing>
      </w:r>
      <w:r>
        <w:rPr>
          <w:rFonts w:ascii="Times New Roman" w:hAnsi="Times New Roman"/>
          <w:b w:val="0"/>
          <w:color w:val="auto"/>
          <w:sz w:val="24"/>
          <w:szCs w:val="24"/>
        </w:rPr>
        <w:drawing>
          <wp:inline distT="0" distB="0" distL="0" distR="0">
            <wp:extent cx="2355850" cy="1619885"/>
            <wp:effectExtent l="0" t="0" r="6350" b="18415"/>
            <wp:docPr id="222"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153"/>
                    <pic:cNvPicPr>
                      <a:picLocks noChangeAspect="1" noChangeArrowheads="1"/>
                    </pic:cNvPicPr>
                  </pic:nvPicPr>
                  <pic:blipFill>
                    <a:blip r:embed="rId308" cstate="email"/>
                    <a:srcRect/>
                    <a:stretch>
                      <a:fillRect/>
                    </a:stretch>
                  </pic:blipFill>
                  <pic:spPr>
                    <a:xfrm>
                      <a:off x="0" y="0"/>
                      <a:ext cx="2355850" cy="1619885"/>
                    </a:xfrm>
                    <a:prstGeom prst="rect">
                      <a:avLst/>
                    </a:prstGeom>
                    <a:noFill/>
                    <a:ln w="9525">
                      <a:noFill/>
                      <a:miter lim="800000"/>
                      <a:headEnd/>
                      <a:tailEnd/>
                    </a:ln>
                  </pic:spPr>
                </pic:pic>
              </a:graphicData>
            </a:graphic>
          </wp:inline>
        </w:drawing>
      </w:r>
    </w:p>
    <w:p>
      <w:pPr>
        <w:pStyle w:val="117"/>
        <w:ind w:firstLine="422"/>
        <w:jc w:val="center"/>
        <w:rPr>
          <w:rFonts w:ascii="Times New Roman" w:hAnsi="Times New Roman"/>
          <w:b/>
          <w:sz w:val="21"/>
          <w:szCs w:val="21"/>
        </w:rPr>
      </w:pPr>
      <w:r>
        <w:rPr>
          <w:rFonts w:ascii="Times New Roman" w:hAnsi="Times New Roman"/>
          <w:b/>
          <w:sz w:val="21"/>
          <w:szCs w:val="21"/>
        </w:rPr>
        <w:t>溢流式雨水口</w:t>
      </w:r>
    </w:p>
    <w:p>
      <w:pPr>
        <w:tabs>
          <w:tab w:val="left" w:pos="284"/>
        </w:tabs>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溢流雨水口以收集功能为主，一般设置在下沉式绿地或生物滞留设施内。</w:t>
      </w:r>
    </w:p>
    <w:p>
      <w:pPr>
        <w:numPr>
          <w:ilvl w:val="0"/>
          <w:numId w:val="50"/>
        </w:numPr>
        <w:tabs>
          <w:tab w:val="left" w:pos="284"/>
        </w:tabs>
        <w:spacing w:line="300" w:lineRule="auto"/>
        <w:ind w:left="0" w:firstLine="480" w:firstLineChars="200"/>
        <w:rPr>
          <w:rFonts w:ascii="Times New Roman" w:hAnsi="Times New Roman"/>
          <w:b w:val="0"/>
          <w:color w:val="auto"/>
          <w:sz w:val="24"/>
          <w:szCs w:val="24"/>
        </w:rPr>
      </w:pPr>
      <w:r>
        <w:rPr>
          <w:rFonts w:ascii="Times New Roman" w:hAnsi="Times New Roman"/>
          <w:b w:val="0"/>
          <w:color w:val="auto"/>
          <w:sz w:val="24"/>
          <w:szCs w:val="24"/>
        </w:rPr>
        <w:t>环保型雨水口</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复合过滤式树脂混凝土环保雨水口是一种用于处理面源污染的海绵设施，在小雨时能净化初期雨水，大雨时不影响雨水顺畅排放。其中截污挂篮大于雨水篦子排水能力，有防止垃圾进入排水管设计；专用滤料对雨水中SS去除率大于70%。</w:t>
      </w:r>
    </w:p>
    <w:p>
      <w:pPr>
        <w:spacing w:line="360" w:lineRule="auto"/>
        <w:ind w:firstLine="562" w:firstLineChars="200"/>
        <w:jc w:val="center"/>
        <w:rPr>
          <w:rFonts w:ascii="Times New Roman" w:hAnsi="Times New Roman"/>
          <w:b w:val="0"/>
          <w:color w:val="auto"/>
          <w:sz w:val="24"/>
          <w:szCs w:val="24"/>
        </w:rPr>
      </w:pPr>
      <w:r>
        <w:rPr>
          <w:rFonts w:ascii="Times New Roman" w:hAnsi="Times New Roman"/>
          <w:color w:val="auto"/>
        </w:rPr>
        <w:drawing>
          <wp:inline distT="0" distB="0" distL="0" distR="0">
            <wp:extent cx="6201410" cy="2456815"/>
            <wp:effectExtent l="0" t="0" r="8890" b="635"/>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pic:cNvPicPr>
                      <a:picLocks noChangeAspect="1"/>
                    </pic:cNvPicPr>
                  </pic:nvPicPr>
                  <pic:blipFill>
                    <a:blip r:embed="rId309"/>
                    <a:stretch>
                      <a:fillRect/>
                    </a:stretch>
                  </pic:blipFill>
                  <pic:spPr>
                    <a:xfrm>
                      <a:off x="0" y="0"/>
                      <a:ext cx="6201410" cy="2456815"/>
                    </a:xfrm>
                    <a:prstGeom prst="rect">
                      <a:avLst/>
                    </a:prstGeom>
                  </pic:spPr>
                </pic:pic>
              </a:graphicData>
            </a:graphic>
          </wp:inline>
        </w:drawing>
      </w:r>
    </w:p>
    <w:p>
      <w:pPr>
        <w:pStyle w:val="117"/>
        <w:ind w:firstLine="422"/>
        <w:jc w:val="center"/>
        <w:rPr>
          <w:rFonts w:ascii="Times New Roman" w:hAnsi="Times New Roman"/>
          <w:b/>
          <w:sz w:val="21"/>
          <w:szCs w:val="21"/>
        </w:rPr>
      </w:pPr>
      <w:r>
        <w:rPr>
          <w:rFonts w:ascii="Times New Roman" w:hAnsi="Times New Roman"/>
          <w:b/>
          <w:sz w:val="21"/>
          <w:szCs w:val="21"/>
        </w:rPr>
        <w:t>环保型雨水口装置</w:t>
      </w:r>
    </w:p>
    <w:p>
      <w:pPr>
        <w:pStyle w:val="3"/>
        <w:ind w:firstLine="562" w:firstLineChars="200"/>
      </w:pPr>
      <w:bookmarkStart w:id="490" w:name="_Toc1730"/>
      <w:bookmarkStart w:id="491" w:name="_Toc4365"/>
      <w:r>
        <w:t>本道路低影响开发设施设计</w:t>
      </w:r>
      <w:bookmarkEnd w:id="490"/>
      <w:bookmarkEnd w:id="491"/>
    </w:p>
    <w:p>
      <w:pPr>
        <w:pStyle w:val="13"/>
        <w:numPr>
          <w:ilvl w:val="0"/>
          <w:numId w:val="51"/>
        </w:numPr>
        <w:tabs>
          <w:tab w:val="left" w:pos="284"/>
        </w:tabs>
        <w:spacing w:after="0" w:line="360" w:lineRule="auto"/>
        <w:ind w:leftChars="0" w:firstLine="480" w:firstLineChars="200"/>
        <w:rPr>
          <w:rFonts w:ascii="Times New Roman" w:hAnsi="Times New Roman"/>
          <w:b w:val="0"/>
          <w:bCs/>
          <w:color w:val="000000"/>
          <w:sz w:val="24"/>
          <w:szCs w:val="24"/>
        </w:rPr>
      </w:pPr>
      <w:bookmarkStart w:id="492" w:name="_Toc13641"/>
      <w:r>
        <w:rPr>
          <w:rFonts w:ascii="Times New Roman" w:hAnsi="Times New Roman"/>
          <w:b w:val="0"/>
          <w:bCs/>
          <w:color w:val="000000"/>
          <w:sz w:val="24"/>
          <w:szCs w:val="24"/>
        </w:rPr>
        <w:t>透水铺装（本工程采用，纳入道路工程）</w:t>
      </w:r>
    </w:p>
    <w:p>
      <w:pPr>
        <w:spacing w:line="360" w:lineRule="auto"/>
        <w:ind w:firstLine="480" w:firstLineChars="200"/>
        <w:rPr>
          <w:rFonts w:ascii="Times New Roman" w:hAnsi="Times New Roman"/>
          <w:b w:val="0"/>
          <w:bCs/>
          <w:color w:val="000000"/>
          <w:sz w:val="24"/>
          <w:szCs w:val="24"/>
        </w:rPr>
      </w:pPr>
      <w:r>
        <w:rPr>
          <w:rFonts w:ascii="Times New Roman" w:hAnsi="Times New Roman"/>
          <w:b w:val="0"/>
          <w:bCs/>
          <w:color w:val="000000"/>
          <w:sz w:val="24"/>
          <w:szCs w:val="24"/>
        </w:rPr>
        <w:t>工程范围内道路两侧的非机动车道和人行道均采用透水铺装，以降低道路范围内综合径流系数，减缓雨量峰值形成时间；雨水经过渗透及漫流入道路两侧的下沉式绿化带，通过下渗及溢流口溢流排入雨水管网。</w:t>
      </w:r>
    </w:p>
    <w:p>
      <w:pPr>
        <w:spacing w:line="360" w:lineRule="auto"/>
        <w:ind w:firstLine="480" w:firstLineChars="200"/>
        <w:rPr>
          <w:rFonts w:ascii="Times New Roman" w:hAnsi="Times New Roman"/>
          <w:b w:val="0"/>
          <w:bCs/>
          <w:color w:val="000000"/>
          <w:sz w:val="24"/>
          <w:szCs w:val="24"/>
        </w:rPr>
      </w:pPr>
      <w:r>
        <w:rPr>
          <w:rFonts w:ascii="Times New Roman" w:hAnsi="Times New Roman"/>
          <w:b w:val="0"/>
          <w:bCs/>
          <w:color w:val="000000"/>
          <w:sz w:val="24"/>
          <w:szCs w:val="24"/>
        </w:rPr>
        <w:t>透水铺装路面结构便于施工，利于养护并减少对周边环境及生态的影响，结构首先应符合《透水砖路面技术规程》（CJJ/T188）、《透水沥青路面技术规程》（CJJ/T190）和《透水水泥混凝土路面技术规程》（CJJ/T135）的规定；透水铺装路面结构详见PS12-03-03。</w:t>
      </w:r>
    </w:p>
    <w:p>
      <w:pPr>
        <w:pStyle w:val="13"/>
        <w:numPr>
          <w:ilvl w:val="0"/>
          <w:numId w:val="51"/>
        </w:numPr>
        <w:tabs>
          <w:tab w:val="left" w:pos="284"/>
        </w:tabs>
        <w:spacing w:after="0" w:line="360" w:lineRule="auto"/>
        <w:ind w:leftChars="0" w:firstLine="480" w:firstLineChars="200"/>
        <w:rPr>
          <w:rFonts w:ascii="Times New Roman" w:hAnsi="Times New Roman"/>
          <w:b w:val="0"/>
          <w:bCs/>
          <w:color w:val="000000"/>
          <w:sz w:val="24"/>
          <w:szCs w:val="24"/>
        </w:rPr>
      </w:pPr>
      <w:r>
        <w:rPr>
          <w:rFonts w:ascii="Times New Roman" w:hAnsi="Times New Roman"/>
          <w:b w:val="0"/>
          <w:bCs/>
          <w:color w:val="000000"/>
          <w:sz w:val="24"/>
          <w:szCs w:val="24"/>
        </w:rPr>
        <w:t>下沉式绿化带和溢流式雨水口</w:t>
      </w:r>
    </w:p>
    <w:p>
      <w:pPr>
        <w:spacing w:line="360" w:lineRule="auto"/>
        <w:ind w:firstLine="480" w:firstLineChars="200"/>
        <w:rPr>
          <w:rFonts w:ascii="Times New Roman" w:hAnsi="Times New Roman"/>
          <w:b w:val="0"/>
          <w:bCs/>
          <w:color w:val="000000"/>
          <w:sz w:val="24"/>
          <w:szCs w:val="24"/>
        </w:rPr>
      </w:pPr>
      <w:r>
        <w:rPr>
          <w:rFonts w:ascii="Times New Roman" w:hAnsi="Times New Roman"/>
          <w:b w:val="0"/>
          <w:bCs/>
          <w:color w:val="000000"/>
          <w:sz w:val="24"/>
          <w:szCs w:val="24"/>
        </w:rPr>
        <w:t>道路红线外退缩带绿地（宽度≥2.0m）设置下沉式绿化带，用于汇聚并吸收来自人行道、非机动车道和周边地块的雨水，通过植物、沙土的综合作用使雨水得到净化，并使之逐渐渗入土壤，涵养地下水。</w:t>
      </w:r>
    </w:p>
    <w:p>
      <w:pPr>
        <w:spacing w:line="360" w:lineRule="auto"/>
        <w:ind w:firstLine="480" w:firstLineChars="200"/>
        <w:jc w:val="left"/>
        <w:rPr>
          <w:rFonts w:ascii="Times New Roman" w:hAnsi="Times New Roman"/>
          <w:b w:val="0"/>
          <w:bCs/>
          <w:color w:val="000000"/>
          <w:sz w:val="24"/>
          <w:szCs w:val="24"/>
        </w:rPr>
      </w:pPr>
      <w:r>
        <w:rPr>
          <w:rFonts w:ascii="Times New Roman" w:hAnsi="Times New Roman"/>
          <w:b w:val="0"/>
          <w:bCs/>
          <w:color w:val="000000"/>
          <w:sz w:val="24"/>
          <w:szCs w:val="24"/>
        </w:rPr>
        <w:t>下沉式绿化带的下沉深度应根据植物耐淹性能和土壤渗透性能确定，建议绿地下沉200mm，下沉式绿化带内每隔25~30m设置溢流式雨水口，保证暴雨时径流的溢流排放，溢流口顶部标高应高于绿地200mm。</w:t>
      </w:r>
    </w:p>
    <w:p>
      <w:pPr>
        <w:spacing w:line="360" w:lineRule="auto"/>
        <w:ind w:firstLine="480" w:firstLineChars="200"/>
        <w:rPr>
          <w:rFonts w:ascii="Times New Roman" w:hAnsi="Times New Roman"/>
          <w:b w:val="0"/>
          <w:bCs/>
          <w:color w:val="000000"/>
          <w:sz w:val="24"/>
          <w:szCs w:val="24"/>
        </w:rPr>
      </w:pPr>
      <w:r>
        <w:rPr>
          <w:rFonts w:ascii="Times New Roman" w:hAnsi="Times New Roman"/>
          <w:b w:val="0"/>
          <w:bCs/>
          <w:color w:val="000000"/>
          <w:sz w:val="24"/>
          <w:szCs w:val="24"/>
        </w:rPr>
        <w:t>设置下沉式绿化带后，人行道、非机动车道以及周边地块的雨水，将不再进入车行道，有效防止了暴雨时车行道水浸以及城市洪涝。</w:t>
      </w:r>
    </w:p>
    <w:p>
      <w:pPr>
        <w:pStyle w:val="3"/>
        <w:ind w:firstLine="562" w:firstLineChars="200"/>
      </w:pPr>
      <w:bookmarkStart w:id="493" w:name="_Toc4465"/>
      <w:r>
        <w:t>海绵城市设计指标复核</w:t>
      </w:r>
      <w:bookmarkEnd w:id="493"/>
    </w:p>
    <w:p>
      <w:pPr>
        <w:numPr>
          <w:ilvl w:val="0"/>
          <w:numId w:val="52"/>
        </w:numPr>
        <w:tabs>
          <w:tab w:val="left" w:pos="360"/>
        </w:tabs>
        <w:autoSpaceDE w:val="0"/>
        <w:autoSpaceDN w:val="0"/>
        <w:adjustRightInd w:val="0"/>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计算公式</w:t>
      </w:r>
    </w:p>
    <w:p>
      <w:pPr>
        <w:pStyle w:val="13"/>
        <w:numPr>
          <w:ilvl w:val="0"/>
          <w:numId w:val="53"/>
        </w:numPr>
        <w:tabs>
          <w:tab w:val="left" w:pos="284"/>
        </w:tabs>
        <w:spacing w:after="0" w:line="360" w:lineRule="auto"/>
        <w:ind w:left="-142" w:leftChars="0" w:firstLine="480" w:firstLineChars="200"/>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目标控制年径流总量控制率调蓄容积</w:t>
      </w:r>
    </w:p>
    <w:p>
      <w:pPr>
        <w:tabs>
          <w:tab w:val="left" w:pos="360"/>
        </w:tabs>
        <w:autoSpaceDE w:val="0"/>
        <w:autoSpaceDN w:val="0"/>
        <w:adjustRightInd w:val="0"/>
        <w:spacing w:line="360" w:lineRule="auto"/>
        <w:ind w:left="420"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海绵设施以径流总量为控制目标进行设计时，需控制的调蓄容量一般采用容积法进行计算，公式如下：</w:t>
      </w:r>
    </w:p>
    <w:p>
      <w:pPr>
        <w:spacing w:line="360" w:lineRule="auto"/>
        <w:ind w:firstLine="480" w:firstLineChars="200"/>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V=10×H×Φ×F（6.1.1）</w:t>
      </w:r>
    </w:p>
    <w:p>
      <w:pPr>
        <w:spacing w:line="360" w:lineRule="auto"/>
        <w:ind w:firstLine="480" w:firstLineChars="200"/>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式中：V——需控制的调蓄容积，m</w:t>
      </w:r>
      <w:r>
        <w:rPr>
          <w:rFonts w:ascii="Times New Roman" w:hAnsi="Times New Roman" w:eastAsiaTheme="minorEastAsia"/>
          <w:b w:val="0"/>
          <w:color w:val="000000"/>
          <w:sz w:val="24"/>
          <w:szCs w:val="24"/>
          <w:vertAlign w:val="superscript"/>
        </w:rPr>
        <w:t>3</w:t>
      </w:r>
      <w:r>
        <w:rPr>
          <w:rFonts w:ascii="Times New Roman" w:hAnsi="Times New Roman" w:eastAsiaTheme="minorEastAsia"/>
          <w:b w:val="0"/>
          <w:color w:val="000000"/>
          <w:sz w:val="24"/>
          <w:szCs w:val="24"/>
        </w:rPr>
        <w:t>；</w:t>
      </w:r>
    </w:p>
    <w:p>
      <w:pPr>
        <w:spacing w:line="360" w:lineRule="auto"/>
        <w:ind w:firstLine="480" w:firstLineChars="200"/>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H——设计降雨量，mm；</w:t>
      </w:r>
    </w:p>
    <w:p>
      <w:pPr>
        <w:spacing w:line="360" w:lineRule="auto"/>
        <w:ind w:firstLine="480" w:firstLineChars="200"/>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φ——综合雨量径流系数；</w:t>
      </w:r>
    </w:p>
    <w:p>
      <w:pPr>
        <w:spacing w:line="360" w:lineRule="auto"/>
        <w:ind w:firstLine="480" w:firstLineChars="200"/>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F——汇水面积，ha。</w:t>
      </w:r>
    </w:p>
    <w:p>
      <w:pPr>
        <w:pStyle w:val="13"/>
        <w:numPr>
          <w:ilvl w:val="0"/>
          <w:numId w:val="53"/>
        </w:numPr>
        <w:tabs>
          <w:tab w:val="left" w:pos="284"/>
        </w:tabs>
        <w:spacing w:after="0" w:line="360" w:lineRule="auto"/>
        <w:ind w:left="-142" w:leftChars="0" w:firstLine="480" w:firstLineChars="200"/>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海绵城市设施实际调蓄容积</w:t>
      </w:r>
    </w:p>
    <w:p>
      <w:pPr>
        <w:autoSpaceDE w:val="0"/>
        <w:autoSpaceDN w:val="0"/>
        <w:adjustRightInd w:val="0"/>
        <w:spacing w:line="480" w:lineRule="exact"/>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若设置下沉式绿地，下沉式绿地设施控制年径流总量应大于目标控制年径流总量，才能达到控制目标。海绵城市（下沉式绿化带）设施控的调蓄容积采用以下公式进行计算：</w:t>
      </w:r>
    </w:p>
    <w:p>
      <w:pPr>
        <w:autoSpaceDE w:val="0"/>
        <w:autoSpaceDN w:val="0"/>
        <w:adjustRightInd w:val="0"/>
        <w:spacing w:line="480" w:lineRule="exact"/>
        <w:ind w:firstLine="480" w:firstLineChars="200"/>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V</w:t>
      </w:r>
      <w:r>
        <w:rPr>
          <w:rFonts w:ascii="Times New Roman" w:hAnsi="Times New Roman" w:eastAsiaTheme="minorEastAsia"/>
          <w:b w:val="0"/>
          <w:color w:val="000000"/>
          <w:sz w:val="24"/>
          <w:szCs w:val="24"/>
          <w:vertAlign w:val="subscript"/>
        </w:rPr>
        <w:t>T</w:t>
      </w:r>
      <w:r>
        <w:rPr>
          <w:rFonts w:ascii="Times New Roman" w:hAnsi="Times New Roman" w:eastAsiaTheme="minorEastAsia"/>
          <w:b w:val="0"/>
          <w:color w:val="000000"/>
          <w:sz w:val="24"/>
          <w:szCs w:val="24"/>
        </w:rPr>
        <w:t>=A×h</w:t>
      </w:r>
      <w:r>
        <w:rPr>
          <w:rFonts w:ascii="Times New Roman" w:hAnsi="Times New Roman" w:eastAsiaTheme="minorEastAsia"/>
          <w:b w:val="0"/>
          <w:color w:val="000000"/>
          <w:sz w:val="24"/>
          <w:szCs w:val="24"/>
          <w:vertAlign w:val="subscript"/>
        </w:rPr>
        <w:t>1</w:t>
      </w:r>
      <w:r>
        <w:rPr>
          <w:rFonts w:ascii="Times New Roman" w:hAnsi="Times New Roman" w:eastAsiaTheme="minorEastAsia"/>
          <w:b w:val="0"/>
          <w:color w:val="000000"/>
          <w:sz w:val="24"/>
          <w:szCs w:val="24"/>
        </w:rPr>
        <w:t>（6.1.2）</w:t>
      </w:r>
    </w:p>
    <w:p>
      <w:pPr>
        <w:autoSpaceDE w:val="0"/>
        <w:autoSpaceDN w:val="0"/>
        <w:adjustRightInd w:val="0"/>
        <w:spacing w:line="480" w:lineRule="exact"/>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式中：V</w:t>
      </w:r>
      <w:r>
        <w:rPr>
          <w:rFonts w:ascii="Times New Roman" w:hAnsi="Times New Roman" w:eastAsiaTheme="minorEastAsia"/>
          <w:b w:val="0"/>
          <w:color w:val="000000"/>
          <w:sz w:val="24"/>
          <w:szCs w:val="24"/>
          <w:vertAlign w:val="subscript"/>
        </w:rPr>
        <w:t>T</w:t>
      </w:r>
      <w:r>
        <w:rPr>
          <w:rFonts w:ascii="Times New Roman" w:hAnsi="Times New Roman" w:eastAsiaTheme="minorEastAsia"/>
          <w:b w:val="0"/>
          <w:color w:val="000000"/>
          <w:sz w:val="24"/>
          <w:szCs w:val="24"/>
        </w:rPr>
        <w:t>—设施调蓄容积，m</w:t>
      </w:r>
      <w:r>
        <w:rPr>
          <w:rFonts w:ascii="Times New Roman" w:hAnsi="Times New Roman" w:eastAsiaTheme="minorEastAsia"/>
          <w:b w:val="0"/>
          <w:color w:val="000000"/>
          <w:sz w:val="24"/>
          <w:szCs w:val="24"/>
          <w:vertAlign w:val="superscript"/>
        </w:rPr>
        <w:t>3</w:t>
      </w:r>
      <w:r>
        <w:rPr>
          <w:rFonts w:ascii="Times New Roman" w:hAnsi="Times New Roman" w:eastAsiaTheme="minorEastAsia"/>
          <w:b w:val="0"/>
          <w:color w:val="000000"/>
          <w:sz w:val="24"/>
          <w:szCs w:val="24"/>
        </w:rPr>
        <w:t>；</w:t>
      </w:r>
    </w:p>
    <w:p>
      <w:pPr>
        <w:autoSpaceDE w:val="0"/>
        <w:autoSpaceDN w:val="0"/>
        <w:adjustRightInd w:val="0"/>
        <w:spacing w:line="480" w:lineRule="exact"/>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A—设施面积，m</w:t>
      </w:r>
      <w:r>
        <w:rPr>
          <w:rFonts w:ascii="Times New Roman" w:hAnsi="Times New Roman" w:eastAsiaTheme="minorEastAsia"/>
          <w:b w:val="0"/>
          <w:color w:val="000000"/>
          <w:sz w:val="24"/>
          <w:szCs w:val="24"/>
          <w:vertAlign w:val="superscript"/>
        </w:rPr>
        <w:t>2</w:t>
      </w:r>
      <w:r>
        <w:rPr>
          <w:rFonts w:ascii="Times New Roman" w:hAnsi="Times New Roman" w:eastAsiaTheme="minorEastAsia"/>
          <w:b w:val="0"/>
          <w:color w:val="000000"/>
          <w:sz w:val="24"/>
          <w:szCs w:val="24"/>
        </w:rPr>
        <w:t>；</w:t>
      </w:r>
    </w:p>
    <w:p>
      <w:pPr>
        <w:autoSpaceDE w:val="0"/>
        <w:autoSpaceDN w:val="0"/>
        <w:adjustRightInd w:val="0"/>
        <w:spacing w:line="480" w:lineRule="exact"/>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h</w:t>
      </w:r>
      <w:r>
        <w:rPr>
          <w:rFonts w:ascii="Times New Roman" w:hAnsi="Times New Roman" w:eastAsiaTheme="minorEastAsia"/>
          <w:b w:val="0"/>
          <w:color w:val="000000"/>
          <w:sz w:val="24"/>
          <w:szCs w:val="24"/>
          <w:vertAlign w:val="subscript"/>
        </w:rPr>
        <w:t>1</w:t>
      </w:r>
      <w:r>
        <w:rPr>
          <w:rFonts w:ascii="Times New Roman" w:hAnsi="Times New Roman" w:eastAsiaTheme="minorEastAsia"/>
          <w:b w:val="0"/>
          <w:color w:val="000000"/>
          <w:sz w:val="24"/>
          <w:szCs w:val="24"/>
        </w:rPr>
        <w:t>—蓄水深度，m；本工程取0.20m；</w:t>
      </w:r>
    </w:p>
    <w:p>
      <w:pPr>
        <w:pStyle w:val="13"/>
        <w:numPr>
          <w:ilvl w:val="0"/>
          <w:numId w:val="53"/>
        </w:numPr>
        <w:tabs>
          <w:tab w:val="left" w:pos="284"/>
        </w:tabs>
        <w:spacing w:after="0" w:line="360" w:lineRule="auto"/>
        <w:ind w:left="284" w:leftChars="0" w:firstLine="480" w:firstLineChars="200"/>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无调蓄设施时年径流总量控制率计算</w:t>
      </w:r>
    </w:p>
    <w:p>
      <w:pPr>
        <w:spacing w:line="360" w:lineRule="auto"/>
        <w:ind w:firstLine="480" w:firstLineChars="200"/>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根据《广州市海绵城市规划设计导则——低影响开发雨水系统构建（试行）》，透水铺装的蓄水容积不计入总蓄水容积指标。根据《海绵城市建设评价标准（GB/T 51345-2018）》，对于无调蓄设施控制的透水下垫面，按下式估算其年径流总量控制率。</w:t>
      </w:r>
    </w:p>
    <w:p>
      <w:pPr>
        <w:spacing w:line="360" w:lineRule="auto"/>
        <w:ind w:firstLine="480" w:firstLineChars="200"/>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α=（1-φ）x100%（6.1.3）</w:t>
      </w:r>
    </w:p>
    <w:p>
      <w:pPr>
        <w:spacing w:line="360" w:lineRule="auto"/>
        <w:ind w:firstLine="480" w:firstLineChars="200"/>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式中，α——年径流总量控制率（%）；</w:t>
      </w:r>
    </w:p>
    <w:p>
      <w:pPr>
        <w:spacing w:line="360" w:lineRule="auto"/>
        <w:ind w:firstLine="480" w:firstLineChars="200"/>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Φ——径流系数。</w:t>
      </w:r>
    </w:p>
    <w:p>
      <w:pPr>
        <w:spacing w:line="360" w:lineRule="auto"/>
        <w:ind w:firstLine="480" w:firstLineChars="200"/>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设计道路无下沉式绿地，海绵设施仅为透水铺装时，采用上述公式估算。</w:t>
      </w:r>
    </w:p>
    <w:p>
      <w:pPr>
        <w:pStyle w:val="13"/>
        <w:numPr>
          <w:ilvl w:val="0"/>
          <w:numId w:val="53"/>
        </w:numPr>
        <w:tabs>
          <w:tab w:val="left" w:pos="284"/>
        </w:tabs>
        <w:spacing w:after="0" w:line="360" w:lineRule="auto"/>
        <w:ind w:left="4355" w:leftChars="0" w:firstLine="480" w:firstLineChars="200"/>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雨水径流污染控制容积V</w:t>
      </w:r>
      <w:r>
        <w:rPr>
          <w:rFonts w:ascii="Times New Roman" w:hAnsi="Times New Roman" w:eastAsiaTheme="minorEastAsia"/>
          <w:b w:val="0"/>
          <w:color w:val="000000"/>
          <w:sz w:val="24"/>
          <w:szCs w:val="24"/>
          <w:vertAlign w:val="subscript"/>
        </w:rPr>
        <w:t>W</w:t>
      </w:r>
      <w:r>
        <w:rPr>
          <w:rFonts w:ascii="Times New Roman" w:hAnsi="Times New Roman" w:eastAsiaTheme="minorEastAsia"/>
          <w:b w:val="0"/>
          <w:color w:val="000000"/>
          <w:sz w:val="24"/>
          <w:szCs w:val="24"/>
        </w:rPr>
        <w:t>按下式计算：</w:t>
      </w:r>
    </w:p>
    <w:p>
      <w:pPr>
        <w:autoSpaceDE w:val="0"/>
        <w:autoSpaceDN w:val="0"/>
        <w:adjustRightInd w:val="0"/>
        <w:spacing w:line="360" w:lineRule="auto"/>
        <w:ind w:firstLine="480" w:firstLineChars="200"/>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V</w:t>
      </w:r>
      <w:r>
        <w:rPr>
          <w:rFonts w:ascii="Times New Roman" w:hAnsi="Times New Roman" w:eastAsiaTheme="minorEastAsia"/>
          <w:b w:val="0"/>
          <w:color w:val="000000"/>
          <w:sz w:val="24"/>
          <w:szCs w:val="24"/>
          <w:vertAlign w:val="subscript"/>
        </w:rPr>
        <w:t>W</w:t>
      </w:r>
      <w:r>
        <w:rPr>
          <w:rFonts w:ascii="Times New Roman" w:hAnsi="Times New Roman" w:eastAsiaTheme="minorEastAsia"/>
          <w:b w:val="0"/>
          <w:color w:val="000000"/>
          <w:sz w:val="24"/>
          <w:szCs w:val="24"/>
        </w:rPr>
        <w:t>=V</w:t>
      </w:r>
      <w:r>
        <w:rPr>
          <w:rFonts w:ascii="Times New Roman" w:hAnsi="Times New Roman" w:eastAsiaTheme="minorEastAsia"/>
          <w:b w:val="0"/>
          <w:color w:val="000000"/>
          <w:sz w:val="24"/>
          <w:szCs w:val="24"/>
          <w:vertAlign w:val="subscript"/>
        </w:rPr>
        <w:t>T</w:t>
      </w:r>
      <w:r>
        <w:rPr>
          <w:rFonts w:ascii="Times New Roman" w:hAnsi="Times New Roman" w:eastAsiaTheme="minorEastAsia"/>
          <w:b w:val="0"/>
          <w:color w:val="000000"/>
          <w:sz w:val="24"/>
          <w:szCs w:val="24"/>
        </w:rPr>
        <w:t>（6.1.4）</w:t>
      </w:r>
    </w:p>
    <w:p>
      <w:pPr>
        <w:autoSpaceDE w:val="0"/>
        <w:autoSpaceDN w:val="0"/>
        <w:adjustRightInd w:val="0"/>
        <w:spacing w:line="360" w:lineRule="auto"/>
        <w:ind w:firstLine="480" w:firstLineChars="200"/>
        <w:jc w:val="left"/>
        <w:rPr>
          <w:rFonts w:ascii="Times New Roman" w:hAnsi="Times New Roman" w:eastAsiaTheme="minorEastAsia"/>
          <w:b w:val="0"/>
          <w:color w:val="000000"/>
          <w:kern w:val="0"/>
          <w:sz w:val="24"/>
          <w:szCs w:val="24"/>
        </w:rPr>
      </w:pPr>
      <w:r>
        <w:rPr>
          <w:rFonts w:ascii="Times New Roman" w:hAnsi="Times New Roman" w:eastAsiaTheme="minorEastAsia"/>
          <w:b w:val="0"/>
          <w:color w:val="000000"/>
          <w:kern w:val="0"/>
          <w:sz w:val="24"/>
          <w:szCs w:val="24"/>
        </w:rPr>
        <w:t>式中：V</w:t>
      </w:r>
      <w:r>
        <w:rPr>
          <w:rFonts w:ascii="Times New Roman" w:hAnsi="Times New Roman" w:eastAsiaTheme="minorEastAsia"/>
          <w:b w:val="0"/>
          <w:color w:val="000000"/>
          <w:kern w:val="0"/>
          <w:sz w:val="24"/>
          <w:szCs w:val="24"/>
          <w:vertAlign w:val="subscript"/>
        </w:rPr>
        <w:t>W</w:t>
      </w:r>
      <w:r>
        <w:rPr>
          <w:rFonts w:ascii="Times New Roman" w:hAnsi="Times New Roman" w:eastAsiaTheme="minorEastAsia"/>
          <w:b w:val="0"/>
          <w:color w:val="000000"/>
          <w:kern w:val="0"/>
          <w:sz w:val="24"/>
          <w:szCs w:val="24"/>
        </w:rPr>
        <w:t>—雨水径流污染控制容积（m</w:t>
      </w:r>
      <w:r>
        <w:rPr>
          <w:rFonts w:ascii="Times New Roman" w:hAnsi="Times New Roman" w:eastAsiaTheme="minorEastAsia"/>
          <w:b w:val="0"/>
          <w:color w:val="000000"/>
          <w:kern w:val="0"/>
          <w:sz w:val="24"/>
          <w:szCs w:val="24"/>
          <w:vertAlign w:val="superscript"/>
        </w:rPr>
        <w:t>3</w:t>
      </w:r>
      <w:r>
        <w:rPr>
          <w:rFonts w:ascii="Times New Roman" w:hAnsi="Times New Roman" w:eastAsiaTheme="minorEastAsia"/>
          <w:b w:val="0"/>
          <w:color w:val="000000"/>
          <w:kern w:val="0"/>
          <w:sz w:val="24"/>
          <w:szCs w:val="24"/>
        </w:rPr>
        <w:t>）；</w:t>
      </w:r>
    </w:p>
    <w:p>
      <w:pPr>
        <w:autoSpaceDE w:val="0"/>
        <w:autoSpaceDN w:val="0"/>
        <w:adjustRightInd w:val="0"/>
        <w:spacing w:line="360" w:lineRule="auto"/>
        <w:ind w:firstLine="480" w:firstLineChars="200"/>
        <w:jc w:val="left"/>
        <w:rPr>
          <w:rFonts w:ascii="Times New Roman" w:hAnsi="Times New Roman" w:eastAsiaTheme="minorEastAsia"/>
          <w:b w:val="0"/>
          <w:color w:val="000000"/>
          <w:kern w:val="0"/>
          <w:sz w:val="24"/>
          <w:szCs w:val="24"/>
        </w:rPr>
      </w:pPr>
      <w:r>
        <w:rPr>
          <w:rFonts w:ascii="Times New Roman" w:hAnsi="Times New Roman" w:eastAsiaTheme="minorEastAsia"/>
          <w:b w:val="0"/>
          <w:color w:val="000000"/>
          <w:kern w:val="0"/>
          <w:sz w:val="24"/>
          <w:szCs w:val="24"/>
        </w:rPr>
        <w:t>V</w:t>
      </w:r>
      <w:r>
        <w:rPr>
          <w:rFonts w:ascii="Times New Roman" w:hAnsi="Times New Roman" w:eastAsiaTheme="minorEastAsia"/>
          <w:b w:val="0"/>
          <w:color w:val="000000"/>
          <w:kern w:val="0"/>
          <w:sz w:val="24"/>
          <w:szCs w:val="24"/>
          <w:vertAlign w:val="subscript"/>
        </w:rPr>
        <w:t>T</w:t>
      </w:r>
      <w:r>
        <w:rPr>
          <w:rFonts w:ascii="Times New Roman" w:hAnsi="Times New Roman" w:eastAsiaTheme="minorEastAsia"/>
          <w:b w:val="0"/>
          <w:color w:val="000000"/>
          <w:kern w:val="0"/>
          <w:sz w:val="24"/>
          <w:szCs w:val="24"/>
        </w:rPr>
        <w:t>—年径流总量控制容积（m</w:t>
      </w:r>
      <w:r>
        <w:rPr>
          <w:rFonts w:ascii="Times New Roman" w:hAnsi="Times New Roman" w:eastAsiaTheme="minorEastAsia"/>
          <w:b w:val="0"/>
          <w:color w:val="000000"/>
          <w:kern w:val="0"/>
          <w:sz w:val="24"/>
          <w:szCs w:val="24"/>
          <w:vertAlign w:val="superscript"/>
        </w:rPr>
        <w:t>3</w:t>
      </w:r>
      <w:r>
        <w:rPr>
          <w:rFonts w:ascii="Times New Roman" w:hAnsi="Times New Roman" w:eastAsiaTheme="minorEastAsia"/>
          <w:b w:val="0"/>
          <w:color w:val="000000"/>
          <w:kern w:val="0"/>
          <w:sz w:val="24"/>
          <w:szCs w:val="24"/>
        </w:rPr>
        <w:t>）。</w:t>
      </w:r>
    </w:p>
    <w:p>
      <w:pPr>
        <w:autoSpaceDE w:val="0"/>
        <w:autoSpaceDN w:val="0"/>
        <w:adjustRightInd w:val="0"/>
        <w:spacing w:line="360" w:lineRule="auto"/>
        <w:ind w:firstLine="480" w:firstLineChars="200"/>
        <w:jc w:val="left"/>
        <w:rPr>
          <w:rFonts w:ascii="Times New Roman" w:hAnsi="Times New Roman" w:eastAsiaTheme="minorEastAsia"/>
          <w:b w:val="0"/>
          <w:color w:val="000000"/>
          <w:kern w:val="0"/>
          <w:sz w:val="24"/>
          <w:szCs w:val="24"/>
        </w:rPr>
      </w:pPr>
      <w:r>
        <w:rPr>
          <w:rFonts w:ascii="Times New Roman" w:hAnsi="Times New Roman" w:eastAsiaTheme="minorEastAsia"/>
          <w:b w:val="0"/>
          <w:color w:val="000000"/>
          <w:kern w:val="0"/>
          <w:sz w:val="24"/>
          <w:szCs w:val="24"/>
        </w:rPr>
        <w:t>年径流污染削减率P按下式计算：</w:t>
      </w:r>
    </w:p>
    <w:p>
      <w:pPr>
        <w:autoSpaceDE w:val="0"/>
        <w:autoSpaceDN w:val="0"/>
        <w:adjustRightInd w:val="0"/>
        <w:spacing w:line="360" w:lineRule="auto"/>
        <w:ind w:firstLine="480" w:firstLineChars="200"/>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P=P</w:t>
      </w:r>
      <w:r>
        <w:rPr>
          <w:rFonts w:ascii="Times New Roman" w:hAnsi="Times New Roman" w:eastAsiaTheme="minorEastAsia"/>
          <w:b w:val="0"/>
          <w:color w:val="000000"/>
          <w:sz w:val="24"/>
          <w:szCs w:val="24"/>
          <w:vertAlign w:val="subscript"/>
        </w:rPr>
        <w:t>W</w:t>
      </w:r>
      <w:r>
        <w:rPr>
          <w:rFonts w:ascii="Times New Roman" w:hAnsi="Times New Roman" w:eastAsiaTheme="minorEastAsia"/>
          <w:b w:val="0"/>
          <w:color w:val="000000"/>
          <w:sz w:val="24"/>
          <w:szCs w:val="24"/>
        </w:rPr>
        <w:t>*P</w:t>
      </w:r>
      <w:r>
        <w:rPr>
          <w:rFonts w:ascii="Times New Roman" w:hAnsi="Times New Roman" w:eastAsiaTheme="minorEastAsia"/>
          <w:b w:val="0"/>
          <w:color w:val="000000"/>
          <w:sz w:val="24"/>
          <w:szCs w:val="24"/>
          <w:vertAlign w:val="subscript"/>
        </w:rPr>
        <w:t>T</w:t>
      </w:r>
      <w:r>
        <w:rPr>
          <w:rFonts w:ascii="Times New Roman" w:hAnsi="Times New Roman" w:eastAsiaTheme="minorEastAsia"/>
          <w:b w:val="0"/>
          <w:color w:val="000000"/>
          <w:sz w:val="24"/>
          <w:szCs w:val="24"/>
        </w:rPr>
        <w:t>（6.1.5）</w:t>
      </w:r>
    </w:p>
    <w:p>
      <w:pPr>
        <w:autoSpaceDE w:val="0"/>
        <w:autoSpaceDN w:val="0"/>
        <w:adjustRightInd w:val="0"/>
        <w:spacing w:line="360" w:lineRule="auto"/>
        <w:ind w:firstLine="480" w:firstLineChars="200"/>
        <w:jc w:val="left"/>
        <w:rPr>
          <w:rFonts w:ascii="Times New Roman" w:hAnsi="Times New Roman" w:eastAsiaTheme="minorEastAsia"/>
          <w:b w:val="0"/>
          <w:color w:val="000000"/>
          <w:kern w:val="0"/>
          <w:sz w:val="24"/>
          <w:szCs w:val="24"/>
        </w:rPr>
      </w:pPr>
      <w:r>
        <w:rPr>
          <w:rFonts w:ascii="Times New Roman" w:hAnsi="Times New Roman" w:eastAsiaTheme="minorEastAsia"/>
          <w:b w:val="0"/>
          <w:color w:val="000000"/>
          <w:kern w:val="0"/>
          <w:sz w:val="24"/>
          <w:szCs w:val="24"/>
        </w:rPr>
        <w:t>式中：P</w:t>
      </w:r>
      <w:r>
        <w:rPr>
          <w:rFonts w:ascii="Times New Roman" w:hAnsi="Times New Roman" w:eastAsiaTheme="minorEastAsia"/>
          <w:b w:val="0"/>
          <w:color w:val="000000"/>
          <w:kern w:val="0"/>
          <w:sz w:val="24"/>
          <w:szCs w:val="24"/>
          <w:vertAlign w:val="subscript"/>
        </w:rPr>
        <w:t>W</w:t>
      </w:r>
      <w:r>
        <w:rPr>
          <w:rFonts w:ascii="Times New Roman" w:hAnsi="Times New Roman" w:eastAsiaTheme="minorEastAsia"/>
          <w:b w:val="0"/>
          <w:color w:val="000000"/>
          <w:kern w:val="0"/>
          <w:sz w:val="24"/>
          <w:szCs w:val="24"/>
        </w:rPr>
        <w:t>—汇水区域海绵设施污染物削减率（以SS计）；</w:t>
      </w:r>
    </w:p>
    <w:p>
      <w:pPr>
        <w:tabs>
          <w:tab w:val="left" w:pos="360"/>
        </w:tabs>
        <w:autoSpaceDE w:val="0"/>
        <w:autoSpaceDN w:val="0"/>
        <w:adjustRightInd w:val="0"/>
        <w:spacing w:line="360" w:lineRule="auto"/>
        <w:ind w:firstLine="480" w:firstLineChars="200"/>
        <w:jc w:val="left"/>
        <w:rPr>
          <w:rFonts w:ascii="Times New Roman" w:hAnsi="Times New Roman" w:eastAsiaTheme="minorEastAsia"/>
          <w:b w:val="0"/>
          <w:color w:val="000000"/>
          <w:kern w:val="0"/>
          <w:sz w:val="24"/>
          <w:szCs w:val="24"/>
        </w:rPr>
      </w:pPr>
      <w:r>
        <w:rPr>
          <w:rFonts w:ascii="Times New Roman" w:hAnsi="Times New Roman" w:eastAsiaTheme="minorEastAsia"/>
          <w:b w:val="0"/>
          <w:color w:val="000000"/>
          <w:kern w:val="0"/>
          <w:sz w:val="24"/>
          <w:szCs w:val="24"/>
        </w:rPr>
        <w:t>P</w:t>
      </w:r>
      <w:r>
        <w:rPr>
          <w:rFonts w:ascii="Times New Roman" w:hAnsi="Times New Roman" w:eastAsiaTheme="minorEastAsia"/>
          <w:b w:val="0"/>
          <w:color w:val="000000"/>
          <w:kern w:val="0"/>
          <w:sz w:val="24"/>
          <w:szCs w:val="24"/>
          <w:vertAlign w:val="subscript"/>
        </w:rPr>
        <w:t>T</w:t>
      </w:r>
      <w:r>
        <w:rPr>
          <w:rFonts w:ascii="Times New Roman" w:hAnsi="Times New Roman" w:eastAsiaTheme="minorEastAsia"/>
          <w:b w:val="0"/>
          <w:color w:val="000000"/>
          <w:kern w:val="0"/>
          <w:sz w:val="24"/>
          <w:szCs w:val="24"/>
        </w:rPr>
        <w:t>—汇水区域年径流总量控制率。</w:t>
      </w:r>
    </w:p>
    <w:p>
      <w:pPr>
        <w:pStyle w:val="13"/>
        <w:numPr>
          <w:ilvl w:val="0"/>
          <w:numId w:val="53"/>
        </w:numPr>
        <w:tabs>
          <w:tab w:val="left" w:pos="284"/>
        </w:tabs>
        <w:spacing w:after="0" w:line="360" w:lineRule="auto"/>
        <w:ind w:left="4355" w:leftChars="0" w:firstLine="480" w:firstLineChars="200"/>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雨水渗透排空时间：</w:t>
      </w:r>
    </w:p>
    <w:p>
      <w:pPr>
        <w:tabs>
          <w:tab w:val="left" w:pos="360"/>
        </w:tabs>
        <w:autoSpaceDE w:val="0"/>
        <w:autoSpaceDN w:val="0"/>
        <w:adjustRightInd w:val="0"/>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根据《广州市海绵城市规划设计导则》页25，第4.6.5排空时间计算，下沉式绿地有效调蓄容积的渗透排空时间应按下式计算：</w:t>
      </w:r>
    </w:p>
    <w:p>
      <w:pPr>
        <w:tabs>
          <w:tab w:val="left" w:pos="360"/>
        </w:tabs>
        <w:autoSpaceDE w:val="0"/>
        <w:autoSpaceDN w:val="0"/>
        <w:adjustRightInd w:val="0"/>
        <w:spacing w:line="360" w:lineRule="auto"/>
        <w:ind w:firstLine="562" w:firstLineChars="200"/>
        <w:jc w:val="center"/>
        <w:rPr>
          <w:rFonts w:ascii="Times New Roman" w:hAnsi="Times New Roman" w:eastAsiaTheme="minorEastAsia"/>
          <w:b w:val="0"/>
          <w:color w:val="000000"/>
          <w:sz w:val="24"/>
          <w:szCs w:val="24"/>
        </w:rPr>
      </w:pPr>
      <m:oMath>
        <m:sSub>
          <m:sSubPr>
            <m:ctrlPr>
              <w:rPr>
                <w:rFonts w:ascii="Cambria Math" w:hAnsi="Cambria Math"/>
                <w:color w:val="000000"/>
                <w:szCs w:val="21"/>
              </w:rPr>
            </m:ctrlPr>
          </m:sSubPr>
          <m:e>
            <m:r>
              <m:rPr>
                <m:sty m:val="bi"/>
              </m:rPr>
              <w:rPr>
                <w:rFonts w:ascii="Cambria Math" w:hAnsi="Cambria Math"/>
                <w:color w:val="000000"/>
                <w:szCs w:val="21"/>
              </w:rPr>
              <m:t>t</m:t>
            </m:r>
            <m:ctrlPr>
              <w:rPr>
                <w:rFonts w:ascii="Cambria Math" w:hAnsi="Cambria Math"/>
                <w:color w:val="000000"/>
                <w:szCs w:val="21"/>
              </w:rPr>
            </m:ctrlPr>
          </m:e>
          <m:sub>
            <m:r>
              <m:rPr>
                <m:sty m:val="bi"/>
              </m:rPr>
              <w:rPr>
                <w:rFonts w:ascii="Cambria Math" w:hAnsi="Cambria Math"/>
                <w:color w:val="000000"/>
                <w:szCs w:val="21"/>
              </w:rPr>
              <m:t>s</m:t>
            </m:r>
            <m:ctrlPr>
              <w:rPr>
                <w:rFonts w:ascii="Cambria Math" w:hAnsi="Cambria Math"/>
                <w:color w:val="000000"/>
                <w:szCs w:val="21"/>
              </w:rPr>
            </m:ctrlPr>
          </m:sub>
        </m:sSub>
        <m:r>
          <m:rPr>
            <m:sty m:val="bi"/>
          </m:rPr>
          <w:rPr>
            <w:rFonts w:ascii="Cambria Math" w:hAnsi="Cambria Math"/>
            <w:color w:val="000000"/>
            <w:szCs w:val="21"/>
          </w:rPr>
          <m:t>=</m:t>
        </m:r>
        <m:f>
          <m:fPr>
            <m:ctrlPr>
              <w:rPr>
                <w:rFonts w:ascii="Cambria Math" w:hAnsi="Cambria Math"/>
                <w:i/>
                <w:color w:val="000000"/>
                <w:szCs w:val="21"/>
              </w:rPr>
            </m:ctrlPr>
          </m:fPr>
          <m:num>
            <m:sSub>
              <m:sSubPr>
                <m:ctrlPr>
                  <w:rPr>
                    <w:rFonts w:ascii="Cambria Math" w:hAnsi="Cambria Math"/>
                    <w:i/>
                    <w:color w:val="000000"/>
                    <w:szCs w:val="21"/>
                  </w:rPr>
                </m:ctrlPr>
              </m:sSubPr>
              <m:e>
                <m:r>
                  <m:rPr>
                    <m:sty m:val="bi"/>
                  </m:rPr>
                  <w:rPr>
                    <w:rFonts w:ascii="Cambria Math" w:hAnsi="Cambria Math"/>
                    <w:color w:val="000000"/>
                    <w:szCs w:val="21"/>
                  </w:rPr>
                  <m:t>V</m:t>
                </m:r>
                <m:ctrlPr>
                  <w:rPr>
                    <w:rFonts w:ascii="Cambria Math" w:hAnsi="Cambria Math"/>
                    <w:i/>
                    <w:color w:val="000000"/>
                    <w:szCs w:val="21"/>
                  </w:rPr>
                </m:ctrlPr>
              </m:e>
              <m:sub>
                <m:r>
                  <m:rPr>
                    <m:sty m:val="bi"/>
                  </m:rPr>
                  <w:rPr>
                    <w:rFonts w:ascii="Cambria Math" w:hAnsi="Cambria Math"/>
                    <w:color w:val="000000"/>
                    <w:szCs w:val="21"/>
                  </w:rPr>
                  <m:t>sj</m:t>
                </m:r>
                <m:ctrlPr>
                  <w:rPr>
                    <w:rFonts w:ascii="Cambria Math" w:hAnsi="Cambria Math"/>
                    <w:i/>
                    <w:color w:val="000000"/>
                    <w:szCs w:val="21"/>
                  </w:rPr>
                </m:ctrlPr>
              </m:sub>
            </m:sSub>
            <m:ctrlPr>
              <w:rPr>
                <w:rFonts w:ascii="Cambria Math" w:hAnsi="Cambria Math"/>
                <w:i/>
                <w:color w:val="000000"/>
                <w:szCs w:val="21"/>
              </w:rPr>
            </m:ctrlPr>
          </m:num>
          <m:den>
            <m:r>
              <m:rPr>
                <m:sty m:val="bi"/>
              </m:rPr>
              <w:rPr>
                <w:rFonts w:ascii="Cambria Math" w:hAnsi="Cambria Math"/>
                <w:color w:val="000000"/>
                <w:szCs w:val="21"/>
              </w:rPr>
              <m:t>3600伪KJ</m:t>
            </m:r>
            <m:sSub>
              <m:sSubPr>
                <m:ctrlPr>
                  <w:rPr>
                    <w:rFonts w:ascii="Cambria Math" w:hAnsi="Cambria Math"/>
                    <w:i/>
                    <w:color w:val="000000"/>
                    <w:szCs w:val="21"/>
                  </w:rPr>
                </m:ctrlPr>
              </m:sSubPr>
              <m:e>
                <m:r>
                  <m:rPr>
                    <m:sty m:val="bi"/>
                  </m:rPr>
                  <w:rPr>
                    <w:rFonts w:ascii="Cambria Math" w:hAnsi="Cambria Math"/>
                    <w:color w:val="000000"/>
                    <w:szCs w:val="21"/>
                  </w:rPr>
                  <m:t>A</m:t>
                </m:r>
                <m:ctrlPr>
                  <w:rPr>
                    <w:rFonts w:ascii="Cambria Math" w:hAnsi="Cambria Math"/>
                    <w:i/>
                    <w:color w:val="000000"/>
                    <w:szCs w:val="21"/>
                  </w:rPr>
                </m:ctrlPr>
              </m:e>
              <m:sub>
                <m:r>
                  <m:rPr>
                    <m:sty m:val="bi"/>
                  </m:rPr>
                  <w:rPr>
                    <w:rFonts w:ascii="Cambria Math" w:hAnsi="Cambria Math"/>
                    <w:color w:val="000000"/>
                    <w:szCs w:val="21"/>
                  </w:rPr>
                  <m:t>s</m:t>
                </m:r>
                <m:ctrlPr>
                  <w:rPr>
                    <w:rFonts w:ascii="Cambria Math" w:hAnsi="Cambria Math"/>
                    <w:i/>
                    <w:color w:val="000000"/>
                    <w:szCs w:val="21"/>
                  </w:rPr>
                </m:ctrlPr>
              </m:sub>
            </m:sSub>
            <m:ctrlPr>
              <w:rPr>
                <w:rFonts w:ascii="Cambria Math" w:hAnsi="Cambria Math"/>
                <w:i/>
                <w:color w:val="000000"/>
                <w:szCs w:val="21"/>
              </w:rPr>
            </m:ctrlPr>
          </m:den>
        </m:f>
      </m:oMath>
      <w:r>
        <w:rPr>
          <w:rFonts w:ascii="Times New Roman" w:hAnsi="Times New Roman" w:eastAsiaTheme="minorEastAsia"/>
          <w:b w:val="0"/>
          <w:color w:val="000000"/>
          <w:sz w:val="24"/>
          <w:szCs w:val="24"/>
        </w:rPr>
        <w:fldChar w:fldCharType="begin"/>
      </w:r>
      <w:r>
        <w:rPr>
          <w:rFonts w:ascii="Times New Roman" w:hAnsi="Times New Roman" w:eastAsiaTheme="minorEastAsia"/>
          <w:b w:val="0"/>
          <w:color w:val="000000"/>
          <w:sz w:val="24"/>
          <w:szCs w:val="24"/>
        </w:rPr>
        <w:instrText xml:space="preserve">QUOTE</w:instrText>
      </w:r>
      <m:oMath>
        <m:sSub>
          <m:sSubPr>
            <m:ctrlPr>
              <w:rPr>
                <w:rFonts w:ascii="Cambria Math" w:hAnsi="Cambria Math" w:eastAsiaTheme="minorEastAsia"/>
                <w:b w:val="0"/>
                <w:color w:val="000000"/>
                <w:sz w:val="24"/>
                <w:szCs w:val="24"/>
              </w:rPr>
            </m:ctrlPr>
          </m:sSubPr>
          <m:e>
            <m:r>
              <m:rPr>
                <m:sty m:val="b"/>
              </m:rPr>
              <w:rPr>
                <w:rFonts w:ascii="Cambria Math" w:hAnsi="Cambria Math" w:eastAsiaTheme="minorEastAsia"/>
                <w:color w:val="000000"/>
                <w:sz w:val="24"/>
                <w:szCs w:val="24"/>
              </w:rPr>
              <m:t xml:space="preserve">𝐭</m:t>
            </m:r>
            <m:ctrlPr>
              <w:rPr>
                <w:rFonts w:ascii="Cambria Math" w:hAnsi="Cambria Math" w:eastAsiaTheme="minorEastAsia"/>
                <w:b w:val="0"/>
                <w:color w:val="000000"/>
                <w:sz w:val="24"/>
                <w:szCs w:val="24"/>
              </w:rPr>
            </m:ctrlPr>
          </m:e>
          <m:sub>
            <m:r>
              <m:rPr>
                <m:sty m:val="b"/>
              </m:rPr>
              <w:rPr>
                <w:rFonts w:ascii="Cambria Math" w:hAnsi="Cambria Math" w:eastAsiaTheme="minorEastAsia"/>
                <w:color w:val="000000"/>
                <w:sz w:val="24"/>
                <w:szCs w:val="24"/>
              </w:rPr>
              <m:t xml:space="preserve">𝐬</m:t>
            </m:r>
            <m:ctrlPr>
              <w:rPr>
                <w:rFonts w:ascii="Cambria Math" w:hAnsi="Cambria Math" w:eastAsiaTheme="minorEastAsia"/>
                <w:b w:val="0"/>
                <w:color w:val="000000"/>
                <w:sz w:val="24"/>
                <w:szCs w:val="24"/>
              </w:rPr>
            </m:ctrlPr>
          </m:sub>
        </m:sSub>
        <m:r>
          <m:rPr>
            <m:sty m:val="b"/>
          </m:rPr>
          <w:rPr>
            <w:rFonts w:ascii="Cambria Math" w:hAnsi="Cambria Math" w:eastAsiaTheme="minorEastAsia"/>
            <w:color w:val="000000"/>
            <w:sz w:val="24"/>
            <w:szCs w:val="24"/>
          </w:rPr>
          <m:t xml:space="preserve">=</m:t>
        </m:r>
        <m:f>
          <m:fPr>
            <m:ctrlPr>
              <w:rPr>
                <w:rFonts w:ascii="Cambria Math" w:hAnsi="Cambria Math" w:eastAsiaTheme="minorEastAsia"/>
                <w:b w:val="0"/>
                <w:i/>
                <w:color w:val="000000"/>
                <w:sz w:val="24"/>
                <w:szCs w:val="24"/>
              </w:rPr>
            </m:ctrlPr>
          </m:fPr>
          <m:num>
            <m:sSub>
              <m:sSubPr>
                <m:ctrlPr>
                  <w:rPr>
                    <w:rFonts w:ascii="Cambria Math" w:hAnsi="Cambria Math" w:eastAsiaTheme="minorEastAsia"/>
                    <w:b w:val="0"/>
                    <w:i/>
                    <w:color w:val="000000"/>
                    <w:sz w:val="24"/>
                    <w:szCs w:val="24"/>
                  </w:rPr>
                </m:ctrlPr>
              </m:sSubPr>
              <m:e>
                <m:r>
                  <m:rPr>
                    <m:sty m:val="b"/>
                  </m:rPr>
                  <w:rPr>
                    <w:rFonts w:ascii="Cambria Math" w:hAnsi="Cambria Math" w:eastAsiaTheme="minorEastAsia"/>
                    <w:color w:val="000000"/>
                    <w:sz w:val="24"/>
                    <w:szCs w:val="24"/>
                  </w:rPr>
                  <m:t xml:space="preserve">𝐕</m:t>
                </m:r>
                <m:ctrlPr>
                  <w:rPr>
                    <w:rFonts w:ascii="Cambria Math" w:hAnsi="Cambria Math" w:eastAsiaTheme="minorEastAsia"/>
                    <w:b w:val="0"/>
                    <w:i/>
                    <w:color w:val="000000"/>
                    <w:sz w:val="24"/>
                    <w:szCs w:val="24"/>
                  </w:rPr>
                </m:ctrlPr>
              </m:e>
              <m:sub>
                <m:r>
                  <m:rPr>
                    <m:sty m:val="b"/>
                  </m:rPr>
                  <w:rPr>
                    <w:rFonts w:ascii="Cambria Math" w:hAnsi="Cambria Math" w:eastAsiaTheme="minorEastAsia"/>
                    <w:color w:val="000000"/>
                    <w:sz w:val="24"/>
                    <w:szCs w:val="24"/>
                  </w:rPr>
                  <m:t xml:space="preserve">𝐬𝐣</m:t>
                </m:r>
                <m:ctrlPr>
                  <w:rPr>
                    <w:rFonts w:ascii="Cambria Math" w:hAnsi="Cambria Math" w:eastAsiaTheme="minorEastAsia"/>
                    <w:b w:val="0"/>
                    <w:i/>
                    <w:color w:val="000000"/>
                    <w:sz w:val="24"/>
                    <w:szCs w:val="24"/>
                  </w:rPr>
                </m:ctrlPr>
              </m:sub>
            </m:sSub>
            <m:ctrlPr>
              <w:rPr>
                <w:rFonts w:ascii="Cambria Math" w:hAnsi="Cambria Math" w:eastAsiaTheme="minorEastAsia"/>
                <w:b w:val="0"/>
                <w:i/>
                <w:color w:val="000000"/>
                <w:sz w:val="24"/>
                <w:szCs w:val="24"/>
              </w:rPr>
            </m:ctrlPr>
          </m:num>
          <m:den>
            <m:r>
              <m:rPr>
                <m:sty m:val="b"/>
              </m:rPr>
              <w:rPr>
                <w:rFonts w:ascii="Cambria Math" w:hAnsi="Cambria Math" w:eastAsiaTheme="minorEastAsia"/>
                <w:color w:val="000000"/>
                <w:sz w:val="24"/>
                <w:szCs w:val="24"/>
              </w:rPr>
              <m:t xml:space="preserve">𝟑𝟔𝟎𝟎𝛂𝐊𝐉</m:t>
            </m:r>
            <m:sSub>
              <m:sSubPr>
                <m:ctrlPr>
                  <w:rPr>
                    <w:rFonts w:ascii="Cambria Math" w:hAnsi="Cambria Math" w:eastAsiaTheme="minorEastAsia"/>
                    <w:b w:val="0"/>
                    <w:i/>
                    <w:color w:val="000000"/>
                    <w:sz w:val="24"/>
                    <w:szCs w:val="24"/>
                  </w:rPr>
                </m:ctrlPr>
              </m:sSubPr>
              <m:e>
                <m:r>
                  <m:rPr>
                    <m:sty m:val="b"/>
                  </m:rPr>
                  <w:rPr>
                    <w:rFonts w:ascii="Cambria Math" w:hAnsi="Cambria Math" w:eastAsiaTheme="minorEastAsia"/>
                    <w:color w:val="000000"/>
                    <w:sz w:val="24"/>
                    <w:szCs w:val="24"/>
                  </w:rPr>
                  <m:t xml:space="preserve">𝐀</m:t>
                </m:r>
                <m:ctrlPr>
                  <w:rPr>
                    <w:rFonts w:ascii="Cambria Math" w:hAnsi="Cambria Math" w:eastAsiaTheme="minorEastAsia"/>
                    <w:b w:val="0"/>
                    <w:i/>
                    <w:color w:val="000000"/>
                    <w:sz w:val="24"/>
                    <w:szCs w:val="24"/>
                  </w:rPr>
                </m:ctrlPr>
              </m:e>
              <m:sub>
                <m:r>
                  <m:rPr>
                    <m:sty m:val="b"/>
                  </m:rPr>
                  <w:rPr>
                    <w:rFonts w:ascii="Cambria Math" w:hAnsi="Cambria Math" w:eastAsiaTheme="minorEastAsia"/>
                    <w:color w:val="000000"/>
                    <w:sz w:val="24"/>
                    <w:szCs w:val="24"/>
                  </w:rPr>
                  <m:t xml:space="preserve">𝐬</m:t>
                </m:r>
                <m:ctrlPr>
                  <w:rPr>
                    <w:rFonts w:ascii="Cambria Math" w:hAnsi="Cambria Math" w:eastAsiaTheme="minorEastAsia"/>
                    <w:b w:val="0"/>
                    <w:i/>
                    <w:color w:val="000000"/>
                    <w:sz w:val="24"/>
                    <w:szCs w:val="24"/>
                  </w:rPr>
                </m:ctrlPr>
              </m:sub>
            </m:sSub>
            <m:ctrlPr>
              <w:rPr>
                <w:rFonts w:ascii="Cambria Math" w:hAnsi="Cambria Math" w:eastAsiaTheme="minorEastAsia"/>
                <w:b w:val="0"/>
                <w:i/>
                <w:color w:val="000000"/>
                <w:sz w:val="24"/>
                <w:szCs w:val="24"/>
              </w:rPr>
            </m:ctrlPr>
          </m:den>
        </m:f>
      </m:oMath>
      <w:r>
        <w:rPr>
          <w:rFonts w:ascii="Times New Roman" w:hAnsi="Times New Roman" w:eastAsiaTheme="minorEastAsia"/>
          <w:b w:val="0"/>
          <w:color w:val="000000"/>
          <w:sz w:val="24"/>
          <w:szCs w:val="24"/>
        </w:rPr>
        <w:fldChar w:fldCharType="end"/>
      </w:r>
      <w:r>
        <w:rPr>
          <w:rFonts w:ascii="Times New Roman" w:hAnsi="Times New Roman" w:eastAsiaTheme="minorEastAsia"/>
          <w:b w:val="0"/>
          <w:color w:val="000000"/>
          <w:sz w:val="24"/>
          <w:szCs w:val="24"/>
        </w:rPr>
        <w:t>……（6.1.6）</w:t>
      </w:r>
    </w:p>
    <w:p>
      <w:pPr>
        <w:tabs>
          <w:tab w:val="left" w:pos="360"/>
        </w:tabs>
        <w:autoSpaceDE w:val="0"/>
        <w:autoSpaceDN w:val="0"/>
        <w:adjustRightInd w:val="0"/>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式中：t</w:t>
      </w:r>
      <w:r>
        <w:rPr>
          <w:rFonts w:ascii="Times New Roman" w:hAnsi="Times New Roman" w:eastAsiaTheme="minorEastAsia"/>
          <w:b w:val="0"/>
          <w:color w:val="000000"/>
          <w:sz w:val="24"/>
          <w:szCs w:val="24"/>
          <w:vertAlign w:val="subscript"/>
        </w:rPr>
        <w:t>s</w:t>
      </w:r>
      <w:r>
        <w:rPr>
          <w:rFonts w:ascii="Times New Roman" w:hAnsi="Times New Roman" w:eastAsiaTheme="minorEastAsia"/>
          <w:b w:val="0"/>
          <w:color w:val="000000"/>
          <w:sz w:val="24"/>
          <w:szCs w:val="24"/>
        </w:rPr>
        <w:t>——渗透排空时间，h；</w:t>
      </w:r>
    </w:p>
    <w:p>
      <w:pPr>
        <w:tabs>
          <w:tab w:val="left" w:pos="360"/>
        </w:tabs>
        <w:autoSpaceDE w:val="0"/>
        <w:autoSpaceDN w:val="0"/>
        <w:adjustRightInd w:val="0"/>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V</w:t>
      </w:r>
      <w:r>
        <w:rPr>
          <w:rFonts w:ascii="Times New Roman" w:hAnsi="Times New Roman" w:eastAsiaTheme="minorEastAsia"/>
          <w:b w:val="0"/>
          <w:color w:val="000000"/>
          <w:sz w:val="24"/>
          <w:szCs w:val="24"/>
          <w:vertAlign w:val="subscript"/>
        </w:rPr>
        <w:t>sj</w:t>
      </w:r>
      <w:r>
        <w:rPr>
          <w:rFonts w:ascii="Times New Roman" w:hAnsi="Times New Roman" w:eastAsiaTheme="minorEastAsia"/>
          <w:b w:val="0"/>
          <w:color w:val="000000"/>
          <w:sz w:val="24"/>
          <w:szCs w:val="24"/>
        </w:rPr>
        <w:t>——设施的设计有效调蓄容积，m</w:t>
      </w:r>
      <w:r>
        <w:rPr>
          <w:rFonts w:ascii="Times New Roman" w:hAnsi="Times New Roman" w:eastAsiaTheme="minorEastAsia"/>
          <w:b w:val="0"/>
          <w:color w:val="000000"/>
          <w:sz w:val="24"/>
          <w:szCs w:val="24"/>
          <w:vertAlign w:val="superscript"/>
        </w:rPr>
        <w:t>3</w:t>
      </w:r>
      <w:r>
        <w:rPr>
          <w:rFonts w:ascii="Times New Roman" w:hAnsi="Times New Roman" w:eastAsiaTheme="minorEastAsia"/>
          <w:b w:val="0"/>
          <w:color w:val="000000"/>
          <w:sz w:val="24"/>
          <w:szCs w:val="24"/>
        </w:rPr>
        <w:t>；</w:t>
      </w:r>
    </w:p>
    <w:p>
      <w:pPr>
        <w:tabs>
          <w:tab w:val="left" w:pos="360"/>
        </w:tabs>
        <w:autoSpaceDE w:val="0"/>
        <w:autoSpaceDN w:val="0"/>
        <w:adjustRightInd w:val="0"/>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α——综合安全系数，一般取0.5～0.8，本工程取0.8；</w:t>
      </w:r>
    </w:p>
    <w:p>
      <w:pPr>
        <w:tabs>
          <w:tab w:val="left" w:pos="360"/>
        </w:tabs>
        <w:autoSpaceDE w:val="0"/>
        <w:autoSpaceDN w:val="0"/>
        <w:adjustRightInd w:val="0"/>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K——土壤渗透系数，m/s，本工程取10</w:t>
      </w:r>
      <w:r>
        <w:rPr>
          <w:rFonts w:ascii="Times New Roman" w:hAnsi="Times New Roman" w:eastAsiaTheme="minorEastAsia"/>
          <w:b w:val="0"/>
          <w:color w:val="000000"/>
          <w:sz w:val="24"/>
          <w:szCs w:val="24"/>
          <w:vertAlign w:val="superscript"/>
        </w:rPr>
        <w:t>-5</w:t>
      </w:r>
      <w:r>
        <w:rPr>
          <w:rFonts w:ascii="Times New Roman" w:hAnsi="Times New Roman" w:eastAsiaTheme="minorEastAsia"/>
          <w:b w:val="0"/>
          <w:color w:val="000000"/>
          <w:sz w:val="24"/>
          <w:szCs w:val="24"/>
        </w:rPr>
        <w:t>m/s；</w:t>
      </w:r>
    </w:p>
    <w:p>
      <w:pPr>
        <w:tabs>
          <w:tab w:val="left" w:pos="360"/>
        </w:tabs>
        <w:autoSpaceDE w:val="0"/>
        <w:autoSpaceDN w:val="0"/>
        <w:adjustRightInd w:val="0"/>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J———水力坡降，一般可取J=l；</w:t>
      </w:r>
    </w:p>
    <w:p>
      <w:pPr>
        <w:tabs>
          <w:tab w:val="left" w:pos="360"/>
        </w:tabs>
        <w:autoSpaceDE w:val="0"/>
        <w:autoSpaceDN w:val="0"/>
        <w:adjustRightInd w:val="0"/>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A</w:t>
      </w:r>
      <w:r>
        <w:rPr>
          <w:rFonts w:ascii="Times New Roman" w:hAnsi="Times New Roman" w:eastAsiaTheme="minorEastAsia"/>
          <w:b w:val="0"/>
          <w:color w:val="000000"/>
          <w:sz w:val="24"/>
          <w:szCs w:val="24"/>
          <w:vertAlign w:val="subscript"/>
        </w:rPr>
        <w:t>s</w:t>
      </w:r>
      <w:r>
        <w:rPr>
          <w:rFonts w:ascii="Times New Roman" w:hAnsi="Times New Roman" w:eastAsiaTheme="minorEastAsia"/>
          <w:b w:val="0"/>
          <w:color w:val="000000"/>
          <w:sz w:val="24"/>
          <w:szCs w:val="24"/>
        </w:rPr>
        <w:t>———有效渗透面积，m</w:t>
      </w:r>
      <w:r>
        <w:rPr>
          <w:rFonts w:ascii="Times New Roman" w:hAnsi="Times New Roman" w:eastAsiaTheme="minorEastAsia"/>
          <w:b w:val="0"/>
          <w:color w:val="000000"/>
          <w:sz w:val="24"/>
          <w:szCs w:val="24"/>
          <w:vertAlign w:val="superscript"/>
        </w:rPr>
        <w:t>2</w:t>
      </w:r>
      <w:r>
        <w:rPr>
          <w:rFonts w:ascii="Times New Roman" w:hAnsi="Times New Roman" w:eastAsiaTheme="minorEastAsia"/>
          <w:b w:val="0"/>
          <w:color w:val="000000"/>
          <w:sz w:val="24"/>
          <w:szCs w:val="24"/>
        </w:rPr>
        <w:t>。</w:t>
      </w:r>
    </w:p>
    <w:p>
      <w:pPr>
        <w:pStyle w:val="13"/>
        <w:numPr>
          <w:ilvl w:val="0"/>
          <w:numId w:val="53"/>
        </w:numPr>
        <w:tabs>
          <w:tab w:val="left" w:pos="284"/>
        </w:tabs>
        <w:spacing w:after="0" w:line="360" w:lineRule="auto"/>
        <w:ind w:left="4355" w:leftChars="0" w:firstLine="480" w:firstLineChars="200"/>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雨水蓄水调蓄设施径流削减量计算</w:t>
      </w:r>
    </w:p>
    <w:p>
      <w:pPr>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根据《广州市建设项目雨水径流控制指引》（广州市市政工程设计研究院2014年7月）页80，雨水蓄水调蓄设施雨水径流削减量计算公式：</w:t>
      </w:r>
    </w:p>
    <w:p>
      <w:pPr>
        <w:spacing w:line="360" w:lineRule="auto"/>
        <w:ind w:firstLine="480" w:firstLineChars="200"/>
        <w:jc w:val="center"/>
        <w:rPr>
          <w:rFonts w:ascii="Times New Roman" w:hAnsi="Times New Roman" w:eastAsiaTheme="minorEastAsia"/>
          <w:b w:val="0"/>
          <w:color w:val="000000"/>
          <w:sz w:val="24"/>
          <w:szCs w:val="24"/>
        </w:rPr>
      </w:pPr>
      <m:oMath>
        <m:sSub>
          <m:sSubPr>
            <m:ctrlPr>
              <w:rPr>
                <w:rFonts w:ascii="Cambria Math" w:hAnsi="Cambria Math" w:eastAsiaTheme="minorEastAsia"/>
                <w:b w:val="0"/>
                <w:color w:val="000000"/>
                <w:sz w:val="24"/>
                <w:szCs w:val="24"/>
              </w:rPr>
            </m:ctrlPr>
          </m:sSubPr>
          <m:e>
            <m:r>
              <m:rPr>
                <m:sty m:val="bi"/>
              </m:rPr>
              <w:rPr>
                <w:rFonts w:ascii="Cambria Math" w:hAnsi="Cambria Math" w:eastAsiaTheme="minorEastAsia"/>
                <w:color w:val="000000"/>
                <w:sz w:val="24"/>
                <w:szCs w:val="24"/>
              </w:rPr>
              <m:t>Q</m:t>
            </m:r>
            <m:ctrlPr>
              <w:rPr>
                <w:rFonts w:ascii="Cambria Math" w:hAnsi="Cambria Math" w:eastAsiaTheme="minorEastAsia"/>
                <w:b w:val="0"/>
                <w:color w:val="000000"/>
                <w:sz w:val="24"/>
                <w:szCs w:val="24"/>
              </w:rPr>
            </m:ctrlPr>
          </m:e>
          <m:sub>
            <m:r>
              <m:rPr>
                <m:sty m:val="bi"/>
              </m:rPr>
              <w:rPr>
                <w:rFonts w:ascii="Cambria Math" w:hAnsi="Cambria Math" w:eastAsiaTheme="minorEastAsia"/>
                <w:color w:val="000000"/>
                <w:sz w:val="24"/>
                <w:szCs w:val="24"/>
              </w:rPr>
              <m:t>txd</m:t>
            </m:r>
            <m:ctrlPr>
              <w:rPr>
                <w:rFonts w:ascii="Cambria Math" w:hAnsi="Cambria Math" w:eastAsiaTheme="minorEastAsia"/>
                <w:b w:val="0"/>
                <w:color w:val="000000"/>
                <w:sz w:val="24"/>
                <w:szCs w:val="24"/>
              </w:rPr>
            </m:ctrlPr>
          </m:sub>
        </m:sSub>
        <m:r>
          <m:rPr>
            <m:sty m:val="bi"/>
          </m:rPr>
          <w:rPr>
            <w:rFonts w:ascii="Cambria Math" w:hAnsi="Cambria Math" w:eastAsiaTheme="minorEastAsia"/>
            <w:color w:val="000000"/>
            <w:sz w:val="24"/>
            <w:szCs w:val="24"/>
          </w:rPr>
          <m:t>=1000(</m:t>
        </m:r>
        <m:f>
          <m:fPr>
            <m:ctrlPr>
              <w:rPr>
                <w:rFonts w:ascii="Cambria Math" w:hAnsi="Cambria Math" w:eastAsiaTheme="minorEastAsia"/>
                <w:b w:val="0"/>
                <w:i/>
                <w:color w:val="000000"/>
                <w:sz w:val="24"/>
                <w:szCs w:val="24"/>
              </w:rPr>
            </m:ctrlPr>
          </m:fPr>
          <m:num>
            <m:sSub>
              <m:sSubPr>
                <m:ctrlPr>
                  <w:rPr>
                    <w:rFonts w:ascii="Cambria Math" w:hAnsi="Cambria Math" w:eastAsiaTheme="minorEastAsia"/>
                    <w:b w:val="0"/>
                    <w:i/>
                    <w:color w:val="000000"/>
                    <w:sz w:val="24"/>
                    <w:szCs w:val="24"/>
                  </w:rPr>
                </m:ctrlPr>
              </m:sSubPr>
              <m:e>
                <m:r>
                  <m:rPr>
                    <m:sty m:val="bi"/>
                  </m:rPr>
                  <w:rPr>
                    <w:rFonts w:ascii="Cambria Math" w:hAnsi="Cambria Math" w:eastAsiaTheme="minorEastAsia"/>
                    <w:color w:val="000000"/>
                    <w:sz w:val="24"/>
                    <w:szCs w:val="24"/>
                  </w:rPr>
                  <m:t>V</m:t>
                </m:r>
                <m:ctrlPr>
                  <w:rPr>
                    <w:rFonts w:ascii="Cambria Math" w:hAnsi="Cambria Math" w:eastAsiaTheme="minorEastAsia"/>
                    <w:b w:val="0"/>
                    <w:i/>
                    <w:color w:val="000000"/>
                    <w:sz w:val="24"/>
                    <w:szCs w:val="24"/>
                  </w:rPr>
                </m:ctrlPr>
              </m:e>
              <m:sub>
                <m:r>
                  <m:rPr>
                    <m:sty m:val="bi"/>
                  </m:rPr>
                  <w:rPr>
                    <w:rFonts w:ascii="Cambria Math" w:hAnsi="Cambria Math" w:eastAsiaTheme="minorEastAsia"/>
                    <w:color w:val="000000"/>
                    <w:sz w:val="24"/>
                    <w:szCs w:val="24"/>
                  </w:rPr>
                  <m:t>txd</m:t>
                </m:r>
                <m:ctrlPr>
                  <w:rPr>
                    <w:rFonts w:ascii="Cambria Math" w:hAnsi="Cambria Math" w:eastAsiaTheme="minorEastAsia"/>
                    <w:b w:val="0"/>
                    <w:i/>
                    <w:color w:val="000000"/>
                    <w:sz w:val="24"/>
                    <w:szCs w:val="24"/>
                  </w:rPr>
                </m:ctrlPr>
              </m:sub>
            </m:sSub>
            <m:ctrlPr>
              <w:rPr>
                <w:rFonts w:ascii="Cambria Math" w:hAnsi="Cambria Math" w:eastAsiaTheme="minorEastAsia"/>
                <w:b w:val="0"/>
                <w:i/>
                <w:color w:val="000000"/>
                <w:sz w:val="24"/>
                <w:szCs w:val="24"/>
              </w:rPr>
            </m:ctrlPr>
          </m:num>
          <m:den>
            <m:r>
              <m:rPr>
                <m:sty m:val="bi"/>
              </m:rPr>
              <w:rPr>
                <w:rFonts w:ascii="Cambria Math" w:hAnsi="Cambria Math" w:eastAsiaTheme="minorEastAsia"/>
                <w:color w:val="000000"/>
                <w:sz w:val="24"/>
                <w:szCs w:val="24"/>
              </w:rPr>
              <m:t>t</m:t>
            </m:r>
            <m:ctrlPr>
              <w:rPr>
                <w:rFonts w:ascii="Cambria Math" w:hAnsi="Cambria Math" w:eastAsiaTheme="minorEastAsia"/>
                <w:b w:val="0"/>
                <w:i/>
                <w:color w:val="000000"/>
                <w:sz w:val="24"/>
                <w:szCs w:val="24"/>
              </w:rPr>
            </m:ctrlPr>
          </m:den>
        </m:f>
        <m:r>
          <m:rPr>
            <m:sty m:val="bi"/>
          </m:rPr>
          <w:rPr>
            <w:rFonts w:ascii="Cambria Math" w:hAnsi="Cambria Math" w:eastAsiaTheme="minorEastAsia"/>
            <w:color w:val="000000"/>
            <w:sz w:val="24"/>
            <w:szCs w:val="24"/>
          </w:rPr>
          <m:t>−</m:t>
        </m:r>
        <m:f>
          <m:fPr>
            <m:ctrlPr>
              <w:rPr>
                <w:rFonts w:ascii="Cambria Math" w:hAnsi="Cambria Math" w:eastAsiaTheme="minorEastAsia"/>
                <w:b w:val="0"/>
                <w:i/>
                <w:color w:val="000000"/>
                <w:sz w:val="24"/>
                <w:szCs w:val="24"/>
              </w:rPr>
            </m:ctrlPr>
          </m:fPr>
          <m:num>
            <m:sSub>
              <m:sSubPr>
                <m:ctrlPr>
                  <w:rPr>
                    <w:rFonts w:ascii="Cambria Math" w:hAnsi="Cambria Math" w:eastAsiaTheme="minorEastAsia"/>
                    <w:b w:val="0"/>
                    <w:i/>
                    <w:color w:val="000000"/>
                    <w:sz w:val="24"/>
                    <w:szCs w:val="24"/>
                  </w:rPr>
                </m:ctrlPr>
              </m:sSubPr>
              <m:e>
                <m:r>
                  <m:rPr>
                    <m:sty m:val="bi"/>
                  </m:rPr>
                  <w:rPr>
                    <w:rFonts w:ascii="Cambria Math" w:hAnsi="Cambria Math" w:eastAsiaTheme="minorEastAsia"/>
                    <w:color w:val="000000"/>
                    <w:sz w:val="24"/>
                    <w:szCs w:val="24"/>
                  </w:rPr>
                  <m:t>V</m:t>
                </m:r>
                <m:ctrlPr>
                  <w:rPr>
                    <w:rFonts w:ascii="Cambria Math" w:hAnsi="Cambria Math" w:eastAsiaTheme="minorEastAsia"/>
                    <w:b w:val="0"/>
                    <w:i/>
                    <w:color w:val="000000"/>
                    <w:sz w:val="24"/>
                    <w:szCs w:val="24"/>
                  </w:rPr>
                </m:ctrlPr>
              </m:e>
              <m:sub>
                <m:r>
                  <m:rPr>
                    <m:sty m:val="bi"/>
                  </m:rPr>
                  <w:rPr>
                    <w:rFonts w:ascii="Cambria Math" w:hAnsi="Cambria Math" w:eastAsiaTheme="minorEastAsia"/>
                    <w:color w:val="000000"/>
                    <w:sz w:val="24"/>
                    <w:szCs w:val="24"/>
                  </w:rPr>
                  <m:t>txd</m:t>
                </m:r>
                <m:ctrlPr>
                  <w:rPr>
                    <w:rFonts w:ascii="Cambria Math" w:hAnsi="Cambria Math" w:eastAsiaTheme="minorEastAsia"/>
                    <w:b w:val="0"/>
                    <w:i/>
                    <w:color w:val="000000"/>
                    <w:sz w:val="24"/>
                    <w:szCs w:val="24"/>
                  </w:rPr>
                </m:ctrlPr>
              </m:sub>
            </m:sSub>
            <m:ctrlPr>
              <w:rPr>
                <w:rFonts w:ascii="Cambria Math" w:hAnsi="Cambria Math" w:eastAsiaTheme="minorEastAsia"/>
                <w:b w:val="0"/>
                <w:i/>
                <w:color w:val="000000"/>
                <w:sz w:val="24"/>
                <w:szCs w:val="24"/>
              </w:rPr>
            </m:ctrlPr>
          </m:num>
          <m:den>
            <m:sSub>
              <m:sSubPr>
                <m:ctrlPr>
                  <w:rPr>
                    <w:rFonts w:ascii="Cambria Math" w:hAnsi="Cambria Math" w:eastAsiaTheme="minorEastAsia"/>
                    <w:b w:val="0"/>
                    <w:i/>
                    <w:color w:val="000000"/>
                    <w:sz w:val="24"/>
                    <w:szCs w:val="24"/>
                  </w:rPr>
                </m:ctrlPr>
              </m:sSubPr>
              <m:e>
                <m:r>
                  <m:rPr>
                    <m:sty m:val="bi"/>
                  </m:rPr>
                  <w:rPr>
                    <w:rFonts w:ascii="Cambria Math" w:hAnsi="Cambria Math" w:eastAsiaTheme="minorEastAsia"/>
                    <w:color w:val="000000"/>
                    <w:sz w:val="24"/>
                    <w:szCs w:val="24"/>
                  </w:rPr>
                  <m:t>T</m:t>
                </m:r>
                <m:ctrlPr>
                  <w:rPr>
                    <w:rFonts w:ascii="Cambria Math" w:hAnsi="Cambria Math" w:eastAsiaTheme="minorEastAsia"/>
                    <w:b w:val="0"/>
                    <w:i/>
                    <w:color w:val="000000"/>
                    <w:sz w:val="24"/>
                    <w:szCs w:val="24"/>
                  </w:rPr>
                </m:ctrlPr>
              </m:e>
              <m:sub>
                <m:r>
                  <m:rPr>
                    <m:sty m:val="bi"/>
                  </m:rPr>
                  <w:rPr>
                    <w:rFonts w:ascii="Cambria Math" w:hAnsi="Cambria Math" w:eastAsiaTheme="minorEastAsia"/>
                    <w:color w:val="000000"/>
                    <w:sz w:val="24"/>
                    <w:szCs w:val="24"/>
                  </w:rPr>
                  <m:t>txd</m:t>
                </m:r>
                <m:ctrlPr>
                  <w:rPr>
                    <w:rFonts w:ascii="Cambria Math" w:hAnsi="Cambria Math" w:eastAsiaTheme="minorEastAsia"/>
                    <w:b w:val="0"/>
                    <w:i/>
                    <w:color w:val="000000"/>
                    <w:sz w:val="24"/>
                    <w:szCs w:val="24"/>
                  </w:rPr>
                </m:ctrlPr>
              </m:sub>
            </m:sSub>
            <m:ctrlPr>
              <w:rPr>
                <w:rFonts w:ascii="Cambria Math" w:hAnsi="Cambria Math" w:eastAsiaTheme="minorEastAsia"/>
                <w:b w:val="0"/>
                <w:i/>
                <w:color w:val="000000"/>
                <w:sz w:val="24"/>
                <w:szCs w:val="24"/>
              </w:rPr>
            </m:ctrlPr>
          </m:den>
        </m:f>
        <m:r>
          <m:rPr>
            <m:sty m:val="bi"/>
          </m:rPr>
          <w:rPr>
            <w:rFonts w:ascii="Cambria Math" w:hAnsi="Cambria Math" w:eastAsiaTheme="minorEastAsia"/>
            <w:color w:val="000000"/>
            <w:sz w:val="24"/>
            <w:szCs w:val="24"/>
          </w:rPr>
          <m:t>)</m:t>
        </m:r>
      </m:oMath>
      <w:r>
        <w:rPr>
          <w:rFonts w:ascii="Times New Roman" w:hAnsi="Times New Roman" w:eastAsiaTheme="minorEastAsia"/>
          <w:b w:val="0"/>
          <w:color w:val="000000"/>
          <w:sz w:val="24"/>
          <w:szCs w:val="24"/>
        </w:rPr>
        <w:t>……（6.1.8）</w:t>
      </w:r>
    </w:p>
    <w:p>
      <w:pPr>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式中：Q</w:t>
      </w:r>
      <w:r>
        <w:rPr>
          <w:rFonts w:ascii="Times New Roman" w:hAnsi="Times New Roman" w:eastAsiaTheme="minorEastAsia"/>
          <w:b w:val="0"/>
          <w:color w:val="000000"/>
          <w:sz w:val="24"/>
          <w:szCs w:val="24"/>
          <w:vertAlign w:val="subscript"/>
        </w:rPr>
        <w:t>txd</w:t>
      </w:r>
      <w:r>
        <w:rPr>
          <w:rFonts w:ascii="Times New Roman" w:hAnsi="Times New Roman" w:eastAsiaTheme="minorEastAsia"/>
          <w:b w:val="0"/>
          <w:color w:val="000000"/>
          <w:sz w:val="24"/>
          <w:szCs w:val="24"/>
        </w:rPr>
        <w:t>——雨水调蓄设施雨水径流削减量（L/s）</w:t>
      </w:r>
    </w:p>
    <w:p>
      <w:pPr>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V</w:t>
      </w:r>
      <w:r>
        <w:rPr>
          <w:rFonts w:ascii="Times New Roman" w:hAnsi="Times New Roman" w:eastAsiaTheme="minorEastAsia"/>
          <w:b w:val="0"/>
          <w:color w:val="000000"/>
          <w:sz w:val="24"/>
          <w:szCs w:val="24"/>
          <w:vertAlign w:val="subscript"/>
        </w:rPr>
        <w:t>txd</w:t>
      </w:r>
      <w:r>
        <w:rPr>
          <w:rFonts w:ascii="Times New Roman" w:hAnsi="Times New Roman" w:eastAsiaTheme="minorEastAsia"/>
          <w:b w:val="0"/>
          <w:color w:val="000000"/>
          <w:sz w:val="24"/>
          <w:szCs w:val="24"/>
        </w:rPr>
        <w:t>——雨水调蓄设施有效容积（m</w:t>
      </w:r>
      <w:r>
        <w:rPr>
          <w:rFonts w:ascii="Times New Roman" w:hAnsi="Times New Roman" w:eastAsiaTheme="minorEastAsia"/>
          <w:b w:val="0"/>
          <w:color w:val="000000"/>
          <w:sz w:val="24"/>
          <w:szCs w:val="24"/>
          <w:vertAlign w:val="superscript"/>
        </w:rPr>
        <w:t>3</w:t>
      </w:r>
      <w:r>
        <w:rPr>
          <w:rFonts w:ascii="Times New Roman" w:hAnsi="Times New Roman" w:eastAsiaTheme="minorEastAsia"/>
          <w:b w:val="0"/>
          <w:color w:val="000000"/>
          <w:sz w:val="24"/>
          <w:szCs w:val="24"/>
        </w:rPr>
        <w:t>）</w:t>
      </w:r>
    </w:p>
    <w:p>
      <w:pPr>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t——降雨历时（s），本工程取15min</w:t>
      </w:r>
    </w:p>
    <w:p>
      <w:pPr>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T</w:t>
      </w:r>
      <w:r>
        <w:rPr>
          <w:rFonts w:ascii="Times New Roman" w:hAnsi="Times New Roman" w:eastAsiaTheme="minorEastAsia"/>
          <w:b w:val="0"/>
          <w:color w:val="000000"/>
          <w:sz w:val="24"/>
          <w:szCs w:val="24"/>
          <w:vertAlign w:val="subscript"/>
        </w:rPr>
        <w:t>txd</w:t>
      </w:r>
      <w:r>
        <w:rPr>
          <w:rFonts w:ascii="Times New Roman" w:hAnsi="Times New Roman" w:eastAsiaTheme="minorEastAsia"/>
          <w:b w:val="0"/>
          <w:color w:val="000000"/>
          <w:sz w:val="24"/>
          <w:szCs w:val="24"/>
        </w:rPr>
        <w:t>——排空时间（s），</w:t>
      </w:r>
    </w:p>
    <w:p>
      <w:pPr>
        <w:numPr>
          <w:ilvl w:val="0"/>
          <w:numId w:val="52"/>
        </w:numPr>
        <w:tabs>
          <w:tab w:val="left" w:pos="360"/>
        </w:tabs>
        <w:autoSpaceDE w:val="0"/>
        <w:autoSpaceDN w:val="0"/>
        <w:adjustRightInd w:val="0"/>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年径流总量控制率的核算</w:t>
      </w:r>
    </w:p>
    <w:p>
      <w:pPr>
        <w:tabs>
          <w:tab w:val="left" w:pos="360"/>
        </w:tabs>
        <w:autoSpaceDE w:val="0"/>
        <w:autoSpaceDN w:val="0"/>
        <w:adjustRightInd w:val="0"/>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（1）目标控制年径流总量</w:t>
      </w:r>
    </w:p>
    <w:p>
      <w:pPr>
        <w:autoSpaceDE w:val="0"/>
        <w:autoSpaceDN w:val="0"/>
        <w:adjustRightInd w:val="0"/>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根据《南沙新区海绵城市专项规划（2016-2030）》（正式版，2019.03），本项目所在区域为6-4区域，本项目年径流总量控制率目标为82%（鼓励性指标），对应设计降雨量为48.4mm，区域内径流系数经加权平均计算为0.529，本工程需控制的调蓄容积按公式6.1.1进行计算，结果如下表：</w:t>
      </w:r>
    </w:p>
    <w:tbl>
      <w:tblPr>
        <w:tblStyle w:val="3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0"/>
        <w:gridCol w:w="2186"/>
        <w:gridCol w:w="1432"/>
        <w:gridCol w:w="1616"/>
        <w:gridCol w:w="1583"/>
        <w:gridCol w:w="27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9"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序号</w:t>
            </w:r>
          </w:p>
        </w:tc>
        <w:tc>
          <w:tcPr>
            <w:tcW w:w="1043"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道路名称</w:t>
            </w:r>
          </w:p>
        </w:tc>
        <w:tc>
          <w:tcPr>
            <w:tcW w:w="683"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道路面积（m</w:t>
            </w:r>
            <w:r>
              <w:rPr>
                <w:rFonts w:eastAsiaTheme="minorEastAsia"/>
                <w:color w:val="000000"/>
                <w:vertAlign w:val="superscript"/>
              </w:rPr>
              <w:t>2</w:t>
            </w:r>
            <w:r>
              <w:rPr>
                <w:rFonts w:eastAsiaTheme="minorEastAsia"/>
                <w:color w:val="000000"/>
              </w:rPr>
              <w:t>）</w:t>
            </w:r>
          </w:p>
        </w:tc>
        <w:tc>
          <w:tcPr>
            <w:tcW w:w="771"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综合雨量径流系数</w:t>
            </w:r>
          </w:p>
        </w:tc>
        <w:tc>
          <w:tcPr>
            <w:tcW w:w="755"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降雨量（mm）</w:t>
            </w:r>
          </w:p>
        </w:tc>
        <w:tc>
          <w:tcPr>
            <w:tcW w:w="1306"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需控制的调蓄容积V（m</w:t>
            </w:r>
            <w:r>
              <w:rPr>
                <w:rFonts w:eastAsiaTheme="minorEastAsia"/>
                <w:color w:val="000000"/>
                <w:vertAlign w:val="superscript"/>
              </w:rPr>
              <w:t>3</w:t>
            </w:r>
            <w:r>
              <w:rPr>
                <w:rFonts w:eastAsiaTheme="minorEastAsia"/>
                <w:color w:val="00000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hint="eastAsia" w:eastAsiaTheme="minorEastAsia"/>
                <w:color w:val="000000"/>
              </w:rPr>
              <w:t>1</w:t>
            </w:r>
          </w:p>
        </w:tc>
        <w:tc>
          <w:tcPr>
            <w:tcW w:w="1043"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二十涌北路</w:t>
            </w:r>
          </w:p>
        </w:tc>
        <w:tc>
          <w:tcPr>
            <w:tcW w:w="683" w:type="pct"/>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color w:val="000000"/>
                <w:sz w:val="24"/>
                <w:szCs w:val="24"/>
              </w:rPr>
            </w:pPr>
            <w:r>
              <w:rPr>
                <w:rFonts w:ascii="Times New Roman" w:hAnsi="Times New Roman"/>
                <w:b w:val="0"/>
                <w:color w:val="000000"/>
                <w:sz w:val="24"/>
                <w:szCs w:val="24"/>
              </w:rPr>
              <w:t>89849.26</w:t>
            </w:r>
          </w:p>
        </w:tc>
        <w:tc>
          <w:tcPr>
            <w:tcW w:w="771"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0.54</w:t>
            </w:r>
          </w:p>
        </w:tc>
        <w:tc>
          <w:tcPr>
            <w:tcW w:w="755"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34.46</w:t>
            </w:r>
          </w:p>
        </w:tc>
        <w:tc>
          <w:tcPr>
            <w:tcW w:w="1306"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1395.03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hint="eastAsia" w:eastAsiaTheme="minorEastAsia"/>
                <w:color w:val="000000"/>
              </w:rPr>
              <w:t>2</w:t>
            </w:r>
          </w:p>
        </w:tc>
        <w:tc>
          <w:tcPr>
            <w:tcW w:w="1043"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规划纵三路</w:t>
            </w:r>
          </w:p>
        </w:tc>
        <w:tc>
          <w:tcPr>
            <w:tcW w:w="683" w:type="pct"/>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color w:val="000000"/>
                <w:sz w:val="24"/>
                <w:szCs w:val="24"/>
              </w:rPr>
            </w:pPr>
            <w:r>
              <w:rPr>
                <w:rFonts w:ascii="Times New Roman" w:hAnsi="Times New Roman"/>
                <w:b w:val="0"/>
                <w:color w:val="000000"/>
                <w:sz w:val="24"/>
                <w:szCs w:val="24"/>
              </w:rPr>
              <w:t>55696.15</w:t>
            </w:r>
          </w:p>
        </w:tc>
        <w:tc>
          <w:tcPr>
            <w:tcW w:w="771"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0.71</w:t>
            </w:r>
          </w:p>
        </w:tc>
        <w:tc>
          <w:tcPr>
            <w:tcW w:w="755"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35.30</w:t>
            </w:r>
          </w:p>
        </w:tc>
        <w:tc>
          <w:tcPr>
            <w:tcW w:w="1306"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1127.70</w:t>
            </w:r>
          </w:p>
        </w:tc>
      </w:tr>
    </w:tbl>
    <w:p>
      <w:pPr>
        <w:tabs>
          <w:tab w:val="left" w:pos="360"/>
        </w:tabs>
        <w:autoSpaceDE w:val="0"/>
        <w:autoSpaceDN w:val="0"/>
        <w:adjustRightInd w:val="0"/>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（2）本工程海绵设施实际调蓄容积</w:t>
      </w:r>
    </w:p>
    <w:p>
      <w:pPr>
        <w:tabs>
          <w:tab w:val="left" w:pos="360"/>
        </w:tabs>
        <w:autoSpaceDE w:val="0"/>
        <w:autoSpaceDN w:val="0"/>
        <w:adjustRightInd w:val="0"/>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蓄水层深度：0.2m，因土层平时的持水率较高，暂不考虑土层的蓄水量，只考虑下沉绿地0.2m蓄水容量，海绵设施实际调蓄容积按公式6.1.2进行计算，结果如下表：</w:t>
      </w:r>
    </w:p>
    <w:tbl>
      <w:tblPr>
        <w:tblStyle w:val="32"/>
        <w:tblW w:w="4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3"/>
        <w:gridCol w:w="2092"/>
        <w:gridCol w:w="1792"/>
        <w:gridCol w:w="1781"/>
        <w:gridCol w:w="2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5"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序号</w:t>
            </w:r>
          </w:p>
        </w:tc>
        <w:tc>
          <w:tcPr>
            <w:tcW w:w="1248"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道路名称</w:t>
            </w:r>
          </w:p>
        </w:tc>
        <w:tc>
          <w:tcPr>
            <w:tcW w:w="1069"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退缩带下沉式绿地面积（m</w:t>
            </w:r>
            <w:r>
              <w:rPr>
                <w:rFonts w:eastAsiaTheme="minorEastAsia"/>
                <w:color w:val="000000"/>
                <w:vertAlign w:val="superscript"/>
              </w:rPr>
              <w:t>2</w:t>
            </w:r>
            <w:r>
              <w:rPr>
                <w:rFonts w:eastAsiaTheme="minorEastAsia"/>
                <w:color w:val="000000"/>
              </w:rPr>
              <w:t>）</w:t>
            </w:r>
          </w:p>
        </w:tc>
        <w:tc>
          <w:tcPr>
            <w:tcW w:w="1062"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蓄水层深度（m）</w:t>
            </w:r>
          </w:p>
        </w:tc>
        <w:tc>
          <w:tcPr>
            <w:tcW w:w="1194"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设施调蓄容积V</w:t>
            </w:r>
            <w:r>
              <w:rPr>
                <w:rFonts w:eastAsiaTheme="minorEastAsia"/>
                <w:color w:val="000000"/>
                <w:vertAlign w:val="subscript"/>
              </w:rPr>
              <w:t>调</w:t>
            </w:r>
            <w:r>
              <w:rPr>
                <w:rFonts w:eastAsiaTheme="minorEastAsia"/>
                <w:color w:val="000000"/>
              </w:rPr>
              <w:t>（m</w:t>
            </w:r>
            <w:r>
              <w:rPr>
                <w:rFonts w:eastAsiaTheme="minorEastAsia"/>
                <w:color w:val="000000"/>
                <w:vertAlign w:val="superscript"/>
              </w:rPr>
              <w:t>3</w:t>
            </w:r>
            <w:r>
              <w:rPr>
                <w:rFonts w:eastAsiaTheme="minorEastAsia"/>
                <w:color w:val="00000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425"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hint="eastAsia" w:eastAsiaTheme="minorEastAsia"/>
                <w:color w:val="000000"/>
              </w:rPr>
              <w:t>1</w:t>
            </w:r>
          </w:p>
        </w:tc>
        <w:tc>
          <w:tcPr>
            <w:tcW w:w="1248"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二十涌北路</w:t>
            </w:r>
          </w:p>
        </w:tc>
        <w:tc>
          <w:tcPr>
            <w:tcW w:w="1069"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7226.28</w:t>
            </w:r>
          </w:p>
        </w:tc>
        <w:tc>
          <w:tcPr>
            <w:tcW w:w="1062"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0.2</w:t>
            </w:r>
          </w:p>
        </w:tc>
        <w:tc>
          <w:tcPr>
            <w:tcW w:w="1194"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1687.01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425"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hint="eastAsia" w:eastAsiaTheme="minorEastAsia"/>
                <w:color w:val="000000"/>
              </w:rPr>
              <w:t>2</w:t>
            </w:r>
          </w:p>
        </w:tc>
        <w:tc>
          <w:tcPr>
            <w:tcW w:w="1248"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规划纵三路</w:t>
            </w:r>
          </w:p>
        </w:tc>
        <w:tc>
          <w:tcPr>
            <w:tcW w:w="1069"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6471.52</w:t>
            </w:r>
          </w:p>
        </w:tc>
        <w:tc>
          <w:tcPr>
            <w:tcW w:w="1062"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0.2</w:t>
            </w:r>
          </w:p>
        </w:tc>
        <w:tc>
          <w:tcPr>
            <w:tcW w:w="1194"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1396.95</w:t>
            </w:r>
          </w:p>
        </w:tc>
      </w:tr>
    </w:tbl>
    <w:p>
      <w:pPr>
        <w:tabs>
          <w:tab w:val="left" w:pos="360"/>
        </w:tabs>
        <w:autoSpaceDE w:val="0"/>
        <w:autoSpaceDN w:val="0"/>
        <w:adjustRightInd w:val="0"/>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由上表，V</w:t>
      </w:r>
      <w:r>
        <w:rPr>
          <w:rFonts w:ascii="Times New Roman" w:hAnsi="Times New Roman" w:eastAsiaTheme="minorEastAsia"/>
          <w:b w:val="0"/>
          <w:color w:val="000000"/>
          <w:sz w:val="24"/>
          <w:szCs w:val="24"/>
          <w:vertAlign w:val="subscript"/>
        </w:rPr>
        <w:t>调</w:t>
      </w:r>
      <w:r>
        <w:rPr>
          <w:rFonts w:ascii="Times New Roman" w:hAnsi="Times New Roman" w:eastAsiaTheme="minorEastAsia"/>
          <w:b w:val="0"/>
          <w:color w:val="000000"/>
          <w:sz w:val="24"/>
          <w:szCs w:val="24"/>
        </w:rPr>
        <w:t>&lt;V，设计调蓄容积为上表时，对应的设计降雨量为</w:t>
      </w:r>
      <w:r>
        <w:rPr>
          <w:rFonts w:ascii="Times New Roman" w:hAnsi="Times New Roman"/>
          <w:b w:val="0"/>
          <w:color w:val="000000"/>
          <w:sz w:val="24"/>
          <w:szCs w:val="24"/>
        </w:rPr>
        <w:t>34.46、35.30mm，</w:t>
      </w:r>
      <w:r>
        <w:rPr>
          <w:rFonts w:ascii="Times New Roman" w:hAnsi="Times New Roman" w:eastAsiaTheme="minorEastAsia"/>
          <w:b w:val="0"/>
          <w:color w:val="000000"/>
          <w:sz w:val="24"/>
          <w:szCs w:val="24"/>
        </w:rPr>
        <w:t>根据南沙区径流控制率与设计降雨量对应曲线,实际能达到的年径流总量控制率约为</w:t>
      </w:r>
      <w:r>
        <w:rPr>
          <w:rFonts w:ascii="Times New Roman" w:hAnsi="Times New Roman"/>
          <w:b w:val="0"/>
          <w:color w:val="000000"/>
          <w:sz w:val="24"/>
          <w:szCs w:val="24"/>
        </w:rPr>
        <w:t>75%、76%。</w:t>
      </w:r>
    </w:p>
    <w:p>
      <w:pPr>
        <w:numPr>
          <w:ilvl w:val="0"/>
          <w:numId w:val="52"/>
        </w:numPr>
        <w:tabs>
          <w:tab w:val="left" w:pos="360"/>
        </w:tabs>
        <w:autoSpaceDE w:val="0"/>
        <w:autoSpaceDN w:val="0"/>
        <w:adjustRightInd w:val="0"/>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kern w:val="0"/>
          <w:sz w:val="24"/>
          <w:szCs w:val="24"/>
        </w:rPr>
        <w:t>年径流污染削减率</w:t>
      </w:r>
      <w:r>
        <w:rPr>
          <w:rFonts w:ascii="Times New Roman" w:hAnsi="Times New Roman" w:eastAsiaTheme="minorEastAsia"/>
          <w:b w:val="0"/>
          <w:color w:val="000000"/>
          <w:sz w:val="24"/>
          <w:szCs w:val="24"/>
        </w:rPr>
        <w:t>的核算</w:t>
      </w:r>
    </w:p>
    <w:p>
      <w:pPr>
        <w:tabs>
          <w:tab w:val="left" w:pos="360"/>
        </w:tabs>
        <w:autoSpaceDE w:val="0"/>
        <w:autoSpaceDN w:val="0"/>
        <w:adjustRightInd w:val="0"/>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根据《广州市建设项目海绵城市建设管控指标分类指引（试行）》，本工程年径流污染削减率≥50%（约束性指标）。雨水径流污染控制容积V</w:t>
      </w:r>
      <w:r>
        <w:rPr>
          <w:rFonts w:ascii="Times New Roman" w:hAnsi="Times New Roman" w:eastAsiaTheme="minorEastAsia"/>
          <w:b w:val="0"/>
          <w:color w:val="000000"/>
          <w:sz w:val="24"/>
          <w:szCs w:val="24"/>
          <w:vertAlign w:val="subscript"/>
        </w:rPr>
        <w:t>W</w:t>
      </w:r>
      <w:r>
        <w:rPr>
          <w:rFonts w:ascii="Times New Roman" w:hAnsi="Times New Roman" w:eastAsiaTheme="minorEastAsia"/>
          <w:b w:val="0"/>
          <w:color w:val="000000"/>
          <w:sz w:val="24"/>
          <w:szCs w:val="24"/>
        </w:rPr>
        <w:t>=V</w:t>
      </w:r>
      <w:r>
        <w:rPr>
          <w:rFonts w:ascii="Times New Roman" w:hAnsi="Times New Roman" w:eastAsiaTheme="minorEastAsia"/>
          <w:b w:val="0"/>
          <w:color w:val="000000"/>
          <w:sz w:val="24"/>
          <w:szCs w:val="24"/>
          <w:vertAlign w:val="subscript"/>
        </w:rPr>
        <w:t>T</w:t>
      </w:r>
      <w:r>
        <w:rPr>
          <w:rFonts w:ascii="Times New Roman" w:hAnsi="Times New Roman" w:eastAsiaTheme="minorEastAsia"/>
          <w:b w:val="0"/>
          <w:color w:val="000000"/>
          <w:sz w:val="24"/>
          <w:szCs w:val="24"/>
        </w:rPr>
        <w:t>，本项目采用的透水砖铺装和下沉绿地的径流污染削减率取值均为85%，则道路年径流污染削减率按公式6.1.5进行计算，结果如下表：</w:t>
      </w:r>
    </w:p>
    <w:tbl>
      <w:tblPr>
        <w:tblStyle w:val="3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9"/>
        <w:gridCol w:w="2385"/>
        <w:gridCol w:w="2511"/>
        <w:gridCol w:w="2360"/>
        <w:gridCol w:w="2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0"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序号</w:t>
            </w:r>
          </w:p>
        </w:tc>
        <w:tc>
          <w:tcPr>
            <w:tcW w:w="1138"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道路名称</w:t>
            </w:r>
          </w:p>
        </w:tc>
        <w:tc>
          <w:tcPr>
            <w:tcW w:w="1198"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480"/>
              <w:jc w:val="center"/>
              <w:rPr>
                <w:rFonts w:eastAsiaTheme="minorEastAsia"/>
                <w:color w:val="000000"/>
              </w:rPr>
            </w:pPr>
            <w:r>
              <w:rPr>
                <w:rFonts w:eastAsiaTheme="minorEastAsia"/>
                <w:color w:val="000000"/>
              </w:rPr>
              <w:t>海绵设施年径流污染</w:t>
            </w:r>
          </w:p>
          <w:p>
            <w:pPr>
              <w:pStyle w:val="397"/>
              <w:autoSpaceDE w:val="0"/>
              <w:spacing w:before="193" w:line="240" w:lineRule="auto"/>
              <w:ind w:firstLine="480"/>
              <w:jc w:val="center"/>
              <w:rPr>
                <w:rFonts w:eastAsiaTheme="minorEastAsia"/>
                <w:color w:val="000000"/>
              </w:rPr>
            </w:pPr>
            <w:r>
              <w:rPr>
                <w:rFonts w:eastAsiaTheme="minorEastAsia"/>
                <w:color w:val="000000"/>
              </w:rPr>
              <w:t>削减率（%</w:t>
            </w:r>
            <w:r>
              <w:rPr>
                <w:rFonts w:eastAsiaTheme="minorEastAsia"/>
                <w:color w:val="000000"/>
                <w:kern w:val="0"/>
              </w:rPr>
              <w:t>）</w:t>
            </w:r>
          </w:p>
        </w:tc>
        <w:tc>
          <w:tcPr>
            <w:tcW w:w="1126"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年径流总量控制率（%）</w:t>
            </w:r>
          </w:p>
        </w:tc>
        <w:tc>
          <w:tcPr>
            <w:tcW w:w="1126"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年径流污染削减率（%）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410"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hint="eastAsia" w:eastAsiaTheme="minorEastAsia"/>
                <w:color w:val="000000"/>
              </w:rPr>
              <w:t>1</w:t>
            </w:r>
          </w:p>
        </w:tc>
        <w:tc>
          <w:tcPr>
            <w:tcW w:w="1138"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sz w:val="21"/>
                <w:szCs w:val="21"/>
              </w:rPr>
              <w:t>二十涌北路</w:t>
            </w:r>
          </w:p>
        </w:tc>
        <w:tc>
          <w:tcPr>
            <w:tcW w:w="1198"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85</w:t>
            </w:r>
          </w:p>
        </w:tc>
        <w:tc>
          <w:tcPr>
            <w:tcW w:w="1126"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75</w:t>
            </w:r>
          </w:p>
        </w:tc>
        <w:tc>
          <w:tcPr>
            <w:tcW w:w="1126"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63.8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410"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hint="eastAsia" w:eastAsiaTheme="minorEastAsia"/>
                <w:color w:val="000000"/>
              </w:rPr>
              <w:t>2</w:t>
            </w:r>
          </w:p>
        </w:tc>
        <w:tc>
          <w:tcPr>
            <w:tcW w:w="1138"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sz w:val="21"/>
                <w:szCs w:val="21"/>
              </w:rPr>
              <w:t>规划纵三路</w:t>
            </w:r>
          </w:p>
        </w:tc>
        <w:tc>
          <w:tcPr>
            <w:tcW w:w="1198"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85</w:t>
            </w:r>
          </w:p>
        </w:tc>
        <w:tc>
          <w:tcPr>
            <w:tcW w:w="1126"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76</w:t>
            </w:r>
          </w:p>
        </w:tc>
        <w:tc>
          <w:tcPr>
            <w:tcW w:w="1126"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64.6</w:t>
            </w:r>
          </w:p>
        </w:tc>
      </w:tr>
    </w:tbl>
    <w:p>
      <w:pPr>
        <w:tabs>
          <w:tab w:val="left" w:pos="360"/>
        </w:tabs>
        <w:autoSpaceDE w:val="0"/>
        <w:autoSpaceDN w:val="0"/>
        <w:adjustRightInd w:val="0"/>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由计算表可知，本工程的年径流污染物削减率≥50%，符合相关文件要求；</w:t>
      </w:r>
    </w:p>
    <w:p>
      <w:pPr>
        <w:numPr>
          <w:ilvl w:val="0"/>
          <w:numId w:val="52"/>
        </w:numPr>
        <w:tabs>
          <w:tab w:val="left" w:pos="360"/>
        </w:tabs>
        <w:autoSpaceDE w:val="0"/>
        <w:autoSpaceDN w:val="0"/>
        <w:adjustRightInd w:val="0"/>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道路绿化率及下沉式绿化率核算</w:t>
      </w:r>
    </w:p>
    <w:p>
      <w:pPr>
        <w:tabs>
          <w:tab w:val="left" w:pos="360"/>
        </w:tabs>
        <w:autoSpaceDE w:val="0"/>
        <w:autoSpaceDN w:val="0"/>
        <w:adjustRightInd w:val="0"/>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根据《广州市建设项目海绵城市建设管控指标分类指引（试行）》，本工程道路绿化率为≥15%（鼓励性指标），下沉式绿化率为≥50%（鼓励性指标），具体核算如下表：</w:t>
      </w:r>
    </w:p>
    <w:tbl>
      <w:tblPr>
        <w:tblStyle w:val="3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2"/>
        <w:gridCol w:w="1730"/>
        <w:gridCol w:w="1325"/>
        <w:gridCol w:w="1726"/>
        <w:gridCol w:w="1870"/>
        <w:gridCol w:w="1403"/>
        <w:gridCol w:w="15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397"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序号</w:t>
            </w:r>
          </w:p>
        </w:tc>
        <w:tc>
          <w:tcPr>
            <w:tcW w:w="825"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道路名称</w:t>
            </w:r>
          </w:p>
        </w:tc>
        <w:tc>
          <w:tcPr>
            <w:tcW w:w="632"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道路面积（m</w:t>
            </w:r>
            <w:r>
              <w:rPr>
                <w:rFonts w:eastAsiaTheme="minorEastAsia"/>
                <w:color w:val="000000"/>
                <w:vertAlign w:val="superscript"/>
              </w:rPr>
              <w:t>2</w:t>
            </w:r>
            <w:r>
              <w:rPr>
                <w:rFonts w:eastAsiaTheme="minorEastAsia"/>
                <w:color w:val="000000"/>
              </w:rPr>
              <w:t>）</w:t>
            </w:r>
          </w:p>
        </w:tc>
        <w:tc>
          <w:tcPr>
            <w:tcW w:w="823"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绿地总面积（m</w:t>
            </w:r>
            <w:r>
              <w:rPr>
                <w:rFonts w:eastAsiaTheme="minorEastAsia"/>
                <w:color w:val="000000"/>
                <w:vertAlign w:val="superscript"/>
              </w:rPr>
              <w:t>2</w:t>
            </w:r>
            <w:r>
              <w:rPr>
                <w:rFonts w:eastAsiaTheme="minorEastAsia"/>
                <w:color w:val="000000"/>
                <w:kern w:val="0"/>
              </w:rPr>
              <w:t>）</w:t>
            </w:r>
          </w:p>
        </w:tc>
        <w:tc>
          <w:tcPr>
            <w:tcW w:w="892"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下沉式绿地面积（m</w:t>
            </w:r>
            <w:r>
              <w:rPr>
                <w:rFonts w:eastAsiaTheme="minorEastAsia"/>
                <w:color w:val="000000"/>
                <w:vertAlign w:val="superscript"/>
              </w:rPr>
              <w:t>2</w:t>
            </w:r>
            <w:r>
              <w:rPr>
                <w:rFonts w:eastAsiaTheme="minorEastAsia"/>
                <w:color w:val="000000"/>
                <w:kern w:val="0"/>
              </w:rPr>
              <w:t>）</w:t>
            </w:r>
          </w:p>
        </w:tc>
        <w:tc>
          <w:tcPr>
            <w:tcW w:w="669"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道路绿化率（%）</w:t>
            </w:r>
          </w:p>
        </w:tc>
        <w:tc>
          <w:tcPr>
            <w:tcW w:w="758"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下沉式绿化率（%）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7"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hint="eastAsia" w:eastAsiaTheme="minorEastAsia"/>
                <w:color w:val="000000"/>
              </w:rPr>
              <w:t>1</w:t>
            </w:r>
          </w:p>
        </w:tc>
        <w:tc>
          <w:tcPr>
            <w:tcW w:w="825"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二十涌北路</w:t>
            </w:r>
          </w:p>
        </w:tc>
        <w:tc>
          <w:tcPr>
            <w:tcW w:w="632"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89849.26</w:t>
            </w:r>
          </w:p>
        </w:tc>
        <w:tc>
          <w:tcPr>
            <w:tcW w:w="823"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8435.03</w:t>
            </w:r>
          </w:p>
        </w:tc>
        <w:tc>
          <w:tcPr>
            <w:tcW w:w="892"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7226.28</w:t>
            </w:r>
          </w:p>
        </w:tc>
        <w:tc>
          <w:tcPr>
            <w:tcW w:w="669"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17.4</w:t>
            </w:r>
          </w:p>
        </w:tc>
        <w:tc>
          <w:tcPr>
            <w:tcW w:w="758"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46.1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7"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hint="eastAsia" w:eastAsiaTheme="minorEastAsia"/>
                <w:color w:val="000000"/>
              </w:rPr>
              <w:t>2</w:t>
            </w:r>
          </w:p>
        </w:tc>
        <w:tc>
          <w:tcPr>
            <w:tcW w:w="825"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规划纵三路</w:t>
            </w:r>
          </w:p>
        </w:tc>
        <w:tc>
          <w:tcPr>
            <w:tcW w:w="632"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55696.15</w:t>
            </w:r>
          </w:p>
        </w:tc>
        <w:tc>
          <w:tcPr>
            <w:tcW w:w="823"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6984.77</w:t>
            </w:r>
          </w:p>
        </w:tc>
        <w:tc>
          <w:tcPr>
            <w:tcW w:w="892"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6271.52</w:t>
            </w:r>
          </w:p>
        </w:tc>
        <w:tc>
          <w:tcPr>
            <w:tcW w:w="669"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23.8</w:t>
            </w:r>
          </w:p>
        </w:tc>
        <w:tc>
          <w:tcPr>
            <w:tcW w:w="758"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47.3</w:t>
            </w:r>
          </w:p>
        </w:tc>
      </w:tr>
    </w:tbl>
    <w:p>
      <w:pPr>
        <w:tabs>
          <w:tab w:val="left" w:pos="360"/>
        </w:tabs>
        <w:autoSpaceDE w:val="0"/>
        <w:autoSpaceDN w:val="0"/>
        <w:adjustRightInd w:val="0"/>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由计算表可知，符合道路绿化率、下沉式绿化率指标要求，该项指标为鼓励性指标。</w:t>
      </w:r>
    </w:p>
    <w:p>
      <w:pPr>
        <w:numPr>
          <w:ilvl w:val="0"/>
          <w:numId w:val="52"/>
        </w:numPr>
        <w:tabs>
          <w:tab w:val="left" w:pos="360"/>
        </w:tabs>
        <w:autoSpaceDE w:val="0"/>
        <w:autoSpaceDN w:val="0"/>
        <w:adjustRightInd w:val="0"/>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道路透水铺装率核算</w:t>
      </w:r>
    </w:p>
    <w:p>
      <w:pPr>
        <w:tabs>
          <w:tab w:val="left" w:pos="360"/>
        </w:tabs>
        <w:autoSpaceDE w:val="0"/>
        <w:autoSpaceDN w:val="0"/>
        <w:adjustRightInd w:val="0"/>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根据《广州市建设项目海绵城市建设管控指标分类指引（试行）》，本工程透水铺装率≥70%（鼓励性指标），具体核算如下表：（透水铺装率为透水铺装面积占人行道、非机动车道的面积比例）。</w:t>
      </w:r>
    </w:p>
    <w:tbl>
      <w:tblPr>
        <w:tblStyle w:val="3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3"/>
        <w:gridCol w:w="2066"/>
        <w:gridCol w:w="3410"/>
        <w:gridCol w:w="2240"/>
        <w:gridCol w:w="18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426"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序号</w:t>
            </w:r>
          </w:p>
        </w:tc>
        <w:tc>
          <w:tcPr>
            <w:tcW w:w="986"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道路名称</w:t>
            </w:r>
          </w:p>
        </w:tc>
        <w:tc>
          <w:tcPr>
            <w:tcW w:w="1627"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人行道和非机动车道面积（m</w:t>
            </w:r>
            <w:r>
              <w:rPr>
                <w:rFonts w:eastAsiaTheme="minorEastAsia"/>
                <w:color w:val="000000"/>
                <w:vertAlign w:val="superscript"/>
              </w:rPr>
              <w:t>2</w:t>
            </w:r>
            <w:r>
              <w:rPr>
                <w:rFonts w:eastAsiaTheme="minorEastAsia"/>
                <w:color w:val="000000"/>
              </w:rPr>
              <w:t>）</w:t>
            </w:r>
          </w:p>
        </w:tc>
        <w:tc>
          <w:tcPr>
            <w:tcW w:w="1069"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透水铺装面积（m</w:t>
            </w:r>
            <w:r>
              <w:rPr>
                <w:rFonts w:eastAsiaTheme="minorEastAsia"/>
                <w:color w:val="000000"/>
                <w:vertAlign w:val="superscript"/>
              </w:rPr>
              <w:t>2</w:t>
            </w:r>
            <w:r>
              <w:rPr>
                <w:rFonts w:eastAsiaTheme="minorEastAsia"/>
                <w:color w:val="000000"/>
                <w:kern w:val="0"/>
              </w:rPr>
              <w:t>）</w:t>
            </w:r>
          </w:p>
        </w:tc>
        <w:tc>
          <w:tcPr>
            <w:tcW w:w="890"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透水铺装率（%）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6"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hint="eastAsia" w:eastAsiaTheme="minorEastAsia"/>
                <w:color w:val="000000"/>
              </w:rPr>
              <w:t>1</w:t>
            </w:r>
          </w:p>
        </w:tc>
        <w:tc>
          <w:tcPr>
            <w:tcW w:w="986"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二十涌北路</w:t>
            </w:r>
          </w:p>
        </w:tc>
        <w:tc>
          <w:tcPr>
            <w:tcW w:w="1627" w:type="pct"/>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color w:val="000000"/>
                <w:sz w:val="24"/>
                <w:szCs w:val="24"/>
              </w:rPr>
            </w:pPr>
            <w:r>
              <w:rPr>
                <w:rFonts w:ascii="Times New Roman" w:hAnsi="Times New Roman"/>
                <w:b w:val="0"/>
                <w:color w:val="000000"/>
                <w:sz w:val="24"/>
                <w:szCs w:val="24"/>
              </w:rPr>
              <w:t>32855.53</w:t>
            </w:r>
          </w:p>
        </w:tc>
        <w:tc>
          <w:tcPr>
            <w:tcW w:w="1069"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32855.53</w:t>
            </w:r>
          </w:p>
        </w:tc>
        <w:tc>
          <w:tcPr>
            <w:tcW w:w="890"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6"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hint="eastAsia" w:eastAsiaTheme="minorEastAsia"/>
                <w:color w:val="000000"/>
              </w:rPr>
              <w:t>2</w:t>
            </w:r>
          </w:p>
        </w:tc>
        <w:tc>
          <w:tcPr>
            <w:tcW w:w="986"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规划纵三路</w:t>
            </w:r>
          </w:p>
        </w:tc>
        <w:tc>
          <w:tcPr>
            <w:tcW w:w="1627" w:type="pct"/>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color w:val="000000"/>
                <w:sz w:val="24"/>
                <w:szCs w:val="24"/>
              </w:rPr>
            </w:pPr>
            <w:r>
              <w:rPr>
                <w:rFonts w:ascii="Times New Roman" w:hAnsi="Times New Roman"/>
                <w:b w:val="0"/>
                <w:color w:val="000000"/>
                <w:sz w:val="24"/>
                <w:szCs w:val="24"/>
              </w:rPr>
              <w:t>13068.22</w:t>
            </w:r>
          </w:p>
        </w:tc>
        <w:tc>
          <w:tcPr>
            <w:tcW w:w="1069"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13068.22</w:t>
            </w:r>
          </w:p>
        </w:tc>
        <w:tc>
          <w:tcPr>
            <w:tcW w:w="890"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100%</w:t>
            </w:r>
          </w:p>
        </w:tc>
      </w:tr>
    </w:tbl>
    <w:p>
      <w:pPr>
        <w:autoSpaceDE w:val="0"/>
        <w:autoSpaceDN w:val="0"/>
        <w:adjustRightInd w:val="0"/>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由计算表可知，本工程的透水铺装率为100%，符合相关文件要求。</w:t>
      </w:r>
    </w:p>
    <w:p>
      <w:pPr>
        <w:numPr>
          <w:ilvl w:val="0"/>
          <w:numId w:val="52"/>
        </w:numPr>
        <w:tabs>
          <w:tab w:val="left" w:pos="360"/>
        </w:tabs>
        <w:autoSpaceDE w:val="0"/>
        <w:autoSpaceDN w:val="0"/>
        <w:adjustRightInd w:val="0"/>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单位硬化面积调蓄容积</w:t>
      </w:r>
    </w:p>
    <w:tbl>
      <w:tblPr>
        <w:tblStyle w:val="32"/>
        <w:tblW w:w="4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3"/>
        <w:gridCol w:w="2092"/>
        <w:gridCol w:w="1792"/>
        <w:gridCol w:w="1781"/>
        <w:gridCol w:w="2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25"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序号</w:t>
            </w:r>
          </w:p>
        </w:tc>
        <w:tc>
          <w:tcPr>
            <w:tcW w:w="1248"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道路名称</w:t>
            </w:r>
          </w:p>
        </w:tc>
        <w:tc>
          <w:tcPr>
            <w:tcW w:w="1069"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建设后硬化面积（m</w:t>
            </w:r>
            <w:r>
              <w:rPr>
                <w:rFonts w:eastAsiaTheme="minorEastAsia"/>
                <w:color w:val="000000"/>
                <w:vertAlign w:val="superscript"/>
              </w:rPr>
              <w:t>2</w:t>
            </w:r>
            <w:r>
              <w:rPr>
                <w:rFonts w:eastAsiaTheme="minorEastAsia"/>
                <w:color w:val="000000"/>
              </w:rPr>
              <w:t>）</w:t>
            </w:r>
          </w:p>
        </w:tc>
        <w:tc>
          <w:tcPr>
            <w:tcW w:w="1062"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设施调蓄容积V</w:t>
            </w:r>
            <w:r>
              <w:rPr>
                <w:rFonts w:eastAsiaTheme="minorEastAsia"/>
                <w:color w:val="000000"/>
                <w:vertAlign w:val="subscript"/>
              </w:rPr>
              <w:t>调</w:t>
            </w:r>
            <w:r>
              <w:rPr>
                <w:rFonts w:eastAsiaTheme="minorEastAsia"/>
                <w:color w:val="000000"/>
              </w:rPr>
              <w:t>（m</w:t>
            </w:r>
            <w:r>
              <w:rPr>
                <w:rFonts w:eastAsiaTheme="minorEastAsia"/>
                <w:color w:val="000000"/>
                <w:vertAlign w:val="superscript"/>
              </w:rPr>
              <w:t>3</w:t>
            </w:r>
            <w:r>
              <w:rPr>
                <w:rFonts w:eastAsiaTheme="minorEastAsia"/>
                <w:color w:val="000000"/>
              </w:rPr>
              <w:t>）</w:t>
            </w:r>
          </w:p>
        </w:tc>
        <w:tc>
          <w:tcPr>
            <w:tcW w:w="1194"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eastAsiaTheme="minorEastAsia"/>
                <w:color w:val="000000"/>
              </w:rPr>
              <w:t>单位硬化面积调蓄容积（m</w:t>
            </w:r>
            <w:r>
              <w:rPr>
                <w:rFonts w:eastAsiaTheme="minorEastAsia"/>
                <w:color w:val="000000"/>
                <w:vertAlign w:val="superscript"/>
              </w:rPr>
              <w:t>3</w:t>
            </w:r>
            <w:r>
              <w:rPr>
                <w:rFonts w:eastAsiaTheme="minorEastAsia"/>
                <w:color w:val="000000"/>
              </w:rPr>
              <w:t>/ha）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425"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hint="eastAsia" w:eastAsiaTheme="minorEastAsia"/>
                <w:color w:val="000000"/>
              </w:rPr>
              <w:t>1</w:t>
            </w:r>
          </w:p>
        </w:tc>
        <w:tc>
          <w:tcPr>
            <w:tcW w:w="1248"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二十涌北路</w:t>
            </w:r>
          </w:p>
        </w:tc>
        <w:tc>
          <w:tcPr>
            <w:tcW w:w="1069"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42914</w:t>
            </w:r>
          </w:p>
        </w:tc>
        <w:tc>
          <w:tcPr>
            <w:tcW w:w="1062"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1687.01</w:t>
            </w:r>
          </w:p>
        </w:tc>
        <w:tc>
          <w:tcPr>
            <w:tcW w:w="1194"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393.24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425"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rFonts w:hint="eastAsia" w:eastAsiaTheme="minorEastAsia"/>
                <w:color w:val="000000"/>
              </w:rPr>
              <w:t>2</w:t>
            </w:r>
          </w:p>
        </w:tc>
        <w:tc>
          <w:tcPr>
            <w:tcW w:w="1248"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规划纵三路</w:t>
            </w:r>
          </w:p>
        </w:tc>
        <w:tc>
          <w:tcPr>
            <w:tcW w:w="1069"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39876.30</w:t>
            </w:r>
          </w:p>
        </w:tc>
        <w:tc>
          <w:tcPr>
            <w:tcW w:w="1062" w:type="pct"/>
            <w:tcBorders>
              <w:top w:val="single" w:color="auto" w:sz="4" w:space="0"/>
              <w:left w:val="single" w:color="auto" w:sz="4" w:space="0"/>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1396.95</w:t>
            </w:r>
          </w:p>
        </w:tc>
        <w:tc>
          <w:tcPr>
            <w:tcW w:w="1194" w:type="pct"/>
            <w:tcBorders>
              <w:top w:val="single" w:color="auto" w:sz="4" w:space="0"/>
              <w:left w:val="nil"/>
              <w:bottom w:val="single" w:color="auto" w:sz="4" w:space="0"/>
              <w:right w:val="single" w:color="auto" w:sz="4" w:space="0"/>
            </w:tcBorders>
            <w:vAlign w:val="center"/>
          </w:tcPr>
          <w:p>
            <w:pPr>
              <w:pStyle w:val="397"/>
              <w:autoSpaceDE w:val="0"/>
              <w:spacing w:before="193" w:line="240" w:lineRule="auto"/>
              <w:ind w:firstLine="0" w:firstLineChars="0"/>
              <w:jc w:val="center"/>
              <w:rPr>
                <w:rFonts w:eastAsiaTheme="minorEastAsia"/>
                <w:color w:val="000000"/>
              </w:rPr>
            </w:pPr>
            <w:r>
              <w:rPr>
                <w:color w:val="000000"/>
              </w:rPr>
              <w:t>350.11</w:t>
            </w:r>
          </w:p>
        </w:tc>
      </w:tr>
    </w:tbl>
    <w:p>
      <w:pPr>
        <w:tabs>
          <w:tab w:val="left" w:pos="360"/>
        </w:tabs>
        <w:autoSpaceDE w:val="0"/>
        <w:autoSpaceDN w:val="0"/>
        <w:adjustRightInd w:val="0"/>
        <w:spacing w:line="360" w:lineRule="auto"/>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单位硬化面积调蓄容积均＜500m</w:t>
      </w:r>
      <w:r>
        <w:rPr>
          <w:rFonts w:ascii="Times New Roman" w:hAnsi="Times New Roman" w:eastAsiaTheme="minorEastAsia"/>
          <w:b w:val="0"/>
          <w:color w:val="000000"/>
          <w:sz w:val="24"/>
          <w:szCs w:val="24"/>
          <w:vertAlign w:val="superscript"/>
        </w:rPr>
        <w:t>3</w:t>
      </w:r>
      <w:r>
        <w:rPr>
          <w:rFonts w:ascii="Times New Roman" w:hAnsi="Times New Roman" w:eastAsiaTheme="minorEastAsia"/>
          <w:b w:val="0"/>
          <w:color w:val="000000"/>
          <w:sz w:val="24"/>
          <w:szCs w:val="24"/>
        </w:rPr>
        <w:t>/ha，该项指标为鼓励性指标。</w:t>
      </w:r>
    </w:p>
    <w:p>
      <w:pPr>
        <w:numPr>
          <w:ilvl w:val="0"/>
          <w:numId w:val="52"/>
        </w:numPr>
        <w:tabs>
          <w:tab w:val="left" w:pos="360"/>
        </w:tabs>
        <w:autoSpaceDE w:val="0"/>
        <w:autoSpaceDN w:val="0"/>
        <w:adjustRightInd w:val="0"/>
        <w:spacing w:line="360" w:lineRule="auto"/>
        <w:ind w:firstLine="480" w:firstLineChars="200"/>
        <w:jc w:val="left"/>
        <w:rPr>
          <w:rFonts w:ascii="Times New Roman" w:hAnsi="Times New Roman" w:eastAsiaTheme="minorEastAsia"/>
          <w:b w:val="0"/>
          <w:color w:val="000000"/>
          <w:kern w:val="0"/>
          <w:sz w:val="24"/>
          <w:szCs w:val="24"/>
        </w:rPr>
      </w:pPr>
      <w:r>
        <w:rPr>
          <w:rFonts w:ascii="Times New Roman" w:hAnsi="Times New Roman" w:eastAsiaTheme="minorEastAsia"/>
          <w:b w:val="0"/>
          <w:color w:val="000000"/>
          <w:kern w:val="0"/>
          <w:sz w:val="24"/>
          <w:szCs w:val="24"/>
        </w:rPr>
        <w:t>建设前后雨水径流量计算</w:t>
      </w:r>
    </w:p>
    <w:p>
      <w:pPr>
        <w:pStyle w:val="398"/>
        <w:spacing w:before="193"/>
        <w:ind w:left="426" w:firstLine="480" w:firstLineChars="200"/>
        <w:rPr>
          <w:rFonts w:eastAsiaTheme="minorEastAsia"/>
          <w:color w:val="000000"/>
          <w:highlight w:val="yellow"/>
        </w:rPr>
      </w:pPr>
      <w:r>
        <w:rPr>
          <w:rFonts w:eastAsiaTheme="minorEastAsia"/>
          <w:color w:val="000000"/>
        </w:rPr>
        <w:t>（</w:t>
      </w:r>
      <w:r>
        <w:rPr>
          <w:rFonts w:hint="eastAsia" w:eastAsiaTheme="minorEastAsia"/>
          <w:color w:val="000000"/>
          <w:highlight w:val="yellow"/>
        </w:rPr>
        <w:t>1</w:t>
      </w:r>
      <w:r>
        <w:rPr>
          <w:rFonts w:eastAsiaTheme="minorEastAsia"/>
          <w:color w:val="000000"/>
          <w:highlight w:val="yellow"/>
        </w:rPr>
        <w:t>）二十涌北路</w:t>
      </w:r>
    </w:p>
    <w:tbl>
      <w:tblPr>
        <w:tblStyle w:val="39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4"/>
        <w:gridCol w:w="1686"/>
        <w:gridCol w:w="1496"/>
        <w:gridCol w:w="1496"/>
        <w:gridCol w:w="1496"/>
        <w:gridCol w:w="1496"/>
        <w:gridCol w:w="18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6" w:hRule="atLeast"/>
          <w:jc w:val="center"/>
        </w:trPr>
        <w:tc>
          <w:tcPr>
            <w:tcW w:w="825" w:type="pct"/>
            <w:vAlign w:val="center"/>
          </w:tcPr>
          <w:p>
            <w:pPr>
              <w:widowControl/>
              <w:jc w:val="center"/>
              <w:rPr>
                <w:rFonts w:ascii="Times New Roman" w:hAnsi="Times New Roman"/>
                <w:b w:val="0"/>
                <w:color w:val="000000"/>
                <w:kern w:val="0"/>
                <w:sz w:val="24"/>
                <w:szCs w:val="24"/>
                <w:highlight w:val="yellow"/>
              </w:rPr>
            </w:pPr>
            <w:bookmarkStart w:id="494" w:name="_Hlk145408149"/>
            <w:r>
              <w:rPr>
                <w:rFonts w:ascii="Times New Roman" w:hAnsi="Times New Roman"/>
                <w:b w:val="0"/>
                <w:color w:val="000000"/>
                <w:kern w:val="0"/>
                <w:sz w:val="24"/>
                <w:szCs w:val="24"/>
                <w:highlight w:val="yellow"/>
              </w:rPr>
              <w:t>路名</w:t>
            </w:r>
          </w:p>
        </w:tc>
        <w:tc>
          <w:tcPr>
            <w:tcW w:w="1184" w:type="pct"/>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沥青路面面积（㎡）</w:t>
            </w:r>
          </w:p>
        </w:tc>
        <w:tc>
          <w:tcPr>
            <w:tcW w:w="586" w:type="pct"/>
            <w:vAlign w:val="center"/>
          </w:tcPr>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水面面积</w:t>
            </w:r>
          </w:p>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w:t>
            </w:r>
          </w:p>
        </w:tc>
        <w:tc>
          <w:tcPr>
            <w:tcW w:w="586" w:type="pct"/>
            <w:vAlign w:val="center"/>
          </w:tcPr>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土路面积</w:t>
            </w:r>
          </w:p>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w:t>
            </w:r>
          </w:p>
        </w:tc>
        <w:tc>
          <w:tcPr>
            <w:tcW w:w="467" w:type="pct"/>
            <w:vAlign w:val="center"/>
          </w:tcPr>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绿地</w:t>
            </w:r>
          </w:p>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w:t>
            </w:r>
          </w:p>
        </w:tc>
        <w:tc>
          <w:tcPr>
            <w:tcW w:w="586" w:type="pct"/>
            <w:vAlign w:val="center"/>
          </w:tcPr>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合计</w:t>
            </w:r>
          </w:p>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w:t>
            </w:r>
          </w:p>
        </w:tc>
        <w:tc>
          <w:tcPr>
            <w:tcW w:w="766" w:type="pct"/>
            <w:vAlign w:val="center"/>
          </w:tcPr>
          <w:p>
            <w:pPr>
              <w:widowControl/>
              <w:ind w:firstLine="480" w:firstLineChars="200"/>
              <w:jc w:val="center"/>
              <w:rPr>
                <w:rFonts w:ascii="Times New Roman" w:hAnsi="Times New Roman" w:eastAsiaTheme="minorEastAsia"/>
                <w:b w:val="0"/>
                <w:color w:val="000000"/>
                <w:sz w:val="24"/>
                <w:szCs w:val="24"/>
                <w:highlight w:val="yellow"/>
              </w:rPr>
            </w:pPr>
            <w:r>
              <w:rPr>
                <w:rFonts w:ascii="Times New Roman" w:hAnsi="Times New Roman"/>
                <w:b w:val="0"/>
                <w:color w:val="000000"/>
                <w:kern w:val="0"/>
                <w:sz w:val="24"/>
                <w:szCs w:val="24"/>
                <w:highlight w:val="yellow"/>
              </w:rPr>
              <w:t>暴雨强度</w:t>
            </w:r>
          </w:p>
          <w:p>
            <w:pPr>
              <w:tabs>
                <w:tab w:val="left" w:pos="360"/>
              </w:tabs>
              <w:autoSpaceDE w:val="0"/>
              <w:autoSpaceDN w:val="0"/>
              <w:adjustRightInd w:val="0"/>
              <w:spacing w:before="193" w:after="193" w:line="360" w:lineRule="auto"/>
              <w:ind w:firstLine="480" w:firstLineChars="200"/>
              <w:jc w:val="center"/>
              <w:rPr>
                <w:rFonts w:ascii="Times New Roman" w:hAnsi="Times New Roman" w:eastAsiaTheme="minorEastAsia"/>
                <w:b w:val="0"/>
                <w:color w:val="000000"/>
                <w:sz w:val="24"/>
                <w:szCs w:val="24"/>
                <w:highlight w:val="yellow"/>
              </w:rPr>
            </w:pPr>
            <w:r>
              <w:rPr>
                <w:rFonts w:ascii="Times New Roman" w:hAnsi="Times New Roman" w:eastAsiaTheme="minorEastAsia"/>
                <w:b w:val="0"/>
                <w:color w:val="000000"/>
                <w:sz w:val="24"/>
                <w:szCs w:val="24"/>
                <w:highlight w:val="yellow"/>
              </w:rPr>
              <w:t>（L/s·ha）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5" w:type="pct"/>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二十涌北路</w:t>
            </w:r>
          </w:p>
        </w:tc>
        <w:tc>
          <w:tcPr>
            <w:tcW w:w="1184" w:type="pct"/>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0</w:t>
            </w:r>
          </w:p>
        </w:tc>
        <w:tc>
          <w:tcPr>
            <w:tcW w:w="586" w:type="pct"/>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76704.4</w:t>
            </w:r>
          </w:p>
        </w:tc>
        <w:tc>
          <w:tcPr>
            <w:tcW w:w="586" w:type="pct"/>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14541.08</w:t>
            </w:r>
          </w:p>
        </w:tc>
        <w:tc>
          <w:tcPr>
            <w:tcW w:w="467" w:type="pct"/>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0</w:t>
            </w:r>
          </w:p>
        </w:tc>
        <w:tc>
          <w:tcPr>
            <w:tcW w:w="586" w:type="pct"/>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91245.48</w:t>
            </w:r>
          </w:p>
        </w:tc>
        <w:tc>
          <w:tcPr>
            <w:tcW w:w="766" w:type="pct"/>
            <w:vMerge w:val="restart"/>
            <w:vAlign w:val="center"/>
          </w:tcPr>
          <w:p>
            <w:pPr>
              <w:widowControl/>
              <w:jc w:val="left"/>
              <w:rPr>
                <w:rFonts w:ascii="Times New Roman" w:hAnsi="Times New Roman" w:eastAsiaTheme="minorEastAsia"/>
                <w:b w:val="0"/>
                <w:color w:val="000000"/>
                <w:sz w:val="24"/>
                <w:szCs w:val="24"/>
                <w:highlight w:val="yellow"/>
              </w:rPr>
            </w:pPr>
            <w:r>
              <w:rPr>
                <w:rFonts w:ascii="Times New Roman" w:hAnsi="Times New Roman" w:eastAsiaTheme="minorEastAsia"/>
                <w:b w:val="0"/>
                <w:color w:val="000000"/>
                <w:sz w:val="24"/>
                <w:szCs w:val="24"/>
                <w:highlight w:val="yellow"/>
              </w:rPr>
              <w:t>483.96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5" w:type="pct"/>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分项径流系数</w:t>
            </w:r>
          </w:p>
        </w:tc>
        <w:tc>
          <w:tcPr>
            <w:tcW w:w="1184" w:type="pct"/>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0.9</w:t>
            </w:r>
          </w:p>
        </w:tc>
        <w:tc>
          <w:tcPr>
            <w:tcW w:w="586" w:type="pct"/>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1</w:t>
            </w:r>
          </w:p>
        </w:tc>
        <w:tc>
          <w:tcPr>
            <w:tcW w:w="586" w:type="pct"/>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0.3</w:t>
            </w:r>
          </w:p>
        </w:tc>
        <w:tc>
          <w:tcPr>
            <w:tcW w:w="467" w:type="pct"/>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0.15</w:t>
            </w:r>
          </w:p>
        </w:tc>
        <w:tc>
          <w:tcPr>
            <w:tcW w:w="586" w:type="pct"/>
            <w:vAlign w:val="center"/>
          </w:tcPr>
          <w:p>
            <w:pPr>
              <w:widowControl/>
              <w:jc w:val="center"/>
              <w:rPr>
                <w:rFonts w:ascii="Times New Roman" w:hAnsi="Times New Roman"/>
                <w:b w:val="0"/>
                <w:color w:val="000000"/>
                <w:kern w:val="0"/>
                <w:sz w:val="24"/>
                <w:szCs w:val="24"/>
                <w:highlight w:val="yellow"/>
              </w:rPr>
            </w:pPr>
          </w:p>
        </w:tc>
        <w:tc>
          <w:tcPr>
            <w:tcW w:w="766" w:type="pct"/>
            <w:vMerge w:val="continue"/>
            <w:vAlign w:val="center"/>
          </w:tcPr>
          <w:p>
            <w:pPr>
              <w:tabs>
                <w:tab w:val="left" w:pos="360"/>
              </w:tabs>
              <w:autoSpaceDE w:val="0"/>
              <w:autoSpaceDN w:val="0"/>
              <w:adjustRightInd w:val="0"/>
              <w:spacing w:before="193" w:after="193" w:line="360" w:lineRule="auto"/>
              <w:jc w:val="center"/>
              <w:rPr>
                <w:rFonts w:ascii="Times New Roman" w:hAnsi="Times New Roman" w:eastAsiaTheme="minorEastAsia"/>
                <w:b w:val="0"/>
                <w:color w:val="000000"/>
                <w:sz w:val="24"/>
                <w:szCs w:val="24"/>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5" w:type="pct"/>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综合径流系数</w:t>
            </w:r>
          </w:p>
        </w:tc>
        <w:tc>
          <w:tcPr>
            <w:tcW w:w="3409" w:type="pct"/>
            <w:gridSpan w:val="5"/>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0.89</w:t>
            </w:r>
          </w:p>
        </w:tc>
        <w:tc>
          <w:tcPr>
            <w:tcW w:w="766" w:type="pct"/>
            <w:vMerge w:val="continue"/>
            <w:vAlign w:val="center"/>
          </w:tcPr>
          <w:p>
            <w:pPr>
              <w:tabs>
                <w:tab w:val="left" w:pos="360"/>
              </w:tabs>
              <w:autoSpaceDE w:val="0"/>
              <w:autoSpaceDN w:val="0"/>
              <w:adjustRightInd w:val="0"/>
              <w:spacing w:before="193" w:after="193" w:line="360" w:lineRule="auto"/>
              <w:jc w:val="center"/>
              <w:rPr>
                <w:rFonts w:ascii="Times New Roman" w:hAnsi="Times New Roman" w:eastAsiaTheme="minorEastAsia"/>
                <w:b w:val="0"/>
                <w:color w:val="000000"/>
                <w:sz w:val="24"/>
                <w:szCs w:val="24"/>
                <w:highlight w:val="yellow"/>
              </w:rPr>
            </w:pPr>
          </w:p>
        </w:tc>
      </w:tr>
      <w:bookmarkEnd w:id="494"/>
    </w:tbl>
    <w:p>
      <w:pPr>
        <w:pStyle w:val="398"/>
        <w:spacing w:before="193"/>
        <w:ind w:left="426" w:firstLine="480" w:firstLineChars="200"/>
        <w:rPr>
          <w:rFonts w:eastAsiaTheme="minorEastAsia"/>
          <w:color w:val="000000"/>
          <w:highlight w:val="yellow"/>
        </w:rPr>
      </w:pPr>
      <w:r>
        <w:rPr>
          <w:rFonts w:eastAsiaTheme="minorEastAsia"/>
          <w:color w:val="000000"/>
          <w:highlight w:val="yellow"/>
        </w:rPr>
        <w:t>建设前径流量Q</w:t>
      </w:r>
      <w:r>
        <w:rPr>
          <w:rFonts w:eastAsiaTheme="minorEastAsia"/>
          <w:color w:val="000000"/>
          <w:highlight w:val="yellow"/>
          <w:vertAlign w:val="subscript"/>
        </w:rPr>
        <w:t>js</w:t>
      </w:r>
      <w:r>
        <w:rPr>
          <w:rFonts w:eastAsiaTheme="minorEastAsia"/>
          <w:color w:val="000000"/>
          <w:highlight w:val="yellow"/>
        </w:rPr>
        <w:t>q=483.96*91245.48/10000*0.89=3930.17L/s；</w:t>
      </w:r>
    </w:p>
    <w:tbl>
      <w:tblPr>
        <w:tblStyle w:val="39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89"/>
        <w:gridCol w:w="1332"/>
        <w:gridCol w:w="1496"/>
        <w:gridCol w:w="1496"/>
        <w:gridCol w:w="1496"/>
        <w:gridCol w:w="1496"/>
        <w:gridCol w:w="18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3"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路名</w:t>
            </w:r>
          </w:p>
        </w:tc>
        <w:tc>
          <w:tcPr>
            <w:tcW w:w="1542"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沥青路面面积（㎡）</w:t>
            </w:r>
          </w:p>
        </w:tc>
        <w:tc>
          <w:tcPr>
            <w:tcW w:w="1474" w:type="dxa"/>
            <w:vAlign w:val="center"/>
          </w:tcPr>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透水路面面积</w:t>
            </w:r>
          </w:p>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w:t>
            </w:r>
          </w:p>
        </w:tc>
        <w:tc>
          <w:tcPr>
            <w:tcW w:w="1055" w:type="dxa"/>
            <w:vAlign w:val="center"/>
          </w:tcPr>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土路面积</w:t>
            </w:r>
          </w:p>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w:t>
            </w:r>
          </w:p>
        </w:tc>
        <w:tc>
          <w:tcPr>
            <w:tcW w:w="1056" w:type="dxa"/>
            <w:vAlign w:val="center"/>
          </w:tcPr>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绿地</w:t>
            </w:r>
          </w:p>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w:t>
            </w:r>
          </w:p>
        </w:tc>
        <w:tc>
          <w:tcPr>
            <w:tcW w:w="1056" w:type="dxa"/>
            <w:vAlign w:val="center"/>
          </w:tcPr>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合计</w:t>
            </w:r>
          </w:p>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w:t>
            </w:r>
          </w:p>
        </w:tc>
        <w:tc>
          <w:tcPr>
            <w:tcW w:w="1371" w:type="dxa"/>
            <w:vAlign w:val="center"/>
          </w:tcPr>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暴雨强度</w:t>
            </w:r>
          </w:p>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（L/s·ha）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3"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二十涌北路</w:t>
            </w:r>
          </w:p>
        </w:tc>
        <w:tc>
          <w:tcPr>
            <w:tcW w:w="1542"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42914</w:t>
            </w:r>
          </w:p>
        </w:tc>
        <w:tc>
          <w:tcPr>
            <w:tcW w:w="1474"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32855.53</w:t>
            </w:r>
          </w:p>
        </w:tc>
        <w:tc>
          <w:tcPr>
            <w:tcW w:w="1055"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0</w:t>
            </w:r>
          </w:p>
        </w:tc>
        <w:tc>
          <w:tcPr>
            <w:tcW w:w="1056"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14079.73</w:t>
            </w:r>
          </w:p>
        </w:tc>
        <w:tc>
          <w:tcPr>
            <w:tcW w:w="1056"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91245.48</w:t>
            </w:r>
          </w:p>
        </w:tc>
        <w:tc>
          <w:tcPr>
            <w:tcW w:w="1371" w:type="dxa"/>
            <w:vMerge w:val="restart"/>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483.96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3"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分项径流系数</w:t>
            </w:r>
          </w:p>
        </w:tc>
        <w:tc>
          <w:tcPr>
            <w:tcW w:w="1542" w:type="dxa"/>
            <w:vAlign w:val="center"/>
          </w:tcPr>
          <w:p>
            <w:pPr>
              <w:tabs>
                <w:tab w:val="left" w:pos="360"/>
              </w:tabs>
              <w:autoSpaceDE w:val="0"/>
              <w:autoSpaceDN w:val="0"/>
              <w:adjustRightInd w:val="0"/>
              <w:spacing w:line="360" w:lineRule="auto"/>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0.9</w:t>
            </w:r>
          </w:p>
        </w:tc>
        <w:tc>
          <w:tcPr>
            <w:tcW w:w="1474" w:type="dxa"/>
            <w:vAlign w:val="center"/>
          </w:tcPr>
          <w:p>
            <w:pPr>
              <w:tabs>
                <w:tab w:val="left" w:pos="360"/>
              </w:tabs>
              <w:autoSpaceDE w:val="0"/>
              <w:autoSpaceDN w:val="0"/>
              <w:adjustRightInd w:val="0"/>
              <w:spacing w:line="360" w:lineRule="auto"/>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0.25</w:t>
            </w:r>
          </w:p>
        </w:tc>
        <w:tc>
          <w:tcPr>
            <w:tcW w:w="1055" w:type="dxa"/>
            <w:vAlign w:val="center"/>
          </w:tcPr>
          <w:p>
            <w:pPr>
              <w:tabs>
                <w:tab w:val="left" w:pos="360"/>
              </w:tabs>
              <w:autoSpaceDE w:val="0"/>
              <w:autoSpaceDN w:val="0"/>
              <w:adjustRightInd w:val="0"/>
              <w:spacing w:line="360" w:lineRule="auto"/>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0</w:t>
            </w:r>
          </w:p>
        </w:tc>
        <w:tc>
          <w:tcPr>
            <w:tcW w:w="1056" w:type="dxa"/>
            <w:vAlign w:val="center"/>
          </w:tcPr>
          <w:p>
            <w:pPr>
              <w:tabs>
                <w:tab w:val="left" w:pos="360"/>
              </w:tabs>
              <w:autoSpaceDE w:val="0"/>
              <w:autoSpaceDN w:val="0"/>
              <w:adjustRightInd w:val="0"/>
              <w:spacing w:line="360" w:lineRule="auto"/>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0.15</w:t>
            </w:r>
          </w:p>
        </w:tc>
        <w:tc>
          <w:tcPr>
            <w:tcW w:w="1056" w:type="dxa"/>
            <w:vAlign w:val="center"/>
          </w:tcPr>
          <w:p>
            <w:pPr>
              <w:tabs>
                <w:tab w:val="left" w:pos="360"/>
              </w:tabs>
              <w:autoSpaceDE w:val="0"/>
              <w:autoSpaceDN w:val="0"/>
              <w:adjustRightInd w:val="0"/>
              <w:spacing w:line="360" w:lineRule="auto"/>
              <w:jc w:val="center"/>
              <w:rPr>
                <w:rFonts w:ascii="Times New Roman" w:hAnsi="Times New Roman"/>
                <w:b w:val="0"/>
                <w:color w:val="000000"/>
                <w:kern w:val="0"/>
                <w:sz w:val="24"/>
                <w:szCs w:val="24"/>
                <w:highlight w:val="yellow"/>
              </w:rPr>
            </w:pPr>
          </w:p>
        </w:tc>
        <w:tc>
          <w:tcPr>
            <w:tcW w:w="1371" w:type="dxa"/>
            <w:vMerge w:val="continue"/>
            <w:vAlign w:val="center"/>
          </w:tcPr>
          <w:p>
            <w:pPr>
              <w:tabs>
                <w:tab w:val="left" w:pos="360"/>
              </w:tabs>
              <w:autoSpaceDE w:val="0"/>
              <w:autoSpaceDN w:val="0"/>
              <w:adjustRightInd w:val="0"/>
              <w:spacing w:line="360" w:lineRule="auto"/>
              <w:jc w:val="center"/>
              <w:rPr>
                <w:rFonts w:ascii="Times New Roman" w:hAnsi="Times New Roman" w:eastAsiaTheme="minorEastAsia"/>
                <w:b w:val="0"/>
                <w:color w:val="000000"/>
                <w:sz w:val="24"/>
                <w:szCs w:val="24"/>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3"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综合径流系数</w:t>
            </w:r>
          </w:p>
        </w:tc>
        <w:tc>
          <w:tcPr>
            <w:tcW w:w="6183" w:type="dxa"/>
            <w:gridSpan w:val="5"/>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0.54</w:t>
            </w:r>
          </w:p>
        </w:tc>
        <w:tc>
          <w:tcPr>
            <w:tcW w:w="1371" w:type="dxa"/>
            <w:vMerge w:val="continue"/>
            <w:vAlign w:val="center"/>
          </w:tcPr>
          <w:p>
            <w:pPr>
              <w:tabs>
                <w:tab w:val="left" w:pos="360"/>
              </w:tabs>
              <w:autoSpaceDE w:val="0"/>
              <w:autoSpaceDN w:val="0"/>
              <w:adjustRightInd w:val="0"/>
              <w:spacing w:line="360" w:lineRule="auto"/>
              <w:jc w:val="center"/>
              <w:rPr>
                <w:rFonts w:ascii="Times New Roman" w:hAnsi="Times New Roman" w:eastAsiaTheme="minorEastAsia"/>
                <w:b w:val="0"/>
                <w:color w:val="000000"/>
                <w:sz w:val="24"/>
                <w:szCs w:val="24"/>
                <w:highlight w:val="yellow"/>
              </w:rPr>
            </w:pPr>
          </w:p>
        </w:tc>
      </w:tr>
    </w:tbl>
    <w:p>
      <w:pPr>
        <w:tabs>
          <w:tab w:val="left" w:pos="360"/>
        </w:tabs>
        <w:autoSpaceDE w:val="0"/>
        <w:autoSpaceDN w:val="0"/>
        <w:adjustRightInd w:val="0"/>
        <w:spacing w:line="360" w:lineRule="auto"/>
        <w:ind w:firstLine="480" w:firstLineChars="200"/>
        <w:rPr>
          <w:rFonts w:ascii="Times New Roman" w:hAnsi="Times New Roman" w:eastAsiaTheme="minorEastAsia"/>
          <w:b w:val="0"/>
          <w:color w:val="000000"/>
          <w:sz w:val="24"/>
          <w:szCs w:val="24"/>
          <w:highlight w:val="yellow"/>
        </w:rPr>
      </w:pPr>
      <w:r>
        <w:rPr>
          <w:rFonts w:ascii="Times New Roman" w:hAnsi="Times New Roman" w:eastAsiaTheme="minorEastAsia"/>
          <w:b w:val="0"/>
          <w:color w:val="000000"/>
          <w:sz w:val="24"/>
          <w:szCs w:val="24"/>
          <w:highlight w:val="yellow"/>
        </w:rPr>
        <w:t>二十涌北路建设后未考虑削减措施时径流量Q</w:t>
      </w:r>
      <w:r>
        <w:rPr>
          <w:rFonts w:ascii="Times New Roman" w:hAnsi="Times New Roman" w:eastAsiaTheme="minorEastAsia"/>
          <w:b w:val="0"/>
          <w:color w:val="000000"/>
          <w:sz w:val="24"/>
          <w:szCs w:val="24"/>
          <w:highlight w:val="yellow"/>
          <w:vertAlign w:val="subscript"/>
        </w:rPr>
        <w:t>jsh1</w:t>
      </w:r>
      <w:r>
        <w:rPr>
          <w:rFonts w:ascii="Times New Roman" w:hAnsi="Times New Roman" w:eastAsiaTheme="minorEastAsia"/>
          <w:b w:val="0"/>
          <w:color w:val="000000"/>
          <w:sz w:val="24"/>
          <w:szCs w:val="24"/>
          <w:highlight w:val="yellow"/>
        </w:rPr>
        <w:t>=483.96*91245.48/10000*0.54=2384.59L/s；</w:t>
      </w:r>
    </w:p>
    <w:p>
      <w:pPr>
        <w:pStyle w:val="398"/>
        <w:spacing w:before="193"/>
        <w:ind w:left="560" w:leftChars="200" w:firstLine="480" w:firstLineChars="200"/>
        <w:jc w:val="both"/>
        <w:rPr>
          <w:rFonts w:eastAsiaTheme="minorEastAsia"/>
          <w:color w:val="000000"/>
          <w:highlight w:val="yellow"/>
        </w:rPr>
      </w:pPr>
      <w:r>
        <w:rPr>
          <w:rFonts w:eastAsiaTheme="minorEastAsia"/>
          <w:color w:val="000000"/>
          <w:highlight w:val="yellow"/>
        </w:rPr>
        <w:t>二十涌北路下沉式绿地径流削减量：</w:t>
      </w:r>
    </w:p>
    <w:p>
      <w:pPr>
        <w:pStyle w:val="398"/>
        <w:spacing w:before="193"/>
        <w:ind w:left="560" w:leftChars="200" w:firstLine="480" w:firstLineChars="200"/>
        <w:jc w:val="both"/>
        <w:rPr>
          <w:rFonts w:eastAsiaTheme="minorEastAsia"/>
          <w:color w:val="000000"/>
          <w:highlight w:val="yellow"/>
        </w:rPr>
      </w:pPr>
      <m:oMath>
        <m:sSub>
          <m:sSubPr>
            <m:ctrlPr>
              <w:rPr>
                <w:rFonts w:ascii="Cambria Math" w:hAnsi="Cambria Math"/>
                <w:color w:val="000000"/>
                <w:szCs w:val="21"/>
                <w:highlight w:val="yellow"/>
              </w:rPr>
            </m:ctrlPr>
          </m:sSubPr>
          <m:e>
            <m:r>
              <m:rPr/>
              <w:rPr>
                <w:rFonts w:ascii="Cambria Math" w:hAnsi="Cambria Math"/>
                <w:color w:val="000000"/>
                <w:szCs w:val="21"/>
                <w:highlight w:val="yellow"/>
              </w:rPr>
              <m:t>Q</m:t>
            </m:r>
            <m:ctrlPr>
              <w:rPr>
                <w:rFonts w:ascii="Cambria Math" w:hAnsi="Cambria Math"/>
                <w:color w:val="000000"/>
                <w:szCs w:val="21"/>
                <w:highlight w:val="yellow"/>
              </w:rPr>
            </m:ctrlPr>
          </m:e>
          <m:sub>
            <m:r>
              <m:rPr/>
              <w:rPr>
                <w:rFonts w:ascii="Cambria Math" w:hAnsi="Cambria Math"/>
                <w:color w:val="000000"/>
                <w:szCs w:val="21"/>
                <w:highlight w:val="yellow"/>
              </w:rPr>
              <m:t>txd</m:t>
            </m:r>
            <m:ctrlPr>
              <w:rPr>
                <w:rFonts w:ascii="Cambria Math" w:hAnsi="Cambria Math"/>
                <w:color w:val="000000"/>
                <w:szCs w:val="21"/>
                <w:highlight w:val="yellow"/>
              </w:rPr>
            </m:ctrlPr>
          </m:sub>
        </m:sSub>
        <m:r>
          <m:rPr/>
          <w:rPr>
            <w:rFonts w:ascii="Cambria Math" w:hAnsi="Cambria Math"/>
            <w:color w:val="000000"/>
            <w:szCs w:val="21"/>
            <w:highlight w:val="yellow"/>
          </w:rPr>
          <m:t>=1000(</m:t>
        </m:r>
        <m:f>
          <m:fPr>
            <m:ctrlPr>
              <w:rPr>
                <w:rFonts w:ascii="Cambria Math" w:hAnsi="Cambria Math"/>
                <w:i/>
                <w:color w:val="000000"/>
                <w:szCs w:val="21"/>
                <w:highlight w:val="yellow"/>
              </w:rPr>
            </m:ctrlPr>
          </m:fPr>
          <m:num>
            <m:sSub>
              <m:sSubPr>
                <m:ctrlPr>
                  <w:rPr>
                    <w:rFonts w:ascii="Cambria Math" w:hAnsi="Cambria Math"/>
                    <w:i/>
                    <w:color w:val="000000"/>
                    <w:szCs w:val="21"/>
                    <w:highlight w:val="yellow"/>
                  </w:rPr>
                </m:ctrlPr>
              </m:sSubPr>
              <m:e>
                <m:r>
                  <m:rPr/>
                  <w:rPr>
                    <w:rFonts w:ascii="Cambria Math" w:hAnsi="Cambria Math"/>
                    <w:color w:val="000000"/>
                    <w:szCs w:val="21"/>
                    <w:highlight w:val="yellow"/>
                  </w:rPr>
                  <m:t>V</m:t>
                </m:r>
                <m:ctrlPr>
                  <w:rPr>
                    <w:rFonts w:ascii="Cambria Math" w:hAnsi="Cambria Math"/>
                    <w:i/>
                    <w:color w:val="000000"/>
                    <w:szCs w:val="21"/>
                    <w:highlight w:val="yellow"/>
                  </w:rPr>
                </m:ctrlPr>
              </m:e>
              <m:sub>
                <m:r>
                  <m:rPr/>
                  <w:rPr>
                    <w:rFonts w:ascii="Cambria Math" w:hAnsi="Cambria Math"/>
                    <w:color w:val="000000"/>
                    <w:szCs w:val="21"/>
                    <w:highlight w:val="yellow"/>
                  </w:rPr>
                  <m:t>txd</m:t>
                </m:r>
                <m:ctrlPr>
                  <w:rPr>
                    <w:rFonts w:ascii="Cambria Math" w:hAnsi="Cambria Math"/>
                    <w:i/>
                    <w:color w:val="000000"/>
                    <w:szCs w:val="21"/>
                    <w:highlight w:val="yellow"/>
                  </w:rPr>
                </m:ctrlPr>
              </m:sub>
            </m:sSub>
            <m:ctrlPr>
              <w:rPr>
                <w:rFonts w:ascii="Cambria Math" w:hAnsi="Cambria Math"/>
                <w:i/>
                <w:color w:val="000000"/>
                <w:szCs w:val="21"/>
                <w:highlight w:val="yellow"/>
              </w:rPr>
            </m:ctrlPr>
          </m:num>
          <m:den>
            <m:r>
              <m:rPr/>
              <w:rPr>
                <w:rFonts w:ascii="Cambria Math" w:hAnsi="Cambria Math"/>
                <w:color w:val="000000"/>
                <w:szCs w:val="21"/>
                <w:highlight w:val="yellow"/>
              </w:rPr>
              <m:t>t</m:t>
            </m:r>
            <m:ctrlPr>
              <w:rPr>
                <w:rFonts w:ascii="Cambria Math" w:hAnsi="Cambria Math"/>
                <w:i/>
                <w:color w:val="000000"/>
                <w:szCs w:val="21"/>
                <w:highlight w:val="yellow"/>
              </w:rPr>
            </m:ctrlPr>
          </m:den>
        </m:f>
        <m:r>
          <m:rPr/>
          <w:rPr>
            <w:rFonts w:ascii="Cambria Math" w:hAnsi="Cambria Math"/>
            <w:color w:val="000000"/>
            <w:szCs w:val="21"/>
            <w:highlight w:val="yellow"/>
          </w:rPr>
          <m:t>−</m:t>
        </m:r>
        <m:f>
          <m:fPr>
            <m:ctrlPr>
              <w:rPr>
                <w:rFonts w:ascii="Cambria Math" w:hAnsi="Cambria Math"/>
                <w:i/>
                <w:color w:val="000000"/>
                <w:szCs w:val="21"/>
                <w:highlight w:val="yellow"/>
              </w:rPr>
            </m:ctrlPr>
          </m:fPr>
          <m:num>
            <m:sSub>
              <m:sSubPr>
                <m:ctrlPr>
                  <w:rPr>
                    <w:rFonts w:ascii="Cambria Math" w:hAnsi="Cambria Math"/>
                    <w:i/>
                    <w:color w:val="000000"/>
                    <w:szCs w:val="21"/>
                    <w:highlight w:val="yellow"/>
                  </w:rPr>
                </m:ctrlPr>
              </m:sSubPr>
              <m:e>
                <m:r>
                  <m:rPr/>
                  <w:rPr>
                    <w:rFonts w:ascii="Cambria Math" w:hAnsi="Cambria Math"/>
                    <w:color w:val="000000"/>
                    <w:szCs w:val="21"/>
                    <w:highlight w:val="yellow"/>
                  </w:rPr>
                  <m:t>V</m:t>
                </m:r>
                <m:ctrlPr>
                  <w:rPr>
                    <w:rFonts w:ascii="Cambria Math" w:hAnsi="Cambria Math"/>
                    <w:i/>
                    <w:color w:val="000000"/>
                    <w:szCs w:val="21"/>
                    <w:highlight w:val="yellow"/>
                  </w:rPr>
                </m:ctrlPr>
              </m:e>
              <m:sub>
                <m:r>
                  <m:rPr/>
                  <w:rPr>
                    <w:rFonts w:ascii="Cambria Math" w:hAnsi="Cambria Math"/>
                    <w:color w:val="000000"/>
                    <w:szCs w:val="21"/>
                    <w:highlight w:val="yellow"/>
                  </w:rPr>
                  <m:t>txd</m:t>
                </m:r>
                <m:ctrlPr>
                  <w:rPr>
                    <w:rFonts w:ascii="Cambria Math" w:hAnsi="Cambria Math"/>
                    <w:i/>
                    <w:color w:val="000000"/>
                    <w:szCs w:val="21"/>
                    <w:highlight w:val="yellow"/>
                  </w:rPr>
                </m:ctrlPr>
              </m:sub>
            </m:sSub>
            <m:ctrlPr>
              <w:rPr>
                <w:rFonts w:ascii="Cambria Math" w:hAnsi="Cambria Math"/>
                <w:i/>
                <w:color w:val="000000"/>
                <w:szCs w:val="21"/>
                <w:highlight w:val="yellow"/>
              </w:rPr>
            </m:ctrlPr>
          </m:num>
          <m:den>
            <m:sSub>
              <m:sSubPr>
                <m:ctrlPr>
                  <w:rPr>
                    <w:rFonts w:ascii="Cambria Math" w:hAnsi="Cambria Math"/>
                    <w:i/>
                    <w:color w:val="000000"/>
                    <w:szCs w:val="21"/>
                    <w:highlight w:val="yellow"/>
                  </w:rPr>
                </m:ctrlPr>
              </m:sSubPr>
              <m:e>
                <m:r>
                  <m:rPr/>
                  <w:rPr>
                    <w:rFonts w:ascii="Cambria Math" w:hAnsi="Cambria Math"/>
                    <w:color w:val="000000"/>
                    <w:szCs w:val="21"/>
                    <w:highlight w:val="yellow"/>
                  </w:rPr>
                  <m:t>T</m:t>
                </m:r>
                <m:ctrlPr>
                  <w:rPr>
                    <w:rFonts w:ascii="Cambria Math" w:hAnsi="Cambria Math"/>
                    <w:i/>
                    <w:color w:val="000000"/>
                    <w:szCs w:val="21"/>
                    <w:highlight w:val="yellow"/>
                  </w:rPr>
                </m:ctrlPr>
              </m:e>
              <m:sub>
                <m:r>
                  <m:rPr/>
                  <w:rPr>
                    <w:rFonts w:ascii="Cambria Math" w:hAnsi="Cambria Math"/>
                    <w:color w:val="000000"/>
                    <w:szCs w:val="21"/>
                    <w:highlight w:val="yellow"/>
                  </w:rPr>
                  <m:t>txd</m:t>
                </m:r>
                <m:ctrlPr>
                  <w:rPr>
                    <w:rFonts w:ascii="Cambria Math" w:hAnsi="Cambria Math"/>
                    <w:i/>
                    <w:color w:val="000000"/>
                    <w:szCs w:val="21"/>
                    <w:highlight w:val="yellow"/>
                  </w:rPr>
                </m:ctrlPr>
              </m:sub>
            </m:sSub>
            <m:ctrlPr>
              <w:rPr>
                <w:rFonts w:ascii="Cambria Math" w:hAnsi="Cambria Math"/>
                <w:i/>
                <w:color w:val="000000"/>
                <w:szCs w:val="21"/>
                <w:highlight w:val="yellow"/>
              </w:rPr>
            </m:ctrlPr>
          </m:den>
        </m:f>
        <m:r>
          <m:rPr/>
          <w:rPr>
            <w:rFonts w:ascii="Cambria Math" w:hAnsi="Cambria Math"/>
            <w:color w:val="000000"/>
            <w:szCs w:val="21"/>
            <w:highlight w:val="yellow"/>
          </w:rPr>
          <m:t>)</m:t>
        </m:r>
      </m:oMath>
      <w:r>
        <w:rPr>
          <w:rFonts w:eastAsiaTheme="minorEastAsia"/>
          <w:color w:val="000000"/>
          <w:position w:val="-26"/>
          <w:highlight w:val="yellow"/>
        </w:rPr>
        <w:t>，</w:t>
      </w:r>
      <w:r>
        <w:rPr>
          <w:rFonts w:eastAsiaTheme="minorEastAsia"/>
          <w:color w:val="000000"/>
          <w:highlight w:val="yellow"/>
        </w:rPr>
        <w:t>其中，V</w:t>
      </w:r>
      <w:r>
        <w:rPr>
          <w:rFonts w:eastAsiaTheme="minorEastAsia"/>
          <w:color w:val="000000"/>
          <w:highlight w:val="yellow"/>
          <w:vertAlign w:val="subscript"/>
        </w:rPr>
        <w:t>txd</w:t>
      </w:r>
      <w:r>
        <w:rPr>
          <w:rFonts w:eastAsiaTheme="minorEastAsia"/>
          <w:color w:val="000000"/>
          <w:highlight w:val="yellow"/>
        </w:rPr>
        <w:t>=1687.01m³，t=15min=900s，排空时间按式6.1.6</w:t>
      </w:r>
      <m:oMath>
        <m:sSub>
          <m:sSubPr>
            <m:ctrlPr>
              <w:rPr>
                <w:rFonts w:ascii="Cambria Math" w:hAnsi="Cambria Math"/>
                <w:color w:val="000000"/>
                <w:szCs w:val="21"/>
                <w:highlight w:val="yellow"/>
              </w:rPr>
            </m:ctrlPr>
          </m:sSubPr>
          <m:e>
            <m:r>
              <m:rPr/>
              <w:rPr>
                <w:rFonts w:ascii="Cambria Math" w:hAnsi="Cambria Math"/>
                <w:color w:val="000000"/>
                <w:szCs w:val="21"/>
                <w:highlight w:val="yellow"/>
              </w:rPr>
              <m:t>t</m:t>
            </m:r>
            <m:ctrlPr>
              <w:rPr>
                <w:rFonts w:ascii="Cambria Math" w:hAnsi="Cambria Math"/>
                <w:color w:val="000000"/>
                <w:szCs w:val="21"/>
                <w:highlight w:val="yellow"/>
              </w:rPr>
            </m:ctrlPr>
          </m:e>
          <m:sub>
            <m:r>
              <m:rPr/>
              <w:rPr>
                <w:rFonts w:ascii="Cambria Math" w:hAnsi="Cambria Math"/>
                <w:color w:val="000000"/>
                <w:szCs w:val="21"/>
                <w:highlight w:val="yellow"/>
              </w:rPr>
              <m:t>s</m:t>
            </m:r>
            <m:ctrlPr>
              <w:rPr>
                <w:rFonts w:ascii="Cambria Math" w:hAnsi="Cambria Math"/>
                <w:color w:val="000000"/>
                <w:szCs w:val="21"/>
                <w:highlight w:val="yellow"/>
              </w:rPr>
            </m:ctrlPr>
          </m:sub>
        </m:sSub>
        <m:r>
          <m:rPr/>
          <w:rPr>
            <w:rFonts w:ascii="Cambria Math" w:hAnsi="Cambria Math"/>
            <w:color w:val="000000"/>
            <w:szCs w:val="21"/>
            <w:highlight w:val="yellow"/>
          </w:rPr>
          <m:t>=</m:t>
        </m:r>
        <m:f>
          <m:fPr>
            <m:ctrlPr>
              <w:rPr>
                <w:rFonts w:ascii="Cambria Math" w:hAnsi="Cambria Math"/>
                <w:i/>
                <w:color w:val="000000"/>
                <w:szCs w:val="21"/>
                <w:highlight w:val="yellow"/>
              </w:rPr>
            </m:ctrlPr>
          </m:fPr>
          <m:num>
            <m:sSub>
              <m:sSubPr>
                <m:ctrlPr>
                  <w:rPr>
                    <w:rFonts w:ascii="Cambria Math" w:hAnsi="Cambria Math"/>
                    <w:i/>
                    <w:color w:val="000000"/>
                    <w:szCs w:val="21"/>
                    <w:highlight w:val="yellow"/>
                  </w:rPr>
                </m:ctrlPr>
              </m:sSubPr>
              <m:e>
                <m:r>
                  <m:rPr/>
                  <w:rPr>
                    <w:rFonts w:ascii="Cambria Math" w:hAnsi="Cambria Math"/>
                    <w:color w:val="000000"/>
                    <w:szCs w:val="21"/>
                    <w:highlight w:val="yellow"/>
                  </w:rPr>
                  <m:t>V</m:t>
                </m:r>
                <m:ctrlPr>
                  <w:rPr>
                    <w:rFonts w:ascii="Cambria Math" w:hAnsi="Cambria Math"/>
                    <w:i/>
                    <w:color w:val="000000"/>
                    <w:szCs w:val="21"/>
                    <w:highlight w:val="yellow"/>
                  </w:rPr>
                </m:ctrlPr>
              </m:e>
              <m:sub>
                <m:r>
                  <m:rPr/>
                  <w:rPr>
                    <w:rFonts w:ascii="Cambria Math" w:hAnsi="Cambria Math"/>
                    <w:color w:val="000000"/>
                    <w:szCs w:val="21"/>
                    <w:highlight w:val="yellow"/>
                  </w:rPr>
                  <m:t>sj</m:t>
                </m:r>
                <m:ctrlPr>
                  <w:rPr>
                    <w:rFonts w:ascii="Cambria Math" w:hAnsi="Cambria Math"/>
                    <w:i/>
                    <w:color w:val="000000"/>
                    <w:szCs w:val="21"/>
                    <w:highlight w:val="yellow"/>
                  </w:rPr>
                </m:ctrlPr>
              </m:sub>
            </m:sSub>
            <m:ctrlPr>
              <w:rPr>
                <w:rFonts w:ascii="Cambria Math" w:hAnsi="Cambria Math"/>
                <w:i/>
                <w:color w:val="000000"/>
                <w:szCs w:val="21"/>
                <w:highlight w:val="yellow"/>
              </w:rPr>
            </m:ctrlPr>
          </m:num>
          <m:den>
            <m:r>
              <m:rPr/>
              <w:rPr>
                <w:rFonts w:ascii="Cambria Math" w:hAnsi="Cambria Math"/>
                <w:color w:val="000000"/>
                <w:szCs w:val="21"/>
                <w:highlight w:val="yellow"/>
              </w:rPr>
              <m:t>3600伪KJ</m:t>
            </m:r>
            <m:sSub>
              <m:sSubPr>
                <m:ctrlPr>
                  <w:rPr>
                    <w:rFonts w:ascii="Cambria Math" w:hAnsi="Cambria Math"/>
                    <w:i/>
                    <w:color w:val="000000"/>
                    <w:szCs w:val="21"/>
                    <w:highlight w:val="yellow"/>
                  </w:rPr>
                </m:ctrlPr>
              </m:sSubPr>
              <m:e>
                <m:r>
                  <m:rPr/>
                  <w:rPr>
                    <w:rFonts w:ascii="Cambria Math" w:hAnsi="Cambria Math"/>
                    <w:color w:val="000000"/>
                    <w:szCs w:val="21"/>
                    <w:highlight w:val="yellow"/>
                  </w:rPr>
                  <m:t>A</m:t>
                </m:r>
                <m:ctrlPr>
                  <w:rPr>
                    <w:rFonts w:ascii="Cambria Math" w:hAnsi="Cambria Math"/>
                    <w:i/>
                    <w:color w:val="000000"/>
                    <w:szCs w:val="21"/>
                    <w:highlight w:val="yellow"/>
                  </w:rPr>
                </m:ctrlPr>
              </m:e>
              <m:sub>
                <m:r>
                  <m:rPr/>
                  <w:rPr>
                    <w:rFonts w:ascii="Cambria Math" w:hAnsi="Cambria Math"/>
                    <w:color w:val="000000"/>
                    <w:szCs w:val="21"/>
                    <w:highlight w:val="yellow"/>
                  </w:rPr>
                  <m:t>s</m:t>
                </m:r>
                <m:ctrlPr>
                  <w:rPr>
                    <w:rFonts w:ascii="Cambria Math" w:hAnsi="Cambria Math"/>
                    <w:i/>
                    <w:color w:val="000000"/>
                    <w:szCs w:val="21"/>
                    <w:highlight w:val="yellow"/>
                  </w:rPr>
                </m:ctrlPr>
              </m:sub>
            </m:sSub>
            <m:ctrlPr>
              <w:rPr>
                <w:rFonts w:ascii="Cambria Math" w:hAnsi="Cambria Math"/>
                <w:i/>
                <w:color w:val="000000"/>
                <w:szCs w:val="21"/>
                <w:highlight w:val="yellow"/>
              </w:rPr>
            </m:ctrlPr>
          </m:den>
        </m:f>
      </m:oMath>
      <w:r>
        <w:rPr>
          <w:rFonts w:eastAsiaTheme="minorEastAsia"/>
          <w:color w:val="000000"/>
          <w:highlight w:val="yellow"/>
        </w:rPr>
        <w:t>计算，t</w:t>
      </w:r>
      <w:r>
        <w:rPr>
          <w:rFonts w:eastAsiaTheme="minorEastAsia"/>
          <w:color w:val="000000"/>
          <w:highlight w:val="yellow"/>
          <w:vertAlign w:val="subscript"/>
        </w:rPr>
        <w:t>s</w:t>
      </w:r>
      <w:r>
        <w:rPr>
          <w:rFonts w:eastAsiaTheme="minorEastAsia"/>
          <w:color w:val="000000"/>
          <w:highlight w:val="yellow"/>
        </w:rPr>
        <w:t>=1687.01/（3600*0.8*10</w:t>
      </w:r>
      <w:r>
        <w:rPr>
          <w:rFonts w:eastAsiaTheme="minorEastAsia"/>
          <w:color w:val="000000"/>
          <w:highlight w:val="yellow"/>
          <w:vertAlign w:val="superscript"/>
        </w:rPr>
        <w:t>-5</w:t>
      </w:r>
      <w:r>
        <w:rPr>
          <w:rFonts w:eastAsiaTheme="minorEastAsia"/>
          <w:color w:val="000000"/>
          <w:highlight w:val="yellow"/>
        </w:rPr>
        <w:t>*1*8435.03）=6.94h</w:t>
      </w:r>
    </w:p>
    <w:p>
      <w:pPr>
        <w:pStyle w:val="398"/>
        <w:spacing w:before="193"/>
        <w:ind w:left="560" w:leftChars="200" w:firstLine="480" w:firstLineChars="200"/>
        <w:jc w:val="both"/>
        <w:rPr>
          <w:rFonts w:eastAsiaTheme="minorEastAsia"/>
          <w:color w:val="000000"/>
          <w:highlight w:val="yellow"/>
        </w:rPr>
      </w:pPr>
      <w:r>
        <w:rPr>
          <w:rFonts w:eastAsiaTheme="minorEastAsia"/>
          <w:color w:val="000000"/>
          <w:highlight w:val="yellow"/>
        </w:rPr>
        <w:t>Q</w:t>
      </w:r>
      <w:r>
        <w:rPr>
          <w:rFonts w:eastAsiaTheme="minorEastAsia"/>
          <w:color w:val="000000"/>
          <w:highlight w:val="yellow"/>
          <w:vertAlign w:val="subscript"/>
        </w:rPr>
        <w:t>txd</w:t>
      </w:r>
      <w:r>
        <w:rPr>
          <w:rFonts w:eastAsiaTheme="minorEastAsia"/>
          <w:color w:val="000000"/>
          <w:highlight w:val="yellow"/>
        </w:rPr>
        <w:t>=1000*（1687.01/900-1687.01/（6.94*3600））=1860.96L/s；</w:t>
      </w:r>
    </w:p>
    <w:p>
      <w:pPr>
        <w:pStyle w:val="398"/>
        <w:spacing w:before="193"/>
        <w:ind w:left="560" w:leftChars="200" w:firstLine="480" w:firstLineChars="200"/>
        <w:rPr>
          <w:rFonts w:eastAsiaTheme="minorEastAsia"/>
          <w:color w:val="000000"/>
          <w:highlight w:val="yellow"/>
        </w:rPr>
      </w:pPr>
      <w:r>
        <w:rPr>
          <w:rFonts w:eastAsiaTheme="minorEastAsia"/>
          <w:color w:val="000000"/>
          <w:highlight w:val="yellow"/>
        </w:rPr>
        <w:t>建设后考虑削减措施时径流量Q</w:t>
      </w:r>
      <w:r>
        <w:rPr>
          <w:rFonts w:eastAsiaTheme="minorEastAsia"/>
          <w:color w:val="000000"/>
          <w:highlight w:val="yellow"/>
          <w:vertAlign w:val="subscript"/>
        </w:rPr>
        <w:t>jsh2</w:t>
      </w:r>
      <w:r>
        <w:rPr>
          <w:rFonts w:eastAsiaTheme="minorEastAsia"/>
          <w:color w:val="000000"/>
          <w:highlight w:val="yellow"/>
        </w:rPr>
        <w:t>=Qjsh-Q</w:t>
      </w:r>
      <w:r>
        <w:rPr>
          <w:rFonts w:eastAsiaTheme="minorEastAsia"/>
          <w:color w:val="000000"/>
          <w:highlight w:val="yellow"/>
          <w:vertAlign w:val="subscript"/>
        </w:rPr>
        <w:t>txd</w:t>
      </w:r>
      <w:r>
        <w:rPr>
          <w:rFonts w:eastAsiaTheme="minorEastAsia"/>
          <w:color w:val="000000"/>
          <w:highlight w:val="yellow"/>
        </w:rPr>
        <w:t>=</w:t>
      </w:r>
      <w:r>
        <w:rPr>
          <w:rFonts w:eastAsiaTheme="minorEastAsia"/>
          <w:b/>
          <w:color w:val="000000"/>
          <w:highlight w:val="yellow"/>
        </w:rPr>
        <w:t>2384.59</w:t>
      </w:r>
      <w:r>
        <w:rPr>
          <w:rFonts w:eastAsiaTheme="minorEastAsia"/>
          <w:color w:val="000000"/>
          <w:highlight w:val="yellow"/>
        </w:rPr>
        <w:t>-1860.96=523.63L/s</w:t>
      </w:r>
    </w:p>
    <w:p>
      <w:pPr>
        <w:pStyle w:val="67"/>
        <w:tabs>
          <w:tab w:val="left" w:pos="360"/>
        </w:tabs>
        <w:autoSpaceDE w:val="0"/>
        <w:autoSpaceDN w:val="0"/>
        <w:adjustRightInd w:val="0"/>
        <w:spacing w:line="360" w:lineRule="auto"/>
        <w:ind w:left="560" w:leftChars="200" w:firstLine="0" w:firstLineChars="0"/>
        <w:rPr>
          <w:rFonts w:ascii="Times New Roman" w:hAnsi="Times New Roman" w:eastAsiaTheme="minorEastAsia"/>
          <w:b w:val="0"/>
          <w:color w:val="000000"/>
          <w:sz w:val="24"/>
          <w:szCs w:val="24"/>
          <w:highlight w:val="yellow"/>
        </w:rPr>
      </w:pPr>
      <w:r>
        <w:rPr>
          <w:rFonts w:hint="eastAsia" w:ascii="Times New Roman" w:hAnsi="Times New Roman" w:eastAsiaTheme="minorEastAsia"/>
          <w:b w:val="0"/>
          <w:color w:val="000000"/>
          <w:sz w:val="24"/>
          <w:szCs w:val="24"/>
          <w:highlight w:val="yellow"/>
        </w:rPr>
        <w:t>（2）</w:t>
      </w:r>
      <w:r>
        <w:rPr>
          <w:rFonts w:ascii="Times New Roman" w:hAnsi="Times New Roman" w:eastAsiaTheme="minorEastAsia"/>
          <w:b w:val="0"/>
          <w:color w:val="000000"/>
          <w:sz w:val="24"/>
          <w:szCs w:val="24"/>
          <w:highlight w:val="yellow"/>
        </w:rPr>
        <w:t>规划纵三路</w:t>
      </w:r>
    </w:p>
    <w:tbl>
      <w:tblPr>
        <w:tblStyle w:val="40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9"/>
        <w:gridCol w:w="1402"/>
        <w:gridCol w:w="1496"/>
        <w:gridCol w:w="1496"/>
        <w:gridCol w:w="1496"/>
        <w:gridCol w:w="1496"/>
        <w:gridCol w:w="18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3"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路名</w:t>
            </w:r>
          </w:p>
        </w:tc>
        <w:tc>
          <w:tcPr>
            <w:tcW w:w="1716"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沥青路面面积（㎡）</w:t>
            </w:r>
          </w:p>
        </w:tc>
        <w:tc>
          <w:tcPr>
            <w:tcW w:w="1175" w:type="dxa"/>
            <w:vAlign w:val="center"/>
          </w:tcPr>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水面面积</w:t>
            </w:r>
          </w:p>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w:t>
            </w:r>
          </w:p>
        </w:tc>
        <w:tc>
          <w:tcPr>
            <w:tcW w:w="1175" w:type="dxa"/>
            <w:vAlign w:val="center"/>
          </w:tcPr>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土路面积</w:t>
            </w:r>
          </w:p>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w:t>
            </w:r>
          </w:p>
        </w:tc>
        <w:tc>
          <w:tcPr>
            <w:tcW w:w="942" w:type="dxa"/>
            <w:vAlign w:val="center"/>
          </w:tcPr>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绿地</w:t>
            </w:r>
          </w:p>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w:t>
            </w:r>
          </w:p>
        </w:tc>
        <w:tc>
          <w:tcPr>
            <w:tcW w:w="1175" w:type="dxa"/>
            <w:vAlign w:val="center"/>
          </w:tcPr>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合计</w:t>
            </w:r>
          </w:p>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w:t>
            </w:r>
          </w:p>
        </w:tc>
        <w:tc>
          <w:tcPr>
            <w:tcW w:w="1371" w:type="dxa"/>
            <w:vAlign w:val="center"/>
          </w:tcPr>
          <w:p>
            <w:pPr>
              <w:tabs>
                <w:tab w:val="left" w:pos="360"/>
              </w:tabs>
              <w:autoSpaceDE w:val="0"/>
              <w:autoSpaceDN w:val="0"/>
              <w:adjustRightInd w:val="0"/>
              <w:spacing w:line="360" w:lineRule="auto"/>
              <w:ind w:firstLine="480" w:firstLineChars="200"/>
              <w:jc w:val="center"/>
              <w:rPr>
                <w:rFonts w:ascii="Times New Roman" w:hAnsi="Times New Roman" w:eastAsiaTheme="minorEastAsia"/>
                <w:b w:val="0"/>
                <w:color w:val="000000"/>
                <w:sz w:val="24"/>
                <w:szCs w:val="24"/>
                <w:highlight w:val="yellow"/>
              </w:rPr>
            </w:pPr>
            <w:r>
              <w:rPr>
                <w:rFonts w:ascii="Times New Roman" w:hAnsi="Times New Roman" w:eastAsiaTheme="minorEastAsia"/>
                <w:b w:val="0"/>
                <w:color w:val="000000"/>
                <w:sz w:val="24"/>
                <w:szCs w:val="24"/>
                <w:highlight w:val="yellow"/>
              </w:rPr>
              <w:t>暴雨强度</w:t>
            </w:r>
          </w:p>
          <w:p>
            <w:pPr>
              <w:tabs>
                <w:tab w:val="left" w:pos="360"/>
              </w:tabs>
              <w:autoSpaceDE w:val="0"/>
              <w:autoSpaceDN w:val="0"/>
              <w:adjustRightInd w:val="0"/>
              <w:spacing w:line="360" w:lineRule="auto"/>
              <w:ind w:firstLine="480" w:firstLineChars="200"/>
              <w:jc w:val="center"/>
              <w:rPr>
                <w:rFonts w:ascii="Times New Roman" w:hAnsi="Times New Roman" w:eastAsiaTheme="minorEastAsia"/>
                <w:b w:val="0"/>
                <w:color w:val="000000"/>
                <w:sz w:val="24"/>
                <w:szCs w:val="24"/>
                <w:highlight w:val="yellow"/>
              </w:rPr>
            </w:pPr>
            <w:r>
              <w:rPr>
                <w:rFonts w:ascii="Times New Roman" w:hAnsi="Times New Roman" w:eastAsiaTheme="minorEastAsia"/>
                <w:b w:val="0"/>
                <w:color w:val="000000"/>
                <w:sz w:val="24"/>
                <w:szCs w:val="24"/>
                <w:highlight w:val="yellow"/>
              </w:rPr>
              <w:t>（L/s·ha）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3"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规划纵三路</w:t>
            </w:r>
          </w:p>
        </w:tc>
        <w:tc>
          <w:tcPr>
            <w:tcW w:w="1716"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0</w:t>
            </w:r>
          </w:p>
        </w:tc>
        <w:tc>
          <w:tcPr>
            <w:tcW w:w="1175"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48701.6</w:t>
            </w:r>
          </w:p>
        </w:tc>
        <w:tc>
          <w:tcPr>
            <w:tcW w:w="1175"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8439.50</w:t>
            </w:r>
          </w:p>
        </w:tc>
        <w:tc>
          <w:tcPr>
            <w:tcW w:w="942"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0</w:t>
            </w:r>
          </w:p>
        </w:tc>
        <w:tc>
          <w:tcPr>
            <w:tcW w:w="1175"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55696.15</w:t>
            </w:r>
          </w:p>
        </w:tc>
        <w:tc>
          <w:tcPr>
            <w:tcW w:w="1371" w:type="dxa"/>
            <w:vMerge w:val="restart"/>
            <w:vAlign w:val="center"/>
          </w:tcPr>
          <w:p>
            <w:pPr>
              <w:tabs>
                <w:tab w:val="left" w:pos="360"/>
              </w:tabs>
              <w:autoSpaceDE w:val="0"/>
              <w:autoSpaceDN w:val="0"/>
              <w:adjustRightInd w:val="0"/>
              <w:spacing w:line="360" w:lineRule="auto"/>
              <w:jc w:val="center"/>
              <w:rPr>
                <w:rFonts w:ascii="Times New Roman" w:hAnsi="Times New Roman" w:eastAsiaTheme="minorEastAsia"/>
                <w:b w:val="0"/>
                <w:color w:val="000000"/>
                <w:sz w:val="24"/>
                <w:szCs w:val="24"/>
                <w:highlight w:val="yellow"/>
              </w:rPr>
            </w:pPr>
            <w:r>
              <w:rPr>
                <w:rFonts w:ascii="Times New Roman" w:hAnsi="Times New Roman" w:eastAsiaTheme="minorEastAsia"/>
                <w:b w:val="0"/>
                <w:color w:val="000000"/>
                <w:sz w:val="24"/>
                <w:szCs w:val="24"/>
                <w:highlight w:val="yellow"/>
              </w:rPr>
              <w:t>483.96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3"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分项径流系数</w:t>
            </w:r>
          </w:p>
        </w:tc>
        <w:tc>
          <w:tcPr>
            <w:tcW w:w="1716"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0.9</w:t>
            </w:r>
          </w:p>
        </w:tc>
        <w:tc>
          <w:tcPr>
            <w:tcW w:w="1175"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1</w:t>
            </w:r>
          </w:p>
        </w:tc>
        <w:tc>
          <w:tcPr>
            <w:tcW w:w="1175"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0.3</w:t>
            </w:r>
          </w:p>
        </w:tc>
        <w:tc>
          <w:tcPr>
            <w:tcW w:w="942"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0.15</w:t>
            </w:r>
          </w:p>
        </w:tc>
        <w:tc>
          <w:tcPr>
            <w:tcW w:w="1175" w:type="dxa"/>
            <w:vAlign w:val="center"/>
          </w:tcPr>
          <w:p>
            <w:pPr>
              <w:widowControl/>
              <w:jc w:val="center"/>
              <w:rPr>
                <w:rFonts w:ascii="Times New Roman" w:hAnsi="Times New Roman"/>
                <w:b w:val="0"/>
                <w:color w:val="000000"/>
                <w:kern w:val="0"/>
                <w:sz w:val="24"/>
                <w:szCs w:val="24"/>
                <w:highlight w:val="yellow"/>
              </w:rPr>
            </w:pPr>
          </w:p>
        </w:tc>
        <w:tc>
          <w:tcPr>
            <w:tcW w:w="1371" w:type="dxa"/>
            <w:vMerge w:val="continue"/>
            <w:vAlign w:val="center"/>
          </w:tcPr>
          <w:p>
            <w:pPr>
              <w:tabs>
                <w:tab w:val="left" w:pos="360"/>
              </w:tabs>
              <w:autoSpaceDE w:val="0"/>
              <w:autoSpaceDN w:val="0"/>
              <w:adjustRightInd w:val="0"/>
              <w:spacing w:line="360" w:lineRule="auto"/>
              <w:jc w:val="center"/>
              <w:rPr>
                <w:rFonts w:ascii="Times New Roman" w:hAnsi="Times New Roman" w:eastAsiaTheme="minorEastAsia"/>
                <w:b w:val="0"/>
                <w:color w:val="000000"/>
                <w:sz w:val="24"/>
                <w:szCs w:val="24"/>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3"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综合径流系数</w:t>
            </w:r>
          </w:p>
        </w:tc>
        <w:tc>
          <w:tcPr>
            <w:tcW w:w="6183" w:type="dxa"/>
            <w:gridSpan w:val="5"/>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0.90</w:t>
            </w:r>
          </w:p>
        </w:tc>
        <w:tc>
          <w:tcPr>
            <w:tcW w:w="1371" w:type="dxa"/>
            <w:vMerge w:val="continue"/>
            <w:vAlign w:val="center"/>
          </w:tcPr>
          <w:p>
            <w:pPr>
              <w:tabs>
                <w:tab w:val="left" w:pos="360"/>
              </w:tabs>
              <w:autoSpaceDE w:val="0"/>
              <w:autoSpaceDN w:val="0"/>
              <w:adjustRightInd w:val="0"/>
              <w:spacing w:line="360" w:lineRule="auto"/>
              <w:jc w:val="center"/>
              <w:rPr>
                <w:rFonts w:ascii="Times New Roman" w:hAnsi="Times New Roman" w:eastAsiaTheme="minorEastAsia"/>
                <w:b w:val="0"/>
                <w:color w:val="000000"/>
                <w:sz w:val="24"/>
                <w:szCs w:val="24"/>
                <w:highlight w:val="yellow"/>
              </w:rPr>
            </w:pPr>
          </w:p>
        </w:tc>
      </w:tr>
    </w:tbl>
    <w:p>
      <w:pPr>
        <w:pStyle w:val="67"/>
        <w:tabs>
          <w:tab w:val="left" w:pos="360"/>
        </w:tabs>
        <w:autoSpaceDE w:val="0"/>
        <w:autoSpaceDN w:val="0"/>
        <w:adjustRightInd w:val="0"/>
        <w:spacing w:line="360" w:lineRule="auto"/>
        <w:ind w:left="426" w:firstLine="480"/>
        <w:rPr>
          <w:rFonts w:ascii="Times New Roman" w:hAnsi="Times New Roman" w:eastAsiaTheme="minorEastAsia"/>
          <w:b w:val="0"/>
          <w:color w:val="000000"/>
          <w:sz w:val="24"/>
          <w:szCs w:val="24"/>
          <w:highlight w:val="yellow"/>
        </w:rPr>
      </w:pPr>
      <w:r>
        <w:rPr>
          <w:rFonts w:ascii="Times New Roman" w:hAnsi="Times New Roman" w:eastAsiaTheme="minorEastAsia"/>
          <w:b w:val="0"/>
          <w:color w:val="000000"/>
          <w:sz w:val="24"/>
          <w:szCs w:val="24"/>
          <w:highlight w:val="yellow"/>
        </w:rPr>
        <w:t>规划纵三路建设前径流量Q</w:t>
      </w:r>
      <w:r>
        <w:rPr>
          <w:rFonts w:ascii="Times New Roman" w:hAnsi="Times New Roman" w:eastAsiaTheme="minorEastAsia"/>
          <w:b w:val="0"/>
          <w:color w:val="000000"/>
          <w:sz w:val="24"/>
          <w:szCs w:val="24"/>
          <w:highlight w:val="yellow"/>
          <w:vertAlign w:val="subscript"/>
        </w:rPr>
        <w:t>js</w:t>
      </w:r>
      <w:r>
        <w:rPr>
          <w:rFonts w:ascii="Times New Roman" w:hAnsi="Times New Roman" w:eastAsiaTheme="minorEastAsia"/>
          <w:b w:val="0"/>
          <w:color w:val="000000"/>
          <w:sz w:val="24"/>
          <w:szCs w:val="24"/>
          <w:highlight w:val="yellow"/>
        </w:rPr>
        <w:t>q=483.96*55696.15/10000*0.90=2139.71L/s</w:t>
      </w:r>
    </w:p>
    <w:tbl>
      <w:tblPr>
        <w:tblStyle w:val="40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3"/>
        <w:gridCol w:w="1378"/>
        <w:gridCol w:w="1496"/>
        <w:gridCol w:w="1496"/>
        <w:gridCol w:w="1496"/>
        <w:gridCol w:w="1496"/>
        <w:gridCol w:w="18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733"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路名</w:t>
            </w:r>
          </w:p>
        </w:tc>
        <w:tc>
          <w:tcPr>
            <w:tcW w:w="1542"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沥青路面面积（㎡）</w:t>
            </w:r>
          </w:p>
        </w:tc>
        <w:tc>
          <w:tcPr>
            <w:tcW w:w="1474" w:type="dxa"/>
            <w:vAlign w:val="center"/>
          </w:tcPr>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透水路面面积</w:t>
            </w:r>
          </w:p>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w:t>
            </w:r>
          </w:p>
        </w:tc>
        <w:tc>
          <w:tcPr>
            <w:tcW w:w="1055" w:type="dxa"/>
            <w:vAlign w:val="center"/>
          </w:tcPr>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土路面积</w:t>
            </w:r>
          </w:p>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w:t>
            </w:r>
          </w:p>
        </w:tc>
        <w:tc>
          <w:tcPr>
            <w:tcW w:w="951" w:type="dxa"/>
            <w:vAlign w:val="center"/>
          </w:tcPr>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绿地</w:t>
            </w:r>
          </w:p>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w:t>
            </w:r>
          </w:p>
        </w:tc>
        <w:tc>
          <w:tcPr>
            <w:tcW w:w="1161" w:type="dxa"/>
            <w:vAlign w:val="center"/>
          </w:tcPr>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合计</w:t>
            </w:r>
          </w:p>
          <w:p>
            <w:pPr>
              <w:widowControl/>
              <w:ind w:firstLine="480" w:firstLineChars="200"/>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w:t>
            </w:r>
          </w:p>
        </w:tc>
        <w:tc>
          <w:tcPr>
            <w:tcW w:w="1371" w:type="dxa"/>
            <w:vAlign w:val="center"/>
          </w:tcPr>
          <w:p>
            <w:pPr>
              <w:tabs>
                <w:tab w:val="left" w:pos="360"/>
              </w:tabs>
              <w:autoSpaceDE w:val="0"/>
              <w:autoSpaceDN w:val="0"/>
              <w:adjustRightInd w:val="0"/>
              <w:spacing w:line="360" w:lineRule="auto"/>
              <w:ind w:firstLine="480" w:firstLineChars="200"/>
              <w:jc w:val="center"/>
              <w:rPr>
                <w:rFonts w:ascii="Times New Roman" w:hAnsi="Times New Roman" w:eastAsiaTheme="minorEastAsia"/>
                <w:b w:val="0"/>
                <w:color w:val="000000"/>
                <w:sz w:val="24"/>
                <w:szCs w:val="24"/>
                <w:highlight w:val="yellow"/>
              </w:rPr>
            </w:pPr>
            <w:r>
              <w:rPr>
                <w:rFonts w:ascii="Times New Roman" w:hAnsi="Times New Roman" w:eastAsiaTheme="minorEastAsia"/>
                <w:b w:val="0"/>
                <w:color w:val="000000"/>
                <w:sz w:val="24"/>
                <w:szCs w:val="24"/>
                <w:highlight w:val="yellow"/>
              </w:rPr>
              <w:t>暴雨强度</w:t>
            </w:r>
          </w:p>
          <w:p>
            <w:pPr>
              <w:tabs>
                <w:tab w:val="left" w:pos="360"/>
              </w:tabs>
              <w:autoSpaceDE w:val="0"/>
              <w:autoSpaceDN w:val="0"/>
              <w:adjustRightInd w:val="0"/>
              <w:spacing w:line="360" w:lineRule="auto"/>
              <w:ind w:firstLine="480" w:firstLineChars="200"/>
              <w:jc w:val="center"/>
              <w:rPr>
                <w:rFonts w:ascii="Times New Roman" w:hAnsi="Times New Roman" w:eastAsiaTheme="minorEastAsia"/>
                <w:b w:val="0"/>
                <w:color w:val="000000"/>
                <w:sz w:val="24"/>
                <w:szCs w:val="24"/>
                <w:highlight w:val="yellow"/>
              </w:rPr>
            </w:pPr>
            <w:r>
              <w:rPr>
                <w:rFonts w:ascii="Times New Roman" w:hAnsi="Times New Roman" w:eastAsiaTheme="minorEastAsia"/>
                <w:b w:val="0"/>
                <w:color w:val="000000"/>
                <w:sz w:val="24"/>
                <w:szCs w:val="24"/>
                <w:highlight w:val="yellow"/>
              </w:rPr>
              <w:t>（L/s·ha）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3"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规划纵三路</w:t>
            </w:r>
          </w:p>
        </w:tc>
        <w:tc>
          <w:tcPr>
            <w:tcW w:w="1542"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39876.30</w:t>
            </w:r>
          </w:p>
        </w:tc>
        <w:tc>
          <w:tcPr>
            <w:tcW w:w="1474"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13068.22</w:t>
            </w:r>
          </w:p>
        </w:tc>
        <w:tc>
          <w:tcPr>
            <w:tcW w:w="1055"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0</w:t>
            </w:r>
          </w:p>
        </w:tc>
        <w:tc>
          <w:tcPr>
            <w:tcW w:w="951"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2751.63</w:t>
            </w:r>
          </w:p>
        </w:tc>
        <w:tc>
          <w:tcPr>
            <w:tcW w:w="1161"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55696.153</w:t>
            </w:r>
          </w:p>
        </w:tc>
        <w:tc>
          <w:tcPr>
            <w:tcW w:w="1371" w:type="dxa"/>
            <w:vMerge w:val="restart"/>
            <w:vAlign w:val="center"/>
          </w:tcPr>
          <w:p>
            <w:pPr>
              <w:tabs>
                <w:tab w:val="left" w:pos="360"/>
              </w:tabs>
              <w:autoSpaceDE w:val="0"/>
              <w:autoSpaceDN w:val="0"/>
              <w:adjustRightInd w:val="0"/>
              <w:spacing w:line="360" w:lineRule="auto"/>
              <w:jc w:val="center"/>
              <w:rPr>
                <w:rFonts w:ascii="Times New Roman" w:hAnsi="Times New Roman" w:eastAsiaTheme="minorEastAsia"/>
                <w:b w:val="0"/>
                <w:color w:val="000000"/>
                <w:sz w:val="24"/>
                <w:szCs w:val="24"/>
                <w:highlight w:val="yellow"/>
              </w:rPr>
            </w:pPr>
            <w:r>
              <w:rPr>
                <w:rFonts w:ascii="Times New Roman" w:hAnsi="Times New Roman" w:eastAsiaTheme="minorEastAsia"/>
                <w:b w:val="0"/>
                <w:color w:val="000000"/>
                <w:sz w:val="24"/>
                <w:szCs w:val="24"/>
                <w:highlight w:val="yellow"/>
              </w:rPr>
              <w:t>483.96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3"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分项径流系数</w:t>
            </w:r>
          </w:p>
        </w:tc>
        <w:tc>
          <w:tcPr>
            <w:tcW w:w="1542"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0.9</w:t>
            </w:r>
          </w:p>
        </w:tc>
        <w:tc>
          <w:tcPr>
            <w:tcW w:w="1474"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0.25</w:t>
            </w:r>
          </w:p>
        </w:tc>
        <w:tc>
          <w:tcPr>
            <w:tcW w:w="1055"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0</w:t>
            </w:r>
          </w:p>
        </w:tc>
        <w:tc>
          <w:tcPr>
            <w:tcW w:w="951"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0.15</w:t>
            </w:r>
          </w:p>
        </w:tc>
        <w:tc>
          <w:tcPr>
            <w:tcW w:w="1161" w:type="dxa"/>
            <w:vAlign w:val="center"/>
          </w:tcPr>
          <w:p>
            <w:pPr>
              <w:widowControl/>
              <w:jc w:val="center"/>
              <w:rPr>
                <w:rFonts w:ascii="Times New Roman" w:hAnsi="Times New Roman"/>
                <w:b w:val="0"/>
                <w:color w:val="000000"/>
                <w:kern w:val="0"/>
                <w:sz w:val="24"/>
                <w:szCs w:val="24"/>
                <w:highlight w:val="yellow"/>
              </w:rPr>
            </w:pPr>
          </w:p>
        </w:tc>
        <w:tc>
          <w:tcPr>
            <w:tcW w:w="1371" w:type="dxa"/>
            <w:vMerge w:val="continue"/>
            <w:vAlign w:val="center"/>
          </w:tcPr>
          <w:p>
            <w:pPr>
              <w:tabs>
                <w:tab w:val="left" w:pos="360"/>
              </w:tabs>
              <w:autoSpaceDE w:val="0"/>
              <w:autoSpaceDN w:val="0"/>
              <w:adjustRightInd w:val="0"/>
              <w:spacing w:line="360" w:lineRule="auto"/>
              <w:jc w:val="center"/>
              <w:rPr>
                <w:rFonts w:ascii="Times New Roman" w:hAnsi="Times New Roman" w:eastAsiaTheme="minorEastAsia"/>
                <w:b w:val="0"/>
                <w:color w:val="000000"/>
                <w:sz w:val="24"/>
                <w:szCs w:val="24"/>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3" w:type="dxa"/>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综合径流系数</w:t>
            </w:r>
          </w:p>
        </w:tc>
        <w:tc>
          <w:tcPr>
            <w:tcW w:w="6183" w:type="dxa"/>
            <w:gridSpan w:val="5"/>
            <w:vAlign w:val="center"/>
          </w:tcPr>
          <w:p>
            <w:pPr>
              <w:widowControl/>
              <w:jc w:val="center"/>
              <w:rPr>
                <w:rFonts w:ascii="Times New Roman" w:hAnsi="Times New Roman"/>
                <w:b w:val="0"/>
                <w:color w:val="000000"/>
                <w:kern w:val="0"/>
                <w:sz w:val="24"/>
                <w:szCs w:val="24"/>
                <w:highlight w:val="yellow"/>
              </w:rPr>
            </w:pPr>
            <w:r>
              <w:rPr>
                <w:rFonts w:ascii="Times New Roman" w:hAnsi="Times New Roman"/>
                <w:b w:val="0"/>
                <w:color w:val="000000"/>
                <w:kern w:val="0"/>
                <w:sz w:val="24"/>
                <w:szCs w:val="24"/>
                <w:highlight w:val="yellow"/>
              </w:rPr>
              <w:t>0.71</w:t>
            </w:r>
          </w:p>
        </w:tc>
        <w:tc>
          <w:tcPr>
            <w:tcW w:w="1371" w:type="dxa"/>
            <w:vMerge w:val="continue"/>
            <w:vAlign w:val="center"/>
          </w:tcPr>
          <w:p>
            <w:pPr>
              <w:tabs>
                <w:tab w:val="left" w:pos="360"/>
              </w:tabs>
              <w:autoSpaceDE w:val="0"/>
              <w:autoSpaceDN w:val="0"/>
              <w:adjustRightInd w:val="0"/>
              <w:spacing w:line="360" w:lineRule="auto"/>
              <w:jc w:val="center"/>
              <w:rPr>
                <w:rFonts w:ascii="Times New Roman" w:hAnsi="Times New Roman" w:eastAsiaTheme="minorEastAsia"/>
                <w:b w:val="0"/>
                <w:color w:val="000000"/>
                <w:sz w:val="24"/>
                <w:szCs w:val="24"/>
                <w:highlight w:val="yellow"/>
              </w:rPr>
            </w:pPr>
          </w:p>
        </w:tc>
      </w:tr>
    </w:tbl>
    <w:p>
      <w:pPr>
        <w:pStyle w:val="67"/>
        <w:tabs>
          <w:tab w:val="left" w:pos="360"/>
        </w:tabs>
        <w:autoSpaceDE w:val="0"/>
        <w:autoSpaceDN w:val="0"/>
        <w:adjustRightInd w:val="0"/>
        <w:spacing w:line="360" w:lineRule="auto"/>
        <w:ind w:left="426" w:firstLine="480"/>
        <w:rPr>
          <w:rFonts w:ascii="Times New Roman" w:hAnsi="Times New Roman" w:eastAsiaTheme="minorEastAsia"/>
          <w:b w:val="0"/>
          <w:color w:val="000000"/>
          <w:sz w:val="24"/>
          <w:szCs w:val="24"/>
          <w:highlight w:val="yellow"/>
        </w:rPr>
      </w:pPr>
      <w:r>
        <w:rPr>
          <w:rFonts w:ascii="Times New Roman" w:hAnsi="Times New Roman" w:eastAsiaTheme="minorEastAsia"/>
          <w:b w:val="0"/>
          <w:color w:val="000000"/>
          <w:sz w:val="24"/>
          <w:szCs w:val="24"/>
          <w:highlight w:val="yellow"/>
        </w:rPr>
        <w:t>规划纵三路建设后未考虑削减措施时径流量Q</w:t>
      </w:r>
      <w:r>
        <w:rPr>
          <w:rFonts w:ascii="Times New Roman" w:hAnsi="Times New Roman" w:eastAsiaTheme="minorEastAsia"/>
          <w:b w:val="0"/>
          <w:color w:val="000000"/>
          <w:sz w:val="24"/>
          <w:szCs w:val="24"/>
          <w:highlight w:val="yellow"/>
          <w:vertAlign w:val="subscript"/>
        </w:rPr>
        <w:t>jsh1</w:t>
      </w:r>
      <w:r>
        <w:rPr>
          <w:rFonts w:ascii="Times New Roman" w:hAnsi="Times New Roman" w:eastAsiaTheme="minorEastAsia"/>
          <w:b w:val="0"/>
          <w:color w:val="000000"/>
          <w:sz w:val="24"/>
          <w:szCs w:val="24"/>
          <w:highlight w:val="yellow"/>
        </w:rPr>
        <w:t>=483.96*55696.153/10000*0.71=1913.78L/s</w:t>
      </w:r>
    </w:p>
    <w:p>
      <w:pPr>
        <w:pStyle w:val="398"/>
        <w:spacing w:before="193"/>
        <w:ind w:left="560" w:leftChars="200" w:firstLine="480" w:firstLineChars="200"/>
        <w:jc w:val="both"/>
        <w:rPr>
          <w:rFonts w:eastAsiaTheme="minorEastAsia"/>
          <w:color w:val="000000"/>
          <w:highlight w:val="yellow"/>
        </w:rPr>
      </w:pPr>
      <w:r>
        <w:rPr>
          <w:rFonts w:eastAsiaTheme="minorEastAsia"/>
          <w:color w:val="000000"/>
          <w:highlight w:val="yellow"/>
        </w:rPr>
        <w:t>规划纵三路下沉式绿地径流削减量</w:t>
      </w:r>
    </w:p>
    <w:p>
      <w:pPr>
        <w:pStyle w:val="398"/>
        <w:spacing w:before="193"/>
        <w:ind w:left="560" w:leftChars="200" w:firstLine="480" w:firstLineChars="200"/>
        <w:jc w:val="both"/>
        <w:rPr>
          <w:rFonts w:eastAsiaTheme="minorEastAsia"/>
          <w:color w:val="000000"/>
          <w:highlight w:val="yellow"/>
        </w:rPr>
      </w:pPr>
      <m:oMath>
        <m:sSub>
          <m:sSubPr>
            <m:ctrlPr>
              <w:rPr>
                <w:rFonts w:ascii="Cambria Math" w:hAnsi="Cambria Math"/>
                <w:color w:val="000000"/>
                <w:szCs w:val="21"/>
                <w:highlight w:val="yellow"/>
              </w:rPr>
            </m:ctrlPr>
          </m:sSubPr>
          <m:e>
            <m:r>
              <m:rPr/>
              <w:rPr>
                <w:rFonts w:ascii="Cambria Math" w:hAnsi="Cambria Math"/>
                <w:color w:val="000000"/>
                <w:szCs w:val="21"/>
                <w:highlight w:val="yellow"/>
              </w:rPr>
              <m:t>Q</m:t>
            </m:r>
            <m:ctrlPr>
              <w:rPr>
                <w:rFonts w:ascii="Cambria Math" w:hAnsi="Cambria Math"/>
                <w:color w:val="000000"/>
                <w:szCs w:val="21"/>
                <w:highlight w:val="yellow"/>
              </w:rPr>
            </m:ctrlPr>
          </m:e>
          <m:sub>
            <m:r>
              <m:rPr/>
              <w:rPr>
                <w:rFonts w:ascii="Cambria Math" w:hAnsi="Cambria Math"/>
                <w:color w:val="000000"/>
                <w:szCs w:val="21"/>
                <w:highlight w:val="yellow"/>
              </w:rPr>
              <m:t>txd</m:t>
            </m:r>
            <m:ctrlPr>
              <w:rPr>
                <w:rFonts w:ascii="Cambria Math" w:hAnsi="Cambria Math"/>
                <w:color w:val="000000"/>
                <w:szCs w:val="21"/>
                <w:highlight w:val="yellow"/>
              </w:rPr>
            </m:ctrlPr>
          </m:sub>
        </m:sSub>
        <m:r>
          <m:rPr/>
          <w:rPr>
            <w:rFonts w:ascii="Cambria Math" w:hAnsi="Cambria Math"/>
            <w:color w:val="000000"/>
            <w:szCs w:val="21"/>
            <w:highlight w:val="yellow"/>
          </w:rPr>
          <m:t>=1000(</m:t>
        </m:r>
        <m:f>
          <m:fPr>
            <m:ctrlPr>
              <w:rPr>
                <w:rFonts w:ascii="Cambria Math" w:hAnsi="Cambria Math"/>
                <w:i/>
                <w:color w:val="000000"/>
                <w:szCs w:val="21"/>
                <w:highlight w:val="yellow"/>
              </w:rPr>
            </m:ctrlPr>
          </m:fPr>
          <m:num>
            <m:sSub>
              <m:sSubPr>
                <m:ctrlPr>
                  <w:rPr>
                    <w:rFonts w:ascii="Cambria Math" w:hAnsi="Cambria Math"/>
                    <w:i/>
                    <w:color w:val="000000"/>
                    <w:szCs w:val="21"/>
                    <w:highlight w:val="yellow"/>
                  </w:rPr>
                </m:ctrlPr>
              </m:sSubPr>
              <m:e>
                <m:r>
                  <m:rPr/>
                  <w:rPr>
                    <w:rFonts w:ascii="Cambria Math" w:hAnsi="Cambria Math"/>
                    <w:color w:val="000000"/>
                    <w:szCs w:val="21"/>
                    <w:highlight w:val="yellow"/>
                  </w:rPr>
                  <m:t>V</m:t>
                </m:r>
                <m:ctrlPr>
                  <w:rPr>
                    <w:rFonts w:ascii="Cambria Math" w:hAnsi="Cambria Math"/>
                    <w:i/>
                    <w:color w:val="000000"/>
                    <w:szCs w:val="21"/>
                    <w:highlight w:val="yellow"/>
                  </w:rPr>
                </m:ctrlPr>
              </m:e>
              <m:sub>
                <m:r>
                  <m:rPr/>
                  <w:rPr>
                    <w:rFonts w:ascii="Cambria Math" w:hAnsi="Cambria Math"/>
                    <w:color w:val="000000"/>
                    <w:szCs w:val="21"/>
                    <w:highlight w:val="yellow"/>
                  </w:rPr>
                  <m:t>txd</m:t>
                </m:r>
                <m:ctrlPr>
                  <w:rPr>
                    <w:rFonts w:ascii="Cambria Math" w:hAnsi="Cambria Math"/>
                    <w:i/>
                    <w:color w:val="000000"/>
                    <w:szCs w:val="21"/>
                    <w:highlight w:val="yellow"/>
                  </w:rPr>
                </m:ctrlPr>
              </m:sub>
            </m:sSub>
            <m:ctrlPr>
              <w:rPr>
                <w:rFonts w:ascii="Cambria Math" w:hAnsi="Cambria Math"/>
                <w:i/>
                <w:color w:val="000000"/>
                <w:szCs w:val="21"/>
                <w:highlight w:val="yellow"/>
              </w:rPr>
            </m:ctrlPr>
          </m:num>
          <m:den>
            <m:r>
              <m:rPr/>
              <w:rPr>
                <w:rFonts w:ascii="Cambria Math" w:hAnsi="Cambria Math"/>
                <w:color w:val="000000"/>
                <w:szCs w:val="21"/>
                <w:highlight w:val="yellow"/>
              </w:rPr>
              <m:t>t</m:t>
            </m:r>
            <m:ctrlPr>
              <w:rPr>
                <w:rFonts w:ascii="Cambria Math" w:hAnsi="Cambria Math"/>
                <w:i/>
                <w:color w:val="000000"/>
                <w:szCs w:val="21"/>
                <w:highlight w:val="yellow"/>
              </w:rPr>
            </m:ctrlPr>
          </m:den>
        </m:f>
        <m:r>
          <m:rPr/>
          <w:rPr>
            <w:rFonts w:ascii="Cambria Math" w:hAnsi="Cambria Math"/>
            <w:color w:val="000000"/>
            <w:szCs w:val="21"/>
            <w:highlight w:val="yellow"/>
          </w:rPr>
          <m:t>−</m:t>
        </m:r>
        <m:f>
          <m:fPr>
            <m:ctrlPr>
              <w:rPr>
                <w:rFonts w:ascii="Cambria Math" w:hAnsi="Cambria Math"/>
                <w:i/>
                <w:color w:val="000000"/>
                <w:szCs w:val="21"/>
                <w:highlight w:val="yellow"/>
              </w:rPr>
            </m:ctrlPr>
          </m:fPr>
          <m:num>
            <m:sSub>
              <m:sSubPr>
                <m:ctrlPr>
                  <w:rPr>
                    <w:rFonts w:ascii="Cambria Math" w:hAnsi="Cambria Math"/>
                    <w:i/>
                    <w:color w:val="000000"/>
                    <w:szCs w:val="21"/>
                    <w:highlight w:val="yellow"/>
                  </w:rPr>
                </m:ctrlPr>
              </m:sSubPr>
              <m:e>
                <m:r>
                  <m:rPr/>
                  <w:rPr>
                    <w:rFonts w:ascii="Cambria Math" w:hAnsi="Cambria Math"/>
                    <w:color w:val="000000"/>
                    <w:szCs w:val="21"/>
                    <w:highlight w:val="yellow"/>
                  </w:rPr>
                  <m:t>V</m:t>
                </m:r>
                <m:ctrlPr>
                  <w:rPr>
                    <w:rFonts w:ascii="Cambria Math" w:hAnsi="Cambria Math"/>
                    <w:i/>
                    <w:color w:val="000000"/>
                    <w:szCs w:val="21"/>
                    <w:highlight w:val="yellow"/>
                  </w:rPr>
                </m:ctrlPr>
              </m:e>
              <m:sub>
                <m:r>
                  <m:rPr/>
                  <w:rPr>
                    <w:rFonts w:ascii="Cambria Math" w:hAnsi="Cambria Math"/>
                    <w:color w:val="000000"/>
                    <w:szCs w:val="21"/>
                    <w:highlight w:val="yellow"/>
                  </w:rPr>
                  <m:t>txd</m:t>
                </m:r>
                <m:ctrlPr>
                  <w:rPr>
                    <w:rFonts w:ascii="Cambria Math" w:hAnsi="Cambria Math"/>
                    <w:i/>
                    <w:color w:val="000000"/>
                    <w:szCs w:val="21"/>
                    <w:highlight w:val="yellow"/>
                  </w:rPr>
                </m:ctrlPr>
              </m:sub>
            </m:sSub>
            <m:ctrlPr>
              <w:rPr>
                <w:rFonts w:ascii="Cambria Math" w:hAnsi="Cambria Math"/>
                <w:i/>
                <w:color w:val="000000"/>
                <w:szCs w:val="21"/>
                <w:highlight w:val="yellow"/>
              </w:rPr>
            </m:ctrlPr>
          </m:num>
          <m:den>
            <m:sSub>
              <m:sSubPr>
                <m:ctrlPr>
                  <w:rPr>
                    <w:rFonts w:ascii="Cambria Math" w:hAnsi="Cambria Math"/>
                    <w:i/>
                    <w:color w:val="000000"/>
                    <w:szCs w:val="21"/>
                    <w:highlight w:val="yellow"/>
                  </w:rPr>
                </m:ctrlPr>
              </m:sSubPr>
              <m:e>
                <m:r>
                  <m:rPr/>
                  <w:rPr>
                    <w:rFonts w:ascii="Cambria Math" w:hAnsi="Cambria Math"/>
                    <w:color w:val="000000"/>
                    <w:szCs w:val="21"/>
                    <w:highlight w:val="yellow"/>
                  </w:rPr>
                  <m:t>T</m:t>
                </m:r>
                <m:ctrlPr>
                  <w:rPr>
                    <w:rFonts w:ascii="Cambria Math" w:hAnsi="Cambria Math"/>
                    <w:i/>
                    <w:color w:val="000000"/>
                    <w:szCs w:val="21"/>
                    <w:highlight w:val="yellow"/>
                  </w:rPr>
                </m:ctrlPr>
              </m:e>
              <m:sub>
                <m:r>
                  <m:rPr/>
                  <w:rPr>
                    <w:rFonts w:ascii="Cambria Math" w:hAnsi="Cambria Math"/>
                    <w:color w:val="000000"/>
                    <w:szCs w:val="21"/>
                    <w:highlight w:val="yellow"/>
                  </w:rPr>
                  <m:t>txd</m:t>
                </m:r>
                <m:ctrlPr>
                  <w:rPr>
                    <w:rFonts w:ascii="Cambria Math" w:hAnsi="Cambria Math"/>
                    <w:i/>
                    <w:color w:val="000000"/>
                    <w:szCs w:val="21"/>
                    <w:highlight w:val="yellow"/>
                  </w:rPr>
                </m:ctrlPr>
              </m:sub>
            </m:sSub>
            <m:ctrlPr>
              <w:rPr>
                <w:rFonts w:ascii="Cambria Math" w:hAnsi="Cambria Math"/>
                <w:i/>
                <w:color w:val="000000"/>
                <w:szCs w:val="21"/>
                <w:highlight w:val="yellow"/>
              </w:rPr>
            </m:ctrlPr>
          </m:den>
        </m:f>
        <m:r>
          <m:rPr/>
          <w:rPr>
            <w:rFonts w:ascii="Cambria Math" w:hAnsi="Cambria Math"/>
            <w:color w:val="000000"/>
            <w:szCs w:val="21"/>
            <w:highlight w:val="yellow"/>
          </w:rPr>
          <m:t>)</m:t>
        </m:r>
      </m:oMath>
      <w:r>
        <w:rPr>
          <w:rFonts w:eastAsiaTheme="minorEastAsia"/>
          <w:color w:val="000000"/>
          <w:position w:val="-26"/>
          <w:highlight w:val="yellow"/>
        </w:rPr>
        <w:t>，</w:t>
      </w:r>
      <w:r>
        <w:rPr>
          <w:rFonts w:eastAsiaTheme="minorEastAsia"/>
          <w:color w:val="000000"/>
          <w:highlight w:val="yellow"/>
        </w:rPr>
        <w:t>其中，V</w:t>
      </w:r>
      <w:r>
        <w:rPr>
          <w:rFonts w:eastAsiaTheme="minorEastAsia"/>
          <w:color w:val="000000"/>
          <w:highlight w:val="yellow"/>
          <w:vertAlign w:val="subscript"/>
        </w:rPr>
        <w:t>txd</w:t>
      </w:r>
      <w:r>
        <w:rPr>
          <w:rFonts w:eastAsiaTheme="minorEastAsia"/>
          <w:color w:val="000000"/>
          <w:highlight w:val="yellow"/>
        </w:rPr>
        <w:t>=1396.95m³，t=15min=900s，排空时间按式6.1.6</w:t>
      </w:r>
      <m:oMath>
        <m:sSub>
          <m:sSubPr>
            <m:ctrlPr>
              <w:rPr>
                <w:rFonts w:ascii="Cambria Math" w:hAnsi="Cambria Math"/>
                <w:color w:val="000000"/>
                <w:szCs w:val="21"/>
                <w:highlight w:val="yellow"/>
              </w:rPr>
            </m:ctrlPr>
          </m:sSubPr>
          <m:e>
            <m:r>
              <m:rPr/>
              <w:rPr>
                <w:rFonts w:ascii="Cambria Math" w:hAnsi="Cambria Math"/>
                <w:color w:val="000000"/>
                <w:szCs w:val="21"/>
                <w:highlight w:val="yellow"/>
              </w:rPr>
              <m:t>t</m:t>
            </m:r>
            <m:ctrlPr>
              <w:rPr>
                <w:rFonts w:ascii="Cambria Math" w:hAnsi="Cambria Math"/>
                <w:color w:val="000000"/>
                <w:szCs w:val="21"/>
                <w:highlight w:val="yellow"/>
              </w:rPr>
            </m:ctrlPr>
          </m:e>
          <m:sub>
            <m:r>
              <m:rPr/>
              <w:rPr>
                <w:rFonts w:ascii="Cambria Math" w:hAnsi="Cambria Math"/>
                <w:color w:val="000000"/>
                <w:szCs w:val="21"/>
                <w:highlight w:val="yellow"/>
              </w:rPr>
              <m:t>s</m:t>
            </m:r>
            <m:ctrlPr>
              <w:rPr>
                <w:rFonts w:ascii="Cambria Math" w:hAnsi="Cambria Math"/>
                <w:color w:val="000000"/>
                <w:szCs w:val="21"/>
                <w:highlight w:val="yellow"/>
              </w:rPr>
            </m:ctrlPr>
          </m:sub>
        </m:sSub>
        <m:r>
          <m:rPr/>
          <w:rPr>
            <w:rFonts w:ascii="Cambria Math" w:hAnsi="Cambria Math"/>
            <w:color w:val="000000"/>
            <w:szCs w:val="21"/>
            <w:highlight w:val="yellow"/>
          </w:rPr>
          <m:t>=</m:t>
        </m:r>
        <m:f>
          <m:fPr>
            <m:ctrlPr>
              <w:rPr>
                <w:rFonts w:ascii="Cambria Math" w:hAnsi="Cambria Math"/>
                <w:i/>
                <w:color w:val="000000"/>
                <w:szCs w:val="21"/>
                <w:highlight w:val="yellow"/>
              </w:rPr>
            </m:ctrlPr>
          </m:fPr>
          <m:num>
            <m:sSub>
              <m:sSubPr>
                <m:ctrlPr>
                  <w:rPr>
                    <w:rFonts w:ascii="Cambria Math" w:hAnsi="Cambria Math"/>
                    <w:i/>
                    <w:color w:val="000000"/>
                    <w:szCs w:val="21"/>
                    <w:highlight w:val="yellow"/>
                  </w:rPr>
                </m:ctrlPr>
              </m:sSubPr>
              <m:e>
                <m:r>
                  <m:rPr/>
                  <w:rPr>
                    <w:rFonts w:ascii="Cambria Math" w:hAnsi="Cambria Math"/>
                    <w:color w:val="000000"/>
                    <w:szCs w:val="21"/>
                    <w:highlight w:val="yellow"/>
                  </w:rPr>
                  <m:t>V</m:t>
                </m:r>
                <m:ctrlPr>
                  <w:rPr>
                    <w:rFonts w:ascii="Cambria Math" w:hAnsi="Cambria Math"/>
                    <w:i/>
                    <w:color w:val="000000"/>
                    <w:szCs w:val="21"/>
                    <w:highlight w:val="yellow"/>
                  </w:rPr>
                </m:ctrlPr>
              </m:e>
              <m:sub>
                <m:r>
                  <m:rPr/>
                  <w:rPr>
                    <w:rFonts w:ascii="Cambria Math" w:hAnsi="Cambria Math"/>
                    <w:color w:val="000000"/>
                    <w:szCs w:val="21"/>
                    <w:highlight w:val="yellow"/>
                  </w:rPr>
                  <m:t>sj</m:t>
                </m:r>
                <m:ctrlPr>
                  <w:rPr>
                    <w:rFonts w:ascii="Cambria Math" w:hAnsi="Cambria Math"/>
                    <w:i/>
                    <w:color w:val="000000"/>
                    <w:szCs w:val="21"/>
                    <w:highlight w:val="yellow"/>
                  </w:rPr>
                </m:ctrlPr>
              </m:sub>
            </m:sSub>
            <m:ctrlPr>
              <w:rPr>
                <w:rFonts w:ascii="Cambria Math" w:hAnsi="Cambria Math"/>
                <w:i/>
                <w:color w:val="000000"/>
                <w:szCs w:val="21"/>
                <w:highlight w:val="yellow"/>
              </w:rPr>
            </m:ctrlPr>
          </m:num>
          <m:den>
            <m:r>
              <m:rPr/>
              <w:rPr>
                <w:rFonts w:ascii="Cambria Math" w:hAnsi="Cambria Math"/>
                <w:color w:val="000000"/>
                <w:szCs w:val="21"/>
                <w:highlight w:val="yellow"/>
              </w:rPr>
              <m:t>3600伪KJ</m:t>
            </m:r>
            <m:sSub>
              <m:sSubPr>
                <m:ctrlPr>
                  <w:rPr>
                    <w:rFonts w:ascii="Cambria Math" w:hAnsi="Cambria Math"/>
                    <w:i/>
                    <w:color w:val="000000"/>
                    <w:szCs w:val="21"/>
                    <w:highlight w:val="yellow"/>
                  </w:rPr>
                </m:ctrlPr>
              </m:sSubPr>
              <m:e>
                <m:r>
                  <m:rPr/>
                  <w:rPr>
                    <w:rFonts w:ascii="Cambria Math" w:hAnsi="Cambria Math"/>
                    <w:color w:val="000000"/>
                    <w:szCs w:val="21"/>
                    <w:highlight w:val="yellow"/>
                  </w:rPr>
                  <m:t>A</m:t>
                </m:r>
                <m:ctrlPr>
                  <w:rPr>
                    <w:rFonts w:ascii="Cambria Math" w:hAnsi="Cambria Math"/>
                    <w:i/>
                    <w:color w:val="000000"/>
                    <w:szCs w:val="21"/>
                    <w:highlight w:val="yellow"/>
                  </w:rPr>
                </m:ctrlPr>
              </m:e>
              <m:sub>
                <m:r>
                  <m:rPr/>
                  <w:rPr>
                    <w:rFonts w:ascii="Cambria Math" w:hAnsi="Cambria Math"/>
                    <w:color w:val="000000"/>
                    <w:szCs w:val="21"/>
                    <w:highlight w:val="yellow"/>
                  </w:rPr>
                  <m:t>s</m:t>
                </m:r>
                <m:ctrlPr>
                  <w:rPr>
                    <w:rFonts w:ascii="Cambria Math" w:hAnsi="Cambria Math"/>
                    <w:i/>
                    <w:color w:val="000000"/>
                    <w:szCs w:val="21"/>
                    <w:highlight w:val="yellow"/>
                  </w:rPr>
                </m:ctrlPr>
              </m:sub>
            </m:sSub>
            <m:ctrlPr>
              <w:rPr>
                <w:rFonts w:ascii="Cambria Math" w:hAnsi="Cambria Math"/>
                <w:i/>
                <w:color w:val="000000"/>
                <w:szCs w:val="21"/>
                <w:highlight w:val="yellow"/>
              </w:rPr>
            </m:ctrlPr>
          </m:den>
        </m:f>
      </m:oMath>
      <w:r>
        <w:rPr>
          <w:rFonts w:eastAsiaTheme="minorEastAsia"/>
          <w:color w:val="000000"/>
          <w:highlight w:val="yellow"/>
        </w:rPr>
        <w:t>计算，t</w:t>
      </w:r>
      <w:r>
        <w:rPr>
          <w:rFonts w:eastAsiaTheme="minorEastAsia"/>
          <w:color w:val="000000"/>
          <w:highlight w:val="yellow"/>
          <w:vertAlign w:val="subscript"/>
        </w:rPr>
        <w:t>s</w:t>
      </w:r>
      <w:r>
        <w:rPr>
          <w:rFonts w:eastAsiaTheme="minorEastAsia"/>
          <w:color w:val="000000"/>
          <w:highlight w:val="yellow"/>
        </w:rPr>
        <w:t>=1396.95/（3600*0.8*10</w:t>
      </w:r>
      <w:r>
        <w:rPr>
          <w:rFonts w:eastAsiaTheme="minorEastAsia"/>
          <w:color w:val="000000"/>
          <w:highlight w:val="yellow"/>
          <w:vertAlign w:val="superscript"/>
        </w:rPr>
        <w:t>-5</w:t>
      </w:r>
      <w:r>
        <w:rPr>
          <w:rFonts w:eastAsiaTheme="minorEastAsia"/>
          <w:color w:val="000000"/>
          <w:highlight w:val="yellow"/>
        </w:rPr>
        <w:t>*1*6984.77）=6.94h</w:t>
      </w:r>
    </w:p>
    <w:p>
      <w:pPr>
        <w:pStyle w:val="398"/>
        <w:spacing w:before="193"/>
        <w:ind w:left="560" w:leftChars="200" w:firstLine="480" w:firstLineChars="200"/>
        <w:jc w:val="both"/>
        <w:rPr>
          <w:rFonts w:eastAsiaTheme="minorEastAsia"/>
          <w:color w:val="000000"/>
          <w:highlight w:val="yellow"/>
        </w:rPr>
      </w:pPr>
      <w:r>
        <w:rPr>
          <w:rFonts w:eastAsiaTheme="minorEastAsia"/>
          <w:color w:val="000000"/>
          <w:highlight w:val="yellow"/>
        </w:rPr>
        <w:t>Q</w:t>
      </w:r>
      <w:r>
        <w:rPr>
          <w:rFonts w:eastAsiaTheme="minorEastAsia"/>
          <w:color w:val="000000"/>
          <w:highlight w:val="yellow"/>
          <w:vertAlign w:val="subscript"/>
        </w:rPr>
        <w:t>txd</w:t>
      </w:r>
      <w:r>
        <w:rPr>
          <w:rFonts w:eastAsiaTheme="minorEastAsia"/>
          <w:color w:val="000000"/>
          <w:highlight w:val="yellow"/>
        </w:rPr>
        <w:t>=1000*（1396.95/900-1396.95/（6.94*3600））=1496.29L/s；</w:t>
      </w:r>
    </w:p>
    <w:p>
      <w:pPr>
        <w:pStyle w:val="398"/>
        <w:spacing w:before="193"/>
        <w:ind w:left="560" w:leftChars="200" w:firstLine="480" w:firstLineChars="200"/>
        <w:rPr>
          <w:color w:val="000000"/>
          <w:sz w:val="21"/>
          <w:szCs w:val="21"/>
          <w:highlight w:val="yellow"/>
        </w:rPr>
      </w:pPr>
      <w:r>
        <w:rPr>
          <w:rFonts w:eastAsiaTheme="minorEastAsia"/>
          <w:color w:val="000000"/>
          <w:highlight w:val="yellow"/>
        </w:rPr>
        <w:t>建设后考虑削减措施时径流量Q</w:t>
      </w:r>
      <w:r>
        <w:rPr>
          <w:rFonts w:eastAsiaTheme="minorEastAsia"/>
          <w:color w:val="000000"/>
          <w:highlight w:val="yellow"/>
          <w:vertAlign w:val="subscript"/>
        </w:rPr>
        <w:t>jsh2</w:t>
      </w:r>
      <w:r>
        <w:rPr>
          <w:rFonts w:eastAsiaTheme="minorEastAsia"/>
          <w:color w:val="000000"/>
          <w:highlight w:val="yellow"/>
        </w:rPr>
        <w:t>=Qjsh-Q</w:t>
      </w:r>
      <w:r>
        <w:rPr>
          <w:rFonts w:eastAsiaTheme="minorEastAsia"/>
          <w:color w:val="000000"/>
          <w:highlight w:val="yellow"/>
          <w:vertAlign w:val="subscript"/>
        </w:rPr>
        <w:t>txd</w:t>
      </w:r>
      <w:r>
        <w:rPr>
          <w:rFonts w:eastAsiaTheme="minorEastAsia"/>
          <w:color w:val="000000"/>
          <w:highlight w:val="yellow"/>
        </w:rPr>
        <w:t>=</w:t>
      </w:r>
      <w:r>
        <w:rPr>
          <w:rFonts w:eastAsiaTheme="minorEastAsia"/>
          <w:b/>
          <w:color w:val="000000"/>
          <w:highlight w:val="yellow"/>
        </w:rPr>
        <w:t>1913.78</w:t>
      </w:r>
      <w:r>
        <w:rPr>
          <w:rFonts w:eastAsiaTheme="minorEastAsia"/>
          <w:color w:val="000000"/>
          <w:highlight w:val="yellow"/>
        </w:rPr>
        <w:t>-1496.29=417.49L/s</w:t>
      </w:r>
    </w:p>
    <w:p>
      <w:pPr>
        <w:pStyle w:val="398"/>
        <w:spacing w:before="193"/>
        <w:ind w:firstLine="480" w:firstLineChars="200"/>
        <w:rPr>
          <w:rFonts w:eastAsiaTheme="minorEastAsia"/>
          <w:color w:val="000000"/>
        </w:rPr>
      </w:pPr>
      <w:r>
        <w:rPr>
          <w:rFonts w:eastAsiaTheme="minorEastAsia"/>
          <w:color w:val="000000"/>
          <w:kern w:val="2"/>
          <w:highlight w:val="yellow"/>
        </w:rPr>
        <w:t>本工程建设用地范围内，建设后采取下沉式绿地、透水铺装等径流控制措施后，建设后的雨水径流量小于建设前，满足相关文件要求</w:t>
      </w:r>
      <w:r>
        <w:rPr>
          <w:rFonts w:eastAsiaTheme="minorEastAsia"/>
          <w:color w:val="000000"/>
          <w:highlight w:val="yellow"/>
        </w:rPr>
        <w:t>。</w:t>
      </w:r>
    </w:p>
    <w:p>
      <w:pPr>
        <w:pStyle w:val="3"/>
        <w:ind w:firstLine="562" w:firstLineChars="200"/>
      </w:pPr>
      <w:bookmarkStart w:id="495" w:name="_Toc13151"/>
      <w:r>
        <w:t>工程估算</w:t>
      </w:r>
      <w:bookmarkEnd w:id="495"/>
    </w:p>
    <w:p>
      <w:pPr>
        <w:autoSpaceDE w:val="0"/>
        <w:autoSpaceDN w:val="0"/>
        <w:adjustRightInd w:val="0"/>
        <w:spacing w:line="360" w:lineRule="auto"/>
        <w:ind w:firstLine="480" w:firstLineChars="200"/>
        <w:jc w:val="left"/>
        <w:rPr>
          <w:rFonts w:ascii="Times New Roman" w:hAnsi="Times New Roman"/>
          <w:b w:val="0"/>
          <w:bCs/>
          <w:color w:val="000000"/>
          <w:sz w:val="24"/>
          <w:szCs w:val="24"/>
        </w:rPr>
      </w:pPr>
      <w:r>
        <w:rPr>
          <w:rFonts w:ascii="Times New Roman" w:hAnsi="Times New Roman"/>
          <w:b w:val="0"/>
          <w:bCs/>
          <w:color w:val="000000"/>
          <w:sz w:val="24"/>
          <w:szCs w:val="24"/>
        </w:rPr>
        <w:t>根据本项目低影响开发设施布置情况估算增量成本，具体计算如下所示：</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850"/>
        <w:gridCol w:w="1368"/>
        <w:gridCol w:w="1667"/>
        <w:gridCol w:w="16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263" w:type="dxa"/>
            <w:vAlign w:val="center"/>
          </w:tcPr>
          <w:p>
            <w:pPr>
              <w:autoSpaceDE w:val="0"/>
              <w:autoSpaceDN w:val="0"/>
              <w:adjustRightInd w:val="0"/>
              <w:spacing w:line="360" w:lineRule="auto"/>
              <w:jc w:val="center"/>
              <w:rPr>
                <w:rFonts w:ascii="Times New Roman" w:hAnsi="Times New Roman"/>
                <w:b w:val="0"/>
                <w:bCs/>
                <w:color w:val="000000"/>
                <w:sz w:val="24"/>
                <w:szCs w:val="24"/>
              </w:rPr>
            </w:pPr>
            <w:r>
              <w:rPr>
                <w:rFonts w:ascii="Times New Roman" w:hAnsi="Times New Roman"/>
                <w:b w:val="0"/>
                <w:bCs/>
                <w:color w:val="000000"/>
                <w:sz w:val="24"/>
                <w:szCs w:val="24"/>
              </w:rPr>
              <w:t>路名</w:t>
            </w:r>
          </w:p>
        </w:tc>
        <w:tc>
          <w:tcPr>
            <w:tcW w:w="2127" w:type="dxa"/>
            <w:vAlign w:val="center"/>
          </w:tcPr>
          <w:p>
            <w:pPr>
              <w:autoSpaceDE w:val="0"/>
              <w:autoSpaceDN w:val="0"/>
              <w:adjustRightInd w:val="0"/>
              <w:spacing w:line="360" w:lineRule="auto"/>
              <w:jc w:val="center"/>
              <w:rPr>
                <w:rFonts w:ascii="Times New Roman" w:hAnsi="Times New Roman"/>
                <w:b w:val="0"/>
                <w:bCs/>
                <w:color w:val="000000"/>
                <w:sz w:val="24"/>
                <w:szCs w:val="24"/>
              </w:rPr>
            </w:pPr>
            <w:r>
              <w:rPr>
                <w:rFonts w:ascii="Times New Roman" w:hAnsi="Times New Roman"/>
                <w:b w:val="0"/>
                <w:bCs/>
                <w:color w:val="000000"/>
                <w:sz w:val="24"/>
                <w:szCs w:val="24"/>
              </w:rPr>
              <w:t>低影响开发设施</w:t>
            </w:r>
          </w:p>
        </w:tc>
        <w:tc>
          <w:tcPr>
            <w:tcW w:w="850" w:type="dxa"/>
            <w:vAlign w:val="center"/>
          </w:tcPr>
          <w:p>
            <w:pPr>
              <w:autoSpaceDE w:val="0"/>
              <w:autoSpaceDN w:val="0"/>
              <w:adjustRightInd w:val="0"/>
              <w:spacing w:line="360" w:lineRule="auto"/>
              <w:jc w:val="center"/>
              <w:rPr>
                <w:rFonts w:ascii="Times New Roman" w:hAnsi="Times New Roman"/>
                <w:b w:val="0"/>
                <w:bCs/>
                <w:color w:val="000000"/>
                <w:sz w:val="24"/>
                <w:szCs w:val="24"/>
              </w:rPr>
            </w:pPr>
            <w:r>
              <w:rPr>
                <w:rFonts w:ascii="Times New Roman" w:hAnsi="Times New Roman"/>
                <w:b w:val="0"/>
                <w:bCs/>
                <w:color w:val="000000"/>
                <w:sz w:val="24"/>
                <w:szCs w:val="24"/>
              </w:rPr>
              <w:t>单位</w:t>
            </w:r>
          </w:p>
        </w:tc>
        <w:tc>
          <w:tcPr>
            <w:tcW w:w="1368" w:type="dxa"/>
            <w:vAlign w:val="center"/>
          </w:tcPr>
          <w:p>
            <w:pPr>
              <w:autoSpaceDE w:val="0"/>
              <w:autoSpaceDN w:val="0"/>
              <w:adjustRightInd w:val="0"/>
              <w:spacing w:line="360" w:lineRule="auto"/>
              <w:jc w:val="center"/>
              <w:rPr>
                <w:rFonts w:ascii="Times New Roman" w:hAnsi="Times New Roman"/>
                <w:b w:val="0"/>
                <w:bCs/>
                <w:color w:val="000000"/>
                <w:sz w:val="24"/>
                <w:szCs w:val="24"/>
              </w:rPr>
            </w:pPr>
            <w:r>
              <w:rPr>
                <w:rFonts w:ascii="Times New Roman" w:hAnsi="Times New Roman"/>
                <w:b w:val="0"/>
                <w:bCs/>
                <w:color w:val="000000"/>
                <w:sz w:val="24"/>
                <w:szCs w:val="24"/>
              </w:rPr>
              <w:t>数量</w:t>
            </w:r>
          </w:p>
        </w:tc>
        <w:tc>
          <w:tcPr>
            <w:tcW w:w="1667" w:type="dxa"/>
            <w:vAlign w:val="center"/>
          </w:tcPr>
          <w:p>
            <w:pPr>
              <w:autoSpaceDE w:val="0"/>
              <w:autoSpaceDN w:val="0"/>
              <w:adjustRightInd w:val="0"/>
              <w:spacing w:line="360" w:lineRule="auto"/>
              <w:jc w:val="center"/>
              <w:rPr>
                <w:rFonts w:ascii="Times New Roman" w:hAnsi="Times New Roman"/>
                <w:b w:val="0"/>
                <w:bCs/>
                <w:color w:val="000000"/>
                <w:sz w:val="24"/>
                <w:szCs w:val="24"/>
              </w:rPr>
            </w:pPr>
            <w:r>
              <w:rPr>
                <w:rFonts w:ascii="Times New Roman" w:hAnsi="Times New Roman"/>
                <w:b w:val="0"/>
                <w:bCs/>
                <w:color w:val="000000"/>
                <w:sz w:val="24"/>
                <w:szCs w:val="24"/>
              </w:rPr>
              <w:t>单价（元）</w:t>
            </w:r>
          </w:p>
        </w:tc>
        <w:tc>
          <w:tcPr>
            <w:tcW w:w="1659" w:type="dxa"/>
            <w:vAlign w:val="center"/>
          </w:tcPr>
          <w:p>
            <w:pPr>
              <w:autoSpaceDE w:val="0"/>
              <w:autoSpaceDN w:val="0"/>
              <w:adjustRightInd w:val="0"/>
              <w:spacing w:line="360" w:lineRule="auto"/>
              <w:jc w:val="center"/>
              <w:rPr>
                <w:rFonts w:ascii="Times New Roman" w:hAnsi="Times New Roman"/>
                <w:b w:val="0"/>
                <w:bCs/>
                <w:color w:val="000000"/>
                <w:sz w:val="24"/>
                <w:szCs w:val="24"/>
              </w:rPr>
            </w:pPr>
            <w:r>
              <w:rPr>
                <w:rFonts w:ascii="Times New Roman" w:hAnsi="Times New Roman"/>
                <w:b w:val="0"/>
                <w:bCs/>
                <w:color w:val="000000"/>
                <w:sz w:val="24"/>
                <w:szCs w:val="24"/>
              </w:rPr>
              <w:t>估算（万元）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autoSpaceDE w:val="0"/>
              <w:autoSpaceDN w:val="0"/>
              <w:adjustRightInd w:val="0"/>
              <w:spacing w:line="360" w:lineRule="auto"/>
              <w:jc w:val="center"/>
              <w:rPr>
                <w:rFonts w:ascii="Times New Roman" w:hAnsi="Times New Roman" w:eastAsiaTheme="minorEastAsia"/>
                <w:b w:val="0"/>
                <w:color w:val="000000"/>
                <w:sz w:val="24"/>
                <w:szCs w:val="24"/>
              </w:rPr>
            </w:pPr>
            <w:r>
              <w:rPr>
                <w:rFonts w:ascii="Times New Roman" w:hAnsi="Times New Roman"/>
                <w:b w:val="0"/>
                <w:color w:val="000000"/>
                <w:sz w:val="24"/>
                <w:szCs w:val="24"/>
              </w:rPr>
              <w:t>二十涌北路</w:t>
            </w:r>
          </w:p>
        </w:tc>
        <w:tc>
          <w:tcPr>
            <w:tcW w:w="2127" w:type="dxa"/>
          </w:tcPr>
          <w:p>
            <w:pPr>
              <w:autoSpaceDE w:val="0"/>
              <w:autoSpaceDN w:val="0"/>
              <w:adjustRightInd w:val="0"/>
              <w:spacing w:line="360" w:lineRule="auto"/>
              <w:jc w:val="center"/>
              <w:rPr>
                <w:rFonts w:ascii="Times New Roman" w:hAnsi="Times New Roman"/>
                <w:b w:val="0"/>
                <w:bCs/>
                <w:color w:val="000000"/>
                <w:sz w:val="24"/>
                <w:szCs w:val="24"/>
              </w:rPr>
            </w:pPr>
            <w:r>
              <w:rPr>
                <w:rFonts w:ascii="Times New Roman" w:hAnsi="Times New Roman"/>
                <w:b w:val="0"/>
                <w:bCs/>
                <w:color w:val="000000"/>
                <w:sz w:val="24"/>
                <w:szCs w:val="24"/>
              </w:rPr>
              <w:t>透水铺装</w:t>
            </w:r>
          </w:p>
        </w:tc>
        <w:tc>
          <w:tcPr>
            <w:tcW w:w="850" w:type="dxa"/>
          </w:tcPr>
          <w:p>
            <w:pPr>
              <w:autoSpaceDE w:val="0"/>
              <w:autoSpaceDN w:val="0"/>
              <w:adjustRightInd w:val="0"/>
              <w:spacing w:line="360" w:lineRule="auto"/>
              <w:jc w:val="center"/>
              <w:rPr>
                <w:rFonts w:ascii="Times New Roman" w:hAnsi="Times New Roman"/>
                <w:b w:val="0"/>
                <w:bCs/>
                <w:color w:val="000000"/>
                <w:sz w:val="24"/>
                <w:szCs w:val="24"/>
              </w:rPr>
            </w:pPr>
            <w:r>
              <w:rPr>
                <w:rFonts w:ascii="Times New Roman" w:hAnsi="Times New Roman"/>
                <w:b w:val="0"/>
                <w:bCs/>
                <w:color w:val="000000"/>
                <w:sz w:val="24"/>
                <w:szCs w:val="24"/>
              </w:rPr>
              <w:t>m</w:t>
            </w:r>
            <w:r>
              <w:rPr>
                <w:rFonts w:ascii="Times New Roman" w:hAnsi="Times New Roman"/>
                <w:b w:val="0"/>
                <w:bCs/>
                <w:color w:val="000000"/>
                <w:sz w:val="24"/>
                <w:szCs w:val="24"/>
                <w:vertAlign w:val="superscript"/>
              </w:rPr>
              <w:t>2</w:t>
            </w:r>
          </w:p>
        </w:tc>
        <w:tc>
          <w:tcPr>
            <w:tcW w:w="1368" w:type="dxa"/>
            <w:vAlign w:val="center"/>
          </w:tcPr>
          <w:p>
            <w:pPr>
              <w:autoSpaceDE w:val="0"/>
              <w:autoSpaceDN w:val="0"/>
              <w:adjustRightInd w:val="0"/>
              <w:spacing w:line="360" w:lineRule="auto"/>
              <w:jc w:val="center"/>
              <w:rPr>
                <w:rFonts w:ascii="Times New Roman" w:hAnsi="Times New Roman"/>
                <w:b w:val="0"/>
                <w:bCs/>
                <w:color w:val="000000"/>
                <w:sz w:val="24"/>
                <w:szCs w:val="24"/>
              </w:rPr>
            </w:pPr>
            <w:r>
              <w:rPr>
                <w:rFonts w:ascii="Times New Roman" w:hAnsi="Times New Roman"/>
                <w:b w:val="0"/>
                <w:color w:val="000000"/>
                <w:sz w:val="24"/>
                <w:szCs w:val="24"/>
              </w:rPr>
              <w:t>32855.53</w:t>
            </w:r>
          </w:p>
        </w:tc>
        <w:tc>
          <w:tcPr>
            <w:tcW w:w="1667" w:type="dxa"/>
          </w:tcPr>
          <w:p>
            <w:pPr>
              <w:autoSpaceDE w:val="0"/>
              <w:autoSpaceDN w:val="0"/>
              <w:adjustRightInd w:val="0"/>
              <w:spacing w:line="360" w:lineRule="auto"/>
              <w:jc w:val="center"/>
              <w:rPr>
                <w:rFonts w:ascii="Times New Roman" w:hAnsi="Times New Roman"/>
                <w:b w:val="0"/>
                <w:bCs/>
                <w:color w:val="000000"/>
                <w:sz w:val="24"/>
                <w:szCs w:val="24"/>
              </w:rPr>
            </w:pPr>
            <w:r>
              <w:rPr>
                <w:rFonts w:ascii="Times New Roman" w:hAnsi="Times New Roman"/>
                <w:b w:val="0"/>
                <w:bCs/>
                <w:color w:val="000000"/>
                <w:sz w:val="24"/>
                <w:szCs w:val="24"/>
              </w:rPr>
              <w:t>300</w:t>
            </w:r>
          </w:p>
        </w:tc>
        <w:tc>
          <w:tcPr>
            <w:tcW w:w="1659" w:type="dxa"/>
            <w:vAlign w:val="center"/>
          </w:tcPr>
          <w:p>
            <w:pPr>
              <w:autoSpaceDE w:val="0"/>
              <w:autoSpaceDN w:val="0"/>
              <w:adjustRightInd w:val="0"/>
              <w:spacing w:line="360" w:lineRule="auto"/>
              <w:jc w:val="center"/>
              <w:rPr>
                <w:rFonts w:ascii="Times New Roman" w:hAnsi="Times New Roman"/>
                <w:b w:val="0"/>
                <w:bCs/>
                <w:color w:val="000000"/>
                <w:sz w:val="24"/>
                <w:szCs w:val="24"/>
              </w:rPr>
            </w:pPr>
            <w:r>
              <w:rPr>
                <w:rFonts w:ascii="Times New Roman" w:hAnsi="Times New Roman"/>
                <w:b w:val="0"/>
                <w:bCs/>
                <w:color w:val="000000"/>
                <w:sz w:val="24"/>
                <w:szCs w:val="24"/>
              </w:rPr>
              <w:t>985.66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autoSpaceDE w:val="0"/>
              <w:autoSpaceDN w:val="0"/>
              <w:adjustRightInd w:val="0"/>
              <w:spacing w:line="360" w:lineRule="auto"/>
              <w:jc w:val="center"/>
              <w:rPr>
                <w:rFonts w:ascii="Times New Roman" w:hAnsi="Times New Roman" w:eastAsiaTheme="minorEastAsia"/>
                <w:b w:val="0"/>
                <w:color w:val="000000"/>
                <w:sz w:val="24"/>
                <w:szCs w:val="24"/>
              </w:rPr>
            </w:pPr>
            <w:r>
              <w:rPr>
                <w:rFonts w:ascii="Times New Roman" w:hAnsi="Times New Roman"/>
                <w:b w:val="0"/>
                <w:color w:val="000000"/>
                <w:sz w:val="24"/>
                <w:szCs w:val="24"/>
              </w:rPr>
              <w:t>规划纵三路</w:t>
            </w:r>
          </w:p>
        </w:tc>
        <w:tc>
          <w:tcPr>
            <w:tcW w:w="2127" w:type="dxa"/>
          </w:tcPr>
          <w:p>
            <w:pPr>
              <w:autoSpaceDE w:val="0"/>
              <w:autoSpaceDN w:val="0"/>
              <w:adjustRightInd w:val="0"/>
              <w:spacing w:line="360" w:lineRule="auto"/>
              <w:jc w:val="center"/>
              <w:rPr>
                <w:rFonts w:ascii="Times New Roman" w:hAnsi="Times New Roman"/>
                <w:b w:val="0"/>
                <w:bCs/>
                <w:color w:val="000000"/>
                <w:sz w:val="24"/>
                <w:szCs w:val="24"/>
              </w:rPr>
            </w:pPr>
            <w:r>
              <w:rPr>
                <w:rFonts w:ascii="Times New Roman" w:hAnsi="Times New Roman"/>
                <w:b w:val="0"/>
                <w:bCs/>
                <w:color w:val="000000"/>
                <w:sz w:val="24"/>
                <w:szCs w:val="24"/>
              </w:rPr>
              <w:t>透水铺装</w:t>
            </w:r>
          </w:p>
        </w:tc>
        <w:tc>
          <w:tcPr>
            <w:tcW w:w="850" w:type="dxa"/>
          </w:tcPr>
          <w:p>
            <w:pPr>
              <w:autoSpaceDE w:val="0"/>
              <w:autoSpaceDN w:val="0"/>
              <w:adjustRightInd w:val="0"/>
              <w:spacing w:line="360" w:lineRule="auto"/>
              <w:jc w:val="center"/>
              <w:rPr>
                <w:rFonts w:ascii="Times New Roman" w:hAnsi="Times New Roman"/>
                <w:b w:val="0"/>
                <w:bCs/>
                <w:color w:val="000000"/>
                <w:sz w:val="24"/>
                <w:szCs w:val="24"/>
              </w:rPr>
            </w:pPr>
            <w:r>
              <w:rPr>
                <w:rFonts w:ascii="Times New Roman" w:hAnsi="Times New Roman"/>
                <w:b w:val="0"/>
                <w:bCs/>
                <w:color w:val="000000"/>
                <w:sz w:val="24"/>
                <w:szCs w:val="24"/>
              </w:rPr>
              <w:t>m</w:t>
            </w:r>
            <w:r>
              <w:rPr>
                <w:rFonts w:ascii="Times New Roman" w:hAnsi="Times New Roman"/>
                <w:b w:val="0"/>
                <w:bCs/>
                <w:color w:val="000000"/>
                <w:sz w:val="24"/>
                <w:szCs w:val="24"/>
                <w:vertAlign w:val="superscript"/>
              </w:rPr>
              <w:t>2</w:t>
            </w:r>
          </w:p>
        </w:tc>
        <w:tc>
          <w:tcPr>
            <w:tcW w:w="1368" w:type="dxa"/>
            <w:vAlign w:val="center"/>
          </w:tcPr>
          <w:p>
            <w:pPr>
              <w:autoSpaceDE w:val="0"/>
              <w:autoSpaceDN w:val="0"/>
              <w:adjustRightInd w:val="0"/>
              <w:spacing w:line="360" w:lineRule="auto"/>
              <w:jc w:val="center"/>
              <w:rPr>
                <w:rFonts w:ascii="Times New Roman" w:hAnsi="Times New Roman"/>
                <w:b w:val="0"/>
                <w:bCs/>
                <w:color w:val="000000"/>
                <w:sz w:val="24"/>
                <w:szCs w:val="24"/>
              </w:rPr>
            </w:pPr>
            <w:r>
              <w:rPr>
                <w:rFonts w:ascii="Times New Roman" w:hAnsi="Times New Roman"/>
                <w:b w:val="0"/>
                <w:color w:val="000000"/>
                <w:sz w:val="24"/>
                <w:szCs w:val="24"/>
              </w:rPr>
              <w:t>13068.22</w:t>
            </w:r>
          </w:p>
        </w:tc>
        <w:tc>
          <w:tcPr>
            <w:tcW w:w="1667" w:type="dxa"/>
          </w:tcPr>
          <w:p>
            <w:pPr>
              <w:autoSpaceDE w:val="0"/>
              <w:autoSpaceDN w:val="0"/>
              <w:adjustRightInd w:val="0"/>
              <w:spacing w:line="360" w:lineRule="auto"/>
              <w:jc w:val="center"/>
              <w:rPr>
                <w:rFonts w:ascii="Times New Roman" w:hAnsi="Times New Roman"/>
                <w:b w:val="0"/>
                <w:bCs/>
                <w:color w:val="000000"/>
                <w:sz w:val="24"/>
                <w:szCs w:val="24"/>
              </w:rPr>
            </w:pPr>
            <w:r>
              <w:rPr>
                <w:rFonts w:ascii="Times New Roman" w:hAnsi="Times New Roman"/>
                <w:b w:val="0"/>
                <w:bCs/>
                <w:color w:val="000000"/>
                <w:sz w:val="24"/>
                <w:szCs w:val="24"/>
              </w:rPr>
              <w:t>300</w:t>
            </w:r>
          </w:p>
        </w:tc>
        <w:tc>
          <w:tcPr>
            <w:tcW w:w="1659" w:type="dxa"/>
            <w:vAlign w:val="center"/>
          </w:tcPr>
          <w:p>
            <w:pPr>
              <w:autoSpaceDE w:val="0"/>
              <w:autoSpaceDN w:val="0"/>
              <w:adjustRightInd w:val="0"/>
              <w:spacing w:line="360" w:lineRule="auto"/>
              <w:jc w:val="center"/>
              <w:rPr>
                <w:rFonts w:ascii="Times New Roman" w:hAnsi="Times New Roman"/>
                <w:b w:val="0"/>
                <w:bCs/>
                <w:color w:val="000000"/>
                <w:sz w:val="24"/>
                <w:szCs w:val="24"/>
              </w:rPr>
            </w:pPr>
            <w:r>
              <w:rPr>
                <w:rFonts w:ascii="Times New Roman" w:hAnsi="Times New Roman"/>
                <w:b w:val="0"/>
                <w:bCs/>
                <w:color w:val="000000"/>
                <w:sz w:val="24"/>
                <w:szCs w:val="24"/>
              </w:rPr>
              <w:t>392.05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75" w:type="dxa"/>
            <w:gridSpan w:val="5"/>
            <w:vAlign w:val="center"/>
          </w:tcPr>
          <w:p>
            <w:pPr>
              <w:autoSpaceDE w:val="0"/>
              <w:autoSpaceDN w:val="0"/>
              <w:adjustRightInd w:val="0"/>
              <w:spacing w:line="360" w:lineRule="auto"/>
              <w:jc w:val="center"/>
              <w:rPr>
                <w:rFonts w:ascii="Times New Roman" w:hAnsi="Times New Roman"/>
                <w:b w:val="0"/>
                <w:bCs/>
                <w:color w:val="000000"/>
                <w:sz w:val="24"/>
                <w:szCs w:val="24"/>
              </w:rPr>
            </w:pPr>
            <w:r>
              <w:rPr>
                <w:rFonts w:ascii="Times New Roman" w:hAnsi="Times New Roman"/>
                <w:b w:val="0"/>
                <w:bCs/>
                <w:color w:val="000000"/>
                <w:sz w:val="24"/>
                <w:szCs w:val="24"/>
              </w:rPr>
              <w:t>合计</w:t>
            </w:r>
          </w:p>
        </w:tc>
        <w:tc>
          <w:tcPr>
            <w:tcW w:w="1659" w:type="dxa"/>
            <w:vAlign w:val="center"/>
          </w:tcPr>
          <w:p>
            <w:pPr>
              <w:autoSpaceDE w:val="0"/>
              <w:autoSpaceDN w:val="0"/>
              <w:adjustRightInd w:val="0"/>
              <w:spacing w:line="360" w:lineRule="auto"/>
              <w:jc w:val="center"/>
              <w:rPr>
                <w:rFonts w:ascii="Times New Roman" w:hAnsi="Times New Roman"/>
                <w:b w:val="0"/>
                <w:bCs/>
                <w:color w:val="000000"/>
                <w:sz w:val="24"/>
                <w:szCs w:val="24"/>
              </w:rPr>
            </w:pPr>
            <w:r>
              <w:rPr>
                <w:rFonts w:hint="eastAsia" w:ascii="Times New Roman" w:hAnsi="Times New Roman"/>
                <w:b w:val="0"/>
                <w:bCs/>
                <w:color w:val="000000"/>
                <w:sz w:val="24"/>
                <w:szCs w:val="24"/>
              </w:rPr>
              <w:t>1377.71</w:t>
            </w:r>
          </w:p>
        </w:tc>
      </w:tr>
    </w:tbl>
    <w:p>
      <w:pPr>
        <w:autoSpaceDE w:val="0"/>
        <w:autoSpaceDN w:val="0"/>
        <w:adjustRightInd w:val="0"/>
        <w:spacing w:line="360" w:lineRule="auto"/>
        <w:ind w:firstLine="480" w:firstLineChars="200"/>
        <w:jc w:val="left"/>
        <w:rPr>
          <w:rFonts w:ascii="Times New Roman" w:hAnsi="Times New Roman"/>
          <w:b w:val="0"/>
          <w:bCs/>
          <w:color w:val="000000"/>
          <w:sz w:val="24"/>
          <w:szCs w:val="24"/>
        </w:rPr>
      </w:pPr>
      <w:r>
        <w:rPr>
          <w:rFonts w:ascii="Times New Roman" w:hAnsi="Times New Roman"/>
          <w:b w:val="0"/>
          <w:bCs/>
          <w:color w:val="000000"/>
          <w:sz w:val="24"/>
          <w:szCs w:val="24"/>
        </w:rPr>
        <w:t>则本项目低影响开发设施总投资约为2002.11万元。</w:t>
      </w:r>
    </w:p>
    <w:p>
      <w:pPr>
        <w:pStyle w:val="3"/>
        <w:ind w:firstLine="562" w:firstLineChars="200"/>
      </w:pPr>
      <w:bookmarkStart w:id="496" w:name="_Toc13497"/>
      <w:r>
        <w:t>海绵设施施工安装注意事项及验收标准</w:t>
      </w:r>
      <w:bookmarkEnd w:id="492"/>
      <w:bookmarkEnd w:id="496"/>
    </w:p>
    <w:p>
      <w:pPr>
        <w:numPr>
          <w:ilvl w:val="0"/>
          <w:numId w:val="54"/>
        </w:numPr>
        <w:tabs>
          <w:tab w:val="left" w:pos="360"/>
        </w:tabs>
        <w:autoSpaceDE w:val="0"/>
        <w:autoSpaceDN w:val="0"/>
        <w:adjustRightInd w:val="0"/>
        <w:spacing w:line="360" w:lineRule="auto"/>
        <w:ind w:firstLine="480" w:firstLineChars="200"/>
        <w:jc w:val="left"/>
        <w:rPr>
          <w:rFonts w:ascii="Times New Roman" w:hAnsi="Times New Roman"/>
          <w:b w:val="0"/>
          <w:bCs/>
          <w:color w:val="FF0000"/>
          <w:sz w:val="24"/>
          <w:szCs w:val="24"/>
        </w:rPr>
      </w:pPr>
      <w:r>
        <w:rPr>
          <w:rFonts w:ascii="Times New Roman" w:hAnsi="Times New Roman"/>
          <w:b w:val="0"/>
          <w:bCs/>
          <w:color w:val="FF0000"/>
          <w:sz w:val="24"/>
          <w:szCs w:val="24"/>
        </w:rPr>
        <w:t>常用材料要求</w:t>
      </w:r>
    </w:p>
    <w:p>
      <w:pPr>
        <w:tabs>
          <w:tab w:val="left" w:pos="284"/>
        </w:tabs>
        <w:spacing w:line="300" w:lineRule="auto"/>
        <w:ind w:left="57" w:firstLine="480" w:firstLineChars="200"/>
        <w:rPr>
          <w:rFonts w:ascii="Times New Roman" w:hAnsi="Times New Roman"/>
          <w:b w:val="0"/>
          <w:bCs/>
          <w:color w:val="auto"/>
          <w:sz w:val="24"/>
          <w:szCs w:val="24"/>
        </w:rPr>
      </w:pPr>
      <w:r>
        <w:rPr>
          <w:rFonts w:ascii="Times New Roman" w:hAnsi="Times New Roman"/>
          <w:b w:val="0"/>
          <w:bCs/>
          <w:color w:val="auto"/>
          <w:sz w:val="24"/>
          <w:szCs w:val="24"/>
        </w:rPr>
        <w:t>人行道透水砖材料技术要求应满足：抗压强度≥Cc40，抗折强度≥Cf5.0，防滑等级为R3级，渗水系数≥0.03cm/s，磨坑长度≤35mm。每块砌块平整度、垂直度≤2mm，长度、宽度偏差≤±2mm，厚度差≤±2mm；正面粘皮及缺损的最大投影尺寸≤3mm，缺棱掉角的最大投影尺寸≤5mm。砌块色彩均匀，统一，无明显色差，无分层现象。</w:t>
      </w:r>
    </w:p>
    <w:p>
      <w:pPr>
        <w:tabs>
          <w:tab w:val="left" w:pos="284"/>
        </w:tabs>
        <w:spacing w:line="300" w:lineRule="auto"/>
        <w:ind w:left="57" w:firstLine="480" w:firstLineChars="200"/>
        <w:rPr>
          <w:rFonts w:ascii="Times New Roman" w:hAnsi="Times New Roman"/>
          <w:b w:val="0"/>
          <w:bCs/>
          <w:color w:val="auto"/>
          <w:sz w:val="24"/>
          <w:szCs w:val="24"/>
        </w:rPr>
      </w:pPr>
      <w:r>
        <w:rPr>
          <w:rFonts w:ascii="Times New Roman" w:hAnsi="Times New Roman"/>
          <w:b w:val="0"/>
          <w:bCs/>
          <w:color w:val="auto"/>
          <w:sz w:val="24"/>
          <w:szCs w:val="24"/>
        </w:rPr>
        <w:t>非机动车道采用黑色透水混凝土铺装，透水水泥混凝土基层应按照《透水水泥混凝土路面技术规程》（CJJ/T 135）相关规定执行，水泥应采用强度不低于42.5级的硅酸盐水泥或普通硅酸盐水泥，质量应符合现行国家标准《通用硅酸盐水泥》（GB175）的要求，不同等级、厂牌、品种的水泥不得混存、混用。透水水泥混凝土采用的集料，必须使用质地坚硬、耐久、洁净、密实的碎石料，碎石的性能指标应符合国家标准《建设用卵石、碎石》（GB/T 14685）的二级要求。</w:t>
      </w:r>
    </w:p>
    <w:p>
      <w:pPr>
        <w:numPr>
          <w:ilvl w:val="0"/>
          <w:numId w:val="54"/>
        </w:numPr>
        <w:tabs>
          <w:tab w:val="left" w:pos="360"/>
        </w:tabs>
        <w:autoSpaceDE w:val="0"/>
        <w:autoSpaceDN w:val="0"/>
        <w:adjustRightInd w:val="0"/>
        <w:spacing w:line="360" w:lineRule="auto"/>
        <w:ind w:firstLine="480" w:firstLineChars="200"/>
        <w:jc w:val="left"/>
        <w:rPr>
          <w:rFonts w:ascii="Times New Roman" w:hAnsi="Times New Roman"/>
          <w:b w:val="0"/>
          <w:bCs/>
          <w:color w:val="FF0000"/>
          <w:sz w:val="24"/>
          <w:szCs w:val="24"/>
        </w:rPr>
      </w:pPr>
      <w:r>
        <w:rPr>
          <w:rFonts w:ascii="Times New Roman" w:hAnsi="Times New Roman"/>
          <w:b w:val="0"/>
          <w:bCs/>
          <w:color w:val="FF0000"/>
          <w:sz w:val="24"/>
          <w:szCs w:val="24"/>
        </w:rPr>
        <w:t>人行道铺装施工需注意：</w:t>
      </w:r>
    </w:p>
    <w:p>
      <w:pPr>
        <w:tabs>
          <w:tab w:val="left" w:pos="284"/>
        </w:tabs>
        <w:spacing w:line="300" w:lineRule="auto"/>
        <w:ind w:left="57" w:firstLine="480" w:firstLineChars="200"/>
        <w:rPr>
          <w:rFonts w:ascii="Times New Roman" w:hAnsi="Times New Roman"/>
          <w:b w:val="0"/>
          <w:bCs/>
          <w:color w:val="auto"/>
          <w:sz w:val="24"/>
          <w:szCs w:val="24"/>
        </w:rPr>
      </w:pPr>
      <w:r>
        <w:rPr>
          <w:rFonts w:ascii="Times New Roman" w:hAnsi="Times New Roman"/>
          <w:b w:val="0"/>
          <w:bCs/>
          <w:color w:val="auto"/>
          <w:sz w:val="24"/>
          <w:szCs w:val="24"/>
        </w:rPr>
        <w:t>（1）严格按照道路标高铺砌砌块，避免出现高低不平现象。要求表面平整，同一设计高程道砖高差不大于2mm。</w:t>
      </w:r>
    </w:p>
    <w:p>
      <w:pPr>
        <w:tabs>
          <w:tab w:val="left" w:pos="284"/>
        </w:tabs>
        <w:spacing w:line="300" w:lineRule="auto"/>
        <w:ind w:left="57" w:firstLine="480" w:firstLineChars="200"/>
        <w:rPr>
          <w:rFonts w:ascii="Times New Roman" w:hAnsi="Times New Roman"/>
          <w:b w:val="0"/>
          <w:bCs/>
          <w:color w:val="auto"/>
          <w:sz w:val="24"/>
          <w:szCs w:val="24"/>
        </w:rPr>
      </w:pPr>
      <w:r>
        <w:rPr>
          <w:rFonts w:ascii="Times New Roman" w:hAnsi="Times New Roman"/>
          <w:b w:val="0"/>
          <w:bCs/>
          <w:color w:val="auto"/>
          <w:sz w:val="24"/>
          <w:szCs w:val="24"/>
        </w:rPr>
        <w:t>（2）砌块安装稳固、无翘动，无翘边、翘角、反坡、积水现象。</w:t>
      </w:r>
    </w:p>
    <w:p>
      <w:pPr>
        <w:tabs>
          <w:tab w:val="left" w:pos="284"/>
        </w:tabs>
        <w:spacing w:line="300" w:lineRule="auto"/>
        <w:ind w:left="57" w:firstLine="480" w:firstLineChars="200"/>
        <w:rPr>
          <w:rFonts w:ascii="Times New Roman" w:hAnsi="Times New Roman"/>
          <w:b w:val="0"/>
          <w:bCs/>
          <w:color w:val="auto"/>
          <w:sz w:val="24"/>
          <w:szCs w:val="24"/>
        </w:rPr>
      </w:pPr>
      <w:r>
        <w:rPr>
          <w:rFonts w:ascii="Times New Roman" w:hAnsi="Times New Roman"/>
          <w:b w:val="0"/>
          <w:bCs/>
          <w:color w:val="auto"/>
          <w:sz w:val="24"/>
          <w:szCs w:val="24"/>
        </w:rPr>
        <w:t>（3）小半径路口处理：小半径的路口、转弯位，与侧石相邻砌块应切成弧形安装，以令弯位圆顺。</w:t>
      </w:r>
    </w:p>
    <w:p>
      <w:pPr>
        <w:tabs>
          <w:tab w:val="left" w:pos="284"/>
        </w:tabs>
        <w:spacing w:line="300" w:lineRule="auto"/>
        <w:ind w:left="57" w:firstLine="480" w:firstLineChars="200"/>
        <w:rPr>
          <w:rFonts w:ascii="Times New Roman" w:hAnsi="Times New Roman"/>
          <w:b w:val="0"/>
          <w:bCs/>
          <w:color w:val="auto"/>
          <w:sz w:val="24"/>
          <w:szCs w:val="24"/>
        </w:rPr>
      </w:pPr>
      <w:r>
        <w:rPr>
          <w:rFonts w:ascii="Times New Roman" w:hAnsi="Times New Roman"/>
          <w:b w:val="0"/>
          <w:bCs/>
          <w:color w:val="auto"/>
          <w:sz w:val="24"/>
          <w:szCs w:val="24"/>
        </w:rPr>
        <w:t>（4）井框与砌块高差不大于3mm，相邻砌块高差不大于2mm。</w:t>
      </w:r>
    </w:p>
    <w:p>
      <w:pPr>
        <w:tabs>
          <w:tab w:val="left" w:pos="284"/>
        </w:tabs>
        <w:spacing w:line="300" w:lineRule="auto"/>
        <w:ind w:left="57" w:firstLine="480" w:firstLineChars="200"/>
        <w:rPr>
          <w:rFonts w:ascii="Times New Roman" w:hAnsi="Times New Roman"/>
          <w:b w:val="0"/>
          <w:bCs/>
          <w:color w:val="auto"/>
          <w:sz w:val="24"/>
          <w:szCs w:val="24"/>
        </w:rPr>
      </w:pPr>
      <w:r>
        <w:rPr>
          <w:rFonts w:ascii="Times New Roman" w:hAnsi="Times New Roman"/>
          <w:b w:val="0"/>
          <w:bCs/>
          <w:color w:val="auto"/>
          <w:sz w:val="24"/>
          <w:szCs w:val="24"/>
        </w:rPr>
        <w:t>（5）道砖缝线直顺、缝宽均匀，灌缝饱满。相邻纵横缝错位不大于3mm。缝宽2~3mm。</w:t>
      </w:r>
    </w:p>
    <w:p>
      <w:pPr>
        <w:tabs>
          <w:tab w:val="left" w:pos="284"/>
        </w:tabs>
        <w:spacing w:line="300" w:lineRule="auto"/>
        <w:ind w:left="57" w:firstLine="480" w:firstLineChars="200"/>
        <w:rPr>
          <w:rFonts w:ascii="Times New Roman" w:hAnsi="Times New Roman"/>
          <w:b w:val="0"/>
          <w:bCs/>
          <w:color w:val="auto"/>
          <w:sz w:val="24"/>
          <w:szCs w:val="24"/>
        </w:rPr>
      </w:pPr>
      <w:r>
        <w:rPr>
          <w:rFonts w:ascii="Times New Roman" w:hAnsi="Times New Roman"/>
          <w:b w:val="0"/>
          <w:bCs/>
          <w:color w:val="auto"/>
          <w:sz w:val="24"/>
          <w:szCs w:val="24"/>
        </w:rPr>
        <w:t>（6）人行道砖拼接缝宽度参考值：2-3mm。</w:t>
      </w:r>
    </w:p>
    <w:p>
      <w:pPr>
        <w:tabs>
          <w:tab w:val="left" w:pos="284"/>
        </w:tabs>
        <w:spacing w:line="300" w:lineRule="auto"/>
        <w:ind w:left="57" w:firstLine="480" w:firstLineChars="200"/>
        <w:rPr>
          <w:rFonts w:ascii="Times New Roman" w:hAnsi="Times New Roman"/>
          <w:b w:val="0"/>
          <w:bCs/>
          <w:color w:val="auto"/>
          <w:sz w:val="24"/>
          <w:szCs w:val="24"/>
        </w:rPr>
      </w:pPr>
      <w:r>
        <w:rPr>
          <w:rFonts w:ascii="Times New Roman" w:hAnsi="Times New Roman"/>
          <w:b w:val="0"/>
          <w:bCs/>
          <w:color w:val="auto"/>
          <w:sz w:val="24"/>
          <w:szCs w:val="24"/>
        </w:rPr>
        <w:t>（7）铺砖时应轻轻平放。用橡胶锤敲打稳定，但不得损伤砖的边角。</w:t>
      </w:r>
    </w:p>
    <w:p>
      <w:pPr>
        <w:tabs>
          <w:tab w:val="left" w:pos="284"/>
        </w:tabs>
        <w:spacing w:line="300" w:lineRule="auto"/>
        <w:ind w:left="57" w:firstLine="480" w:firstLineChars="200"/>
        <w:rPr>
          <w:rFonts w:ascii="Times New Roman" w:hAnsi="Times New Roman"/>
          <w:b w:val="0"/>
          <w:bCs/>
          <w:color w:val="auto"/>
          <w:sz w:val="24"/>
          <w:szCs w:val="24"/>
        </w:rPr>
      </w:pPr>
      <w:r>
        <w:rPr>
          <w:rFonts w:ascii="Times New Roman" w:hAnsi="Times New Roman"/>
          <w:b w:val="0"/>
          <w:bCs/>
          <w:color w:val="auto"/>
          <w:sz w:val="24"/>
          <w:szCs w:val="24"/>
        </w:rPr>
        <w:t>（8）对于透水砖，铺设前找平层需湿润，但表面不得有积水。铺设完成24小时后洒水养护，养护2-3天，期间不得扰动已铺设的透水砖，撒细、中砂扫缝，扫缝砂必须是干砂，含泥量在1%以下。需多次扫缝，每次扫完后，随即洒水，确保砂能灌满缝隙，直到洒水后砂子不在下沉为止。</w:t>
      </w:r>
    </w:p>
    <w:p>
      <w:pPr>
        <w:tabs>
          <w:tab w:val="left" w:pos="284"/>
        </w:tabs>
        <w:spacing w:line="300" w:lineRule="auto"/>
        <w:ind w:left="57" w:firstLine="480" w:firstLineChars="200"/>
        <w:rPr>
          <w:rFonts w:ascii="Times New Roman" w:hAnsi="Times New Roman"/>
          <w:b w:val="0"/>
          <w:bCs/>
          <w:color w:val="auto"/>
          <w:sz w:val="24"/>
          <w:szCs w:val="24"/>
        </w:rPr>
      </w:pPr>
      <w:r>
        <w:rPr>
          <w:rFonts w:ascii="Times New Roman" w:hAnsi="Times New Roman"/>
          <w:b w:val="0"/>
          <w:bCs/>
          <w:color w:val="auto"/>
          <w:sz w:val="24"/>
          <w:szCs w:val="24"/>
        </w:rPr>
        <w:t>（9）铺设好的人行道砖应检查是否稳固、面层是否平整，发现活动部位应立即修整。</w:t>
      </w:r>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bCs/>
          <w:color w:val="auto"/>
          <w:sz w:val="24"/>
          <w:szCs w:val="24"/>
        </w:rPr>
        <w:t>（10）施工及验收按国</w:t>
      </w:r>
      <w:r>
        <w:rPr>
          <w:rFonts w:ascii="Times New Roman" w:hAnsi="Times New Roman"/>
          <w:b w:val="0"/>
          <w:color w:val="auto"/>
          <w:sz w:val="24"/>
          <w:szCs w:val="24"/>
        </w:rPr>
        <w:t>家现行相关规范执行，设计及变更须建设单位、项目管理部门及施工图审查单位审查批准才能实施，未尽事宜详见相关国家及地方规范、法规。透水混凝土路面的质量检验与验收应符合《透水水泥混凝土路面技术规程》（CJJ/T 135），透水砖路面的质量检验与验收应符合《透水砖路面技术规程》（CJJ/T 188）,其它未提及的有关施工要求，均按现行最新设计、施工规范执行。</w:t>
      </w:r>
    </w:p>
    <w:p>
      <w:pPr>
        <w:pStyle w:val="3"/>
        <w:ind w:firstLine="562" w:firstLineChars="200"/>
      </w:pPr>
      <w:bookmarkStart w:id="497" w:name="_Toc31120"/>
      <w:bookmarkStart w:id="498" w:name="_Toc18925"/>
      <w:r>
        <w:t>维护管理</w:t>
      </w:r>
      <w:bookmarkEnd w:id="497"/>
      <w:bookmarkEnd w:id="498"/>
    </w:p>
    <w:p>
      <w:pPr>
        <w:numPr>
          <w:ilvl w:val="0"/>
          <w:numId w:val="55"/>
        </w:numPr>
        <w:tabs>
          <w:tab w:val="left" w:pos="360"/>
        </w:tabs>
        <w:autoSpaceDE w:val="0"/>
        <w:autoSpaceDN w:val="0"/>
        <w:adjustRightInd w:val="0"/>
        <w:spacing w:line="360" w:lineRule="auto"/>
        <w:ind w:firstLine="480" w:firstLineChars="200"/>
        <w:jc w:val="left"/>
        <w:rPr>
          <w:rFonts w:ascii="Times New Roman" w:hAnsi="Times New Roman"/>
          <w:b w:val="0"/>
          <w:color w:val="FF0000"/>
          <w:sz w:val="24"/>
          <w:szCs w:val="21"/>
        </w:rPr>
      </w:pPr>
      <w:r>
        <w:rPr>
          <w:rFonts w:ascii="Times New Roman" w:hAnsi="Times New Roman"/>
          <w:b w:val="0"/>
          <w:color w:val="FF0000"/>
          <w:sz w:val="24"/>
          <w:szCs w:val="21"/>
        </w:rPr>
        <w:t>基本要求</w:t>
      </w:r>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应建立健全低影响开发设施的维护管理制度和操作规程，配备专职管理人员和相应监测手段，并对管理人员和操作人员加强专业技术培训。</w:t>
      </w:r>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低影响开发于是设施的维护管理部门应做好雨季来临前和雨季期间设施的检修和维护管理，保障设施正常、安全运行。</w:t>
      </w:r>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应加强宣传教育和引导，提高公众对海绵城市建设、低影响开发、绿色建筑、城市节水、水生态修复、内涝防治等工作中雨水控制与利用重要性的认识，鼓励公众积极参与低影响开发设施的建设、运行与维护。</w:t>
      </w:r>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雨水花园：在暴雨过后检查雨水花园的覆盖层以及植被的受损情况，及时更换受损的覆盖层材料与植物。定期清理雨水花园表面的沉积物，以免使其渗透能力下降。定期清除杂草，同时对生长过快的植物进行适当修剪。根据植物生长状况及降水情况，适当对植物进行灌溉。</w:t>
      </w:r>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下沉式绿地：定期清理下凹绿地表面的沉积物，以免使其渗透能力下降，降低其效果。定期清除杂草，同时对生长过快的植物进行适当修剪。根据植物生长状况及降水情况，适当对植物进行灌溉。</w:t>
      </w:r>
    </w:p>
    <w:p>
      <w:pPr>
        <w:numPr>
          <w:ilvl w:val="0"/>
          <w:numId w:val="55"/>
        </w:numPr>
        <w:tabs>
          <w:tab w:val="left" w:pos="360"/>
        </w:tabs>
        <w:autoSpaceDE w:val="0"/>
        <w:autoSpaceDN w:val="0"/>
        <w:adjustRightInd w:val="0"/>
        <w:spacing w:line="360" w:lineRule="auto"/>
        <w:ind w:firstLine="480" w:firstLineChars="200"/>
        <w:jc w:val="left"/>
        <w:rPr>
          <w:rFonts w:ascii="Times New Roman" w:hAnsi="Times New Roman"/>
          <w:b w:val="0"/>
          <w:color w:val="FF0000"/>
          <w:sz w:val="24"/>
          <w:szCs w:val="21"/>
        </w:rPr>
      </w:pPr>
      <w:r>
        <w:rPr>
          <w:rFonts w:ascii="Times New Roman" w:hAnsi="Times New Roman"/>
          <w:b w:val="0"/>
          <w:color w:val="FF0000"/>
          <w:sz w:val="24"/>
          <w:szCs w:val="21"/>
        </w:rPr>
        <w:t>设施维护</w:t>
      </w:r>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（1）下沉式绿地</w:t>
      </w:r>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1）应及时补种修剪植物、清除杂草；</w:t>
      </w:r>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2）进水口不能有效收集汇水面径流雨水时，应加大进水口规模或进行局部下凹等；</w:t>
      </w:r>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3）进水口、溢流口因冲刷造成水土流失时，应设置碎石缓冲或采取其他防冲刷措施；</w:t>
      </w:r>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4）进水口、溢流口堵塞或淤积导致过水不畅时，应及时清理垃圾与沉积物；</w:t>
      </w:r>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5）调蓄空间因沉积物淤积导致调蓄能力不足时，应及时清理沉积物；</w:t>
      </w:r>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6）当调蓄空间雨水的排空时间超过36 h时，应及时置换树皮覆盖层或表层种植土。</w:t>
      </w:r>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（2）透水铺装</w:t>
      </w:r>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1）面层出现破损时应及时进行修补或更换；</w:t>
      </w:r>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2）出现不均匀沉降时应进行局部整修找平；</w:t>
      </w:r>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3）当渗透能力大幅下降时应采用冲洗、负压抽吸等方法及时进行清理。</w:t>
      </w:r>
    </w:p>
    <w:p>
      <w:pPr>
        <w:numPr>
          <w:ilvl w:val="0"/>
          <w:numId w:val="55"/>
        </w:numPr>
        <w:tabs>
          <w:tab w:val="left" w:pos="360"/>
        </w:tabs>
        <w:autoSpaceDE w:val="0"/>
        <w:autoSpaceDN w:val="0"/>
        <w:adjustRightInd w:val="0"/>
        <w:spacing w:line="360" w:lineRule="auto"/>
        <w:ind w:firstLine="480" w:firstLineChars="200"/>
        <w:jc w:val="left"/>
        <w:rPr>
          <w:rFonts w:ascii="Times New Roman" w:hAnsi="Times New Roman"/>
          <w:b w:val="0"/>
          <w:color w:val="FF0000"/>
          <w:sz w:val="24"/>
          <w:szCs w:val="21"/>
        </w:rPr>
      </w:pPr>
      <w:r>
        <w:rPr>
          <w:rFonts w:ascii="Times New Roman" w:hAnsi="Times New Roman"/>
          <w:b w:val="0"/>
          <w:color w:val="FF0000"/>
          <w:sz w:val="24"/>
          <w:szCs w:val="21"/>
        </w:rPr>
        <w:t>维护频率</w:t>
      </w:r>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（1）下沉式绿地</w:t>
      </w:r>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检修2次/年（雨季之前、期中），植物生长季节修剪1次/月。</w:t>
      </w:r>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（2）透水铺装</w:t>
      </w:r>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检修、疏通透水能力2次/年（雨季之前和期中）。</w:t>
      </w:r>
    </w:p>
    <w:p>
      <w:pPr>
        <w:pStyle w:val="3"/>
        <w:ind w:firstLine="562" w:firstLineChars="200"/>
      </w:pPr>
      <w:bookmarkStart w:id="499" w:name="_Toc2841"/>
      <w:bookmarkStart w:id="500" w:name="_Toc4724"/>
      <w:r>
        <w:t>结论与建议</w:t>
      </w:r>
      <w:bookmarkEnd w:id="499"/>
      <w:bookmarkEnd w:id="500"/>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本项目的海绵城市技术专篇满足国家及广州市相关规划、规范、标准指标的要求，且考虑到了海绵城市建设可能带来的多种问题，切实可行。</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本方案采取下沉式绿地、透水铺装等一系列绿色生态措施，实现了场地雨水的“渗、滞、蓄、净、排”，改变了场地雨水原始的快排、直排模式，极大的减少了场地雨水的外排，有效缓解场地市政雨水的压力。</w:t>
      </w:r>
    </w:p>
    <w:p>
      <w:pPr>
        <w:pStyle w:val="3"/>
        <w:ind w:firstLine="562" w:firstLineChars="200"/>
      </w:pPr>
      <w:bookmarkStart w:id="501" w:name="_Toc25766"/>
      <w:r>
        <w:t>附表</w:t>
      </w:r>
      <w:bookmarkEnd w:id="501"/>
    </w:p>
    <w:p>
      <w:pPr>
        <w:spacing w:before="84"/>
        <w:ind w:right="2" w:firstLine="480" w:firstLineChars="200"/>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1.建设项目海绵城市目标取值计算表</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268"/>
        <w:gridCol w:w="584"/>
        <w:gridCol w:w="3016"/>
        <w:gridCol w:w="1484"/>
        <w:gridCol w:w="23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68"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项目类型</w:t>
            </w: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序号</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指标名称</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目标值</w:t>
            </w:r>
          </w:p>
        </w:tc>
        <w:tc>
          <w:tcPr>
            <w:tcW w:w="2310"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取值依据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68" w:type="dxa"/>
            <w:vMerge w:val="restart"/>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□建筑小区</w:t>
            </w: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1</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年径流总量控制率</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p>
        </w:tc>
        <w:tc>
          <w:tcPr>
            <w:tcW w:w="2310" w:type="dxa"/>
            <w:vMerge w:val="restart"/>
            <w:vAlign w:val="center"/>
          </w:tcPr>
          <w:p>
            <w:pPr>
              <w:numPr>
                <w:ilvl w:val="0"/>
                <w:numId w:val="56"/>
              </w:numPr>
              <w:autoSpaceDE w:val="0"/>
              <w:autoSpaceDN w:val="0"/>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《广州市建设项目雨水径流控制办法》（广州市人民政府令书（第107号））；</w:t>
            </w:r>
          </w:p>
          <w:p>
            <w:pPr>
              <w:numPr>
                <w:ilvl w:val="0"/>
                <w:numId w:val="56"/>
              </w:numPr>
              <w:autoSpaceDE w:val="0"/>
              <w:autoSpaceDN w:val="0"/>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《广州市海绵城市建设管理办法》（穗府办规〔2020〕27号）；</w:t>
            </w:r>
          </w:p>
          <w:p>
            <w:pPr>
              <w:numPr>
                <w:ilvl w:val="0"/>
                <w:numId w:val="56"/>
              </w:numPr>
              <w:autoSpaceDE w:val="0"/>
              <w:autoSpaceDN w:val="0"/>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《广州市建设项目海绵城市建设管控指标分类指引（试行）》（穗水河湖〔2020〕7号）；</w:t>
            </w:r>
          </w:p>
          <w:p>
            <w:pPr>
              <w:numPr>
                <w:ilvl w:val="0"/>
                <w:numId w:val="56"/>
              </w:numPr>
              <w:autoSpaceDE w:val="0"/>
              <w:autoSpaceDN w:val="0"/>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《广州市海绵城市规划设计导则（试行）》（穗水〔2017〕247号）</w:t>
            </w:r>
          </w:p>
          <w:p>
            <w:pPr>
              <w:numPr>
                <w:ilvl w:val="0"/>
                <w:numId w:val="56"/>
              </w:numPr>
              <w:autoSpaceDE w:val="0"/>
              <w:autoSpaceDN w:val="0"/>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《广州市海绵城市建设技术指引及标准图集（试行）》（穗水〔2017〕12号）；</w:t>
            </w:r>
          </w:p>
          <w:p>
            <w:pPr>
              <w:numPr>
                <w:ilvl w:val="0"/>
                <w:numId w:val="56"/>
              </w:numPr>
              <w:autoSpaceDE w:val="0"/>
              <w:autoSpaceDN w:val="0"/>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市、区及重点建设片区海绵城市建设规划；</w:t>
            </w:r>
          </w:p>
          <w:p>
            <w:pPr>
              <w:numPr>
                <w:ilvl w:val="0"/>
                <w:numId w:val="56"/>
              </w:numPr>
              <w:autoSpaceDE w:val="0"/>
              <w:autoSpaceDN w:val="0"/>
              <w:ind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相关行业行政主管部门印发的指引等文件要求。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68"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2</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绿地率</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68"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3</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绿色屋顶率</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68"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4</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硬化地面室外可渗透地面率</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68"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5</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透水铺装率</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68"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6</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单位硬化面积调蓄容积</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68"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7</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下沉式绿地率</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68" w:type="dxa"/>
            <w:vMerge w:val="restart"/>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□公园绿地</w:t>
            </w: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1</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年径流总量控制率</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68"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2</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透水铺装率</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68"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3</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绿地系统雨水资源利用率</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68"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4</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单位硬化面积调蓄容积</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68"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5</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下沉式绿地率</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68" w:type="dxa"/>
            <w:vMerge w:val="restart"/>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□道路广场</w:t>
            </w: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1</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年径流总量控制率</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≥70%</w:t>
            </w: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68"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2</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年径流污染削减率</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≥40%</w:t>
            </w: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57" w:hRule="atLeast"/>
        </w:trPr>
        <w:tc>
          <w:tcPr>
            <w:tcW w:w="1268"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3</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人行道、自行车道、步行街、室外停车场透水铺装率</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≥50%</w:t>
            </w: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68"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4</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一般城市道路绿地率</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≥15%</w:t>
            </w: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57" w:hRule="atLeast"/>
        </w:trPr>
        <w:tc>
          <w:tcPr>
            <w:tcW w:w="1268"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5</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园林道路绿地率</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57" w:hRule="atLeast"/>
        </w:trPr>
        <w:tc>
          <w:tcPr>
            <w:tcW w:w="1268"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6</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广场绿地率</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05" w:hRule="atLeast"/>
        </w:trPr>
        <w:tc>
          <w:tcPr>
            <w:tcW w:w="1268"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7</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广场可渗透硬化地面率</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55" w:hRule="atLeast"/>
        </w:trPr>
        <w:tc>
          <w:tcPr>
            <w:tcW w:w="1268"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8</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单位硬化面积调蓄容积</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39" w:hRule="atLeast"/>
        </w:trPr>
        <w:tc>
          <w:tcPr>
            <w:tcW w:w="1268"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9</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下沉式绿地率</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≥50%</w:t>
            </w: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68" w:type="dxa"/>
            <w:vMerge w:val="restart"/>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□水务工程</w:t>
            </w: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1</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年径流总量控制率</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68"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2</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下沉式绿地率</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68"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3</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排水体制</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68"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4</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年径流污染削减率</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68"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5</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雨污分流比例</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68"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6</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内涝防治标准</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68"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7</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城市防洪标准</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68"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8</w:t>
            </w:r>
          </w:p>
        </w:tc>
        <w:tc>
          <w:tcPr>
            <w:tcW w:w="3016"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雨水管渠设计标准</w:t>
            </w:r>
          </w:p>
        </w:tc>
        <w:tc>
          <w:tcPr>
            <w:tcW w:w="1484" w:type="dxa"/>
            <w:vAlign w:val="center"/>
          </w:tcPr>
          <w:p>
            <w:pPr>
              <w:widowControl/>
              <w:spacing w:line="340" w:lineRule="exact"/>
              <w:jc w:val="center"/>
              <w:rPr>
                <w:rFonts w:ascii="Times New Roman" w:hAnsi="Times New Roman" w:eastAsiaTheme="minorEastAsia"/>
                <w:b w:val="0"/>
                <w:color w:val="000000"/>
                <w:sz w:val="24"/>
                <w:szCs w:val="24"/>
              </w:rPr>
            </w:pPr>
          </w:p>
        </w:tc>
        <w:tc>
          <w:tcPr>
            <w:tcW w:w="2310" w:type="dxa"/>
            <w:vMerge w:val="continue"/>
            <w:vAlign w:val="center"/>
          </w:tcPr>
          <w:p>
            <w:pPr>
              <w:widowControl/>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68" w:type="dxa"/>
            <w:vMerge w:val="continue"/>
            <w:vAlign w:val="center"/>
          </w:tcPr>
          <w:p>
            <w:pPr>
              <w:spacing w:line="340" w:lineRule="exact"/>
              <w:jc w:val="center"/>
              <w:rPr>
                <w:rFonts w:ascii="Times New Roman" w:hAnsi="Times New Roman" w:eastAsiaTheme="minorEastAsia"/>
                <w:b w:val="0"/>
                <w:color w:val="000000"/>
                <w:sz w:val="24"/>
                <w:szCs w:val="24"/>
              </w:rPr>
            </w:pPr>
          </w:p>
        </w:tc>
        <w:tc>
          <w:tcPr>
            <w:tcW w:w="584" w:type="dxa"/>
            <w:vAlign w:val="center"/>
          </w:tcPr>
          <w:p>
            <w:pPr>
              <w:widowControl/>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9</w:t>
            </w:r>
          </w:p>
        </w:tc>
        <w:tc>
          <w:tcPr>
            <w:tcW w:w="3016" w:type="dxa"/>
            <w:vAlign w:val="center"/>
          </w:tcPr>
          <w:p>
            <w:pPr>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污水再生利用率</w:t>
            </w:r>
          </w:p>
        </w:tc>
        <w:tc>
          <w:tcPr>
            <w:tcW w:w="1484" w:type="dxa"/>
            <w:vAlign w:val="center"/>
          </w:tcPr>
          <w:p>
            <w:pPr>
              <w:spacing w:line="340" w:lineRule="exact"/>
              <w:jc w:val="center"/>
              <w:rPr>
                <w:rFonts w:ascii="Times New Roman" w:hAnsi="Times New Roman" w:eastAsiaTheme="minorEastAsia"/>
                <w:b w:val="0"/>
                <w:color w:val="000000"/>
                <w:sz w:val="24"/>
                <w:szCs w:val="24"/>
              </w:rPr>
            </w:pPr>
          </w:p>
        </w:tc>
        <w:tc>
          <w:tcPr>
            <w:tcW w:w="2310" w:type="dxa"/>
            <w:vMerge w:val="continue"/>
            <w:vAlign w:val="center"/>
          </w:tcPr>
          <w:p>
            <w:pPr>
              <w:spacing w:line="340" w:lineRule="exact"/>
              <w:jc w:val="center"/>
              <w:rPr>
                <w:rFonts w:ascii="Times New Roman" w:hAnsi="Times New Roman" w:eastAsiaTheme="minorEastAsia"/>
                <w:b w:val="0"/>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68" w:type="dxa"/>
            <w:vMerge w:val="continue"/>
            <w:vAlign w:val="center"/>
          </w:tcPr>
          <w:p>
            <w:pPr>
              <w:spacing w:line="340" w:lineRule="exact"/>
              <w:jc w:val="center"/>
              <w:rPr>
                <w:rFonts w:ascii="Times New Roman" w:hAnsi="Times New Roman" w:eastAsiaTheme="minorEastAsia"/>
                <w:b w:val="0"/>
                <w:color w:val="000000"/>
                <w:sz w:val="24"/>
                <w:szCs w:val="24"/>
              </w:rPr>
            </w:pPr>
          </w:p>
        </w:tc>
        <w:tc>
          <w:tcPr>
            <w:tcW w:w="584" w:type="dxa"/>
            <w:vAlign w:val="center"/>
          </w:tcPr>
          <w:p>
            <w:pPr>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10</w:t>
            </w:r>
          </w:p>
        </w:tc>
        <w:tc>
          <w:tcPr>
            <w:tcW w:w="3016" w:type="dxa"/>
            <w:vAlign w:val="center"/>
          </w:tcPr>
          <w:p>
            <w:pPr>
              <w:spacing w:line="340" w:lineRule="exact"/>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雨水资源利用率</w:t>
            </w:r>
          </w:p>
        </w:tc>
        <w:tc>
          <w:tcPr>
            <w:tcW w:w="1484" w:type="dxa"/>
            <w:vAlign w:val="center"/>
          </w:tcPr>
          <w:p>
            <w:pPr>
              <w:spacing w:line="340" w:lineRule="exact"/>
              <w:jc w:val="center"/>
              <w:rPr>
                <w:rFonts w:ascii="Times New Roman" w:hAnsi="Times New Roman" w:eastAsiaTheme="minorEastAsia"/>
                <w:b w:val="0"/>
                <w:color w:val="000000"/>
                <w:sz w:val="24"/>
                <w:szCs w:val="24"/>
              </w:rPr>
            </w:pPr>
          </w:p>
        </w:tc>
        <w:tc>
          <w:tcPr>
            <w:tcW w:w="2310" w:type="dxa"/>
            <w:vMerge w:val="continue"/>
            <w:vAlign w:val="center"/>
          </w:tcPr>
          <w:p>
            <w:pPr>
              <w:spacing w:line="340" w:lineRule="exact"/>
              <w:jc w:val="center"/>
              <w:rPr>
                <w:rFonts w:ascii="Times New Roman" w:hAnsi="Times New Roman" w:eastAsiaTheme="minorEastAsia"/>
                <w:b w:val="0"/>
                <w:color w:val="000000"/>
                <w:sz w:val="24"/>
                <w:szCs w:val="24"/>
              </w:rPr>
            </w:pPr>
          </w:p>
        </w:tc>
      </w:tr>
    </w:tbl>
    <w:p>
      <w:pPr>
        <w:spacing w:before="84"/>
        <w:ind w:right="2" w:firstLine="480" w:firstLineChars="200"/>
        <w:jc w:val="left"/>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2.建设项目海绵城市专项设计方案自评表（项目类型：城镇公共道路配套排水工程）</w:t>
      </w:r>
    </w:p>
    <w:tbl>
      <w:tblPr>
        <w:tblStyle w:val="32"/>
        <w:tblW w:w="5103"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084"/>
        <w:gridCol w:w="885"/>
        <w:gridCol w:w="782"/>
        <w:gridCol w:w="1585"/>
        <w:gridCol w:w="2795"/>
        <w:gridCol w:w="1958"/>
        <w:gridCol w:w="139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517" w:type="pct"/>
          </w:tcPr>
          <w:p>
            <w:pPr>
              <w:pStyle w:val="378"/>
              <w:spacing w:before="174" w:line="240" w:lineRule="auto"/>
              <w:ind w:left="7" w:firstLine="48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1</w:t>
            </w:r>
          </w:p>
        </w:tc>
        <w:tc>
          <w:tcPr>
            <w:tcW w:w="422" w:type="pct"/>
            <w:vAlign w:val="center"/>
          </w:tcPr>
          <w:p>
            <w:pPr>
              <w:pStyle w:val="378"/>
              <w:spacing w:before="158" w:line="240" w:lineRule="auto"/>
              <w:ind w:left="87" w:right="78" w:firstLine="0" w:firstLineChars="0"/>
              <w:rPr>
                <w:rFonts w:ascii="Times New Roman" w:hAnsi="Times New Roman" w:cs="Times New Roman" w:eastAsiaTheme="minorEastAsia"/>
                <w:color w:val="000000"/>
              </w:rPr>
            </w:pPr>
            <w:r>
              <w:rPr>
                <w:rFonts w:ascii="Times New Roman" w:hAnsi="Times New Roman" w:cs="Times New Roman" w:eastAsiaTheme="minorEastAsia"/>
                <w:color w:val="000000"/>
              </w:rPr>
              <w:t>项目名称</w:t>
            </w:r>
          </w:p>
        </w:tc>
        <w:tc>
          <w:tcPr>
            <w:tcW w:w="4060" w:type="pct"/>
            <w:gridSpan w:val="5"/>
            <w:vAlign w:val="center"/>
          </w:tcPr>
          <w:p>
            <w:pPr>
              <w:pStyle w:val="378"/>
              <w:spacing w:before="4" w:line="240" w:lineRule="auto"/>
              <w:ind w:left="138" w:right="126" w:firstLine="0" w:firstLineChars="0"/>
              <w:jc w:val="center"/>
              <w:rPr>
                <w:rFonts w:ascii="Times New Roman" w:hAnsi="Times New Roman" w:cs="Times New Roman" w:eastAsiaTheme="minorEastAsia"/>
                <w:color w:val="000000"/>
              </w:rPr>
            </w:pPr>
            <w:r>
              <w:rPr>
                <w:rFonts w:hint="eastAsia" w:ascii="Times New Roman" w:hAnsi="Times New Roman" w:cs="Times New Roman" w:eastAsiaTheme="minorEastAsia"/>
                <w:color w:val="000000"/>
              </w:rPr>
              <w:t>南沙全民文化体育综合体项目配套骨干道路（二十涌北路、规划纵三路）</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9" w:hRule="atLeast"/>
          <w:jc w:val="center"/>
        </w:trPr>
        <w:tc>
          <w:tcPr>
            <w:tcW w:w="517" w:type="pct"/>
          </w:tcPr>
          <w:p>
            <w:pPr>
              <w:pStyle w:val="378"/>
              <w:spacing w:before="18" w:line="240" w:lineRule="auto"/>
              <w:ind w:left="7" w:firstLine="48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2</w:t>
            </w:r>
          </w:p>
        </w:tc>
        <w:tc>
          <w:tcPr>
            <w:tcW w:w="422" w:type="pct"/>
            <w:vAlign w:val="center"/>
          </w:tcPr>
          <w:p>
            <w:pPr>
              <w:pStyle w:val="378"/>
              <w:spacing w:before="2" w:line="240" w:lineRule="auto"/>
              <w:ind w:left="85" w:right="81" w:firstLine="0" w:firstLineChars="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用地位置</w:t>
            </w:r>
          </w:p>
        </w:tc>
        <w:tc>
          <w:tcPr>
            <w:tcW w:w="4060" w:type="pct"/>
            <w:gridSpan w:val="5"/>
            <w:vAlign w:val="center"/>
          </w:tcPr>
          <w:p>
            <w:pPr>
              <w:pStyle w:val="378"/>
              <w:spacing w:before="91" w:line="240" w:lineRule="auto"/>
              <w:ind w:firstLine="0" w:firstLineChars="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万顷沙二十涌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0" w:hRule="atLeast"/>
          <w:jc w:val="center"/>
        </w:trPr>
        <w:tc>
          <w:tcPr>
            <w:tcW w:w="517" w:type="pct"/>
          </w:tcPr>
          <w:p>
            <w:pPr>
              <w:pStyle w:val="378"/>
              <w:spacing w:before="18" w:line="240" w:lineRule="auto"/>
              <w:ind w:left="7" w:firstLine="48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4</w:t>
            </w:r>
          </w:p>
        </w:tc>
        <w:tc>
          <w:tcPr>
            <w:tcW w:w="795" w:type="pct"/>
            <w:gridSpan w:val="2"/>
            <w:vAlign w:val="center"/>
          </w:tcPr>
          <w:p>
            <w:pPr>
              <w:pStyle w:val="378"/>
              <w:spacing w:before="2" w:line="240" w:lineRule="auto"/>
              <w:ind w:left="107" w:firstLine="0" w:firstLineChars="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地块防洪标高</w:t>
            </w:r>
          </w:p>
        </w:tc>
        <w:tc>
          <w:tcPr>
            <w:tcW w:w="755" w:type="pct"/>
            <w:vAlign w:val="center"/>
          </w:tcPr>
          <w:p>
            <w:pPr>
              <w:pStyle w:val="378"/>
              <w:spacing w:before="18" w:line="240" w:lineRule="auto"/>
              <w:ind w:right="147" w:firstLine="0" w:firstLineChars="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w:t>
            </w:r>
          </w:p>
        </w:tc>
        <w:tc>
          <w:tcPr>
            <w:tcW w:w="1333" w:type="pct"/>
            <w:vAlign w:val="center"/>
          </w:tcPr>
          <w:p>
            <w:pPr>
              <w:pStyle w:val="378"/>
              <w:spacing w:before="2" w:line="240" w:lineRule="auto"/>
              <w:ind w:left="109" w:firstLine="0" w:firstLineChars="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室外地坪标高</w:t>
            </w:r>
          </w:p>
        </w:tc>
        <w:tc>
          <w:tcPr>
            <w:tcW w:w="1598" w:type="pct"/>
            <w:gridSpan w:val="2"/>
            <w:vAlign w:val="center"/>
          </w:tcPr>
          <w:p>
            <w:pPr>
              <w:pStyle w:val="378"/>
              <w:spacing w:before="71" w:line="240" w:lineRule="auto"/>
              <w:ind w:firstLine="0" w:firstLineChars="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2" w:hRule="atLeast"/>
          <w:jc w:val="center"/>
        </w:trPr>
        <w:tc>
          <w:tcPr>
            <w:tcW w:w="517" w:type="pct"/>
          </w:tcPr>
          <w:p>
            <w:pPr>
              <w:pStyle w:val="378"/>
              <w:spacing w:before="18" w:line="240" w:lineRule="auto"/>
              <w:ind w:left="7" w:firstLine="48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5</w:t>
            </w:r>
          </w:p>
        </w:tc>
        <w:tc>
          <w:tcPr>
            <w:tcW w:w="795" w:type="pct"/>
            <w:gridSpan w:val="2"/>
            <w:vAlign w:val="center"/>
          </w:tcPr>
          <w:p>
            <w:pPr>
              <w:pStyle w:val="378"/>
              <w:spacing w:before="2" w:line="240" w:lineRule="auto"/>
              <w:ind w:left="109" w:right="305" w:firstLine="0" w:firstLineChars="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排水体制</w:t>
            </w:r>
          </w:p>
        </w:tc>
        <w:tc>
          <w:tcPr>
            <w:tcW w:w="755" w:type="pct"/>
            <w:vAlign w:val="center"/>
          </w:tcPr>
          <w:p>
            <w:pPr>
              <w:pStyle w:val="378"/>
              <w:spacing w:before="2" w:line="240" w:lineRule="auto"/>
              <w:ind w:left="588" w:firstLine="0" w:firstLineChars="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分流</w:t>
            </w:r>
          </w:p>
        </w:tc>
        <w:tc>
          <w:tcPr>
            <w:tcW w:w="1333" w:type="pct"/>
            <w:vAlign w:val="center"/>
          </w:tcPr>
          <w:p>
            <w:pPr>
              <w:pStyle w:val="378"/>
              <w:spacing w:before="2" w:line="240" w:lineRule="auto"/>
              <w:ind w:left="109" w:firstLine="0" w:firstLineChars="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化粪池设置</w:t>
            </w:r>
          </w:p>
        </w:tc>
        <w:tc>
          <w:tcPr>
            <w:tcW w:w="1598" w:type="pct"/>
            <w:gridSpan w:val="2"/>
            <w:vAlign w:val="center"/>
          </w:tcPr>
          <w:p>
            <w:pPr>
              <w:pStyle w:val="378"/>
              <w:spacing w:before="52" w:line="240" w:lineRule="auto"/>
              <w:ind w:left="590" w:firstLine="0" w:firstLineChars="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517" w:type="pct"/>
            <w:vAlign w:val="center"/>
          </w:tcPr>
          <w:p>
            <w:pPr>
              <w:pStyle w:val="378"/>
              <w:spacing w:before="20" w:line="240" w:lineRule="auto"/>
              <w:ind w:left="7" w:firstLine="48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6</w:t>
            </w:r>
          </w:p>
        </w:tc>
        <w:tc>
          <w:tcPr>
            <w:tcW w:w="795" w:type="pct"/>
            <w:gridSpan w:val="2"/>
            <w:vAlign w:val="center"/>
          </w:tcPr>
          <w:p>
            <w:pPr>
              <w:pStyle w:val="397"/>
              <w:spacing w:before="193" w:line="240" w:lineRule="auto"/>
              <w:ind w:firstLine="0" w:firstLineChars="0"/>
              <w:jc w:val="center"/>
              <w:rPr>
                <w:rFonts w:eastAsiaTheme="minorEastAsia"/>
                <w:color w:val="000000"/>
                <w:lang w:val="zh-CN" w:bidi="zh-CN"/>
              </w:rPr>
            </w:pPr>
            <w:r>
              <w:rPr>
                <w:rFonts w:eastAsiaTheme="minorEastAsia"/>
                <w:color w:val="000000"/>
              </w:rPr>
              <w:t>建设前雨水径流量</w:t>
            </w:r>
          </w:p>
        </w:tc>
        <w:tc>
          <w:tcPr>
            <w:tcW w:w="755" w:type="pct"/>
            <w:vAlign w:val="center"/>
          </w:tcPr>
          <w:p>
            <w:pPr>
              <w:pStyle w:val="378"/>
              <w:spacing w:before="176"/>
              <w:ind w:firstLine="0" w:firstLineChars="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见10.7章节</w:t>
            </w:r>
          </w:p>
        </w:tc>
        <w:tc>
          <w:tcPr>
            <w:tcW w:w="1333" w:type="pct"/>
            <w:vAlign w:val="center"/>
          </w:tcPr>
          <w:p>
            <w:pPr>
              <w:pStyle w:val="397"/>
              <w:autoSpaceDE w:val="0"/>
              <w:spacing w:before="193" w:line="240" w:lineRule="auto"/>
              <w:ind w:firstLine="0" w:firstLineChars="0"/>
              <w:jc w:val="center"/>
              <w:rPr>
                <w:rFonts w:eastAsiaTheme="minorEastAsia"/>
                <w:color w:val="000000"/>
                <w:lang w:val="zh-CN" w:bidi="zh-CN"/>
              </w:rPr>
            </w:pPr>
            <w:r>
              <w:rPr>
                <w:rFonts w:eastAsiaTheme="minorEastAsia"/>
                <w:color w:val="000000"/>
              </w:rPr>
              <w:t>建设后雨水径流量</w:t>
            </w:r>
          </w:p>
        </w:tc>
        <w:tc>
          <w:tcPr>
            <w:tcW w:w="1598" w:type="pct"/>
            <w:gridSpan w:val="2"/>
            <w:vAlign w:val="center"/>
          </w:tcPr>
          <w:p>
            <w:pPr>
              <w:widowControl/>
              <w:jc w:val="center"/>
              <w:textAlignment w:val="center"/>
              <w:rPr>
                <w:rFonts w:ascii="Times New Roman" w:hAnsi="Times New Roman" w:eastAsiaTheme="minorEastAsia"/>
                <w:b w:val="0"/>
                <w:bCs/>
                <w:color w:val="000000"/>
                <w:sz w:val="24"/>
                <w:szCs w:val="24"/>
                <w:lang w:bidi="zh-CN"/>
              </w:rPr>
            </w:pPr>
            <w:r>
              <w:rPr>
                <w:rFonts w:ascii="Times New Roman" w:hAnsi="Times New Roman" w:eastAsiaTheme="minorEastAsia"/>
                <w:b w:val="0"/>
                <w:bCs/>
                <w:color w:val="000000"/>
                <w:sz w:val="24"/>
                <w:szCs w:val="24"/>
              </w:rPr>
              <w:t>见10.7章节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517" w:type="pct"/>
          </w:tcPr>
          <w:p>
            <w:pPr>
              <w:pStyle w:val="378"/>
              <w:spacing w:before="18" w:line="240" w:lineRule="auto"/>
              <w:ind w:left="7" w:firstLine="48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7</w:t>
            </w:r>
          </w:p>
        </w:tc>
        <w:tc>
          <w:tcPr>
            <w:tcW w:w="795" w:type="pct"/>
            <w:gridSpan w:val="2"/>
            <w:vAlign w:val="center"/>
          </w:tcPr>
          <w:p>
            <w:pPr>
              <w:pStyle w:val="378"/>
              <w:spacing w:before="88" w:line="240" w:lineRule="auto"/>
              <w:ind w:left="107" w:firstLine="0" w:firstLineChars="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节水设施</w:t>
            </w:r>
          </w:p>
        </w:tc>
        <w:tc>
          <w:tcPr>
            <w:tcW w:w="3686" w:type="pct"/>
            <w:gridSpan w:val="4"/>
            <w:vAlign w:val="center"/>
          </w:tcPr>
          <w:p>
            <w:pPr>
              <w:pStyle w:val="378"/>
              <w:spacing w:before="88" w:line="240" w:lineRule="auto"/>
              <w:ind w:left="348" w:firstLine="0" w:firstLineChars="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透水铺装、下沉式绿地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4" w:hRule="atLeast"/>
          <w:jc w:val="center"/>
        </w:trPr>
        <w:tc>
          <w:tcPr>
            <w:tcW w:w="517" w:type="pct"/>
          </w:tcPr>
          <w:p>
            <w:pPr>
              <w:pStyle w:val="378"/>
              <w:spacing w:before="18" w:line="240" w:lineRule="auto"/>
              <w:ind w:left="138" w:right="131" w:firstLine="480"/>
              <w:jc w:val="center"/>
              <w:rPr>
                <w:rFonts w:ascii="Times New Roman" w:hAnsi="Times New Roman" w:cs="Times New Roman" w:eastAsiaTheme="minorEastAsia"/>
                <w:color w:val="000000"/>
              </w:rPr>
            </w:pPr>
          </w:p>
        </w:tc>
        <w:tc>
          <w:tcPr>
            <w:tcW w:w="1551" w:type="pct"/>
            <w:gridSpan w:val="3"/>
            <w:vAlign w:val="center"/>
          </w:tcPr>
          <w:p>
            <w:pPr>
              <w:pStyle w:val="378"/>
              <w:spacing w:before="132" w:line="240" w:lineRule="auto"/>
              <w:ind w:right="1243" w:firstLine="480"/>
              <w:jc w:val="both"/>
              <w:rPr>
                <w:rFonts w:ascii="Times New Roman" w:hAnsi="Times New Roman" w:cs="Times New Roman" w:eastAsiaTheme="minorEastAsia"/>
                <w:color w:val="000000"/>
              </w:rPr>
            </w:pPr>
            <w:r>
              <w:rPr>
                <w:rFonts w:ascii="Times New Roman" w:hAnsi="Times New Roman" w:cs="Times New Roman" w:eastAsiaTheme="minorEastAsia"/>
                <w:color w:val="000000"/>
              </w:rPr>
              <w:t>评价指标</w:t>
            </w:r>
          </w:p>
        </w:tc>
        <w:tc>
          <w:tcPr>
            <w:tcW w:w="1333" w:type="pct"/>
            <w:vAlign w:val="center"/>
          </w:tcPr>
          <w:p>
            <w:pPr>
              <w:pStyle w:val="378"/>
              <w:spacing w:before="132" w:line="240" w:lineRule="auto"/>
              <w:ind w:left="512" w:firstLine="0" w:firstLineChars="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目标值</w:t>
            </w:r>
          </w:p>
        </w:tc>
        <w:tc>
          <w:tcPr>
            <w:tcW w:w="1598" w:type="pct"/>
            <w:gridSpan w:val="2"/>
            <w:vAlign w:val="center"/>
          </w:tcPr>
          <w:p>
            <w:pPr>
              <w:pStyle w:val="378"/>
              <w:spacing w:before="132" w:line="240" w:lineRule="auto"/>
              <w:ind w:left="522" w:firstLine="0" w:firstLineChars="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完成值</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6" w:hRule="atLeast"/>
          <w:jc w:val="center"/>
        </w:trPr>
        <w:tc>
          <w:tcPr>
            <w:tcW w:w="517" w:type="pct"/>
            <w:vMerge w:val="restart"/>
            <w:vAlign w:val="center"/>
          </w:tcPr>
          <w:p>
            <w:pPr>
              <w:pStyle w:val="378"/>
              <w:spacing w:before="18" w:line="240" w:lineRule="auto"/>
              <w:ind w:left="138" w:right="131" w:firstLine="48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8</w:t>
            </w:r>
          </w:p>
        </w:tc>
        <w:tc>
          <w:tcPr>
            <w:tcW w:w="1551" w:type="pct"/>
            <w:gridSpan w:val="3"/>
            <w:vMerge w:val="restart"/>
            <w:vAlign w:val="center"/>
          </w:tcPr>
          <w:p>
            <w:pPr>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年径流总量控制率(鼓励性指标）</w:t>
            </w:r>
          </w:p>
        </w:tc>
        <w:tc>
          <w:tcPr>
            <w:tcW w:w="1333" w:type="pct"/>
            <w:vMerge w:val="restart"/>
            <w:vAlign w:val="center"/>
          </w:tcPr>
          <w:p>
            <w:pPr>
              <w:pStyle w:val="378"/>
              <w:spacing w:before="151" w:line="240" w:lineRule="auto"/>
              <w:ind w:left="659" w:right="643" w:firstLine="0" w:firstLineChars="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70%</w:t>
            </w:r>
          </w:p>
        </w:tc>
        <w:tc>
          <w:tcPr>
            <w:tcW w:w="934" w:type="pct"/>
            <w:vAlign w:val="center"/>
          </w:tcPr>
          <w:p>
            <w:pPr>
              <w:pStyle w:val="378"/>
              <w:spacing w:before="151" w:line="240" w:lineRule="auto"/>
              <w:ind w:firstLine="0" w:firstLineChars="0"/>
              <w:jc w:val="center"/>
              <w:rPr>
                <w:rFonts w:ascii="Times New Roman" w:hAnsi="Times New Roman" w:cs="Times New Roman" w:eastAsiaTheme="minorEastAsia"/>
                <w:color w:val="000000"/>
              </w:rPr>
            </w:pPr>
            <w:r>
              <w:rPr>
                <w:rFonts w:ascii="Times New Roman" w:hAnsi="Times New Roman" w:eastAsia="宋体" w:cs="Times New Roman"/>
                <w:color w:val="000000"/>
              </w:rPr>
              <w:t>二十涌北路</w:t>
            </w:r>
          </w:p>
        </w:tc>
        <w:tc>
          <w:tcPr>
            <w:tcW w:w="664" w:type="pct"/>
            <w:vAlign w:val="center"/>
          </w:tcPr>
          <w:p>
            <w:pPr>
              <w:pStyle w:val="378"/>
              <w:spacing w:before="151" w:line="240" w:lineRule="auto"/>
              <w:ind w:firstLine="0" w:firstLineChars="0"/>
              <w:rPr>
                <w:rFonts w:ascii="Times New Roman" w:hAnsi="Times New Roman" w:cs="Times New Roman" w:eastAsiaTheme="minorEastAsia"/>
                <w:color w:val="000000"/>
              </w:rPr>
            </w:pPr>
            <w:r>
              <w:rPr>
                <w:rFonts w:ascii="Times New Roman" w:hAnsi="Times New Roman" w:eastAsia="宋体" w:cs="Times New Roman"/>
                <w:color w:val="000000"/>
              </w:rPr>
              <w:t>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3" w:hRule="atLeast"/>
          <w:jc w:val="center"/>
        </w:trPr>
        <w:tc>
          <w:tcPr>
            <w:tcW w:w="517" w:type="pct"/>
            <w:vMerge w:val="continue"/>
            <w:vAlign w:val="center"/>
          </w:tcPr>
          <w:p>
            <w:pPr>
              <w:pStyle w:val="378"/>
              <w:spacing w:before="18" w:line="240" w:lineRule="auto"/>
              <w:ind w:left="138" w:right="131" w:firstLine="480"/>
              <w:jc w:val="center"/>
              <w:rPr>
                <w:rFonts w:ascii="Times New Roman" w:hAnsi="Times New Roman" w:cs="Times New Roman" w:eastAsiaTheme="minorEastAsia"/>
                <w:color w:val="000000"/>
              </w:rPr>
            </w:pPr>
          </w:p>
        </w:tc>
        <w:tc>
          <w:tcPr>
            <w:tcW w:w="1551" w:type="pct"/>
            <w:gridSpan w:val="3"/>
            <w:vMerge w:val="continue"/>
            <w:vAlign w:val="center"/>
          </w:tcPr>
          <w:p>
            <w:pPr>
              <w:jc w:val="center"/>
              <w:rPr>
                <w:rFonts w:ascii="Times New Roman" w:hAnsi="Times New Roman" w:eastAsiaTheme="minorEastAsia"/>
                <w:b w:val="0"/>
                <w:color w:val="000000"/>
                <w:sz w:val="24"/>
                <w:szCs w:val="24"/>
              </w:rPr>
            </w:pPr>
          </w:p>
        </w:tc>
        <w:tc>
          <w:tcPr>
            <w:tcW w:w="1333" w:type="pct"/>
            <w:vMerge w:val="continue"/>
            <w:vAlign w:val="center"/>
          </w:tcPr>
          <w:p>
            <w:pPr>
              <w:pStyle w:val="378"/>
              <w:spacing w:before="151" w:line="240" w:lineRule="auto"/>
              <w:ind w:left="659" w:right="643" w:firstLine="0" w:firstLineChars="0"/>
              <w:jc w:val="center"/>
              <w:rPr>
                <w:rFonts w:ascii="Times New Roman" w:hAnsi="Times New Roman" w:cs="Times New Roman" w:eastAsiaTheme="minorEastAsia"/>
                <w:color w:val="000000"/>
              </w:rPr>
            </w:pPr>
          </w:p>
        </w:tc>
        <w:tc>
          <w:tcPr>
            <w:tcW w:w="934" w:type="pct"/>
            <w:vAlign w:val="center"/>
          </w:tcPr>
          <w:p>
            <w:pPr>
              <w:pStyle w:val="378"/>
              <w:spacing w:before="151" w:line="240" w:lineRule="auto"/>
              <w:ind w:firstLine="0" w:firstLineChars="0"/>
              <w:jc w:val="center"/>
              <w:rPr>
                <w:rFonts w:ascii="Times New Roman" w:hAnsi="Times New Roman" w:cs="Times New Roman" w:eastAsiaTheme="minorEastAsia"/>
                <w:color w:val="000000"/>
              </w:rPr>
            </w:pPr>
            <w:r>
              <w:rPr>
                <w:rFonts w:ascii="Times New Roman" w:hAnsi="Times New Roman" w:eastAsia="宋体" w:cs="Times New Roman"/>
                <w:color w:val="000000"/>
              </w:rPr>
              <w:t>规划纵三路</w:t>
            </w:r>
          </w:p>
        </w:tc>
        <w:tc>
          <w:tcPr>
            <w:tcW w:w="664" w:type="pct"/>
            <w:vAlign w:val="center"/>
          </w:tcPr>
          <w:p>
            <w:pPr>
              <w:pStyle w:val="378"/>
              <w:spacing w:before="151" w:line="240" w:lineRule="auto"/>
              <w:ind w:firstLine="0" w:firstLineChars="0"/>
              <w:rPr>
                <w:rFonts w:ascii="Times New Roman" w:hAnsi="Times New Roman" w:cs="Times New Roman" w:eastAsiaTheme="minorEastAsia"/>
                <w:color w:val="000000"/>
              </w:rPr>
            </w:pPr>
            <w:r>
              <w:rPr>
                <w:rFonts w:ascii="Times New Roman" w:hAnsi="Times New Roman" w:eastAsia="宋体" w:cs="Times New Roman"/>
                <w:color w:val="000000"/>
              </w:rPr>
              <w:t>76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8" w:hRule="atLeast"/>
          <w:jc w:val="center"/>
        </w:trPr>
        <w:tc>
          <w:tcPr>
            <w:tcW w:w="517" w:type="pct"/>
            <w:vMerge w:val="restart"/>
            <w:vAlign w:val="center"/>
          </w:tcPr>
          <w:p>
            <w:pPr>
              <w:pStyle w:val="378"/>
              <w:spacing w:before="18" w:line="240" w:lineRule="auto"/>
              <w:ind w:left="138" w:right="131" w:firstLine="48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9</w:t>
            </w:r>
          </w:p>
        </w:tc>
        <w:tc>
          <w:tcPr>
            <w:tcW w:w="1551" w:type="pct"/>
            <w:gridSpan w:val="3"/>
            <w:vMerge w:val="restart"/>
            <w:vAlign w:val="center"/>
          </w:tcPr>
          <w:p>
            <w:pPr>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年径流污染削减率(约束性指标）</w:t>
            </w:r>
          </w:p>
        </w:tc>
        <w:tc>
          <w:tcPr>
            <w:tcW w:w="1333" w:type="pct"/>
            <w:vMerge w:val="restart"/>
            <w:vAlign w:val="center"/>
          </w:tcPr>
          <w:p>
            <w:pPr>
              <w:pStyle w:val="378"/>
              <w:spacing w:before="151" w:line="240" w:lineRule="auto"/>
              <w:ind w:left="659" w:right="643" w:firstLine="0" w:firstLineChars="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40%</w:t>
            </w:r>
          </w:p>
        </w:tc>
        <w:tc>
          <w:tcPr>
            <w:tcW w:w="934" w:type="pct"/>
            <w:vAlign w:val="center"/>
          </w:tcPr>
          <w:p>
            <w:pPr>
              <w:widowControl/>
              <w:jc w:val="center"/>
              <w:textAlignment w:val="center"/>
              <w:rPr>
                <w:rFonts w:ascii="Times New Roman" w:hAnsi="Times New Roman" w:eastAsiaTheme="minorEastAsia"/>
                <w:b w:val="0"/>
                <w:color w:val="000000"/>
                <w:sz w:val="24"/>
                <w:szCs w:val="24"/>
              </w:rPr>
            </w:pPr>
            <w:r>
              <w:rPr>
                <w:rFonts w:ascii="Times New Roman" w:hAnsi="Times New Roman"/>
                <w:b w:val="0"/>
                <w:color w:val="000000"/>
                <w:sz w:val="24"/>
                <w:szCs w:val="24"/>
              </w:rPr>
              <w:t>二十涌北路</w:t>
            </w:r>
          </w:p>
        </w:tc>
        <w:tc>
          <w:tcPr>
            <w:tcW w:w="664" w:type="pct"/>
            <w:vAlign w:val="center"/>
          </w:tcPr>
          <w:p>
            <w:pPr>
              <w:widowControl/>
              <w:jc w:val="center"/>
              <w:textAlignment w:val="center"/>
              <w:rPr>
                <w:rFonts w:ascii="Times New Roman" w:hAnsi="Times New Roman" w:eastAsiaTheme="minorEastAsia"/>
                <w:b w:val="0"/>
                <w:color w:val="000000"/>
                <w:sz w:val="24"/>
                <w:szCs w:val="24"/>
              </w:rPr>
            </w:pPr>
            <w:r>
              <w:rPr>
                <w:rFonts w:ascii="Times New Roman" w:hAnsi="Times New Roman"/>
                <w:color w:val="000000"/>
                <w:sz w:val="24"/>
                <w:szCs w:val="24"/>
              </w:rPr>
              <w:t>63.8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7" w:hRule="atLeast"/>
          <w:jc w:val="center"/>
        </w:trPr>
        <w:tc>
          <w:tcPr>
            <w:tcW w:w="517" w:type="pct"/>
            <w:vMerge w:val="continue"/>
            <w:vAlign w:val="center"/>
          </w:tcPr>
          <w:p>
            <w:pPr>
              <w:pStyle w:val="378"/>
              <w:spacing w:before="18" w:line="240" w:lineRule="auto"/>
              <w:ind w:left="138" w:right="131" w:firstLine="480"/>
              <w:jc w:val="center"/>
              <w:rPr>
                <w:rFonts w:ascii="Times New Roman" w:hAnsi="Times New Roman" w:cs="Times New Roman" w:eastAsiaTheme="minorEastAsia"/>
                <w:color w:val="000000"/>
              </w:rPr>
            </w:pPr>
          </w:p>
        </w:tc>
        <w:tc>
          <w:tcPr>
            <w:tcW w:w="1551" w:type="pct"/>
            <w:gridSpan w:val="3"/>
            <w:vMerge w:val="continue"/>
            <w:vAlign w:val="center"/>
          </w:tcPr>
          <w:p>
            <w:pPr>
              <w:jc w:val="center"/>
              <w:rPr>
                <w:rFonts w:ascii="Times New Roman" w:hAnsi="Times New Roman" w:eastAsiaTheme="minorEastAsia"/>
                <w:b w:val="0"/>
                <w:color w:val="000000"/>
                <w:sz w:val="24"/>
                <w:szCs w:val="24"/>
              </w:rPr>
            </w:pPr>
          </w:p>
        </w:tc>
        <w:tc>
          <w:tcPr>
            <w:tcW w:w="1333" w:type="pct"/>
            <w:vMerge w:val="continue"/>
            <w:vAlign w:val="center"/>
          </w:tcPr>
          <w:p>
            <w:pPr>
              <w:pStyle w:val="378"/>
              <w:spacing w:before="151" w:line="240" w:lineRule="auto"/>
              <w:ind w:left="659" w:right="643" w:firstLine="0" w:firstLineChars="0"/>
              <w:jc w:val="center"/>
              <w:rPr>
                <w:rFonts w:ascii="Times New Roman" w:hAnsi="Times New Roman" w:cs="Times New Roman" w:eastAsiaTheme="minorEastAsia"/>
                <w:color w:val="000000"/>
              </w:rPr>
            </w:pPr>
          </w:p>
        </w:tc>
        <w:tc>
          <w:tcPr>
            <w:tcW w:w="934" w:type="pct"/>
            <w:vAlign w:val="center"/>
          </w:tcPr>
          <w:p>
            <w:pPr>
              <w:widowControl/>
              <w:jc w:val="center"/>
              <w:textAlignment w:val="center"/>
              <w:rPr>
                <w:rFonts w:ascii="Times New Roman" w:hAnsi="Times New Roman" w:eastAsiaTheme="minorEastAsia"/>
                <w:b w:val="0"/>
                <w:color w:val="000000"/>
                <w:sz w:val="24"/>
                <w:szCs w:val="24"/>
              </w:rPr>
            </w:pPr>
            <w:r>
              <w:rPr>
                <w:rFonts w:ascii="Times New Roman" w:hAnsi="Times New Roman"/>
                <w:b w:val="0"/>
                <w:color w:val="000000"/>
                <w:sz w:val="24"/>
                <w:szCs w:val="24"/>
              </w:rPr>
              <w:t>规划纵三路</w:t>
            </w:r>
          </w:p>
        </w:tc>
        <w:tc>
          <w:tcPr>
            <w:tcW w:w="664" w:type="pct"/>
            <w:vAlign w:val="center"/>
          </w:tcPr>
          <w:p>
            <w:pPr>
              <w:widowControl/>
              <w:jc w:val="center"/>
              <w:textAlignment w:val="center"/>
              <w:rPr>
                <w:rFonts w:ascii="Times New Roman" w:hAnsi="Times New Roman" w:eastAsiaTheme="minorEastAsia"/>
                <w:b w:val="0"/>
                <w:color w:val="000000"/>
                <w:sz w:val="24"/>
                <w:szCs w:val="24"/>
              </w:rPr>
            </w:pPr>
            <w:r>
              <w:rPr>
                <w:rFonts w:ascii="Times New Roman" w:hAnsi="Times New Roman"/>
                <w:color w:val="000000"/>
                <w:sz w:val="24"/>
                <w:szCs w:val="24"/>
              </w:rPr>
              <w:t>64.6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jc w:val="center"/>
        </w:trPr>
        <w:tc>
          <w:tcPr>
            <w:tcW w:w="517" w:type="pct"/>
            <w:vMerge w:val="restart"/>
            <w:vAlign w:val="center"/>
          </w:tcPr>
          <w:p>
            <w:pPr>
              <w:pStyle w:val="378"/>
              <w:spacing w:before="18" w:line="240" w:lineRule="auto"/>
              <w:ind w:left="138" w:right="131" w:firstLine="48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10</w:t>
            </w:r>
          </w:p>
        </w:tc>
        <w:tc>
          <w:tcPr>
            <w:tcW w:w="1551" w:type="pct"/>
            <w:gridSpan w:val="3"/>
            <w:vMerge w:val="restart"/>
            <w:vAlign w:val="center"/>
          </w:tcPr>
          <w:p>
            <w:pPr>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透水铺装率(鼓励性指标）</w:t>
            </w:r>
          </w:p>
        </w:tc>
        <w:tc>
          <w:tcPr>
            <w:tcW w:w="1333" w:type="pct"/>
            <w:vMerge w:val="restart"/>
            <w:vAlign w:val="center"/>
          </w:tcPr>
          <w:p>
            <w:pPr>
              <w:pStyle w:val="378"/>
              <w:spacing w:before="151" w:line="240" w:lineRule="auto"/>
              <w:ind w:left="659" w:right="643" w:firstLine="0" w:firstLineChars="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70%</w:t>
            </w:r>
          </w:p>
        </w:tc>
        <w:tc>
          <w:tcPr>
            <w:tcW w:w="934" w:type="pct"/>
            <w:vAlign w:val="center"/>
          </w:tcPr>
          <w:p>
            <w:pPr>
              <w:pStyle w:val="378"/>
              <w:spacing w:before="151" w:line="240" w:lineRule="auto"/>
              <w:ind w:firstLine="0" w:firstLineChars="0"/>
              <w:jc w:val="center"/>
              <w:rPr>
                <w:rFonts w:ascii="Times New Roman" w:hAnsi="Times New Roman" w:cs="Times New Roman" w:eastAsiaTheme="minorEastAsia"/>
                <w:color w:val="000000"/>
              </w:rPr>
            </w:pPr>
            <w:r>
              <w:rPr>
                <w:rFonts w:ascii="Times New Roman" w:hAnsi="Times New Roman" w:eastAsia="宋体" w:cs="Times New Roman"/>
                <w:color w:val="000000"/>
              </w:rPr>
              <w:t>二十涌北路</w:t>
            </w:r>
          </w:p>
        </w:tc>
        <w:tc>
          <w:tcPr>
            <w:tcW w:w="664" w:type="pct"/>
            <w:vAlign w:val="center"/>
          </w:tcPr>
          <w:p>
            <w:pPr>
              <w:pStyle w:val="378"/>
              <w:spacing w:before="151" w:line="240" w:lineRule="auto"/>
              <w:ind w:firstLine="0" w:firstLineChars="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100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4" w:hRule="atLeast"/>
          <w:jc w:val="center"/>
        </w:trPr>
        <w:tc>
          <w:tcPr>
            <w:tcW w:w="517" w:type="pct"/>
            <w:vMerge w:val="continue"/>
            <w:vAlign w:val="center"/>
          </w:tcPr>
          <w:p>
            <w:pPr>
              <w:pStyle w:val="378"/>
              <w:spacing w:before="18" w:line="240" w:lineRule="auto"/>
              <w:ind w:left="138" w:right="131" w:firstLine="480"/>
              <w:jc w:val="center"/>
              <w:rPr>
                <w:rFonts w:ascii="Times New Roman" w:hAnsi="Times New Roman" w:cs="Times New Roman" w:eastAsiaTheme="minorEastAsia"/>
                <w:color w:val="000000"/>
              </w:rPr>
            </w:pPr>
          </w:p>
        </w:tc>
        <w:tc>
          <w:tcPr>
            <w:tcW w:w="1551" w:type="pct"/>
            <w:gridSpan w:val="3"/>
            <w:vMerge w:val="continue"/>
            <w:vAlign w:val="center"/>
          </w:tcPr>
          <w:p>
            <w:pPr>
              <w:jc w:val="center"/>
              <w:rPr>
                <w:rFonts w:ascii="Times New Roman" w:hAnsi="Times New Roman" w:eastAsiaTheme="minorEastAsia"/>
                <w:b w:val="0"/>
                <w:color w:val="000000"/>
                <w:sz w:val="24"/>
                <w:szCs w:val="24"/>
              </w:rPr>
            </w:pPr>
          </w:p>
        </w:tc>
        <w:tc>
          <w:tcPr>
            <w:tcW w:w="1333" w:type="pct"/>
            <w:vMerge w:val="continue"/>
            <w:vAlign w:val="center"/>
          </w:tcPr>
          <w:p>
            <w:pPr>
              <w:pStyle w:val="378"/>
              <w:spacing w:before="151" w:line="240" w:lineRule="auto"/>
              <w:ind w:left="659" w:right="643" w:firstLine="0" w:firstLineChars="0"/>
              <w:jc w:val="center"/>
              <w:rPr>
                <w:rFonts w:ascii="Times New Roman" w:hAnsi="Times New Roman" w:cs="Times New Roman" w:eastAsiaTheme="minorEastAsia"/>
                <w:color w:val="000000"/>
              </w:rPr>
            </w:pPr>
          </w:p>
        </w:tc>
        <w:tc>
          <w:tcPr>
            <w:tcW w:w="934" w:type="pct"/>
            <w:vAlign w:val="center"/>
          </w:tcPr>
          <w:p>
            <w:pPr>
              <w:pStyle w:val="378"/>
              <w:spacing w:before="151" w:line="240" w:lineRule="auto"/>
              <w:ind w:firstLine="0" w:firstLineChars="0"/>
              <w:jc w:val="center"/>
              <w:rPr>
                <w:rFonts w:ascii="Times New Roman" w:hAnsi="Times New Roman" w:cs="Times New Roman" w:eastAsiaTheme="minorEastAsia"/>
                <w:color w:val="000000"/>
              </w:rPr>
            </w:pPr>
            <w:r>
              <w:rPr>
                <w:rFonts w:ascii="Times New Roman" w:hAnsi="Times New Roman" w:eastAsia="宋体" w:cs="Times New Roman"/>
                <w:color w:val="000000"/>
              </w:rPr>
              <w:t>规划纵三路</w:t>
            </w:r>
          </w:p>
        </w:tc>
        <w:tc>
          <w:tcPr>
            <w:tcW w:w="664" w:type="pct"/>
            <w:vAlign w:val="center"/>
          </w:tcPr>
          <w:p>
            <w:pPr>
              <w:pStyle w:val="378"/>
              <w:spacing w:before="151" w:line="240" w:lineRule="auto"/>
              <w:ind w:firstLine="0" w:firstLineChars="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100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2" w:hRule="atLeast"/>
          <w:jc w:val="center"/>
        </w:trPr>
        <w:tc>
          <w:tcPr>
            <w:tcW w:w="517" w:type="pct"/>
            <w:vMerge w:val="restart"/>
            <w:vAlign w:val="center"/>
          </w:tcPr>
          <w:p>
            <w:pPr>
              <w:pStyle w:val="378"/>
              <w:spacing w:before="20" w:line="240" w:lineRule="auto"/>
              <w:ind w:left="131" w:right="131" w:firstLine="48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11</w:t>
            </w:r>
          </w:p>
        </w:tc>
        <w:tc>
          <w:tcPr>
            <w:tcW w:w="1551" w:type="pct"/>
            <w:gridSpan w:val="3"/>
            <w:vMerge w:val="restart"/>
            <w:vAlign w:val="center"/>
          </w:tcPr>
          <w:p>
            <w:pPr>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单位硬化面积调蓄容积</w:t>
            </w:r>
          </w:p>
        </w:tc>
        <w:tc>
          <w:tcPr>
            <w:tcW w:w="1333" w:type="pct"/>
            <w:vMerge w:val="restart"/>
            <w:vAlign w:val="center"/>
          </w:tcPr>
          <w:p>
            <w:pPr>
              <w:pStyle w:val="378"/>
              <w:spacing w:before="151" w:line="240" w:lineRule="auto"/>
              <w:ind w:left="711" w:leftChars="254" w:right="643" w:firstLine="0" w:firstLineChars="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500m</w:t>
            </w:r>
            <w:r>
              <w:rPr>
                <w:rFonts w:ascii="Times New Roman" w:hAnsi="Times New Roman" w:cs="Times New Roman" w:eastAsiaTheme="minorEastAsia"/>
                <w:color w:val="000000"/>
                <w:vertAlign w:val="superscript"/>
              </w:rPr>
              <w:t>3</w:t>
            </w:r>
            <w:r>
              <w:rPr>
                <w:rFonts w:ascii="Times New Roman" w:hAnsi="Times New Roman" w:cs="Times New Roman" w:eastAsiaTheme="minorEastAsia"/>
                <w:color w:val="000000"/>
              </w:rPr>
              <w:t>/ha</w:t>
            </w:r>
          </w:p>
        </w:tc>
        <w:tc>
          <w:tcPr>
            <w:tcW w:w="934" w:type="pct"/>
            <w:vAlign w:val="center"/>
          </w:tcPr>
          <w:p>
            <w:pPr>
              <w:pStyle w:val="378"/>
              <w:spacing w:before="151" w:line="240" w:lineRule="auto"/>
              <w:ind w:firstLine="0" w:firstLineChars="0"/>
              <w:jc w:val="center"/>
              <w:rPr>
                <w:rFonts w:ascii="Times New Roman" w:hAnsi="Times New Roman" w:cs="Times New Roman" w:eastAsiaTheme="minorEastAsia"/>
                <w:color w:val="000000"/>
              </w:rPr>
            </w:pPr>
            <w:r>
              <w:rPr>
                <w:rFonts w:ascii="Times New Roman" w:hAnsi="Times New Roman" w:eastAsia="宋体" w:cs="Times New Roman"/>
                <w:color w:val="000000"/>
              </w:rPr>
              <w:t>二十涌北路</w:t>
            </w:r>
          </w:p>
        </w:tc>
        <w:tc>
          <w:tcPr>
            <w:tcW w:w="664" w:type="pct"/>
            <w:vAlign w:val="center"/>
          </w:tcPr>
          <w:p>
            <w:pPr>
              <w:pStyle w:val="378"/>
              <w:spacing w:before="151" w:line="240" w:lineRule="auto"/>
              <w:ind w:firstLine="0" w:firstLineChars="0"/>
              <w:jc w:val="center"/>
              <w:rPr>
                <w:rFonts w:ascii="Times New Roman" w:hAnsi="Times New Roman" w:cs="Times New Roman" w:eastAsiaTheme="minorEastAsia"/>
                <w:color w:val="000000"/>
              </w:rPr>
            </w:pPr>
            <w:r>
              <w:rPr>
                <w:rFonts w:ascii="Times New Roman" w:hAnsi="Times New Roman" w:eastAsia="宋体" w:cs="Times New Roman"/>
                <w:color w:val="000000"/>
              </w:rPr>
              <w:t>1687.01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4" w:hRule="atLeast"/>
          <w:jc w:val="center"/>
        </w:trPr>
        <w:tc>
          <w:tcPr>
            <w:tcW w:w="517" w:type="pct"/>
            <w:vMerge w:val="continue"/>
            <w:vAlign w:val="center"/>
          </w:tcPr>
          <w:p>
            <w:pPr>
              <w:pStyle w:val="378"/>
              <w:spacing w:before="20" w:line="240" w:lineRule="auto"/>
              <w:ind w:left="131" w:right="131" w:firstLine="480"/>
              <w:jc w:val="center"/>
              <w:rPr>
                <w:rFonts w:ascii="Times New Roman" w:hAnsi="Times New Roman" w:cs="Times New Roman" w:eastAsiaTheme="minorEastAsia"/>
                <w:color w:val="000000"/>
              </w:rPr>
            </w:pPr>
          </w:p>
        </w:tc>
        <w:tc>
          <w:tcPr>
            <w:tcW w:w="1551" w:type="pct"/>
            <w:gridSpan w:val="3"/>
            <w:vMerge w:val="continue"/>
            <w:vAlign w:val="center"/>
          </w:tcPr>
          <w:p>
            <w:pPr>
              <w:jc w:val="center"/>
              <w:rPr>
                <w:rFonts w:ascii="Times New Roman" w:hAnsi="Times New Roman" w:eastAsiaTheme="minorEastAsia"/>
                <w:b w:val="0"/>
                <w:color w:val="000000"/>
                <w:sz w:val="24"/>
                <w:szCs w:val="24"/>
              </w:rPr>
            </w:pPr>
          </w:p>
        </w:tc>
        <w:tc>
          <w:tcPr>
            <w:tcW w:w="1333" w:type="pct"/>
            <w:vMerge w:val="continue"/>
            <w:vAlign w:val="center"/>
          </w:tcPr>
          <w:p>
            <w:pPr>
              <w:pStyle w:val="378"/>
              <w:spacing w:before="151" w:line="240" w:lineRule="auto"/>
              <w:ind w:left="711" w:leftChars="254" w:right="643" w:firstLine="0" w:firstLineChars="0"/>
              <w:jc w:val="center"/>
              <w:rPr>
                <w:rFonts w:ascii="Times New Roman" w:hAnsi="Times New Roman" w:cs="Times New Roman" w:eastAsiaTheme="minorEastAsia"/>
                <w:color w:val="000000"/>
              </w:rPr>
            </w:pPr>
          </w:p>
        </w:tc>
        <w:tc>
          <w:tcPr>
            <w:tcW w:w="934" w:type="pct"/>
            <w:vAlign w:val="center"/>
          </w:tcPr>
          <w:p>
            <w:pPr>
              <w:pStyle w:val="378"/>
              <w:spacing w:before="151" w:line="240" w:lineRule="auto"/>
              <w:ind w:firstLine="0" w:firstLineChars="0"/>
              <w:jc w:val="center"/>
              <w:rPr>
                <w:rFonts w:ascii="Times New Roman" w:hAnsi="Times New Roman" w:cs="Times New Roman" w:eastAsiaTheme="minorEastAsia"/>
                <w:color w:val="000000"/>
              </w:rPr>
            </w:pPr>
            <w:r>
              <w:rPr>
                <w:rFonts w:ascii="Times New Roman" w:hAnsi="Times New Roman" w:eastAsia="宋体" w:cs="Times New Roman"/>
                <w:color w:val="000000"/>
              </w:rPr>
              <w:t>规划纵三路</w:t>
            </w:r>
          </w:p>
        </w:tc>
        <w:tc>
          <w:tcPr>
            <w:tcW w:w="664" w:type="pct"/>
            <w:vAlign w:val="center"/>
          </w:tcPr>
          <w:p>
            <w:pPr>
              <w:pStyle w:val="378"/>
              <w:spacing w:before="151" w:line="240" w:lineRule="auto"/>
              <w:ind w:firstLine="0" w:firstLineChars="0"/>
              <w:jc w:val="center"/>
              <w:rPr>
                <w:rFonts w:ascii="Times New Roman" w:hAnsi="Times New Roman" w:cs="Times New Roman" w:eastAsiaTheme="minorEastAsia"/>
                <w:color w:val="000000"/>
              </w:rPr>
            </w:pPr>
            <w:r>
              <w:rPr>
                <w:rFonts w:ascii="Times New Roman" w:hAnsi="Times New Roman" w:eastAsia="宋体" w:cs="Times New Roman"/>
                <w:color w:val="000000"/>
              </w:rPr>
              <w:t>1396.95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2" w:hRule="atLeast"/>
          <w:jc w:val="center"/>
        </w:trPr>
        <w:tc>
          <w:tcPr>
            <w:tcW w:w="517" w:type="pct"/>
            <w:vMerge w:val="restart"/>
            <w:vAlign w:val="center"/>
          </w:tcPr>
          <w:p>
            <w:pPr>
              <w:pStyle w:val="378"/>
              <w:spacing w:before="20" w:line="240" w:lineRule="auto"/>
              <w:ind w:left="131" w:right="131" w:firstLine="48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12</w:t>
            </w:r>
          </w:p>
        </w:tc>
        <w:tc>
          <w:tcPr>
            <w:tcW w:w="1551" w:type="pct"/>
            <w:gridSpan w:val="3"/>
            <w:vMerge w:val="restart"/>
            <w:vAlign w:val="center"/>
          </w:tcPr>
          <w:p>
            <w:pPr>
              <w:jc w:val="center"/>
              <w:rPr>
                <w:rFonts w:ascii="Times New Roman" w:hAnsi="Times New Roman" w:eastAsiaTheme="minorEastAsia"/>
                <w:b w:val="0"/>
                <w:color w:val="auto"/>
                <w:sz w:val="24"/>
                <w:szCs w:val="24"/>
              </w:rPr>
            </w:pPr>
            <w:r>
              <w:rPr>
                <w:rFonts w:ascii="Times New Roman" w:hAnsi="Times New Roman" w:eastAsiaTheme="minorEastAsia"/>
                <w:b w:val="0"/>
                <w:color w:val="auto"/>
                <w:kern w:val="0"/>
                <w:sz w:val="24"/>
                <w:szCs w:val="24"/>
              </w:rPr>
              <w:t>一般城市道路绿地率(鼓励性指标)</w:t>
            </w:r>
          </w:p>
        </w:tc>
        <w:tc>
          <w:tcPr>
            <w:tcW w:w="1333" w:type="pct"/>
            <w:vMerge w:val="restart"/>
            <w:vAlign w:val="center"/>
          </w:tcPr>
          <w:p>
            <w:pPr>
              <w:pStyle w:val="378"/>
              <w:spacing w:before="151" w:line="240" w:lineRule="auto"/>
              <w:ind w:left="711" w:leftChars="254" w:right="643" w:firstLine="0" w:firstLineChars="0"/>
              <w:jc w:val="center"/>
              <w:rPr>
                <w:rFonts w:ascii="Times New Roman" w:hAnsi="Times New Roman" w:cs="Times New Roman" w:eastAsiaTheme="minorEastAsia"/>
              </w:rPr>
            </w:pPr>
            <w:r>
              <w:rPr>
                <w:rFonts w:ascii="Times New Roman" w:hAnsi="Times New Roman" w:cs="Times New Roman" w:eastAsiaTheme="minorEastAsia"/>
              </w:rPr>
              <w:t>15％</w:t>
            </w:r>
          </w:p>
        </w:tc>
        <w:tc>
          <w:tcPr>
            <w:tcW w:w="934" w:type="pct"/>
            <w:vAlign w:val="center"/>
          </w:tcPr>
          <w:p>
            <w:pPr>
              <w:pStyle w:val="378"/>
              <w:spacing w:before="151" w:line="240" w:lineRule="auto"/>
              <w:ind w:firstLine="0" w:firstLineChars="0"/>
              <w:jc w:val="center"/>
              <w:rPr>
                <w:rFonts w:ascii="Times New Roman" w:hAnsi="Times New Roman" w:cs="Times New Roman" w:eastAsiaTheme="minorEastAsia"/>
                <w:kern w:val="0"/>
              </w:rPr>
            </w:pPr>
            <w:r>
              <w:rPr>
                <w:rFonts w:ascii="Times New Roman" w:hAnsi="Times New Roman" w:eastAsia="宋体" w:cs="Times New Roman"/>
                <w:color w:val="000000"/>
              </w:rPr>
              <w:t>二十涌北路</w:t>
            </w:r>
          </w:p>
        </w:tc>
        <w:tc>
          <w:tcPr>
            <w:tcW w:w="664" w:type="pct"/>
            <w:vAlign w:val="center"/>
          </w:tcPr>
          <w:p>
            <w:pPr>
              <w:pStyle w:val="378"/>
              <w:spacing w:before="151" w:line="240" w:lineRule="auto"/>
              <w:ind w:firstLine="0" w:firstLineChars="0"/>
              <w:jc w:val="center"/>
              <w:rPr>
                <w:rFonts w:ascii="Times New Roman" w:hAnsi="Times New Roman" w:cs="Times New Roman" w:eastAsiaTheme="minorEastAsia"/>
                <w:kern w:val="0"/>
              </w:rPr>
            </w:pPr>
            <w:r>
              <w:rPr>
                <w:rFonts w:ascii="Times New Roman" w:hAnsi="Times New Roman" w:cs="Times New Roman"/>
                <w:color w:val="000000"/>
              </w:rPr>
              <w:t>17.4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8" w:hRule="atLeast"/>
          <w:jc w:val="center"/>
        </w:trPr>
        <w:tc>
          <w:tcPr>
            <w:tcW w:w="517" w:type="pct"/>
            <w:vMerge w:val="continue"/>
            <w:vAlign w:val="center"/>
          </w:tcPr>
          <w:p>
            <w:pPr>
              <w:pStyle w:val="378"/>
              <w:spacing w:before="20" w:line="240" w:lineRule="auto"/>
              <w:ind w:left="131" w:right="131" w:firstLine="480"/>
              <w:jc w:val="center"/>
              <w:rPr>
                <w:rFonts w:ascii="Times New Roman" w:hAnsi="Times New Roman" w:cs="Times New Roman" w:eastAsiaTheme="minorEastAsia"/>
                <w:color w:val="000000"/>
              </w:rPr>
            </w:pPr>
          </w:p>
        </w:tc>
        <w:tc>
          <w:tcPr>
            <w:tcW w:w="1551" w:type="pct"/>
            <w:gridSpan w:val="3"/>
            <w:vMerge w:val="continue"/>
            <w:vAlign w:val="center"/>
          </w:tcPr>
          <w:p>
            <w:pPr>
              <w:jc w:val="center"/>
              <w:rPr>
                <w:rFonts w:ascii="Times New Roman" w:hAnsi="Times New Roman" w:eastAsiaTheme="minorEastAsia"/>
                <w:b w:val="0"/>
                <w:kern w:val="0"/>
                <w:sz w:val="24"/>
                <w:szCs w:val="24"/>
              </w:rPr>
            </w:pPr>
          </w:p>
        </w:tc>
        <w:tc>
          <w:tcPr>
            <w:tcW w:w="1333" w:type="pct"/>
            <w:vMerge w:val="continue"/>
            <w:vAlign w:val="center"/>
          </w:tcPr>
          <w:p>
            <w:pPr>
              <w:pStyle w:val="378"/>
              <w:spacing w:before="151" w:line="240" w:lineRule="auto"/>
              <w:ind w:left="711" w:leftChars="254" w:right="643" w:firstLine="0" w:firstLineChars="0"/>
              <w:jc w:val="center"/>
              <w:rPr>
                <w:rFonts w:ascii="Times New Roman" w:hAnsi="Times New Roman" w:cs="Times New Roman" w:eastAsiaTheme="minorEastAsia"/>
              </w:rPr>
            </w:pPr>
          </w:p>
        </w:tc>
        <w:tc>
          <w:tcPr>
            <w:tcW w:w="934" w:type="pct"/>
            <w:vAlign w:val="center"/>
          </w:tcPr>
          <w:p>
            <w:pPr>
              <w:pStyle w:val="378"/>
              <w:spacing w:before="151" w:line="240" w:lineRule="auto"/>
              <w:ind w:firstLine="0" w:firstLineChars="0"/>
              <w:jc w:val="center"/>
              <w:rPr>
                <w:rFonts w:ascii="Times New Roman" w:hAnsi="Times New Roman" w:cs="Times New Roman" w:eastAsiaTheme="minorEastAsia"/>
                <w:kern w:val="0"/>
              </w:rPr>
            </w:pPr>
            <w:r>
              <w:rPr>
                <w:rFonts w:ascii="Times New Roman" w:hAnsi="Times New Roman" w:eastAsia="宋体" w:cs="Times New Roman"/>
                <w:color w:val="000000"/>
              </w:rPr>
              <w:t>规划纵三路</w:t>
            </w:r>
          </w:p>
        </w:tc>
        <w:tc>
          <w:tcPr>
            <w:tcW w:w="664" w:type="pct"/>
            <w:vAlign w:val="center"/>
          </w:tcPr>
          <w:p>
            <w:pPr>
              <w:pStyle w:val="378"/>
              <w:spacing w:before="151" w:line="240" w:lineRule="auto"/>
              <w:ind w:firstLine="0" w:firstLineChars="0"/>
              <w:jc w:val="center"/>
              <w:rPr>
                <w:rFonts w:ascii="Times New Roman" w:hAnsi="Times New Roman" w:cs="Times New Roman" w:eastAsiaTheme="minorEastAsia"/>
                <w:kern w:val="0"/>
              </w:rPr>
            </w:pPr>
            <w:r>
              <w:rPr>
                <w:rFonts w:ascii="Times New Roman" w:hAnsi="Times New Roman" w:cs="Times New Roman"/>
                <w:color w:val="000000"/>
              </w:rPr>
              <w:t>23.8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jc w:val="center"/>
        </w:trPr>
        <w:tc>
          <w:tcPr>
            <w:tcW w:w="517" w:type="pct"/>
            <w:vMerge w:val="restart"/>
            <w:vAlign w:val="center"/>
          </w:tcPr>
          <w:p>
            <w:pPr>
              <w:pStyle w:val="378"/>
              <w:spacing w:before="18" w:line="240" w:lineRule="auto"/>
              <w:ind w:left="138" w:right="131" w:firstLine="48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13</w:t>
            </w:r>
          </w:p>
        </w:tc>
        <w:tc>
          <w:tcPr>
            <w:tcW w:w="1551" w:type="pct"/>
            <w:gridSpan w:val="3"/>
            <w:vMerge w:val="restart"/>
            <w:vAlign w:val="center"/>
          </w:tcPr>
          <w:p>
            <w:pPr>
              <w:jc w:val="center"/>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下沉式绿地率(道路工程中侧绿化带小于2米为鼓励性指标）</w:t>
            </w:r>
          </w:p>
        </w:tc>
        <w:tc>
          <w:tcPr>
            <w:tcW w:w="1333" w:type="pct"/>
            <w:vMerge w:val="restart"/>
            <w:vAlign w:val="center"/>
          </w:tcPr>
          <w:p>
            <w:pPr>
              <w:pStyle w:val="378"/>
              <w:spacing w:before="151" w:line="240" w:lineRule="auto"/>
              <w:ind w:left="659" w:right="643" w:firstLine="0" w:firstLineChars="0"/>
              <w:jc w:val="center"/>
              <w:rPr>
                <w:rFonts w:ascii="Times New Roman" w:hAnsi="Times New Roman" w:cs="Times New Roman" w:eastAsiaTheme="minorEastAsia"/>
                <w:color w:val="000000"/>
              </w:rPr>
            </w:pPr>
            <w:r>
              <w:rPr>
                <w:rFonts w:ascii="Times New Roman" w:hAnsi="Times New Roman" w:cs="Times New Roman" w:eastAsiaTheme="minorEastAsia"/>
                <w:color w:val="000000"/>
              </w:rPr>
              <w:t>50%</w:t>
            </w:r>
          </w:p>
        </w:tc>
        <w:tc>
          <w:tcPr>
            <w:tcW w:w="934" w:type="pct"/>
            <w:vAlign w:val="center"/>
          </w:tcPr>
          <w:p>
            <w:pPr>
              <w:pStyle w:val="378"/>
              <w:spacing w:before="151" w:line="240" w:lineRule="auto"/>
              <w:ind w:firstLine="0" w:firstLineChars="0"/>
              <w:jc w:val="center"/>
              <w:rPr>
                <w:rFonts w:ascii="Times New Roman" w:hAnsi="Times New Roman" w:cs="Times New Roman" w:eastAsiaTheme="minorEastAsia"/>
                <w:color w:val="000000"/>
              </w:rPr>
            </w:pPr>
            <w:r>
              <w:rPr>
                <w:rFonts w:ascii="Times New Roman" w:hAnsi="Times New Roman" w:eastAsia="宋体" w:cs="Times New Roman"/>
                <w:color w:val="000000"/>
              </w:rPr>
              <w:t>二十涌北路</w:t>
            </w:r>
          </w:p>
        </w:tc>
        <w:tc>
          <w:tcPr>
            <w:tcW w:w="664" w:type="pct"/>
            <w:vAlign w:val="center"/>
          </w:tcPr>
          <w:p>
            <w:pPr>
              <w:pStyle w:val="378"/>
              <w:spacing w:before="151" w:line="240" w:lineRule="auto"/>
              <w:ind w:firstLine="0" w:firstLineChars="0"/>
              <w:jc w:val="center"/>
              <w:rPr>
                <w:rFonts w:ascii="Times New Roman" w:hAnsi="Times New Roman" w:cs="Times New Roman" w:eastAsiaTheme="minorEastAsia"/>
                <w:color w:val="000000"/>
              </w:rPr>
            </w:pPr>
            <w:r>
              <w:rPr>
                <w:rFonts w:ascii="Times New Roman" w:hAnsi="Times New Roman" w:cs="Times New Roman"/>
                <w:color w:val="000000"/>
              </w:rPr>
              <w:t>46.1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9" w:hRule="atLeast"/>
          <w:jc w:val="center"/>
        </w:trPr>
        <w:tc>
          <w:tcPr>
            <w:tcW w:w="517" w:type="pct"/>
            <w:vMerge w:val="continue"/>
            <w:vAlign w:val="center"/>
          </w:tcPr>
          <w:p>
            <w:pPr>
              <w:pStyle w:val="378"/>
              <w:spacing w:before="18" w:line="240" w:lineRule="auto"/>
              <w:ind w:left="138" w:right="131" w:firstLine="480"/>
              <w:jc w:val="center"/>
              <w:rPr>
                <w:rFonts w:ascii="Times New Roman" w:hAnsi="Times New Roman" w:cs="Times New Roman" w:eastAsiaTheme="minorEastAsia"/>
                <w:color w:val="000000"/>
              </w:rPr>
            </w:pPr>
          </w:p>
        </w:tc>
        <w:tc>
          <w:tcPr>
            <w:tcW w:w="1551" w:type="pct"/>
            <w:gridSpan w:val="3"/>
            <w:vMerge w:val="continue"/>
            <w:vAlign w:val="center"/>
          </w:tcPr>
          <w:p>
            <w:pPr>
              <w:jc w:val="center"/>
              <w:rPr>
                <w:rFonts w:ascii="Times New Roman" w:hAnsi="Times New Roman" w:eastAsiaTheme="minorEastAsia"/>
                <w:b w:val="0"/>
                <w:color w:val="000000"/>
                <w:sz w:val="24"/>
                <w:szCs w:val="24"/>
              </w:rPr>
            </w:pPr>
          </w:p>
        </w:tc>
        <w:tc>
          <w:tcPr>
            <w:tcW w:w="1333" w:type="pct"/>
            <w:vMerge w:val="continue"/>
            <w:vAlign w:val="center"/>
          </w:tcPr>
          <w:p>
            <w:pPr>
              <w:pStyle w:val="378"/>
              <w:spacing w:before="151" w:line="240" w:lineRule="auto"/>
              <w:ind w:left="659" w:right="643" w:firstLine="0" w:firstLineChars="0"/>
              <w:jc w:val="center"/>
              <w:rPr>
                <w:rFonts w:ascii="Times New Roman" w:hAnsi="Times New Roman" w:cs="Times New Roman" w:eastAsiaTheme="minorEastAsia"/>
                <w:color w:val="000000"/>
              </w:rPr>
            </w:pPr>
          </w:p>
        </w:tc>
        <w:tc>
          <w:tcPr>
            <w:tcW w:w="934" w:type="pct"/>
            <w:vAlign w:val="center"/>
          </w:tcPr>
          <w:p>
            <w:pPr>
              <w:pStyle w:val="378"/>
              <w:spacing w:before="151" w:line="240" w:lineRule="auto"/>
              <w:ind w:firstLine="0" w:firstLineChars="0"/>
              <w:jc w:val="center"/>
              <w:rPr>
                <w:rFonts w:ascii="Times New Roman" w:hAnsi="Times New Roman" w:cs="Times New Roman" w:eastAsiaTheme="minorEastAsia"/>
                <w:color w:val="000000"/>
              </w:rPr>
            </w:pPr>
            <w:r>
              <w:rPr>
                <w:rFonts w:ascii="Times New Roman" w:hAnsi="Times New Roman" w:eastAsia="宋体" w:cs="Times New Roman"/>
                <w:color w:val="000000"/>
              </w:rPr>
              <w:t>规划纵三路</w:t>
            </w:r>
          </w:p>
        </w:tc>
        <w:tc>
          <w:tcPr>
            <w:tcW w:w="664" w:type="pct"/>
            <w:vAlign w:val="center"/>
          </w:tcPr>
          <w:p>
            <w:pPr>
              <w:pStyle w:val="378"/>
              <w:spacing w:before="151" w:line="240" w:lineRule="auto"/>
              <w:ind w:firstLine="0" w:firstLineChars="0"/>
              <w:jc w:val="center"/>
              <w:rPr>
                <w:rFonts w:ascii="Times New Roman" w:hAnsi="Times New Roman" w:cs="Times New Roman" w:eastAsiaTheme="minorEastAsia"/>
                <w:color w:val="000000"/>
              </w:rPr>
            </w:pPr>
            <w:r>
              <w:rPr>
                <w:rFonts w:ascii="Times New Roman" w:hAnsi="Times New Roman" w:cs="Times New Roman"/>
                <w:color w:val="000000"/>
              </w:rPr>
              <w:t>47.3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4" w:hRule="atLeast"/>
          <w:jc w:val="center"/>
        </w:trPr>
        <w:tc>
          <w:tcPr>
            <w:tcW w:w="517" w:type="pct"/>
          </w:tcPr>
          <w:p>
            <w:pPr>
              <w:pStyle w:val="378"/>
              <w:spacing w:before="2" w:line="240" w:lineRule="auto"/>
              <w:ind w:right="131" w:firstLine="240" w:firstLineChars="100"/>
              <w:jc w:val="both"/>
              <w:rPr>
                <w:rFonts w:ascii="Times New Roman" w:hAnsi="Times New Roman" w:cs="Times New Roman" w:eastAsiaTheme="minorEastAsia"/>
                <w:color w:val="000000"/>
              </w:rPr>
            </w:pPr>
            <w:r>
              <w:rPr>
                <w:rFonts w:ascii="Times New Roman" w:hAnsi="Times New Roman" w:cs="Times New Roman" w:eastAsiaTheme="minorEastAsia"/>
                <w:color w:val="000000"/>
              </w:rPr>
              <w:t>备注</w:t>
            </w:r>
          </w:p>
        </w:tc>
        <w:tc>
          <w:tcPr>
            <w:tcW w:w="4482" w:type="pct"/>
            <w:gridSpan w:val="6"/>
          </w:tcPr>
          <w:p>
            <w:pPr>
              <w:pStyle w:val="378"/>
              <w:spacing w:line="240" w:lineRule="auto"/>
              <w:ind w:firstLine="480"/>
              <w:rPr>
                <w:rFonts w:ascii="Times New Roman" w:hAnsi="Times New Roman" w:cs="Times New Roman" w:eastAsiaTheme="minorEastAsia"/>
                <w:color w:val="000000"/>
              </w:rPr>
            </w:pPr>
          </w:p>
        </w:tc>
      </w:tr>
    </w:tbl>
    <w:p>
      <w:pPr>
        <w:pStyle w:val="12"/>
        <w:spacing w:before="159" w:line="242" w:lineRule="auto"/>
        <w:ind w:left="120" w:right="263" w:firstLine="480" w:firstLineChars="200"/>
        <w:rPr>
          <w:rFonts w:ascii="Times New Roman" w:hAnsi="Times New Roman" w:eastAsiaTheme="minorEastAsia"/>
          <w:b w:val="0"/>
          <w:color w:val="000000"/>
          <w:sz w:val="24"/>
          <w:szCs w:val="24"/>
        </w:rPr>
      </w:pPr>
      <w:r>
        <w:rPr>
          <w:rFonts w:ascii="Times New Roman" w:hAnsi="Times New Roman" w:eastAsiaTheme="minorEastAsia"/>
          <w:b w:val="0"/>
          <w:color w:val="000000"/>
          <w:sz w:val="24"/>
          <w:szCs w:val="24"/>
        </w:rPr>
        <w:t>备注：建设单位须根据具体项目类型对《规划条件》内的涉水内容及海绵城市建设指标要求（详见[穗水（2017）16号文]）将评价指标的目标值和完成值填写至上表，评价指标可根据项目类型进行调整。</w:t>
      </w:r>
    </w:p>
    <w:p>
      <w:pPr>
        <w:spacing w:line="300" w:lineRule="auto"/>
        <w:ind w:firstLine="420" w:firstLineChars="200"/>
        <w:rPr>
          <w:rFonts w:ascii="Times New Roman" w:hAnsi="Times New Roman"/>
          <w:b w:val="0"/>
          <w:bCs/>
          <w:color w:val="auto"/>
          <w:sz w:val="21"/>
          <w:szCs w:val="21"/>
        </w:rPr>
        <w:sectPr>
          <w:headerReference r:id="rId9" w:type="default"/>
          <w:footerReference r:id="rId10" w:type="default"/>
          <w:pgSz w:w="23814" w:h="16840" w:orient="landscape"/>
          <w:pgMar w:top="1134" w:right="1134" w:bottom="1106" w:left="1134" w:header="851" w:footer="283" w:gutter="0"/>
          <w:cols w:space="1028" w:num="2"/>
          <w:docGrid w:type="lines" w:linePitch="387" w:charSpace="0"/>
        </w:sectPr>
      </w:pPr>
    </w:p>
    <w:tbl>
      <w:tblPr>
        <w:tblStyle w:val="32"/>
        <w:tblW w:w="5000" w:type="pct"/>
        <w:jc w:val="center"/>
        <w:tblLayout w:type="autofit"/>
        <w:tblCellMar>
          <w:top w:w="0" w:type="dxa"/>
          <w:left w:w="108" w:type="dxa"/>
          <w:bottom w:w="0" w:type="dxa"/>
          <w:right w:w="108" w:type="dxa"/>
        </w:tblCellMar>
      </w:tblPr>
      <w:tblGrid>
        <w:gridCol w:w="49"/>
        <w:gridCol w:w="1193"/>
        <w:gridCol w:w="2622"/>
        <w:gridCol w:w="1309"/>
        <w:gridCol w:w="603"/>
        <w:gridCol w:w="1018"/>
        <w:gridCol w:w="1404"/>
        <w:gridCol w:w="1953"/>
        <w:gridCol w:w="183"/>
        <w:gridCol w:w="1209"/>
        <w:gridCol w:w="1284"/>
        <w:gridCol w:w="2472"/>
        <w:gridCol w:w="2169"/>
        <w:gridCol w:w="524"/>
        <w:gridCol w:w="823"/>
        <w:gridCol w:w="1961"/>
      </w:tblGrid>
      <w:tr>
        <w:tblPrEx>
          <w:tblCellMar>
            <w:top w:w="0" w:type="dxa"/>
            <w:left w:w="108" w:type="dxa"/>
            <w:bottom w:w="0" w:type="dxa"/>
            <w:right w:w="108" w:type="dxa"/>
          </w:tblCellMar>
        </w:tblPrEx>
        <w:trPr>
          <w:gridAfter w:val="2"/>
          <w:wAfter w:w="670" w:type="pct"/>
          <w:trHeight w:val="892" w:hRule="atLeast"/>
          <w:jc w:val="center"/>
        </w:trPr>
        <w:tc>
          <w:tcPr>
            <w:tcW w:w="4330" w:type="pct"/>
            <w:gridSpan w:val="14"/>
            <w:vAlign w:val="center"/>
          </w:tcPr>
          <w:p>
            <w:pPr>
              <w:spacing w:before="84"/>
              <w:ind w:right="2"/>
              <w:jc w:val="center"/>
              <w:rPr>
                <w:rFonts w:ascii="Times New Roman" w:hAnsi="Times New Roman"/>
                <w:b w:val="0"/>
                <w:color w:val="auto"/>
                <w:sz w:val="24"/>
                <w:szCs w:val="24"/>
              </w:rPr>
            </w:pPr>
            <w:bookmarkStart w:id="502" w:name="RANGE!A1:L18"/>
            <w:r>
              <w:rPr>
                <w:rFonts w:ascii="Times New Roman" w:hAnsi="Times New Roman"/>
                <w:b w:val="0"/>
                <w:color w:val="auto"/>
                <w:sz w:val="24"/>
                <w:szCs w:val="24"/>
              </w:rPr>
              <w:t>3.建设项目排水专项设计方案自评表（城镇公共道路配套排水工程）</w:t>
            </w:r>
            <w:bookmarkEnd w:id="502"/>
          </w:p>
        </w:tc>
      </w:tr>
      <w:tr>
        <w:tblPrEx>
          <w:tblCellMar>
            <w:top w:w="0" w:type="dxa"/>
            <w:left w:w="108" w:type="dxa"/>
            <w:bottom w:w="0" w:type="dxa"/>
            <w:right w:w="108" w:type="dxa"/>
          </w:tblCellMar>
        </w:tblPrEx>
        <w:trPr>
          <w:gridBefore w:val="1"/>
          <w:wBefore w:w="12" w:type="pct"/>
          <w:trHeight w:val="522" w:hRule="atLeast"/>
          <w:jc w:val="center"/>
        </w:trPr>
        <w:tc>
          <w:tcPr>
            <w:tcW w:w="918"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b w:val="0"/>
                <w:color w:val="auto"/>
                <w:sz w:val="24"/>
                <w:szCs w:val="24"/>
              </w:rPr>
            </w:pPr>
            <w:r>
              <w:rPr>
                <w:rFonts w:ascii="Times New Roman" w:hAnsi="Times New Roman"/>
                <w:b w:val="0"/>
                <w:color w:val="auto"/>
                <w:sz w:val="24"/>
                <w:szCs w:val="24"/>
              </w:rPr>
              <w:t>项目名称：</w:t>
            </w:r>
          </w:p>
        </w:tc>
        <w:tc>
          <w:tcPr>
            <w:tcW w:w="4070" w:type="pct"/>
            <w:gridSpan w:val="13"/>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b w:val="0"/>
                <w:color w:val="auto"/>
                <w:sz w:val="24"/>
                <w:szCs w:val="24"/>
              </w:rPr>
            </w:pPr>
            <w:r>
              <w:rPr>
                <w:rFonts w:hint="eastAsia" w:ascii="Times New Roman" w:hAnsi="Times New Roman"/>
                <w:b w:val="0"/>
                <w:color w:val="auto"/>
                <w:sz w:val="24"/>
                <w:szCs w:val="24"/>
              </w:rPr>
              <w:t>南沙全民文化体育综合体项目配套骨干道路（二十涌北路、规划纵三路）</w:t>
            </w:r>
          </w:p>
        </w:tc>
      </w:tr>
      <w:tr>
        <w:tblPrEx>
          <w:tblCellMar>
            <w:top w:w="0" w:type="dxa"/>
            <w:left w:w="108" w:type="dxa"/>
            <w:bottom w:w="0" w:type="dxa"/>
            <w:right w:w="108" w:type="dxa"/>
          </w:tblCellMar>
        </w:tblPrEx>
        <w:trPr>
          <w:gridBefore w:val="1"/>
          <w:wBefore w:w="12" w:type="pct"/>
          <w:trHeight w:val="586" w:hRule="atLeast"/>
          <w:jc w:val="center"/>
        </w:trPr>
        <w:tc>
          <w:tcPr>
            <w:tcW w:w="918"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b w:val="0"/>
                <w:color w:val="auto"/>
                <w:sz w:val="24"/>
                <w:szCs w:val="24"/>
              </w:rPr>
            </w:pPr>
            <w:r>
              <w:rPr>
                <w:rFonts w:ascii="Times New Roman" w:hAnsi="Times New Roman"/>
                <w:b w:val="0"/>
                <w:color w:val="auto"/>
                <w:sz w:val="24"/>
                <w:szCs w:val="24"/>
              </w:rPr>
              <w:t>建设单位（盖章）</w:t>
            </w:r>
          </w:p>
        </w:tc>
        <w:tc>
          <w:tcPr>
            <w:tcW w:w="4070" w:type="pct"/>
            <w:gridSpan w:val="13"/>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b w:val="0"/>
                <w:color w:val="auto"/>
                <w:sz w:val="24"/>
                <w:szCs w:val="24"/>
              </w:rPr>
            </w:pPr>
            <w:r>
              <w:rPr>
                <w:rFonts w:ascii="Times New Roman" w:hAnsi="Times New Roman"/>
                <w:b w:val="0"/>
                <w:color w:val="auto"/>
                <w:sz w:val="24"/>
                <w:szCs w:val="24"/>
              </w:rPr>
              <w:t>广州南沙经济技术开发区建设中心</w:t>
            </w:r>
          </w:p>
        </w:tc>
      </w:tr>
      <w:tr>
        <w:tblPrEx>
          <w:tblCellMar>
            <w:top w:w="0" w:type="dxa"/>
            <w:left w:w="108" w:type="dxa"/>
            <w:bottom w:w="0" w:type="dxa"/>
            <w:right w:w="108" w:type="dxa"/>
          </w:tblCellMar>
        </w:tblPrEx>
        <w:trPr>
          <w:gridBefore w:val="1"/>
          <w:wBefore w:w="12" w:type="pct"/>
          <w:trHeight w:val="586" w:hRule="atLeast"/>
          <w:jc w:val="center"/>
        </w:trPr>
        <w:tc>
          <w:tcPr>
            <w:tcW w:w="918"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b w:val="0"/>
                <w:color w:val="auto"/>
                <w:sz w:val="24"/>
                <w:szCs w:val="24"/>
              </w:rPr>
            </w:pPr>
            <w:r>
              <w:rPr>
                <w:rFonts w:ascii="Times New Roman" w:hAnsi="Times New Roman"/>
                <w:b w:val="0"/>
                <w:color w:val="auto"/>
                <w:sz w:val="24"/>
                <w:szCs w:val="24"/>
              </w:rPr>
              <w:t>工程概况</w:t>
            </w:r>
          </w:p>
        </w:tc>
        <w:tc>
          <w:tcPr>
            <w:tcW w:w="4070" w:type="pct"/>
            <w:gridSpan w:val="13"/>
            <w:tcBorders>
              <w:top w:val="single" w:color="000000" w:sz="8" w:space="0"/>
              <w:left w:val="single" w:color="000000" w:sz="8" w:space="0"/>
              <w:bottom w:val="single" w:color="000000" w:sz="8" w:space="0"/>
              <w:right w:val="single" w:color="000000" w:sz="8" w:space="0"/>
            </w:tcBorders>
            <w:vAlign w:val="center"/>
          </w:tcPr>
          <w:p>
            <w:pPr>
              <w:spacing w:line="300" w:lineRule="auto"/>
              <w:ind w:firstLine="480" w:firstLineChars="200"/>
              <w:rPr>
                <w:rFonts w:ascii="Times New Roman" w:hAnsi="Times New Roman"/>
                <w:b w:val="0"/>
                <w:color w:val="auto"/>
                <w:sz w:val="24"/>
                <w:szCs w:val="24"/>
              </w:rPr>
            </w:pPr>
            <w:r>
              <w:rPr>
                <w:rFonts w:ascii="Times New Roman" w:hAnsi="Times New Roman"/>
                <w:b w:val="0"/>
                <w:color w:val="000000" w:themeColor="text1"/>
                <w:sz w:val="24"/>
                <w:szCs w:val="24"/>
                <w14:textFill>
                  <w14:solidFill>
                    <w14:schemeClr w14:val="tx1"/>
                  </w14:solidFill>
                </w14:textFill>
              </w:rPr>
              <w:t>本项目位于南沙新区万顷沙镇，北至二十涌，南至二十一涌，现状以海域和鱼塘为主，项目周边有南沙湿地、百万葵园、水鸟世界生态园等景观湿地，生态基底条件出色。建设内容主要为市政基础配套设施。包含</w:t>
            </w:r>
            <w:r>
              <w:rPr>
                <w:rFonts w:hint="eastAsia" w:ascii="Times New Roman" w:hAnsi="Times New Roman"/>
                <w:b w:val="0"/>
                <w:color w:val="000000" w:themeColor="text1"/>
                <w:sz w:val="24"/>
                <w:szCs w:val="24"/>
                <w14:textFill>
                  <w14:solidFill>
                    <w14:schemeClr w14:val="tx1"/>
                  </w14:solidFill>
                </w14:textFill>
              </w:rPr>
              <w:t>2</w:t>
            </w:r>
            <w:r>
              <w:rPr>
                <w:rFonts w:ascii="Times New Roman" w:hAnsi="Times New Roman"/>
                <w:b w:val="0"/>
                <w:color w:val="000000" w:themeColor="text1"/>
                <w:sz w:val="24"/>
                <w:szCs w:val="24"/>
                <w14:textFill>
                  <w14:solidFill>
                    <w14:schemeClr w14:val="tx1"/>
                  </w14:solidFill>
                </w14:textFill>
              </w:rPr>
              <w:t>条道路，均为新建道路，其中</w:t>
            </w:r>
            <w:r>
              <w:rPr>
                <w:rFonts w:hint="eastAsia" w:ascii="Times New Roman" w:hAnsi="Times New Roman"/>
                <w:b w:val="0"/>
                <w:color w:val="000000" w:themeColor="text1"/>
                <w:sz w:val="24"/>
                <w:szCs w:val="24"/>
                <w14:textFill>
                  <w14:solidFill>
                    <w14:schemeClr w14:val="tx1"/>
                  </w14:solidFill>
                </w14:textFill>
              </w:rPr>
              <w:t>1</w:t>
            </w:r>
            <w:r>
              <w:rPr>
                <w:rFonts w:ascii="Times New Roman" w:hAnsi="Times New Roman"/>
                <w:b w:val="0"/>
                <w:color w:val="000000" w:themeColor="text1"/>
                <w:sz w:val="24"/>
                <w:szCs w:val="24"/>
                <w14:textFill>
                  <w14:solidFill>
                    <w14:schemeClr w14:val="tx1"/>
                  </w14:solidFill>
                </w14:textFill>
              </w:rPr>
              <w:t>条主干路（二十涌北路），</w:t>
            </w:r>
            <w:r>
              <w:rPr>
                <w:rFonts w:hint="eastAsia" w:ascii="Times New Roman" w:hAnsi="Times New Roman"/>
                <w:b w:val="0"/>
                <w:color w:val="000000" w:themeColor="text1"/>
                <w:sz w:val="24"/>
                <w:szCs w:val="24"/>
                <w14:textFill>
                  <w14:solidFill>
                    <w14:schemeClr w14:val="tx1"/>
                  </w14:solidFill>
                </w14:textFill>
              </w:rPr>
              <w:t>1</w:t>
            </w:r>
            <w:r>
              <w:rPr>
                <w:rFonts w:ascii="Times New Roman" w:hAnsi="Times New Roman"/>
                <w:b w:val="0"/>
                <w:color w:val="000000" w:themeColor="text1"/>
                <w:sz w:val="24"/>
                <w:szCs w:val="24"/>
                <w14:textFill>
                  <w14:solidFill>
                    <w14:schemeClr w14:val="tx1"/>
                  </w14:solidFill>
                </w14:textFill>
              </w:rPr>
              <w:t>条次干路（规划纵三路），道路总长约</w:t>
            </w:r>
            <w:r>
              <w:rPr>
                <w:rFonts w:hint="eastAsia" w:ascii="Times New Roman" w:hAnsi="Times New Roman"/>
                <w:b w:val="0"/>
                <w:color w:val="000000" w:themeColor="text1"/>
                <w:sz w:val="24"/>
                <w:szCs w:val="24"/>
                <w14:textFill>
                  <w14:solidFill>
                    <w14:schemeClr w14:val="tx1"/>
                  </w14:solidFill>
                </w14:textFill>
              </w:rPr>
              <w:t>3337</w:t>
            </w:r>
            <w:r>
              <w:rPr>
                <w:rFonts w:ascii="Times New Roman" w:hAnsi="Times New Roman"/>
                <w:b w:val="0"/>
                <w:color w:val="000000" w:themeColor="text1"/>
                <w:sz w:val="24"/>
                <w:szCs w:val="24"/>
                <w14:textFill>
                  <w14:solidFill>
                    <w14:schemeClr w14:val="tx1"/>
                  </w14:solidFill>
                </w14:textFill>
              </w:rPr>
              <w:t>m。</w:t>
            </w:r>
          </w:p>
        </w:tc>
      </w:tr>
      <w:tr>
        <w:tblPrEx>
          <w:tblCellMar>
            <w:top w:w="0" w:type="dxa"/>
            <w:left w:w="108" w:type="dxa"/>
            <w:bottom w:w="0" w:type="dxa"/>
            <w:right w:w="108" w:type="dxa"/>
          </w:tblCellMar>
        </w:tblPrEx>
        <w:trPr>
          <w:gridBefore w:val="1"/>
          <w:wBefore w:w="12" w:type="pct"/>
          <w:trHeight w:val="507" w:hRule="atLeast"/>
          <w:jc w:val="center"/>
        </w:trPr>
        <w:tc>
          <w:tcPr>
            <w:tcW w:w="918"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b w:val="0"/>
                <w:color w:val="auto"/>
                <w:sz w:val="24"/>
                <w:szCs w:val="24"/>
              </w:rPr>
            </w:pPr>
            <w:r>
              <w:rPr>
                <w:rFonts w:ascii="Times New Roman" w:hAnsi="Times New Roman"/>
                <w:b w:val="0"/>
                <w:color w:val="auto"/>
                <w:sz w:val="24"/>
                <w:szCs w:val="24"/>
              </w:rPr>
              <w:t>排水体制</w:t>
            </w:r>
          </w:p>
        </w:tc>
        <w:tc>
          <w:tcPr>
            <w:tcW w:w="4070" w:type="pct"/>
            <w:gridSpan w:val="13"/>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b w:val="0"/>
                <w:color w:val="auto"/>
                <w:sz w:val="24"/>
                <w:szCs w:val="24"/>
              </w:rPr>
            </w:pPr>
            <w:r>
              <w:rPr>
                <w:rFonts w:ascii="Times New Roman" w:hAnsi="Times New Roman"/>
                <w:b w:val="0"/>
                <w:color w:val="auto"/>
                <w:sz w:val="24"/>
                <w:szCs w:val="24"/>
              </w:rPr>
              <w:t>雨污分流</w:t>
            </w:r>
          </w:p>
        </w:tc>
      </w:tr>
      <w:tr>
        <w:tblPrEx>
          <w:tblCellMar>
            <w:top w:w="0" w:type="dxa"/>
            <w:left w:w="108" w:type="dxa"/>
            <w:bottom w:w="0" w:type="dxa"/>
            <w:right w:w="108" w:type="dxa"/>
          </w:tblCellMar>
        </w:tblPrEx>
        <w:trPr>
          <w:gridBefore w:val="1"/>
          <w:wBefore w:w="12" w:type="pct"/>
          <w:trHeight w:val="1064" w:hRule="atLeast"/>
          <w:jc w:val="center"/>
        </w:trPr>
        <w:tc>
          <w:tcPr>
            <w:tcW w:w="287" w:type="pct"/>
            <w:vMerge w:val="restart"/>
            <w:tcBorders>
              <w:top w:val="single" w:color="auto" w:sz="4" w:space="0"/>
              <w:left w:val="single" w:color="auto" w:sz="4" w:space="0"/>
              <w:right w:val="single" w:color="auto" w:sz="4" w:space="0"/>
            </w:tcBorders>
            <w:vAlign w:val="center"/>
          </w:tcPr>
          <w:p>
            <w:pPr>
              <w:widowControl/>
              <w:jc w:val="center"/>
              <w:rPr>
                <w:rFonts w:ascii="Times New Roman" w:hAnsi="Times New Roman"/>
                <w:b w:val="0"/>
                <w:color w:val="auto"/>
                <w:sz w:val="24"/>
                <w:szCs w:val="24"/>
              </w:rPr>
            </w:pPr>
            <w:r>
              <w:rPr>
                <w:rFonts w:ascii="Times New Roman" w:hAnsi="Times New Roman"/>
                <w:b w:val="0"/>
                <w:color w:val="auto"/>
                <w:sz w:val="24"/>
                <w:szCs w:val="24"/>
              </w:rPr>
              <w:t>污水管道设计</w:t>
            </w:r>
          </w:p>
        </w:tc>
        <w:tc>
          <w:tcPr>
            <w:tcW w:w="631" w:type="pct"/>
            <w:tcBorders>
              <w:top w:val="single" w:color="000000" w:sz="8" w:space="0"/>
              <w:left w:val="single" w:color="auto" w:sz="4" w:space="0"/>
              <w:bottom w:val="single" w:color="000000" w:sz="8" w:space="0"/>
              <w:right w:val="single" w:color="000000" w:sz="8" w:space="0"/>
            </w:tcBorders>
            <w:vAlign w:val="center"/>
          </w:tcPr>
          <w:p>
            <w:pPr>
              <w:widowControl/>
              <w:jc w:val="center"/>
              <w:rPr>
                <w:rFonts w:ascii="Times New Roman" w:hAnsi="Times New Roman"/>
                <w:b w:val="0"/>
                <w:color w:val="auto"/>
                <w:sz w:val="24"/>
                <w:szCs w:val="24"/>
              </w:rPr>
            </w:pPr>
            <w:r>
              <w:rPr>
                <w:rFonts w:ascii="Times New Roman" w:hAnsi="Times New Roman"/>
                <w:b w:val="0"/>
                <w:color w:val="auto"/>
                <w:sz w:val="24"/>
                <w:szCs w:val="24"/>
              </w:rPr>
              <w:t>拟建管道位置</w:t>
            </w:r>
          </w:p>
        </w:tc>
        <w:tc>
          <w:tcPr>
            <w:tcW w:w="460"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b w:val="0"/>
                <w:color w:val="auto"/>
                <w:sz w:val="24"/>
                <w:szCs w:val="24"/>
              </w:rPr>
            </w:pPr>
            <w:r>
              <w:rPr>
                <w:rFonts w:ascii="Times New Roman" w:hAnsi="Times New Roman"/>
                <w:b w:val="0"/>
                <w:color w:val="auto"/>
                <w:sz w:val="24"/>
                <w:szCs w:val="24"/>
              </w:rPr>
              <w:t>污水量取值指标（L/d.ha)</w:t>
            </w:r>
          </w:p>
        </w:tc>
        <w:tc>
          <w:tcPr>
            <w:tcW w:w="245"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b w:val="0"/>
                <w:color w:val="auto"/>
                <w:sz w:val="24"/>
                <w:szCs w:val="24"/>
              </w:rPr>
            </w:pPr>
            <w:r>
              <w:rPr>
                <w:rFonts w:ascii="Times New Roman" w:hAnsi="Times New Roman"/>
                <w:b w:val="0"/>
                <w:color w:val="auto"/>
                <w:sz w:val="24"/>
                <w:szCs w:val="24"/>
              </w:rPr>
              <w:t>纳污范围(ha)</w:t>
            </w:r>
          </w:p>
        </w:tc>
        <w:tc>
          <w:tcPr>
            <w:tcW w:w="338"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b w:val="0"/>
                <w:color w:val="auto"/>
                <w:sz w:val="24"/>
                <w:szCs w:val="24"/>
              </w:rPr>
            </w:pPr>
            <w:r>
              <w:rPr>
                <w:rFonts w:ascii="Times New Roman" w:hAnsi="Times New Roman"/>
                <w:b w:val="0"/>
                <w:color w:val="auto"/>
                <w:sz w:val="24"/>
                <w:szCs w:val="24"/>
              </w:rPr>
              <w:t>预测污水量(L/s)</w:t>
            </w:r>
          </w:p>
        </w:tc>
        <w:tc>
          <w:tcPr>
            <w:tcW w:w="470"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b w:val="0"/>
                <w:color w:val="auto"/>
                <w:sz w:val="24"/>
                <w:szCs w:val="24"/>
              </w:rPr>
            </w:pPr>
            <w:r>
              <w:rPr>
                <w:rFonts w:ascii="Times New Roman" w:hAnsi="Times New Roman"/>
                <w:b w:val="0"/>
                <w:color w:val="auto"/>
                <w:sz w:val="24"/>
                <w:szCs w:val="24"/>
              </w:rPr>
              <w:t>管径</w:t>
            </w:r>
          </w:p>
        </w:tc>
        <w:tc>
          <w:tcPr>
            <w:tcW w:w="335"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b w:val="0"/>
                <w:color w:val="auto"/>
                <w:sz w:val="24"/>
                <w:szCs w:val="24"/>
              </w:rPr>
            </w:pPr>
            <w:r>
              <w:rPr>
                <w:rFonts w:ascii="Times New Roman" w:hAnsi="Times New Roman"/>
                <w:b w:val="0"/>
                <w:color w:val="auto"/>
                <w:sz w:val="24"/>
                <w:szCs w:val="24"/>
              </w:rPr>
              <w:t>管道设计坡度</w:t>
            </w:r>
          </w:p>
        </w:tc>
        <w:tc>
          <w:tcPr>
            <w:tcW w:w="309"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b w:val="0"/>
                <w:color w:val="auto"/>
                <w:sz w:val="24"/>
                <w:szCs w:val="24"/>
              </w:rPr>
            </w:pPr>
            <w:r>
              <w:rPr>
                <w:rFonts w:ascii="Times New Roman" w:hAnsi="Times New Roman"/>
                <w:b w:val="0"/>
                <w:color w:val="auto"/>
                <w:sz w:val="24"/>
                <w:szCs w:val="24"/>
              </w:rPr>
              <w:t>设计流速(m/s)</w:t>
            </w:r>
          </w:p>
        </w:tc>
        <w:tc>
          <w:tcPr>
            <w:tcW w:w="1117"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b w:val="0"/>
                <w:color w:val="auto"/>
                <w:sz w:val="24"/>
                <w:szCs w:val="24"/>
              </w:rPr>
            </w:pPr>
            <w:r>
              <w:rPr>
                <w:rFonts w:ascii="Times New Roman" w:hAnsi="Times New Roman"/>
                <w:b w:val="0"/>
                <w:color w:val="auto"/>
                <w:sz w:val="24"/>
                <w:szCs w:val="24"/>
              </w:rPr>
              <w:t>管材</w:t>
            </w:r>
          </w:p>
        </w:tc>
        <w:tc>
          <w:tcPr>
            <w:tcW w:w="324"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b w:val="0"/>
                <w:color w:val="auto"/>
                <w:sz w:val="24"/>
                <w:szCs w:val="24"/>
              </w:rPr>
            </w:pPr>
            <w:r>
              <w:rPr>
                <w:rFonts w:ascii="Times New Roman" w:hAnsi="Times New Roman"/>
                <w:b w:val="0"/>
                <w:color w:val="auto"/>
                <w:sz w:val="24"/>
                <w:szCs w:val="24"/>
              </w:rPr>
              <w:t>拟接驳下游管道管径</w:t>
            </w:r>
          </w:p>
        </w:tc>
        <w:tc>
          <w:tcPr>
            <w:tcW w:w="472"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b w:val="0"/>
                <w:color w:val="auto"/>
                <w:sz w:val="24"/>
                <w:szCs w:val="24"/>
              </w:rPr>
            </w:pPr>
            <w:r>
              <w:rPr>
                <w:rFonts w:ascii="Times New Roman" w:hAnsi="Times New Roman"/>
                <w:b w:val="0"/>
                <w:color w:val="auto"/>
                <w:sz w:val="24"/>
                <w:szCs w:val="24"/>
              </w:rPr>
              <w:t>备注</w:t>
            </w:r>
          </w:p>
        </w:tc>
      </w:tr>
      <w:tr>
        <w:tblPrEx>
          <w:tblCellMar>
            <w:top w:w="0" w:type="dxa"/>
            <w:left w:w="108" w:type="dxa"/>
            <w:bottom w:w="0" w:type="dxa"/>
            <w:right w:w="108" w:type="dxa"/>
          </w:tblCellMar>
        </w:tblPrEx>
        <w:trPr>
          <w:gridBefore w:val="1"/>
          <w:wBefore w:w="12" w:type="pct"/>
          <w:trHeight w:val="732" w:hRule="atLeast"/>
          <w:jc w:val="center"/>
        </w:trPr>
        <w:tc>
          <w:tcPr>
            <w:tcW w:w="287" w:type="pct"/>
            <w:vMerge w:val="continue"/>
            <w:tcBorders>
              <w:left w:val="single" w:color="auto" w:sz="4" w:space="0"/>
              <w:right w:val="single" w:color="auto" w:sz="4" w:space="0"/>
            </w:tcBorders>
            <w:vAlign w:val="center"/>
          </w:tcPr>
          <w:p>
            <w:pPr>
              <w:widowControl/>
              <w:jc w:val="center"/>
              <w:rPr>
                <w:rFonts w:ascii="Times New Roman" w:hAnsi="Times New Roman"/>
                <w:b w:val="0"/>
                <w:color w:val="auto"/>
                <w:sz w:val="24"/>
                <w:szCs w:val="24"/>
              </w:rPr>
            </w:pPr>
          </w:p>
        </w:tc>
        <w:tc>
          <w:tcPr>
            <w:tcW w:w="631" w:type="pct"/>
            <w:tcBorders>
              <w:top w:val="single" w:color="000000" w:sz="8" w:space="0"/>
              <w:left w:val="single" w:color="auto" w:sz="4" w:space="0"/>
              <w:bottom w:val="single" w:color="000000" w:sz="8" w:space="0"/>
              <w:right w:val="single" w:color="000000" w:sz="8" w:space="0"/>
            </w:tcBorders>
            <w:vAlign w:val="center"/>
          </w:tcPr>
          <w:p>
            <w:pPr>
              <w:widowControl/>
              <w:jc w:val="center"/>
              <w:rPr>
                <w:rFonts w:ascii="Times New Roman" w:hAnsi="Times New Roman"/>
                <w:b w:val="0"/>
                <w:bCs/>
                <w:color w:val="auto"/>
                <w:sz w:val="24"/>
                <w:szCs w:val="24"/>
                <w:highlight w:val="yellow"/>
              </w:rPr>
            </w:pPr>
            <w:r>
              <w:rPr>
                <w:rFonts w:hint="eastAsia"/>
                <w:b w:val="0"/>
                <w:bCs/>
                <w:color w:val="auto"/>
                <w:highlight w:val="yellow"/>
              </w:rPr>
              <w:t>二十涌北路</w:t>
            </w:r>
          </w:p>
        </w:tc>
        <w:tc>
          <w:tcPr>
            <w:tcW w:w="460"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textAlignment w:val="center"/>
              <w:rPr>
                <w:rFonts w:ascii="Times New Roman" w:hAnsi="Times New Roman"/>
                <w:b w:val="0"/>
                <w:bCs/>
                <w:color w:val="auto"/>
                <w:sz w:val="24"/>
                <w:szCs w:val="24"/>
                <w:highlight w:val="yellow"/>
              </w:rPr>
            </w:pPr>
            <w:r>
              <w:rPr>
                <w:rFonts w:ascii="Times New Roman" w:hAnsi="Times New Roman"/>
                <w:b w:val="0"/>
                <w:bCs/>
                <w:color w:val="auto"/>
                <w:sz w:val="24"/>
                <w:szCs w:val="24"/>
                <w:highlight w:val="yellow"/>
              </w:rPr>
              <w:t>100</w:t>
            </w:r>
          </w:p>
        </w:tc>
        <w:tc>
          <w:tcPr>
            <w:tcW w:w="245" w:type="pct"/>
            <w:tcBorders>
              <w:top w:val="single" w:color="000000" w:sz="8" w:space="0"/>
              <w:left w:val="single" w:color="000000" w:sz="8" w:space="0"/>
              <w:bottom w:val="single" w:color="000000" w:sz="8" w:space="0"/>
              <w:right w:val="single" w:color="000000" w:sz="8" w:space="0"/>
            </w:tcBorders>
            <w:vAlign w:val="center"/>
          </w:tcPr>
          <w:p>
            <w:pPr>
              <w:widowControl/>
              <w:jc w:val="center"/>
              <w:textAlignment w:val="center"/>
              <w:rPr>
                <w:rFonts w:ascii="Times New Roman" w:hAnsi="Times New Roman"/>
                <w:b w:val="0"/>
                <w:bCs/>
                <w:color w:val="auto"/>
                <w:sz w:val="24"/>
                <w:szCs w:val="24"/>
                <w:highlight w:val="yellow"/>
              </w:rPr>
            </w:pPr>
            <w:r>
              <w:rPr>
                <w:rFonts w:ascii="Times New Roman" w:hAnsi="Times New Roman"/>
                <w:b w:val="0"/>
                <w:bCs/>
                <w:color w:val="auto"/>
                <w:highlight w:val="yellow"/>
              </w:rPr>
              <w:t>23.1</w:t>
            </w:r>
          </w:p>
        </w:tc>
        <w:tc>
          <w:tcPr>
            <w:tcW w:w="338" w:type="pct"/>
            <w:tcBorders>
              <w:top w:val="single" w:color="000000" w:sz="8" w:space="0"/>
              <w:left w:val="single" w:color="000000" w:sz="8" w:space="0"/>
              <w:bottom w:val="single" w:color="000000" w:sz="8" w:space="0"/>
              <w:right w:val="single" w:color="000000" w:sz="8" w:space="0"/>
            </w:tcBorders>
            <w:vAlign w:val="center"/>
          </w:tcPr>
          <w:p>
            <w:pPr>
              <w:widowControl/>
              <w:jc w:val="center"/>
              <w:textAlignment w:val="center"/>
              <w:rPr>
                <w:rFonts w:ascii="Times New Roman" w:hAnsi="Times New Roman"/>
                <w:b w:val="0"/>
                <w:bCs/>
                <w:color w:val="auto"/>
                <w:sz w:val="24"/>
                <w:szCs w:val="24"/>
                <w:highlight w:val="yellow"/>
              </w:rPr>
            </w:pPr>
            <w:r>
              <w:rPr>
                <w:rFonts w:ascii="Times New Roman" w:hAnsi="Times New Roman"/>
                <w:b w:val="0"/>
                <w:bCs/>
                <w:color w:val="auto"/>
                <w:highlight w:val="yellow"/>
              </w:rPr>
              <w:t xml:space="preserve">51.50 </w:t>
            </w:r>
          </w:p>
        </w:tc>
        <w:tc>
          <w:tcPr>
            <w:tcW w:w="470" w:type="pct"/>
            <w:tcBorders>
              <w:top w:val="single" w:color="000000" w:sz="8" w:space="0"/>
              <w:left w:val="single" w:color="000000" w:sz="8" w:space="0"/>
              <w:bottom w:val="single" w:color="000000" w:sz="8" w:space="0"/>
              <w:right w:val="single" w:color="000000" w:sz="8" w:space="0"/>
            </w:tcBorders>
            <w:vAlign w:val="center"/>
          </w:tcPr>
          <w:p>
            <w:pPr>
              <w:widowControl/>
              <w:jc w:val="center"/>
              <w:textAlignment w:val="center"/>
              <w:rPr>
                <w:rFonts w:ascii="Times New Roman" w:hAnsi="Times New Roman"/>
                <w:b w:val="0"/>
                <w:bCs/>
                <w:color w:val="auto"/>
                <w:sz w:val="24"/>
                <w:szCs w:val="24"/>
                <w:highlight w:val="yellow"/>
              </w:rPr>
            </w:pPr>
            <w:r>
              <w:rPr>
                <w:rFonts w:ascii="Times New Roman" w:hAnsi="Times New Roman"/>
                <w:b w:val="0"/>
                <w:bCs/>
                <w:color w:val="auto"/>
                <w:highlight w:val="yellow"/>
              </w:rPr>
              <w:t xml:space="preserve">1000 </w:t>
            </w:r>
          </w:p>
        </w:tc>
        <w:tc>
          <w:tcPr>
            <w:tcW w:w="335"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textAlignment w:val="center"/>
              <w:rPr>
                <w:rFonts w:ascii="Times New Roman" w:hAnsi="Times New Roman"/>
                <w:b w:val="0"/>
                <w:bCs/>
                <w:color w:val="auto"/>
                <w:sz w:val="24"/>
                <w:szCs w:val="24"/>
                <w:highlight w:val="yellow"/>
              </w:rPr>
            </w:pPr>
            <w:r>
              <w:rPr>
                <w:rFonts w:ascii="Times New Roman" w:hAnsi="Times New Roman"/>
                <w:b w:val="0"/>
                <w:bCs/>
                <w:color w:val="auto"/>
                <w:sz w:val="24"/>
                <w:szCs w:val="24"/>
                <w:highlight w:val="yellow"/>
              </w:rPr>
              <w:t>1</w:t>
            </w:r>
          </w:p>
        </w:tc>
        <w:tc>
          <w:tcPr>
            <w:tcW w:w="309" w:type="pct"/>
            <w:tcBorders>
              <w:top w:val="single" w:color="000000" w:sz="8" w:space="0"/>
              <w:left w:val="single" w:color="000000" w:sz="8" w:space="0"/>
              <w:bottom w:val="single" w:color="000000" w:sz="8" w:space="0"/>
              <w:right w:val="single" w:color="000000" w:sz="8" w:space="0"/>
            </w:tcBorders>
            <w:vAlign w:val="center"/>
          </w:tcPr>
          <w:p>
            <w:pPr>
              <w:widowControl/>
              <w:jc w:val="center"/>
              <w:textAlignment w:val="center"/>
              <w:rPr>
                <w:rFonts w:ascii="Times New Roman" w:hAnsi="Times New Roman"/>
                <w:b w:val="0"/>
                <w:bCs/>
                <w:color w:val="auto"/>
                <w:sz w:val="24"/>
                <w:szCs w:val="24"/>
                <w:highlight w:val="yellow"/>
              </w:rPr>
            </w:pPr>
            <w:r>
              <w:rPr>
                <w:rFonts w:ascii="Times New Roman" w:hAnsi="Times New Roman"/>
                <w:b w:val="0"/>
                <w:bCs/>
                <w:color w:val="auto"/>
                <w:highlight w:val="yellow"/>
              </w:rPr>
              <w:t xml:space="preserve">1.17 </w:t>
            </w:r>
          </w:p>
        </w:tc>
        <w:tc>
          <w:tcPr>
            <w:tcW w:w="1117"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b w:val="0"/>
                <w:bCs/>
                <w:color w:val="auto"/>
                <w:sz w:val="24"/>
                <w:szCs w:val="24"/>
                <w:highlight w:val="yellow"/>
              </w:rPr>
            </w:pPr>
            <w:r>
              <w:rPr>
                <w:rFonts w:ascii="Times New Roman" w:hAnsi="Times New Roman"/>
                <w:b w:val="0"/>
                <w:bCs/>
                <w:color w:val="auto"/>
                <w:sz w:val="24"/>
                <w:szCs w:val="24"/>
                <w:highlight w:val="yellow"/>
              </w:rPr>
              <w:t>球墨铸铁管</w:t>
            </w:r>
          </w:p>
        </w:tc>
        <w:tc>
          <w:tcPr>
            <w:tcW w:w="324"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b w:val="0"/>
                <w:bCs/>
                <w:color w:val="auto"/>
                <w:sz w:val="24"/>
                <w:szCs w:val="24"/>
                <w:highlight w:val="yellow"/>
              </w:rPr>
            </w:pPr>
            <w:r>
              <w:rPr>
                <w:rFonts w:ascii="Times New Roman" w:hAnsi="Times New Roman"/>
                <w:b w:val="0"/>
                <w:bCs/>
                <w:color w:val="auto"/>
                <w:sz w:val="24"/>
                <w:szCs w:val="24"/>
                <w:highlight w:val="yellow"/>
              </w:rPr>
              <w:t>DN1000</w:t>
            </w:r>
          </w:p>
        </w:tc>
        <w:tc>
          <w:tcPr>
            <w:tcW w:w="472"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b w:val="0"/>
                <w:bCs/>
                <w:color w:val="auto"/>
                <w:sz w:val="24"/>
                <w:szCs w:val="24"/>
                <w:highlight w:val="yellow"/>
              </w:rPr>
            </w:pPr>
            <w:r>
              <w:rPr>
                <w:rFonts w:ascii="Times New Roman" w:hAnsi="Times New Roman"/>
                <w:b w:val="0"/>
                <w:bCs/>
                <w:color w:val="auto"/>
                <w:sz w:val="24"/>
                <w:szCs w:val="24"/>
                <w:highlight w:val="yellow"/>
              </w:rPr>
              <w:t>接入万环西路规划污水管</w:t>
            </w:r>
          </w:p>
        </w:tc>
      </w:tr>
      <w:tr>
        <w:tblPrEx>
          <w:tblCellMar>
            <w:top w:w="0" w:type="dxa"/>
            <w:left w:w="108" w:type="dxa"/>
            <w:bottom w:w="0" w:type="dxa"/>
            <w:right w:w="108" w:type="dxa"/>
          </w:tblCellMar>
        </w:tblPrEx>
        <w:trPr>
          <w:gridBefore w:val="1"/>
          <w:wBefore w:w="12" w:type="pct"/>
          <w:trHeight w:val="732" w:hRule="atLeast"/>
          <w:jc w:val="center"/>
        </w:trPr>
        <w:tc>
          <w:tcPr>
            <w:tcW w:w="287" w:type="pct"/>
            <w:vMerge w:val="continue"/>
            <w:tcBorders>
              <w:left w:val="single" w:color="auto" w:sz="4" w:space="0"/>
              <w:bottom w:val="single" w:color="auto" w:sz="4" w:space="0"/>
              <w:right w:val="single" w:color="auto" w:sz="4" w:space="0"/>
            </w:tcBorders>
            <w:vAlign w:val="center"/>
          </w:tcPr>
          <w:p>
            <w:pPr>
              <w:widowControl/>
              <w:jc w:val="center"/>
              <w:rPr>
                <w:rFonts w:ascii="Times New Roman" w:hAnsi="Times New Roman"/>
                <w:b w:val="0"/>
                <w:color w:val="auto"/>
                <w:sz w:val="24"/>
                <w:szCs w:val="24"/>
              </w:rPr>
            </w:pPr>
          </w:p>
        </w:tc>
        <w:tc>
          <w:tcPr>
            <w:tcW w:w="631" w:type="pct"/>
            <w:tcBorders>
              <w:top w:val="single" w:color="000000" w:sz="8" w:space="0"/>
              <w:left w:val="single" w:color="auto" w:sz="4" w:space="0"/>
              <w:bottom w:val="single" w:color="000000" w:sz="8" w:space="0"/>
              <w:right w:val="single" w:color="000000" w:sz="8" w:space="0"/>
            </w:tcBorders>
            <w:vAlign w:val="center"/>
          </w:tcPr>
          <w:p>
            <w:pPr>
              <w:widowControl/>
              <w:jc w:val="center"/>
              <w:rPr>
                <w:rFonts w:ascii="Times New Roman" w:hAnsi="Times New Roman"/>
                <w:b w:val="0"/>
                <w:bCs/>
                <w:color w:val="auto"/>
                <w:sz w:val="24"/>
                <w:szCs w:val="24"/>
                <w:highlight w:val="yellow"/>
              </w:rPr>
            </w:pPr>
            <w:r>
              <w:rPr>
                <w:rFonts w:hint="eastAsia"/>
                <w:b w:val="0"/>
                <w:bCs/>
                <w:color w:val="auto"/>
                <w:highlight w:val="yellow"/>
              </w:rPr>
              <w:t>规划纵三路</w:t>
            </w:r>
          </w:p>
        </w:tc>
        <w:tc>
          <w:tcPr>
            <w:tcW w:w="460"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textAlignment w:val="center"/>
              <w:rPr>
                <w:rFonts w:ascii="Times New Roman" w:hAnsi="Times New Roman"/>
                <w:b w:val="0"/>
                <w:bCs/>
                <w:color w:val="auto"/>
                <w:sz w:val="24"/>
                <w:szCs w:val="24"/>
                <w:highlight w:val="yellow"/>
              </w:rPr>
            </w:pPr>
            <w:r>
              <w:rPr>
                <w:rFonts w:ascii="Times New Roman" w:hAnsi="Times New Roman"/>
                <w:b w:val="0"/>
                <w:bCs/>
                <w:color w:val="auto"/>
                <w:sz w:val="24"/>
                <w:szCs w:val="24"/>
                <w:highlight w:val="yellow"/>
              </w:rPr>
              <w:t>100</w:t>
            </w:r>
          </w:p>
        </w:tc>
        <w:tc>
          <w:tcPr>
            <w:tcW w:w="245" w:type="pct"/>
            <w:tcBorders>
              <w:top w:val="single" w:color="000000" w:sz="8" w:space="0"/>
              <w:left w:val="single" w:color="000000" w:sz="8" w:space="0"/>
              <w:bottom w:val="single" w:color="000000" w:sz="8" w:space="0"/>
              <w:right w:val="single" w:color="000000" w:sz="8" w:space="0"/>
            </w:tcBorders>
            <w:vAlign w:val="center"/>
          </w:tcPr>
          <w:p>
            <w:pPr>
              <w:widowControl/>
              <w:jc w:val="center"/>
              <w:textAlignment w:val="center"/>
              <w:rPr>
                <w:rFonts w:ascii="Times New Roman" w:hAnsi="Times New Roman"/>
                <w:b w:val="0"/>
                <w:bCs/>
                <w:color w:val="auto"/>
                <w:sz w:val="24"/>
                <w:szCs w:val="24"/>
                <w:highlight w:val="yellow"/>
              </w:rPr>
            </w:pPr>
            <w:r>
              <w:rPr>
                <w:rFonts w:ascii="Times New Roman" w:hAnsi="Times New Roman"/>
                <w:b w:val="0"/>
                <w:bCs/>
                <w:color w:val="auto"/>
                <w:highlight w:val="yellow"/>
              </w:rPr>
              <w:t>28.3</w:t>
            </w:r>
          </w:p>
        </w:tc>
        <w:tc>
          <w:tcPr>
            <w:tcW w:w="338" w:type="pct"/>
            <w:tcBorders>
              <w:top w:val="single" w:color="000000" w:sz="8" w:space="0"/>
              <w:left w:val="single" w:color="000000" w:sz="8" w:space="0"/>
              <w:bottom w:val="single" w:color="000000" w:sz="8" w:space="0"/>
              <w:right w:val="single" w:color="000000" w:sz="8" w:space="0"/>
            </w:tcBorders>
            <w:vAlign w:val="center"/>
          </w:tcPr>
          <w:p>
            <w:pPr>
              <w:widowControl/>
              <w:jc w:val="center"/>
              <w:textAlignment w:val="center"/>
              <w:rPr>
                <w:rFonts w:ascii="Times New Roman" w:hAnsi="Times New Roman"/>
                <w:b w:val="0"/>
                <w:bCs/>
                <w:color w:val="auto"/>
                <w:sz w:val="24"/>
                <w:szCs w:val="24"/>
                <w:highlight w:val="yellow"/>
              </w:rPr>
            </w:pPr>
            <w:r>
              <w:rPr>
                <w:rFonts w:ascii="Times New Roman" w:hAnsi="Times New Roman"/>
                <w:b w:val="0"/>
                <w:bCs/>
                <w:color w:val="auto"/>
                <w:highlight w:val="yellow"/>
              </w:rPr>
              <w:t xml:space="preserve">63.45 </w:t>
            </w:r>
          </w:p>
        </w:tc>
        <w:tc>
          <w:tcPr>
            <w:tcW w:w="470" w:type="pct"/>
            <w:tcBorders>
              <w:top w:val="single" w:color="000000" w:sz="8" w:space="0"/>
              <w:left w:val="single" w:color="000000" w:sz="8" w:space="0"/>
              <w:bottom w:val="single" w:color="000000" w:sz="8" w:space="0"/>
              <w:right w:val="single" w:color="000000" w:sz="8" w:space="0"/>
            </w:tcBorders>
            <w:vAlign w:val="center"/>
          </w:tcPr>
          <w:p>
            <w:pPr>
              <w:widowControl/>
              <w:jc w:val="center"/>
              <w:textAlignment w:val="center"/>
              <w:rPr>
                <w:rFonts w:ascii="Times New Roman" w:hAnsi="Times New Roman"/>
                <w:b w:val="0"/>
                <w:bCs/>
                <w:color w:val="auto"/>
                <w:sz w:val="24"/>
                <w:szCs w:val="24"/>
                <w:highlight w:val="yellow"/>
              </w:rPr>
            </w:pPr>
            <w:r>
              <w:rPr>
                <w:rFonts w:ascii="Times New Roman" w:hAnsi="Times New Roman"/>
                <w:b w:val="0"/>
                <w:bCs/>
                <w:color w:val="auto"/>
                <w:highlight w:val="yellow"/>
              </w:rPr>
              <w:t xml:space="preserve">500 </w:t>
            </w:r>
          </w:p>
        </w:tc>
        <w:tc>
          <w:tcPr>
            <w:tcW w:w="335"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textAlignment w:val="center"/>
              <w:rPr>
                <w:rFonts w:ascii="Times New Roman" w:hAnsi="Times New Roman"/>
                <w:b w:val="0"/>
                <w:bCs/>
                <w:color w:val="auto"/>
                <w:sz w:val="24"/>
                <w:szCs w:val="24"/>
                <w:highlight w:val="yellow"/>
              </w:rPr>
            </w:pPr>
            <w:r>
              <w:rPr>
                <w:rFonts w:ascii="Times New Roman" w:hAnsi="Times New Roman"/>
                <w:b w:val="0"/>
                <w:bCs/>
                <w:color w:val="auto"/>
                <w:sz w:val="24"/>
                <w:szCs w:val="24"/>
                <w:highlight w:val="yellow"/>
              </w:rPr>
              <w:t>1.0</w:t>
            </w:r>
          </w:p>
        </w:tc>
        <w:tc>
          <w:tcPr>
            <w:tcW w:w="309" w:type="pct"/>
            <w:tcBorders>
              <w:top w:val="single" w:color="000000" w:sz="8" w:space="0"/>
              <w:left w:val="single" w:color="000000" w:sz="8" w:space="0"/>
              <w:bottom w:val="single" w:color="000000" w:sz="8" w:space="0"/>
              <w:right w:val="single" w:color="000000" w:sz="8" w:space="0"/>
            </w:tcBorders>
            <w:vAlign w:val="center"/>
          </w:tcPr>
          <w:p>
            <w:pPr>
              <w:widowControl/>
              <w:jc w:val="center"/>
              <w:textAlignment w:val="center"/>
              <w:rPr>
                <w:rFonts w:ascii="Times New Roman" w:hAnsi="Times New Roman"/>
                <w:b w:val="0"/>
                <w:bCs/>
                <w:color w:val="auto"/>
                <w:sz w:val="24"/>
                <w:szCs w:val="24"/>
                <w:highlight w:val="yellow"/>
              </w:rPr>
            </w:pPr>
            <w:r>
              <w:rPr>
                <w:rFonts w:ascii="Times New Roman" w:hAnsi="Times New Roman"/>
                <w:b w:val="0"/>
                <w:bCs/>
                <w:color w:val="auto"/>
                <w:highlight w:val="yellow"/>
              </w:rPr>
              <w:t xml:space="preserve">0.74 </w:t>
            </w:r>
          </w:p>
        </w:tc>
        <w:tc>
          <w:tcPr>
            <w:tcW w:w="1117"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b w:val="0"/>
                <w:bCs/>
                <w:color w:val="auto"/>
                <w:sz w:val="24"/>
                <w:szCs w:val="24"/>
                <w:highlight w:val="yellow"/>
              </w:rPr>
            </w:pPr>
            <w:r>
              <w:rPr>
                <w:rFonts w:ascii="Times New Roman" w:hAnsi="Times New Roman"/>
                <w:b w:val="0"/>
                <w:bCs/>
                <w:color w:val="auto"/>
                <w:sz w:val="24"/>
                <w:szCs w:val="24"/>
                <w:highlight w:val="yellow"/>
              </w:rPr>
              <w:t>球墨铸铁管</w:t>
            </w:r>
          </w:p>
        </w:tc>
        <w:tc>
          <w:tcPr>
            <w:tcW w:w="324"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b w:val="0"/>
                <w:bCs/>
                <w:color w:val="auto"/>
                <w:sz w:val="24"/>
                <w:szCs w:val="24"/>
                <w:highlight w:val="yellow"/>
              </w:rPr>
            </w:pPr>
            <w:r>
              <w:rPr>
                <w:rFonts w:ascii="Times New Roman" w:hAnsi="Times New Roman"/>
                <w:b w:val="0"/>
                <w:bCs/>
                <w:color w:val="auto"/>
                <w:sz w:val="24"/>
                <w:szCs w:val="24"/>
                <w:highlight w:val="yellow"/>
              </w:rPr>
              <w:t>DN1000</w:t>
            </w:r>
          </w:p>
        </w:tc>
        <w:tc>
          <w:tcPr>
            <w:tcW w:w="472"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b w:val="0"/>
                <w:bCs/>
                <w:color w:val="auto"/>
                <w:sz w:val="24"/>
                <w:szCs w:val="24"/>
                <w:highlight w:val="yellow"/>
              </w:rPr>
            </w:pPr>
            <w:r>
              <w:rPr>
                <w:rFonts w:ascii="Times New Roman" w:hAnsi="Times New Roman"/>
                <w:b w:val="0"/>
                <w:bCs/>
                <w:color w:val="auto"/>
                <w:sz w:val="24"/>
                <w:szCs w:val="24"/>
                <w:highlight w:val="yellow"/>
              </w:rPr>
              <w:t>接入万环西路规划污水管</w:t>
            </w:r>
          </w:p>
        </w:tc>
      </w:tr>
      <w:tr>
        <w:tblPrEx>
          <w:tblCellMar>
            <w:top w:w="0" w:type="dxa"/>
            <w:left w:w="108" w:type="dxa"/>
            <w:bottom w:w="0" w:type="dxa"/>
            <w:right w:w="108" w:type="dxa"/>
          </w:tblCellMar>
        </w:tblPrEx>
        <w:trPr>
          <w:gridBefore w:val="1"/>
          <w:wBefore w:w="12" w:type="pct"/>
          <w:trHeight w:val="840" w:hRule="atLeast"/>
          <w:jc w:val="center"/>
        </w:trPr>
        <w:tc>
          <w:tcPr>
            <w:tcW w:w="287" w:type="pct"/>
            <w:vMerge w:val="restart"/>
            <w:tcBorders>
              <w:top w:val="single" w:color="auto" w:sz="4" w:space="0"/>
              <w:left w:val="single" w:color="auto" w:sz="4" w:space="0"/>
              <w:right w:val="single" w:color="auto" w:sz="4" w:space="0"/>
            </w:tcBorders>
            <w:vAlign w:val="center"/>
          </w:tcPr>
          <w:p>
            <w:pPr>
              <w:widowControl/>
              <w:jc w:val="center"/>
              <w:rPr>
                <w:rFonts w:ascii="Times New Roman" w:hAnsi="Times New Roman"/>
                <w:b w:val="0"/>
                <w:color w:val="auto"/>
                <w:sz w:val="24"/>
                <w:szCs w:val="24"/>
              </w:rPr>
            </w:pPr>
            <w:r>
              <w:rPr>
                <w:rFonts w:ascii="Times New Roman" w:hAnsi="Times New Roman"/>
                <w:b w:val="0"/>
                <w:color w:val="auto"/>
                <w:sz w:val="24"/>
                <w:szCs w:val="24"/>
              </w:rPr>
              <w:t>雨水管道设计</w:t>
            </w:r>
          </w:p>
        </w:tc>
        <w:tc>
          <w:tcPr>
            <w:tcW w:w="946" w:type="pct"/>
            <w:gridSpan w:val="2"/>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暴雨强度q(L/s.ha)</w:t>
            </w:r>
          </w:p>
        </w:tc>
        <w:tc>
          <w:tcPr>
            <w:tcW w:w="728" w:type="pct"/>
            <w:gridSpan w:val="3"/>
            <w:tcBorders>
              <w:top w:val="single" w:color="auto" w:sz="4" w:space="0"/>
              <w:left w:val="single" w:color="auto" w:sz="4" w:space="0"/>
              <w:bottom w:val="single" w:color="auto" w:sz="4" w:space="0"/>
              <w:right w:val="single" w:color="auto" w:sz="4" w:space="0"/>
            </w:tcBorders>
            <w:vAlign w:val="center"/>
          </w:tcPr>
          <w:p>
            <w:pPr>
              <w:spacing w:line="360" w:lineRule="auto"/>
              <w:ind w:firstLine="480" w:firstLineChars="200"/>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6364.871/（t+19.984）</w:t>
            </w:r>
            <w:r>
              <w:rPr>
                <w:rFonts w:ascii="Times New Roman" w:hAnsi="Times New Roman" w:eastAsiaTheme="minorEastAsia"/>
                <w:b w:val="0"/>
                <w:bCs/>
                <w:color w:val="auto"/>
                <w:sz w:val="24"/>
                <w:szCs w:val="24"/>
                <w:highlight w:val="yellow"/>
                <w:vertAlign w:val="superscript"/>
              </w:rPr>
              <w:t>0.801</w:t>
            </w:r>
            <w:r>
              <w:rPr>
                <w:rFonts w:ascii="Times New Roman" w:hAnsi="Times New Roman" w:eastAsiaTheme="minorEastAsia"/>
                <w:b w:val="0"/>
                <w:bCs/>
                <w:color w:val="auto"/>
                <w:sz w:val="24"/>
                <w:szCs w:val="24"/>
                <w:highlight w:val="yellow"/>
              </w:rPr>
              <w:t>（L／s•ha）</w:t>
            </w:r>
          </w:p>
        </w:tc>
        <w:tc>
          <w:tcPr>
            <w:tcW w:w="1114" w:type="pct"/>
            <w:gridSpan w:val="4"/>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重现期P（10年）</w:t>
            </w:r>
          </w:p>
        </w:tc>
        <w:tc>
          <w:tcPr>
            <w:tcW w:w="1117" w:type="pct"/>
            <w:gridSpan w:val="2"/>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针对道路雨水排放和削减设置渗排一体化系统(勾选）</w:t>
            </w:r>
          </w:p>
        </w:tc>
        <w:tc>
          <w:tcPr>
            <w:tcW w:w="324" w:type="pct"/>
            <w:gridSpan w:val="2"/>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是</w:t>
            </w:r>
          </w:p>
        </w:tc>
        <w:tc>
          <w:tcPr>
            <w:tcW w:w="472" w:type="pct"/>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否</w:t>
            </w:r>
          </w:p>
        </w:tc>
      </w:tr>
      <w:tr>
        <w:tblPrEx>
          <w:tblCellMar>
            <w:top w:w="0" w:type="dxa"/>
            <w:left w:w="108" w:type="dxa"/>
            <w:bottom w:w="0" w:type="dxa"/>
            <w:right w:w="108" w:type="dxa"/>
          </w:tblCellMar>
        </w:tblPrEx>
        <w:trPr>
          <w:gridBefore w:val="1"/>
          <w:wBefore w:w="12" w:type="pct"/>
          <w:trHeight w:val="633" w:hRule="atLeast"/>
          <w:jc w:val="center"/>
        </w:trPr>
        <w:tc>
          <w:tcPr>
            <w:tcW w:w="287" w:type="pct"/>
            <w:vMerge w:val="continue"/>
            <w:tcBorders>
              <w:left w:val="single" w:color="auto" w:sz="4" w:space="0"/>
              <w:right w:val="single" w:color="auto" w:sz="4" w:space="0"/>
            </w:tcBorders>
            <w:vAlign w:val="center"/>
          </w:tcPr>
          <w:p>
            <w:pPr>
              <w:widowControl/>
              <w:jc w:val="center"/>
              <w:rPr>
                <w:rFonts w:ascii="Times New Roman" w:hAnsi="Times New Roman"/>
                <w:b w:val="0"/>
                <w:color w:val="auto"/>
                <w:sz w:val="24"/>
                <w:szCs w:val="24"/>
              </w:rPr>
            </w:pPr>
          </w:p>
        </w:tc>
        <w:tc>
          <w:tcPr>
            <w:tcW w:w="946" w:type="pct"/>
            <w:gridSpan w:val="2"/>
            <w:tcBorders>
              <w:top w:val="single" w:color="auto" w:sz="4" w:space="0"/>
              <w:left w:val="single" w:color="auto" w:sz="4" w:space="0"/>
              <w:bottom w:val="single" w:color="auto" w:sz="4" w:space="0"/>
              <w:right w:val="single" w:color="auto" w:sz="4" w:space="0"/>
            </w:tcBorders>
            <w:vAlign w:val="center"/>
          </w:tcPr>
          <w:p>
            <w:pPr>
              <w:pStyle w:val="397"/>
              <w:autoSpaceDE w:val="0"/>
              <w:spacing w:before="191" w:line="240" w:lineRule="auto"/>
              <w:ind w:firstLine="0" w:firstLineChars="0"/>
              <w:jc w:val="center"/>
              <w:rPr>
                <w:rFonts w:eastAsiaTheme="minorEastAsia"/>
                <w:bCs/>
                <w:kern w:val="0"/>
                <w:highlight w:val="yellow"/>
                <w:lang w:val="zh-CN" w:bidi="ar"/>
              </w:rPr>
            </w:pPr>
            <w:r>
              <w:rPr>
                <w:rFonts w:eastAsiaTheme="minorEastAsia"/>
                <w:bCs/>
                <w:highlight w:val="yellow"/>
              </w:rPr>
              <w:t>建设前综合径流系数</w:t>
            </w:r>
          </w:p>
        </w:tc>
        <w:tc>
          <w:tcPr>
            <w:tcW w:w="728" w:type="pct"/>
            <w:gridSpan w:val="3"/>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Theme="minorEastAsia"/>
                <w:b w:val="0"/>
                <w:bCs/>
                <w:color w:val="auto"/>
                <w:kern w:val="0"/>
                <w:sz w:val="24"/>
                <w:szCs w:val="24"/>
                <w:highlight w:val="yellow"/>
                <w:lang w:bidi="ar"/>
              </w:rPr>
            </w:pPr>
            <w:r>
              <w:rPr>
                <w:rFonts w:ascii="Times New Roman" w:hAnsi="Times New Roman" w:eastAsiaTheme="minorEastAsia"/>
                <w:b w:val="0"/>
                <w:bCs/>
                <w:color w:val="auto"/>
                <w:kern w:val="0"/>
                <w:sz w:val="24"/>
                <w:szCs w:val="24"/>
                <w:highlight w:val="yellow"/>
                <w:lang w:bidi="ar"/>
              </w:rPr>
              <w:t>详见10.7</w:t>
            </w:r>
          </w:p>
        </w:tc>
        <w:tc>
          <w:tcPr>
            <w:tcW w:w="514" w:type="pct"/>
            <w:gridSpan w:val="2"/>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建设后综合径流系数</w:t>
            </w:r>
          </w:p>
        </w:tc>
        <w:tc>
          <w:tcPr>
            <w:tcW w:w="600" w:type="pct"/>
            <w:gridSpan w:val="2"/>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kern w:val="0"/>
                <w:sz w:val="24"/>
                <w:szCs w:val="24"/>
                <w:highlight w:val="yellow"/>
                <w:lang w:bidi="ar"/>
              </w:rPr>
              <w:t>详见10.7</w:t>
            </w:r>
          </w:p>
        </w:tc>
        <w:tc>
          <w:tcPr>
            <w:tcW w:w="595" w:type="pct"/>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bCs/>
                <w:color w:val="auto"/>
                <w:kern w:val="0"/>
                <w:sz w:val="24"/>
                <w:szCs w:val="24"/>
                <w:highlight w:val="yellow"/>
                <w:lang w:bidi="ar"/>
              </w:rPr>
            </w:pPr>
          </w:p>
        </w:tc>
        <w:tc>
          <w:tcPr>
            <w:tcW w:w="522" w:type="pct"/>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bCs/>
                <w:color w:val="auto"/>
                <w:sz w:val="24"/>
                <w:szCs w:val="24"/>
                <w:highlight w:val="yellow"/>
              </w:rPr>
            </w:pPr>
          </w:p>
        </w:tc>
        <w:tc>
          <w:tcPr>
            <w:tcW w:w="324" w:type="pct"/>
            <w:gridSpan w:val="2"/>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bCs/>
                <w:color w:val="auto"/>
                <w:sz w:val="24"/>
                <w:szCs w:val="24"/>
                <w:highlight w:val="yellow"/>
              </w:rPr>
            </w:pPr>
          </w:p>
        </w:tc>
        <w:tc>
          <w:tcPr>
            <w:tcW w:w="472" w:type="pct"/>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bCs/>
                <w:color w:val="auto"/>
                <w:sz w:val="24"/>
                <w:szCs w:val="24"/>
                <w:highlight w:val="yellow"/>
              </w:rPr>
            </w:pPr>
          </w:p>
        </w:tc>
      </w:tr>
      <w:tr>
        <w:tblPrEx>
          <w:tblCellMar>
            <w:top w:w="0" w:type="dxa"/>
            <w:left w:w="108" w:type="dxa"/>
            <w:bottom w:w="0" w:type="dxa"/>
            <w:right w:w="108" w:type="dxa"/>
          </w:tblCellMar>
        </w:tblPrEx>
        <w:trPr>
          <w:gridBefore w:val="1"/>
          <w:wBefore w:w="12" w:type="pct"/>
          <w:trHeight w:val="601" w:hRule="atLeast"/>
          <w:jc w:val="center"/>
        </w:trPr>
        <w:tc>
          <w:tcPr>
            <w:tcW w:w="287" w:type="pct"/>
            <w:vMerge w:val="continue"/>
            <w:tcBorders>
              <w:left w:val="single" w:color="auto" w:sz="4" w:space="0"/>
              <w:right w:val="single" w:color="auto" w:sz="4" w:space="0"/>
            </w:tcBorders>
            <w:vAlign w:val="center"/>
          </w:tcPr>
          <w:p>
            <w:pPr>
              <w:widowControl/>
              <w:jc w:val="center"/>
              <w:rPr>
                <w:rFonts w:ascii="Times New Roman" w:hAnsi="Times New Roman"/>
                <w:b w:val="0"/>
                <w:color w:val="auto"/>
                <w:sz w:val="24"/>
                <w:szCs w:val="24"/>
              </w:rPr>
            </w:pPr>
          </w:p>
        </w:tc>
        <w:tc>
          <w:tcPr>
            <w:tcW w:w="946" w:type="pct"/>
            <w:gridSpan w:val="2"/>
            <w:tcBorders>
              <w:top w:val="single" w:color="auto" w:sz="4" w:space="0"/>
              <w:left w:val="single" w:color="auto" w:sz="4" w:space="0"/>
              <w:bottom w:val="single" w:color="auto" w:sz="4" w:space="0"/>
              <w:right w:val="single" w:color="auto" w:sz="4" w:space="0"/>
            </w:tcBorders>
            <w:vAlign w:val="center"/>
          </w:tcPr>
          <w:p>
            <w:pPr>
              <w:pStyle w:val="397"/>
              <w:autoSpaceDE w:val="0"/>
              <w:spacing w:before="191" w:line="240" w:lineRule="auto"/>
              <w:ind w:firstLine="0" w:firstLineChars="0"/>
              <w:jc w:val="center"/>
              <w:rPr>
                <w:rFonts w:eastAsiaTheme="minorEastAsia"/>
                <w:bCs/>
                <w:kern w:val="0"/>
                <w:highlight w:val="yellow"/>
                <w:lang w:val="zh-CN" w:bidi="ar"/>
              </w:rPr>
            </w:pPr>
            <w:r>
              <w:rPr>
                <w:rFonts w:eastAsiaTheme="minorEastAsia"/>
                <w:bCs/>
                <w:highlight w:val="yellow"/>
              </w:rPr>
              <w:t>建设前总雨水径流量</w:t>
            </w:r>
          </w:p>
        </w:tc>
        <w:tc>
          <w:tcPr>
            <w:tcW w:w="728" w:type="pct"/>
            <w:gridSpan w:val="3"/>
            <w:tcBorders>
              <w:top w:val="single" w:color="auto" w:sz="4" w:space="0"/>
              <w:left w:val="single" w:color="auto" w:sz="4" w:space="0"/>
              <w:bottom w:val="single" w:color="auto" w:sz="4" w:space="0"/>
              <w:right w:val="single" w:color="auto" w:sz="4" w:space="0"/>
            </w:tcBorders>
            <w:vAlign w:val="center"/>
          </w:tcPr>
          <w:p>
            <w:pPr>
              <w:pStyle w:val="378"/>
              <w:spacing w:before="176" w:line="240" w:lineRule="auto"/>
              <w:ind w:firstLine="40" w:firstLineChars="17"/>
              <w:jc w:val="center"/>
              <w:rPr>
                <w:rFonts w:ascii="Times New Roman" w:hAnsi="Times New Roman" w:cs="Times New Roman" w:eastAsiaTheme="minorEastAsia"/>
                <w:bCs/>
                <w:highlight w:val="yellow"/>
              </w:rPr>
            </w:pPr>
            <w:r>
              <w:rPr>
                <w:rFonts w:ascii="Times New Roman" w:hAnsi="Times New Roman" w:cs="Times New Roman" w:eastAsiaTheme="minorEastAsia"/>
                <w:bCs/>
                <w:kern w:val="0"/>
                <w:highlight w:val="yellow"/>
                <w:lang w:bidi="ar"/>
              </w:rPr>
              <w:t>详见10.7</w:t>
            </w:r>
          </w:p>
        </w:tc>
        <w:tc>
          <w:tcPr>
            <w:tcW w:w="514" w:type="pct"/>
            <w:gridSpan w:val="2"/>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建设后总雨水径流量</w:t>
            </w:r>
          </w:p>
        </w:tc>
        <w:tc>
          <w:tcPr>
            <w:tcW w:w="600" w:type="pct"/>
            <w:gridSpan w:val="2"/>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kern w:val="0"/>
                <w:sz w:val="24"/>
                <w:szCs w:val="24"/>
                <w:highlight w:val="yellow"/>
                <w:lang w:bidi="ar"/>
              </w:rPr>
              <w:t>详见10.7</w:t>
            </w:r>
          </w:p>
        </w:tc>
        <w:tc>
          <w:tcPr>
            <w:tcW w:w="595"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Theme="minorEastAsia"/>
                <w:b w:val="0"/>
                <w:bCs/>
                <w:color w:val="auto"/>
                <w:sz w:val="24"/>
                <w:szCs w:val="24"/>
                <w:highlight w:val="yellow"/>
                <w:lang w:bidi="zh-CN"/>
              </w:rPr>
            </w:pPr>
          </w:p>
        </w:tc>
        <w:tc>
          <w:tcPr>
            <w:tcW w:w="522" w:type="pct"/>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bCs/>
                <w:color w:val="auto"/>
                <w:sz w:val="24"/>
                <w:szCs w:val="24"/>
                <w:highlight w:val="yellow"/>
              </w:rPr>
            </w:pPr>
          </w:p>
        </w:tc>
        <w:tc>
          <w:tcPr>
            <w:tcW w:w="324" w:type="pct"/>
            <w:gridSpan w:val="2"/>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bCs/>
                <w:color w:val="auto"/>
                <w:sz w:val="24"/>
                <w:szCs w:val="24"/>
                <w:highlight w:val="yellow"/>
              </w:rPr>
            </w:pPr>
          </w:p>
        </w:tc>
        <w:tc>
          <w:tcPr>
            <w:tcW w:w="472" w:type="pct"/>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bCs/>
                <w:color w:val="auto"/>
                <w:sz w:val="24"/>
                <w:szCs w:val="24"/>
                <w:highlight w:val="yellow"/>
              </w:rPr>
            </w:pPr>
          </w:p>
        </w:tc>
      </w:tr>
      <w:tr>
        <w:tblPrEx>
          <w:tblCellMar>
            <w:top w:w="0" w:type="dxa"/>
            <w:left w:w="108" w:type="dxa"/>
            <w:bottom w:w="0" w:type="dxa"/>
            <w:right w:w="108" w:type="dxa"/>
          </w:tblCellMar>
        </w:tblPrEx>
        <w:trPr>
          <w:gridBefore w:val="1"/>
          <w:wBefore w:w="12" w:type="pct"/>
          <w:trHeight w:val="1109" w:hRule="atLeast"/>
          <w:jc w:val="center"/>
        </w:trPr>
        <w:tc>
          <w:tcPr>
            <w:tcW w:w="287" w:type="pct"/>
            <w:vMerge w:val="continue"/>
            <w:tcBorders>
              <w:left w:val="single" w:color="auto" w:sz="4" w:space="0"/>
              <w:right w:val="single" w:color="auto" w:sz="4" w:space="0"/>
            </w:tcBorders>
            <w:vAlign w:val="center"/>
          </w:tcPr>
          <w:p>
            <w:pPr>
              <w:widowControl/>
              <w:jc w:val="center"/>
              <w:rPr>
                <w:rFonts w:ascii="Times New Roman" w:hAnsi="Times New Roman"/>
                <w:b w:val="0"/>
                <w:color w:val="auto"/>
                <w:sz w:val="24"/>
                <w:szCs w:val="24"/>
              </w:rPr>
            </w:pPr>
          </w:p>
        </w:tc>
        <w:tc>
          <w:tcPr>
            <w:tcW w:w="631" w:type="pct"/>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拟建管道位置</w:t>
            </w:r>
          </w:p>
        </w:tc>
        <w:tc>
          <w:tcPr>
            <w:tcW w:w="315" w:type="pct"/>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雨水量取值指标（L/s.ha)</w:t>
            </w:r>
          </w:p>
        </w:tc>
        <w:tc>
          <w:tcPr>
            <w:tcW w:w="390" w:type="pct"/>
            <w:gridSpan w:val="2"/>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汇水范围(ha)</w:t>
            </w:r>
          </w:p>
        </w:tc>
        <w:tc>
          <w:tcPr>
            <w:tcW w:w="338" w:type="pct"/>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预测雨水量(L/s)</w:t>
            </w:r>
          </w:p>
        </w:tc>
        <w:tc>
          <w:tcPr>
            <w:tcW w:w="470" w:type="pct"/>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管径（mm)</w:t>
            </w:r>
          </w:p>
        </w:tc>
        <w:tc>
          <w:tcPr>
            <w:tcW w:w="335" w:type="pct"/>
            <w:gridSpan w:val="2"/>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管道设计坡度(‰)</w:t>
            </w:r>
          </w:p>
        </w:tc>
        <w:tc>
          <w:tcPr>
            <w:tcW w:w="309" w:type="pct"/>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设计流速(m/s)</w:t>
            </w:r>
          </w:p>
        </w:tc>
        <w:tc>
          <w:tcPr>
            <w:tcW w:w="595" w:type="pct"/>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管道长度(m)</w:t>
            </w:r>
          </w:p>
        </w:tc>
        <w:tc>
          <w:tcPr>
            <w:tcW w:w="522" w:type="pct"/>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管材</w:t>
            </w:r>
          </w:p>
        </w:tc>
        <w:tc>
          <w:tcPr>
            <w:tcW w:w="324" w:type="pct"/>
            <w:gridSpan w:val="2"/>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拟接驳下游管道管径</w:t>
            </w:r>
          </w:p>
        </w:tc>
        <w:tc>
          <w:tcPr>
            <w:tcW w:w="472" w:type="pct"/>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备注</w:t>
            </w:r>
          </w:p>
        </w:tc>
      </w:tr>
      <w:tr>
        <w:tblPrEx>
          <w:tblCellMar>
            <w:top w:w="0" w:type="dxa"/>
            <w:left w:w="108" w:type="dxa"/>
            <w:bottom w:w="0" w:type="dxa"/>
            <w:right w:w="108" w:type="dxa"/>
          </w:tblCellMar>
        </w:tblPrEx>
        <w:trPr>
          <w:gridBefore w:val="1"/>
          <w:wBefore w:w="12" w:type="pct"/>
          <w:trHeight w:val="660" w:hRule="atLeast"/>
          <w:jc w:val="center"/>
        </w:trPr>
        <w:tc>
          <w:tcPr>
            <w:tcW w:w="287" w:type="pct"/>
            <w:vMerge w:val="continue"/>
            <w:tcBorders>
              <w:left w:val="single" w:color="auto" w:sz="4" w:space="0"/>
              <w:right w:val="single" w:color="auto" w:sz="4" w:space="0"/>
            </w:tcBorders>
            <w:vAlign w:val="center"/>
          </w:tcPr>
          <w:p>
            <w:pPr>
              <w:widowControl/>
              <w:jc w:val="center"/>
              <w:rPr>
                <w:rFonts w:ascii="Times New Roman" w:hAnsi="Times New Roman"/>
                <w:b w:val="0"/>
                <w:color w:val="auto"/>
                <w:sz w:val="24"/>
                <w:szCs w:val="24"/>
              </w:rPr>
            </w:pPr>
          </w:p>
        </w:tc>
        <w:tc>
          <w:tcPr>
            <w:tcW w:w="631" w:type="pct"/>
            <w:tcBorders>
              <w:top w:val="single" w:color="000000" w:sz="8" w:space="0"/>
              <w:left w:val="single" w:color="auto" w:sz="4"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二十涌北路</w:t>
            </w:r>
          </w:p>
        </w:tc>
        <w:tc>
          <w:tcPr>
            <w:tcW w:w="315"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466.91</w:t>
            </w:r>
          </w:p>
        </w:tc>
        <w:tc>
          <w:tcPr>
            <w:tcW w:w="390"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7.2</w:t>
            </w:r>
          </w:p>
        </w:tc>
        <w:tc>
          <w:tcPr>
            <w:tcW w:w="338"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 xml:space="preserve">2185.14 </w:t>
            </w:r>
          </w:p>
        </w:tc>
        <w:tc>
          <w:tcPr>
            <w:tcW w:w="470"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1350</w:t>
            </w:r>
          </w:p>
        </w:tc>
        <w:tc>
          <w:tcPr>
            <w:tcW w:w="335"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2</w:t>
            </w:r>
          </w:p>
        </w:tc>
        <w:tc>
          <w:tcPr>
            <w:tcW w:w="309"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 xml:space="preserve">1.67 </w:t>
            </w:r>
          </w:p>
        </w:tc>
        <w:tc>
          <w:tcPr>
            <w:tcW w:w="595"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135</w:t>
            </w:r>
          </w:p>
        </w:tc>
        <w:tc>
          <w:tcPr>
            <w:tcW w:w="522"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钢筋混凝土管</w:t>
            </w:r>
          </w:p>
        </w:tc>
        <w:tc>
          <w:tcPr>
            <w:tcW w:w="324"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排入二十涌</w:t>
            </w:r>
          </w:p>
        </w:tc>
        <w:tc>
          <w:tcPr>
            <w:tcW w:w="472"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p>
        </w:tc>
      </w:tr>
      <w:tr>
        <w:tblPrEx>
          <w:tblCellMar>
            <w:top w:w="0" w:type="dxa"/>
            <w:left w:w="108" w:type="dxa"/>
            <w:bottom w:w="0" w:type="dxa"/>
            <w:right w:w="108" w:type="dxa"/>
          </w:tblCellMar>
        </w:tblPrEx>
        <w:trPr>
          <w:gridBefore w:val="1"/>
          <w:wBefore w:w="12" w:type="pct"/>
          <w:trHeight w:val="660" w:hRule="atLeast"/>
          <w:jc w:val="center"/>
        </w:trPr>
        <w:tc>
          <w:tcPr>
            <w:tcW w:w="287" w:type="pct"/>
            <w:vMerge w:val="continue"/>
            <w:tcBorders>
              <w:left w:val="single" w:color="auto" w:sz="4" w:space="0"/>
              <w:right w:val="single" w:color="auto" w:sz="4" w:space="0"/>
            </w:tcBorders>
            <w:vAlign w:val="center"/>
          </w:tcPr>
          <w:p>
            <w:pPr>
              <w:widowControl/>
              <w:jc w:val="center"/>
              <w:rPr>
                <w:rFonts w:ascii="Times New Roman" w:hAnsi="Times New Roman"/>
                <w:b w:val="0"/>
                <w:color w:val="auto"/>
                <w:sz w:val="24"/>
                <w:szCs w:val="24"/>
              </w:rPr>
            </w:pPr>
          </w:p>
        </w:tc>
        <w:tc>
          <w:tcPr>
            <w:tcW w:w="631" w:type="pct"/>
            <w:tcBorders>
              <w:top w:val="single" w:color="000000" w:sz="8" w:space="0"/>
              <w:left w:val="single" w:color="auto" w:sz="4"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二十涌北路</w:t>
            </w:r>
          </w:p>
        </w:tc>
        <w:tc>
          <w:tcPr>
            <w:tcW w:w="315"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466.74</w:t>
            </w:r>
          </w:p>
        </w:tc>
        <w:tc>
          <w:tcPr>
            <w:tcW w:w="390"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9.65</w:t>
            </w:r>
          </w:p>
        </w:tc>
        <w:tc>
          <w:tcPr>
            <w:tcW w:w="338"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 xml:space="preserve">2927.65 </w:t>
            </w:r>
          </w:p>
        </w:tc>
        <w:tc>
          <w:tcPr>
            <w:tcW w:w="470"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1650</w:t>
            </w:r>
          </w:p>
        </w:tc>
        <w:tc>
          <w:tcPr>
            <w:tcW w:w="335"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1.5</w:t>
            </w:r>
          </w:p>
        </w:tc>
        <w:tc>
          <w:tcPr>
            <w:tcW w:w="309"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 xml:space="preserve">1.65 </w:t>
            </w:r>
          </w:p>
        </w:tc>
        <w:tc>
          <w:tcPr>
            <w:tcW w:w="595"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135</w:t>
            </w:r>
          </w:p>
        </w:tc>
        <w:tc>
          <w:tcPr>
            <w:tcW w:w="522"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钢筋混凝土管</w:t>
            </w:r>
          </w:p>
        </w:tc>
        <w:tc>
          <w:tcPr>
            <w:tcW w:w="324" w:type="pct"/>
            <w:gridSpan w:val="2"/>
            <w:tcBorders>
              <w:top w:val="single" w:color="000000" w:sz="8" w:space="0"/>
              <w:left w:val="single" w:color="000000" w:sz="8" w:space="0"/>
              <w:bottom w:val="single" w:color="000000" w:sz="8" w:space="0"/>
              <w:right w:val="single" w:color="000000" w:sz="8" w:space="0"/>
            </w:tcBorders>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排入二十涌</w:t>
            </w:r>
          </w:p>
        </w:tc>
        <w:tc>
          <w:tcPr>
            <w:tcW w:w="472"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p>
        </w:tc>
      </w:tr>
      <w:tr>
        <w:tblPrEx>
          <w:tblCellMar>
            <w:top w:w="0" w:type="dxa"/>
            <w:left w:w="108" w:type="dxa"/>
            <w:bottom w:w="0" w:type="dxa"/>
            <w:right w:w="108" w:type="dxa"/>
          </w:tblCellMar>
        </w:tblPrEx>
        <w:trPr>
          <w:gridBefore w:val="1"/>
          <w:wBefore w:w="12" w:type="pct"/>
          <w:trHeight w:val="660" w:hRule="atLeast"/>
          <w:jc w:val="center"/>
        </w:trPr>
        <w:tc>
          <w:tcPr>
            <w:tcW w:w="287" w:type="pct"/>
            <w:vMerge w:val="continue"/>
            <w:tcBorders>
              <w:left w:val="single" w:color="auto" w:sz="4" w:space="0"/>
              <w:right w:val="single" w:color="auto" w:sz="4" w:space="0"/>
            </w:tcBorders>
            <w:vAlign w:val="center"/>
          </w:tcPr>
          <w:p>
            <w:pPr>
              <w:widowControl/>
              <w:jc w:val="center"/>
              <w:rPr>
                <w:rFonts w:ascii="Times New Roman" w:hAnsi="Times New Roman"/>
                <w:b w:val="0"/>
                <w:color w:val="auto"/>
                <w:sz w:val="24"/>
                <w:szCs w:val="24"/>
              </w:rPr>
            </w:pPr>
          </w:p>
        </w:tc>
        <w:tc>
          <w:tcPr>
            <w:tcW w:w="631" w:type="pct"/>
            <w:tcBorders>
              <w:top w:val="single" w:color="000000" w:sz="8" w:space="0"/>
              <w:left w:val="single" w:color="auto" w:sz="4"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二十涌北路</w:t>
            </w:r>
          </w:p>
        </w:tc>
        <w:tc>
          <w:tcPr>
            <w:tcW w:w="315"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428.92</w:t>
            </w:r>
          </w:p>
        </w:tc>
        <w:tc>
          <w:tcPr>
            <w:tcW w:w="390"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2.2</w:t>
            </w:r>
          </w:p>
        </w:tc>
        <w:tc>
          <w:tcPr>
            <w:tcW w:w="338"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 xml:space="preserve">613.36 </w:t>
            </w:r>
          </w:p>
        </w:tc>
        <w:tc>
          <w:tcPr>
            <w:tcW w:w="470"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1000</w:t>
            </w:r>
          </w:p>
        </w:tc>
        <w:tc>
          <w:tcPr>
            <w:tcW w:w="335"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1</w:t>
            </w:r>
          </w:p>
        </w:tc>
        <w:tc>
          <w:tcPr>
            <w:tcW w:w="309"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 xml:space="preserve">0.97 </w:t>
            </w:r>
          </w:p>
        </w:tc>
        <w:tc>
          <w:tcPr>
            <w:tcW w:w="595"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278</w:t>
            </w:r>
          </w:p>
        </w:tc>
        <w:tc>
          <w:tcPr>
            <w:tcW w:w="522"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钢筋混凝土管</w:t>
            </w:r>
          </w:p>
        </w:tc>
        <w:tc>
          <w:tcPr>
            <w:tcW w:w="324" w:type="pct"/>
            <w:gridSpan w:val="2"/>
            <w:tcBorders>
              <w:top w:val="single" w:color="000000" w:sz="8" w:space="0"/>
              <w:left w:val="single" w:color="000000" w:sz="8" w:space="0"/>
              <w:bottom w:val="single" w:color="000000" w:sz="8" w:space="0"/>
              <w:right w:val="single" w:color="000000" w:sz="8" w:space="0"/>
            </w:tcBorders>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排入二十涌</w:t>
            </w:r>
          </w:p>
        </w:tc>
        <w:tc>
          <w:tcPr>
            <w:tcW w:w="472"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p>
        </w:tc>
      </w:tr>
      <w:tr>
        <w:tblPrEx>
          <w:tblCellMar>
            <w:top w:w="0" w:type="dxa"/>
            <w:left w:w="108" w:type="dxa"/>
            <w:bottom w:w="0" w:type="dxa"/>
            <w:right w:w="108" w:type="dxa"/>
          </w:tblCellMar>
        </w:tblPrEx>
        <w:trPr>
          <w:gridBefore w:val="1"/>
          <w:wBefore w:w="12" w:type="pct"/>
          <w:trHeight w:val="660" w:hRule="atLeast"/>
          <w:jc w:val="center"/>
        </w:trPr>
        <w:tc>
          <w:tcPr>
            <w:tcW w:w="287" w:type="pct"/>
            <w:tcBorders>
              <w:left w:val="single" w:color="auto" w:sz="4" w:space="0"/>
              <w:right w:val="single" w:color="auto" w:sz="4" w:space="0"/>
            </w:tcBorders>
            <w:vAlign w:val="center"/>
          </w:tcPr>
          <w:p>
            <w:pPr>
              <w:widowControl/>
              <w:jc w:val="center"/>
              <w:rPr>
                <w:rFonts w:ascii="Times New Roman" w:hAnsi="Times New Roman"/>
                <w:b w:val="0"/>
                <w:color w:val="auto"/>
                <w:sz w:val="24"/>
                <w:szCs w:val="24"/>
              </w:rPr>
            </w:pPr>
          </w:p>
        </w:tc>
        <w:tc>
          <w:tcPr>
            <w:tcW w:w="631" w:type="pct"/>
            <w:tcBorders>
              <w:top w:val="single" w:color="000000" w:sz="8" w:space="0"/>
              <w:left w:val="single" w:color="auto" w:sz="4"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规划纵三路</w:t>
            </w:r>
          </w:p>
        </w:tc>
        <w:tc>
          <w:tcPr>
            <w:tcW w:w="315"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445.90</w:t>
            </w:r>
          </w:p>
        </w:tc>
        <w:tc>
          <w:tcPr>
            <w:tcW w:w="390"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3.5</w:t>
            </w:r>
          </w:p>
        </w:tc>
        <w:tc>
          <w:tcPr>
            <w:tcW w:w="338"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 xml:space="preserve">1014.43 </w:t>
            </w:r>
          </w:p>
        </w:tc>
        <w:tc>
          <w:tcPr>
            <w:tcW w:w="470"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1000</w:t>
            </w:r>
          </w:p>
        </w:tc>
        <w:tc>
          <w:tcPr>
            <w:tcW w:w="335"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2</w:t>
            </w:r>
          </w:p>
        </w:tc>
        <w:tc>
          <w:tcPr>
            <w:tcW w:w="309"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 xml:space="preserve">1.37 </w:t>
            </w:r>
          </w:p>
        </w:tc>
        <w:tc>
          <w:tcPr>
            <w:tcW w:w="595"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260.0</w:t>
            </w:r>
          </w:p>
        </w:tc>
        <w:tc>
          <w:tcPr>
            <w:tcW w:w="522" w:type="pct"/>
            <w:tcBorders>
              <w:top w:val="single" w:color="000000" w:sz="8" w:space="0"/>
              <w:left w:val="single" w:color="000000" w:sz="8" w:space="0"/>
              <w:bottom w:val="single" w:color="000000" w:sz="8" w:space="0"/>
              <w:right w:val="single" w:color="000000" w:sz="8" w:space="0"/>
            </w:tcBorders>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钢筋混凝土管</w:t>
            </w:r>
          </w:p>
        </w:tc>
        <w:tc>
          <w:tcPr>
            <w:tcW w:w="324" w:type="pct"/>
            <w:gridSpan w:val="2"/>
            <w:tcBorders>
              <w:top w:val="single" w:color="000000" w:sz="8" w:space="0"/>
              <w:left w:val="single" w:color="000000" w:sz="8" w:space="0"/>
              <w:bottom w:val="single" w:color="000000" w:sz="8" w:space="0"/>
              <w:right w:val="single" w:color="000000" w:sz="8" w:space="0"/>
            </w:tcBorders>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排入二十一涌</w:t>
            </w:r>
          </w:p>
        </w:tc>
        <w:tc>
          <w:tcPr>
            <w:tcW w:w="472" w:type="pct"/>
            <w:tcBorders>
              <w:top w:val="single" w:color="000000" w:sz="8" w:space="0"/>
              <w:left w:val="single" w:color="000000" w:sz="8" w:space="0"/>
              <w:bottom w:val="single" w:color="000000" w:sz="8" w:space="0"/>
              <w:right w:val="single" w:color="000000" w:sz="8" w:space="0"/>
            </w:tcBorders>
            <w:vAlign w:val="center"/>
          </w:tcPr>
          <w:p>
            <w:pPr>
              <w:widowControl/>
              <w:rPr>
                <w:rFonts w:ascii="Times New Roman" w:hAnsi="Times New Roman" w:eastAsiaTheme="minorEastAsia"/>
                <w:b w:val="0"/>
                <w:bCs/>
                <w:color w:val="auto"/>
                <w:sz w:val="24"/>
                <w:szCs w:val="24"/>
                <w:highlight w:val="yellow"/>
              </w:rPr>
            </w:pPr>
          </w:p>
        </w:tc>
      </w:tr>
      <w:tr>
        <w:tblPrEx>
          <w:tblCellMar>
            <w:top w:w="0" w:type="dxa"/>
            <w:left w:w="108" w:type="dxa"/>
            <w:bottom w:w="0" w:type="dxa"/>
            <w:right w:w="108" w:type="dxa"/>
          </w:tblCellMar>
        </w:tblPrEx>
        <w:trPr>
          <w:gridBefore w:val="1"/>
          <w:wBefore w:w="12" w:type="pct"/>
          <w:trHeight w:val="660" w:hRule="atLeast"/>
          <w:jc w:val="center"/>
        </w:trPr>
        <w:tc>
          <w:tcPr>
            <w:tcW w:w="287" w:type="pct"/>
            <w:tcBorders>
              <w:left w:val="single" w:color="auto" w:sz="4" w:space="0"/>
              <w:right w:val="single" w:color="auto" w:sz="4" w:space="0"/>
            </w:tcBorders>
            <w:vAlign w:val="center"/>
          </w:tcPr>
          <w:p>
            <w:pPr>
              <w:widowControl/>
              <w:jc w:val="center"/>
              <w:rPr>
                <w:rFonts w:ascii="Times New Roman" w:hAnsi="Times New Roman"/>
                <w:b w:val="0"/>
                <w:color w:val="auto"/>
                <w:sz w:val="24"/>
                <w:szCs w:val="24"/>
              </w:rPr>
            </w:pPr>
          </w:p>
        </w:tc>
        <w:tc>
          <w:tcPr>
            <w:tcW w:w="631" w:type="pct"/>
            <w:tcBorders>
              <w:top w:val="single" w:color="000000" w:sz="8" w:space="0"/>
              <w:left w:val="single" w:color="auto" w:sz="4"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规划纵三路</w:t>
            </w:r>
          </w:p>
        </w:tc>
        <w:tc>
          <w:tcPr>
            <w:tcW w:w="315"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440.61</w:t>
            </w:r>
          </w:p>
        </w:tc>
        <w:tc>
          <w:tcPr>
            <w:tcW w:w="390"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2.2</w:t>
            </w:r>
          </w:p>
        </w:tc>
        <w:tc>
          <w:tcPr>
            <w:tcW w:w="338"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 xml:space="preserve">630.08 </w:t>
            </w:r>
          </w:p>
        </w:tc>
        <w:tc>
          <w:tcPr>
            <w:tcW w:w="470"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1000</w:t>
            </w:r>
          </w:p>
        </w:tc>
        <w:tc>
          <w:tcPr>
            <w:tcW w:w="335"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1.5</w:t>
            </w:r>
          </w:p>
        </w:tc>
        <w:tc>
          <w:tcPr>
            <w:tcW w:w="309"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 xml:space="preserve">1.18 </w:t>
            </w:r>
          </w:p>
        </w:tc>
        <w:tc>
          <w:tcPr>
            <w:tcW w:w="595"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260.0</w:t>
            </w:r>
          </w:p>
        </w:tc>
        <w:tc>
          <w:tcPr>
            <w:tcW w:w="522" w:type="pct"/>
            <w:tcBorders>
              <w:top w:val="single" w:color="000000" w:sz="8" w:space="0"/>
              <w:left w:val="single" w:color="000000" w:sz="8" w:space="0"/>
              <w:bottom w:val="single" w:color="000000" w:sz="8" w:space="0"/>
              <w:right w:val="single" w:color="000000" w:sz="8" w:space="0"/>
            </w:tcBorders>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钢筋混凝土管</w:t>
            </w:r>
          </w:p>
        </w:tc>
        <w:tc>
          <w:tcPr>
            <w:tcW w:w="324" w:type="pct"/>
            <w:gridSpan w:val="2"/>
            <w:tcBorders>
              <w:top w:val="single" w:color="000000" w:sz="8" w:space="0"/>
              <w:left w:val="single" w:color="000000" w:sz="8" w:space="0"/>
              <w:bottom w:val="single" w:color="000000" w:sz="8" w:space="0"/>
              <w:right w:val="single" w:color="000000" w:sz="8" w:space="0"/>
            </w:tcBorders>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排入二十一涌</w:t>
            </w:r>
          </w:p>
        </w:tc>
        <w:tc>
          <w:tcPr>
            <w:tcW w:w="472" w:type="pct"/>
            <w:tcBorders>
              <w:top w:val="single" w:color="000000" w:sz="8" w:space="0"/>
              <w:left w:val="single" w:color="000000" w:sz="8" w:space="0"/>
              <w:bottom w:val="single" w:color="000000" w:sz="8" w:space="0"/>
              <w:right w:val="single" w:color="000000" w:sz="8" w:space="0"/>
            </w:tcBorders>
            <w:vAlign w:val="center"/>
          </w:tcPr>
          <w:p>
            <w:pPr>
              <w:widowControl/>
              <w:rPr>
                <w:rFonts w:ascii="Times New Roman" w:hAnsi="Times New Roman" w:eastAsiaTheme="minorEastAsia"/>
                <w:b w:val="0"/>
                <w:bCs/>
                <w:color w:val="auto"/>
                <w:sz w:val="24"/>
                <w:szCs w:val="24"/>
                <w:highlight w:val="yellow"/>
              </w:rPr>
            </w:pPr>
          </w:p>
        </w:tc>
      </w:tr>
      <w:tr>
        <w:tblPrEx>
          <w:tblCellMar>
            <w:top w:w="0" w:type="dxa"/>
            <w:left w:w="108" w:type="dxa"/>
            <w:bottom w:w="0" w:type="dxa"/>
            <w:right w:w="108" w:type="dxa"/>
          </w:tblCellMar>
        </w:tblPrEx>
        <w:trPr>
          <w:gridBefore w:val="1"/>
          <w:wBefore w:w="12" w:type="pct"/>
          <w:trHeight w:val="660" w:hRule="atLeast"/>
          <w:jc w:val="center"/>
        </w:trPr>
        <w:tc>
          <w:tcPr>
            <w:tcW w:w="287" w:type="pct"/>
            <w:tcBorders>
              <w:left w:val="single" w:color="auto" w:sz="4" w:space="0"/>
              <w:right w:val="single" w:color="auto" w:sz="4" w:space="0"/>
            </w:tcBorders>
            <w:vAlign w:val="center"/>
          </w:tcPr>
          <w:p>
            <w:pPr>
              <w:widowControl/>
              <w:jc w:val="center"/>
              <w:rPr>
                <w:rFonts w:ascii="Times New Roman" w:hAnsi="Times New Roman"/>
                <w:b w:val="0"/>
                <w:color w:val="auto"/>
                <w:sz w:val="24"/>
                <w:szCs w:val="24"/>
              </w:rPr>
            </w:pPr>
          </w:p>
        </w:tc>
        <w:tc>
          <w:tcPr>
            <w:tcW w:w="631" w:type="pct"/>
            <w:tcBorders>
              <w:top w:val="single" w:color="000000" w:sz="8" w:space="0"/>
              <w:left w:val="single" w:color="auto" w:sz="4"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规划纵三路</w:t>
            </w:r>
          </w:p>
        </w:tc>
        <w:tc>
          <w:tcPr>
            <w:tcW w:w="315"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448.41</w:t>
            </w:r>
          </w:p>
        </w:tc>
        <w:tc>
          <w:tcPr>
            <w:tcW w:w="390"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69.6</w:t>
            </w:r>
          </w:p>
        </w:tc>
        <w:tc>
          <w:tcPr>
            <w:tcW w:w="338"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 xml:space="preserve">10923.19 </w:t>
            </w:r>
          </w:p>
        </w:tc>
        <w:tc>
          <w:tcPr>
            <w:tcW w:w="470"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2400x2000</w:t>
            </w:r>
          </w:p>
        </w:tc>
        <w:tc>
          <w:tcPr>
            <w:tcW w:w="335" w:type="pct"/>
            <w:gridSpan w:val="2"/>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2</w:t>
            </w:r>
          </w:p>
        </w:tc>
        <w:tc>
          <w:tcPr>
            <w:tcW w:w="309"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b w:val="0"/>
                <w:bCs/>
                <w:color w:val="auto"/>
                <w:highlight w:val="yellow"/>
              </w:rPr>
              <w:t xml:space="preserve">2.30 </w:t>
            </w:r>
          </w:p>
        </w:tc>
        <w:tc>
          <w:tcPr>
            <w:tcW w:w="595" w:type="pct"/>
            <w:tcBorders>
              <w:top w:val="single" w:color="000000" w:sz="8" w:space="0"/>
              <w:left w:val="single" w:color="000000" w:sz="8" w:space="0"/>
              <w:bottom w:val="single" w:color="000000" w:sz="8" w:space="0"/>
              <w:right w:val="single" w:color="000000" w:sz="8" w:space="0"/>
            </w:tcBorders>
            <w:vAlign w:val="center"/>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406.0</w:t>
            </w:r>
          </w:p>
        </w:tc>
        <w:tc>
          <w:tcPr>
            <w:tcW w:w="522" w:type="pct"/>
            <w:tcBorders>
              <w:top w:val="single" w:color="000000" w:sz="8" w:space="0"/>
              <w:left w:val="single" w:color="000000" w:sz="8" w:space="0"/>
              <w:bottom w:val="single" w:color="000000" w:sz="8" w:space="0"/>
              <w:right w:val="single" w:color="000000" w:sz="8" w:space="0"/>
            </w:tcBorders>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钢筋混凝土渠箱</w:t>
            </w:r>
          </w:p>
        </w:tc>
        <w:tc>
          <w:tcPr>
            <w:tcW w:w="324" w:type="pct"/>
            <w:gridSpan w:val="2"/>
            <w:tcBorders>
              <w:top w:val="single" w:color="000000" w:sz="8" w:space="0"/>
              <w:left w:val="single" w:color="000000" w:sz="8" w:space="0"/>
              <w:bottom w:val="single" w:color="000000" w:sz="8" w:space="0"/>
              <w:right w:val="single" w:color="000000" w:sz="8" w:space="0"/>
            </w:tcBorders>
          </w:tcPr>
          <w:p>
            <w:pPr>
              <w:widowControl/>
              <w:jc w:val="center"/>
              <w:rPr>
                <w:rFonts w:ascii="Times New Roman" w:hAnsi="Times New Roman" w:eastAsiaTheme="minorEastAsia"/>
                <w:b w:val="0"/>
                <w:bCs/>
                <w:color w:val="auto"/>
                <w:sz w:val="24"/>
                <w:szCs w:val="24"/>
                <w:highlight w:val="yellow"/>
              </w:rPr>
            </w:pPr>
            <w:r>
              <w:rPr>
                <w:rFonts w:ascii="Times New Roman" w:hAnsi="Times New Roman" w:eastAsiaTheme="minorEastAsia"/>
                <w:b w:val="0"/>
                <w:bCs/>
                <w:color w:val="auto"/>
                <w:sz w:val="24"/>
                <w:szCs w:val="24"/>
                <w:highlight w:val="yellow"/>
              </w:rPr>
              <w:t>排入二十一涌</w:t>
            </w:r>
          </w:p>
        </w:tc>
        <w:tc>
          <w:tcPr>
            <w:tcW w:w="472" w:type="pct"/>
            <w:tcBorders>
              <w:top w:val="single" w:color="000000" w:sz="8" w:space="0"/>
              <w:left w:val="single" w:color="000000" w:sz="8" w:space="0"/>
              <w:bottom w:val="single" w:color="000000" w:sz="8" w:space="0"/>
              <w:right w:val="single" w:color="000000" w:sz="8" w:space="0"/>
            </w:tcBorders>
            <w:vAlign w:val="center"/>
          </w:tcPr>
          <w:p>
            <w:pPr>
              <w:widowControl/>
              <w:rPr>
                <w:rFonts w:ascii="Times New Roman" w:hAnsi="Times New Roman" w:eastAsiaTheme="minorEastAsia"/>
                <w:b w:val="0"/>
                <w:bCs/>
                <w:color w:val="auto"/>
                <w:sz w:val="24"/>
                <w:szCs w:val="24"/>
                <w:highlight w:val="yellow"/>
              </w:rPr>
            </w:pPr>
          </w:p>
        </w:tc>
      </w:tr>
    </w:tbl>
    <w:p>
      <w:pPr>
        <w:rPr>
          <w:rFonts w:ascii="Times New Roman" w:hAnsi="Times New Roman"/>
          <w:b w:val="0"/>
          <w:bCs/>
          <w:color w:val="auto"/>
          <w:sz w:val="21"/>
          <w:szCs w:val="21"/>
        </w:rPr>
        <w:sectPr>
          <w:headerReference r:id="rId11" w:type="default"/>
          <w:footerReference r:id="rId12" w:type="default"/>
          <w:pgSz w:w="23814" w:h="16840" w:orient="landscape"/>
          <w:pgMar w:top="1701" w:right="1440" w:bottom="1106" w:left="1814" w:header="851" w:footer="283" w:gutter="0"/>
          <w:cols w:space="1028" w:num="1"/>
          <w:docGrid w:type="lines" w:linePitch="382" w:charSpace="0"/>
        </w:sectPr>
      </w:pPr>
    </w:p>
    <w:p>
      <w:pPr>
        <w:tabs>
          <w:tab w:val="left" w:pos="284"/>
        </w:tabs>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1）面层出现破损时应及时进行修补或更换；</w:t>
      </w:r>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2）出现不均匀沉降时应进行局部整修找平；</w:t>
      </w:r>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3）当渗透能力大幅下降时应采用冲洗、负压抽吸等方法及时进行清理。</w:t>
      </w:r>
    </w:p>
    <w:p>
      <w:pPr>
        <w:numPr>
          <w:ilvl w:val="0"/>
          <w:numId w:val="55"/>
        </w:numPr>
        <w:tabs>
          <w:tab w:val="left" w:pos="360"/>
        </w:tabs>
        <w:autoSpaceDE w:val="0"/>
        <w:autoSpaceDN w:val="0"/>
        <w:adjustRightInd w:val="0"/>
        <w:spacing w:line="360" w:lineRule="auto"/>
        <w:ind w:firstLine="480" w:firstLineChars="200"/>
        <w:jc w:val="left"/>
        <w:rPr>
          <w:rFonts w:ascii="Times New Roman" w:hAnsi="Times New Roman"/>
          <w:b w:val="0"/>
          <w:color w:val="FF0000"/>
          <w:sz w:val="24"/>
          <w:szCs w:val="21"/>
        </w:rPr>
      </w:pPr>
      <w:r>
        <w:rPr>
          <w:rFonts w:ascii="Times New Roman" w:hAnsi="Times New Roman"/>
          <w:b w:val="0"/>
          <w:color w:val="FF0000"/>
          <w:sz w:val="24"/>
          <w:szCs w:val="21"/>
        </w:rPr>
        <w:t>维护频率</w:t>
      </w:r>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（1）下沉式绿地</w:t>
      </w:r>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检修2次/年（雨季之前、期中），植物生长季节修剪1次/月。</w:t>
      </w:r>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（2）透水铺装</w:t>
      </w:r>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检修、疏通透水能力2次/年（雨季之前和期中）。</w:t>
      </w:r>
    </w:p>
    <w:p>
      <w:pPr>
        <w:pStyle w:val="4"/>
        <w:ind w:firstLine="482" w:firstLineChars="200"/>
      </w:pPr>
      <w:bookmarkStart w:id="503" w:name="_Toc24109"/>
      <w:r>
        <w:t>结论与建议</w:t>
      </w:r>
      <w:bookmarkEnd w:id="503"/>
    </w:p>
    <w:p>
      <w:pPr>
        <w:tabs>
          <w:tab w:val="left" w:pos="284"/>
        </w:tabs>
        <w:spacing w:line="300" w:lineRule="auto"/>
        <w:ind w:left="57" w:firstLine="480" w:firstLineChars="200"/>
        <w:rPr>
          <w:rFonts w:ascii="Times New Roman" w:hAnsi="Times New Roman"/>
          <w:b w:val="0"/>
          <w:color w:val="auto"/>
          <w:sz w:val="24"/>
          <w:szCs w:val="24"/>
        </w:rPr>
      </w:pPr>
      <w:r>
        <w:rPr>
          <w:rFonts w:ascii="Times New Roman" w:hAnsi="Times New Roman"/>
          <w:b w:val="0"/>
          <w:color w:val="auto"/>
          <w:sz w:val="24"/>
          <w:szCs w:val="24"/>
        </w:rPr>
        <w:t>本项目的海绵城市技术专篇满足国家及广州市相关规划、规范、标准指标的要求，且考虑到了海绵城市建设可能带来的多种问题，切实可行。</w:t>
      </w:r>
    </w:p>
    <w:p>
      <w:pPr>
        <w:spacing w:line="300" w:lineRule="auto"/>
        <w:ind w:firstLine="480" w:firstLineChars="200"/>
        <w:rPr>
          <w:rFonts w:ascii="Times New Roman" w:hAnsi="Times New Roman"/>
          <w:b w:val="0"/>
          <w:color w:val="auto"/>
          <w:sz w:val="24"/>
          <w:szCs w:val="24"/>
        </w:rPr>
      </w:pPr>
      <w:r>
        <w:rPr>
          <w:rFonts w:ascii="Times New Roman" w:hAnsi="Times New Roman"/>
          <w:b w:val="0"/>
          <w:color w:val="auto"/>
          <w:sz w:val="24"/>
          <w:szCs w:val="24"/>
        </w:rPr>
        <w:t>本方案采取下沉式绿地、透水铺装等一系列绿色生态措施，实现了场地雨水的“渗、滞、蓄、净、排”，改变了场地雨水原始的快排、直排模式，极大的减少了场地雨水的外排，有效缓解场地市政雨水的压力。</w:t>
      </w:r>
    </w:p>
    <w:p>
      <w:pPr>
        <w:ind w:firstLine="480" w:firstLineChars="200"/>
        <w:rPr>
          <w:rFonts w:ascii="Times New Roman" w:hAnsi="Times New Roman"/>
          <w:b w:val="0"/>
          <w:color w:val="auto"/>
          <w:sz w:val="24"/>
          <w:szCs w:val="24"/>
        </w:rPr>
      </w:pPr>
      <w:r>
        <w:rPr>
          <w:rFonts w:ascii="Times New Roman" w:hAnsi="Times New Roman"/>
          <w:b w:val="0"/>
          <w:color w:val="auto"/>
          <w:sz w:val="24"/>
          <w:szCs w:val="24"/>
        </w:rPr>
        <w:br w:type="page"/>
      </w:r>
    </w:p>
    <w:p>
      <w:pPr>
        <w:pStyle w:val="2"/>
        <w:keepNext/>
        <w:keepLines/>
        <w:numPr>
          <w:ilvl w:val="0"/>
          <w:numId w:val="2"/>
        </w:numPr>
        <w:spacing w:before="191" w:beforeLines="0" w:after="191" w:afterLines="0" w:line="360" w:lineRule="auto"/>
        <w:ind w:firstLine="643" w:firstLineChars="200"/>
        <w:jc w:val="center"/>
        <w:rPr>
          <w:rFonts w:ascii="Times New Roman" w:hAnsi="Times New Roman"/>
          <w:color w:val="auto"/>
        </w:rPr>
      </w:pPr>
      <w:bookmarkStart w:id="504" w:name="_Toc1775"/>
      <w:r>
        <w:rPr>
          <w:rFonts w:ascii="Times New Roman" w:hAnsi="Times New Roman"/>
          <w:color w:val="auto"/>
        </w:rPr>
        <w:t>树木保护专章</w:t>
      </w:r>
      <w:bookmarkEnd w:id="504"/>
    </w:p>
    <w:p>
      <w:pPr>
        <w:pStyle w:val="3"/>
        <w:ind w:firstLine="562" w:firstLineChars="200"/>
      </w:pPr>
      <w:bookmarkStart w:id="505" w:name="_Toc23445"/>
      <w:r>
        <w:t>项目概述</w:t>
      </w:r>
      <w:bookmarkEnd w:id="505"/>
    </w:p>
    <w:p>
      <w:pPr>
        <w:pStyle w:val="4"/>
        <w:ind w:firstLine="482" w:firstLineChars="200"/>
      </w:pPr>
      <w:bookmarkStart w:id="506" w:name="_Toc15387"/>
      <w:bookmarkStart w:id="507" w:name="_Toc1043"/>
      <w:r>
        <w:t>项目名称</w:t>
      </w:r>
      <w:bookmarkEnd w:id="506"/>
      <w:r>
        <w:t>、建设单位、项目建设位置</w:t>
      </w:r>
      <w:bookmarkEnd w:id="507"/>
    </w:p>
    <w:p>
      <w:pPr>
        <w:spacing w:line="288"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（1）项目名称：</w:t>
      </w:r>
    </w:p>
    <w:p>
      <w:pPr>
        <w:spacing w:line="288" w:lineRule="auto"/>
        <w:ind w:firstLine="480" w:firstLineChars="200"/>
        <w:jc w:val="left"/>
        <w:rPr>
          <w:rFonts w:ascii="Times New Roman" w:hAnsi="Times New Roman" w:eastAsiaTheme="minorEastAsia"/>
          <w:b w:val="0"/>
          <w:bCs/>
          <w:color w:val="auto"/>
          <w:sz w:val="24"/>
          <w:szCs w:val="24"/>
        </w:rPr>
      </w:pPr>
      <w:r>
        <w:rPr>
          <w:rFonts w:hint="eastAsia" w:ascii="Times New Roman" w:hAnsi="Times New Roman" w:eastAsiaTheme="minorEastAsia"/>
          <w:b w:val="0"/>
          <w:bCs/>
          <w:color w:val="auto"/>
          <w:sz w:val="24"/>
          <w:szCs w:val="24"/>
        </w:rPr>
        <w:t>南沙全民文化体育综合体项目配套骨干道路（二十涌北路、规划纵三路）</w:t>
      </w:r>
    </w:p>
    <w:p>
      <w:pPr>
        <w:spacing w:line="288"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（2）建设管理单位：</w:t>
      </w:r>
    </w:p>
    <w:p>
      <w:pPr>
        <w:spacing w:line="288"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广州南沙交通投资集团有限公司</w:t>
      </w:r>
    </w:p>
    <w:p>
      <w:pPr>
        <w:spacing w:line="288"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（3）编制单位：</w:t>
      </w:r>
    </w:p>
    <w:p>
      <w:pPr>
        <w:spacing w:line="288"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广东省建筑设计研究院有限公司</w:t>
      </w:r>
    </w:p>
    <w:p>
      <w:pPr>
        <w:spacing w:line="288"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（4）项目建设位置：</w:t>
      </w:r>
    </w:p>
    <w:p>
      <w:pPr>
        <w:spacing w:line="288"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项目位于南沙新区万顷沙镇，北至二十涌，南至二十一涌</w:t>
      </w:r>
    </w:p>
    <w:p>
      <w:pPr>
        <w:pStyle w:val="4"/>
        <w:ind w:firstLine="482" w:firstLineChars="200"/>
      </w:pPr>
      <w:bookmarkStart w:id="508" w:name="_Toc7613"/>
      <w:r>
        <w:t>树木资源调查范围</w:t>
      </w:r>
      <w:bookmarkEnd w:id="508"/>
    </w:p>
    <w:p>
      <w:pPr>
        <w:spacing w:line="288" w:lineRule="auto"/>
        <w:ind w:firstLine="480" w:firstLineChars="200"/>
        <w:jc w:val="left"/>
        <w:rPr>
          <w:rFonts w:ascii="Times New Roman" w:hAnsi="Times New Roman" w:eastAsiaTheme="minorEastAsia"/>
          <w:b w:val="0"/>
          <w:bCs/>
          <w:color w:val="auto"/>
          <w:sz w:val="24"/>
          <w:szCs w:val="24"/>
        </w:rPr>
      </w:pPr>
      <w:r>
        <w:rPr>
          <w:rFonts w:hint="eastAsia" w:ascii="Times New Roman" w:hAnsi="Times New Roman" w:eastAsiaTheme="minorEastAsia"/>
          <w:b w:val="0"/>
          <w:bCs/>
          <w:color w:val="auto"/>
          <w:sz w:val="24"/>
          <w:szCs w:val="24"/>
        </w:rPr>
        <w:t>南沙全民文化体育综合体项目配套骨干道路（二十涌北路、规划纵三路）</w:t>
      </w:r>
      <w:r>
        <w:rPr>
          <w:rFonts w:ascii="Times New Roman" w:hAnsi="Times New Roman" w:eastAsiaTheme="minorEastAsia"/>
          <w:b w:val="0"/>
          <w:bCs/>
          <w:color w:val="auto"/>
          <w:sz w:val="24"/>
          <w:szCs w:val="24"/>
        </w:rPr>
        <w:t>道路红线以及放坡范围的乔木，调查范围包括</w:t>
      </w:r>
      <w:r>
        <w:rPr>
          <w:rFonts w:hint="eastAsia" w:ascii="Times New Roman" w:hAnsi="Times New Roman" w:eastAsiaTheme="minorEastAsia"/>
          <w:b w:val="0"/>
          <w:bCs/>
          <w:color w:val="auto"/>
          <w:sz w:val="24"/>
          <w:szCs w:val="24"/>
          <w:highlight w:val="magenta"/>
        </w:rPr>
        <w:t>2</w:t>
      </w:r>
      <w:r>
        <w:rPr>
          <w:rFonts w:ascii="Times New Roman" w:hAnsi="Times New Roman" w:eastAsiaTheme="minorEastAsia"/>
          <w:b w:val="0"/>
          <w:bCs/>
          <w:color w:val="auto"/>
          <w:sz w:val="24"/>
          <w:szCs w:val="24"/>
          <w:highlight w:val="magenta"/>
        </w:rPr>
        <w:t>条新建市政道路，</w:t>
      </w:r>
      <w:r>
        <w:rPr>
          <w:rFonts w:ascii="Times New Roman" w:hAnsi="Times New Roman" w:eastAsiaTheme="minorEastAsia"/>
          <w:b w:val="0"/>
          <w:bCs/>
          <w:color w:val="auto"/>
          <w:sz w:val="24"/>
          <w:szCs w:val="24"/>
        </w:rPr>
        <w:t>其中城市主干路</w:t>
      </w:r>
      <w:r>
        <w:rPr>
          <w:rFonts w:hint="eastAsia" w:ascii="Times New Roman" w:hAnsi="Times New Roman" w:eastAsiaTheme="minorEastAsia"/>
          <w:b w:val="0"/>
          <w:bCs/>
          <w:color w:val="auto"/>
          <w:sz w:val="24"/>
          <w:szCs w:val="24"/>
        </w:rPr>
        <w:t>1</w:t>
      </w:r>
      <w:r>
        <w:rPr>
          <w:rFonts w:ascii="Times New Roman" w:hAnsi="Times New Roman" w:eastAsiaTheme="minorEastAsia"/>
          <w:b w:val="0"/>
          <w:bCs/>
          <w:color w:val="auto"/>
          <w:sz w:val="24"/>
          <w:szCs w:val="24"/>
        </w:rPr>
        <w:t>条，为二十涌北路；城市次干路</w:t>
      </w:r>
      <w:r>
        <w:rPr>
          <w:rFonts w:hint="eastAsia" w:ascii="Times New Roman" w:hAnsi="Times New Roman" w:eastAsiaTheme="minorEastAsia"/>
          <w:b w:val="0"/>
          <w:bCs/>
          <w:color w:val="auto"/>
          <w:sz w:val="24"/>
          <w:szCs w:val="24"/>
        </w:rPr>
        <w:t>1</w:t>
      </w:r>
      <w:r>
        <w:rPr>
          <w:rFonts w:ascii="Times New Roman" w:hAnsi="Times New Roman" w:eastAsiaTheme="minorEastAsia"/>
          <w:b w:val="0"/>
          <w:bCs/>
          <w:color w:val="auto"/>
          <w:sz w:val="24"/>
          <w:szCs w:val="24"/>
        </w:rPr>
        <w:t>条，为规划纵三路，调查总面积约</w:t>
      </w:r>
      <w:r>
        <w:rPr>
          <w:rFonts w:hint="eastAsia" w:ascii="Times New Roman" w:hAnsi="Times New Roman" w:eastAsiaTheme="minorEastAsia"/>
          <w:b w:val="0"/>
          <w:bCs/>
          <w:color w:val="auto"/>
          <w:sz w:val="24"/>
          <w:szCs w:val="24"/>
        </w:rPr>
        <w:t>184267.3</w:t>
      </w:r>
      <w:r>
        <w:rPr>
          <w:rFonts w:ascii="Times New Roman" w:hAnsi="Times New Roman" w:eastAsiaTheme="minorEastAsia"/>
          <w:b w:val="0"/>
          <w:bCs/>
          <w:color w:val="auto"/>
          <w:sz w:val="24"/>
          <w:szCs w:val="24"/>
        </w:rPr>
        <w:t>㎡。</w:t>
      </w:r>
    </w:p>
    <w:p>
      <w:pPr>
        <w:pStyle w:val="4"/>
        <w:ind w:firstLine="482" w:firstLineChars="200"/>
      </w:pPr>
      <w:bookmarkStart w:id="509" w:name="_Toc17412"/>
      <w:r>
        <w:t>项目背景、编制原则、项目规模及建设必要性</w:t>
      </w:r>
      <w:bookmarkEnd w:id="509"/>
    </w:p>
    <w:p>
      <w:pPr>
        <w:wordWrap w:val="0"/>
        <w:spacing w:line="288"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（1）项目背景</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根据《广州市树木保护管理规定（试行）》第一条：为践行国家生态文明建设理念，提升树木保护管理水平，实现绿化高质量发展，依据《广州市绿化条例》，结合本市实际情况，制定本规定。</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树木保护的目的：为贯彻落实《国务院办公厅关于科学绿化的指导意见》切实加强城市建设和发展中的绿化和树木保护工作，推动我市城乡绿化高质量发展，为建设美丽广州提供良好生态保障。</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指导思想：以习近平新时代中国特色社会主义思想为指导，全面贯彻党的二十大和十九届二中、三中、四中、五中全会精神，深入贯彻习近平生态文明思想，认真贯彻习近平总书记对广东系列重要讲话和重要指示批示精神，立足新发展阶段、贯彻新发展理念、构建新发展格局，坚持人与自然和谐共生原则，践行绿水青山就是金山银山的理念，尊重自然、顺应自然、保护自然，按照山水林田湖草沙系统治理要求，坚持节约优先、保护优先、自然恢复为主的方针，科学规划，严格保护，精准建设，完善机制，全面推行林长制，走科学、生态、节俭的绿化发展之路，用“绣花功夫”推进广州国土绿化，加快实现老城市新活力，在综合城市功能、城市文化综合实力、现代服务业、现代化国际化营商环境方面出新出彩。</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坚持保护优先、自然恢复为主，人工修复与自然恢复相结合，遵循生态系统内在规律开展林草植被建设，着力提高生态系统自我修复能力和稳定性。本着对历史和人民负责的态度，保护好城市一草一木，特别是古树大树，留住更多城市记忆。</w:t>
      </w:r>
    </w:p>
    <w:p>
      <w:pPr>
        <w:wordWrap w:val="0"/>
        <w:spacing w:line="288"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（2）项目规模</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本项目包含</w:t>
      </w:r>
      <w:r>
        <w:rPr>
          <w:rFonts w:hint="eastAsia" w:ascii="Times New Roman" w:hAnsi="Times New Roman" w:eastAsiaTheme="minorEastAsia"/>
          <w:b w:val="0"/>
          <w:bCs/>
          <w:color w:val="auto"/>
          <w:sz w:val="24"/>
          <w:szCs w:val="24"/>
        </w:rPr>
        <w:t>2</w:t>
      </w:r>
      <w:r>
        <w:rPr>
          <w:rFonts w:ascii="Times New Roman" w:hAnsi="Times New Roman" w:eastAsiaTheme="minorEastAsia"/>
          <w:b w:val="0"/>
          <w:bCs/>
          <w:color w:val="auto"/>
          <w:sz w:val="24"/>
          <w:szCs w:val="24"/>
        </w:rPr>
        <w:t>条道路，均为新建道路，道路总长约</w:t>
      </w:r>
      <w:r>
        <w:rPr>
          <w:rFonts w:hint="eastAsia" w:ascii="Times New Roman" w:hAnsi="Times New Roman" w:eastAsiaTheme="minorEastAsia"/>
          <w:b w:val="0"/>
          <w:bCs/>
          <w:color w:val="auto"/>
          <w:sz w:val="24"/>
          <w:szCs w:val="24"/>
        </w:rPr>
        <w:t>3337</w:t>
      </w:r>
      <w:r>
        <w:rPr>
          <w:rFonts w:ascii="Times New Roman" w:hAnsi="Times New Roman" w:eastAsiaTheme="minorEastAsia"/>
          <w:b w:val="0"/>
          <w:bCs/>
          <w:color w:val="auto"/>
          <w:sz w:val="24"/>
          <w:szCs w:val="24"/>
        </w:rPr>
        <w:t>m：</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二十涌北路（万环西南延线至灵新大道南延线）道路等级为城市主干路，设计速度为60km/h，双向6车道，红线宽度为50m，路线走向为由西向东。道路起于万环西南延线，终于灵新大道南延线，路线长度为1852m。</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划纵三路（二十涌北路至滨海路）道路等级为城市次干路，设计速度为40km/h，红线宽度为34m，双向6车道。路线走向为由北向南，道路起点为二十涌北路，终于滨海路，道路全长约为1485m。</w:t>
      </w:r>
    </w:p>
    <w:p>
      <w:pPr>
        <w:wordWrap w:val="0"/>
        <w:spacing w:line="300" w:lineRule="auto"/>
        <w:ind w:firstLine="480" w:firstLineChars="200"/>
        <w:jc w:val="left"/>
        <w:rPr>
          <w:rFonts w:ascii="Times New Roman" w:hAnsi="Times New Roman" w:eastAsiaTheme="minorEastAsia"/>
          <w:b w:val="0"/>
          <w:bCs/>
          <w:color w:val="auto"/>
          <w:sz w:val="24"/>
          <w:szCs w:val="24"/>
          <w:highlight w:val="green"/>
        </w:rPr>
      </w:pPr>
      <w:r>
        <w:rPr>
          <w:rFonts w:ascii="Times New Roman" w:hAnsi="Times New Roman" w:eastAsiaTheme="minorEastAsia"/>
          <w:b w:val="0"/>
          <w:bCs/>
          <w:color w:val="auto"/>
          <w:sz w:val="24"/>
          <w:szCs w:val="24"/>
          <w:highlight w:val="green"/>
        </w:rPr>
        <w:t>本项目范围内共计树木（乔木）1株，由于道路（含边坡）、桥梁施工的原因，拟保留树木0株，迁移利用树木共</w:t>
      </w:r>
      <w:r>
        <w:rPr>
          <w:rFonts w:hint="eastAsia" w:ascii="Times New Roman" w:hAnsi="Times New Roman" w:eastAsiaTheme="minorEastAsia"/>
          <w:b w:val="0"/>
          <w:bCs/>
          <w:color w:val="auto"/>
          <w:sz w:val="24"/>
          <w:szCs w:val="24"/>
          <w:highlight w:val="green"/>
        </w:rPr>
        <w:t>1</w:t>
      </w:r>
      <w:r>
        <w:rPr>
          <w:rFonts w:ascii="Times New Roman" w:hAnsi="Times New Roman" w:eastAsiaTheme="minorEastAsia"/>
          <w:b w:val="0"/>
          <w:bCs/>
          <w:color w:val="auto"/>
          <w:sz w:val="24"/>
          <w:szCs w:val="24"/>
          <w:highlight w:val="green"/>
        </w:rPr>
        <w:t>株，其中由于项目范围内基本为经济树木，基本不能用作行道树，红线内回迁利用0株，红线外移植树木为</w:t>
      </w:r>
      <w:r>
        <w:rPr>
          <w:rFonts w:hint="eastAsia" w:ascii="Times New Roman" w:hAnsi="Times New Roman" w:eastAsiaTheme="minorEastAsia"/>
          <w:b w:val="0"/>
          <w:bCs/>
          <w:color w:val="auto"/>
          <w:sz w:val="24"/>
          <w:szCs w:val="24"/>
          <w:highlight w:val="green"/>
        </w:rPr>
        <w:t>1</w:t>
      </w:r>
      <w:r>
        <w:rPr>
          <w:rFonts w:ascii="Times New Roman" w:hAnsi="Times New Roman" w:eastAsiaTheme="minorEastAsia"/>
          <w:b w:val="0"/>
          <w:bCs/>
          <w:color w:val="auto"/>
          <w:sz w:val="24"/>
          <w:szCs w:val="24"/>
          <w:highlight w:val="green"/>
        </w:rPr>
        <w:t>株。另外无迁移利用价值树木为</w:t>
      </w:r>
      <w:r>
        <w:rPr>
          <w:rFonts w:hint="eastAsia" w:ascii="Times New Roman" w:hAnsi="Times New Roman" w:eastAsiaTheme="minorEastAsia"/>
          <w:b w:val="0"/>
          <w:bCs/>
          <w:color w:val="auto"/>
          <w:sz w:val="24"/>
          <w:szCs w:val="24"/>
          <w:highlight w:val="green"/>
        </w:rPr>
        <w:t>0</w:t>
      </w:r>
      <w:r>
        <w:rPr>
          <w:rFonts w:ascii="Times New Roman" w:hAnsi="Times New Roman" w:eastAsiaTheme="minorEastAsia"/>
          <w:b w:val="0"/>
          <w:bCs/>
          <w:color w:val="auto"/>
          <w:sz w:val="24"/>
          <w:szCs w:val="24"/>
          <w:highlight w:val="green"/>
        </w:rPr>
        <w:t>株。回迁移植利用率100%（不含无迁移利用价值树木），其中红线内树木回迁利用率0%，红线外树木移植利用率100%。不涉及移植古树资源和古树名木。</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（3）建设必要性</w:t>
      </w:r>
    </w:p>
    <w:p>
      <w:pPr>
        <w:wordWrap w:val="0"/>
        <w:spacing w:line="288"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1）本项目的建设是完善综合体体育馆片区路网结构的需要</w:t>
      </w:r>
    </w:p>
    <w:p>
      <w:pPr>
        <w:wordWrap w:val="0"/>
        <w:spacing w:line="288"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本项目位于万顷沙镇，其功能定位为万顷沙镇优质配套服务区，以旅游和商业服务功能为主，全面对接综合体场馆进行开发建设，为万顷沙镇的就业人口提供完善、优质的配套服务，打造成生态友好、环境舒适、配套齐全的水乡社区。</w:t>
      </w:r>
    </w:p>
    <w:p>
      <w:pPr>
        <w:wordWrap w:val="0"/>
        <w:spacing w:line="288"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目前，万顷沙镇的建设正在快速、有序开展，其基础设施的完善也将为该区域吸引大量的人流、交通流，这将促使片区内配套服务设施的需求大大提高。因此，综合体体育馆骨干路网的开发建设更显迫切，需于近期加快建设。</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综合体体育馆存在骨架路网结构为：万环西路、灵新大道等，目前，片区内骨架路网正积极建设和完善，由于片区内大多数土地尚未有效开发，导致内部现状道路系统部分缺失，其内部规划道路存在未健全、断头路的现象。内部网络的连通不足，导致城市基础设施薄弱，点与点之间的联系通达性无法满足城市发展的需求。为加强综合体体育馆路网结构的完善，疏通片区内部与周边的联系，加快城市化发展，亟需对片区内道路进行规划建设与进一步完善。</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本项目的建设将进一步健全交通体系，创建优质配套服务区，完善综合体体育馆片区路网结构，全面构筑“棋盘式”路网格局与万顷沙镇进行全面对接，提高道路通行功能，改善交通条件，有效实现区域地块互联互通的需要。</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2)是吸引企业投资，带动产业发展，提高区域竞争力的需要</w:t>
      </w:r>
    </w:p>
    <w:p>
      <w:pPr>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项目现状周边地块现状主要为农田和鱼塘等，产业以渔农产业为主，其基础设施薄弱、零散、不健全，造成现有用地开发层次低、环境差、土地利用经济价值无法充分体现。项目建设将提升加工制造区块的景观与形象，为城市环境发展发挥积极的作用。</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本项目的实施可为区域用地及沿线区域提供全面的市政配套服务设施，改善区域投资环境，将吸引更多企业进驻南沙，促进产业发展，进一步带动南沙整体经济水平的发展，从而提高南沙区在珠三角区域内的竞争力，大大提升土地利用经济价值。</w:t>
      </w:r>
    </w:p>
    <w:p>
      <w:pPr>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3)南沙万顷沙建设大型城市综合体规划占地面积约3平方公里，集文化、旅游、体育、会议和国防教育等功能为一体，树立广州最南端海陆门户的城市形象，带动湾区发展。</w:t>
      </w:r>
    </w:p>
    <w:p>
      <w:pPr>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广州南沙南部片区地处粤港澳大湾区几何中心，方圆100公里内分布着大湾区“9+2”所有城市，紧邻深中通道，面朝珠江出海口，区位、交通和景观条件得天独厚，是广州城市空间发展南拓战略中连接大湾区环湾内圈层发展带的战略性支点。2022年6月国务院印发《广州南沙深化面向世界的粤港澳全面合作总体方案》，明确了南沙深化粤港澳全面合作的目标和任务，要求南沙建设成</w:t>
      </w:r>
    </w:p>
    <w:p>
      <w:pPr>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立足湾区、协同港澳、面向世界的重大战略性平台，在粤港澳大湾区建设中更好发挥引领带动作用”。南部片区是广州最南端海陆空门户，肩负为粤港澳全面合作进一步推进创新示范的新使命。广州提出将南沙打造为广州“双核”的新核心区，建设“精明增长、精致城区、岭南特色、田园风格、中国气派”的南沙，谋划在南部片区打造“对外交流”的平台，通过打造满足重大文体赛事需求，集文化、旅游、体育、会议和国防教育等功能为一体的大型城市综合体，以大型城市综合体的建设带动湾区发展，实现南沙从湾区几何中心走向湾区功能中心，形成热火朝天落实《广州南沙深化面向世界的粤港澳全面合作总体方案》的良好局面。</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本项目的建设，密织综合体交通网络，积极引导产业落户，打造良好产业基地，推动南沙“生命未来城”的建设，为构筑湾区“科技未来城”献力。</w:t>
      </w:r>
    </w:p>
    <w:p>
      <w:pPr>
        <w:pStyle w:val="4"/>
        <w:ind w:firstLine="482" w:firstLineChars="200"/>
      </w:pPr>
      <w:bookmarkStart w:id="510" w:name="_Toc12622"/>
      <w:r>
        <w:t>主要结论和建议</w:t>
      </w:r>
      <w:bookmarkEnd w:id="510"/>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（1）结论</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本项目范围内共计树木（乔木）1株，由于道路（含边坡）、桥梁施工的原因，拟保留树木0株，迁移利用树木共</w:t>
      </w:r>
      <w:r>
        <w:rPr>
          <w:rFonts w:hint="eastAsia" w:ascii="Times New Roman" w:hAnsi="Times New Roman" w:eastAsiaTheme="minorEastAsia"/>
          <w:b w:val="0"/>
          <w:bCs/>
          <w:color w:val="auto"/>
          <w:sz w:val="24"/>
          <w:szCs w:val="24"/>
        </w:rPr>
        <w:t>1</w:t>
      </w:r>
      <w:r>
        <w:rPr>
          <w:rFonts w:ascii="Times New Roman" w:hAnsi="Times New Roman" w:eastAsiaTheme="minorEastAsia"/>
          <w:b w:val="0"/>
          <w:bCs/>
          <w:color w:val="auto"/>
          <w:sz w:val="24"/>
          <w:szCs w:val="24"/>
        </w:rPr>
        <w:t>株，其中由于项目范围内基本为经济树木，基本不能用作行道树，红线内回迁利用0株，红线外移植树木为</w:t>
      </w:r>
      <w:r>
        <w:rPr>
          <w:rFonts w:hint="eastAsia" w:ascii="Times New Roman" w:hAnsi="Times New Roman" w:eastAsiaTheme="minorEastAsia"/>
          <w:b w:val="0"/>
          <w:bCs/>
          <w:color w:val="auto"/>
          <w:sz w:val="24"/>
          <w:szCs w:val="24"/>
        </w:rPr>
        <w:t>1</w:t>
      </w:r>
      <w:r>
        <w:rPr>
          <w:rFonts w:ascii="Times New Roman" w:hAnsi="Times New Roman" w:eastAsiaTheme="minorEastAsia"/>
          <w:b w:val="0"/>
          <w:bCs/>
          <w:color w:val="auto"/>
          <w:sz w:val="24"/>
          <w:szCs w:val="24"/>
        </w:rPr>
        <w:t>株。另外无迁移利用价值树木为</w:t>
      </w:r>
      <w:r>
        <w:rPr>
          <w:rFonts w:hint="eastAsia" w:ascii="Times New Roman" w:hAnsi="Times New Roman" w:eastAsiaTheme="minorEastAsia"/>
          <w:b w:val="0"/>
          <w:bCs/>
          <w:color w:val="auto"/>
          <w:sz w:val="24"/>
          <w:szCs w:val="24"/>
        </w:rPr>
        <w:t>0</w:t>
      </w:r>
      <w:r>
        <w:rPr>
          <w:rFonts w:ascii="Times New Roman" w:hAnsi="Times New Roman" w:eastAsiaTheme="minorEastAsia"/>
          <w:b w:val="0"/>
          <w:bCs/>
          <w:color w:val="auto"/>
          <w:sz w:val="24"/>
          <w:szCs w:val="24"/>
        </w:rPr>
        <w:t>株。回迁移植利用率100%（不含无迁移利用价值树木），其中红线内树木回迁利用率0%，红线外树木移植利用率100%。不涉及移植古树资源和古树名木。</w:t>
      </w:r>
    </w:p>
    <w:p>
      <w:pPr>
        <w:spacing w:line="300" w:lineRule="auto"/>
        <w:ind w:firstLine="480" w:firstLineChars="200"/>
        <w:jc w:val="left"/>
        <w:rPr>
          <w:rFonts w:ascii="Times New Roman" w:hAnsi="Times New Roman" w:eastAsiaTheme="minorEastAsia"/>
          <w:b w:val="0"/>
          <w:bCs/>
          <w:color w:val="auto"/>
          <w:sz w:val="24"/>
          <w:szCs w:val="24"/>
        </w:rPr>
      </w:pPr>
      <w:r>
        <w:rPr>
          <w:rFonts w:hint="eastAsia" w:ascii="Times New Roman" w:hAnsi="Times New Roman" w:eastAsiaTheme="minorEastAsia"/>
          <w:b w:val="0"/>
          <w:bCs/>
          <w:color w:val="auto"/>
          <w:sz w:val="24"/>
          <w:szCs w:val="24"/>
          <w:highlight w:val="green"/>
        </w:rPr>
        <w:t>本项目树木保护方案已取得住建园林部门的复函（详见附件18：关于对南沙全民文化体育综合体项目配套骨干道路工程树木保护专章意见的复函），根据复函，住建园林部门对该项目立项阶段城市树木保护专章无原则性修改意见。</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（2）建议</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1）因项目范围内涉及树木较少，且呈现点状分布，大多为经济树木，红线内回迁利用或原址保留的树木应考虑与道路路段行道树绿化风格统一，且选用原场地内的乡土书，以达到较佳的绿化景观效果，因此红线范围内树木考虑场外移植利用。</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2）南沙万顷沙范围目前有仍较多的苗木场及果树林，建议将有利用价值的经济树木迁移至就近苗木场。</w:t>
      </w:r>
    </w:p>
    <w:p>
      <w:pPr>
        <w:pStyle w:val="3"/>
        <w:ind w:firstLine="562" w:firstLineChars="200"/>
      </w:pPr>
      <w:bookmarkStart w:id="511" w:name="_Toc23364"/>
      <w:r>
        <w:t>编制依据</w:t>
      </w:r>
      <w:bookmarkEnd w:id="511"/>
    </w:p>
    <w:p>
      <w:pPr>
        <w:pStyle w:val="4"/>
        <w:ind w:firstLine="482" w:firstLineChars="200"/>
      </w:pPr>
      <w:bookmarkStart w:id="512" w:name="_Toc4438"/>
      <w:r>
        <w:t>法律法规</w:t>
      </w:r>
      <w:bookmarkEnd w:id="512"/>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1、《中华人民共和国环境保护法》</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2、《城市古树名木保护管理办法》</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3、《城市绿化条例》</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4、《广东省城市绿化条例》</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5、《广州市绿化条例》</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6、《广州市古树名木迁移管理办法》</w:t>
      </w:r>
    </w:p>
    <w:p>
      <w:pPr>
        <w:pStyle w:val="4"/>
        <w:ind w:firstLine="482" w:firstLineChars="200"/>
      </w:pPr>
      <w:bookmarkStart w:id="513" w:name="_Toc30448"/>
      <w:r>
        <w:t>指导性文件</w:t>
      </w:r>
      <w:bookmarkEnd w:id="513"/>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1、《国务院办公厅关于科学绿化的指导意见》国发办【2021】19号</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2、《国务院办公厅关于科学绿化的指导意见》</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3、《广东省人民政府办公厅关于科学绿化的实施意见》（粤府办〔2021]48号）</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4、《广州市关于在城市更新行动种防止大拆大建问题的实施意见（试行）》</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5、《广州市关于科学绿化的实施意见》（穗办[2021]11号）</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6、关于《广州市城市树木保护管理规定（试行）》的通知(穗林业园林规字【2022】1号)</w:t>
      </w:r>
    </w:p>
    <w:p>
      <w:pPr>
        <w:pStyle w:val="4"/>
        <w:ind w:firstLine="482" w:firstLineChars="200"/>
      </w:pPr>
      <w:bookmarkStart w:id="514" w:name="_Toc930"/>
      <w:r>
        <w:t>技术规范及指引</w:t>
      </w:r>
      <w:bookmarkEnd w:id="514"/>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1、《城市道路绿化规划与设计规范》（CJJ75-1997）</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2、《园林绿化工程项目规范（GB55014-2021）》</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3、《园林绿化工程施工及验收规范》（CJJ82-2012）</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4、《园林绿化养护标准》（CJJ/T287-2018）</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5、《园林树木安全性评价技术规范（DB4401/T17-2019）》</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6、《古树名木健康巡查技术规范（DB4401T126-2021）》</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7、《广州市城市树木保护专章编制技术指引》</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8、《广州市行道树技术工作手册》（广州市林业和园林局2021年10月）》</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9、《广州市城市树木保护管理规定》（试行）（穗林业园林规字〔2022〕1号）</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10、《广州市绿化行政审批项目专家论证工作细则》（试行）</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11、《广州市树木修剪技术指引（试行）》</w:t>
      </w:r>
    </w:p>
    <w:p>
      <w:pPr>
        <w:pStyle w:val="4"/>
        <w:ind w:firstLine="482" w:firstLineChars="200"/>
      </w:pPr>
      <w:bookmarkStart w:id="515" w:name="_Toc26175"/>
      <w:r>
        <w:t>部分条文</w:t>
      </w:r>
      <w:bookmarkEnd w:id="515"/>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根据《广州市城市树木保护管理规定（试行）》第十二条：</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申请树木迁移审批属于下列情形的，绿化行政主管部门应当组织专家对其必要性和可行性进行论证，并征求公众意见：</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（一）涉及古树名木、古树后续资源的；</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（二）涉及大树十株以上的；</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（三）涉及城市道路、公园绿地及其他绿地树木五十株以上的；</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（四）涉及历史名园、特色风貌林荫路、历史文化街区、历史文化名镇、名村、传统村落、历史风貌区、重要滨水景观风貌区和参照历史名园管理的公园树木的。</w:t>
      </w:r>
    </w:p>
    <w:p>
      <w:pPr>
        <w:pStyle w:val="3"/>
        <w:ind w:firstLine="562" w:firstLineChars="200"/>
      </w:pPr>
      <w:bookmarkStart w:id="516" w:name="_Toc8380"/>
      <w:r>
        <w:t>编制原则</w:t>
      </w:r>
      <w:bookmarkEnd w:id="516"/>
    </w:p>
    <w:p>
      <w:pPr>
        <w:pStyle w:val="4"/>
        <w:ind w:firstLine="482" w:firstLineChars="200"/>
      </w:pPr>
      <w:bookmarkStart w:id="517" w:name="_Toc5373"/>
      <w:r>
        <w:t>树木分类基本定义</w:t>
      </w:r>
      <w:bookmarkEnd w:id="517"/>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（1）古树名木：古树，是指树龄在100年以上（含100年）的树木。名木，是指国内外稀有的</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以及具有历史价值和纪念意义及重要科研价值的树木。</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（2）古树后续资源：树龄在80年以上（含80年）不足100年的树木以及胸径80cm（含80cm）</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以上的树木；</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（3）大树：胸径在20cm以上（含20cm）80cm以下（不包含80cm）的树木;</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（4）其他：胸径在20cm以下（不含20cm）的树木。</w:t>
      </w:r>
    </w:p>
    <w:p>
      <w:pPr>
        <w:pStyle w:val="4"/>
        <w:ind w:firstLine="482" w:firstLineChars="200"/>
      </w:pPr>
      <w:bookmarkStart w:id="518" w:name="_Toc11523"/>
      <w:r>
        <w:t>编制原则</w:t>
      </w:r>
      <w:bookmarkEnd w:id="518"/>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1、科学绿化</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科学绿化是遵循自然规律和经济规律、保护修复自然生态系统、改善生态环境、维护生态安全的重要举措。坚持树木保护优先、分级分类，合理利用的指导思想，保护树木及其生境。</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2、应留尽留</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遵循自然规律和经济规律、保护修复自然生态系统、改善生态环境、维护生态安全的重要举措。</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古树名木及古树后续资源应原址保护；大树应以原址保留为主，确实需要迁移的树木，原则上在项目范围内回迁利用。</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3、分级保护</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对古树名木、古树后续资源、大树（胸径大于等于20cm、小于80cm）以及其它树木（胸径小于20cm）进行分级保护。</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4、以人为本</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建设“以人为本”的道路系统，处理好机动车、行人的关系；重视道路树木管养维护，保障行车、行人的安全性。保障行车、行人的安全性。坚持把绿化作为城市有生命的基础设施，融入城市历史文化，加强保护和传承有地域特色的树木和公园。绿化建设落实“人民城市人民建、人民城市为人民”理念，加强公众参与，营造共建共享氛围。</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4、景观协调</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重视工程沿线的树木保护及围蔽等设施的设计，协调道路及交通设施的总体布置，以达到空间生态、绿色、景观的有机组合，减少对周边环境的干扰。</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5、就近迁移</w:t>
      </w:r>
    </w:p>
    <w:p>
      <w:pPr>
        <w:wordWrap w:val="0"/>
        <w:spacing w:line="300" w:lineRule="auto"/>
        <w:ind w:firstLine="480" w:firstLineChars="200"/>
        <w:jc w:val="left"/>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sz w:val="24"/>
          <w:szCs w:val="24"/>
        </w:rPr>
        <w:t>对受影响的树木尽量选择在项目红线范围内的用地进行就近移植或再利用，优先考虑一次迁移到位，尽量减少二次迁移，按就近迁移安置原则，优先考虑把公园绿地、附属绿地、生产绿地等作为移植地或中转苗</w:t>
      </w:r>
      <w:r>
        <w:rPr>
          <w:rFonts w:ascii="Times New Roman" w:hAnsi="Times New Roman" w:eastAsiaTheme="minorEastAsia"/>
          <w:b w:val="0"/>
          <w:bCs/>
          <w:color w:val="auto"/>
          <w:kern w:val="0"/>
          <w:sz w:val="24"/>
          <w:szCs w:val="24"/>
        </w:rPr>
        <w:t>圃。</w:t>
      </w:r>
    </w:p>
    <w:p>
      <w:pPr>
        <w:wordWrap w:val="0"/>
        <w:spacing w:line="300" w:lineRule="auto"/>
        <w:ind w:firstLine="480" w:firstLineChars="200"/>
        <w:jc w:val="left"/>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6、统一性</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道路景观不但</w:t>
      </w:r>
      <w:r>
        <w:rPr>
          <w:rFonts w:hint="eastAsia" w:ascii="Times New Roman" w:hAnsi="Times New Roman" w:eastAsiaTheme="minorEastAsia"/>
          <w:b w:val="0"/>
          <w:bCs/>
          <w:color w:val="auto"/>
          <w:sz w:val="24"/>
          <w:szCs w:val="24"/>
        </w:rPr>
        <w:t>要</w:t>
      </w:r>
      <w:r>
        <w:rPr>
          <w:rFonts w:ascii="Times New Roman" w:hAnsi="Times New Roman" w:eastAsiaTheme="minorEastAsia"/>
          <w:b w:val="0"/>
          <w:bCs/>
          <w:color w:val="auto"/>
          <w:sz w:val="24"/>
          <w:szCs w:val="24"/>
        </w:rPr>
        <w:t>有本身的整体性和统一，而且要融入万顷沙路网的环境中去与</w:t>
      </w:r>
      <w:r>
        <w:rPr>
          <w:rFonts w:hint="eastAsia" w:ascii="Times New Roman" w:hAnsi="Times New Roman" w:eastAsiaTheme="minorEastAsia"/>
          <w:b w:val="0"/>
          <w:bCs/>
          <w:color w:val="auto"/>
          <w:sz w:val="24"/>
          <w:szCs w:val="24"/>
        </w:rPr>
        <w:t>整个</w:t>
      </w:r>
      <w:r>
        <w:rPr>
          <w:rFonts w:ascii="Times New Roman" w:hAnsi="Times New Roman" w:eastAsiaTheme="minorEastAsia"/>
          <w:b w:val="0"/>
          <w:bCs/>
          <w:color w:val="auto"/>
          <w:sz w:val="24"/>
          <w:szCs w:val="24"/>
        </w:rPr>
        <w:t>城市环境保持统一。现状道路绿化与新种绿化树木基调树种基本保持一致，树种变化根据植物的形态、色彩，采取逐渐过渡的方式，是使视觉平稳过渡、不觉突兀。</w:t>
      </w:r>
    </w:p>
    <w:p>
      <w:pPr>
        <w:pStyle w:val="3"/>
        <w:ind w:firstLine="562" w:firstLineChars="200"/>
      </w:pPr>
      <w:bookmarkStart w:id="519" w:name="_Toc9921"/>
      <w:r>
        <w:t>自然地理条件及土壤土质</w:t>
      </w:r>
      <w:bookmarkEnd w:id="519"/>
    </w:p>
    <w:p>
      <w:pPr>
        <w:pStyle w:val="4"/>
        <w:ind w:firstLine="482" w:firstLineChars="200"/>
      </w:pPr>
      <w:bookmarkStart w:id="520" w:name="_Toc21382"/>
      <w:r>
        <w:t>区域自然地理条件</w:t>
      </w:r>
      <w:bookmarkEnd w:id="520"/>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（1）地形地貌</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万顷沙原始地貌单元属珠江三角洲冲海积平原地貌，地形较为平坦，存在较厚的软土，场地现状基本为河道、既有道路、水塘、施工场地，河道水深约1.0～5.0m。</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（2）气候条件</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南沙地区属于南亚热带季风性海洋气候，地处北回归线以南，温暖、多雨、湿润，夏长冬短，夏季时段超过六个月。具有雨量充沛、光照充足、雨热同期的特点。南沙年平均气温21.8℃。年平均雨量1635毫米。年平均相对湿度为79%，年平均风速为2.2米/秒。夏半年盛吹偏东南风，冬半年多吹偏北风，全年大风日数少。夏秋季平均每年约有3~4个、最多有6个热带气旋影响我区；冬季会受强冷空气影响，平均每年约有1~2次强冷空气影响，极端最低气温0.7℃，年平均日照时数1807.6小时。</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项目建设场址所在地区处于北回归线以南，属亚热带海洋性季风气候区，气候温暖，夏季湿热，有台风，冬季干燥，有寒流。年平均气温在21.8℃,其中以7～8两月气温最高，月平均气温＞28℃,极端高温可达35～38.7℃,1、2月份气温最低，月平均气温在13℃,极端低温亦在0℃以上。</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受亚热带海洋性气候影响，区内雨量充沛，潮湿系数大于1，年降雨量在1600mm，最大可达2500mm，多集中在4～9月份，占全年降雨量80～90%。本区以季风为主，冬季多北风和西北风，风力2～4级，最大6～7级，阵风8级。夏季为东南风风力1～2级。每年5月至11月时有台风发生，且多集中在7至9月份，风力6～9级，最大可达12级，风速最大可达34m/s，按《公路自然区划标准》，本区属华南沿海台风区(Ⅳ7)。台风、强热带风暴带来的灾害性暴雨最具破坏性，是本区的主要自然灾害。暴雨使地表</w:t>
      </w:r>
      <w:r>
        <w:rPr>
          <w:rFonts w:hint="eastAsia" w:ascii="Times New Roman" w:hAnsi="Times New Roman" w:eastAsiaTheme="minorEastAsia"/>
          <w:b w:val="0"/>
          <w:bCs/>
          <w:color w:val="auto"/>
          <w:sz w:val="24"/>
          <w:szCs w:val="24"/>
        </w:rPr>
        <w:t>径流</w:t>
      </w:r>
      <w:r>
        <w:rPr>
          <w:rFonts w:ascii="Times New Roman" w:hAnsi="Times New Roman" w:eastAsiaTheme="minorEastAsia"/>
          <w:b w:val="0"/>
          <w:bCs/>
          <w:color w:val="auto"/>
          <w:sz w:val="24"/>
          <w:szCs w:val="24"/>
        </w:rPr>
        <w:t>强劲、早春阴雨绵绵使水份充分下渗地下，这些往往构成道路水害，常常诱发道路损毁。</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（3）水文与工程地质条件</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场地地下水按赋存方式分为第四系孔隙水和基岩裂隙水两类。第四系孔隙水含水层主要为砂层（2-2层、2-6层），总体上其透水性良好，富水性较丰富，其他土层透水性弱，为相对的隔水层。场地属亚热带季风性气候，降水量大于蒸发量，大气降水是孔隙潜水的主要补给来源之一，每年4~9月份是地下水补给期，10月至次年3月为地下水消耗期和排泄期。地下水水位埋藏较浅，钻孔稳定水位埋深为0.00～1.60m。在浅部干湿交替条件下有中等腐蚀性，对钢结构有中等腐蚀性。</w:t>
      </w:r>
    </w:p>
    <w:p>
      <w:pPr>
        <w:pStyle w:val="4"/>
        <w:ind w:firstLine="482" w:firstLineChars="200"/>
      </w:pPr>
      <w:bookmarkStart w:id="521" w:name="_Toc29624"/>
      <w:bookmarkStart w:id="522" w:name="_Toc8432"/>
      <w:r>
        <w:t>场地地质构造</w:t>
      </w:r>
      <w:bookmarkEnd w:id="521"/>
      <w:bookmarkEnd w:id="522"/>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（1）岩土地层结构及其特征</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因本工程正在开展勘察工作，结合南沙地区的地质情况的特点，对本工程拟建场地的地质情况总结如下。</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上覆土层主要有：人工堆积成因的素填土（Qml），冲洪积成因的淤泥（淤泥质土）、下伏基岩为燕山期花岗岩(γ)。钻孔揭露的土（岩）层按其成因及工程特性由上而下综合描述如下：</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1）素填土：浅黄～浅褐色、灰褐色，欠压实，松散～稍密，主要填料为砂质粘性土，稍湿，可塑。</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2）淤泥（淤泥质土）：深灰色，饱和，流塑，含腐殖质，局部含有少量贝壳，具臭味。局部夹薄层粉砂，平均厚度约30~44m。</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3）中砂层：黄色，饱和；石英质砂为主，含少量粘性，级配一般。一般含较多淤泥质粘粒，平均厚度约5.60m。</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4）花岗岩强风化层：褐黄色；半岩半土状；矿物成分大部分风化成土状，岩芯手可捏碎，局部夹若风化岩块。</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5）花岗岩弱风化层：青灰色、褐黄色；岩质较硬，裂隙较发育，岩芯碎块状、短柱状，锤击声哑。</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（2）水文地质</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1）地下水情况</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场区地貌主要属珠江三角洲冲积平原，是地表水和地下水的径流排泄区。场地地下水类型主要为上层滞水、孔隙承压水以及基岩孔隙裂隙水。</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a.上层滞水：赋存于结构疏松的人工填土层中，含水量不大，其动态受季节性控制，主要接受大气降水和河涌水的渗入补给。</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b.孔隙承压水：赋存于第四系冲积层之含水砂层中。孔隙水主要为承压水，局部地段为潜水，主要接受上覆含水层的越流补给和上游地下水</w:t>
      </w:r>
      <w:r>
        <w:rPr>
          <w:rFonts w:hint="eastAsia" w:ascii="Times New Roman" w:hAnsi="Times New Roman" w:eastAsiaTheme="minorEastAsia"/>
          <w:b w:val="0"/>
          <w:bCs/>
          <w:color w:val="auto"/>
          <w:sz w:val="24"/>
          <w:szCs w:val="24"/>
        </w:rPr>
        <w:t>径流</w:t>
      </w:r>
      <w:r>
        <w:rPr>
          <w:rFonts w:ascii="Times New Roman" w:hAnsi="Times New Roman" w:eastAsiaTheme="minorEastAsia"/>
          <w:b w:val="0"/>
          <w:bCs/>
          <w:color w:val="auto"/>
          <w:sz w:val="24"/>
          <w:szCs w:val="24"/>
        </w:rPr>
        <w:t>以及河涌水的侧向补给。</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c.基岩孔隙裂隙承压水：基岩强、弱风化带孔隙裂隙发育，特别是断裂带及其附近岩石破碎，裂隙发育，含孔隙裂隙承压水。地下水主要靠上覆孔隙水的越流补给和上游地下水</w:t>
      </w:r>
      <w:r>
        <w:rPr>
          <w:rFonts w:hint="eastAsia" w:ascii="Times New Roman" w:hAnsi="Times New Roman" w:eastAsiaTheme="minorEastAsia"/>
          <w:b w:val="0"/>
          <w:bCs/>
          <w:color w:val="auto"/>
          <w:sz w:val="24"/>
          <w:szCs w:val="24"/>
        </w:rPr>
        <w:t>径流</w:t>
      </w:r>
      <w:r>
        <w:rPr>
          <w:rFonts w:ascii="Times New Roman" w:hAnsi="Times New Roman" w:eastAsiaTheme="minorEastAsia"/>
          <w:b w:val="0"/>
          <w:bCs/>
          <w:color w:val="auto"/>
          <w:sz w:val="24"/>
          <w:szCs w:val="24"/>
        </w:rPr>
        <w:t>的侧向补给。</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(3)不良地质与特殊性岩土评价</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场地未见岩溶、土洞、采空区、滑坡、崩塌、泥石流等地质灾害分布，但饱和粉细砂层（2-2层）局部存在轻微液化问题，软土层（2-1和2-4层）具有震陷的可能，均不利于浅基础的稳定，但可以采用工程措施进行处理，因此综合评定本场地基本适宜于拟建工程的建设。</w:t>
      </w:r>
    </w:p>
    <w:p>
      <w:pPr>
        <w:pStyle w:val="4"/>
        <w:ind w:firstLine="482" w:firstLineChars="200"/>
      </w:pPr>
      <w:bookmarkStart w:id="523" w:name="_Toc6260"/>
      <w:r>
        <w:t>现状乔木土壤土质条件</w:t>
      </w:r>
      <w:bookmarkEnd w:id="523"/>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项目位于南沙区万顷沙南端,该区域人工填土围垦区及滩涂，土壤较为肥沃，土壤条件较适合种植树木，但土壤排水透气性差，新建道路后可回填换部分土以改善其透气性透水性。</w:t>
      </w:r>
    </w:p>
    <w:p>
      <w:pPr>
        <w:pStyle w:val="3"/>
        <w:ind w:firstLine="562" w:firstLineChars="200"/>
      </w:pPr>
      <w:bookmarkStart w:id="524" w:name="_Toc16850"/>
      <w:r>
        <w:t>树木资源调查</w:t>
      </w:r>
      <w:bookmarkEnd w:id="524"/>
    </w:p>
    <w:p>
      <w:pPr>
        <w:pStyle w:val="4"/>
        <w:ind w:firstLine="482" w:firstLineChars="200"/>
      </w:pPr>
      <w:bookmarkStart w:id="525" w:name="_Toc18538"/>
      <w:r>
        <w:t>原有树木摸查情况</w:t>
      </w:r>
      <w:bookmarkEnd w:id="525"/>
    </w:p>
    <w:p>
      <w:pPr>
        <w:wordWrap w:val="0"/>
        <w:spacing w:line="300" w:lineRule="auto"/>
        <w:ind w:firstLine="480" w:firstLineChars="200"/>
        <w:jc w:val="left"/>
      </w:pPr>
      <w:r>
        <w:rPr>
          <w:rFonts w:hint="eastAsia" w:ascii="Times New Roman" w:hAnsi="Times New Roman" w:eastAsiaTheme="minorEastAsia"/>
          <w:b w:val="0"/>
          <w:bCs/>
          <w:color w:val="auto"/>
          <w:sz w:val="24"/>
          <w:szCs w:val="24"/>
        </w:rPr>
        <w:t>树木摸查范围如下：</w:t>
      </w:r>
      <w:r>
        <w:drawing>
          <wp:inline distT="0" distB="0" distL="114300" distR="114300">
            <wp:extent cx="6194425" cy="3575685"/>
            <wp:effectExtent l="0" t="0" r="15875" b="5715"/>
            <wp:docPr id="1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5"/>
                    <pic:cNvPicPr>
                      <a:picLocks noChangeAspect="1"/>
                    </pic:cNvPicPr>
                  </pic:nvPicPr>
                  <pic:blipFill>
                    <a:blip r:embed="rId310"/>
                    <a:stretch>
                      <a:fillRect/>
                    </a:stretch>
                  </pic:blipFill>
                  <pic:spPr>
                    <a:xfrm>
                      <a:off x="0" y="0"/>
                      <a:ext cx="6194425" cy="3575685"/>
                    </a:xfrm>
                    <a:prstGeom prst="rect">
                      <a:avLst/>
                    </a:prstGeom>
                    <a:noFill/>
                    <a:ln>
                      <a:noFill/>
                    </a:ln>
                  </pic:spPr>
                </pic:pic>
              </a:graphicData>
            </a:graphic>
          </wp:inline>
        </w:drawing>
      </w:r>
    </w:p>
    <w:p>
      <w:pPr>
        <w:spacing w:line="300" w:lineRule="auto"/>
        <w:ind w:firstLine="480" w:firstLineChars="200"/>
        <w:jc w:val="center"/>
      </w:pPr>
      <w:r>
        <w:rPr>
          <w:rFonts w:hint="eastAsia" w:ascii="Times New Roman" w:hAnsi="Times New Roman" w:eastAsiaTheme="minorEastAsia"/>
          <w:b w:val="0"/>
          <w:bCs/>
          <w:color w:val="auto"/>
          <w:sz w:val="24"/>
          <w:szCs w:val="24"/>
        </w:rPr>
        <w:t>树木调查范围图</w:t>
      </w:r>
    </w:p>
    <w:p>
      <w:pPr>
        <w:wordWrap w:val="0"/>
        <w:spacing w:line="300" w:lineRule="auto"/>
        <w:ind w:firstLine="480" w:firstLineChars="200"/>
        <w:jc w:val="center"/>
        <w:rPr>
          <w:rFonts w:ascii="Times New Roman" w:hAnsi="Times New Roman" w:eastAsiaTheme="minorEastAsia"/>
          <w:b w:val="0"/>
          <w:bCs/>
          <w:color w:val="auto"/>
          <w:sz w:val="24"/>
          <w:szCs w:val="24"/>
        </w:rPr>
      </w:pPr>
      <w:r>
        <w:rPr>
          <w:rFonts w:ascii="Times New Roman" w:hAnsi="Times New Roman" w:eastAsiaTheme="minorEastAsia"/>
          <w:b w:val="0"/>
          <w:bCs/>
          <w:color w:val="auto"/>
          <w:kern w:val="0"/>
          <w:sz w:val="24"/>
          <w:szCs w:val="24"/>
        </w:rPr>
        <w:drawing>
          <wp:inline distT="0" distB="0" distL="0" distR="0">
            <wp:extent cx="5342255" cy="3329940"/>
            <wp:effectExtent l="0" t="0" r="10795" b="381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pic:cNvPicPr>
                      <a:picLocks noChangeAspect="1" noChangeArrowheads="1"/>
                    </pic:cNvPicPr>
                  </pic:nvPicPr>
                  <pic:blipFill>
                    <a:blip r:embed="rId311" cstate="print">
                      <a:extLst>
                        <a:ext uri="{28A0092B-C50C-407E-A947-70E740481C1C}">
                          <a14:useLocalDpi xmlns:a14="http://schemas.microsoft.com/office/drawing/2010/main" val="0"/>
                        </a:ext>
                      </a:extLst>
                    </a:blip>
                    <a:srcRect l="33038" t="42303" r="39934" b="35234"/>
                    <a:stretch>
                      <a:fillRect/>
                    </a:stretch>
                  </pic:blipFill>
                  <pic:spPr>
                    <a:xfrm>
                      <a:off x="0" y="0"/>
                      <a:ext cx="5342255" cy="3329940"/>
                    </a:xfrm>
                    <a:prstGeom prst="rect">
                      <a:avLst/>
                    </a:prstGeom>
                    <a:noFill/>
                    <a:ln>
                      <a:noFill/>
                    </a:ln>
                  </pic:spPr>
                </pic:pic>
              </a:graphicData>
            </a:graphic>
          </wp:inline>
        </w:drawing>
      </w:r>
      <w:r>
        <w:rPr>
          <w:rFonts w:hint="eastAsia" w:ascii="Times New Roman" w:hAnsi="Times New Roman" w:eastAsiaTheme="minorEastAsia"/>
          <w:b w:val="0"/>
          <w:bCs/>
          <w:color w:val="auto"/>
          <w:sz w:val="24"/>
          <w:szCs w:val="24"/>
        </w:rPr>
        <w:t xml:space="preserve"> </w:t>
      </w:r>
    </w:p>
    <w:p>
      <w:pPr>
        <w:spacing w:line="300" w:lineRule="auto"/>
        <w:ind w:firstLine="480" w:firstLineChars="200"/>
        <w:jc w:val="center"/>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现状树木</w:t>
      </w:r>
    </w:p>
    <w:p>
      <w:pPr>
        <w:wordWrap w:val="0"/>
        <w:spacing w:line="300" w:lineRule="auto"/>
        <w:ind w:firstLine="480" w:firstLineChars="200"/>
        <w:jc w:val="left"/>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sz w:val="24"/>
          <w:szCs w:val="24"/>
        </w:rPr>
        <w:t>项目组对工程范围的现状树木情况进行了详细调查，树木数量较少，共1株。其中乔木树种包括荔枝（</w:t>
      </w:r>
      <w:r>
        <w:rPr>
          <w:rFonts w:hint="eastAsia" w:ascii="Times New Roman" w:hAnsi="Times New Roman" w:eastAsiaTheme="minorEastAsia"/>
          <w:b w:val="0"/>
          <w:bCs/>
          <w:color w:val="auto"/>
          <w:sz w:val="24"/>
          <w:szCs w:val="24"/>
        </w:rPr>
        <w:t>1</w:t>
      </w:r>
      <w:r>
        <w:rPr>
          <w:rFonts w:ascii="Times New Roman" w:hAnsi="Times New Roman" w:eastAsiaTheme="minorEastAsia"/>
          <w:b w:val="0"/>
          <w:bCs/>
          <w:color w:val="auto"/>
          <w:sz w:val="24"/>
          <w:szCs w:val="24"/>
        </w:rPr>
        <w:t>株），分布于二十涌</w:t>
      </w:r>
      <w:r>
        <w:rPr>
          <w:rFonts w:hint="eastAsia" w:ascii="Times New Roman" w:hAnsi="Times New Roman" w:eastAsiaTheme="minorEastAsia"/>
          <w:b w:val="0"/>
          <w:bCs/>
          <w:color w:val="auto"/>
          <w:sz w:val="24"/>
          <w:szCs w:val="24"/>
        </w:rPr>
        <w:t>北路红线</w:t>
      </w:r>
      <w:r>
        <w:rPr>
          <w:rFonts w:ascii="Times New Roman" w:hAnsi="Times New Roman" w:eastAsiaTheme="minorEastAsia"/>
          <w:b w:val="0"/>
          <w:bCs/>
          <w:color w:val="auto"/>
          <w:sz w:val="24"/>
          <w:szCs w:val="24"/>
        </w:rPr>
        <w:t>范围。</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现状乔木具体规格及迁改统计数量汇总表如下，具体规格及数量详表详见附表。</w:t>
      </w:r>
    </w:p>
    <w:p>
      <w:pPr>
        <w:spacing w:line="300" w:lineRule="auto"/>
        <w:ind w:firstLine="480" w:firstLineChars="200"/>
        <w:jc w:val="center"/>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红线范围内现状乔木统计表</w:t>
      </w:r>
    </w:p>
    <w:tbl>
      <w:tblPr>
        <w:tblStyle w:val="32"/>
        <w:tblW w:w="0" w:type="auto"/>
        <w:tblInd w:w="0" w:type="dxa"/>
        <w:tblLayout w:type="autofit"/>
        <w:tblCellMar>
          <w:top w:w="0" w:type="dxa"/>
          <w:left w:w="108" w:type="dxa"/>
          <w:bottom w:w="0" w:type="dxa"/>
          <w:right w:w="108" w:type="dxa"/>
        </w:tblCellMar>
      </w:tblPr>
      <w:tblGrid>
        <w:gridCol w:w="2765"/>
        <w:gridCol w:w="2765"/>
        <w:gridCol w:w="2766"/>
      </w:tblGrid>
      <w:tr>
        <w:tblPrEx>
          <w:tblCellMar>
            <w:top w:w="0" w:type="dxa"/>
            <w:left w:w="108" w:type="dxa"/>
            <w:bottom w:w="0" w:type="dxa"/>
            <w:right w:w="108" w:type="dxa"/>
          </w:tblCellMar>
        </w:tblPrEx>
        <w:tc>
          <w:tcPr>
            <w:tcW w:w="2765" w:type="dxa"/>
          </w:tcPr>
          <w:p>
            <w:pPr>
              <w:spacing w:line="300" w:lineRule="auto"/>
              <w:jc w:val="center"/>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编号</w:t>
            </w:r>
          </w:p>
        </w:tc>
        <w:tc>
          <w:tcPr>
            <w:tcW w:w="2765" w:type="dxa"/>
          </w:tcPr>
          <w:p>
            <w:pPr>
              <w:wordWrap w:val="0"/>
              <w:spacing w:line="300" w:lineRule="auto"/>
              <w:jc w:val="center"/>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品种</w:t>
            </w:r>
          </w:p>
        </w:tc>
        <w:tc>
          <w:tcPr>
            <w:tcW w:w="2766" w:type="dxa"/>
          </w:tcPr>
          <w:p>
            <w:pPr>
              <w:wordWrap w:val="0"/>
              <w:spacing w:line="300" w:lineRule="auto"/>
              <w:jc w:val="center"/>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胸径（cm）</w:t>
            </w:r>
          </w:p>
        </w:tc>
      </w:tr>
      <w:tr>
        <w:tblPrEx>
          <w:tblCellMar>
            <w:top w:w="0" w:type="dxa"/>
            <w:left w:w="108" w:type="dxa"/>
            <w:bottom w:w="0" w:type="dxa"/>
            <w:right w:w="108" w:type="dxa"/>
          </w:tblCellMar>
        </w:tblPrEx>
        <w:tc>
          <w:tcPr>
            <w:tcW w:w="2765" w:type="dxa"/>
          </w:tcPr>
          <w:p>
            <w:pPr>
              <w:wordWrap w:val="0"/>
              <w:spacing w:line="300" w:lineRule="auto"/>
              <w:jc w:val="center"/>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T001</w:t>
            </w:r>
          </w:p>
        </w:tc>
        <w:tc>
          <w:tcPr>
            <w:tcW w:w="2765" w:type="dxa"/>
          </w:tcPr>
          <w:p>
            <w:pPr>
              <w:wordWrap w:val="0"/>
              <w:spacing w:line="300" w:lineRule="auto"/>
              <w:jc w:val="center"/>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荔枝</w:t>
            </w:r>
          </w:p>
        </w:tc>
        <w:tc>
          <w:tcPr>
            <w:tcW w:w="2766" w:type="dxa"/>
          </w:tcPr>
          <w:p>
            <w:pPr>
              <w:wordWrap w:val="0"/>
              <w:spacing w:line="300" w:lineRule="auto"/>
              <w:jc w:val="center"/>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30</w:t>
            </w:r>
          </w:p>
        </w:tc>
      </w:tr>
    </w:tbl>
    <w:p>
      <w:pPr>
        <w:spacing w:line="300" w:lineRule="auto"/>
        <w:ind w:firstLine="480" w:firstLineChars="200"/>
        <w:jc w:val="center"/>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红线范围内现状乔木数量汇总表</w:t>
      </w:r>
    </w:p>
    <w:tbl>
      <w:tblPr>
        <w:tblStyle w:val="32"/>
        <w:tblW w:w="0" w:type="auto"/>
        <w:jc w:val="center"/>
        <w:tblLayout w:type="autofit"/>
        <w:tblCellMar>
          <w:top w:w="0" w:type="dxa"/>
          <w:left w:w="108" w:type="dxa"/>
          <w:bottom w:w="0" w:type="dxa"/>
          <w:right w:w="108" w:type="dxa"/>
        </w:tblCellMar>
      </w:tblPr>
      <w:tblGrid>
        <w:gridCol w:w="2765"/>
        <w:gridCol w:w="2765"/>
        <w:gridCol w:w="2766"/>
      </w:tblGrid>
      <w:tr>
        <w:tblPrEx>
          <w:tblCellMar>
            <w:top w:w="0" w:type="dxa"/>
            <w:left w:w="108" w:type="dxa"/>
            <w:bottom w:w="0" w:type="dxa"/>
            <w:right w:w="108" w:type="dxa"/>
          </w:tblCellMar>
        </w:tblPrEx>
        <w:trPr>
          <w:jc w:val="center"/>
        </w:trPr>
        <w:tc>
          <w:tcPr>
            <w:tcW w:w="2765" w:type="dxa"/>
            <w:vAlign w:val="center"/>
          </w:tcPr>
          <w:p>
            <w:pPr>
              <w:spacing w:line="300" w:lineRule="auto"/>
              <w:jc w:val="center"/>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品种</w:t>
            </w:r>
          </w:p>
        </w:tc>
        <w:tc>
          <w:tcPr>
            <w:tcW w:w="2765" w:type="dxa"/>
            <w:vAlign w:val="center"/>
          </w:tcPr>
          <w:p>
            <w:pPr>
              <w:wordWrap w:val="0"/>
              <w:spacing w:line="300" w:lineRule="auto"/>
              <w:jc w:val="center"/>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胸径（cm）</w:t>
            </w:r>
          </w:p>
        </w:tc>
        <w:tc>
          <w:tcPr>
            <w:tcW w:w="2766" w:type="dxa"/>
            <w:vAlign w:val="center"/>
          </w:tcPr>
          <w:p>
            <w:pPr>
              <w:wordWrap w:val="0"/>
              <w:spacing w:line="300" w:lineRule="auto"/>
              <w:jc w:val="center"/>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树木数量（株）</w:t>
            </w:r>
          </w:p>
        </w:tc>
      </w:tr>
      <w:tr>
        <w:tblPrEx>
          <w:tblCellMar>
            <w:top w:w="0" w:type="dxa"/>
            <w:left w:w="108" w:type="dxa"/>
            <w:bottom w:w="0" w:type="dxa"/>
            <w:right w:w="108" w:type="dxa"/>
          </w:tblCellMar>
        </w:tblPrEx>
        <w:trPr>
          <w:jc w:val="center"/>
        </w:trPr>
        <w:tc>
          <w:tcPr>
            <w:tcW w:w="2765" w:type="dxa"/>
            <w:vMerge w:val="restart"/>
            <w:vAlign w:val="center"/>
          </w:tcPr>
          <w:p>
            <w:pPr>
              <w:wordWrap w:val="0"/>
              <w:spacing w:line="300" w:lineRule="auto"/>
              <w:jc w:val="center"/>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乔木</w:t>
            </w:r>
          </w:p>
        </w:tc>
        <w:tc>
          <w:tcPr>
            <w:tcW w:w="2765" w:type="dxa"/>
            <w:vAlign w:val="center"/>
          </w:tcPr>
          <w:p>
            <w:pPr>
              <w:wordWrap w:val="0"/>
              <w:spacing w:line="300" w:lineRule="auto"/>
              <w:jc w:val="center"/>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0-19</w:t>
            </w:r>
          </w:p>
        </w:tc>
        <w:tc>
          <w:tcPr>
            <w:tcW w:w="2766" w:type="dxa"/>
            <w:vAlign w:val="center"/>
          </w:tcPr>
          <w:p>
            <w:pPr>
              <w:wordWrap w:val="0"/>
              <w:spacing w:line="300" w:lineRule="auto"/>
              <w:jc w:val="center"/>
              <w:rPr>
                <w:rFonts w:ascii="Times New Roman" w:hAnsi="Times New Roman" w:eastAsiaTheme="minorEastAsia"/>
                <w:b w:val="0"/>
                <w:bCs/>
                <w:color w:val="auto"/>
                <w:sz w:val="24"/>
                <w:szCs w:val="24"/>
              </w:rPr>
            </w:pPr>
            <w:r>
              <w:rPr>
                <w:rFonts w:hint="eastAsia" w:ascii="Times New Roman" w:hAnsi="Times New Roman" w:eastAsiaTheme="minorEastAsia"/>
                <w:b w:val="0"/>
                <w:bCs/>
                <w:color w:val="auto"/>
                <w:sz w:val="24"/>
                <w:szCs w:val="24"/>
              </w:rPr>
              <w:t>0</w:t>
            </w:r>
          </w:p>
        </w:tc>
      </w:tr>
      <w:tr>
        <w:tblPrEx>
          <w:tblCellMar>
            <w:top w:w="0" w:type="dxa"/>
            <w:left w:w="108" w:type="dxa"/>
            <w:bottom w:w="0" w:type="dxa"/>
            <w:right w:w="108" w:type="dxa"/>
          </w:tblCellMar>
        </w:tblPrEx>
        <w:trPr>
          <w:jc w:val="center"/>
        </w:trPr>
        <w:tc>
          <w:tcPr>
            <w:tcW w:w="2765" w:type="dxa"/>
            <w:vMerge w:val="continue"/>
            <w:vAlign w:val="center"/>
          </w:tcPr>
          <w:p>
            <w:pPr>
              <w:wordWrap w:val="0"/>
              <w:spacing w:line="300" w:lineRule="auto"/>
              <w:jc w:val="center"/>
              <w:rPr>
                <w:rFonts w:ascii="Times New Roman" w:hAnsi="Times New Roman" w:eastAsiaTheme="minorEastAsia"/>
                <w:b w:val="0"/>
                <w:bCs/>
                <w:color w:val="auto"/>
                <w:sz w:val="24"/>
                <w:szCs w:val="24"/>
              </w:rPr>
            </w:pPr>
          </w:p>
        </w:tc>
        <w:tc>
          <w:tcPr>
            <w:tcW w:w="2765" w:type="dxa"/>
            <w:vAlign w:val="center"/>
          </w:tcPr>
          <w:p>
            <w:pPr>
              <w:wordWrap w:val="0"/>
              <w:spacing w:line="300" w:lineRule="auto"/>
              <w:jc w:val="center"/>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20-79</w:t>
            </w:r>
          </w:p>
        </w:tc>
        <w:tc>
          <w:tcPr>
            <w:tcW w:w="2766" w:type="dxa"/>
            <w:vAlign w:val="center"/>
          </w:tcPr>
          <w:p>
            <w:pPr>
              <w:wordWrap w:val="0"/>
              <w:spacing w:line="300" w:lineRule="auto"/>
              <w:jc w:val="center"/>
              <w:rPr>
                <w:rFonts w:ascii="Times New Roman" w:hAnsi="Times New Roman" w:eastAsiaTheme="minorEastAsia"/>
                <w:b w:val="0"/>
                <w:bCs/>
                <w:color w:val="auto"/>
                <w:sz w:val="24"/>
                <w:szCs w:val="24"/>
              </w:rPr>
            </w:pPr>
            <w:r>
              <w:rPr>
                <w:rFonts w:hint="eastAsia" w:ascii="Times New Roman" w:hAnsi="Times New Roman" w:eastAsiaTheme="minorEastAsia"/>
                <w:b w:val="0"/>
                <w:bCs/>
                <w:color w:val="auto"/>
                <w:sz w:val="24"/>
                <w:szCs w:val="24"/>
              </w:rPr>
              <w:t>1</w:t>
            </w:r>
          </w:p>
        </w:tc>
      </w:tr>
      <w:tr>
        <w:tblPrEx>
          <w:tblCellMar>
            <w:top w:w="0" w:type="dxa"/>
            <w:left w:w="108" w:type="dxa"/>
            <w:bottom w:w="0" w:type="dxa"/>
            <w:right w:w="108" w:type="dxa"/>
          </w:tblCellMar>
        </w:tblPrEx>
        <w:trPr>
          <w:jc w:val="center"/>
        </w:trPr>
        <w:tc>
          <w:tcPr>
            <w:tcW w:w="2765" w:type="dxa"/>
            <w:vMerge w:val="continue"/>
            <w:vAlign w:val="center"/>
          </w:tcPr>
          <w:p>
            <w:pPr>
              <w:wordWrap w:val="0"/>
              <w:spacing w:line="300" w:lineRule="auto"/>
              <w:jc w:val="center"/>
              <w:rPr>
                <w:rFonts w:ascii="Times New Roman" w:hAnsi="Times New Roman" w:eastAsiaTheme="minorEastAsia"/>
                <w:b w:val="0"/>
                <w:bCs/>
                <w:color w:val="auto"/>
                <w:sz w:val="24"/>
                <w:szCs w:val="24"/>
              </w:rPr>
            </w:pPr>
          </w:p>
        </w:tc>
        <w:tc>
          <w:tcPr>
            <w:tcW w:w="2765" w:type="dxa"/>
            <w:vAlign w:val="center"/>
          </w:tcPr>
          <w:p>
            <w:pPr>
              <w:wordWrap w:val="0"/>
              <w:spacing w:line="300" w:lineRule="auto"/>
              <w:jc w:val="center"/>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≥80</w:t>
            </w:r>
          </w:p>
        </w:tc>
        <w:tc>
          <w:tcPr>
            <w:tcW w:w="2766" w:type="dxa"/>
            <w:vAlign w:val="center"/>
          </w:tcPr>
          <w:p>
            <w:pPr>
              <w:wordWrap w:val="0"/>
              <w:spacing w:line="300" w:lineRule="auto"/>
              <w:jc w:val="center"/>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0</w:t>
            </w:r>
          </w:p>
        </w:tc>
      </w:tr>
      <w:tr>
        <w:tblPrEx>
          <w:tblCellMar>
            <w:top w:w="0" w:type="dxa"/>
            <w:left w:w="108" w:type="dxa"/>
            <w:bottom w:w="0" w:type="dxa"/>
            <w:right w:w="108" w:type="dxa"/>
          </w:tblCellMar>
        </w:tblPrEx>
        <w:trPr>
          <w:jc w:val="center"/>
        </w:trPr>
        <w:tc>
          <w:tcPr>
            <w:tcW w:w="2765" w:type="dxa"/>
            <w:vMerge w:val="continue"/>
            <w:vAlign w:val="center"/>
          </w:tcPr>
          <w:p>
            <w:pPr>
              <w:wordWrap w:val="0"/>
              <w:spacing w:line="300" w:lineRule="auto"/>
              <w:jc w:val="center"/>
              <w:rPr>
                <w:rFonts w:ascii="Times New Roman" w:hAnsi="Times New Roman" w:eastAsiaTheme="minorEastAsia"/>
                <w:b w:val="0"/>
                <w:bCs/>
                <w:color w:val="auto"/>
                <w:sz w:val="24"/>
                <w:szCs w:val="24"/>
              </w:rPr>
            </w:pPr>
          </w:p>
        </w:tc>
        <w:tc>
          <w:tcPr>
            <w:tcW w:w="2765" w:type="dxa"/>
            <w:vAlign w:val="center"/>
          </w:tcPr>
          <w:p>
            <w:pPr>
              <w:wordWrap w:val="0"/>
              <w:spacing w:line="300" w:lineRule="auto"/>
              <w:jc w:val="center"/>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合计</w:t>
            </w:r>
          </w:p>
        </w:tc>
        <w:tc>
          <w:tcPr>
            <w:tcW w:w="2766" w:type="dxa"/>
            <w:vAlign w:val="center"/>
          </w:tcPr>
          <w:p>
            <w:pPr>
              <w:wordWrap w:val="0"/>
              <w:spacing w:line="300" w:lineRule="auto"/>
              <w:jc w:val="center"/>
              <w:rPr>
                <w:rFonts w:ascii="Times New Roman" w:hAnsi="Times New Roman" w:eastAsiaTheme="minorEastAsia"/>
                <w:b w:val="0"/>
                <w:bCs/>
                <w:color w:val="auto"/>
                <w:sz w:val="24"/>
                <w:szCs w:val="24"/>
              </w:rPr>
            </w:pPr>
            <w:r>
              <w:rPr>
                <w:rFonts w:hint="eastAsia" w:ascii="Times New Roman" w:hAnsi="Times New Roman" w:eastAsiaTheme="minorEastAsia"/>
                <w:b w:val="0"/>
                <w:bCs/>
                <w:color w:val="auto"/>
                <w:sz w:val="24"/>
                <w:szCs w:val="24"/>
              </w:rPr>
              <w:t>1</w:t>
            </w:r>
          </w:p>
        </w:tc>
      </w:tr>
    </w:tbl>
    <w:p>
      <w:pPr>
        <w:pStyle w:val="4"/>
        <w:ind w:firstLine="482" w:firstLineChars="200"/>
      </w:pPr>
      <w:bookmarkStart w:id="526" w:name="_Toc21820"/>
      <w:r>
        <w:t>无迁移利用价值树木分析</w:t>
      </w:r>
      <w:bookmarkEnd w:id="526"/>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项目红线范围内</w:t>
      </w:r>
      <w:r>
        <w:rPr>
          <w:rFonts w:hint="eastAsia" w:ascii="Times New Roman" w:hAnsi="Times New Roman" w:eastAsiaTheme="minorEastAsia"/>
          <w:b w:val="0"/>
          <w:bCs/>
          <w:color w:val="auto"/>
          <w:sz w:val="24"/>
          <w:szCs w:val="24"/>
        </w:rPr>
        <w:t>1</w:t>
      </w:r>
      <w:r>
        <w:rPr>
          <w:rFonts w:ascii="Times New Roman" w:hAnsi="Times New Roman" w:eastAsiaTheme="minorEastAsia"/>
          <w:b w:val="0"/>
          <w:bCs/>
          <w:color w:val="auto"/>
          <w:sz w:val="24"/>
          <w:szCs w:val="24"/>
        </w:rPr>
        <w:t>株树木中，有</w:t>
      </w:r>
      <w:r>
        <w:rPr>
          <w:rFonts w:hint="eastAsia" w:ascii="Times New Roman" w:hAnsi="Times New Roman" w:eastAsiaTheme="minorEastAsia"/>
          <w:b w:val="0"/>
          <w:bCs/>
          <w:color w:val="auto"/>
          <w:sz w:val="24"/>
          <w:szCs w:val="24"/>
        </w:rPr>
        <w:t>1</w:t>
      </w:r>
      <w:r>
        <w:rPr>
          <w:rFonts w:ascii="Times New Roman" w:hAnsi="Times New Roman" w:eastAsiaTheme="minorEastAsia"/>
          <w:b w:val="0"/>
          <w:bCs/>
          <w:color w:val="auto"/>
          <w:sz w:val="24"/>
          <w:szCs w:val="24"/>
        </w:rPr>
        <w:t>株生长势正常，</w:t>
      </w:r>
      <w:r>
        <w:rPr>
          <w:rFonts w:hint="eastAsia" w:ascii="Times New Roman" w:hAnsi="Times New Roman" w:eastAsiaTheme="minorEastAsia"/>
          <w:b w:val="0"/>
          <w:bCs/>
          <w:color w:val="auto"/>
          <w:sz w:val="24"/>
          <w:szCs w:val="24"/>
        </w:rPr>
        <w:t>0</w:t>
      </w:r>
      <w:r>
        <w:rPr>
          <w:rFonts w:ascii="Times New Roman" w:hAnsi="Times New Roman" w:eastAsiaTheme="minorEastAsia"/>
          <w:b w:val="0"/>
          <w:bCs/>
          <w:color w:val="auto"/>
          <w:sz w:val="24"/>
          <w:szCs w:val="24"/>
        </w:rPr>
        <w:t>株生长势衰弱，枝条稀疏，冠幅不饱满；0株病危。</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5.3原有树木需迁改原因</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（1）位于新建道路红线范围内</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本项目道路均为新建道路，道路施工过程中所涉及的路基处理，路基挖填等施工过程必然会破坏现状地表，因此需对道路红线范围内树木迁改保护或移除无利用价值树木。</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（2）位于堆载预压排水固结处理范围内</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部分树木不在道路范围红线内，但在堆载预压排水固结处理范围区域，因施工过程中涉及场地清表平整、铺设垫层等工艺，因此需对范围内树木迁改保护或移除无利用价值树木。</w:t>
      </w:r>
    </w:p>
    <w:p>
      <w:pPr>
        <w:pStyle w:val="3"/>
        <w:ind w:firstLine="562" w:firstLineChars="200"/>
      </w:pPr>
      <w:bookmarkStart w:id="527" w:name="_Toc4843"/>
      <w:r>
        <w:t>树木保护、利用和迁移方案</w:t>
      </w:r>
      <w:bookmarkEnd w:id="527"/>
    </w:p>
    <w:p>
      <w:pPr>
        <w:pStyle w:val="4"/>
        <w:ind w:firstLine="482" w:firstLineChars="200"/>
      </w:pPr>
      <w:bookmarkStart w:id="528" w:name="_Toc145614683"/>
      <w:bookmarkStart w:id="529" w:name="_Toc7069"/>
      <w:r>
        <w:rPr>
          <w:rFonts w:hint="eastAsia"/>
        </w:rPr>
        <w:t>树木迁移必要性分析</w:t>
      </w:r>
      <w:bookmarkEnd w:id="528"/>
      <w:bookmarkEnd w:id="529"/>
    </w:p>
    <w:p>
      <w:pPr>
        <w:wordWrap w:val="0"/>
        <w:spacing w:line="300" w:lineRule="auto"/>
        <w:ind w:firstLine="480" w:firstLineChars="200"/>
        <w:jc w:val="left"/>
      </w:pPr>
      <w:r>
        <w:rPr>
          <w:rFonts w:ascii="Times New Roman" w:hAnsi="Times New Roman" w:eastAsiaTheme="minorEastAsia"/>
          <w:b w:val="0"/>
          <w:bCs/>
          <w:color w:val="auto"/>
          <w:sz w:val="24"/>
          <w:szCs w:val="24"/>
        </w:rPr>
        <w:t>既有树木迁移主要以下原因为项目场地施工需要。因部分树木生长在项目将要施工的道路人行道和车行道上，若不迁移将会影响项目施工，需要将部分原有树迁移。</w:t>
      </w:r>
    </w:p>
    <w:p>
      <w:pPr>
        <w:pStyle w:val="4"/>
        <w:ind w:firstLine="482" w:firstLineChars="200"/>
      </w:pPr>
      <w:bookmarkStart w:id="530" w:name="_Toc12730"/>
      <w:r>
        <w:t>树木迁改总体分析及方案</w:t>
      </w:r>
      <w:bookmarkEnd w:id="530"/>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(一)本项目范围内共计树木（乔木）</w:t>
      </w:r>
      <w:r>
        <w:rPr>
          <w:rFonts w:hint="eastAsia" w:ascii="Times New Roman" w:hAnsi="Times New Roman" w:eastAsiaTheme="minorEastAsia"/>
          <w:b w:val="0"/>
          <w:bCs/>
          <w:color w:val="auto"/>
          <w:sz w:val="24"/>
          <w:szCs w:val="24"/>
        </w:rPr>
        <w:t>1</w:t>
      </w:r>
      <w:r>
        <w:rPr>
          <w:rFonts w:ascii="Times New Roman" w:hAnsi="Times New Roman" w:eastAsiaTheme="minorEastAsia"/>
          <w:b w:val="0"/>
          <w:bCs/>
          <w:color w:val="auto"/>
          <w:sz w:val="24"/>
          <w:szCs w:val="24"/>
        </w:rPr>
        <w:t>株，由于道路（含边坡）、桥梁施工的原因，拟保留树木0株，迁移利用树木共</w:t>
      </w:r>
      <w:r>
        <w:rPr>
          <w:rFonts w:hint="eastAsia" w:ascii="Times New Roman" w:hAnsi="Times New Roman" w:eastAsiaTheme="minorEastAsia"/>
          <w:b w:val="0"/>
          <w:bCs/>
          <w:color w:val="auto"/>
          <w:sz w:val="24"/>
          <w:szCs w:val="24"/>
        </w:rPr>
        <w:t>1</w:t>
      </w:r>
      <w:r>
        <w:rPr>
          <w:rFonts w:ascii="Times New Roman" w:hAnsi="Times New Roman" w:eastAsiaTheme="minorEastAsia"/>
          <w:b w:val="0"/>
          <w:bCs/>
          <w:color w:val="auto"/>
          <w:sz w:val="24"/>
          <w:szCs w:val="24"/>
        </w:rPr>
        <w:t>株，其中由于项目范围内基本为经济树木，基本不能用作行道树，红线内回迁利用0株，红线外移植树木为</w:t>
      </w:r>
      <w:r>
        <w:rPr>
          <w:rFonts w:hint="eastAsia" w:ascii="Times New Roman" w:hAnsi="Times New Roman" w:eastAsiaTheme="minorEastAsia"/>
          <w:b w:val="0"/>
          <w:bCs/>
          <w:color w:val="auto"/>
          <w:sz w:val="24"/>
          <w:szCs w:val="24"/>
        </w:rPr>
        <w:t>1</w:t>
      </w:r>
      <w:r>
        <w:rPr>
          <w:rFonts w:ascii="Times New Roman" w:hAnsi="Times New Roman" w:eastAsiaTheme="minorEastAsia"/>
          <w:b w:val="0"/>
          <w:bCs/>
          <w:color w:val="auto"/>
          <w:sz w:val="24"/>
          <w:szCs w:val="24"/>
        </w:rPr>
        <w:t>株。回迁移植利用率100%（不含无迁移利用价值树木），其中红线内树木回迁利用率0%，红线外树木移植利用率100%。不涉及移植古树资源和古树名木。</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二）本工程范围内树木均不涉及回迁，均考虑场外移植，因此成活率较高，但场外移植涉及到接收单位。因移植树木为经济作物，一般不考虑迁移到公共绿地，考虑移植到就近的苗木场、花果场，需建设单位在实施前先做好协调沟通。</w:t>
      </w:r>
    </w:p>
    <w:p>
      <w:pPr>
        <w:pStyle w:val="4"/>
        <w:ind w:firstLine="482" w:firstLineChars="200"/>
      </w:pPr>
      <w:bookmarkStart w:id="531" w:name="_Toc15990"/>
      <w:r>
        <w:t>树木迁移数量</w:t>
      </w:r>
      <w:bookmarkEnd w:id="531"/>
    </w:p>
    <w:p>
      <w:pPr>
        <w:spacing w:line="300" w:lineRule="auto"/>
        <w:ind w:firstLine="480" w:firstLineChars="200"/>
        <w:jc w:val="center"/>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树木迁移分类数量表</w:t>
      </w:r>
    </w:p>
    <w:tbl>
      <w:tblPr>
        <w:tblStyle w:val="32"/>
        <w:tblW w:w="0" w:type="auto"/>
        <w:jc w:val="center"/>
        <w:tblLayout w:type="autofit"/>
        <w:tblCellMar>
          <w:top w:w="0" w:type="dxa"/>
          <w:left w:w="108" w:type="dxa"/>
          <w:bottom w:w="0" w:type="dxa"/>
          <w:right w:w="108" w:type="dxa"/>
        </w:tblCellMar>
      </w:tblPr>
      <w:tblGrid>
        <w:gridCol w:w="1382"/>
        <w:gridCol w:w="1382"/>
        <w:gridCol w:w="1383"/>
        <w:gridCol w:w="1383"/>
        <w:gridCol w:w="1383"/>
        <w:gridCol w:w="1383"/>
      </w:tblGrid>
      <w:tr>
        <w:tblPrEx>
          <w:tblCellMar>
            <w:top w:w="0" w:type="dxa"/>
            <w:left w:w="108" w:type="dxa"/>
            <w:bottom w:w="0" w:type="dxa"/>
            <w:right w:w="108" w:type="dxa"/>
          </w:tblCellMar>
        </w:tblPrEx>
        <w:trPr>
          <w:jc w:val="center"/>
        </w:trPr>
        <w:tc>
          <w:tcPr>
            <w:tcW w:w="1382" w:type="dxa"/>
            <w:vMerge w:val="restart"/>
            <w:vAlign w:val="center"/>
          </w:tcPr>
          <w:p>
            <w:pPr>
              <w:spacing w:line="300" w:lineRule="auto"/>
              <w:jc w:val="center"/>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编号</w:t>
            </w:r>
          </w:p>
        </w:tc>
        <w:tc>
          <w:tcPr>
            <w:tcW w:w="1382" w:type="dxa"/>
            <w:vMerge w:val="restart"/>
            <w:vAlign w:val="center"/>
          </w:tcPr>
          <w:p>
            <w:pPr>
              <w:wordWrap w:val="0"/>
              <w:spacing w:line="300" w:lineRule="auto"/>
              <w:jc w:val="center"/>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树种</w:t>
            </w:r>
          </w:p>
        </w:tc>
        <w:tc>
          <w:tcPr>
            <w:tcW w:w="1383" w:type="dxa"/>
            <w:vMerge w:val="restart"/>
            <w:vAlign w:val="center"/>
          </w:tcPr>
          <w:p>
            <w:pPr>
              <w:wordWrap w:val="0"/>
              <w:spacing w:line="300" w:lineRule="auto"/>
              <w:jc w:val="center"/>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胸径</w:t>
            </w:r>
          </w:p>
        </w:tc>
        <w:tc>
          <w:tcPr>
            <w:tcW w:w="4149" w:type="dxa"/>
            <w:gridSpan w:val="3"/>
            <w:vAlign w:val="center"/>
          </w:tcPr>
          <w:p>
            <w:pPr>
              <w:wordWrap w:val="0"/>
              <w:spacing w:line="300" w:lineRule="auto"/>
              <w:jc w:val="center"/>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迁移方式（株）</w:t>
            </w:r>
          </w:p>
        </w:tc>
      </w:tr>
      <w:tr>
        <w:tblPrEx>
          <w:tblCellMar>
            <w:top w:w="0" w:type="dxa"/>
            <w:left w:w="108" w:type="dxa"/>
            <w:bottom w:w="0" w:type="dxa"/>
            <w:right w:w="108" w:type="dxa"/>
          </w:tblCellMar>
        </w:tblPrEx>
        <w:trPr>
          <w:jc w:val="center"/>
        </w:trPr>
        <w:tc>
          <w:tcPr>
            <w:tcW w:w="1382" w:type="dxa"/>
            <w:vMerge w:val="continue"/>
            <w:vAlign w:val="center"/>
          </w:tcPr>
          <w:p>
            <w:pPr>
              <w:wordWrap w:val="0"/>
              <w:spacing w:line="300" w:lineRule="auto"/>
              <w:jc w:val="center"/>
              <w:rPr>
                <w:rFonts w:ascii="Times New Roman" w:hAnsi="Times New Roman" w:eastAsiaTheme="minorEastAsia"/>
                <w:b w:val="0"/>
                <w:bCs/>
                <w:color w:val="auto"/>
                <w:kern w:val="0"/>
                <w:sz w:val="24"/>
                <w:szCs w:val="24"/>
              </w:rPr>
            </w:pPr>
          </w:p>
        </w:tc>
        <w:tc>
          <w:tcPr>
            <w:tcW w:w="1382" w:type="dxa"/>
            <w:vMerge w:val="continue"/>
            <w:vAlign w:val="center"/>
          </w:tcPr>
          <w:p>
            <w:pPr>
              <w:wordWrap w:val="0"/>
              <w:spacing w:line="300" w:lineRule="auto"/>
              <w:jc w:val="center"/>
              <w:rPr>
                <w:rFonts w:ascii="Times New Roman" w:hAnsi="Times New Roman" w:eastAsiaTheme="minorEastAsia"/>
                <w:b w:val="0"/>
                <w:bCs/>
                <w:color w:val="auto"/>
                <w:kern w:val="0"/>
                <w:sz w:val="24"/>
                <w:szCs w:val="24"/>
              </w:rPr>
            </w:pPr>
          </w:p>
        </w:tc>
        <w:tc>
          <w:tcPr>
            <w:tcW w:w="1383" w:type="dxa"/>
            <w:vMerge w:val="continue"/>
            <w:vAlign w:val="center"/>
          </w:tcPr>
          <w:p>
            <w:pPr>
              <w:wordWrap w:val="0"/>
              <w:spacing w:line="300" w:lineRule="auto"/>
              <w:jc w:val="center"/>
              <w:rPr>
                <w:rFonts w:ascii="Times New Roman" w:hAnsi="Times New Roman" w:eastAsiaTheme="minorEastAsia"/>
                <w:b w:val="0"/>
                <w:bCs/>
                <w:color w:val="auto"/>
                <w:kern w:val="0"/>
                <w:sz w:val="24"/>
                <w:szCs w:val="24"/>
              </w:rPr>
            </w:pPr>
          </w:p>
        </w:tc>
        <w:tc>
          <w:tcPr>
            <w:tcW w:w="1383" w:type="dxa"/>
            <w:vAlign w:val="center"/>
          </w:tcPr>
          <w:p>
            <w:pPr>
              <w:wordWrap w:val="0"/>
              <w:spacing w:line="300" w:lineRule="auto"/>
              <w:jc w:val="center"/>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红线内回迁</w:t>
            </w:r>
          </w:p>
        </w:tc>
        <w:tc>
          <w:tcPr>
            <w:tcW w:w="1383" w:type="dxa"/>
            <w:vAlign w:val="center"/>
          </w:tcPr>
          <w:p>
            <w:pPr>
              <w:wordWrap w:val="0"/>
              <w:spacing w:line="300" w:lineRule="auto"/>
              <w:jc w:val="center"/>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红线外移植</w:t>
            </w:r>
          </w:p>
        </w:tc>
        <w:tc>
          <w:tcPr>
            <w:tcW w:w="1383" w:type="dxa"/>
            <w:vAlign w:val="center"/>
          </w:tcPr>
          <w:p>
            <w:pPr>
              <w:wordWrap w:val="0"/>
              <w:spacing w:line="300" w:lineRule="auto"/>
              <w:jc w:val="center"/>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无利用价值树木</w:t>
            </w:r>
          </w:p>
        </w:tc>
      </w:tr>
      <w:tr>
        <w:tblPrEx>
          <w:tblCellMar>
            <w:top w:w="0" w:type="dxa"/>
            <w:left w:w="108" w:type="dxa"/>
            <w:bottom w:w="0" w:type="dxa"/>
            <w:right w:w="108" w:type="dxa"/>
          </w:tblCellMar>
        </w:tblPrEx>
        <w:trPr>
          <w:jc w:val="center"/>
        </w:trPr>
        <w:tc>
          <w:tcPr>
            <w:tcW w:w="1382" w:type="dxa"/>
          </w:tcPr>
          <w:p>
            <w:pPr>
              <w:wordWrap w:val="0"/>
              <w:spacing w:line="300" w:lineRule="auto"/>
              <w:jc w:val="center"/>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T001</w:t>
            </w:r>
          </w:p>
        </w:tc>
        <w:tc>
          <w:tcPr>
            <w:tcW w:w="1382" w:type="dxa"/>
          </w:tcPr>
          <w:p>
            <w:pPr>
              <w:wordWrap w:val="0"/>
              <w:spacing w:line="300" w:lineRule="auto"/>
              <w:jc w:val="center"/>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荔枝</w:t>
            </w:r>
          </w:p>
        </w:tc>
        <w:tc>
          <w:tcPr>
            <w:tcW w:w="1383" w:type="dxa"/>
          </w:tcPr>
          <w:p>
            <w:pPr>
              <w:wordWrap w:val="0"/>
              <w:spacing w:line="300" w:lineRule="auto"/>
              <w:jc w:val="center"/>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30</w:t>
            </w:r>
          </w:p>
        </w:tc>
        <w:tc>
          <w:tcPr>
            <w:tcW w:w="1383" w:type="dxa"/>
            <w:vAlign w:val="center"/>
          </w:tcPr>
          <w:p>
            <w:pPr>
              <w:wordWrap w:val="0"/>
              <w:spacing w:line="300" w:lineRule="auto"/>
              <w:jc w:val="center"/>
              <w:rPr>
                <w:rFonts w:ascii="Times New Roman" w:hAnsi="Times New Roman" w:eastAsiaTheme="minorEastAsia"/>
                <w:b w:val="0"/>
                <w:bCs/>
                <w:color w:val="auto"/>
                <w:kern w:val="0"/>
                <w:sz w:val="24"/>
                <w:szCs w:val="24"/>
              </w:rPr>
            </w:pPr>
          </w:p>
        </w:tc>
        <w:tc>
          <w:tcPr>
            <w:tcW w:w="1383" w:type="dxa"/>
            <w:vAlign w:val="center"/>
          </w:tcPr>
          <w:p>
            <w:pPr>
              <w:wordWrap w:val="0"/>
              <w:spacing w:line="300" w:lineRule="auto"/>
              <w:jc w:val="center"/>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1</w:t>
            </w:r>
          </w:p>
        </w:tc>
        <w:tc>
          <w:tcPr>
            <w:tcW w:w="1383" w:type="dxa"/>
            <w:vAlign w:val="center"/>
          </w:tcPr>
          <w:p>
            <w:pPr>
              <w:wordWrap w:val="0"/>
              <w:spacing w:line="300" w:lineRule="auto"/>
              <w:jc w:val="center"/>
              <w:rPr>
                <w:rFonts w:ascii="Times New Roman" w:hAnsi="Times New Roman" w:eastAsiaTheme="minorEastAsia"/>
                <w:b w:val="0"/>
                <w:bCs/>
                <w:color w:val="auto"/>
                <w:kern w:val="0"/>
                <w:sz w:val="24"/>
                <w:szCs w:val="24"/>
              </w:rPr>
            </w:pPr>
          </w:p>
        </w:tc>
      </w:tr>
      <w:tr>
        <w:tblPrEx>
          <w:tblCellMar>
            <w:top w:w="0" w:type="dxa"/>
            <w:left w:w="108" w:type="dxa"/>
            <w:bottom w:w="0" w:type="dxa"/>
            <w:right w:w="108" w:type="dxa"/>
          </w:tblCellMar>
        </w:tblPrEx>
        <w:trPr>
          <w:jc w:val="center"/>
        </w:trPr>
        <w:tc>
          <w:tcPr>
            <w:tcW w:w="4147" w:type="dxa"/>
            <w:gridSpan w:val="3"/>
          </w:tcPr>
          <w:p>
            <w:pPr>
              <w:wordWrap w:val="0"/>
              <w:spacing w:line="300" w:lineRule="auto"/>
              <w:jc w:val="center"/>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回迁移植利用率</w:t>
            </w:r>
          </w:p>
        </w:tc>
        <w:tc>
          <w:tcPr>
            <w:tcW w:w="4149" w:type="dxa"/>
            <w:gridSpan w:val="3"/>
            <w:vAlign w:val="center"/>
          </w:tcPr>
          <w:p>
            <w:pPr>
              <w:wordWrap w:val="0"/>
              <w:spacing w:line="300" w:lineRule="auto"/>
              <w:jc w:val="center"/>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100%</w:t>
            </w:r>
          </w:p>
        </w:tc>
      </w:tr>
      <w:tr>
        <w:tblPrEx>
          <w:tblCellMar>
            <w:top w:w="0" w:type="dxa"/>
            <w:left w:w="108" w:type="dxa"/>
            <w:bottom w:w="0" w:type="dxa"/>
            <w:right w:w="108" w:type="dxa"/>
          </w:tblCellMar>
        </w:tblPrEx>
        <w:trPr>
          <w:jc w:val="center"/>
        </w:trPr>
        <w:tc>
          <w:tcPr>
            <w:tcW w:w="4147" w:type="dxa"/>
            <w:gridSpan w:val="3"/>
          </w:tcPr>
          <w:p>
            <w:pPr>
              <w:wordWrap w:val="0"/>
              <w:spacing w:line="300" w:lineRule="auto"/>
              <w:jc w:val="center"/>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场外移植利用率</w:t>
            </w:r>
          </w:p>
        </w:tc>
        <w:tc>
          <w:tcPr>
            <w:tcW w:w="4149" w:type="dxa"/>
            <w:gridSpan w:val="3"/>
            <w:vAlign w:val="center"/>
          </w:tcPr>
          <w:p>
            <w:pPr>
              <w:wordWrap w:val="0"/>
              <w:spacing w:line="300" w:lineRule="auto"/>
              <w:jc w:val="center"/>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100%</w:t>
            </w:r>
          </w:p>
        </w:tc>
      </w:tr>
      <w:tr>
        <w:tblPrEx>
          <w:tblCellMar>
            <w:top w:w="0" w:type="dxa"/>
            <w:left w:w="108" w:type="dxa"/>
            <w:bottom w:w="0" w:type="dxa"/>
            <w:right w:w="108" w:type="dxa"/>
          </w:tblCellMar>
        </w:tblPrEx>
        <w:trPr>
          <w:jc w:val="center"/>
        </w:trPr>
        <w:tc>
          <w:tcPr>
            <w:tcW w:w="4147" w:type="dxa"/>
            <w:gridSpan w:val="3"/>
          </w:tcPr>
          <w:p>
            <w:pPr>
              <w:wordWrap w:val="0"/>
              <w:spacing w:line="300" w:lineRule="auto"/>
              <w:jc w:val="center"/>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场内回迁利用率</w:t>
            </w:r>
          </w:p>
        </w:tc>
        <w:tc>
          <w:tcPr>
            <w:tcW w:w="4149" w:type="dxa"/>
            <w:gridSpan w:val="3"/>
            <w:vAlign w:val="center"/>
          </w:tcPr>
          <w:p>
            <w:pPr>
              <w:wordWrap w:val="0"/>
              <w:spacing w:line="300" w:lineRule="auto"/>
              <w:jc w:val="center"/>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0%</w:t>
            </w:r>
          </w:p>
        </w:tc>
      </w:tr>
    </w:tbl>
    <w:p>
      <w:pPr>
        <w:pStyle w:val="3"/>
        <w:ind w:firstLine="562" w:firstLineChars="200"/>
      </w:pPr>
      <w:bookmarkStart w:id="532" w:name="_Toc19449"/>
      <w:r>
        <w:t>其他涉及树木保护工作说明</w:t>
      </w:r>
      <w:bookmarkEnd w:id="532"/>
    </w:p>
    <w:p>
      <w:pPr>
        <w:pStyle w:val="4"/>
        <w:ind w:firstLine="482" w:firstLineChars="200"/>
      </w:pPr>
      <w:bookmarkStart w:id="533" w:name="_Toc25983"/>
      <w:r>
        <w:t>对古树名木、古树后续资源进行保护和避让的说明</w:t>
      </w:r>
      <w:bookmarkEnd w:id="533"/>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经过现场摸查，本项目范围内不存在古树名木、古树后续资源。</w:t>
      </w:r>
    </w:p>
    <w:p>
      <w:pPr>
        <w:pStyle w:val="4"/>
        <w:ind w:firstLine="482" w:firstLineChars="200"/>
      </w:pPr>
      <w:bookmarkStart w:id="534" w:name="_Toc31535"/>
      <w:r>
        <w:t>原地保留树木的管理、保护措施</w:t>
      </w:r>
      <w:bookmarkEnd w:id="534"/>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本项目范围内不涉及原地保留树木。</w:t>
      </w:r>
    </w:p>
    <w:p>
      <w:pPr>
        <w:pStyle w:val="4"/>
        <w:ind w:firstLine="482" w:firstLineChars="200"/>
      </w:pPr>
      <w:bookmarkStart w:id="535" w:name="_Toc23049"/>
      <w:r>
        <w:t>迁移树木建议</w:t>
      </w:r>
      <w:bookmarkEnd w:id="535"/>
    </w:p>
    <w:p>
      <w:pPr>
        <w:pStyle w:val="5"/>
        <w:ind w:firstLine="482" w:firstLineChars="200"/>
        <w:rPr>
          <w:rFonts w:ascii="Times New Roman" w:hAnsi="Times New Roman"/>
        </w:rPr>
      </w:pPr>
      <w:r>
        <w:rPr>
          <w:rFonts w:ascii="Times New Roman" w:hAnsi="Times New Roman"/>
        </w:rPr>
        <w:t>迁移施工方法及保护措施</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迁移步骤一般包含（四大工序）：树体挖掘---土球包装---乔木吊运装车---定植和养护。</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树木应迁移到当地绿化部门的指定苗场或者自行安排种植到用地权属清晰的绿化集中用地。乔木迁移过程中需注意以下4点：</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①树冠修剪得当，确保树木迁移成活率及树形美观。</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②树木断根整齐，土球大小达到质量要求。</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③在运输和种植过程中保持土球完好，不得出现树体和树冠损伤。</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④树规范种植，不得出现倾斜、倒伏现象。</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（1）树体挖掘</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大树起挖前1-2天，根据土壤干湿情况适当灌水，以防挖掘时土壤过干导致土球松散。开始迁移前，可把乔木按设计统一编号，并作好标记，以便后续装运及移植时对号入座，减少现场混乱及事故。在起树前，应把树干周围2-3m以内的障碍物清除干净，并将地面大致整平。为了防止在挖掘时由于树身不稳、倒伏引起工伤事故及损坏树木，在挖掘前应对需移植的大树进行立支柱（一般为3-4根镀锌钢管）或拉浪风绳，其中一根必须在主风向上位，其余均匀分布，均衡受力。支柱底部应牢固支持在地面，与地面呈60度角；且底部应立在挖掘范围以外，以免妨碍挖掘工作。对于分枝较低、枝条长而柔软的树木或冠径较大的灌木，应先用草绳将较粗的枝条向树干绑缚，再用草绳分几道横箍，分层捆住树冠的枝叶，然后用草绳自下而上将各横箍连接起来，使枝叶收拢，以便操作与运输，减少树枝的损伤与折裂。</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drawing>
          <wp:inline distT="0" distB="0" distL="0" distR="0">
            <wp:extent cx="5274310" cy="4218305"/>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12"/>
                    <a:stretch>
                      <a:fillRect/>
                    </a:stretch>
                  </pic:blipFill>
                  <pic:spPr>
                    <a:xfrm>
                      <a:off x="0" y="0"/>
                      <a:ext cx="5274310" cy="4218305"/>
                    </a:xfrm>
                    <a:prstGeom prst="rect">
                      <a:avLst/>
                    </a:prstGeom>
                  </pic:spPr>
                </pic:pic>
              </a:graphicData>
            </a:graphic>
          </wp:inline>
        </w:drawing>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（2）土球包装</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包扎用草绳包扎或采用黑纱网外包铁丝网包扎。</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草绳包扎：为确保安全，应用支棍于树干分枝点以上支牢。以树干为圆心，以扩坨的尺寸为半径画圆，向外垂直挖掘宽60-80cm的沟（以便利于人体操作为度），直到规定深度（即土球高）为止。</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包扎材料用50％至70％的遮阳网与塑料细绳。遮阳网捆包土球时底部多留些，包好后用塑料绳捆紧。</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黑纱网外包铁丝网包扎：采用麻袋结合铁丝网的包扎方式。用麻袋包裹土球后再用铁网把土球包好，用铁钩将铁网绞紧。在绞铁网时需先把最低的一圈绞紧，这是土球包扎效果的关键。绞紧底圈后需把接口先收紧再向上收紧，之后收好上面的网，最后还需对中间的网再绞紧加固以确保土球在运输过程中不会散坨，为后续工作提供保障。</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drawing>
          <wp:inline distT="0" distB="0" distL="0" distR="0">
            <wp:extent cx="5274310" cy="2376805"/>
            <wp:effectExtent l="0" t="0" r="254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13"/>
                    <a:stretch>
                      <a:fillRect/>
                    </a:stretch>
                  </pic:blipFill>
                  <pic:spPr>
                    <a:xfrm>
                      <a:off x="0" y="0"/>
                      <a:ext cx="5274310" cy="2376805"/>
                    </a:xfrm>
                    <a:prstGeom prst="rect">
                      <a:avLst/>
                    </a:prstGeom>
                  </pic:spPr>
                </pic:pic>
              </a:graphicData>
            </a:graphic>
          </wp:inline>
        </w:drawing>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（3）乔木吊运、装车</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在运输装卸过程中容易造成生理缺水、土球散落、树皮损伤等，因此苗木起吊必须十分小心谨慎，尽量缩短运输装卸时间，必要时需用支垫加固，适时喷水。在吊装前需先撤去支撑，收拢树冠。</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吊装时要采用铁勾，钩住包裹土球的铁网，不能只绑树干，防止树干过度受力而损伤树皮。对部分小规格苗木还可采用布带绑土球，再在树身用多层海绵或麻袋捆绑好树身再加木片以保护树皮的起吊方法。装车时，运输车的车厢内需用木棍支撑或铺衬垫物，土球应在车头部位，树冠在车后，可用黑纱网进行遮盖，特别是树冠部，以免因运输而致失水过多。</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吊装、运输为保证成活率，树木吊装运输时应做到:①要争取在最短的时间内完成挖掘到栽植的全过程，避免树木裸露在空气中的时间太长。②装运过程中要保护泥球不松散，装车时，土球向前，树冠向后，放在卡车上，土球两旁垫木板或砖块，使土球稳定不滚动。③装运中注意保护枝杆与树皮不被磨损。可在树干与卡车接触的部位，用软材料垫起，防止擦伤树皮。还可罩上遮阳网，可以减少叶片晃动，减小树木的招风面，树体可用绳与车厢紧密连接。④可在运输中喷洒蒸腾抑制剂，以减少树叶的蒸发。</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drawing>
          <wp:inline distT="0" distB="0" distL="0" distR="0">
            <wp:extent cx="5274310" cy="5427345"/>
            <wp:effectExtent l="0" t="0" r="2540" b="19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14"/>
                    <a:stretch>
                      <a:fillRect/>
                    </a:stretch>
                  </pic:blipFill>
                  <pic:spPr>
                    <a:xfrm>
                      <a:off x="0" y="0"/>
                      <a:ext cx="5274310" cy="5427345"/>
                    </a:xfrm>
                    <a:prstGeom prst="rect">
                      <a:avLst/>
                    </a:prstGeom>
                  </pic:spPr>
                </pic:pic>
              </a:graphicData>
            </a:graphic>
          </wp:inline>
        </w:drawing>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（4）乔木定植和养护</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乔木运到栽植现场后定植前核对坑穴，对号入座；如不马上裁植，卸立时应垫方木，以便后期栽吊时穿吊钢丝绳用。若半月内不能栽植的树木应于工地假植，数量多时应按前述方法集中假植养护。</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定植穴形状以和土球形状一致为佳，栽植穴应根据根系或土球的直径加大60-80cm，深度增加20-30cm。量土球底至树干原土痕深度，检查并调整坑的规格，要求栽后与土相平。土壤不好的还应加大。需换土或施肥应预先备好，肥应与表土拌匀。定植前应先将乔木轻吊斜放到准备好的种植穴内，撤除缠扎树冠的绳，并以人工配合机械，尽量符合原来的朝向，将树干立起扶正，初步支撑。然后撤除土球外包扎绳包，分层填土分层筑实，把土球全埋入地下。按土块大小与坑穴大小做双圈灌水堰，内外水圈同时灌水。其他栽后养护基本同前。</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drawing>
          <wp:inline distT="0" distB="0" distL="0" distR="0">
            <wp:extent cx="5274310" cy="5228590"/>
            <wp:effectExtent l="0" t="0" r="254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7"/>
                    <pic:cNvPicPr>
                      <a:picLocks noChangeAspect="1"/>
                    </pic:cNvPicPr>
                  </pic:nvPicPr>
                  <pic:blipFill>
                    <a:blip r:embed="rId315"/>
                    <a:stretch>
                      <a:fillRect/>
                    </a:stretch>
                  </pic:blipFill>
                  <pic:spPr>
                    <a:xfrm>
                      <a:off x="0" y="0"/>
                      <a:ext cx="5274310" cy="5228590"/>
                    </a:xfrm>
                    <a:prstGeom prst="rect">
                      <a:avLst/>
                    </a:prstGeom>
                  </pic:spPr>
                </pic:pic>
              </a:graphicData>
            </a:graphic>
          </wp:inline>
        </w:drawing>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（5）施工注意事项</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根据树木移植工作的情况，专门设立安全督察员进行全程现场督导，以确保施工人员、行人及树体周围构筑物的安全。施工现场必须设立围挡，并树立警示牌，严禁非工作人员进入；起挖和栽植大树时，应用3~4根木杠支牢树体，再行操作，在掏挖土球底槽时，严禁操作人员的头、手、脚伸进土球底部，防止底土掉落砸伤人员。</w:t>
      </w:r>
    </w:p>
    <w:p>
      <w:pPr>
        <w:pStyle w:val="5"/>
        <w:ind w:firstLine="482" w:firstLineChars="200"/>
        <w:rPr>
          <w:rFonts w:ascii="Times New Roman" w:hAnsi="Times New Roman"/>
        </w:rPr>
      </w:pPr>
      <w:r>
        <w:rPr>
          <w:rFonts w:ascii="Times New Roman" w:hAnsi="Times New Roman"/>
        </w:rPr>
        <w:t>树木迁移存活率保障措施</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（1）土壤的选择和处理</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要选择通气、透水性好，有保水保肥能力，土内水、肥、气、热状况协调的土壤。用泥沙拌黄土（3：1为佳）作为移栽后的定植用土比较好，它有三大好处，一是与树根有"亲和力"。在栽培大树时，根部与土往往有无法压实的空隙，经雨水的侵蚀，泥沙拌黄土易与树根贴实；二是通气性好。能增高地温，促进根系的萌芽，三是排水性能好。雨季能迅速排掉多余的积水。免遭水沤，造成根部死亡，旱季浇水能迅速吸收、扩散。在挖掘过程中要有选择的保留一部分树根际原土，以利于树木萌根。同时必须在树木移栽半个月前对穴土进行杀菌、除虫处理。</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（2）移栽后的水、肥管理</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1）旱季的管理：6－9月，大部分时间气温在28℃以上，且湿度小，是最难管理的时期。这时的管理要特别注意：一是遮阳防晒，可以树冠外围东西方向搭"几"字型，盖遮阳网，这样能较好的挡住太阳的直射光，使树叶免遭灼伤；二是根部灌水，信预埋的塑料管或竹筒内灌水，此方法可避免浇"半截水"，能一次浇透，平常能使土壤见干见湿，也可往树冠外的洞穴灌水，增加树木周围土壤的湿度；三是树南面架设三角支架，安装一个高了树1米的喷灌装置，尽量调成雾状水，由于夏、秋季大多吹南风，安装在南面可经常给树冠喷水，使树干树叶保持湿润，也增加了树周围的湿度，并降低了温度，减少了树木体内有限水分、养分的消耗。</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2）雨季的管理：广州春夏季雨水多，空气温度大，这时主要应抗涝。由于树木初生芽叶，根部伤口未愈合，往往会成树木死亡。雨季用潜水泵逐个抽干穴内水，避免树木被水浸泡。</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3）寒冷季节的管理：要加强抗寒、保暖措施。一要用草绳绕干，包裹保暖，这样能有效地低御低温和寒风的侵害，二是搭建简易的塑料薄膜温室，提高树木的温、_______湿度，三是选择一天中温度相对较高的中午浇水或叶面喷水。</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4）移栽后的施肥：由于树木损伤大，第一年不能施肥，第二年根据树的生长情况施农家肥或叶面喷肥。</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（3）移栽后病虫害的防治</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树木通过锯截、移栽，伤口多，萌芽的树叶嫩，树体的抵抗力弱，容易遭受病害、虫害，所以要加强预防。可用多菌灵或托布津、敌杀死等农药混合喷施。分4月、7月、9月三个阶段，每个阶段连续喷本次药，每星期一次，正常情况下可达到防治的目的</w:t>
      </w:r>
    </w:p>
    <w:p>
      <w:pPr>
        <w:pStyle w:val="5"/>
        <w:ind w:firstLine="482" w:firstLineChars="200"/>
        <w:rPr>
          <w:rFonts w:ascii="Times New Roman" w:hAnsi="Times New Roman"/>
        </w:rPr>
      </w:pPr>
      <w:r>
        <w:rPr>
          <w:rFonts w:ascii="Times New Roman" w:hAnsi="Times New Roman"/>
        </w:rPr>
        <w:t>树木迁移存活率和后续管养责任单位要求</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1）回迁的乔木需进行二次起挖、运输、栽种，施工过程存在一定风险及自然损耗，且乔木种植受季节和温度影响很大，受上述因素影响，乔木存活率会受到一定的影响，故在施工管养工程中，需采取一定措施，</w:t>
      </w:r>
      <w:r>
        <w:rPr>
          <w:rFonts w:ascii="Times New Roman" w:hAnsi="Times New Roman" w:eastAsiaTheme="minorEastAsia"/>
          <w:b w:val="0"/>
          <w:bCs/>
          <w:color w:val="auto"/>
          <w:sz w:val="24"/>
          <w:szCs w:val="24"/>
          <w:highlight w:val="magenta"/>
        </w:rPr>
        <w:t>保证本工程内迁移树木存活率达到</w:t>
      </w:r>
      <w:r>
        <w:rPr>
          <w:rFonts w:hint="eastAsia" w:ascii="Times New Roman" w:hAnsi="Times New Roman" w:eastAsiaTheme="minorEastAsia"/>
          <w:b w:val="0"/>
          <w:bCs/>
          <w:color w:val="auto"/>
          <w:sz w:val="24"/>
          <w:szCs w:val="24"/>
          <w:highlight w:val="magenta"/>
        </w:rPr>
        <w:t>100</w:t>
      </w:r>
      <w:r>
        <w:rPr>
          <w:rFonts w:ascii="Times New Roman" w:hAnsi="Times New Roman" w:eastAsiaTheme="minorEastAsia"/>
          <w:b w:val="0"/>
          <w:bCs/>
          <w:color w:val="auto"/>
          <w:sz w:val="24"/>
          <w:szCs w:val="24"/>
          <w:highlight w:val="magenta"/>
        </w:rPr>
        <w:t>%。</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2）拟回迁利用到本项目的树木，由施工单位全程管养到竣工验收；拟迁出后直接利用到其他项目的，由接收项目负责迁移种植后的管养；暂种到绿化主管部门指定苗场的，由施工单位负责管养一个月且对成活率负责，一个月后由苗场负责管养。</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（3）在后续施工招标时，建议将是否能提供接受迁移树木的苗圃场地作为应标的条件之一，并对施工单位制定成活率奖惩措施。</w:t>
      </w:r>
    </w:p>
    <w:p>
      <w:pPr>
        <w:pStyle w:val="5"/>
        <w:ind w:firstLine="482" w:firstLineChars="200"/>
        <w:rPr>
          <w:rFonts w:ascii="Times New Roman" w:hAnsi="Times New Roman"/>
        </w:rPr>
      </w:pPr>
      <w:r>
        <w:rPr>
          <w:rFonts w:ascii="Times New Roman" w:hAnsi="Times New Roman"/>
        </w:rPr>
        <w:t>后续养护要求</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三分栽，七分管。要保证大树移栽的成活率，新植大树的养护管理显得尤其重要。绿地保护和管理责任人对其负责管养的树木进行日常巡查，并建立养护日志，记录每次养护工作内容、巡查和整改情况，接受市、区绿化行政主管部门的监督、检查和指导。</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（1）保持树体水分代谢平衡</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树木特别是未经移植或断根处理的大树，在移植过程中，根系会受到较大的损伤，吸水能力大大降低。树体常常因供水不足，水分代谢失去平衡而枯萎，甚至死亡。因此，保持树体水分代谢平衡是新植树木养护管理、提高移植成活率的关键，可采取以下措施：</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1）包干：用草绳、蒲包、苔藓等材料严密包裹树干和比较粗壮的分枝。上述包扎物具有一定的湿性和保温性。经包干处理后：①可避免强光直射和干风吹袭，减少树干、树枝的水分蒸发；②可贮存一定量的水分，使枝干经常保持湿润；③可调节枝干温度，减少高温和低温对枝干的伤害，效果</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较好。目前，有些地方采用塑料薄膜包干，此法在树体休眠阶段效果是好的，但在树体萌芽前应及时撤换。因为，塑料薄膜透气性能差，不利于被包裹枝干的呼吸作用，尤其是高温季节，内部热量难以及时散发会引起高温，灼伤枝干、嫩芽或隐芽，对树体造成伤害。</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2）喷水：树体地上部分(特别是叶面)因蒸腾作用而易失水，必须及时喷水保湿。喷水要求细而均匀，喷及树上各个部位和周围空间、地面，为树体提供湿润的小气候环境。</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3）遮荫：大树移植初期或高温干燥季节，要搭制荫棚遮荫，以降低棚内温度，减少树体的水分蒸发。在成行、成片种植，密度较大的区域，宜搭制大的荫棚，省材又方便管理，孤植树宜按株搭制。要求全冠遮荫，荫棚的上方及四周与树冠保持50cm左右距离，以保证棚内有一定的空气流动空间，防止树冠日灼危害。遮荫度为70~75％左右，让树体接受一定的散射光，以保证树体光合作用的进行。以后视树木生长情况和季节变化，逐步去掉遮荫物。</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（2）促发新根</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控水：新移植大树，根系吸水功能减弱，对土壤水分需求量较小。因此，只要保持土壤适当湿润即可。土壤含水量过大，反而会影响土壤的透气性能，抑制根系的呼吸，对发根不利，严重的会导致烂根死亡。</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严格控制土壤浇水量。移植时第一次浇透水，以后应视天气情况、土壤质地，检查分析，谨慎浇水。同时要慎防喷水时过多水滴进入根系区域。</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要防止树池积水。种植时留下的浇水穴，在第一次浇透水后即应填平或略高于周围地面，以防下雨或浇水时积水。同时，在地势低洼易积水处，要开排水沟，保证雨天能及时排水。要保持适宜的地</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下水位高度(一般要求在1.5m以下)。在地下水位较高处，要采取网沟排水，汛期水位上涨时，可在根系外围挖深井，用水泵将地下水排至场外，严防淹根。保持土壤通气。保持土壤良好的透气性能有利于根系萌发。为此，一方面，我们要做好中耕松土工作，以防土壤板结。另一方面，要经常检查土壤通气设施(通气管或竹笼)。发现通气设施堵塞或积水的，要及时清除，以经常保持良好的通气性能。</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（3）保护新芽</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新芽萌发，是新植大树进行生理活动的标志，是大树成活的希望。树体地上部分的萌发，对根系具有自然而有效的刺激作用，能促进根系的萌发。因此，在移植初期，特别是移植时进行重修剪的树体所萌发的芽要加以保护，让其抽枝发叶，待树体成活后再行修剪整形。同时，在树体萌芽后，要特别加强喷水、遮荫、防病治虫等养护工作，保证嫩芽与嫩梢的正常生长。</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（4）树体保护</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新移植大树，抗性减弱，易受自然灾害、病虫害、人为的和禽畜危害，必须严加防范。</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支撑：树木种植后应即支撑固定，慎防倾倒。正三角桩最利于树体稳定，支撑点以树体高2/3处左右为好，并用布条或麻布片绑在树干上作为保护层，以防支撑物晃动时伤害树皮。</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防病治虫：坚持以防为主，根据树种特性和病虫害发生发展规律，勤检查，做好防范工作。一旦发生病情，要对症下药，及时防治。</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施肥：施肥有利于恢复树势。大树移植初期，根系吸肥力低，宜采用根外追肥，一般半个月左右一次。选早晚或阴天进行叶面喷洒，遇降雨应重喷一次。根系萌发后，可进行土壤施肥，要求薄肥勤施，慎防伤根。</w:t>
      </w:r>
    </w:p>
    <w:p>
      <w:pPr>
        <w:wordWrap w:val="0"/>
        <w:spacing w:line="300" w:lineRule="auto"/>
        <w:ind w:firstLine="480" w:firstLineChars="200"/>
        <w:jc w:val="left"/>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人秋后，要控制氮肥，增施磷、钾肥，并逐步延长光照时间，提高光照强度，以提高树体的木质化程度，提高自身抗寒能力；另一方面，在入冬寒潮来临之前，做好树体保温工作。可采取覆土、地面覆盖、设立风障、搭制塑料大棚等方法加以保护。此外，在人流比较集中或其他易受人为、禽畜破坏的区域，要做好宣传、教育工作。同时，可设置竹篱等加以保护。</w:t>
      </w:r>
    </w:p>
    <w:p>
      <w:pPr>
        <w:ind w:firstLine="480" w:firstLineChars="200"/>
        <w:rPr>
          <w:rFonts w:ascii="Times New Roman" w:hAnsi="Times New Roman" w:eastAsiaTheme="minorEastAsia"/>
          <w:b w:val="0"/>
          <w:bCs/>
          <w:color w:val="auto"/>
          <w:sz w:val="24"/>
          <w:szCs w:val="24"/>
        </w:rPr>
      </w:pPr>
      <w:r>
        <w:rPr>
          <w:rFonts w:ascii="Times New Roman" w:hAnsi="Times New Roman" w:eastAsiaTheme="minorEastAsia"/>
          <w:b w:val="0"/>
          <w:bCs/>
          <w:color w:val="auto"/>
          <w:sz w:val="24"/>
          <w:szCs w:val="24"/>
        </w:rPr>
        <w:t>附表一树木资源信息汇总表</w:t>
      </w:r>
    </w:p>
    <w:tbl>
      <w:tblPr>
        <w:tblStyle w:val="32"/>
        <w:tblW w:w="0" w:type="auto"/>
        <w:tblInd w:w="0" w:type="dxa"/>
        <w:tblLayout w:type="autofit"/>
        <w:tblCellMar>
          <w:top w:w="0" w:type="dxa"/>
          <w:left w:w="108" w:type="dxa"/>
          <w:bottom w:w="0" w:type="dxa"/>
          <w:right w:w="108" w:type="dxa"/>
        </w:tblCellMar>
      </w:tblPr>
      <w:tblGrid>
        <w:gridCol w:w="704"/>
        <w:gridCol w:w="709"/>
        <w:gridCol w:w="709"/>
        <w:gridCol w:w="708"/>
        <w:gridCol w:w="993"/>
        <w:gridCol w:w="1275"/>
        <w:gridCol w:w="4417"/>
      </w:tblGrid>
      <w:tr>
        <w:tblPrEx>
          <w:tblCellMar>
            <w:top w:w="0" w:type="dxa"/>
            <w:left w:w="108" w:type="dxa"/>
            <w:bottom w:w="0" w:type="dxa"/>
            <w:right w:w="108" w:type="dxa"/>
          </w:tblCellMar>
        </w:tblPrEx>
        <w:tc>
          <w:tcPr>
            <w:tcW w:w="704" w:type="dxa"/>
          </w:tcPr>
          <w:p>
            <w:pPr>
              <w:wordWrap w:val="0"/>
              <w:spacing w:line="300" w:lineRule="auto"/>
              <w:jc w:val="left"/>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编号</w:t>
            </w:r>
          </w:p>
        </w:tc>
        <w:tc>
          <w:tcPr>
            <w:tcW w:w="709" w:type="dxa"/>
          </w:tcPr>
          <w:p>
            <w:pPr>
              <w:wordWrap w:val="0"/>
              <w:spacing w:line="300" w:lineRule="auto"/>
              <w:jc w:val="left"/>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树种</w:t>
            </w:r>
          </w:p>
        </w:tc>
        <w:tc>
          <w:tcPr>
            <w:tcW w:w="709" w:type="dxa"/>
          </w:tcPr>
          <w:p>
            <w:pPr>
              <w:wordWrap w:val="0"/>
              <w:spacing w:line="300" w:lineRule="auto"/>
              <w:jc w:val="left"/>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胸径</w:t>
            </w:r>
          </w:p>
        </w:tc>
        <w:tc>
          <w:tcPr>
            <w:tcW w:w="708" w:type="dxa"/>
          </w:tcPr>
          <w:p>
            <w:pPr>
              <w:wordWrap w:val="0"/>
              <w:spacing w:line="300" w:lineRule="auto"/>
              <w:jc w:val="left"/>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长势</w:t>
            </w:r>
          </w:p>
        </w:tc>
        <w:tc>
          <w:tcPr>
            <w:tcW w:w="993" w:type="dxa"/>
          </w:tcPr>
          <w:p>
            <w:pPr>
              <w:wordWrap w:val="0"/>
              <w:spacing w:line="300" w:lineRule="auto"/>
              <w:jc w:val="left"/>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存在问题</w:t>
            </w:r>
          </w:p>
        </w:tc>
        <w:tc>
          <w:tcPr>
            <w:tcW w:w="1275" w:type="dxa"/>
          </w:tcPr>
          <w:p>
            <w:pPr>
              <w:wordWrap w:val="0"/>
              <w:spacing w:line="300" w:lineRule="auto"/>
              <w:jc w:val="left"/>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处理方式</w:t>
            </w:r>
          </w:p>
        </w:tc>
        <w:tc>
          <w:tcPr>
            <w:tcW w:w="4417" w:type="dxa"/>
          </w:tcPr>
          <w:p>
            <w:pPr>
              <w:wordWrap w:val="0"/>
              <w:spacing w:line="300" w:lineRule="auto"/>
              <w:jc w:val="left"/>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图片</w:t>
            </w:r>
          </w:p>
        </w:tc>
      </w:tr>
      <w:tr>
        <w:tblPrEx>
          <w:tblCellMar>
            <w:top w:w="0" w:type="dxa"/>
            <w:left w:w="108" w:type="dxa"/>
            <w:bottom w:w="0" w:type="dxa"/>
            <w:right w:w="108" w:type="dxa"/>
          </w:tblCellMar>
        </w:tblPrEx>
        <w:tc>
          <w:tcPr>
            <w:tcW w:w="704" w:type="dxa"/>
          </w:tcPr>
          <w:p>
            <w:pPr>
              <w:wordWrap w:val="0"/>
              <w:spacing w:line="300" w:lineRule="auto"/>
              <w:jc w:val="left"/>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T001</w:t>
            </w:r>
          </w:p>
        </w:tc>
        <w:tc>
          <w:tcPr>
            <w:tcW w:w="709" w:type="dxa"/>
          </w:tcPr>
          <w:p>
            <w:pPr>
              <w:wordWrap w:val="0"/>
              <w:spacing w:line="300" w:lineRule="auto"/>
              <w:jc w:val="left"/>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荔枝</w:t>
            </w:r>
          </w:p>
        </w:tc>
        <w:tc>
          <w:tcPr>
            <w:tcW w:w="709" w:type="dxa"/>
          </w:tcPr>
          <w:p>
            <w:pPr>
              <w:wordWrap w:val="0"/>
              <w:spacing w:line="300" w:lineRule="auto"/>
              <w:jc w:val="left"/>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30</w:t>
            </w:r>
          </w:p>
        </w:tc>
        <w:tc>
          <w:tcPr>
            <w:tcW w:w="708" w:type="dxa"/>
          </w:tcPr>
          <w:p>
            <w:pPr>
              <w:wordWrap w:val="0"/>
              <w:spacing w:line="300" w:lineRule="auto"/>
              <w:jc w:val="left"/>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正常</w:t>
            </w:r>
          </w:p>
        </w:tc>
        <w:tc>
          <w:tcPr>
            <w:tcW w:w="993" w:type="dxa"/>
          </w:tcPr>
          <w:p>
            <w:pPr>
              <w:wordWrap w:val="0"/>
              <w:spacing w:line="300" w:lineRule="auto"/>
              <w:jc w:val="left"/>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无明显问题</w:t>
            </w:r>
          </w:p>
        </w:tc>
        <w:tc>
          <w:tcPr>
            <w:tcW w:w="1275" w:type="dxa"/>
          </w:tcPr>
          <w:p>
            <w:pPr>
              <w:wordWrap w:val="0"/>
              <w:spacing w:line="300" w:lineRule="auto"/>
              <w:jc w:val="left"/>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t>红线外就近迁移</w:t>
            </w:r>
          </w:p>
        </w:tc>
        <w:tc>
          <w:tcPr>
            <w:tcW w:w="4417" w:type="dxa"/>
          </w:tcPr>
          <w:p>
            <w:pPr>
              <w:wordWrap w:val="0"/>
              <w:spacing w:line="300" w:lineRule="auto"/>
              <w:jc w:val="left"/>
              <w:rPr>
                <w:rFonts w:ascii="Times New Roman" w:hAnsi="Times New Roman" w:eastAsiaTheme="minorEastAsia"/>
                <w:b w:val="0"/>
                <w:bCs/>
                <w:color w:val="auto"/>
                <w:kern w:val="0"/>
                <w:sz w:val="24"/>
                <w:szCs w:val="24"/>
              </w:rPr>
            </w:pPr>
            <w:r>
              <w:rPr>
                <w:rFonts w:ascii="Times New Roman" w:hAnsi="Times New Roman" w:eastAsiaTheme="minorEastAsia"/>
                <w:b w:val="0"/>
                <w:bCs/>
                <w:color w:val="auto"/>
                <w:kern w:val="0"/>
                <w:sz w:val="24"/>
                <w:szCs w:val="24"/>
              </w:rPr>
              <w:drawing>
                <wp:inline distT="0" distB="0" distL="0" distR="0">
                  <wp:extent cx="2619375" cy="1632585"/>
                  <wp:effectExtent l="0" t="0" r="0" b="5715"/>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pic:cNvPicPr>
                            <a:picLocks noChangeAspect="1" noChangeArrowheads="1"/>
                          </pic:cNvPicPr>
                        </pic:nvPicPr>
                        <pic:blipFill>
                          <a:blip r:embed="rId311" cstate="print">
                            <a:extLst>
                              <a:ext uri="{28A0092B-C50C-407E-A947-70E740481C1C}">
                                <a14:useLocalDpi xmlns:a14="http://schemas.microsoft.com/office/drawing/2010/main" val="0"/>
                              </a:ext>
                            </a:extLst>
                          </a:blip>
                          <a:srcRect l="33038" t="42303" r="39934" b="35234"/>
                          <a:stretch>
                            <a:fillRect/>
                          </a:stretch>
                        </pic:blipFill>
                        <pic:spPr>
                          <a:xfrm>
                            <a:off x="0" y="0"/>
                            <a:ext cx="2644901" cy="1648794"/>
                          </a:xfrm>
                          <a:prstGeom prst="rect">
                            <a:avLst/>
                          </a:prstGeom>
                          <a:noFill/>
                          <a:ln>
                            <a:noFill/>
                          </a:ln>
                        </pic:spPr>
                      </pic:pic>
                    </a:graphicData>
                  </a:graphic>
                </wp:inline>
              </w:drawing>
            </w:r>
          </w:p>
        </w:tc>
      </w:tr>
    </w:tbl>
    <w:p>
      <w:pPr>
        <w:spacing w:line="300" w:lineRule="auto"/>
        <w:ind w:firstLine="482" w:firstLineChars="200"/>
        <w:rPr>
          <w:rFonts w:ascii="Times New Roman" w:hAnsi="Times New Roman"/>
          <w:color w:val="auto"/>
          <w:sz w:val="24"/>
        </w:rPr>
      </w:pPr>
      <w:r>
        <w:rPr>
          <w:rFonts w:ascii="Times New Roman" w:hAnsi="Times New Roman"/>
          <w:color w:val="auto"/>
          <w:sz w:val="24"/>
        </w:rPr>
        <w:t>。</w:t>
      </w:r>
    </w:p>
    <w:p>
      <w:r>
        <w:br w:type="page"/>
      </w:r>
    </w:p>
    <w:p>
      <w:pPr>
        <w:pStyle w:val="2"/>
        <w:keepNext/>
        <w:keepLines/>
        <w:numPr>
          <w:ilvl w:val="0"/>
          <w:numId w:val="2"/>
        </w:numPr>
        <w:spacing w:before="191" w:beforeLines="0" w:after="191" w:afterLines="0" w:line="360" w:lineRule="auto"/>
        <w:ind w:firstLine="643" w:firstLineChars="200"/>
        <w:jc w:val="center"/>
        <w:rPr>
          <w:rFonts w:ascii="Times New Roman" w:hAnsi="Times New Roman"/>
          <w:color w:val="auto"/>
        </w:rPr>
      </w:pPr>
      <w:bookmarkStart w:id="536" w:name="_Toc18860"/>
      <w:r>
        <w:rPr>
          <w:rFonts w:ascii="Times New Roman" w:hAnsi="Times New Roman"/>
          <w:color w:val="auto"/>
        </w:rPr>
        <w:t>历史文化保护传承专章</w:t>
      </w:r>
      <w:bookmarkEnd w:id="536"/>
    </w:p>
    <w:p>
      <w:pPr>
        <w:pStyle w:val="3"/>
        <w:ind w:firstLine="562" w:firstLineChars="200"/>
      </w:pPr>
      <w:bookmarkStart w:id="537" w:name="_Toc104756528"/>
      <w:bookmarkStart w:id="538" w:name="_Toc21086"/>
      <w:r>
        <w:t>历史文物保护的重要性和意义</w:t>
      </w:r>
      <w:bookmarkEnd w:id="537"/>
      <w:bookmarkEnd w:id="538"/>
    </w:p>
    <w:p>
      <w:pPr>
        <w:spacing w:line="300" w:lineRule="auto"/>
        <w:ind w:firstLine="480" w:firstLineChars="200"/>
        <w:rPr>
          <w:rFonts w:ascii="Times New Roman" w:hAnsi="Times New Roman"/>
          <w:b w:val="0"/>
          <w:bCs/>
          <w:color w:val="auto"/>
          <w:kern w:val="0"/>
          <w:sz w:val="24"/>
          <w:szCs w:val="24"/>
        </w:rPr>
      </w:pPr>
      <w:r>
        <w:rPr>
          <w:rFonts w:ascii="Times New Roman" w:hAnsi="Times New Roman"/>
          <w:b w:val="0"/>
          <w:bCs/>
          <w:color w:val="auto"/>
          <w:kern w:val="0"/>
          <w:sz w:val="24"/>
          <w:szCs w:val="24"/>
        </w:rPr>
        <w:t>广州作为有2200多年建城史的国家首批历史文化名城，是岭南文化中心地、海上丝绸之路发祥地、近现代革命策源地、改革开放前沿地。在城乡建设中保护好广州古代、近现代历史文化遗产和当代重要文化成果，具有重要的政治意义、历史意义和现实意义。</w:t>
      </w:r>
    </w:p>
    <w:p>
      <w:pPr>
        <w:spacing w:line="300" w:lineRule="auto"/>
        <w:ind w:firstLine="480" w:firstLineChars="200"/>
        <w:rPr>
          <w:rFonts w:ascii="Times New Roman" w:hAnsi="Times New Roman"/>
          <w:b w:val="0"/>
          <w:bCs/>
          <w:color w:val="auto"/>
          <w:kern w:val="0"/>
          <w:sz w:val="24"/>
          <w:szCs w:val="24"/>
        </w:rPr>
      </w:pPr>
      <w:r>
        <w:rPr>
          <w:rFonts w:ascii="Times New Roman" w:hAnsi="Times New Roman"/>
          <w:b w:val="0"/>
          <w:bCs/>
          <w:color w:val="auto"/>
          <w:kern w:val="0"/>
          <w:sz w:val="24"/>
          <w:szCs w:val="24"/>
        </w:rPr>
        <w:t>历史文物保护是以习近平新时代中国特色社会主义思想为指导，贯彻落实《粤港澳大湾区发展规划纲要》对广州的城市定位，实现老城市新活力、“四个出新出彩”，以实施“1+1+4”工作举措为重要抓手，完善制度机制政策、统筹保护利用传承，做到空间全覆盖、要素全囊括，既要保护单体建筑，也要保护街巷街区、城镇格局，还要保护好历史风貌、自然景观、人文环境和非物质文化遗产，着力解决城乡建设中历史文化遗产遭到破坏、拆除等突出问题，确保各时期重要城乡历史文化遗产得到系统性保护，是推动广州焕发经典名城魅力、展现时代花城活力，助力广州高质量发展的重要举措。</w:t>
      </w:r>
    </w:p>
    <w:p>
      <w:pPr>
        <w:spacing w:line="300" w:lineRule="auto"/>
        <w:ind w:firstLine="480" w:firstLineChars="200"/>
        <w:rPr>
          <w:rFonts w:ascii="Times New Roman" w:hAnsi="Times New Roman"/>
          <w:b w:val="0"/>
          <w:bCs/>
          <w:color w:val="auto"/>
          <w:kern w:val="0"/>
          <w:sz w:val="24"/>
          <w:szCs w:val="24"/>
        </w:rPr>
      </w:pPr>
      <w:r>
        <w:rPr>
          <w:rFonts w:ascii="Times New Roman" w:hAnsi="Times New Roman"/>
          <w:b w:val="0"/>
          <w:bCs/>
          <w:color w:val="auto"/>
          <w:kern w:val="0"/>
          <w:sz w:val="24"/>
          <w:szCs w:val="24"/>
        </w:rPr>
        <w:t>文物古迹是人类社会活动中遗留下来的具有历史、艺术和科学价值的遗物和遗迹，是人民群众智慧的结晶，是人类宝贵的文化财富，是源远流长的中国历史的重要见证，是光辉灿烂的中华文化的重要载体。但文物是不可再生的宝贵资源，一经损坏就意味着永远消失，而且价值不能用货币或经济单位衡量。若工程建设中不予以保护或保护措施失当、对地下未知文物未予以探明，将造成难以弥补的损失。</w:t>
      </w:r>
    </w:p>
    <w:p>
      <w:pPr>
        <w:pStyle w:val="3"/>
        <w:ind w:firstLine="562" w:firstLineChars="200"/>
      </w:pPr>
      <w:bookmarkStart w:id="539" w:name="_Toc104756529"/>
      <w:bookmarkStart w:id="540" w:name="_Toc31974"/>
      <w:r>
        <w:t>文物保护相关法律法规及要求</w:t>
      </w:r>
      <w:bookmarkEnd w:id="539"/>
      <w:bookmarkEnd w:id="540"/>
    </w:p>
    <w:p>
      <w:pPr>
        <w:spacing w:line="300" w:lineRule="auto"/>
        <w:ind w:firstLine="480" w:firstLineChars="200"/>
        <w:rPr>
          <w:rFonts w:ascii="Times New Roman" w:hAnsi="Times New Roman"/>
          <w:b w:val="0"/>
          <w:bCs/>
          <w:color w:val="auto"/>
          <w:kern w:val="0"/>
          <w:sz w:val="24"/>
          <w:szCs w:val="24"/>
        </w:rPr>
      </w:pPr>
      <w:r>
        <w:rPr>
          <w:rFonts w:ascii="Times New Roman" w:hAnsi="Times New Roman"/>
          <w:b w:val="0"/>
          <w:bCs/>
          <w:color w:val="auto"/>
          <w:kern w:val="0"/>
          <w:sz w:val="24"/>
          <w:szCs w:val="24"/>
        </w:rPr>
        <w:t>《中华人民共和国文物保护法》规定：“建设工程选址，应当尽可能避开不可移动文物；因特殊情况不能避开的，对文物保护单位应当尽可能实施原址保护。</w:t>
      </w:r>
    </w:p>
    <w:p>
      <w:pPr>
        <w:spacing w:line="300" w:lineRule="auto"/>
        <w:ind w:firstLine="480" w:firstLineChars="200"/>
        <w:rPr>
          <w:rFonts w:ascii="Times New Roman" w:hAnsi="Times New Roman"/>
          <w:b w:val="0"/>
          <w:bCs/>
          <w:color w:val="auto"/>
          <w:kern w:val="0"/>
          <w:sz w:val="24"/>
          <w:szCs w:val="24"/>
        </w:rPr>
      </w:pPr>
      <w:r>
        <w:rPr>
          <w:rFonts w:ascii="Times New Roman" w:hAnsi="Times New Roman"/>
          <w:b w:val="0"/>
          <w:bCs/>
          <w:color w:val="auto"/>
          <w:kern w:val="0"/>
          <w:sz w:val="24"/>
          <w:szCs w:val="24"/>
        </w:rPr>
        <w:t>实施原址保护的，建设单位应当事先确定保护措施，根据文物保护单位的级别报相应的文物行政部门批准，并将保护措施列入可行性研究报告或者设计任务书。</w:t>
      </w:r>
    </w:p>
    <w:p>
      <w:pPr>
        <w:spacing w:line="300" w:lineRule="auto"/>
        <w:ind w:firstLine="480" w:firstLineChars="200"/>
        <w:rPr>
          <w:rFonts w:ascii="Times New Roman" w:hAnsi="Times New Roman"/>
          <w:b w:val="0"/>
          <w:bCs/>
          <w:color w:val="auto"/>
          <w:kern w:val="0"/>
          <w:sz w:val="24"/>
          <w:szCs w:val="24"/>
        </w:rPr>
      </w:pPr>
      <w:r>
        <w:rPr>
          <w:rFonts w:ascii="Times New Roman" w:hAnsi="Times New Roman"/>
          <w:b w:val="0"/>
          <w:bCs/>
          <w:color w:val="auto"/>
          <w:kern w:val="0"/>
          <w:sz w:val="24"/>
          <w:szCs w:val="24"/>
        </w:rPr>
        <w:t>无法实施原址保护，必须迁移异地保护或者拆除的，应当报省、自治区、直辖市人民政府批准；迁移或者拆除省级文物保护单位的，批准前须征得国务院文物行政部门同意。全国重点文物保护单位不得拆除；需要迁移的，须由省、自治区、直辖市人民政府报国务院批准。本条规定的原址保护、迁移、拆除所需费用，由建设单位列入建设工程预算。”</w:t>
      </w:r>
    </w:p>
    <w:p>
      <w:pPr>
        <w:pStyle w:val="3"/>
        <w:ind w:firstLine="562" w:firstLineChars="200"/>
      </w:pPr>
      <w:bookmarkStart w:id="541" w:name="_Toc104756530"/>
      <w:bookmarkStart w:id="542" w:name="_Toc3371"/>
      <w:r>
        <w:t>工程建设中文物保护措施</w:t>
      </w:r>
      <w:bookmarkEnd w:id="541"/>
      <w:bookmarkEnd w:id="542"/>
    </w:p>
    <w:p>
      <w:pPr>
        <w:pStyle w:val="4"/>
        <w:ind w:firstLine="482" w:firstLineChars="200"/>
      </w:pPr>
      <w:bookmarkStart w:id="543" w:name="_Toc21429"/>
      <w:r>
        <w:t>建设前期</w:t>
      </w:r>
      <w:bookmarkEnd w:id="543"/>
    </w:p>
    <w:p>
      <w:pPr>
        <w:spacing w:line="300" w:lineRule="auto"/>
        <w:ind w:firstLine="480" w:firstLineChars="200"/>
        <w:rPr>
          <w:rFonts w:ascii="Times New Roman" w:hAnsi="Times New Roman"/>
          <w:b w:val="0"/>
          <w:bCs/>
          <w:color w:val="auto"/>
          <w:kern w:val="0"/>
          <w:sz w:val="24"/>
          <w:szCs w:val="24"/>
        </w:rPr>
      </w:pPr>
      <w:r>
        <w:rPr>
          <w:rFonts w:ascii="Times New Roman" w:hAnsi="Times New Roman"/>
          <w:b w:val="0"/>
          <w:bCs/>
          <w:color w:val="auto"/>
          <w:kern w:val="0"/>
          <w:sz w:val="24"/>
          <w:szCs w:val="24"/>
        </w:rPr>
        <w:t>坚持历史文化资源普查调查、影响评估、基本建设考古前置制度，遵循“先调查评估、后开发建设”，“先考古、后出让”政策机制，在城市更新、重点项目建设、国有建设用地供应前，根据相关规划，必要时委托具有相应资质的技术团队对规划用地范围开展古树名木、大树老树以及其他历史文化资源的调查评估和考古调查、勘探，调查评估后开展下一步工作。</w:t>
      </w:r>
    </w:p>
    <w:p>
      <w:pPr>
        <w:pStyle w:val="4"/>
        <w:ind w:firstLine="482" w:firstLineChars="200"/>
      </w:pPr>
      <w:bookmarkStart w:id="544" w:name="_Toc25916"/>
      <w:r>
        <w:t>设计阶段</w:t>
      </w:r>
      <w:bookmarkEnd w:id="544"/>
    </w:p>
    <w:p>
      <w:pPr>
        <w:spacing w:line="300" w:lineRule="auto"/>
        <w:ind w:firstLine="480" w:firstLineChars="200"/>
        <w:rPr>
          <w:rFonts w:ascii="Times New Roman" w:hAnsi="Times New Roman"/>
          <w:b w:val="0"/>
          <w:bCs/>
          <w:color w:val="auto"/>
          <w:kern w:val="0"/>
          <w:sz w:val="24"/>
          <w:szCs w:val="24"/>
        </w:rPr>
      </w:pPr>
      <w:r>
        <w:rPr>
          <w:rFonts w:ascii="Times New Roman" w:hAnsi="Times New Roman"/>
          <w:b w:val="0"/>
          <w:bCs/>
          <w:color w:val="auto"/>
          <w:kern w:val="0"/>
          <w:sz w:val="24"/>
          <w:szCs w:val="24"/>
        </w:rPr>
        <w:t>（1）线路绕避保护，即在工程策划和选址阶段，工程的线路和选址要最大限度地避开既有文物建筑以及可能存在地下文物的区域。设计时协同文物、建设、施工单位对建设区域内的文物设计保护方案，制定相应的应急措施，并对设计方案的可行性进行科学合理的论证，把损害文物的风险降到最低限度，在工程建设与文物保护之间寻求最佳契合点。在道路选线工程中，线路走向应不违背国家法律法规要求，对文物保护单位区段进行多方案比选，尽量避免穿越文物保护单位。</w:t>
      </w:r>
    </w:p>
    <w:p>
      <w:pPr>
        <w:spacing w:line="300" w:lineRule="auto"/>
        <w:ind w:firstLine="480" w:firstLineChars="200"/>
        <w:rPr>
          <w:rFonts w:ascii="Times New Roman" w:hAnsi="Times New Roman"/>
          <w:b w:val="0"/>
          <w:bCs/>
          <w:color w:val="auto"/>
          <w:kern w:val="0"/>
          <w:sz w:val="24"/>
          <w:szCs w:val="24"/>
        </w:rPr>
      </w:pPr>
      <w:r>
        <w:rPr>
          <w:rFonts w:ascii="Times New Roman" w:hAnsi="Times New Roman"/>
          <w:b w:val="0"/>
          <w:bCs/>
          <w:color w:val="auto"/>
          <w:kern w:val="0"/>
          <w:sz w:val="24"/>
          <w:szCs w:val="24"/>
        </w:rPr>
        <w:t>（2）原址保护，即在选线方面确实已经无法避开，但可以通过采取比较成熟的原址保护技术，来既保证文物建筑的安全又能满足工程建设的实施要求。需要在文物保护单位的保护范围内进行工程建设的，必须保证文物保护单位的安全，在批准前应当征得上一级人民政府文物行政部门同意：在全国重点文物保护单位的保护范围内进行工程建设的，必须经省、自治区、直辖市人民政府批准，在批准前应当征得国务院文物行政部门同意。需穿越文物保护单位的，应按国家法律法规要求办理各类相关手续。预留相应的安全防护距离，对文物保护单位尽可能实施原址保护。</w:t>
      </w:r>
    </w:p>
    <w:p>
      <w:pPr>
        <w:spacing w:line="300" w:lineRule="auto"/>
        <w:ind w:firstLine="480" w:firstLineChars="200"/>
        <w:rPr>
          <w:rFonts w:ascii="Times New Roman" w:hAnsi="Times New Roman"/>
          <w:b w:val="0"/>
          <w:bCs/>
          <w:color w:val="auto"/>
          <w:kern w:val="0"/>
          <w:sz w:val="24"/>
          <w:szCs w:val="24"/>
        </w:rPr>
      </w:pPr>
      <w:r>
        <w:rPr>
          <w:rFonts w:ascii="Times New Roman" w:hAnsi="Times New Roman"/>
          <w:b w:val="0"/>
          <w:bCs/>
          <w:color w:val="auto"/>
          <w:kern w:val="0"/>
          <w:sz w:val="24"/>
          <w:szCs w:val="24"/>
        </w:rPr>
        <w:t>（3）移位保护，指工程线路和选址已无法避开，且文物建筑本身的位置与工程项目的实施产生了很大的冲突，采取常规的原址保护技术已不能保证文物建筑的安全或者已不能满足工程建设实施的基本条件，不过，现场尚具备对建筑物进行整体加固以及有移位通道和移位新址等条件时采用。</w:t>
      </w:r>
    </w:p>
    <w:p>
      <w:pPr>
        <w:spacing w:line="300" w:lineRule="auto"/>
        <w:ind w:firstLine="480" w:firstLineChars="200"/>
        <w:rPr>
          <w:rFonts w:ascii="Times New Roman" w:hAnsi="Times New Roman"/>
          <w:b w:val="0"/>
          <w:bCs/>
          <w:color w:val="auto"/>
          <w:kern w:val="0"/>
          <w:sz w:val="24"/>
          <w:szCs w:val="24"/>
        </w:rPr>
      </w:pPr>
      <w:r>
        <w:rPr>
          <w:rFonts w:ascii="Times New Roman" w:hAnsi="Times New Roman"/>
          <w:b w:val="0"/>
          <w:bCs/>
          <w:color w:val="auto"/>
          <w:kern w:val="0"/>
          <w:sz w:val="24"/>
          <w:szCs w:val="24"/>
        </w:rPr>
        <w:t>（4）保护性拆除重建，指以上所有保护技术均已不具备实施条件时，需要对文物建筑进行保护性拆除，并在异地重建。</w:t>
      </w:r>
    </w:p>
    <w:p>
      <w:pPr>
        <w:pStyle w:val="4"/>
        <w:ind w:firstLine="482" w:firstLineChars="200"/>
      </w:pPr>
      <w:bookmarkStart w:id="545" w:name="_Toc24488"/>
      <w:r>
        <w:t>施工阶段</w:t>
      </w:r>
      <w:bookmarkEnd w:id="545"/>
    </w:p>
    <w:p>
      <w:pPr>
        <w:spacing w:line="300" w:lineRule="auto"/>
        <w:ind w:firstLine="480" w:firstLineChars="200"/>
        <w:rPr>
          <w:rFonts w:ascii="Times New Roman" w:hAnsi="Times New Roman"/>
          <w:b w:val="0"/>
          <w:bCs/>
          <w:color w:val="auto"/>
          <w:kern w:val="0"/>
          <w:sz w:val="24"/>
          <w:szCs w:val="24"/>
        </w:rPr>
      </w:pPr>
      <w:r>
        <w:rPr>
          <w:rFonts w:ascii="Times New Roman" w:hAnsi="Times New Roman"/>
          <w:b w:val="0"/>
          <w:bCs/>
          <w:color w:val="auto"/>
          <w:kern w:val="0"/>
          <w:sz w:val="24"/>
          <w:szCs w:val="24"/>
        </w:rPr>
        <w:t>在施工过程中，组织相关人员学习文物保护知识，提高工人保护、识别文物的能力，增强工人的文物保护意识，在挖掘的过程中一旦发现文物，如古墓、钱币、化石等有考古、地质研究价值的物品，或其它有价值的地下构造物，已开工的要立即停工保护现场，立刻采取有效保护措施，防止任何人员移动或损坏任何该类物品，尽快向工程管理人员、业主和文物保护部门汇报，并积极协助处理。</w:t>
      </w:r>
    </w:p>
    <w:p>
      <w:pPr>
        <w:spacing w:line="300" w:lineRule="auto"/>
        <w:ind w:firstLine="480" w:firstLineChars="200"/>
        <w:rPr>
          <w:rFonts w:ascii="Times New Roman" w:hAnsi="Times New Roman"/>
          <w:b w:val="0"/>
          <w:bCs/>
          <w:color w:val="auto"/>
          <w:kern w:val="0"/>
          <w:sz w:val="24"/>
          <w:szCs w:val="24"/>
        </w:rPr>
      </w:pPr>
      <w:r>
        <w:rPr>
          <w:rFonts w:ascii="Times New Roman" w:hAnsi="Times New Roman"/>
          <w:b w:val="0"/>
          <w:bCs/>
          <w:color w:val="auto"/>
          <w:kern w:val="0"/>
          <w:sz w:val="24"/>
          <w:szCs w:val="24"/>
        </w:rPr>
        <w:t>在文物保护单位区段的建设工程，应尽量减少对地表的扰动，避免设置取弃士场、弃碴场、施工营地等，将文物的损失降到最低限度。</w:t>
      </w:r>
    </w:p>
    <w:p>
      <w:pPr>
        <w:pStyle w:val="3"/>
        <w:ind w:firstLine="562" w:firstLineChars="200"/>
      </w:pPr>
      <w:bookmarkStart w:id="546" w:name="_Toc104756531"/>
      <w:bookmarkStart w:id="547" w:name="_Toc2063"/>
      <w:r>
        <w:t>广州市历史文物保护规划</w:t>
      </w:r>
      <w:bookmarkEnd w:id="546"/>
      <w:bookmarkEnd w:id="547"/>
    </w:p>
    <w:p>
      <w:pPr>
        <w:pStyle w:val="4"/>
        <w:ind w:firstLine="482" w:firstLineChars="200"/>
      </w:pPr>
      <w:bookmarkStart w:id="548" w:name="_Toc6598"/>
      <w:r>
        <w:t>广州市文物保护目标</w:t>
      </w:r>
      <w:bookmarkEnd w:id="548"/>
    </w:p>
    <w:p>
      <w:pPr>
        <w:spacing w:line="300" w:lineRule="auto"/>
        <w:ind w:firstLine="480" w:firstLineChars="200"/>
        <w:rPr>
          <w:rFonts w:ascii="Times New Roman" w:hAnsi="Times New Roman"/>
          <w:b w:val="0"/>
          <w:bCs/>
          <w:color w:val="auto"/>
          <w:kern w:val="0"/>
          <w:sz w:val="24"/>
          <w:szCs w:val="24"/>
        </w:rPr>
      </w:pPr>
      <w:r>
        <w:rPr>
          <w:rFonts w:ascii="Times New Roman" w:hAnsi="Times New Roman"/>
          <w:b w:val="0"/>
          <w:bCs/>
          <w:color w:val="auto"/>
          <w:kern w:val="0"/>
          <w:sz w:val="24"/>
          <w:szCs w:val="24"/>
        </w:rPr>
        <w:t>到2025年，多层级多要素的广州城乡历史文化保护传承体系更加完善，城乡历史文化遗产基本做到应保尽保，形成更多可复制可推广的活化利用经验，建设性破坏行为得到明显遏制，历史文化保护传承工作融入城乡建设的格局基本形成。</w:t>
      </w:r>
    </w:p>
    <w:p>
      <w:pPr>
        <w:spacing w:line="300" w:lineRule="auto"/>
        <w:ind w:firstLine="480" w:firstLineChars="200"/>
        <w:rPr>
          <w:rFonts w:ascii="Times New Roman" w:hAnsi="Times New Roman"/>
          <w:b w:val="0"/>
          <w:bCs/>
          <w:color w:val="auto"/>
          <w:kern w:val="0"/>
          <w:sz w:val="24"/>
          <w:szCs w:val="24"/>
        </w:rPr>
      </w:pPr>
      <w:r>
        <w:rPr>
          <w:rFonts w:ascii="Times New Roman" w:hAnsi="Times New Roman"/>
          <w:b w:val="0"/>
          <w:bCs/>
          <w:color w:val="auto"/>
          <w:kern w:val="0"/>
          <w:sz w:val="24"/>
          <w:szCs w:val="24"/>
        </w:rPr>
        <w:t>到2035年，系统完整的广州城乡历史文化保护传承体系全面建成，城乡历史文化遗产得到有效保护、充分利用，不敢破坏、不能破坏、不想破坏的体制机制全面建成，历史文化保护传承工作全面融入城乡建设和经济社会发展大局，人民群众文化自觉和文化自信进一步提升。</w:t>
      </w:r>
    </w:p>
    <w:p>
      <w:pPr>
        <w:pStyle w:val="4"/>
        <w:ind w:firstLine="482" w:firstLineChars="200"/>
      </w:pPr>
      <w:bookmarkStart w:id="549" w:name="_Toc3595"/>
      <w:r>
        <w:t>广州市历史文化名城保护规划</w:t>
      </w:r>
      <w:bookmarkEnd w:id="549"/>
    </w:p>
    <w:p>
      <w:pPr>
        <w:spacing w:line="300" w:lineRule="auto"/>
        <w:ind w:firstLine="480" w:firstLineChars="200"/>
        <w:rPr>
          <w:rFonts w:ascii="Times New Roman" w:hAnsi="Times New Roman"/>
          <w:b w:val="0"/>
          <w:bCs/>
          <w:color w:val="auto"/>
          <w:kern w:val="0"/>
          <w:sz w:val="24"/>
          <w:szCs w:val="24"/>
        </w:rPr>
      </w:pPr>
      <w:r>
        <w:rPr>
          <w:rFonts w:ascii="Times New Roman" w:hAnsi="Times New Roman"/>
          <w:b w:val="0"/>
          <w:bCs/>
          <w:color w:val="auto"/>
          <w:kern w:val="0"/>
          <w:sz w:val="24"/>
          <w:szCs w:val="24"/>
        </w:rPr>
        <w:t>根据《广州历史文化名城保护规划》（2014.11），广州市历史文化保护主要包括历史城区的保护、历史文化名镇名村及传统村落的保护、历史文化街区及历史风貌区的保护、不可移动文物及历史建筑的保护，以及非物质文化遗产的保护等。</w:t>
      </w:r>
    </w:p>
    <w:p>
      <w:pPr>
        <w:spacing w:line="300" w:lineRule="auto"/>
        <w:ind w:firstLine="480" w:firstLineChars="200"/>
        <w:rPr>
          <w:rFonts w:ascii="Times New Roman" w:hAnsi="Times New Roman"/>
          <w:b w:val="0"/>
          <w:bCs/>
          <w:color w:val="auto"/>
          <w:kern w:val="0"/>
          <w:sz w:val="24"/>
          <w:szCs w:val="24"/>
        </w:rPr>
      </w:pPr>
      <w:r>
        <w:rPr>
          <w:rFonts w:ascii="Times New Roman" w:hAnsi="Times New Roman"/>
          <w:b w:val="0"/>
          <w:bCs/>
          <w:color w:val="auto"/>
          <w:kern w:val="0"/>
          <w:sz w:val="24"/>
          <w:szCs w:val="24"/>
        </w:rPr>
        <w:t>(一)历史城区的范围</w:t>
      </w:r>
    </w:p>
    <w:p>
      <w:pPr>
        <w:spacing w:line="300" w:lineRule="auto"/>
        <w:ind w:firstLine="480" w:firstLineChars="200"/>
        <w:rPr>
          <w:rFonts w:ascii="Times New Roman" w:hAnsi="Times New Roman"/>
          <w:b w:val="0"/>
          <w:bCs/>
          <w:color w:val="auto"/>
          <w:kern w:val="0"/>
          <w:sz w:val="24"/>
          <w:szCs w:val="24"/>
        </w:rPr>
      </w:pPr>
      <w:r>
        <w:rPr>
          <w:rFonts w:ascii="Times New Roman" w:hAnsi="Times New Roman"/>
          <w:b w:val="0"/>
          <w:bCs/>
          <w:color w:val="auto"/>
          <w:kern w:val="0"/>
          <w:sz w:val="24"/>
          <w:szCs w:val="24"/>
        </w:rPr>
        <w:t>历史城区为风貌保存较为完整的1949年以前形成的城市建成区范围，为由东濠涌－小北路－环市中路－环市西路－人民北路－流花路－广三铁路－珠江（珠江大桥东桥－海旁内街）－海旁内街－新民大街－革新路－梅园西路－工业大道北－南田路－江湾路－江湾大桥等具体边界围合形成的封闭环状地区，面积为20.39平方公里。</w:t>
      </w:r>
    </w:p>
    <w:p>
      <w:pPr>
        <w:spacing w:line="300" w:lineRule="auto"/>
        <w:ind w:firstLine="480" w:firstLineChars="200"/>
        <w:rPr>
          <w:rFonts w:ascii="Times New Roman" w:hAnsi="Times New Roman"/>
          <w:b w:val="0"/>
          <w:bCs/>
          <w:color w:val="auto"/>
          <w:kern w:val="0"/>
          <w:sz w:val="24"/>
          <w:szCs w:val="24"/>
        </w:rPr>
      </w:pPr>
      <w:r>
        <w:rPr>
          <w:rFonts w:ascii="Times New Roman" w:hAnsi="Times New Roman"/>
          <w:b w:val="0"/>
          <w:bCs/>
          <w:color w:val="auto"/>
          <w:kern w:val="0"/>
          <w:sz w:val="24"/>
          <w:szCs w:val="24"/>
        </w:rPr>
        <w:t>(二)历史文化名镇名村及传统村落的保护</w:t>
      </w:r>
    </w:p>
    <w:p>
      <w:pPr>
        <w:spacing w:line="300" w:lineRule="auto"/>
        <w:ind w:firstLine="480" w:firstLineChars="200"/>
        <w:rPr>
          <w:rFonts w:ascii="Times New Roman" w:hAnsi="Times New Roman"/>
          <w:b w:val="0"/>
          <w:bCs/>
          <w:color w:val="auto"/>
          <w:kern w:val="0"/>
          <w:sz w:val="24"/>
          <w:szCs w:val="24"/>
        </w:rPr>
      </w:pPr>
      <w:r>
        <w:rPr>
          <w:rFonts w:ascii="Times New Roman" w:hAnsi="Times New Roman"/>
          <w:b w:val="0"/>
          <w:bCs/>
          <w:color w:val="auto"/>
          <w:kern w:val="0"/>
          <w:sz w:val="24"/>
          <w:szCs w:val="24"/>
        </w:rPr>
        <w:t>广州共有历史文化名镇名村7个，其中中国历史文化名镇1个、中国历史文化名村2个、广东省历史文化名村4个；传统村镇93个。</w:t>
      </w:r>
    </w:p>
    <w:p>
      <w:pPr>
        <w:tabs>
          <w:tab w:val="left" w:pos="1680"/>
        </w:tabs>
        <w:spacing w:line="300" w:lineRule="auto"/>
        <w:ind w:firstLine="422" w:firstLineChars="200"/>
        <w:jc w:val="center"/>
        <w:rPr>
          <w:rFonts w:ascii="Times New Roman" w:hAnsi="Times New Roman"/>
          <w:color w:val="0000CC"/>
          <w:sz w:val="21"/>
          <w:szCs w:val="21"/>
        </w:rPr>
      </w:pPr>
      <w:r>
        <w:rPr>
          <w:rFonts w:ascii="Times New Roman" w:hAnsi="Times New Roman"/>
          <w:color w:val="0000CC"/>
          <w:sz w:val="21"/>
          <w:szCs w:val="21"/>
        </w:rPr>
        <w:t>历史文化名镇名村及传统村落一览表</w:t>
      </w:r>
    </w:p>
    <w:p>
      <w:pPr>
        <w:pStyle w:val="205"/>
        <w:spacing w:line="300" w:lineRule="auto"/>
        <w:ind w:firstLine="482"/>
        <w:jc w:val="center"/>
        <w:rPr>
          <w:rFonts w:ascii="Times New Roman" w:hAnsi="Times New Roman"/>
        </w:rPr>
      </w:pPr>
      <w:bookmarkStart w:id="550" w:name="_Toc101988149"/>
      <w:bookmarkStart w:id="551" w:name="_Toc104756532"/>
      <w:bookmarkStart w:id="552" w:name="_Toc101944268"/>
      <w:r>
        <w:rPr>
          <w:rFonts w:ascii="Times New Roman" w:hAnsi="Times New Roman"/>
        </w:rPr>
        <w:drawing>
          <wp:inline distT="0" distB="0" distL="114300" distR="114300">
            <wp:extent cx="5363210" cy="8142605"/>
            <wp:effectExtent l="0" t="0" r="8890" b="10795"/>
            <wp:docPr id="1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3"/>
                    <pic:cNvPicPr>
                      <a:picLocks noChangeAspect="1"/>
                    </pic:cNvPicPr>
                  </pic:nvPicPr>
                  <pic:blipFill>
                    <a:blip r:embed="rId316"/>
                    <a:stretch>
                      <a:fillRect/>
                    </a:stretch>
                  </pic:blipFill>
                  <pic:spPr>
                    <a:xfrm>
                      <a:off x="0" y="0"/>
                      <a:ext cx="5363210" cy="8142605"/>
                    </a:xfrm>
                    <a:prstGeom prst="rect">
                      <a:avLst/>
                    </a:prstGeom>
                    <a:noFill/>
                    <a:ln>
                      <a:noFill/>
                    </a:ln>
                  </pic:spPr>
                </pic:pic>
              </a:graphicData>
            </a:graphic>
          </wp:inline>
        </w:drawing>
      </w:r>
    </w:p>
    <w:p>
      <w:pPr>
        <w:spacing w:line="300" w:lineRule="auto"/>
        <w:ind w:firstLine="562" w:firstLineChars="200"/>
        <w:rPr>
          <w:rFonts w:ascii="Times New Roman" w:hAnsi="Times New Roman"/>
          <w:color w:val="auto"/>
        </w:rPr>
      </w:pPr>
      <w:r>
        <w:rPr>
          <w:rFonts w:ascii="Times New Roman" w:hAnsi="Times New Roman"/>
          <w:color w:val="auto"/>
        </w:rPr>
        <w:drawing>
          <wp:inline distT="0" distB="0" distL="114300" distR="114300">
            <wp:extent cx="4978400" cy="8476615"/>
            <wp:effectExtent l="0" t="0" r="12700" b="635"/>
            <wp:docPr id="6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
                    <pic:cNvPicPr>
                      <a:picLocks noChangeAspect="1"/>
                    </pic:cNvPicPr>
                  </pic:nvPicPr>
                  <pic:blipFill>
                    <a:blip r:embed="rId317"/>
                    <a:srcRect l="1317" t="923" r="2193"/>
                    <a:stretch>
                      <a:fillRect/>
                    </a:stretch>
                  </pic:blipFill>
                  <pic:spPr>
                    <a:xfrm>
                      <a:off x="0" y="0"/>
                      <a:ext cx="4978400" cy="8476615"/>
                    </a:xfrm>
                    <a:prstGeom prst="rect">
                      <a:avLst/>
                    </a:prstGeom>
                    <a:noFill/>
                    <a:ln>
                      <a:noFill/>
                    </a:ln>
                  </pic:spPr>
                </pic:pic>
              </a:graphicData>
            </a:graphic>
          </wp:inline>
        </w:drawing>
      </w:r>
    </w:p>
    <w:p>
      <w:pPr>
        <w:pStyle w:val="205"/>
        <w:spacing w:line="300" w:lineRule="auto"/>
        <w:ind w:firstLine="482"/>
        <w:rPr>
          <w:rFonts w:ascii="Times New Roman" w:hAnsi="Times New Roman"/>
        </w:rPr>
      </w:pPr>
      <w:r>
        <w:rPr>
          <w:rFonts w:ascii="Times New Roman" w:hAnsi="Times New Roman"/>
        </w:rPr>
        <w:drawing>
          <wp:inline distT="0" distB="0" distL="114300" distR="114300">
            <wp:extent cx="5221605" cy="1513205"/>
            <wp:effectExtent l="0" t="0" r="17145" b="10795"/>
            <wp:docPr id="6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
                    <pic:cNvPicPr>
                      <a:picLocks noChangeAspect="1"/>
                    </pic:cNvPicPr>
                  </pic:nvPicPr>
                  <pic:blipFill>
                    <a:blip r:embed="rId318"/>
                    <a:srcRect t="8208" r="1530"/>
                    <a:stretch>
                      <a:fillRect/>
                    </a:stretch>
                  </pic:blipFill>
                  <pic:spPr>
                    <a:xfrm>
                      <a:off x="0" y="0"/>
                      <a:ext cx="5221605" cy="1513205"/>
                    </a:xfrm>
                    <a:prstGeom prst="rect">
                      <a:avLst/>
                    </a:prstGeom>
                    <a:noFill/>
                    <a:ln>
                      <a:noFill/>
                    </a:ln>
                  </pic:spPr>
                </pic:pic>
              </a:graphicData>
            </a:graphic>
          </wp:inline>
        </w:drawing>
      </w:r>
    </w:p>
    <w:p>
      <w:pPr>
        <w:pStyle w:val="205"/>
        <w:spacing w:line="300" w:lineRule="auto"/>
        <w:ind w:firstLine="482"/>
        <w:rPr>
          <w:rFonts w:ascii="Times New Roman" w:hAnsi="Times New Roman"/>
        </w:rPr>
      </w:pPr>
      <w:r>
        <w:rPr>
          <w:rFonts w:ascii="Times New Roman" w:hAnsi="Times New Roman"/>
        </w:rPr>
        <w:t>(三)历史文化街区及历史风貌区的保护</w:t>
      </w:r>
    </w:p>
    <w:p>
      <w:pPr>
        <w:pStyle w:val="120"/>
        <w:spacing w:line="300" w:lineRule="auto"/>
        <w:ind w:firstLineChars="200"/>
        <w:rPr>
          <w:rFonts w:ascii="Times New Roman" w:hAnsi="Times New Roman"/>
        </w:rPr>
      </w:pPr>
      <w:r>
        <w:rPr>
          <w:rFonts w:ascii="Times New Roman" w:hAnsi="Times New Roman"/>
        </w:rPr>
        <w:t>广州共有历史文化街区及历史风貌区45片，其中历史文化街区26片、历史风貌区19片。</w:t>
      </w:r>
    </w:p>
    <w:p>
      <w:pPr>
        <w:tabs>
          <w:tab w:val="left" w:pos="1680"/>
        </w:tabs>
        <w:spacing w:line="300" w:lineRule="auto"/>
        <w:ind w:firstLine="422" w:firstLineChars="200"/>
        <w:jc w:val="center"/>
        <w:rPr>
          <w:rFonts w:ascii="Times New Roman" w:hAnsi="Times New Roman"/>
          <w:color w:val="0000CC"/>
          <w:sz w:val="21"/>
          <w:szCs w:val="21"/>
        </w:rPr>
      </w:pPr>
      <w:r>
        <w:rPr>
          <w:rFonts w:ascii="Times New Roman" w:hAnsi="Times New Roman"/>
          <w:color w:val="0000CC"/>
          <w:sz w:val="21"/>
          <w:szCs w:val="21"/>
        </w:rPr>
        <w:t>历史文化街区及历史风貌区名单（45片）</w:t>
      </w:r>
    </w:p>
    <w:p>
      <w:pPr>
        <w:spacing w:line="300" w:lineRule="auto"/>
        <w:ind w:firstLine="562" w:firstLineChars="200"/>
        <w:jc w:val="center"/>
        <w:rPr>
          <w:rFonts w:ascii="Times New Roman" w:hAnsi="Times New Roman"/>
          <w:color w:val="auto"/>
          <w:sz w:val="24"/>
        </w:rPr>
      </w:pPr>
      <w:r>
        <w:rPr>
          <w:rFonts w:ascii="Times New Roman" w:hAnsi="Times New Roman"/>
          <w:color w:val="auto"/>
        </w:rPr>
        <w:drawing>
          <wp:inline distT="0" distB="0" distL="114300" distR="114300">
            <wp:extent cx="4748530" cy="5734685"/>
            <wp:effectExtent l="0" t="0" r="13970" b="18415"/>
            <wp:docPr id="6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
                    <pic:cNvPicPr>
                      <a:picLocks noChangeAspect="1"/>
                    </pic:cNvPicPr>
                  </pic:nvPicPr>
                  <pic:blipFill>
                    <a:blip r:embed="rId319"/>
                    <a:srcRect t="1263"/>
                    <a:stretch>
                      <a:fillRect/>
                    </a:stretch>
                  </pic:blipFill>
                  <pic:spPr>
                    <a:xfrm>
                      <a:off x="0" y="0"/>
                      <a:ext cx="4748530" cy="5734685"/>
                    </a:xfrm>
                    <a:prstGeom prst="rect">
                      <a:avLst/>
                    </a:prstGeom>
                    <a:noFill/>
                    <a:ln>
                      <a:noFill/>
                    </a:ln>
                  </pic:spPr>
                </pic:pic>
              </a:graphicData>
            </a:graphic>
          </wp:inline>
        </w:drawing>
      </w:r>
    </w:p>
    <w:p>
      <w:pPr>
        <w:spacing w:line="300" w:lineRule="auto"/>
        <w:ind w:firstLine="562" w:firstLineChars="200"/>
        <w:jc w:val="center"/>
        <w:rPr>
          <w:rFonts w:ascii="Times New Roman" w:hAnsi="Times New Roman"/>
          <w:color w:val="auto"/>
          <w:sz w:val="24"/>
        </w:rPr>
      </w:pPr>
      <w:r>
        <w:rPr>
          <w:rFonts w:ascii="Times New Roman" w:hAnsi="Times New Roman"/>
          <w:color w:val="auto"/>
        </w:rPr>
        <w:drawing>
          <wp:inline distT="0" distB="0" distL="114300" distR="114300">
            <wp:extent cx="5487670" cy="4217670"/>
            <wp:effectExtent l="0" t="0" r="17780" b="11430"/>
            <wp:docPr id="5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7"/>
                    <pic:cNvPicPr>
                      <a:picLocks noChangeAspect="1"/>
                    </pic:cNvPicPr>
                  </pic:nvPicPr>
                  <pic:blipFill>
                    <a:blip r:embed="rId320"/>
                    <a:stretch>
                      <a:fillRect/>
                    </a:stretch>
                  </pic:blipFill>
                  <pic:spPr>
                    <a:xfrm>
                      <a:off x="0" y="0"/>
                      <a:ext cx="5487670" cy="4217670"/>
                    </a:xfrm>
                    <a:prstGeom prst="rect">
                      <a:avLst/>
                    </a:prstGeom>
                    <a:noFill/>
                    <a:ln>
                      <a:noFill/>
                    </a:ln>
                  </pic:spPr>
                </pic:pic>
              </a:graphicData>
            </a:graphic>
          </wp:inline>
        </w:drawing>
      </w:r>
    </w:p>
    <w:p>
      <w:pPr>
        <w:pStyle w:val="205"/>
        <w:spacing w:line="300" w:lineRule="auto"/>
        <w:ind w:firstLine="482"/>
        <w:rPr>
          <w:rFonts w:ascii="Times New Roman" w:hAnsi="Times New Roman"/>
        </w:rPr>
      </w:pPr>
      <w:r>
        <w:rPr>
          <w:rFonts w:ascii="Times New Roman" w:hAnsi="Times New Roman"/>
        </w:rPr>
        <w:t>(四)不可移动文物的保护</w:t>
      </w:r>
    </w:p>
    <w:p>
      <w:pPr>
        <w:pStyle w:val="120"/>
        <w:spacing w:line="300" w:lineRule="auto"/>
        <w:ind w:firstLineChars="200"/>
        <w:rPr>
          <w:rFonts w:ascii="Times New Roman" w:hAnsi="Times New Roman"/>
        </w:rPr>
      </w:pPr>
      <w:r>
        <w:rPr>
          <w:rFonts w:ascii="Times New Roman" w:hAnsi="Times New Roman"/>
        </w:rPr>
        <w:t>（1）文物保护单位：全国重点文物保护单位29处、广东省文物保护单位42处，广州市文物保护单位251处，区文物保护单位224处；</w:t>
      </w:r>
    </w:p>
    <w:p>
      <w:pPr>
        <w:pStyle w:val="120"/>
        <w:spacing w:line="300" w:lineRule="auto"/>
        <w:ind w:firstLineChars="200"/>
        <w:rPr>
          <w:rFonts w:ascii="Times New Roman" w:hAnsi="Times New Roman"/>
        </w:rPr>
      </w:pPr>
      <w:r>
        <w:rPr>
          <w:rFonts w:ascii="Times New Roman" w:hAnsi="Times New Roman"/>
        </w:rPr>
        <w:t>（2）尚未核定公布为文物保护单位的不可移动文物为2821处（包括市登记、区登记）；</w:t>
      </w:r>
    </w:p>
    <w:p>
      <w:pPr>
        <w:pStyle w:val="120"/>
        <w:spacing w:line="300" w:lineRule="auto"/>
        <w:ind w:firstLineChars="200"/>
        <w:rPr>
          <w:rFonts w:ascii="Times New Roman" w:hAnsi="Times New Roman"/>
        </w:rPr>
      </w:pPr>
      <w:r>
        <w:rPr>
          <w:rFonts w:ascii="Times New Roman" w:hAnsi="Times New Roman"/>
        </w:rPr>
        <w:t>（3）文物普查新增登记的不可移动文物。</w:t>
      </w:r>
    </w:p>
    <w:p>
      <w:pPr>
        <w:pStyle w:val="3"/>
        <w:ind w:firstLine="562" w:firstLineChars="200"/>
      </w:pPr>
      <w:bookmarkStart w:id="553" w:name="_Toc5742"/>
      <w:r>
        <w:t>本项目历史文物情况</w:t>
      </w:r>
      <w:bookmarkEnd w:id="550"/>
      <w:bookmarkEnd w:id="551"/>
      <w:bookmarkEnd w:id="552"/>
      <w:bookmarkEnd w:id="553"/>
    </w:p>
    <w:p>
      <w:pPr>
        <w:pStyle w:val="120"/>
        <w:spacing w:line="300" w:lineRule="auto"/>
        <w:ind w:firstLineChars="200"/>
        <w:rPr>
          <w:rFonts w:ascii="Times New Roman" w:hAnsi="Times New Roman"/>
        </w:rPr>
      </w:pPr>
      <w:r>
        <w:rPr>
          <w:rFonts w:ascii="Times New Roman" w:hAnsi="Times New Roman"/>
        </w:rPr>
        <w:t>项目位于南沙新区万顷沙镇，北至二十涌，南至二十一涌，西至洪奇沥水道，东至龙穴水道。工程调查范围为本项目道路用地区域内。</w:t>
      </w:r>
    </w:p>
    <w:p>
      <w:pPr>
        <w:pStyle w:val="4"/>
        <w:ind w:firstLine="482" w:firstLineChars="200"/>
      </w:pPr>
      <w:bookmarkStart w:id="554" w:name="_Toc26972"/>
      <w:r>
        <w:t>本项目与历史城区的关系</w:t>
      </w:r>
      <w:bookmarkEnd w:id="554"/>
    </w:p>
    <w:p>
      <w:pPr>
        <w:pStyle w:val="120"/>
        <w:spacing w:line="300" w:lineRule="auto"/>
        <w:ind w:firstLineChars="200"/>
        <w:rPr>
          <w:rFonts w:ascii="Times New Roman" w:hAnsi="Times New Roman"/>
        </w:rPr>
      </w:pPr>
      <w:r>
        <w:rPr>
          <w:rFonts w:ascii="Times New Roman" w:hAnsi="Times New Roman"/>
          <w:lang w:bidi="ar-SA"/>
        </w:rPr>
        <w:drawing>
          <wp:inline distT="0" distB="0" distL="114300" distR="114300">
            <wp:extent cx="5389880" cy="5091430"/>
            <wp:effectExtent l="0" t="0" r="1270" b="13970"/>
            <wp:docPr id="46" name="图片 9" descr="说明: E:\2022\00 万环西路招标文件\202205 初步设计\文物保护\《广州历史文化名城保护规划》主要内容和图纸_页面_09.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9" descr="说明: E:\2022\00 万环西路招标文件\202205 初步设计\文物保护\《广州历史文化名城保护规划》主要内容和图纸_页面_09.tiff"/>
                    <pic:cNvPicPr>
                      <a:picLocks noChangeAspect="1"/>
                    </pic:cNvPicPr>
                  </pic:nvPicPr>
                  <pic:blipFill>
                    <a:blip r:embed="rId321"/>
                    <a:srcRect l="8621" t="11877" r="9918" b="11111"/>
                    <a:stretch>
                      <a:fillRect/>
                    </a:stretch>
                  </pic:blipFill>
                  <pic:spPr>
                    <a:xfrm>
                      <a:off x="0" y="0"/>
                      <a:ext cx="5389880" cy="5091430"/>
                    </a:xfrm>
                    <a:prstGeom prst="rect">
                      <a:avLst/>
                    </a:prstGeom>
                    <a:noFill/>
                    <a:ln>
                      <a:noFill/>
                    </a:ln>
                  </pic:spPr>
                </pic:pic>
              </a:graphicData>
            </a:graphic>
          </wp:inline>
        </w:drawing>
      </w:r>
    </w:p>
    <w:p>
      <w:pPr>
        <w:spacing w:line="300" w:lineRule="auto"/>
        <w:ind w:firstLine="422" w:firstLineChars="200"/>
        <w:jc w:val="center"/>
        <w:rPr>
          <w:rFonts w:ascii="Times New Roman" w:hAnsi="Times New Roman"/>
          <w:color w:val="0000CC"/>
          <w:sz w:val="21"/>
          <w:szCs w:val="21"/>
        </w:rPr>
      </w:pPr>
      <w:r>
        <w:rPr>
          <w:rFonts w:ascii="Times New Roman" w:hAnsi="Times New Roman"/>
          <w:color w:val="0000CC"/>
          <w:sz w:val="21"/>
          <w:szCs w:val="21"/>
        </w:rPr>
        <w:t>广州市历史城区范围图</w:t>
      </w:r>
    </w:p>
    <w:p>
      <w:pPr>
        <w:pStyle w:val="120"/>
        <w:spacing w:line="300" w:lineRule="auto"/>
        <w:ind w:firstLineChars="200"/>
        <w:rPr>
          <w:rFonts w:ascii="Times New Roman" w:hAnsi="Times New Roman"/>
        </w:rPr>
      </w:pPr>
      <w:r>
        <w:rPr>
          <w:rFonts w:ascii="Times New Roman" w:hAnsi="Times New Roman"/>
        </w:rPr>
        <w:t>南沙区位于广州市南部，珠江三角洲中部河网地带，南沙地处珠江出海口的外沿，与浩瀚的南海相拥，海拔较高的地点是古时错落的岛屿。根据近年在南沙鹿颈村的考古发现，在三四千年前的新石器时代晚期已有先民在此繁衍生息。到商代晚期，这里农耕与渔猎相结合的经济已很发达。2000年11月至2002年7月，相关编制单位对南沙区东南部的南沙街鹿颈村的鹿颈村遗址进行了考古发掘，发掘面积约2400平方米，遗址地处珠江虎门出海口西侧的一个古海湾内，东临大角山，南接珍珠山，西侧为鹿山，北向珠江口。发现了新石器时代晚期、商时期、唐宋、明清四个阶段的文化堆积，其中尤以商时期的遗存最为丰富，出土了大量的陶器、石器、骨器、蚌器掺杂在由碎石、红烧土块、动物骨骼、各种贝壳构成的商代堆积中，一些废弃物甚至还保留着当时堆放的形态。该遗址是目前广州地区所发现的发掘面积最大、堆积最厚、包含物和文化内涵最为丰富的先秦遗址，对其进行科学的发掘、整理和深入研究，有助于建立广州环珠江口地区新石器时代晚期至商时期考古学文化的年代序列，对了解当时人们生产、生活的基本面貌，以及生态环境、动植物分布和物种构成等都具有重要意义。综合历史环境评估，该项目所在区域成陆较晚，周边水路在历史上为进入广州的重要航线。</w:t>
      </w:r>
    </w:p>
    <w:p>
      <w:pPr>
        <w:pStyle w:val="4"/>
        <w:ind w:firstLine="482" w:firstLineChars="200"/>
      </w:pPr>
      <w:bookmarkStart w:id="555" w:name="_Toc6462"/>
      <w:r>
        <w:t>历史文化名镇名村及传统村落分布情况</w:t>
      </w:r>
      <w:bookmarkEnd w:id="555"/>
    </w:p>
    <w:p>
      <w:pPr>
        <w:pStyle w:val="120"/>
        <w:spacing w:line="300" w:lineRule="auto"/>
        <w:ind w:firstLineChars="200"/>
        <w:rPr>
          <w:rFonts w:ascii="Times New Roman" w:hAnsi="Times New Roman"/>
        </w:rPr>
      </w:pPr>
      <w:r>
        <w:rPr>
          <w:rFonts w:ascii="Times New Roman" w:hAnsi="Times New Roman"/>
        </w:rPr>
        <w:t>根据《广州历史文化名城保护规划》历史文化名镇名村及传统村落一览表，南沙区共包含5个传统村镇，分别为：塘坑村、莲溪村、大井村、东里村、湴湄村。经核查，本项目位于上述村镇范围外，因此本项目范围内不涉及历史文化名镇名村及传统村落。</w:t>
      </w:r>
    </w:p>
    <w:p>
      <w:pPr>
        <w:pStyle w:val="4"/>
        <w:ind w:firstLine="482" w:firstLineChars="200"/>
      </w:pPr>
      <w:bookmarkStart w:id="556" w:name="_Toc2243"/>
      <w:r>
        <w:t>历史文化街区及历史风貌区分布情况</w:t>
      </w:r>
      <w:bookmarkEnd w:id="556"/>
    </w:p>
    <w:p>
      <w:pPr>
        <w:pStyle w:val="120"/>
        <w:spacing w:line="300" w:lineRule="auto"/>
        <w:ind w:firstLineChars="200"/>
        <w:rPr>
          <w:rFonts w:ascii="Times New Roman" w:hAnsi="Times New Roman"/>
        </w:rPr>
      </w:pPr>
      <w:r>
        <w:rPr>
          <w:rFonts w:ascii="Times New Roman" w:hAnsi="Times New Roman"/>
        </w:rPr>
        <w:t>查阅《广州历史文化名城保护规划》历史文化街区及历史风貌区名单（45片）及广州市历史文化街区分布图，南沙区不存在历史文化街区及历史风貌区，因此本项目范围不涉及历史文化街区及历史风貌区。</w:t>
      </w:r>
    </w:p>
    <w:p>
      <w:pPr>
        <w:pStyle w:val="120"/>
        <w:spacing w:line="300" w:lineRule="auto"/>
        <w:ind w:firstLineChars="200"/>
        <w:rPr>
          <w:rFonts w:ascii="Times New Roman" w:hAnsi="Times New Roman"/>
        </w:rPr>
      </w:pPr>
      <w:r>
        <w:rPr>
          <w:rFonts w:ascii="Times New Roman" w:hAnsi="Times New Roman"/>
          <w:lang w:bidi="ar-SA"/>
        </w:rPr>
        <w:drawing>
          <wp:inline distT="0" distB="0" distL="114300" distR="114300">
            <wp:extent cx="6303010" cy="4118610"/>
            <wp:effectExtent l="0" t="0" r="2540" b="15240"/>
            <wp:docPr id="43" name="图片 10" descr="说明: E:\2022\00 万环西路招标文件\202205 初步设计\文物保护\《广州历史文化名城保护规划》主要内容和图纸_页面_1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0" descr="说明: E:\2022\00 万环西路招标文件\202205 初步设计\文物保护\《广州历史文化名城保护规划》主要内容和图纸_页面_11.tiff"/>
                    <pic:cNvPicPr>
                      <a:picLocks noChangeAspect="1"/>
                    </pic:cNvPicPr>
                  </pic:nvPicPr>
                  <pic:blipFill>
                    <a:blip r:embed="rId322"/>
                    <a:srcRect t="12070" r="1532" b="23563"/>
                    <a:stretch>
                      <a:fillRect/>
                    </a:stretch>
                  </pic:blipFill>
                  <pic:spPr>
                    <a:xfrm>
                      <a:off x="0" y="0"/>
                      <a:ext cx="6303010" cy="4118610"/>
                    </a:xfrm>
                    <a:prstGeom prst="rect">
                      <a:avLst/>
                    </a:prstGeom>
                    <a:noFill/>
                    <a:ln>
                      <a:noFill/>
                    </a:ln>
                  </pic:spPr>
                </pic:pic>
              </a:graphicData>
            </a:graphic>
          </wp:inline>
        </w:drawing>
      </w:r>
    </w:p>
    <w:p>
      <w:pPr>
        <w:spacing w:line="300" w:lineRule="auto"/>
        <w:ind w:firstLine="422" w:firstLineChars="200"/>
        <w:jc w:val="center"/>
        <w:rPr>
          <w:rFonts w:ascii="Times New Roman" w:hAnsi="Times New Roman"/>
          <w:color w:val="0000CC"/>
          <w:sz w:val="21"/>
          <w:szCs w:val="21"/>
        </w:rPr>
      </w:pPr>
      <w:r>
        <w:rPr>
          <w:rFonts w:ascii="Times New Roman" w:hAnsi="Times New Roman"/>
          <w:color w:val="0000CC"/>
          <w:sz w:val="21"/>
          <w:szCs w:val="21"/>
        </w:rPr>
        <w:t>广州市历史文化街区分布图</w:t>
      </w:r>
    </w:p>
    <w:p>
      <w:pPr>
        <w:pStyle w:val="4"/>
        <w:ind w:firstLine="482" w:firstLineChars="200"/>
      </w:pPr>
      <w:bookmarkStart w:id="557" w:name="_Toc4388"/>
      <w:r>
        <w:t>不可移动文物分布情况</w:t>
      </w:r>
      <w:bookmarkEnd w:id="557"/>
    </w:p>
    <w:p>
      <w:pPr>
        <w:pStyle w:val="120"/>
        <w:spacing w:line="300" w:lineRule="auto"/>
        <w:ind w:firstLineChars="200"/>
        <w:rPr>
          <w:rFonts w:ascii="Times New Roman" w:hAnsi="Times New Roman"/>
        </w:rPr>
      </w:pPr>
      <w:r>
        <w:rPr>
          <w:rFonts w:ascii="Times New Roman" w:hAnsi="Times New Roman"/>
        </w:rPr>
        <w:t>经查阅《广州历史文化名城保护规划》历史城区文物保护单位分布图，本项目范围不涉及历史城区文物保护单位。本项目范围不涉及不可移动文物。</w:t>
      </w:r>
    </w:p>
    <w:p>
      <w:pPr>
        <w:pStyle w:val="120"/>
        <w:spacing w:line="300" w:lineRule="auto"/>
        <w:ind w:firstLineChars="200"/>
        <w:rPr>
          <w:rFonts w:ascii="Times New Roman" w:hAnsi="Times New Roman"/>
        </w:rPr>
      </w:pPr>
      <w:r>
        <w:rPr>
          <w:rFonts w:ascii="Times New Roman" w:hAnsi="Times New Roman"/>
          <w:lang w:bidi="ar-SA"/>
        </w:rPr>
        <w:drawing>
          <wp:inline distT="0" distB="0" distL="114300" distR="114300">
            <wp:extent cx="6195695" cy="5729605"/>
            <wp:effectExtent l="0" t="0" r="14605" b="4445"/>
            <wp:docPr id="37" name="图片 11" descr="说明: E:\2022\00 万环西路招标文件\202205 初步设计\文物保护\广州历史文化名城保护规划成果\03-广州历史文化名城保护规划成果-核查版\02 图集2014.11.19_页面_16.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1" descr="说明: E:\2022\00 万环西路招标文件\202205 初步设计\文物保护\广州历史文化名城保护规划成果\03-广州历史文化名城保护规划成果-核查版\02 图集2014.11.19_页面_16.tiff"/>
                    <pic:cNvPicPr>
                      <a:picLocks noChangeAspect="1"/>
                    </pic:cNvPicPr>
                  </pic:nvPicPr>
                  <pic:blipFill>
                    <a:blip r:embed="rId323"/>
                    <a:srcRect l="8621" t="13026" r="9387" b="11111"/>
                    <a:stretch>
                      <a:fillRect/>
                    </a:stretch>
                  </pic:blipFill>
                  <pic:spPr>
                    <a:xfrm>
                      <a:off x="0" y="0"/>
                      <a:ext cx="6195695" cy="5729605"/>
                    </a:xfrm>
                    <a:prstGeom prst="rect">
                      <a:avLst/>
                    </a:prstGeom>
                    <a:noFill/>
                    <a:ln>
                      <a:noFill/>
                    </a:ln>
                  </pic:spPr>
                </pic:pic>
              </a:graphicData>
            </a:graphic>
          </wp:inline>
        </w:drawing>
      </w:r>
    </w:p>
    <w:p>
      <w:pPr>
        <w:spacing w:line="300" w:lineRule="auto"/>
        <w:ind w:firstLine="422" w:firstLineChars="200"/>
        <w:jc w:val="center"/>
        <w:rPr>
          <w:rFonts w:ascii="Times New Roman" w:hAnsi="Times New Roman"/>
          <w:color w:val="0000CC"/>
          <w:sz w:val="21"/>
          <w:szCs w:val="21"/>
        </w:rPr>
      </w:pPr>
      <w:r>
        <w:rPr>
          <w:rFonts w:ascii="Times New Roman" w:hAnsi="Times New Roman"/>
          <w:color w:val="0000CC"/>
          <w:sz w:val="21"/>
          <w:szCs w:val="21"/>
        </w:rPr>
        <w:t>历史城区文物保护单位分布图</w:t>
      </w:r>
    </w:p>
    <w:p>
      <w:pPr>
        <w:pStyle w:val="4"/>
        <w:ind w:firstLine="482" w:firstLineChars="200"/>
      </w:pPr>
      <w:bookmarkStart w:id="558" w:name="_Toc13791"/>
      <w:r>
        <w:t>历史水系分布情况</w:t>
      </w:r>
      <w:bookmarkEnd w:id="558"/>
    </w:p>
    <w:p>
      <w:pPr>
        <w:pStyle w:val="120"/>
        <w:spacing w:line="300" w:lineRule="auto"/>
        <w:ind w:firstLineChars="200"/>
        <w:rPr>
          <w:rFonts w:ascii="Times New Roman" w:hAnsi="Times New Roman"/>
        </w:rPr>
      </w:pPr>
      <w:r>
        <w:rPr>
          <w:rFonts w:ascii="Times New Roman" w:hAnsi="Times New Roman"/>
        </w:rPr>
        <w:t>根据《广州历史文化名城保护规划》，广州市江湖水系保护要素包括珠江、流溪河、增江、流花湖、荔湾湖、东山湖、麓湖、南湖、东江北干流、西福河、挂绿湖、河涌（越秀区东濠涌等）、出海口及其湿地等，本项目河涌桥改造及扩建均在上述水系之外，因此本项目范围不涉及到历史水系。</w:t>
      </w:r>
    </w:p>
    <w:p>
      <w:pPr>
        <w:pStyle w:val="120"/>
        <w:spacing w:line="300" w:lineRule="auto"/>
        <w:ind w:firstLineChars="200"/>
        <w:rPr>
          <w:rFonts w:ascii="Times New Roman" w:hAnsi="Times New Roman"/>
        </w:rPr>
      </w:pPr>
      <w:r>
        <w:rPr>
          <w:rFonts w:ascii="Times New Roman" w:hAnsi="Times New Roman"/>
          <w:lang w:bidi="ar-SA"/>
        </w:rPr>
        <w:drawing>
          <wp:inline distT="0" distB="0" distL="114300" distR="114300">
            <wp:extent cx="5702935" cy="5276215"/>
            <wp:effectExtent l="0" t="0" r="12065" b="635"/>
            <wp:docPr id="122" name="图片 13" descr="说明: E:\2022\00 万环西路招标文件\202205 初步设计\文物保护\广州历史文化名城保护规划成果\03-广州历史文化名城保护规划成果-核查版\02 图集2014.11.19_页面_12.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3" descr="说明: E:\2022\00 万环西路招标文件\202205 初步设计\文物保护\广州历史文化名城保护规划成果\03-广州历史文化名城保护规划成果-核查版\02 图集2014.11.19_页面_12.tiff"/>
                    <pic:cNvPicPr>
                      <a:picLocks noChangeAspect="1"/>
                    </pic:cNvPicPr>
                  </pic:nvPicPr>
                  <pic:blipFill>
                    <a:blip r:embed="rId324"/>
                    <a:srcRect l="8047" t="12070" r="9004" b="11111"/>
                    <a:stretch>
                      <a:fillRect/>
                    </a:stretch>
                  </pic:blipFill>
                  <pic:spPr>
                    <a:xfrm>
                      <a:off x="0" y="0"/>
                      <a:ext cx="5702935" cy="5276215"/>
                    </a:xfrm>
                    <a:prstGeom prst="rect">
                      <a:avLst/>
                    </a:prstGeom>
                    <a:noFill/>
                    <a:ln>
                      <a:noFill/>
                    </a:ln>
                  </pic:spPr>
                </pic:pic>
              </a:graphicData>
            </a:graphic>
          </wp:inline>
        </w:drawing>
      </w:r>
    </w:p>
    <w:p>
      <w:pPr>
        <w:spacing w:line="300" w:lineRule="auto"/>
        <w:ind w:firstLine="422" w:firstLineChars="200"/>
        <w:jc w:val="center"/>
        <w:rPr>
          <w:rFonts w:ascii="Times New Roman" w:hAnsi="Times New Roman"/>
          <w:color w:val="0000CC"/>
          <w:sz w:val="21"/>
          <w:szCs w:val="21"/>
        </w:rPr>
      </w:pPr>
      <w:r>
        <w:rPr>
          <w:rFonts w:ascii="Times New Roman" w:hAnsi="Times New Roman"/>
          <w:color w:val="0000CC"/>
          <w:sz w:val="21"/>
          <w:szCs w:val="21"/>
        </w:rPr>
        <w:t>历史城区历史水系保护规划图</w:t>
      </w:r>
    </w:p>
    <w:p>
      <w:pPr>
        <w:pStyle w:val="4"/>
        <w:ind w:firstLine="482" w:firstLineChars="200"/>
      </w:pPr>
      <w:bookmarkStart w:id="559" w:name="_Toc1544"/>
      <w:r>
        <w:t>地下文物埋藏区分布情况</w:t>
      </w:r>
      <w:bookmarkEnd w:id="559"/>
    </w:p>
    <w:p>
      <w:pPr>
        <w:pStyle w:val="120"/>
        <w:spacing w:line="300" w:lineRule="auto"/>
        <w:ind w:firstLineChars="200"/>
        <w:rPr>
          <w:rFonts w:ascii="Times New Roman" w:hAnsi="Times New Roman"/>
        </w:rPr>
      </w:pPr>
      <w:r>
        <w:rPr>
          <w:rFonts w:ascii="Times New Roman" w:hAnsi="Times New Roman"/>
        </w:rPr>
        <w:t>根据《广州历史文化名城保护规划》，广州市地下文物埋藏区共16处，分别是广州古城至珠江北岸地下文物埋藏区、十八甫-十三行地下文物埋藏区、西村-瑶台-三元里地下文物埋藏区、和平新村-流花-越秀公园地下文物埋藏区、桂花岗-狮带岗-横枝岗地下文物埋藏区、小北-建设新村-华侨新村-太和岗-区庄-麻鹰岗地下文物埋藏区、沙河顶-水荫路地下文物埋藏区、红花岗-竹丝岗梅花村地下文物埋藏区、东川路-龟岗-达道路地下文物埋藏区、宝岗-前进路地下文物埋藏区、康乐村-新港西路地下文物埋藏区、客村-赤岗地下文物埋藏区、昌岗-燕子岗地下文物埋藏区、官洲岛地下文物埋藏区、花地湾地下文物埋藏区、鹤洞地下文物埋藏区。</w:t>
      </w:r>
    </w:p>
    <w:p>
      <w:pPr>
        <w:pStyle w:val="120"/>
        <w:spacing w:line="300" w:lineRule="auto"/>
        <w:ind w:firstLineChars="200"/>
        <w:rPr>
          <w:rFonts w:ascii="Times New Roman" w:hAnsi="Times New Roman"/>
        </w:rPr>
      </w:pPr>
      <w:r>
        <w:rPr>
          <w:rFonts w:ascii="Times New Roman" w:hAnsi="Times New Roman"/>
          <w:lang w:bidi="ar-SA"/>
        </w:rPr>
        <w:drawing>
          <wp:inline distT="0" distB="0" distL="114300" distR="114300">
            <wp:extent cx="6116955" cy="4914265"/>
            <wp:effectExtent l="0" t="0" r="17145" b="635"/>
            <wp:docPr id="123" name="图片 14" descr="说明: E:\2022\00 万环西路招标文件\202205 初步设计\文物保护\广州历史文化名城保护规划成果\03-广州历史文化名城保护规划成果-核查版\02 图集2014.11.19_页面_17.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4" descr="说明: E:\2022\00 万环西路招标文件\202205 初步设计\文物保护\广州历史文化名城保护规划成果\03-广州历史文化名城保护规划成果-核查版\02 图集2014.11.19_页面_17.tiff"/>
                    <pic:cNvPicPr>
                      <a:picLocks noChangeAspect="1"/>
                    </pic:cNvPicPr>
                  </pic:nvPicPr>
                  <pic:blipFill>
                    <a:blip r:embed="rId325"/>
                    <a:srcRect l="8430" t="22061" r="9003" b="11685"/>
                    <a:stretch>
                      <a:fillRect/>
                    </a:stretch>
                  </pic:blipFill>
                  <pic:spPr>
                    <a:xfrm>
                      <a:off x="0" y="0"/>
                      <a:ext cx="6116955" cy="4914265"/>
                    </a:xfrm>
                    <a:prstGeom prst="rect">
                      <a:avLst/>
                    </a:prstGeom>
                    <a:noFill/>
                    <a:ln>
                      <a:noFill/>
                    </a:ln>
                  </pic:spPr>
                </pic:pic>
              </a:graphicData>
            </a:graphic>
          </wp:inline>
        </w:drawing>
      </w:r>
    </w:p>
    <w:p>
      <w:pPr>
        <w:spacing w:line="300" w:lineRule="auto"/>
        <w:ind w:firstLine="422" w:firstLineChars="200"/>
        <w:jc w:val="center"/>
        <w:rPr>
          <w:rFonts w:ascii="Times New Roman" w:hAnsi="Times New Roman"/>
          <w:color w:val="0000CC"/>
          <w:sz w:val="21"/>
          <w:szCs w:val="21"/>
        </w:rPr>
      </w:pPr>
      <w:r>
        <w:rPr>
          <w:rFonts w:ascii="Times New Roman" w:hAnsi="Times New Roman"/>
          <w:color w:val="0000CC"/>
          <w:sz w:val="21"/>
          <w:szCs w:val="21"/>
        </w:rPr>
        <w:t>历史城区及周边地下文物埋藏区保护规划图</w:t>
      </w:r>
    </w:p>
    <w:p>
      <w:pPr>
        <w:pStyle w:val="120"/>
        <w:spacing w:line="300" w:lineRule="auto"/>
        <w:ind w:firstLineChars="200"/>
        <w:rPr>
          <w:rFonts w:ascii="Times New Roman" w:hAnsi="Times New Roman"/>
        </w:rPr>
      </w:pPr>
      <w:r>
        <w:rPr>
          <w:rFonts w:ascii="Times New Roman" w:hAnsi="Times New Roman"/>
        </w:rPr>
        <w:t>根据《广州历史文化名城保护规划》规定范围及相关规划图，本项目桥桩等地下结构施工范围在上述</w:t>
      </w:r>
      <w:r>
        <w:rPr>
          <w:rFonts w:ascii="Times New Roman" w:hAnsi="Times New Roman"/>
          <w:szCs w:val="24"/>
        </w:rPr>
        <w:t>地下文物埋藏保护区之外，</w:t>
      </w:r>
      <w:r>
        <w:rPr>
          <w:rFonts w:ascii="Times New Roman" w:hAnsi="Times New Roman"/>
        </w:rPr>
        <w:t>因此本项目范围不涉及</w:t>
      </w:r>
      <w:r>
        <w:rPr>
          <w:rFonts w:ascii="Times New Roman" w:hAnsi="Times New Roman"/>
          <w:szCs w:val="24"/>
        </w:rPr>
        <w:t>文物埋藏区</w:t>
      </w:r>
      <w:r>
        <w:rPr>
          <w:rFonts w:ascii="Times New Roman" w:hAnsi="Times New Roman"/>
        </w:rPr>
        <w:t>。</w:t>
      </w:r>
    </w:p>
    <w:p>
      <w:pPr>
        <w:pStyle w:val="120"/>
        <w:spacing w:line="300" w:lineRule="auto"/>
        <w:ind w:firstLineChars="200"/>
        <w:rPr>
          <w:rFonts w:ascii="Times New Roman" w:hAnsi="Times New Roman"/>
        </w:rPr>
      </w:pPr>
      <w:r>
        <w:rPr>
          <w:rFonts w:ascii="Times New Roman" w:hAnsi="Times New Roman"/>
        </w:rPr>
        <w:t>综上，本项目历史文物情况为：</w:t>
      </w:r>
    </w:p>
    <w:p>
      <w:pPr>
        <w:pStyle w:val="120"/>
        <w:spacing w:line="300" w:lineRule="auto"/>
        <w:ind w:firstLineChars="200"/>
        <w:rPr>
          <w:rFonts w:ascii="Times New Roman" w:hAnsi="Times New Roman"/>
        </w:rPr>
      </w:pPr>
      <w:r>
        <w:rPr>
          <w:rFonts w:ascii="Times New Roman" w:hAnsi="Times New Roman"/>
        </w:rPr>
        <w:t>（1）经查阅《广州历史文化名城保护规划》相关图集及征询文物主管部门意见，本项目未在历史城区范围内，本项目范围内不涉及历史文化名镇名村及传统村落，不涉及历史文化街区及历史风貌区，不涉及不可移动文物，不涉及历史水系，不涉及文物埋藏区；</w:t>
      </w:r>
    </w:p>
    <w:p>
      <w:pPr>
        <w:pStyle w:val="120"/>
        <w:spacing w:line="300" w:lineRule="auto"/>
        <w:ind w:firstLineChars="200"/>
        <w:rPr>
          <w:rFonts w:ascii="Times New Roman" w:hAnsi="Times New Roman"/>
        </w:rPr>
      </w:pPr>
      <w:r>
        <w:rPr>
          <w:rFonts w:ascii="Times New Roman" w:hAnsi="Times New Roman"/>
        </w:rPr>
        <w:t>（2）为保险起见，本项目施工时，要求施工单位在施工过程中仔细观察和预判地下是否有历史文物，一旦发现地下有历史文物的迹象，立即停工，并报告相关主管部门采取保护措施。</w:t>
      </w:r>
    </w:p>
    <w:p>
      <w:pPr>
        <w:pStyle w:val="4"/>
        <w:ind w:firstLine="482" w:firstLineChars="200"/>
      </w:pPr>
      <w:bookmarkStart w:id="560" w:name="_Toc12979"/>
      <w:r>
        <w:t>项目的文物保护</w:t>
      </w:r>
      <w:bookmarkEnd w:id="560"/>
    </w:p>
    <w:p>
      <w:pPr>
        <w:pStyle w:val="120"/>
        <w:spacing w:line="300" w:lineRule="auto"/>
        <w:ind w:firstLineChars="200"/>
        <w:rPr>
          <w:rFonts w:ascii="Times New Roman" w:hAnsi="Times New Roman"/>
        </w:rPr>
      </w:pPr>
      <w:r>
        <w:rPr>
          <w:rFonts w:ascii="Times New Roman" w:hAnsi="Times New Roman"/>
        </w:rPr>
        <w:t>本项目建设红线范围内地面上未发现不可移动的文物及文物线索，但由于项目建设总规模超过3万平方米，以及项目属于新建道路重大线形工程，根据《广州市文物保护法》相关规定，项目前期应做考古调查。</w:t>
      </w:r>
    </w:p>
    <w:p>
      <w:pPr>
        <w:pStyle w:val="120"/>
        <w:spacing w:line="300" w:lineRule="auto"/>
        <w:ind w:firstLineChars="200"/>
        <w:rPr>
          <w:rFonts w:ascii="Times New Roman" w:hAnsi="Times New Roman"/>
          <w:highlight w:val="magenta"/>
        </w:rPr>
      </w:pPr>
      <w:r>
        <w:rPr>
          <w:rFonts w:hint="eastAsia" w:ascii="Times New Roman" w:hAnsi="Times New Roman"/>
          <w:highlight w:val="magenta"/>
        </w:rPr>
        <w:t>同时，根据</w:t>
      </w:r>
      <w:r>
        <w:rPr>
          <w:rFonts w:ascii="Times New Roman" w:hAnsi="Times New Roman"/>
          <w:bCs/>
          <w:highlight w:val="magenta"/>
        </w:rPr>
        <w:t>附件6：广州市南沙区文化广电旅游体育局《关于南沙全民文化体育综合体项目配套骨干道路建设方案协同会审（含规划符合性审查）的复函》</w:t>
      </w:r>
      <w:r>
        <w:rPr>
          <w:rFonts w:hint="eastAsia" w:ascii="Times New Roman" w:hAnsi="Times New Roman"/>
          <w:bCs/>
          <w:highlight w:val="magenta"/>
        </w:rPr>
        <w:t>，项目红线范围内暂不涉及不可移动文物，且已完成文物考古调查勘探。</w:t>
      </w:r>
    </w:p>
    <w:p>
      <w:pPr>
        <w:ind w:firstLine="562" w:firstLineChars="200"/>
        <w:rPr>
          <w:rFonts w:ascii="Times New Roman" w:hAnsi="Times New Roman"/>
        </w:rPr>
      </w:pPr>
      <w:r>
        <w:rPr>
          <w:rFonts w:ascii="Times New Roman" w:hAnsi="Times New Roman"/>
        </w:rPr>
        <w:br w:type="page"/>
      </w:r>
    </w:p>
    <w:p>
      <w:pPr>
        <w:pStyle w:val="2"/>
        <w:keepNext/>
        <w:keepLines/>
        <w:numPr>
          <w:ilvl w:val="0"/>
          <w:numId w:val="2"/>
        </w:numPr>
        <w:spacing w:before="191" w:beforeLines="0" w:after="191" w:afterLines="0" w:line="360" w:lineRule="auto"/>
        <w:ind w:firstLine="643" w:firstLineChars="200"/>
        <w:jc w:val="center"/>
        <w:rPr>
          <w:rFonts w:ascii="Times New Roman" w:hAnsi="Times New Roman"/>
          <w:color w:val="auto"/>
        </w:rPr>
      </w:pPr>
      <w:bookmarkStart w:id="561" w:name="_Toc3246"/>
      <w:r>
        <w:rPr>
          <w:rFonts w:ascii="Times New Roman" w:hAnsi="Times New Roman"/>
          <w:color w:val="auto"/>
        </w:rPr>
        <w:t>问题与建议</w:t>
      </w:r>
      <w:bookmarkEnd w:id="561"/>
    </w:p>
    <w:p>
      <w:pPr>
        <w:pStyle w:val="3"/>
        <w:ind w:firstLine="562" w:firstLineChars="200"/>
      </w:pPr>
      <w:bookmarkStart w:id="562" w:name="_Toc139635564"/>
      <w:bookmarkStart w:id="563" w:name="_Toc30844"/>
      <w:r>
        <w:t>主要研究结论</w:t>
      </w:r>
      <w:bookmarkEnd w:id="562"/>
      <w:bookmarkEnd w:id="563"/>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（1）建设必要性</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目前万顷沙南部仅有在建万环西路南延线及万顷沙支线。随着南沙综合体的开发建设，仅靠万环西路南延线一条纵向通道无法满足周边交通出行的需求。</w:t>
      </w:r>
      <w:r>
        <w:rPr>
          <w:rFonts w:hint="eastAsia" w:ascii="Times New Roman" w:hAnsi="Times New Roman"/>
          <w:b w:val="0"/>
          <w:color w:val="auto"/>
          <w:sz w:val="24"/>
          <w:szCs w:val="20"/>
        </w:rPr>
        <w:t>南沙全民文化体育综合体项目配套骨干道路（二十涌北路、规划纵三路）</w:t>
      </w:r>
      <w:r>
        <w:rPr>
          <w:rFonts w:ascii="Times New Roman" w:hAnsi="Times New Roman"/>
          <w:b w:val="0"/>
          <w:color w:val="auto"/>
          <w:sz w:val="24"/>
          <w:szCs w:val="20"/>
        </w:rPr>
        <w:t>是南沙全民文化体育综合体及配套设施建设第一批工作任务中的道路，本项目的实施可为区域用地及沿线区域提供全面的市政配套服务设施，改善区域投资环境，将吸引更多企业进驻南沙，促进产业发展，进一步带动南沙整体经济水平的发展，从而提高南沙区在珠三角区域内的竞争力，大大提升土地利用经济价值。</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（2）要素保障性</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本项目不涉及禁建区、自然保护地、野生动物栖息地、饮用水源保护区、蓄滞洪区、生态保护红线。</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本项目不涉及占用永久基本农田情况。项目总用地面积</w:t>
      </w:r>
      <w:r>
        <w:rPr>
          <w:rFonts w:hint="eastAsia" w:ascii="Times New Roman" w:hAnsi="Times New Roman"/>
          <w:b w:val="0"/>
          <w:color w:val="000000" w:themeColor="text1"/>
          <w:sz w:val="24"/>
          <w:szCs w:val="24"/>
          <w:highlight w:val="magenta"/>
          <w14:textFill>
            <w14:solidFill>
              <w14:schemeClr w14:val="tx1"/>
            </w14:solidFill>
          </w14:textFill>
        </w:rPr>
        <w:t>149732.449</w:t>
      </w:r>
      <w:r>
        <w:rPr>
          <w:rFonts w:ascii="Times New Roman" w:hAnsi="Times New Roman"/>
          <w:b w:val="0"/>
          <w:color w:val="000000" w:themeColor="text1"/>
          <w:sz w:val="24"/>
          <w:szCs w:val="24"/>
          <w:highlight w:val="magenta"/>
          <w14:textFill>
            <w14:solidFill>
              <w14:schemeClr w14:val="tx1"/>
            </w14:solidFill>
          </w14:textFill>
        </w:rPr>
        <w:t>㎡</w:t>
      </w:r>
      <w:r>
        <w:rPr>
          <w:rFonts w:ascii="Times New Roman" w:hAnsi="Times New Roman"/>
          <w:b w:val="0"/>
          <w:color w:val="auto"/>
          <w:sz w:val="24"/>
          <w:szCs w:val="20"/>
        </w:rPr>
        <w:t>，</w:t>
      </w:r>
      <w:r>
        <w:rPr>
          <w:rFonts w:hint="eastAsia" w:ascii="Times New Roman" w:hAnsi="Times New Roman"/>
          <w:b w:val="0"/>
          <w:color w:val="000000" w:themeColor="text1"/>
          <w:sz w:val="24"/>
          <w:szCs w:val="24"/>
          <w:highlight w:val="cyan"/>
          <w14:textFill>
            <w14:solidFill>
              <w14:schemeClr w14:val="tx1"/>
            </w14:solidFill>
          </w14:textFill>
        </w:rPr>
        <w:t>包含项目建设范围内的桥梁面积。</w:t>
      </w:r>
      <w:r>
        <w:rPr>
          <w:rFonts w:ascii="Times New Roman" w:hAnsi="Times New Roman"/>
          <w:b w:val="0"/>
          <w:color w:val="auto"/>
          <w:sz w:val="24"/>
          <w:szCs w:val="20"/>
        </w:rPr>
        <w:t>用地属性为农民集体土地和国有建设用地。项目红线范围内无大拆大建情况。</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设计方案充分考虑了地下管线位置，无难以迁改的冲突管线。</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（3）工程可行性</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本项目建设规模及方案合理可行，投资控制合理，实施条件良好，建设时机成熟。不仅符合南沙新区总体规划的预期，适应城市交通格局发展的要求，提高土地利用价值，有利于带动片区土地快速开发、改善投资环境，对经济、交通、环境等方面均具有重要意义，是建设片区的必要步骤。</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（4）运营有效性</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本项目为常规市政道路项目，各管养权属单位均有成熟的项目管理经验，可为本项目提供安全高效的保障措施。</w:t>
      </w:r>
    </w:p>
    <w:p>
      <w:pPr>
        <w:spacing w:line="300" w:lineRule="auto"/>
        <w:ind w:firstLine="480" w:firstLineChars="200"/>
        <w:jc w:val="left"/>
        <w:rPr>
          <w:rFonts w:ascii="Times New Roman" w:hAnsi="Times New Roman"/>
          <w:b w:val="0"/>
          <w:color w:val="auto"/>
          <w:sz w:val="24"/>
          <w:szCs w:val="20"/>
          <w:highlight w:val="yellow"/>
        </w:rPr>
      </w:pPr>
      <w:r>
        <w:rPr>
          <w:rFonts w:ascii="Times New Roman" w:hAnsi="Times New Roman"/>
          <w:b w:val="0"/>
          <w:color w:val="auto"/>
          <w:sz w:val="24"/>
          <w:szCs w:val="20"/>
          <w:highlight w:val="yellow"/>
        </w:rPr>
        <w:t>（5）财务合理性</w:t>
      </w:r>
    </w:p>
    <w:p>
      <w:pPr>
        <w:spacing w:line="288" w:lineRule="auto"/>
        <w:ind w:firstLine="480" w:firstLineChars="200"/>
        <w:jc w:val="left"/>
        <w:rPr>
          <w:rFonts w:ascii="Times New Roman" w:hAnsi="Times New Roman"/>
          <w:b w:val="0"/>
          <w:color w:val="FF0000"/>
          <w:sz w:val="24"/>
          <w:szCs w:val="20"/>
          <w:highlight w:val="yellow"/>
        </w:rPr>
      </w:pPr>
      <w:r>
        <w:rPr>
          <w:rFonts w:hint="eastAsia" w:ascii="Times New Roman" w:hAnsi="Times New Roman"/>
          <w:b w:val="0"/>
          <w:color w:val="auto"/>
          <w:sz w:val="24"/>
          <w:szCs w:val="20"/>
          <w:highlight w:val="cyan"/>
        </w:rPr>
        <w:t>本项目总投资约</w:t>
      </w:r>
      <w:r>
        <w:rPr>
          <w:rFonts w:ascii="Times New Roman" w:hAnsi="Times New Roman"/>
          <w:b w:val="0"/>
          <w:color w:val="auto"/>
          <w:sz w:val="24"/>
          <w:szCs w:val="20"/>
          <w:highlight w:val="cyan"/>
        </w:rPr>
        <w:t>99629.78万元，其中工程费用约75923.72万元，工程建设其他费用19496.78（含建设用地费）万元，基本预备费4209.28万元。</w:t>
      </w:r>
      <w:r>
        <w:rPr>
          <w:rFonts w:ascii="Times New Roman" w:hAnsi="Times New Roman"/>
          <w:b w:val="0"/>
          <w:color w:val="auto"/>
          <w:sz w:val="24"/>
          <w:szCs w:val="24"/>
          <w:highlight w:val="cyan"/>
        </w:rPr>
        <w:t>本</w:t>
      </w:r>
      <w:r>
        <w:rPr>
          <w:rFonts w:hint="eastAsia" w:ascii="Times New Roman" w:hAnsi="Times New Roman"/>
          <w:b w:val="0"/>
          <w:color w:val="auto"/>
          <w:sz w:val="24"/>
          <w:szCs w:val="24"/>
          <w:highlight w:val="cyan"/>
        </w:rPr>
        <w:t>项目土地受让人按照“土地出让+项目配建”模式承担南沙全民文化体育综合体项目建设任务，按照配建抵减的土地出让收入金额筹集资金保障项目建设。</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本项目各专业投资估算指标基本控制在《广州市南沙区政府投资项目投资估算指导指标（2021版）》范围内，并经过多轮估算审核工作，投资控制合理。</w:t>
      </w:r>
    </w:p>
    <w:p>
      <w:pPr>
        <w:spacing w:line="300" w:lineRule="auto"/>
        <w:ind w:firstLine="480" w:firstLineChars="200"/>
        <w:jc w:val="left"/>
        <w:rPr>
          <w:rFonts w:ascii="Times New Roman" w:hAnsi="Times New Roman"/>
          <w:b w:val="0"/>
          <w:color w:val="auto"/>
          <w:sz w:val="24"/>
          <w:szCs w:val="20"/>
          <w:highlight w:val="cyan"/>
        </w:rPr>
      </w:pPr>
      <w:r>
        <w:rPr>
          <w:rFonts w:ascii="Times New Roman" w:hAnsi="Times New Roman"/>
          <w:b w:val="0"/>
          <w:color w:val="auto"/>
          <w:sz w:val="24"/>
          <w:szCs w:val="20"/>
          <w:highlight w:val="cyan"/>
        </w:rPr>
        <w:t>（6）影响可持续性</w:t>
      </w:r>
    </w:p>
    <w:p>
      <w:pPr>
        <w:spacing w:line="300" w:lineRule="auto"/>
        <w:ind w:firstLine="480" w:firstLineChars="200"/>
        <w:jc w:val="left"/>
        <w:rPr>
          <w:rFonts w:ascii="Times New Roman" w:hAnsi="Times New Roman"/>
          <w:b w:val="0"/>
          <w:color w:val="auto"/>
          <w:sz w:val="24"/>
          <w:szCs w:val="20"/>
          <w:highlight w:val="cyan"/>
        </w:rPr>
      </w:pPr>
      <w:r>
        <w:rPr>
          <w:rFonts w:ascii="Times New Roman" w:hAnsi="Times New Roman"/>
          <w:b w:val="0"/>
          <w:color w:val="auto"/>
          <w:sz w:val="24"/>
          <w:szCs w:val="20"/>
          <w:highlight w:val="cyan"/>
        </w:rPr>
        <w:t>国民经济评价分析结果表明：本项目投资经济内部收益率(EIRR)为22.16%，高于社会折现率8%；经济净现值(ENPV)为49094万元，大于0；效益费用比（ERBC）为1.38，大于基准值1。该项目国民经济评价结论为可行。</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本次建设项目符合地区各利益群体的关系，得到片区政府、居民及相关企业单位的支持，适合现有的技术条件和地区文化条件，具有很好的社会互适性。</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通过采取适当的保护措施，本项目在施工及运营过程中对水环境、声环境、空气质量的影响较小。</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本项目的建设可优化片区交通，缩短车辆行驶里程，节能效果十分可观。运营过程中，可通过加强道路的养护维修管理、交通管理，为车辆运行提供良好的交通条件，从而达到节约燃油能耗的目的。</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（7）风险可控性</w:t>
      </w:r>
    </w:p>
    <w:p>
      <w:pPr>
        <w:spacing w:line="300" w:lineRule="auto"/>
        <w:ind w:firstLine="480" w:firstLineChars="200"/>
        <w:jc w:val="left"/>
        <w:rPr>
          <w:rFonts w:ascii="Times New Roman" w:hAnsi="Times New Roman"/>
          <w:b w:val="0"/>
          <w:color w:val="auto"/>
          <w:sz w:val="24"/>
          <w:szCs w:val="20"/>
        </w:rPr>
      </w:pPr>
      <w:r>
        <w:rPr>
          <w:rFonts w:ascii="Times New Roman" w:hAnsi="Times New Roman"/>
          <w:b w:val="0"/>
          <w:color w:val="auto"/>
          <w:sz w:val="24"/>
          <w:szCs w:val="20"/>
        </w:rPr>
        <w:t>本项目旨在落实高质量发展目标，加快片区的开发建设工作，完善片区内部市政基础设施。经过现场踏勘及资料收集分析，本项目具备合法性、合理性、可控性，社会稳定风险低。</w:t>
      </w:r>
    </w:p>
    <w:p>
      <w:pPr>
        <w:spacing w:line="300" w:lineRule="auto"/>
        <w:ind w:firstLine="480" w:firstLineChars="200"/>
        <w:jc w:val="left"/>
        <w:rPr>
          <w:rFonts w:ascii="Times New Roman" w:hAnsi="Times New Roman"/>
          <w:b w:val="0"/>
          <w:color w:val="auto"/>
          <w:sz w:val="24"/>
          <w:szCs w:val="24"/>
          <w:highlight w:val="green"/>
        </w:rPr>
      </w:pPr>
      <w:r>
        <w:rPr>
          <w:rFonts w:hint="eastAsia" w:ascii="Times New Roman" w:hAnsi="Times New Roman"/>
          <w:b w:val="0"/>
          <w:color w:val="auto"/>
          <w:sz w:val="24"/>
          <w:szCs w:val="20"/>
        </w:rPr>
        <w:t>（8）建设规模和建设内容</w:t>
      </w:r>
    </w:p>
    <w:p>
      <w:pPr>
        <w:spacing w:line="288" w:lineRule="auto"/>
        <w:ind w:firstLine="480" w:firstLineChars="200"/>
        <w:jc w:val="left"/>
        <w:rPr>
          <w:rFonts w:ascii="Times New Roman" w:hAnsi="Times New Roman"/>
          <w:b w:val="0"/>
          <w:color w:val="auto"/>
          <w:sz w:val="24"/>
          <w:szCs w:val="24"/>
          <w:highlight w:val="green"/>
        </w:rPr>
      </w:pPr>
      <w:r>
        <w:rPr>
          <w:rFonts w:ascii="Times New Roman" w:hAnsi="Times New Roman"/>
          <w:b w:val="0"/>
          <w:color w:val="auto"/>
          <w:sz w:val="24"/>
          <w:szCs w:val="24"/>
          <w:highlight w:val="green"/>
        </w:rPr>
        <w:t>建设规模：本项目包含</w:t>
      </w:r>
      <w:r>
        <w:rPr>
          <w:rFonts w:hint="eastAsia" w:ascii="Times New Roman" w:hAnsi="Times New Roman"/>
          <w:b w:val="0"/>
          <w:color w:val="auto"/>
          <w:sz w:val="24"/>
          <w:szCs w:val="24"/>
          <w:highlight w:val="green"/>
        </w:rPr>
        <w:t>2</w:t>
      </w:r>
      <w:r>
        <w:rPr>
          <w:rFonts w:ascii="Times New Roman" w:hAnsi="Times New Roman"/>
          <w:b w:val="0"/>
          <w:color w:val="auto"/>
          <w:sz w:val="24"/>
          <w:szCs w:val="24"/>
          <w:highlight w:val="green"/>
        </w:rPr>
        <w:t>条新建市政道路，</w:t>
      </w:r>
      <w:r>
        <w:rPr>
          <w:rFonts w:hint="eastAsia" w:ascii="Times New Roman" w:hAnsi="Times New Roman"/>
          <w:b w:val="0"/>
          <w:color w:val="auto"/>
          <w:sz w:val="24"/>
          <w:szCs w:val="24"/>
          <w:highlight w:val="green"/>
        </w:rPr>
        <w:t>2座新建跨涌桥。路线总长度约3337米，其中道路总长度约3142米，桥梁总长度约195米。</w:t>
      </w:r>
      <w:r>
        <w:rPr>
          <w:rFonts w:ascii="Times New Roman" w:hAnsi="Times New Roman"/>
          <w:b w:val="0"/>
          <w:color w:val="auto"/>
          <w:sz w:val="24"/>
          <w:szCs w:val="24"/>
          <w:highlight w:val="green"/>
        </w:rPr>
        <w:t>其中城市主干路</w:t>
      </w:r>
      <w:r>
        <w:rPr>
          <w:rFonts w:hint="eastAsia" w:ascii="Times New Roman" w:hAnsi="Times New Roman"/>
          <w:b w:val="0"/>
          <w:color w:val="auto"/>
          <w:sz w:val="24"/>
          <w:szCs w:val="24"/>
          <w:highlight w:val="green"/>
        </w:rPr>
        <w:t>1</w:t>
      </w:r>
      <w:r>
        <w:rPr>
          <w:rFonts w:ascii="Times New Roman" w:hAnsi="Times New Roman"/>
          <w:b w:val="0"/>
          <w:color w:val="auto"/>
          <w:sz w:val="24"/>
          <w:szCs w:val="24"/>
          <w:highlight w:val="green"/>
        </w:rPr>
        <w:t>条，设计速度60km/h，为二十涌北路，</w:t>
      </w:r>
      <w:r>
        <w:rPr>
          <w:rFonts w:hint="eastAsia" w:ascii="Times New Roman" w:hAnsi="Times New Roman"/>
          <w:b w:val="0"/>
          <w:color w:val="auto"/>
          <w:sz w:val="24"/>
          <w:szCs w:val="24"/>
          <w:highlight w:val="green"/>
        </w:rPr>
        <w:t>规划双向六车道，道路红线宽度50m，</w:t>
      </w:r>
      <w:r>
        <w:rPr>
          <w:rFonts w:ascii="Times New Roman" w:hAnsi="Times New Roman"/>
          <w:b w:val="0"/>
          <w:color w:val="auto"/>
          <w:sz w:val="24"/>
          <w:szCs w:val="24"/>
          <w:highlight w:val="green"/>
        </w:rPr>
        <w:t>全长约</w:t>
      </w:r>
      <w:r>
        <w:rPr>
          <w:rFonts w:hint="eastAsia" w:ascii="Times New Roman" w:hAnsi="Times New Roman"/>
          <w:b w:val="0"/>
          <w:color w:val="auto"/>
          <w:sz w:val="24"/>
          <w:szCs w:val="24"/>
          <w:highlight w:val="green"/>
        </w:rPr>
        <w:t>1852</w:t>
      </w:r>
      <w:r>
        <w:rPr>
          <w:rFonts w:ascii="Times New Roman" w:hAnsi="Times New Roman"/>
          <w:b w:val="0"/>
          <w:color w:val="auto"/>
          <w:sz w:val="24"/>
          <w:szCs w:val="24"/>
          <w:highlight w:val="green"/>
        </w:rPr>
        <w:t>m</w:t>
      </w:r>
      <w:r>
        <w:rPr>
          <w:rFonts w:hint="eastAsia" w:ascii="Times New Roman" w:hAnsi="Times New Roman"/>
          <w:b w:val="0"/>
          <w:color w:val="auto"/>
          <w:sz w:val="24"/>
          <w:szCs w:val="24"/>
          <w:highlight w:val="green"/>
        </w:rPr>
        <w:t>，含一座</w:t>
      </w:r>
      <w:r>
        <w:rPr>
          <w:rFonts w:hint="eastAsia" w:ascii="Times New Roman" w:hAnsi="Times New Roman"/>
          <w:b w:val="0"/>
          <w:color w:val="000000" w:themeColor="text1"/>
          <w:sz w:val="24"/>
          <w:szCs w:val="24"/>
          <w:highlight w:val="green"/>
          <w14:textFill>
            <w14:solidFill>
              <w14:schemeClr w14:val="tx1"/>
            </w14:solidFill>
          </w14:textFill>
        </w:rPr>
        <w:t>跨涌连接桥</w:t>
      </w:r>
      <w:r>
        <w:rPr>
          <w:rFonts w:ascii="Times New Roman" w:hAnsi="Times New Roman"/>
          <w:b w:val="0"/>
          <w:color w:val="auto"/>
          <w:sz w:val="24"/>
          <w:szCs w:val="24"/>
          <w:highlight w:val="green"/>
        </w:rPr>
        <w:t>；城市次干路</w:t>
      </w:r>
      <w:r>
        <w:rPr>
          <w:rFonts w:hint="eastAsia" w:ascii="Times New Roman" w:hAnsi="Times New Roman"/>
          <w:b w:val="0"/>
          <w:color w:val="auto"/>
          <w:sz w:val="24"/>
          <w:szCs w:val="24"/>
          <w:highlight w:val="green"/>
        </w:rPr>
        <w:t>1</w:t>
      </w:r>
      <w:r>
        <w:rPr>
          <w:rFonts w:ascii="Times New Roman" w:hAnsi="Times New Roman"/>
          <w:b w:val="0"/>
          <w:color w:val="auto"/>
          <w:sz w:val="24"/>
          <w:szCs w:val="24"/>
          <w:highlight w:val="green"/>
        </w:rPr>
        <w:t>条，设计速度40km/h，分别为规划纵三路，，</w:t>
      </w:r>
      <w:r>
        <w:rPr>
          <w:rFonts w:hint="eastAsia" w:ascii="Times New Roman" w:hAnsi="Times New Roman"/>
          <w:b w:val="0"/>
          <w:color w:val="auto"/>
          <w:sz w:val="24"/>
          <w:szCs w:val="24"/>
          <w:highlight w:val="green"/>
        </w:rPr>
        <w:t>规划双向六车道，道路红线宽度34m，</w:t>
      </w:r>
      <w:r>
        <w:rPr>
          <w:rFonts w:ascii="Times New Roman" w:hAnsi="Times New Roman"/>
          <w:b w:val="0"/>
          <w:color w:val="auto"/>
          <w:sz w:val="24"/>
          <w:szCs w:val="24"/>
          <w:highlight w:val="green"/>
        </w:rPr>
        <w:t>次干路全长约</w:t>
      </w:r>
      <w:r>
        <w:rPr>
          <w:rFonts w:hint="eastAsia" w:ascii="Times New Roman" w:hAnsi="Times New Roman"/>
          <w:b w:val="0"/>
          <w:color w:val="auto"/>
          <w:sz w:val="24"/>
          <w:szCs w:val="24"/>
          <w:highlight w:val="green"/>
        </w:rPr>
        <w:t>1485</w:t>
      </w:r>
      <w:r>
        <w:rPr>
          <w:rFonts w:ascii="Times New Roman" w:hAnsi="Times New Roman"/>
          <w:b w:val="0"/>
          <w:color w:val="auto"/>
          <w:sz w:val="24"/>
          <w:szCs w:val="24"/>
          <w:highlight w:val="green"/>
        </w:rPr>
        <w:t>m</w:t>
      </w:r>
      <w:r>
        <w:rPr>
          <w:rFonts w:hint="eastAsia" w:ascii="Times New Roman" w:hAnsi="Times New Roman"/>
          <w:b w:val="0"/>
          <w:color w:val="auto"/>
          <w:sz w:val="24"/>
          <w:szCs w:val="24"/>
          <w:highlight w:val="green"/>
        </w:rPr>
        <w:t>，</w:t>
      </w:r>
      <w:r>
        <w:rPr>
          <w:rFonts w:ascii="Times New Roman" w:hAnsi="Times New Roman"/>
          <w:b w:val="0"/>
          <w:color w:val="auto"/>
          <w:sz w:val="24"/>
          <w:szCs w:val="24"/>
          <w:highlight w:val="green"/>
        </w:rPr>
        <w:t>新建桥涵</w:t>
      </w:r>
      <w:r>
        <w:rPr>
          <w:rFonts w:hint="eastAsia" w:ascii="Times New Roman" w:hAnsi="Times New Roman"/>
          <w:b w:val="0"/>
          <w:color w:val="auto"/>
          <w:sz w:val="24"/>
          <w:szCs w:val="24"/>
          <w:highlight w:val="green"/>
        </w:rPr>
        <w:t>1</w:t>
      </w:r>
      <w:r>
        <w:rPr>
          <w:rFonts w:ascii="Times New Roman" w:hAnsi="Times New Roman"/>
          <w:b w:val="0"/>
          <w:color w:val="auto"/>
          <w:sz w:val="24"/>
          <w:szCs w:val="24"/>
          <w:highlight w:val="green"/>
        </w:rPr>
        <w:t>座，涵洞1座。</w:t>
      </w:r>
    </w:p>
    <w:p>
      <w:pPr>
        <w:spacing w:line="288" w:lineRule="auto"/>
        <w:ind w:firstLine="480" w:firstLineChars="200"/>
        <w:jc w:val="left"/>
        <w:rPr>
          <w:rFonts w:ascii="Times New Roman" w:hAnsi="Times New Roman"/>
          <w:b w:val="0"/>
          <w:color w:val="auto"/>
          <w:sz w:val="24"/>
          <w:szCs w:val="24"/>
          <w:highlight w:val="green"/>
        </w:rPr>
      </w:pPr>
      <w:r>
        <w:rPr>
          <w:rFonts w:ascii="Times New Roman" w:hAnsi="Times New Roman"/>
          <w:b w:val="0"/>
          <w:color w:val="auto"/>
          <w:sz w:val="24"/>
          <w:szCs w:val="24"/>
          <w:highlight w:val="green"/>
        </w:rPr>
        <w:t>主要建设内容包括：道路、桥涵、</w:t>
      </w:r>
      <w:r>
        <w:rPr>
          <w:rFonts w:hint="eastAsia" w:ascii="Times New Roman" w:hAnsi="Times New Roman"/>
          <w:b w:val="0"/>
          <w:color w:val="auto"/>
          <w:sz w:val="24"/>
          <w:szCs w:val="24"/>
          <w:highlight w:val="green"/>
        </w:rPr>
        <w:t>排水</w:t>
      </w:r>
      <w:r>
        <w:rPr>
          <w:rFonts w:ascii="Times New Roman" w:hAnsi="Times New Roman"/>
          <w:b w:val="0"/>
          <w:color w:val="auto"/>
          <w:sz w:val="24"/>
          <w:szCs w:val="24"/>
          <w:highlight w:val="green"/>
        </w:rPr>
        <w:t>、照明、交通、绿化、电力等工程。</w:t>
      </w:r>
      <w:r>
        <w:rPr>
          <w:rFonts w:hint="eastAsia" w:ascii="Times New Roman" w:hAnsi="Times New Roman"/>
          <w:b w:val="0"/>
          <w:color w:val="auto"/>
          <w:sz w:val="24"/>
          <w:szCs w:val="24"/>
          <w:highlight w:val="green"/>
        </w:rPr>
        <w:t>道路主要经济技术指标表如下。</w:t>
      </w:r>
    </w:p>
    <w:p>
      <w:pPr>
        <w:spacing w:line="300" w:lineRule="auto"/>
        <w:ind w:firstLine="480" w:firstLineChars="200"/>
        <w:jc w:val="left"/>
        <w:rPr>
          <w:rFonts w:ascii="Times New Roman" w:hAnsi="Times New Roman"/>
          <w:b w:val="0"/>
          <w:color w:val="auto"/>
          <w:sz w:val="24"/>
          <w:szCs w:val="20"/>
        </w:rPr>
      </w:pPr>
      <w:r>
        <w:rPr>
          <w:rFonts w:hint="eastAsia" w:ascii="Times New Roman" w:hAnsi="Times New Roman"/>
          <w:b w:val="0"/>
          <w:color w:val="auto"/>
          <w:sz w:val="24"/>
          <w:szCs w:val="20"/>
        </w:rPr>
        <w:t>（9）总体评价结论</w:t>
      </w:r>
    </w:p>
    <w:p>
      <w:pPr>
        <w:spacing w:line="288" w:lineRule="auto"/>
        <w:ind w:firstLine="480" w:firstLineChars="200"/>
        <w:jc w:val="left"/>
        <w:rPr>
          <w:rFonts w:ascii="Times New Roman" w:hAnsi="Times New Roman"/>
          <w:b w:val="0"/>
          <w:color w:val="auto"/>
          <w:sz w:val="24"/>
          <w:szCs w:val="24"/>
          <w:highlight w:val="green"/>
        </w:rPr>
      </w:pPr>
      <w:r>
        <w:rPr>
          <w:rFonts w:hint="eastAsia" w:ascii="Times New Roman" w:hAnsi="Times New Roman"/>
          <w:b w:val="0"/>
          <w:color w:val="auto"/>
          <w:sz w:val="24"/>
          <w:szCs w:val="24"/>
          <w:highlight w:val="green"/>
        </w:rPr>
        <w:t>经研究，南沙全民文化体育综合体项目配套骨干道路（二十涌南路、二十涌南二路、二十一涌北路、规划纵一路、滨海路）工程项目的建设是十分必要且紧迫的，符合相关规划与政策要求，用地选址合理，用地、资源要素得到保障，方案经多次完善后，充分对接城市设计、规划、在建拟建项目界面衔接，建设方案合理可行，方案具有可行性，投资估算基本合理，具有财务投资的合理性，运营有效性，对周边项目环境具有可持续性，征地拆迁较小，不存在大拆大建，风险具有可控性。“</w:t>
      </w:r>
    </w:p>
    <w:p>
      <w:pPr>
        <w:pStyle w:val="3"/>
        <w:ind w:firstLine="562" w:firstLineChars="200"/>
      </w:pPr>
      <w:bookmarkStart w:id="564" w:name="_Toc139635565"/>
      <w:bookmarkStart w:id="565" w:name="_Toc137050304"/>
      <w:bookmarkStart w:id="566" w:name="_Toc15040"/>
      <w:r>
        <w:t>问题与建议</w:t>
      </w:r>
      <w:bookmarkEnd w:id="564"/>
      <w:bookmarkEnd w:id="565"/>
      <w:bookmarkEnd w:id="566"/>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（1）加快推进各项前期与各部门沟通协调工作</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本项目建设涉及环保、规划、水利等多个部门，项目前期应尽快与各部门沟通协调。</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（2）加强与南沙区住建局、广州市高速公路有限公司沟通</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本项目建设与南中高速、万环西路南延线（十六涌半至海堤段）工程、灵新大道南延线工程等项目相关，</w:t>
      </w:r>
      <w:r>
        <w:rPr>
          <w:rFonts w:hint="eastAsia" w:ascii="Times New Roman" w:hAnsi="Times New Roman"/>
          <w:b w:val="0"/>
          <w:color w:val="auto"/>
          <w:sz w:val="24"/>
          <w:szCs w:val="20"/>
          <w:highlight w:val="magenta"/>
        </w:rPr>
        <w:t>加强与</w:t>
      </w:r>
      <w:r>
        <w:rPr>
          <w:rFonts w:ascii="Times New Roman" w:hAnsi="Times New Roman"/>
          <w:b w:val="0"/>
          <w:color w:val="auto"/>
          <w:sz w:val="24"/>
          <w:szCs w:val="20"/>
          <w:highlight w:val="magenta"/>
        </w:rPr>
        <w:t>南沙区住建局、广州市高速公路有限公司</w:t>
      </w:r>
      <w:r>
        <w:rPr>
          <w:rFonts w:hint="eastAsia" w:ascii="Times New Roman" w:hAnsi="Times New Roman"/>
          <w:b w:val="0"/>
          <w:color w:val="auto"/>
          <w:sz w:val="24"/>
          <w:szCs w:val="20"/>
          <w:highlight w:val="magenta"/>
        </w:rPr>
        <w:t>沟通</w:t>
      </w:r>
      <w:r>
        <w:rPr>
          <w:rFonts w:ascii="Times New Roman" w:hAnsi="Times New Roman"/>
          <w:b w:val="0"/>
          <w:color w:val="auto"/>
          <w:sz w:val="24"/>
          <w:szCs w:val="20"/>
          <w:highlight w:val="magenta"/>
        </w:rPr>
        <w:t>。</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（3）建议与广州地铁沟通协商道路涉铁区域内软基处理事项</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本项目局部道路涉及南中城际铁路，</w:t>
      </w:r>
      <w:r>
        <w:rPr>
          <w:rFonts w:hint="eastAsia" w:ascii="Times New Roman" w:hAnsi="Times New Roman"/>
          <w:b w:val="0"/>
          <w:color w:val="auto"/>
          <w:sz w:val="24"/>
          <w:szCs w:val="20"/>
          <w:highlight w:val="magenta"/>
        </w:rPr>
        <w:t>相关方案需征得地铁集团同意</w:t>
      </w:r>
      <w:r>
        <w:rPr>
          <w:rFonts w:ascii="Times New Roman" w:hAnsi="Times New Roman"/>
          <w:b w:val="0"/>
          <w:color w:val="auto"/>
          <w:sz w:val="24"/>
          <w:szCs w:val="20"/>
          <w:highlight w:val="magenta"/>
        </w:rPr>
        <w:t>。</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（4）项目区域内软基处理方案</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本项目地处万顷沙，近珠江入海口，软土厚度较厚，地质条件较差；同时路堤填高较高，采用超载方案可能存在稳定性问题，为改善路堤的稳定性，采用堆载方案需缓慢加载，施工期较长，同时也存在较大的工期沉降。</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（5）桥涵工程存在问题与建议</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1.规划纵三路-二十涌大桥若考虑河道不落墩的情况下，由于二十涌河道宽度为120m，且两侧人行道宽5m，单跨跨径约150m，梁高需3m以上，桥面标高需12m才满足通航净空和人行道净高，建议河道考虑落墩方案，减小主跨跨径，以降低梁高对道路高程的影响。</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（6）</w:t>
      </w:r>
      <w:r>
        <w:rPr>
          <w:rFonts w:hint="eastAsia" w:ascii="Times New Roman" w:hAnsi="Times New Roman"/>
          <w:b w:val="0"/>
          <w:color w:val="auto"/>
          <w:sz w:val="24"/>
          <w:szCs w:val="20"/>
          <w:highlight w:val="magenta"/>
        </w:rPr>
        <w:t>下阶段需尽快开展</w:t>
      </w:r>
      <w:r>
        <w:rPr>
          <w:rFonts w:ascii="Times New Roman" w:hAnsi="Times New Roman"/>
          <w:b w:val="0"/>
          <w:color w:val="auto"/>
          <w:sz w:val="24"/>
          <w:szCs w:val="20"/>
          <w:highlight w:val="magenta"/>
        </w:rPr>
        <w:t>的相关</w:t>
      </w:r>
      <w:r>
        <w:rPr>
          <w:rFonts w:hint="eastAsia" w:ascii="Times New Roman" w:hAnsi="Times New Roman"/>
          <w:b w:val="0"/>
          <w:color w:val="auto"/>
          <w:sz w:val="24"/>
          <w:szCs w:val="20"/>
          <w:highlight w:val="magenta"/>
        </w:rPr>
        <w:t>工作</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1.目前</w:t>
      </w:r>
      <w:r>
        <w:rPr>
          <w:rFonts w:hint="eastAsia" w:ascii="Times New Roman" w:hAnsi="Times New Roman"/>
          <w:b w:val="0"/>
          <w:color w:val="auto"/>
          <w:sz w:val="24"/>
          <w:szCs w:val="20"/>
          <w:highlight w:val="magenta"/>
        </w:rPr>
        <w:t>片区</w:t>
      </w:r>
      <w:r>
        <w:rPr>
          <w:rFonts w:ascii="Times New Roman" w:hAnsi="Times New Roman"/>
          <w:b w:val="0"/>
          <w:color w:val="auto"/>
          <w:sz w:val="24"/>
          <w:szCs w:val="20"/>
          <w:highlight w:val="magenta"/>
        </w:rPr>
        <w:t>规划</w:t>
      </w:r>
      <w:r>
        <w:rPr>
          <w:rFonts w:hint="eastAsia" w:ascii="Times New Roman" w:hAnsi="Times New Roman"/>
          <w:b w:val="0"/>
          <w:color w:val="auto"/>
          <w:sz w:val="24"/>
          <w:szCs w:val="20"/>
          <w:highlight w:val="magenta"/>
        </w:rPr>
        <w:t>正在修编</w:t>
      </w:r>
      <w:r>
        <w:rPr>
          <w:rFonts w:ascii="Times New Roman" w:hAnsi="Times New Roman"/>
          <w:b w:val="0"/>
          <w:color w:val="auto"/>
          <w:sz w:val="24"/>
          <w:szCs w:val="20"/>
          <w:highlight w:val="magenta"/>
        </w:rPr>
        <w:t>，</w:t>
      </w:r>
      <w:r>
        <w:rPr>
          <w:rFonts w:hint="eastAsia" w:ascii="Times New Roman" w:hAnsi="Times New Roman"/>
          <w:b w:val="0"/>
          <w:color w:val="auto"/>
          <w:sz w:val="24"/>
          <w:szCs w:val="20"/>
          <w:highlight w:val="magenta"/>
        </w:rPr>
        <w:t>加强与规划部门对接</w:t>
      </w:r>
      <w:r>
        <w:rPr>
          <w:rFonts w:ascii="Times New Roman" w:hAnsi="Times New Roman"/>
          <w:b w:val="0"/>
          <w:color w:val="auto"/>
          <w:sz w:val="24"/>
          <w:szCs w:val="20"/>
          <w:highlight w:val="magenta"/>
        </w:rPr>
        <w:t>。</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2.后续根据管线部门征询意见进一步完善管综布设。</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3.现阶段无本项目勘察资料，仅参考周边项目勘察资料，下阶段根据勘察资料进一步优化。</w:t>
      </w:r>
    </w:p>
    <w:p>
      <w:pPr>
        <w:spacing w:line="300" w:lineRule="auto"/>
        <w:ind w:firstLine="480" w:firstLineChars="200"/>
        <w:jc w:val="left"/>
        <w:rPr>
          <w:rFonts w:ascii="Times New Roman" w:hAnsi="Times New Roman"/>
          <w:b w:val="0"/>
          <w:color w:val="auto"/>
          <w:sz w:val="24"/>
          <w:szCs w:val="20"/>
          <w:highlight w:val="magenta"/>
        </w:rPr>
      </w:pPr>
      <w:r>
        <w:rPr>
          <w:rFonts w:ascii="Times New Roman" w:hAnsi="Times New Roman"/>
          <w:b w:val="0"/>
          <w:color w:val="auto"/>
          <w:sz w:val="24"/>
          <w:szCs w:val="20"/>
          <w:highlight w:val="magenta"/>
        </w:rPr>
        <w:t>4.因现阶段暂无道路周边地块相关雨污水管线接驳条件，下阶段</w:t>
      </w:r>
      <w:r>
        <w:rPr>
          <w:rFonts w:hint="eastAsia" w:ascii="Times New Roman" w:hAnsi="Times New Roman"/>
          <w:b w:val="0"/>
          <w:color w:val="auto"/>
          <w:sz w:val="24"/>
          <w:szCs w:val="20"/>
          <w:highlight w:val="magenta"/>
        </w:rPr>
        <w:t>需</w:t>
      </w:r>
      <w:r>
        <w:rPr>
          <w:rFonts w:ascii="Times New Roman" w:hAnsi="Times New Roman"/>
          <w:b w:val="0"/>
          <w:color w:val="auto"/>
          <w:sz w:val="24"/>
          <w:szCs w:val="20"/>
          <w:highlight w:val="magenta"/>
        </w:rPr>
        <w:t>进一步对接道路周边拟建及在建地块，做好地块雨污水管线与市政雨污水管线的接驳。</w:t>
      </w:r>
    </w:p>
    <w:p>
      <w:pPr>
        <w:spacing w:line="300" w:lineRule="auto"/>
        <w:ind w:firstLine="480" w:firstLineChars="200"/>
        <w:jc w:val="left"/>
        <w:rPr>
          <w:rFonts w:ascii="Times New Roman" w:hAnsi="Times New Roman"/>
          <w:b w:val="0"/>
          <w:color w:val="auto"/>
          <w:sz w:val="24"/>
          <w:szCs w:val="20"/>
          <w:highlight w:val="magenta"/>
        </w:rPr>
      </w:pPr>
      <w:r>
        <w:rPr>
          <w:rFonts w:hint="eastAsia" w:ascii="Times New Roman" w:hAnsi="Times New Roman"/>
          <w:b w:val="0"/>
          <w:color w:val="auto"/>
          <w:sz w:val="24"/>
          <w:szCs w:val="20"/>
          <w:highlight w:val="magenta"/>
        </w:rPr>
        <w:t>5</w:t>
      </w:r>
      <w:r>
        <w:rPr>
          <w:rFonts w:ascii="Times New Roman" w:hAnsi="Times New Roman"/>
          <w:b w:val="0"/>
          <w:color w:val="auto"/>
          <w:sz w:val="24"/>
          <w:szCs w:val="20"/>
          <w:highlight w:val="magenta"/>
        </w:rPr>
        <w:t>、关于防洪评价</w:t>
      </w:r>
    </w:p>
    <w:p>
      <w:pPr>
        <w:spacing w:line="300" w:lineRule="auto"/>
        <w:ind w:firstLine="480" w:firstLineChars="200"/>
        <w:jc w:val="left"/>
        <w:rPr>
          <w:rFonts w:ascii="Times New Roman" w:hAnsi="Times New Roman"/>
          <w:b w:val="0"/>
          <w:color w:val="auto"/>
          <w:sz w:val="24"/>
          <w:szCs w:val="20"/>
        </w:rPr>
      </w:pPr>
      <w:r>
        <w:rPr>
          <w:rFonts w:hint="eastAsia" w:ascii="Times New Roman" w:hAnsi="Times New Roman"/>
          <w:b w:val="0"/>
          <w:color w:val="auto"/>
          <w:sz w:val="24"/>
          <w:szCs w:val="20"/>
          <w:highlight w:val="magenta"/>
        </w:rPr>
        <w:t>本项目跨越河涌，</w:t>
      </w:r>
      <w:r>
        <w:rPr>
          <w:rFonts w:ascii="Times New Roman" w:hAnsi="Times New Roman"/>
          <w:b w:val="0"/>
          <w:color w:val="auto"/>
          <w:sz w:val="24"/>
          <w:szCs w:val="20"/>
          <w:highlight w:val="magenta"/>
        </w:rPr>
        <w:t>防洪评价由业主委托第三方进行编制，</w:t>
      </w:r>
      <w:r>
        <w:rPr>
          <w:rFonts w:hint="eastAsia" w:ascii="Times New Roman" w:hAnsi="Times New Roman"/>
          <w:b w:val="0"/>
          <w:color w:val="auto"/>
          <w:sz w:val="24"/>
          <w:szCs w:val="20"/>
          <w:highlight w:val="magenta"/>
        </w:rPr>
        <w:t>建议尽快完成，确保项目顺利推进</w:t>
      </w:r>
      <w:r>
        <w:rPr>
          <w:rFonts w:ascii="Times New Roman" w:hAnsi="Times New Roman"/>
          <w:b w:val="0"/>
          <w:color w:val="auto"/>
          <w:sz w:val="24"/>
          <w:szCs w:val="20"/>
          <w:highlight w:val="magenta"/>
        </w:rPr>
        <w:t>。</w:t>
      </w:r>
      <w:r>
        <w:rPr>
          <w:rFonts w:ascii="Times New Roman" w:hAnsi="Times New Roman"/>
          <w:b w:val="0"/>
          <w:color w:val="auto"/>
          <w:sz w:val="24"/>
          <w:szCs w:val="20"/>
          <w:highlight w:val="magenta"/>
        </w:rPr>
        <w:br w:type="page"/>
      </w:r>
    </w:p>
    <w:bookmarkEnd w:id="66"/>
    <w:p>
      <w:pPr>
        <w:pStyle w:val="2"/>
        <w:keepNext/>
        <w:keepLines/>
        <w:numPr>
          <w:ilvl w:val="0"/>
          <w:numId w:val="2"/>
        </w:numPr>
        <w:spacing w:before="191" w:beforeLines="0" w:after="191" w:afterLines="0" w:line="360" w:lineRule="auto"/>
        <w:ind w:firstLine="643" w:firstLineChars="200"/>
        <w:jc w:val="center"/>
        <w:rPr>
          <w:rFonts w:ascii="Times New Roman" w:hAnsi="Times New Roman"/>
          <w:color w:val="auto"/>
        </w:rPr>
      </w:pPr>
      <w:bookmarkStart w:id="567" w:name="_Toc18964"/>
      <w:r>
        <w:rPr>
          <w:rFonts w:ascii="Times New Roman" w:hAnsi="Times New Roman"/>
          <w:color w:val="auto"/>
        </w:rPr>
        <w:t>相关附件</w:t>
      </w:r>
      <w:bookmarkEnd w:id="567"/>
    </w:p>
    <w:p>
      <w:pPr>
        <w:spacing w:line="300" w:lineRule="auto"/>
        <w:ind w:firstLine="482" w:firstLineChars="200"/>
        <w:jc w:val="left"/>
        <w:rPr>
          <w:rFonts w:ascii="Times New Roman" w:hAnsi="Times New Roman"/>
          <w:bCs/>
          <w:color w:val="auto"/>
          <w:sz w:val="24"/>
          <w:szCs w:val="20"/>
        </w:rPr>
      </w:pPr>
      <w:r>
        <w:rPr>
          <w:rFonts w:ascii="Times New Roman" w:hAnsi="Times New Roman"/>
          <w:bCs/>
          <w:color w:val="auto"/>
          <w:sz w:val="24"/>
          <w:szCs w:val="20"/>
        </w:rPr>
        <w:t>附件1：南沙大型城市综合体建设指挥部关于印发《南沙全民文化体育综合体及配套设施建设第一批工作任务》的通知；</w:t>
      </w:r>
      <w:r>
        <w:rPr>
          <w:rFonts w:ascii="Times New Roman" w:hAnsi="Times New Roman"/>
        </w:rPr>
        <w:drawing>
          <wp:inline distT="0" distB="0" distL="114300" distR="114300">
            <wp:extent cx="5339080" cy="6445885"/>
            <wp:effectExtent l="0" t="0" r="13970" b="12065"/>
            <wp:docPr id="3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8"/>
                    <pic:cNvPicPr>
                      <a:picLocks noChangeAspect="1"/>
                    </pic:cNvPicPr>
                  </pic:nvPicPr>
                  <pic:blipFill>
                    <a:blip r:embed="rId326"/>
                    <a:stretch>
                      <a:fillRect/>
                    </a:stretch>
                  </pic:blipFill>
                  <pic:spPr>
                    <a:xfrm>
                      <a:off x="0" y="0"/>
                      <a:ext cx="5339080" cy="6445885"/>
                    </a:xfrm>
                    <a:prstGeom prst="rect">
                      <a:avLst/>
                    </a:prstGeom>
                    <a:noFill/>
                    <a:ln>
                      <a:noFill/>
                    </a:ln>
                  </pic:spPr>
                </pic:pic>
              </a:graphicData>
            </a:graphic>
          </wp:inline>
        </w:drawing>
      </w:r>
      <w:r>
        <w:drawing>
          <wp:inline distT="0" distB="0" distL="114300" distR="114300">
            <wp:extent cx="5772150" cy="8410575"/>
            <wp:effectExtent l="0" t="0" r="0" b="9525"/>
            <wp:docPr id="27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30"/>
                    <pic:cNvPicPr>
                      <a:picLocks noChangeAspect="1"/>
                    </pic:cNvPicPr>
                  </pic:nvPicPr>
                  <pic:blipFill>
                    <a:blip r:embed="rId327"/>
                    <a:stretch>
                      <a:fillRect/>
                    </a:stretch>
                  </pic:blipFill>
                  <pic:spPr>
                    <a:xfrm>
                      <a:off x="0" y="0"/>
                      <a:ext cx="5772150" cy="8410575"/>
                    </a:xfrm>
                    <a:prstGeom prst="rect">
                      <a:avLst/>
                    </a:prstGeom>
                    <a:noFill/>
                    <a:ln>
                      <a:noFill/>
                    </a:ln>
                  </pic:spPr>
                </pic:pic>
              </a:graphicData>
            </a:graphic>
          </wp:inline>
        </w:drawing>
      </w:r>
      <w:r>
        <w:drawing>
          <wp:inline distT="0" distB="0" distL="114300" distR="114300">
            <wp:extent cx="5781675" cy="7934325"/>
            <wp:effectExtent l="0" t="0" r="9525" b="9525"/>
            <wp:docPr id="27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31"/>
                    <pic:cNvPicPr>
                      <a:picLocks noChangeAspect="1"/>
                    </pic:cNvPicPr>
                  </pic:nvPicPr>
                  <pic:blipFill>
                    <a:blip r:embed="rId328"/>
                    <a:stretch>
                      <a:fillRect/>
                    </a:stretch>
                  </pic:blipFill>
                  <pic:spPr>
                    <a:xfrm>
                      <a:off x="0" y="0"/>
                      <a:ext cx="5781675" cy="7934325"/>
                    </a:xfrm>
                    <a:prstGeom prst="rect">
                      <a:avLst/>
                    </a:prstGeom>
                    <a:noFill/>
                    <a:ln>
                      <a:noFill/>
                    </a:ln>
                  </pic:spPr>
                </pic:pic>
              </a:graphicData>
            </a:graphic>
          </wp:inline>
        </w:drawing>
      </w:r>
      <w:r>
        <w:drawing>
          <wp:inline distT="0" distB="0" distL="114300" distR="114300">
            <wp:extent cx="6057900" cy="8391525"/>
            <wp:effectExtent l="0" t="0" r="0" b="9525"/>
            <wp:docPr id="28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32"/>
                    <pic:cNvPicPr>
                      <a:picLocks noChangeAspect="1"/>
                    </pic:cNvPicPr>
                  </pic:nvPicPr>
                  <pic:blipFill>
                    <a:blip r:embed="rId329"/>
                    <a:stretch>
                      <a:fillRect/>
                    </a:stretch>
                  </pic:blipFill>
                  <pic:spPr>
                    <a:xfrm>
                      <a:off x="0" y="0"/>
                      <a:ext cx="6057900" cy="8391525"/>
                    </a:xfrm>
                    <a:prstGeom prst="rect">
                      <a:avLst/>
                    </a:prstGeom>
                    <a:noFill/>
                    <a:ln>
                      <a:noFill/>
                    </a:ln>
                  </pic:spPr>
                </pic:pic>
              </a:graphicData>
            </a:graphic>
          </wp:inline>
        </w:drawing>
      </w:r>
      <w:r>
        <w:drawing>
          <wp:inline distT="0" distB="0" distL="114300" distR="114300">
            <wp:extent cx="6029325" cy="8429625"/>
            <wp:effectExtent l="0" t="0" r="9525" b="9525"/>
            <wp:docPr id="28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33"/>
                    <pic:cNvPicPr>
                      <a:picLocks noChangeAspect="1"/>
                    </pic:cNvPicPr>
                  </pic:nvPicPr>
                  <pic:blipFill>
                    <a:blip r:embed="rId330"/>
                    <a:stretch>
                      <a:fillRect/>
                    </a:stretch>
                  </pic:blipFill>
                  <pic:spPr>
                    <a:xfrm>
                      <a:off x="0" y="0"/>
                      <a:ext cx="6029325" cy="8429625"/>
                    </a:xfrm>
                    <a:prstGeom prst="rect">
                      <a:avLst/>
                    </a:prstGeom>
                    <a:noFill/>
                    <a:ln>
                      <a:noFill/>
                    </a:ln>
                  </pic:spPr>
                </pic:pic>
              </a:graphicData>
            </a:graphic>
          </wp:inline>
        </w:drawing>
      </w:r>
      <w:r>
        <w:drawing>
          <wp:inline distT="0" distB="0" distL="114300" distR="114300">
            <wp:extent cx="6057900" cy="8467725"/>
            <wp:effectExtent l="0" t="0" r="0" b="9525"/>
            <wp:docPr id="28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34"/>
                    <pic:cNvPicPr>
                      <a:picLocks noChangeAspect="1"/>
                    </pic:cNvPicPr>
                  </pic:nvPicPr>
                  <pic:blipFill>
                    <a:blip r:embed="rId331"/>
                    <a:stretch>
                      <a:fillRect/>
                    </a:stretch>
                  </pic:blipFill>
                  <pic:spPr>
                    <a:xfrm>
                      <a:off x="0" y="0"/>
                      <a:ext cx="6057900" cy="8467725"/>
                    </a:xfrm>
                    <a:prstGeom prst="rect">
                      <a:avLst/>
                    </a:prstGeom>
                    <a:noFill/>
                    <a:ln>
                      <a:noFill/>
                    </a:ln>
                  </pic:spPr>
                </pic:pic>
              </a:graphicData>
            </a:graphic>
          </wp:inline>
        </w:drawing>
      </w:r>
      <w:r>
        <w:drawing>
          <wp:inline distT="0" distB="0" distL="114300" distR="114300">
            <wp:extent cx="6383655" cy="8609965"/>
            <wp:effectExtent l="0" t="0" r="17145" b="635"/>
            <wp:docPr id="28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35"/>
                    <pic:cNvPicPr>
                      <a:picLocks noChangeAspect="1"/>
                    </pic:cNvPicPr>
                  </pic:nvPicPr>
                  <pic:blipFill>
                    <a:blip r:embed="rId332"/>
                    <a:stretch>
                      <a:fillRect/>
                    </a:stretch>
                  </pic:blipFill>
                  <pic:spPr>
                    <a:xfrm>
                      <a:off x="0" y="0"/>
                      <a:ext cx="6383655" cy="8609965"/>
                    </a:xfrm>
                    <a:prstGeom prst="rect">
                      <a:avLst/>
                    </a:prstGeom>
                    <a:noFill/>
                    <a:ln>
                      <a:noFill/>
                    </a:ln>
                  </pic:spPr>
                </pic:pic>
              </a:graphicData>
            </a:graphic>
          </wp:inline>
        </w:drawing>
      </w:r>
    </w:p>
    <w:p>
      <w:pPr>
        <w:pStyle w:val="16"/>
        <w:ind w:firstLine="482" w:firstLineChars="200"/>
        <w:jc w:val="left"/>
        <w:rPr>
          <w:rFonts w:ascii="Times New Roman" w:hAnsi="Times New Roman"/>
          <w:bCs/>
          <w:sz w:val="24"/>
        </w:rPr>
      </w:pPr>
      <w:r>
        <w:rPr>
          <w:rFonts w:ascii="Times New Roman" w:hAnsi="Times New Roman"/>
          <w:bCs/>
          <w:sz w:val="24"/>
        </w:rPr>
        <w:t>附件2：南沙区全民文化体育综合体建设专班办公室关于印发《南沙区落实&lt;南沙全民文化体育综合体及配套设施建设第一批工作任务&gt;的实施方案》的通知</w:t>
      </w:r>
    </w:p>
    <w:p>
      <w:pPr>
        <w:pStyle w:val="16"/>
        <w:ind w:firstLine="422" w:firstLineChars="200"/>
        <w:jc w:val="center"/>
        <w:rPr>
          <w:rFonts w:ascii="Times New Roman" w:hAnsi="Times New Roman"/>
        </w:rPr>
      </w:pPr>
      <w:r>
        <w:rPr>
          <w:rFonts w:ascii="Times New Roman" w:hAnsi="Times New Roman"/>
        </w:rPr>
        <w:drawing>
          <wp:inline distT="0" distB="0" distL="114300" distR="114300">
            <wp:extent cx="5321935" cy="7559040"/>
            <wp:effectExtent l="0" t="0" r="12065" b="3810"/>
            <wp:docPr id="444"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图片 88"/>
                    <pic:cNvPicPr>
                      <a:picLocks noChangeAspect="1"/>
                    </pic:cNvPicPr>
                  </pic:nvPicPr>
                  <pic:blipFill>
                    <a:blip r:embed="rId333"/>
                    <a:stretch>
                      <a:fillRect/>
                    </a:stretch>
                  </pic:blipFill>
                  <pic:spPr>
                    <a:xfrm>
                      <a:off x="0" y="0"/>
                      <a:ext cx="5321935" cy="7559040"/>
                    </a:xfrm>
                    <a:prstGeom prst="rect">
                      <a:avLst/>
                    </a:prstGeom>
                    <a:noFill/>
                    <a:ln>
                      <a:noFill/>
                    </a:ln>
                  </pic:spPr>
                </pic:pic>
              </a:graphicData>
            </a:graphic>
          </wp:inline>
        </w:drawing>
      </w:r>
    </w:p>
    <w:p>
      <w:pPr>
        <w:pStyle w:val="16"/>
        <w:ind w:firstLine="422" w:firstLineChars="200"/>
        <w:rPr>
          <w:rFonts w:ascii="Times New Roman" w:hAnsi="Times New Roman"/>
        </w:rPr>
      </w:pPr>
    </w:p>
    <w:p>
      <w:pPr>
        <w:spacing w:line="300" w:lineRule="auto"/>
        <w:ind w:firstLine="482" w:firstLineChars="200"/>
        <w:jc w:val="left"/>
        <w:rPr>
          <w:rFonts w:ascii="Times New Roman" w:hAnsi="Times New Roman"/>
          <w:bCs/>
          <w:color w:val="auto"/>
          <w:sz w:val="24"/>
          <w:szCs w:val="20"/>
        </w:rPr>
      </w:pPr>
      <w:r>
        <w:rPr>
          <w:rFonts w:ascii="Times New Roman" w:hAnsi="Times New Roman"/>
          <w:bCs/>
          <w:color w:val="auto"/>
          <w:sz w:val="24"/>
          <w:szCs w:val="20"/>
        </w:rPr>
        <w:t>附件3：南沙区全民文化体育综合体建设专班办公室《关于研究南沙全民文化体育综合体配套骨干道路工程建设前期工作专题会议纪要》</w:t>
      </w:r>
    </w:p>
    <w:p>
      <w:pPr>
        <w:spacing w:line="300" w:lineRule="auto"/>
        <w:ind w:firstLine="562" w:firstLineChars="200"/>
        <w:jc w:val="left"/>
        <w:rPr>
          <w:rFonts w:ascii="Times New Roman" w:hAnsi="Times New Roman"/>
          <w:bCs/>
          <w:color w:val="auto"/>
          <w:sz w:val="24"/>
          <w:szCs w:val="20"/>
        </w:rPr>
      </w:pPr>
      <w:r>
        <w:rPr>
          <w:rFonts w:ascii="Times New Roman" w:hAnsi="Times New Roman"/>
        </w:rPr>
        <w:drawing>
          <wp:inline distT="0" distB="0" distL="114300" distR="114300">
            <wp:extent cx="5594350" cy="6857365"/>
            <wp:effectExtent l="0" t="0" r="6350" b="635"/>
            <wp:docPr id="3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9"/>
                    <pic:cNvPicPr>
                      <a:picLocks noChangeAspect="1"/>
                    </pic:cNvPicPr>
                  </pic:nvPicPr>
                  <pic:blipFill>
                    <a:blip r:embed="rId334"/>
                    <a:stretch>
                      <a:fillRect/>
                    </a:stretch>
                  </pic:blipFill>
                  <pic:spPr>
                    <a:xfrm>
                      <a:off x="0" y="0"/>
                      <a:ext cx="5594350" cy="6857365"/>
                    </a:xfrm>
                    <a:prstGeom prst="rect">
                      <a:avLst/>
                    </a:prstGeom>
                    <a:noFill/>
                    <a:ln>
                      <a:noFill/>
                    </a:ln>
                  </pic:spPr>
                </pic:pic>
              </a:graphicData>
            </a:graphic>
          </wp:inline>
        </w:drawing>
      </w:r>
      <w:r>
        <w:rPr>
          <w:rFonts w:ascii="Times New Roman" w:hAnsi="Times New Roman"/>
        </w:rPr>
        <w:drawing>
          <wp:inline distT="0" distB="0" distL="114300" distR="114300">
            <wp:extent cx="6234430" cy="8354695"/>
            <wp:effectExtent l="0" t="0" r="13970" b="8255"/>
            <wp:docPr id="3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0"/>
                    <pic:cNvPicPr>
                      <a:picLocks noChangeAspect="1"/>
                    </pic:cNvPicPr>
                  </pic:nvPicPr>
                  <pic:blipFill>
                    <a:blip r:embed="rId335"/>
                    <a:stretch>
                      <a:fillRect/>
                    </a:stretch>
                  </pic:blipFill>
                  <pic:spPr>
                    <a:xfrm>
                      <a:off x="0" y="0"/>
                      <a:ext cx="6234430" cy="8354695"/>
                    </a:xfrm>
                    <a:prstGeom prst="rect">
                      <a:avLst/>
                    </a:prstGeom>
                    <a:noFill/>
                    <a:ln>
                      <a:noFill/>
                    </a:ln>
                  </pic:spPr>
                </pic:pic>
              </a:graphicData>
            </a:graphic>
          </wp:inline>
        </w:drawing>
      </w:r>
    </w:p>
    <w:p>
      <w:pPr>
        <w:spacing w:line="300" w:lineRule="auto"/>
        <w:ind w:firstLine="482" w:firstLineChars="200"/>
        <w:jc w:val="left"/>
        <w:rPr>
          <w:rFonts w:ascii="Times New Roman" w:hAnsi="Times New Roman"/>
          <w:bCs/>
          <w:color w:val="auto"/>
          <w:sz w:val="24"/>
          <w:szCs w:val="20"/>
        </w:rPr>
      </w:pPr>
      <w:r>
        <w:rPr>
          <w:rFonts w:ascii="Times New Roman" w:hAnsi="Times New Roman"/>
          <w:bCs/>
          <w:color w:val="auto"/>
          <w:sz w:val="24"/>
          <w:szCs w:val="20"/>
        </w:rPr>
        <w:t>附件4：南沙大型城市综合体建设指挥部办公室《关于推进南沙全民文化体育综合体配套设施建设的会议纪要》；</w:t>
      </w:r>
    </w:p>
    <w:p>
      <w:pPr>
        <w:spacing w:line="300" w:lineRule="auto"/>
        <w:ind w:firstLine="562" w:firstLineChars="200"/>
        <w:jc w:val="left"/>
        <w:rPr>
          <w:rFonts w:ascii="Times New Roman" w:hAnsi="Times New Roman"/>
          <w:bCs/>
          <w:color w:val="auto"/>
          <w:sz w:val="24"/>
          <w:szCs w:val="20"/>
        </w:rPr>
      </w:pPr>
      <w:r>
        <w:rPr>
          <w:rFonts w:ascii="Times New Roman" w:hAnsi="Times New Roman"/>
        </w:rPr>
        <w:drawing>
          <wp:inline distT="0" distB="0" distL="114300" distR="114300">
            <wp:extent cx="5474970" cy="7171055"/>
            <wp:effectExtent l="0" t="0" r="11430" b="10795"/>
            <wp:docPr id="4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1"/>
                    <pic:cNvPicPr>
                      <a:picLocks noChangeAspect="1"/>
                    </pic:cNvPicPr>
                  </pic:nvPicPr>
                  <pic:blipFill>
                    <a:blip r:embed="rId336"/>
                    <a:stretch>
                      <a:fillRect/>
                    </a:stretch>
                  </pic:blipFill>
                  <pic:spPr>
                    <a:xfrm>
                      <a:off x="0" y="0"/>
                      <a:ext cx="5474970" cy="7171055"/>
                    </a:xfrm>
                    <a:prstGeom prst="rect">
                      <a:avLst/>
                    </a:prstGeom>
                    <a:noFill/>
                    <a:ln>
                      <a:noFill/>
                    </a:ln>
                  </pic:spPr>
                </pic:pic>
              </a:graphicData>
            </a:graphic>
          </wp:inline>
        </w:drawing>
      </w:r>
      <w:r>
        <w:rPr>
          <w:rFonts w:ascii="Times New Roman" w:hAnsi="Times New Roman"/>
        </w:rPr>
        <w:drawing>
          <wp:inline distT="0" distB="0" distL="114300" distR="114300">
            <wp:extent cx="6501130" cy="8268970"/>
            <wp:effectExtent l="0" t="0" r="13970" b="17780"/>
            <wp:docPr id="4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2"/>
                    <pic:cNvPicPr>
                      <a:picLocks noChangeAspect="1"/>
                    </pic:cNvPicPr>
                  </pic:nvPicPr>
                  <pic:blipFill>
                    <a:blip r:embed="rId337"/>
                    <a:stretch>
                      <a:fillRect/>
                    </a:stretch>
                  </pic:blipFill>
                  <pic:spPr>
                    <a:xfrm>
                      <a:off x="0" y="0"/>
                      <a:ext cx="6501130" cy="8268970"/>
                    </a:xfrm>
                    <a:prstGeom prst="rect">
                      <a:avLst/>
                    </a:prstGeom>
                    <a:noFill/>
                    <a:ln>
                      <a:noFill/>
                    </a:ln>
                  </pic:spPr>
                </pic:pic>
              </a:graphicData>
            </a:graphic>
          </wp:inline>
        </w:drawing>
      </w:r>
    </w:p>
    <w:p>
      <w:pPr>
        <w:spacing w:line="300" w:lineRule="auto"/>
        <w:ind w:firstLine="482" w:firstLineChars="200"/>
        <w:jc w:val="left"/>
        <w:rPr>
          <w:rFonts w:ascii="Times New Roman" w:hAnsi="Times New Roman"/>
          <w:bCs/>
          <w:color w:val="auto"/>
          <w:sz w:val="24"/>
          <w:szCs w:val="20"/>
        </w:rPr>
      </w:pPr>
      <w:r>
        <w:rPr>
          <w:rFonts w:ascii="Times New Roman" w:hAnsi="Times New Roman"/>
          <w:bCs/>
          <w:color w:val="auto"/>
          <w:sz w:val="24"/>
          <w:szCs w:val="20"/>
        </w:rPr>
        <w:t>附件5：广州市规划和自然资源局南沙区分局《关于提供南沙全民文化体育综合体部分配套道路规划意见的复函》；</w:t>
      </w:r>
    </w:p>
    <w:p>
      <w:pPr>
        <w:pStyle w:val="16"/>
        <w:ind w:firstLine="422" w:firstLineChars="200"/>
        <w:rPr>
          <w:rFonts w:ascii="Times New Roman" w:hAnsi="Times New Roman"/>
        </w:rPr>
      </w:pPr>
      <w:r>
        <w:rPr>
          <w:rFonts w:ascii="Times New Roman" w:hAnsi="Times New Roman"/>
        </w:rPr>
        <w:drawing>
          <wp:inline distT="0" distB="0" distL="114300" distR="114300">
            <wp:extent cx="5441950" cy="7214235"/>
            <wp:effectExtent l="0" t="0" r="6350" b="5715"/>
            <wp:docPr id="446"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图片 90"/>
                    <pic:cNvPicPr>
                      <a:picLocks noChangeAspect="1"/>
                    </pic:cNvPicPr>
                  </pic:nvPicPr>
                  <pic:blipFill>
                    <a:blip r:embed="rId338"/>
                    <a:stretch>
                      <a:fillRect/>
                    </a:stretch>
                  </pic:blipFill>
                  <pic:spPr>
                    <a:xfrm>
                      <a:off x="0" y="0"/>
                      <a:ext cx="5441950" cy="7214235"/>
                    </a:xfrm>
                    <a:prstGeom prst="rect">
                      <a:avLst/>
                    </a:prstGeom>
                    <a:noFill/>
                    <a:ln>
                      <a:noFill/>
                    </a:ln>
                  </pic:spPr>
                </pic:pic>
              </a:graphicData>
            </a:graphic>
          </wp:inline>
        </w:drawing>
      </w:r>
      <w:r>
        <w:rPr>
          <w:rFonts w:ascii="Times New Roman" w:hAnsi="Times New Roman"/>
        </w:rPr>
        <w:drawing>
          <wp:inline distT="0" distB="0" distL="114300" distR="114300">
            <wp:extent cx="5895975" cy="8258175"/>
            <wp:effectExtent l="0" t="0" r="9525" b="9525"/>
            <wp:docPr id="447"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图片 91"/>
                    <pic:cNvPicPr>
                      <a:picLocks noChangeAspect="1"/>
                    </pic:cNvPicPr>
                  </pic:nvPicPr>
                  <pic:blipFill>
                    <a:blip r:embed="rId339"/>
                    <a:stretch>
                      <a:fillRect/>
                    </a:stretch>
                  </pic:blipFill>
                  <pic:spPr>
                    <a:xfrm>
                      <a:off x="0" y="0"/>
                      <a:ext cx="5895975" cy="8258175"/>
                    </a:xfrm>
                    <a:prstGeom prst="rect">
                      <a:avLst/>
                    </a:prstGeom>
                    <a:noFill/>
                    <a:ln>
                      <a:noFill/>
                    </a:ln>
                  </pic:spPr>
                </pic:pic>
              </a:graphicData>
            </a:graphic>
          </wp:inline>
        </w:drawing>
      </w:r>
    </w:p>
    <w:p>
      <w:pPr>
        <w:spacing w:line="300" w:lineRule="auto"/>
        <w:ind w:firstLine="482" w:firstLineChars="200"/>
        <w:jc w:val="left"/>
        <w:rPr>
          <w:rFonts w:ascii="Times New Roman" w:hAnsi="Times New Roman"/>
          <w:bCs/>
          <w:color w:val="auto"/>
          <w:sz w:val="24"/>
          <w:szCs w:val="20"/>
        </w:rPr>
      </w:pPr>
      <w:r>
        <w:rPr>
          <w:rFonts w:ascii="Times New Roman" w:hAnsi="Times New Roman"/>
          <w:bCs/>
          <w:color w:val="auto"/>
          <w:sz w:val="24"/>
          <w:szCs w:val="20"/>
        </w:rPr>
        <w:t>附件6：广州市南沙区文化广电旅游体育局《关于南沙全民文化体育综合体项目配套骨干道路建设方案协同会审（含规划符合性审查）的复函》；</w:t>
      </w:r>
    </w:p>
    <w:p>
      <w:pPr>
        <w:spacing w:line="300" w:lineRule="auto"/>
        <w:ind w:firstLine="562" w:firstLineChars="200"/>
        <w:jc w:val="left"/>
        <w:rPr>
          <w:rFonts w:ascii="Times New Roman" w:hAnsi="Times New Roman"/>
        </w:rPr>
      </w:pPr>
      <w:r>
        <w:rPr>
          <w:rFonts w:ascii="Times New Roman" w:hAnsi="Times New Roman"/>
        </w:rPr>
        <w:drawing>
          <wp:inline distT="0" distB="0" distL="114300" distR="114300">
            <wp:extent cx="5483860" cy="7793990"/>
            <wp:effectExtent l="0" t="0" r="2540" b="16510"/>
            <wp:docPr id="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5"/>
                    <pic:cNvPicPr>
                      <a:picLocks noChangeAspect="1"/>
                    </pic:cNvPicPr>
                  </pic:nvPicPr>
                  <pic:blipFill>
                    <a:blip r:embed="rId340"/>
                    <a:stretch>
                      <a:fillRect/>
                    </a:stretch>
                  </pic:blipFill>
                  <pic:spPr>
                    <a:xfrm>
                      <a:off x="0" y="0"/>
                      <a:ext cx="5483860" cy="7793990"/>
                    </a:xfrm>
                    <a:prstGeom prst="rect">
                      <a:avLst/>
                    </a:prstGeom>
                    <a:noFill/>
                    <a:ln>
                      <a:noFill/>
                    </a:ln>
                  </pic:spPr>
                </pic:pic>
              </a:graphicData>
            </a:graphic>
          </wp:inline>
        </w:drawing>
      </w:r>
    </w:p>
    <w:p>
      <w:pPr>
        <w:spacing w:line="300" w:lineRule="auto"/>
        <w:ind w:firstLine="482" w:firstLineChars="200"/>
        <w:jc w:val="left"/>
        <w:rPr>
          <w:rFonts w:ascii="Times New Roman" w:hAnsi="Times New Roman"/>
        </w:rPr>
      </w:pPr>
      <w:r>
        <w:rPr>
          <w:rFonts w:ascii="Times New Roman" w:hAnsi="Times New Roman"/>
          <w:bCs/>
          <w:color w:val="auto"/>
          <w:sz w:val="24"/>
          <w:szCs w:val="20"/>
        </w:rPr>
        <w:t>附件7：广州市南沙区</w:t>
      </w:r>
      <w:r>
        <w:rPr>
          <w:rFonts w:hint="eastAsia" w:ascii="Times New Roman" w:hAnsi="Times New Roman"/>
          <w:bCs/>
          <w:color w:val="auto"/>
          <w:sz w:val="24"/>
          <w:szCs w:val="20"/>
        </w:rPr>
        <w:t>住房和城乡建设局</w:t>
      </w:r>
      <w:r>
        <w:rPr>
          <w:rFonts w:ascii="Times New Roman" w:hAnsi="Times New Roman"/>
          <w:bCs/>
          <w:color w:val="auto"/>
          <w:sz w:val="24"/>
          <w:szCs w:val="20"/>
        </w:rPr>
        <w:t>《关于南沙全民文化体育综合体项目配套骨干道路建设方案协同会审（含规划符合性审查）的函》意见反馈表；</w:t>
      </w:r>
    </w:p>
    <w:p>
      <w:pPr>
        <w:spacing w:line="300" w:lineRule="auto"/>
        <w:ind w:firstLine="562" w:firstLineChars="200"/>
        <w:jc w:val="left"/>
        <w:rPr>
          <w:rFonts w:ascii="Times New Roman" w:hAnsi="Times New Roman"/>
        </w:rPr>
      </w:pPr>
      <w:r>
        <w:rPr>
          <w:rFonts w:ascii="Times New Roman" w:hAnsi="Times New Roman"/>
        </w:rPr>
        <w:drawing>
          <wp:inline distT="0" distB="0" distL="114300" distR="114300">
            <wp:extent cx="5440045" cy="7425690"/>
            <wp:effectExtent l="0" t="0" r="8255" b="3810"/>
            <wp:docPr id="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5"/>
                    <pic:cNvPicPr>
                      <a:picLocks noChangeAspect="1"/>
                    </pic:cNvPicPr>
                  </pic:nvPicPr>
                  <pic:blipFill>
                    <a:blip r:embed="rId341"/>
                    <a:stretch>
                      <a:fillRect/>
                    </a:stretch>
                  </pic:blipFill>
                  <pic:spPr>
                    <a:xfrm>
                      <a:off x="0" y="0"/>
                      <a:ext cx="5440045" cy="7425690"/>
                    </a:xfrm>
                    <a:prstGeom prst="rect">
                      <a:avLst/>
                    </a:prstGeom>
                    <a:noFill/>
                    <a:ln>
                      <a:noFill/>
                    </a:ln>
                  </pic:spPr>
                </pic:pic>
              </a:graphicData>
            </a:graphic>
          </wp:inline>
        </w:drawing>
      </w:r>
      <w:r>
        <w:rPr>
          <w:rFonts w:ascii="Times New Roman" w:hAnsi="Times New Roman"/>
        </w:rPr>
        <w:drawing>
          <wp:inline distT="0" distB="0" distL="114300" distR="114300">
            <wp:extent cx="6159500" cy="8329930"/>
            <wp:effectExtent l="0" t="0" r="12700" b="13970"/>
            <wp:docPr id="5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6"/>
                    <pic:cNvPicPr>
                      <a:picLocks noChangeAspect="1"/>
                    </pic:cNvPicPr>
                  </pic:nvPicPr>
                  <pic:blipFill>
                    <a:blip r:embed="rId342"/>
                    <a:stretch>
                      <a:fillRect/>
                    </a:stretch>
                  </pic:blipFill>
                  <pic:spPr>
                    <a:xfrm>
                      <a:off x="0" y="0"/>
                      <a:ext cx="6159500" cy="8329930"/>
                    </a:xfrm>
                    <a:prstGeom prst="rect">
                      <a:avLst/>
                    </a:prstGeom>
                    <a:noFill/>
                    <a:ln>
                      <a:noFill/>
                    </a:ln>
                  </pic:spPr>
                </pic:pic>
              </a:graphicData>
            </a:graphic>
          </wp:inline>
        </w:drawing>
      </w:r>
    </w:p>
    <w:p>
      <w:pPr>
        <w:spacing w:line="300" w:lineRule="auto"/>
        <w:ind w:firstLine="482" w:firstLineChars="200"/>
        <w:jc w:val="left"/>
        <w:rPr>
          <w:rFonts w:ascii="Times New Roman" w:hAnsi="Times New Roman"/>
        </w:rPr>
      </w:pPr>
      <w:r>
        <w:rPr>
          <w:rFonts w:ascii="Times New Roman" w:hAnsi="Times New Roman"/>
          <w:bCs/>
          <w:color w:val="auto"/>
          <w:sz w:val="24"/>
          <w:szCs w:val="20"/>
        </w:rPr>
        <w:t>附件8：广州市南沙区财政局《关于南沙全民文化体育综合体项目配套骨干道路建设方案协同会审（含规划符合性审查）的函》意见反馈表；</w:t>
      </w:r>
    </w:p>
    <w:p>
      <w:pPr>
        <w:pStyle w:val="16"/>
        <w:ind w:firstLine="422" w:firstLineChars="200"/>
        <w:rPr>
          <w:rFonts w:ascii="Times New Roman" w:hAnsi="Times New Roman"/>
        </w:rPr>
      </w:pPr>
      <w:r>
        <w:rPr>
          <w:rFonts w:ascii="Times New Roman" w:hAnsi="Times New Roman"/>
        </w:rPr>
        <w:drawing>
          <wp:inline distT="0" distB="0" distL="114300" distR="114300">
            <wp:extent cx="5425440" cy="7840345"/>
            <wp:effectExtent l="0" t="0" r="3810" b="8255"/>
            <wp:docPr id="5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7"/>
                    <pic:cNvPicPr>
                      <a:picLocks noChangeAspect="1"/>
                    </pic:cNvPicPr>
                  </pic:nvPicPr>
                  <pic:blipFill>
                    <a:blip r:embed="rId343"/>
                    <a:stretch>
                      <a:fillRect/>
                    </a:stretch>
                  </pic:blipFill>
                  <pic:spPr>
                    <a:xfrm>
                      <a:off x="0" y="0"/>
                      <a:ext cx="5425440" cy="7840345"/>
                    </a:xfrm>
                    <a:prstGeom prst="rect">
                      <a:avLst/>
                    </a:prstGeom>
                    <a:noFill/>
                    <a:ln>
                      <a:noFill/>
                    </a:ln>
                  </pic:spPr>
                </pic:pic>
              </a:graphicData>
            </a:graphic>
          </wp:inline>
        </w:drawing>
      </w:r>
    </w:p>
    <w:p>
      <w:pPr>
        <w:spacing w:line="300" w:lineRule="auto"/>
        <w:ind w:firstLine="482" w:firstLineChars="200"/>
        <w:jc w:val="left"/>
        <w:rPr>
          <w:rFonts w:ascii="Times New Roman" w:hAnsi="Times New Roman"/>
        </w:rPr>
      </w:pPr>
      <w:r>
        <w:rPr>
          <w:rFonts w:ascii="Times New Roman" w:hAnsi="Times New Roman"/>
          <w:bCs/>
          <w:color w:val="auto"/>
          <w:sz w:val="24"/>
          <w:szCs w:val="20"/>
        </w:rPr>
        <w:t>附件9：广州市生态局南沙分局《关于南沙全民文化体育综合体项目配套骨干道路建设方案协同会审（含规划符合性审查）的函》意见反馈表；</w:t>
      </w:r>
    </w:p>
    <w:p>
      <w:pPr>
        <w:spacing w:line="300" w:lineRule="auto"/>
        <w:ind w:firstLine="562" w:firstLineChars="200"/>
        <w:jc w:val="left"/>
        <w:rPr>
          <w:rFonts w:ascii="Times New Roman" w:hAnsi="Times New Roman"/>
        </w:rPr>
      </w:pPr>
      <w:r>
        <w:rPr>
          <w:rFonts w:ascii="Times New Roman" w:hAnsi="Times New Roman"/>
        </w:rPr>
        <w:drawing>
          <wp:inline distT="0" distB="0" distL="114300" distR="114300">
            <wp:extent cx="5890260" cy="7784465"/>
            <wp:effectExtent l="0" t="0" r="15240" b="6985"/>
            <wp:docPr id="6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8"/>
                    <pic:cNvPicPr>
                      <a:picLocks noChangeAspect="1"/>
                    </pic:cNvPicPr>
                  </pic:nvPicPr>
                  <pic:blipFill>
                    <a:blip r:embed="rId344"/>
                    <a:stretch>
                      <a:fillRect/>
                    </a:stretch>
                  </pic:blipFill>
                  <pic:spPr>
                    <a:xfrm>
                      <a:off x="0" y="0"/>
                      <a:ext cx="5890260" cy="7784465"/>
                    </a:xfrm>
                    <a:prstGeom prst="rect">
                      <a:avLst/>
                    </a:prstGeom>
                    <a:noFill/>
                    <a:ln>
                      <a:noFill/>
                    </a:ln>
                  </pic:spPr>
                </pic:pic>
              </a:graphicData>
            </a:graphic>
          </wp:inline>
        </w:drawing>
      </w:r>
    </w:p>
    <w:p>
      <w:pPr>
        <w:spacing w:line="300" w:lineRule="auto"/>
        <w:ind w:firstLine="482" w:firstLineChars="200"/>
        <w:jc w:val="left"/>
        <w:rPr>
          <w:rFonts w:ascii="Times New Roman" w:hAnsi="Times New Roman"/>
        </w:rPr>
      </w:pPr>
      <w:r>
        <w:rPr>
          <w:rFonts w:ascii="Times New Roman" w:hAnsi="Times New Roman"/>
          <w:bCs/>
          <w:color w:val="auto"/>
          <w:sz w:val="24"/>
          <w:szCs w:val="20"/>
        </w:rPr>
        <w:t>附件10：广东省广州航道事务中心《关于南沙全民文化体育综合体项目配套骨干道路建设方案协同会审（含规划符合性审查）的函》意见反馈表；</w:t>
      </w:r>
    </w:p>
    <w:p>
      <w:pPr>
        <w:spacing w:line="300" w:lineRule="auto"/>
        <w:ind w:firstLine="562" w:firstLineChars="200"/>
        <w:jc w:val="left"/>
        <w:rPr>
          <w:rFonts w:ascii="Times New Roman" w:hAnsi="Times New Roman"/>
        </w:rPr>
      </w:pPr>
      <w:r>
        <w:rPr>
          <w:rFonts w:ascii="Times New Roman" w:hAnsi="Times New Roman"/>
        </w:rPr>
        <w:drawing>
          <wp:inline distT="0" distB="0" distL="114300" distR="114300">
            <wp:extent cx="6048375" cy="8001000"/>
            <wp:effectExtent l="0" t="0" r="9525" b="0"/>
            <wp:docPr id="6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9"/>
                    <pic:cNvPicPr>
                      <a:picLocks noChangeAspect="1"/>
                    </pic:cNvPicPr>
                  </pic:nvPicPr>
                  <pic:blipFill>
                    <a:blip r:embed="rId345"/>
                    <a:stretch>
                      <a:fillRect/>
                    </a:stretch>
                  </pic:blipFill>
                  <pic:spPr>
                    <a:xfrm>
                      <a:off x="0" y="0"/>
                      <a:ext cx="6048375" cy="8001000"/>
                    </a:xfrm>
                    <a:prstGeom prst="rect">
                      <a:avLst/>
                    </a:prstGeom>
                    <a:noFill/>
                    <a:ln>
                      <a:noFill/>
                    </a:ln>
                  </pic:spPr>
                </pic:pic>
              </a:graphicData>
            </a:graphic>
          </wp:inline>
        </w:drawing>
      </w:r>
      <w:r>
        <w:rPr>
          <w:rFonts w:ascii="Times New Roman" w:hAnsi="Times New Roman"/>
        </w:rPr>
        <w:drawing>
          <wp:inline distT="0" distB="0" distL="114300" distR="114300">
            <wp:extent cx="5904865" cy="8576310"/>
            <wp:effectExtent l="0" t="0" r="635" b="15240"/>
            <wp:docPr id="9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30"/>
                    <pic:cNvPicPr>
                      <a:picLocks noChangeAspect="1"/>
                    </pic:cNvPicPr>
                  </pic:nvPicPr>
                  <pic:blipFill>
                    <a:blip r:embed="rId346"/>
                    <a:stretch>
                      <a:fillRect/>
                    </a:stretch>
                  </pic:blipFill>
                  <pic:spPr>
                    <a:xfrm>
                      <a:off x="0" y="0"/>
                      <a:ext cx="5904865" cy="8576310"/>
                    </a:xfrm>
                    <a:prstGeom prst="rect">
                      <a:avLst/>
                    </a:prstGeom>
                    <a:noFill/>
                    <a:ln>
                      <a:noFill/>
                    </a:ln>
                  </pic:spPr>
                </pic:pic>
              </a:graphicData>
            </a:graphic>
          </wp:inline>
        </w:drawing>
      </w:r>
    </w:p>
    <w:p>
      <w:pPr>
        <w:spacing w:line="300" w:lineRule="auto"/>
        <w:ind w:firstLine="482" w:firstLineChars="200"/>
        <w:jc w:val="left"/>
        <w:rPr>
          <w:rFonts w:ascii="Times New Roman" w:hAnsi="Times New Roman"/>
        </w:rPr>
      </w:pPr>
      <w:r>
        <w:rPr>
          <w:rFonts w:ascii="Times New Roman" w:hAnsi="Times New Roman"/>
          <w:bCs/>
          <w:color w:val="auto"/>
          <w:sz w:val="24"/>
          <w:szCs w:val="20"/>
        </w:rPr>
        <w:t>附件11：广州市南沙区农业农村局《关于南沙全民文化体育综合体项目配套骨干道路建设方案协同会审（含规划符合性审查）的复函》；</w:t>
      </w:r>
    </w:p>
    <w:p>
      <w:pPr>
        <w:spacing w:line="300" w:lineRule="auto"/>
        <w:ind w:firstLine="562" w:firstLineChars="200"/>
        <w:jc w:val="left"/>
        <w:rPr>
          <w:rFonts w:ascii="Times New Roman" w:hAnsi="Times New Roman"/>
        </w:rPr>
      </w:pPr>
      <w:r>
        <w:rPr>
          <w:rFonts w:ascii="Times New Roman" w:hAnsi="Times New Roman"/>
        </w:rPr>
        <w:drawing>
          <wp:inline distT="0" distB="0" distL="114300" distR="114300">
            <wp:extent cx="5748655" cy="7927340"/>
            <wp:effectExtent l="0" t="0" r="4445" b="16510"/>
            <wp:docPr id="11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34"/>
                    <pic:cNvPicPr>
                      <a:picLocks noChangeAspect="1"/>
                    </pic:cNvPicPr>
                  </pic:nvPicPr>
                  <pic:blipFill>
                    <a:blip r:embed="rId347"/>
                    <a:stretch>
                      <a:fillRect/>
                    </a:stretch>
                  </pic:blipFill>
                  <pic:spPr>
                    <a:xfrm>
                      <a:off x="0" y="0"/>
                      <a:ext cx="5748655" cy="7927340"/>
                    </a:xfrm>
                    <a:prstGeom prst="rect">
                      <a:avLst/>
                    </a:prstGeom>
                    <a:noFill/>
                    <a:ln>
                      <a:noFill/>
                    </a:ln>
                  </pic:spPr>
                </pic:pic>
              </a:graphicData>
            </a:graphic>
          </wp:inline>
        </w:drawing>
      </w:r>
    </w:p>
    <w:p>
      <w:pPr>
        <w:spacing w:line="300" w:lineRule="auto"/>
        <w:ind w:firstLine="482" w:firstLineChars="200"/>
        <w:jc w:val="left"/>
        <w:rPr>
          <w:rFonts w:ascii="Times New Roman" w:hAnsi="Times New Roman"/>
        </w:rPr>
      </w:pPr>
      <w:r>
        <w:rPr>
          <w:rFonts w:ascii="Times New Roman" w:hAnsi="Times New Roman"/>
          <w:bCs/>
          <w:color w:val="auto"/>
          <w:sz w:val="24"/>
          <w:szCs w:val="20"/>
        </w:rPr>
        <w:t>附件12：广州南沙开发区土地开发中心《关于南沙全民文化体育综合体项目配套骨干道路建设方案协同会审（含规划符合性审查）的复函》；</w:t>
      </w:r>
    </w:p>
    <w:p>
      <w:pPr>
        <w:pStyle w:val="16"/>
        <w:ind w:firstLine="422" w:firstLineChars="200"/>
        <w:rPr>
          <w:rFonts w:ascii="Times New Roman" w:hAnsi="Times New Roman"/>
        </w:rPr>
      </w:pPr>
      <w:r>
        <w:rPr>
          <w:rFonts w:ascii="Times New Roman" w:hAnsi="Times New Roman"/>
        </w:rPr>
        <w:drawing>
          <wp:inline distT="0" distB="0" distL="114300" distR="114300">
            <wp:extent cx="5589270" cy="7648575"/>
            <wp:effectExtent l="0" t="0" r="11430" b="9525"/>
            <wp:docPr id="4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3"/>
                    <pic:cNvPicPr>
                      <a:picLocks noChangeAspect="1"/>
                    </pic:cNvPicPr>
                  </pic:nvPicPr>
                  <pic:blipFill>
                    <a:blip r:embed="rId348"/>
                    <a:stretch>
                      <a:fillRect/>
                    </a:stretch>
                  </pic:blipFill>
                  <pic:spPr>
                    <a:xfrm>
                      <a:off x="0" y="0"/>
                      <a:ext cx="5589270" cy="7648575"/>
                    </a:xfrm>
                    <a:prstGeom prst="rect">
                      <a:avLst/>
                    </a:prstGeom>
                    <a:noFill/>
                    <a:ln>
                      <a:noFill/>
                    </a:ln>
                  </pic:spPr>
                </pic:pic>
              </a:graphicData>
            </a:graphic>
          </wp:inline>
        </w:drawing>
      </w:r>
      <w:r>
        <w:rPr>
          <w:rFonts w:ascii="Times New Roman" w:hAnsi="Times New Roman"/>
        </w:rPr>
        <w:drawing>
          <wp:inline distT="0" distB="0" distL="114300" distR="114300">
            <wp:extent cx="5549265" cy="8086725"/>
            <wp:effectExtent l="0" t="0" r="13335" b="9525"/>
            <wp:docPr id="4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4"/>
                    <pic:cNvPicPr>
                      <a:picLocks noChangeAspect="1"/>
                    </pic:cNvPicPr>
                  </pic:nvPicPr>
                  <pic:blipFill>
                    <a:blip r:embed="rId349"/>
                    <a:stretch>
                      <a:fillRect/>
                    </a:stretch>
                  </pic:blipFill>
                  <pic:spPr>
                    <a:xfrm>
                      <a:off x="0" y="0"/>
                      <a:ext cx="5549265" cy="8086725"/>
                    </a:xfrm>
                    <a:prstGeom prst="rect">
                      <a:avLst/>
                    </a:prstGeom>
                    <a:noFill/>
                    <a:ln>
                      <a:noFill/>
                    </a:ln>
                  </pic:spPr>
                </pic:pic>
              </a:graphicData>
            </a:graphic>
          </wp:inline>
        </w:drawing>
      </w:r>
    </w:p>
    <w:p>
      <w:pPr>
        <w:spacing w:line="300" w:lineRule="auto"/>
        <w:ind w:firstLine="482" w:firstLineChars="200"/>
        <w:jc w:val="left"/>
        <w:rPr>
          <w:rFonts w:ascii="Times New Roman" w:hAnsi="Times New Roman"/>
          <w:bCs/>
          <w:color w:val="auto"/>
          <w:sz w:val="24"/>
          <w:szCs w:val="20"/>
        </w:rPr>
      </w:pPr>
    </w:p>
    <w:p>
      <w:pPr>
        <w:spacing w:line="300" w:lineRule="auto"/>
        <w:ind w:firstLine="482" w:firstLineChars="200"/>
        <w:jc w:val="left"/>
        <w:rPr>
          <w:rFonts w:ascii="Times New Roman" w:hAnsi="Times New Roman"/>
        </w:rPr>
      </w:pPr>
      <w:r>
        <w:rPr>
          <w:rFonts w:ascii="Times New Roman" w:hAnsi="Times New Roman"/>
          <w:bCs/>
          <w:color w:val="auto"/>
          <w:sz w:val="24"/>
          <w:szCs w:val="20"/>
        </w:rPr>
        <w:t>附件13：广州市高速公路有限公司《关于南沙全民文化体育综合体项目配套骨干道路建设方案协同会审的意见》；</w:t>
      </w:r>
    </w:p>
    <w:p>
      <w:pPr>
        <w:pStyle w:val="16"/>
        <w:ind w:firstLine="422" w:firstLineChars="200"/>
        <w:rPr>
          <w:rFonts w:ascii="Times New Roman" w:hAnsi="Times New Roman"/>
        </w:rPr>
      </w:pPr>
      <w:r>
        <w:rPr>
          <w:rFonts w:ascii="Times New Roman" w:hAnsi="Times New Roman"/>
        </w:rPr>
        <w:drawing>
          <wp:inline distT="0" distB="0" distL="114300" distR="114300">
            <wp:extent cx="5261610" cy="7477125"/>
            <wp:effectExtent l="0" t="0" r="15240" b="9525"/>
            <wp:docPr id="4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5"/>
                    <pic:cNvPicPr>
                      <a:picLocks noChangeAspect="1"/>
                    </pic:cNvPicPr>
                  </pic:nvPicPr>
                  <pic:blipFill>
                    <a:blip r:embed="rId350"/>
                    <a:stretch>
                      <a:fillRect/>
                    </a:stretch>
                  </pic:blipFill>
                  <pic:spPr>
                    <a:xfrm>
                      <a:off x="0" y="0"/>
                      <a:ext cx="5261610" cy="7477125"/>
                    </a:xfrm>
                    <a:prstGeom prst="rect">
                      <a:avLst/>
                    </a:prstGeom>
                    <a:noFill/>
                    <a:ln>
                      <a:noFill/>
                    </a:ln>
                  </pic:spPr>
                </pic:pic>
              </a:graphicData>
            </a:graphic>
          </wp:inline>
        </w:drawing>
      </w:r>
      <w:r>
        <w:rPr>
          <w:rFonts w:ascii="Times New Roman" w:hAnsi="Times New Roman"/>
        </w:rPr>
        <w:drawing>
          <wp:inline distT="0" distB="0" distL="114300" distR="114300">
            <wp:extent cx="5488305" cy="7439025"/>
            <wp:effectExtent l="0" t="0" r="17145" b="9525"/>
            <wp:docPr id="9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36"/>
                    <pic:cNvPicPr>
                      <a:picLocks noChangeAspect="1"/>
                    </pic:cNvPicPr>
                  </pic:nvPicPr>
                  <pic:blipFill>
                    <a:blip r:embed="rId351"/>
                    <a:stretch>
                      <a:fillRect/>
                    </a:stretch>
                  </pic:blipFill>
                  <pic:spPr>
                    <a:xfrm>
                      <a:off x="0" y="0"/>
                      <a:ext cx="5488305" cy="7439025"/>
                    </a:xfrm>
                    <a:prstGeom prst="rect">
                      <a:avLst/>
                    </a:prstGeom>
                    <a:noFill/>
                    <a:ln>
                      <a:noFill/>
                    </a:ln>
                  </pic:spPr>
                </pic:pic>
              </a:graphicData>
            </a:graphic>
          </wp:inline>
        </w:drawing>
      </w:r>
      <w:r>
        <w:rPr>
          <w:rFonts w:ascii="Times New Roman" w:hAnsi="Times New Roman"/>
        </w:rPr>
        <w:drawing>
          <wp:inline distT="0" distB="0" distL="114300" distR="114300">
            <wp:extent cx="4919980" cy="6810375"/>
            <wp:effectExtent l="0" t="0" r="13970" b="9525"/>
            <wp:docPr id="22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37"/>
                    <pic:cNvPicPr>
                      <a:picLocks noChangeAspect="1"/>
                    </pic:cNvPicPr>
                  </pic:nvPicPr>
                  <pic:blipFill>
                    <a:blip r:embed="rId352"/>
                    <a:stretch>
                      <a:fillRect/>
                    </a:stretch>
                  </pic:blipFill>
                  <pic:spPr>
                    <a:xfrm>
                      <a:off x="0" y="0"/>
                      <a:ext cx="4919980" cy="6810375"/>
                    </a:xfrm>
                    <a:prstGeom prst="rect">
                      <a:avLst/>
                    </a:prstGeom>
                    <a:noFill/>
                    <a:ln>
                      <a:noFill/>
                    </a:ln>
                  </pic:spPr>
                </pic:pic>
              </a:graphicData>
            </a:graphic>
          </wp:inline>
        </w:drawing>
      </w:r>
    </w:p>
    <w:p>
      <w:pPr>
        <w:pStyle w:val="16"/>
        <w:ind w:firstLine="422" w:firstLineChars="200"/>
        <w:rPr>
          <w:rFonts w:ascii="Times New Roman" w:hAnsi="Times New Roman"/>
        </w:rPr>
      </w:pPr>
    </w:p>
    <w:p>
      <w:pPr>
        <w:spacing w:line="300" w:lineRule="auto"/>
        <w:ind w:firstLine="482" w:firstLineChars="200"/>
        <w:jc w:val="left"/>
        <w:rPr>
          <w:rFonts w:ascii="Times New Roman" w:hAnsi="Times New Roman"/>
          <w:bCs/>
          <w:color w:val="auto"/>
          <w:sz w:val="24"/>
          <w:szCs w:val="20"/>
        </w:rPr>
      </w:pPr>
    </w:p>
    <w:p>
      <w:pPr>
        <w:spacing w:line="300" w:lineRule="auto"/>
        <w:ind w:firstLine="482" w:firstLineChars="200"/>
        <w:jc w:val="left"/>
        <w:rPr>
          <w:rFonts w:ascii="Times New Roman" w:hAnsi="Times New Roman"/>
          <w:bCs/>
          <w:color w:val="auto"/>
          <w:sz w:val="24"/>
          <w:szCs w:val="20"/>
        </w:rPr>
      </w:pPr>
    </w:p>
    <w:p>
      <w:pPr>
        <w:spacing w:line="300" w:lineRule="auto"/>
        <w:ind w:firstLine="482" w:firstLineChars="200"/>
        <w:jc w:val="left"/>
        <w:rPr>
          <w:rFonts w:ascii="Times New Roman" w:hAnsi="Times New Roman"/>
          <w:bCs/>
          <w:color w:val="auto"/>
          <w:sz w:val="24"/>
          <w:szCs w:val="20"/>
        </w:rPr>
      </w:pPr>
    </w:p>
    <w:p>
      <w:pPr>
        <w:spacing w:line="300" w:lineRule="auto"/>
        <w:ind w:firstLine="482" w:firstLineChars="200"/>
        <w:jc w:val="left"/>
        <w:rPr>
          <w:rFonts w:ascii="Times New Roman" w:hAnsi="Times New Roman"/>
          <w:bCs/>
          <w:color w:val="auto"/>
          <w:sz w:val="24"/>
          <w:szCs w:val="20"/>
        </w:rPr>
      </w:pPr>
    </w:p>
    <w:p>
      <w:pPr>
        <w:spacing w:line="300" w:lineRule="auto"/>
        <w:ind w:firstLine="482" w:firstLineChars="200"/>
        <w:jc w:val="left"/>
        <w:rPr>
          <w:rFonts w:ascii="Times New Roman" w:hAnsi="Times New Roman"/>
        </w:rPr>
      </w:pPr>
      <w:r>
        <w:rPr>
          <w:rFonts w:ascii="Times New Roman" w:hAnsi="Times New Roman"/>
          <w:bCs/>
          <w:color w:val="auto"/>
          <w:sz w:val="24"/>
          <w:szCs w:val="20"/>
        </w:rPr>
        <w:t>附件14：广州南沙粤海水务有限公司《关于南沙全民文化体育综合体项目配套骨干道路建设方案协同会审的意见》；</w:t>
      </w:r>
    </w:p>
    <w:p>
      <w:pPr>
        <w:spacing w:line="300" w:lineRule="auto"/>
        <w:ind w:firstLine="562" w:firstLineChars="200"/>
        <w:jc w:val="left"/>
        <w:rPr>
          <w:rFonts w:ascii="Times New Roman" w:hAnsi="Times New Roman"/>
        </w:rPr>
      </w:pPr>
      <w:r>
        <w:rPr>
          <w:rFonts w:ascii="Times New Roman" w:hAnsi="Times New Roman"/>
        </w:rPr>
        <w:drawing>
          <wp:inline distT="0" distB="0" distL="0" distR="0">
            <wp:extent cx="3914775" cy="6438265"/>
            <wp:effectExtent l="0" t="0" r="9525" b="635"/>
            <wp:docPr id="15495500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550053" name="图片 1"/>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a:xfrm>
                      <a:off x="0" y="0"/>
                      <a:ext cx="3914775" cy="6438265"/>
                    </a:xfrm>
                    <a:prstGeom prst="rect">
                      <a:avLst/>
                    </a:prstGeom>
                    <a:noFill/>
                    <a:ln>
                      <a:noFill/>
                    </a:ln>
                  </pic:spPr>
                </pic:pic>
              </a:graphicData>
            </a:graphic>
          </wp:inline>
        </w:drawing>
      </w:r>
    </w:p>
    <w:p>
      <w:pPr>
        <w:spacing w:line="300" w:lineRule="auto"/>
        <w:ind w:firstLine="562" w:firstLineChars="200"/>
        <w:jc w:val="left"/>
        <w:rPr>
          <w:rFonts w:ascii="Times New Roman" w:hAnsi="Times New Roman"/>
        </w:rPr>
      </w:pPr>
    </w:p>
    <w:p>
      <w:pPr>
        <w:spacing w:line="300" w:lineRule="auto"/>
        <w:ind w:firstLine="562" w:firstLineChars="200"/>
        <w:jc w:val="left"/>
        <w:rPr>
          <w:rFonts w:ascii="Times New Roman" w:hAnsi="Times New Roman"/>
        </w:rPr>
      </w:pPr>
    </w:p>
    <w:p>
      <w:pPr>
        <w:spacing w:line="300" w:lineRule="auto"/>
        <w:ind w:firstLine="562" w:firstLineChars="200"/>
        <w:jc w:val="left"/>
        <w:rPr>
          <w:rFonts w:ascii="Times New Roman" w:hAnsi="Times New Roman"/>
        </w:rPr>
      </w:pPr>
    </w:p>
    <w:p>
      <w:pPr>
        <w:spacing w:line="300" w:lineRule="auto"/>
        <w:ind w:firstLine="562" w:firstLineChars="200"/>
        <w:jc w:val="left"/>
        <w:rPr>
          <w:rFonts w:ascii="Times New Roman" w:hAnsi="Times New Roman"/>
        </w:rPr>
      </w:pPr>
    </w:p>
    <w:p>
      <w:pPr>
        <w:spacing w:line="300" w:lineRule="auto"/>
        <w:ind w:firstLine="562" w:firstLineChars="200"/>
        <w:jc w:val="left"/>
        <w:rPr>
          <w:rFonts w:ascii="Times New Roman" w:hAnsi="Times New Roman"/>
        </w:rPr>
      </w:pPr>
    </w:p>
    <w:p>
      <w:pPr>
        <w:spacing w:line="300" w:lineRule="auto"/>
        <w:ind w:firstLine="482" w:firstLineChars="200"/>
        <w:jc w:val="left"/>
        <w:rPr>
          <w:rFonts w:ascii="Times New Roman" w:hAnsi="Times New Roman"/>
        </w:rPr>
      </w:pPr>
      <w:r>
        <w:rPr>
          <w:rFonts w:ascii="Times New Roman" w:hAnsi="Times New Roman"/>
          <w:bCs/>
          <w:color w:val="auto"/>
          <w:sz w:val="24"/>
          <w:szCs w:val="20"/>
        </w:rPr>
        <w:t>附件15：广州市规划和自然资源局关于南沙全民文化体育综合体项目配套骨干道路项目协同会审征求意见的复函；</w:t>
      </w:r>
    </w:p>
    <w:p>
      <w:pPr>
        <w:pStyle w:val="16"/>
        <w:ind w:firstLine="422" w:firstLineChars="200"/>
        <w:rPr>
          <w:rFonts w:ascii="Times New Roman" w:hAnsi="Times New Roman"/>
        </w:rPr>
      </w:pPr>
      <w:r>
        <w:rPr>
          <w:rFonts w:ascii="Times New Roman" w:hAnsi="Times New Roman"/>
        </w:rPr>
        <w:drawing>
          <wp:inline distT="0" distB="0" distL="114300" distR="114300">
            <wp:extent cx="5779135" cy="7428230"/>
            <wp:effectExtent l="0" t="0" r="12065" b="1270"/>
            <wp:docPr id="24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31"/>
                    <pic:cNvPicPr>
                      <a:picLocks noChangeAspect="1"/>
                    </pic:cNvPicPr>
                  </pic:nvPicPr>
                  <pic:blipFill>
                    <a:blip r:embed="rId354"/>
                    <a:stretch>
                      <a:fillRect/>
                    </a:stretch>
                  </pic:blipFill>
                  <pic:spPr>
                    <a:xfrm>
                      <a:off x="0" y="0"/>
                      <a:ext cx="5779135" cy="7428230"/>
                    </a:xfrm>
                    <a:prstGeom prst="rect">
                      <a:avLst/>
                    </a:prstGeom>
                    <a:noFill/>
                    <a:ln>
                      <a:noFill/>
                    </a:ln>
                  </pic:spPr>
                </pic:pic>
              </a:graphicData>
            </a:graphic>
          </wp:inline>
        </w:drawing>
      </w:r>
      <w:r>
        <w:rPr>
          <w:rFonts w:ascii="Times New Roman" w:hAnsi="Times New Roman"/>
        </w:rPr>
        <w:drawing>
          <wp:inline distT="0" distB="0" distL="114300" distR="114300">
            <wp:extent cx="5829300" cy="7753350"/>
            <wp:effectExtent l="0" t="0" r="0" b="0"/>
            <wp:docPr id="245"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32"/>
                    <pic:cNvPicPr>
                      <a:picLocks noChangeAspect="1"/>
                    </pic:cNvPicPr>
                  </pic:nvPicPr>
                  <pic:blipFill>
                    <a:blip r:embed="rId355"/>
                    <a:stretch>
                      <a:fillRect/>
                    </a:stretch>
                  </pic:blipFill>
                  <pic:spPr>
                    <a:xfrm>
                      <a:off x="0" y="0"/>
                      <a:ext cx="5829300" cy="7753350"/>
                    </a:xfrm>
                    <a:prstGeom prst="rect">
                      <a:avLst/>
                    </a:prstGeom>
                    <a:noFill/>
                    <a:ln>
                      <a:noFill/>
                    </a:ln>
                  </pic:spPr>
                </pic:pic>
              </a:graphicData>
            </a:graphic>
          </wp:inline>
        </w:drawing>
      </w:r>
      <w:r>
        <w:rPr>
          <w:rFonts w:ascii="Times New Roman" w:hAnsi="Times New Roman"/>
        </w:rPr>
        <w:drawing>
          <wp:inline distT="0" distB="0" distL="114300" distR="114300">
            <wp:extent cx="5724525" cy="8210550"/>
            <wp:effectExtent l="0" t="0" r="9525" b="0"/>
            <wp:docPr id="2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33"/>
                    <pic:cNvPicPr>
                      <a:picLocks noChangeAspect="1"/>
                    </pic:cNvPicPr>
                  </pic:nvPicPr>
                  <pic:blipFill>
                    <a:blip r:embed="rId356"/>
                    <a:stretch>
                      <a:fillRect/>
                    </a:stretch>
                  </pic:blipFill>
                  <pic:spPr>
                    <a:xfrm>
                      <a:off x="0" y="0"/>
                      <a:ext cx="5724525" cy="8210550"/>
                    </a:xfrm>
                    <a:prstGeom prst="rect">
                      <a:avLst/>
                    </a:prstGeom>
                    <a:noFill/>
                    <a:ln>
                      <a:noFill/>
                    </a:ln>
                  </pic:spPr>
                </pic:pic>
              </a:graphicData>
            </a:graphic>
          </wp:inline>
        </w:drawing>
      </w:r>
    </w:p>
    <w:p>
      <w:pPr>
        <w:pStyle w:val="16"/>
        <w:ind w:firstLine="422" w:firstLineChars="200"/>
        <w:rPr>
          <w:rFonts w:ascii="Times New Roman" w:hAnsi="Times New Roman"/>
        </w:rPr>
      </w:pPr>
    </w:p>
    <w:p>
      <w:pPr>
        <w:pStyle w:val="16"/>
        <w:ind w:firstLine="422" w:firstLineChars="200"/>
        <w:rPr>
          <w:rFonts w:ascii="Times New Roman" w:hAnsi="Times New Roman"/>
        </w:rPr>
      </w:pPr>
    </w:p>
    <w:p>
      <w:pPr>
        <w:spacing w:line="300" w:lineRule="auto"/>
        <w:ind w:firstLine="482" w:firstLineChars="200"/>
        <w:jc w:val="left"/>
        <w:rPr>
          <w:rFonts w:ascii="Times New Roman" w:hAnsi="Times New Roman"/>
        </w:rPr>
      </w:pPr>
      <w:r>
        <w:rPr>
          <w:rFonts w:ascii="Times New Roman" w:hAnsi="Times New Roman"/>
          <w:bCs/>
          <w:color w:val="auto"/>
          <w:sz w:val="24"/>
          <w:szCs w:val="20"/>
        </w:rPr>
        <w:t>附件16：广州南沙供电局《关于南沙全民文化体育综合体项目配套骨干道路建设方案协同会审的意见》；</w:t>
      </w:r>
    </w:p>
    <w:p>
      <w:pPr>
        <w:pStyle w:val="16"/>
        <w:ind w:firstLine="422" w:firstLineChars="200"/>
        <w:jc w:val="center"/>
        <w:rPr>
          <w:rFonts w:ascii="Times New Roman" w:hAnsi="Times New Roman"/>
        </w:rPr>
      </w:pPr>
      <w:r>
        <w:rPr>
          <w:rFonts w:ascii="Times New Roman" w:hAnsi="Times New Roman"/>
        </w:rPr>
        <w:drawing>
          <wp:inline distT="0" distB="0" distL="0" distR="0">
            <wp:extent cx="3829050" cy="7272655"/>
            <wp:effectExtent l="0" t="0" r="0" b="4445"/>
            <wp:docPr id="19156152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615241" name="图片 1"/>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a:xfrm>
                      <a:off x="0" y="0"/>
                      <a:ext cx="3829050" cy="7272655"/>
                    </a:xfrm>
                    <a:prstGeom prst="rect">
                      <a:avLst/>
                    </a:prstGeom>
                    <a:noFill/>
                    <a:ln>
                      <a:noFill/>
                    </a:ln>
                  </pic:spPr>
                </pic:pic>
              </a:graphicData>
            </a:graphic>
          </wp:inline>
        </w:drawing>
      </w:r>
    </w:p>
    <w:p>
      <w:pPr>
        <w:spacing w:line="300" w:lineRule="auto"/>
        <w:ind w:firstLine="482" w:firstLineChars="200"/>
        <w:jc w:val="left"/>
        <w:rPr>
          <w:rFonts w:ascii="Times New Roman" w:hAnsi="Times New Roman"/>
          <w:bCs/>
          <w:color w:val="auto"/>
          <w:sz w:val="24"/>
          <w:szCs w:val="20"/>
        </w:rPr>
      </w:pPr>
    </w:p>
    <w:p>
      <w:pPr>
        <w:spacing w:line="300" w:lineRule="auto"/>
        <w:ind w:firstLine="482" w:firstLineChars="200"/>
        <w:jc w:val="left"/>
        <w:rPr>
          <w:rFonts w:ascii="Times New Roman" w:hAnsi="Times New Roman"/>
          <w:bCs/>
          <w:color w:val="auto"/>
          <w:sz w:val="24"/>
          <w:szCs w:val="20"/>
        </w:rPr>
      </w:pPr>
    </w:p>
    <w:p>
      <w:pPr>
        <w:spacing w:line="300" w:lineRule="auto"/>
        <w:ind w:firstLine="482" w:firstLineChars="200"/>
        <w:jc w:val="left"/>
        <w:rPr>
          <w:rFonts w:ascii="Times New Roman" w:hAnsi="Times New Roman"/>
          <w:bCs/>
          <w:color w:val="auto"/>
          <w:sz w:val="24"/>
          <w:szCs w:val="20"/>
        </w:rPr>
      </w:pPr>
      <w:r>
        <w:rPr>
          <w:rFonts w:ascii="Times New Roman" w:hAnsi="Times New Roman"/>
          <w:bCs/>
          <w:color w:val="auto"/>
          <w:sz w:val="24"/>
          <w:szCs w:val="20"/>
        </w:rPr>
        <w:t>附件1</w:t>
      </w:r>
      <w:r>
        <w:rPr>
          <w:rFonts w:hint="eastAsia" w:ascii="Times New Roman" w:hAnsi="Times New Roman"/>
          <w:bCs/>
          <w:color w:val="auto"/>
          <w:sz w:val="24"/>
          <w:szCs w:val="20"/>
        </w:rPr>
        <w:t>7</w:t>
      </w:r>
      <w:r>
        <w:rPr>
          <w:rFonts w:ascii="Times New Roman" w:hAnsi="Times New Roman"/>
          <w:bCs/>
          <w:color w:val="auto"/>
          <w:sz w:val="24"/>
          <w:szCs w:val="20"/>
        </w:rPr>
        <w:t>：</w:t>
      </w:r>
      <w:r>
        <w:rPr>
          <w:rFonts w:hint="eastAsia" w:ascii="Times New Roman" w:hAnsi="Times New Roman"/>
          <w:bCs/>
          <w:color w:val="auto"/>
          <w:sz w:val="24"/>
          <w:szCs w:val="20"/>
        </w:rPr>
        <w:t>穗南综指办〔2023〕1号-南沙大型城市综合体建设指挥部办公室关于印发《南沙大型城市综合体建设指挥部办公室机构设置及职责》的通知</w:t>
      </w:r>
      <w:r>
        <w:rPr>
          <w:rFonts w:ascii="Times New Roman" w:hAnsi="Times New Roman"/>
          <w:bCs/>
          <w:color w:val="auto"/>
          <w:sz w:val="24"/>
          <w:szCs w:val="20"/>
        </w:rPr>
        <w:t>；</w:t>
      </w:r>
    </w:p>
    <w:p>
      <w:pPr>
        <w:spacing w:line="300" w:lineRule="auto"/>
        <w:ind w:firstLine="562" w:firstLineChars="200"/>
        <w:jc w:val="left"/>
      </w:pPr>
      <w:r>
        <w:drawing>
          <wp:inline distT="0" distB="0" distL="114300" distR="114300">
            <wp:extent cx="5189220" cy="7009765"/>
            <wp:effectExtent l="0" t="0" r="11430" b="635"/>
            <wp:docPr id="25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7"/>
                    <pic:cNvPicPr>
                      <a:picLocks noChangeAspect="1"/>
                    </pic:cNvPicPr>
                  </pic:nvPicPr>
                  <pic:blipFill>
                    <a:blip r:embed="rId358"/>
                    <a:stretch>
                      <a:fillRect/>
                    </a:stretch>
                  </pic:blipFill>
                  <pic:spPr>
                    <a:xfrm>
                      <a:off x="0" y="0"/>
                      <a:ext cx="5189220" cy="7009765"/>
                    </a:xfrm>
                    <a:prstGeom prst="rect">
                      <a:avLst/>
                    </a:prstGeom>
                    <a:noFill/>
                    <a:ln>
                      <a:noFill/>
                    </a:ln>
                  </pic:spPr>
                </pic:pic>
              </a:graphicData>
            </a:graphic>
          </wp:inline>
        </w:drawing>
      </w:r>
      <w:r>
        <w:drawing>
          <wp:inline distT="0" distB="0" distL="114300" distR="114300">
            <wp:extent cx="5806440" cy="8169910"/>
            <wp:effectExtent l="0" t="0" r="3810" b="2540"/>
            <wp:docPr id="25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8"/>
                    <pic:cNvPicPr>
                      <a:picLocks noChangeAspect="1"/>
                    </pic:cNvPicPr>
                  </pic:nvPicPr>
                  <pic:blipFill>
                    <a:blip r:embed="rId359"/>
                    <a:stretch>
                      <a:fillRect/>
                    </a:stretch>
                  </pic:blipFill>
                  <pic:spPr>
                    <a:xfrm>
                      <a:off x="0" y="0"/>
                      <a:ext cx="5806440" cy="8169910"/>
                    </a:xfrm>
                    <a:prstGeom prst="rect">
                      <a:avLst/>
                    </a:prstGeom>
                    <a:noFill/>
                    <a:ln>
                      <a:noFill/>
                    </a:ln>
                  </pic:spPr>
                </pic:pic>
              </a:graphicData>
            </a:graphic>
          </wp:inline>
        </w:drawing>
      </w:r>
    </w:p>
    <w:p>
      <w:pPr>
        <w:spacing w:line="300" w:lineRule="auto"/>
        <w:ind w:firstLine="562" w:firstLineChars="200"/>
        <w:jc w:val="left"/>
      </w:pPr>
    </w:p>
    <w:p>
      <w:pPr>
        <w:spacing w:line="300" w:lineRule="auto"/>
        <w:ind w:firstLine="482" w:firstLineChars="200"/>
        <w:jc w:val="left"/>
        <w:rPr>
          <w:rFonts w:ascii="Times New Roman" w:hAnsi="Times New Roman"/>
          <w:bCs/>
          <w:color w:val="auto"/>
          <w:sz w:val="24"/>
          <w:szCs w:val="20"/>
        </w:rPr>
      </w:pPr>
      <w:r>
        <w:rPr>
          <w:rFonts w:ascii="Times New Roman" w:hAnsi="Times New Roman"/>
          <w:bCs/>
          <w:color w:val="auto"/>
          <w:sz w:val="24"/>
          <w:szCs w:val="20"/>
        </w:rPr>
        <w:t>附件1</w:t>
      </w:r>
      <w:r>
        <w:rPr>
          <w:rFonts w:hint="eastAsia" w:ascii="Times New Roman" w:hAnsi="Times New Roman"/>
          <w:bCs/>
          <w:color w:val="auto"/>
          <w:sz w:val="24"/>
          <w:szCs w:val="20"/>
        </w:rPr>
        <w:t>8</w:t>
      </w:r>
      <w:r>
        <w:rPr>
          <w:rFonts w:ascii="Times New Roman" w:hAnsi="Times New Roman"/>
          <w:bCs/>
          <w:color w:val="auto"/>
          <w:sz w:val="24"/>
          <w:szCs w:val="20"/>
        </w:rPr>
        <w:t>：</w:t>
      </w:r>
      <w:r>
        <w:rPr>
          <w:rFonts w:hint="eastAsia" w:ascii="Times New Roman" w:hAnsi="Times New Roman"/>
          <w:bCs/>
          <w:color w:val="auto"/>
          <w:sz w:val="24"/>
          <w:szCs w:val="20"/>
        </w:rPr>
        <w:t>关于对南沙全民文化体育综合体项目配套骨干道路工程树木保护专章意见的复函</w:t>
      </w:r>
      <w:r>
        <w:rPr>
          <w:rFonts w:ascii="Times New Roman" w:hAnsi="Times New Roman"/>
          <w:bCs/>
          <w:color w:val="auto"/>
          <w:sz w:val="24"/>
          <w:szCs w:val="20"/>
        </w:rPr>
        <w:t>；</w:t>
      </w:r>
    </w:p>
    <w:p>
      <w:pPr>
        <w:spacing w:line="300" w:lineRule="auto"/>
        <w:ind w:firstLine="562" w:firstLineChars="200"/>
        <w:jc w:val="left"/>
        <w:rPr>
          <w:rFonts w:ascii="Times New Roman" w:hAnsi="Times New Roman"/>
          <w:bCs/>
          <w:color w:val="auto"/>
          <w:sz w:val="24"/>
          <w:szCs w:val="20"/>
        </w:rPr>
      </w:pPr>
      <w:r>
        <w:drawing>
          <wp:inline distT="0" distB="0" distL="114300" distR="114300">
            <wp:extent cx="5467350" cy="7810500"/>
            <wp:effectExtent l="0" t="0" r="0" b="0"/>
            <wp:docPr id="25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9"/>
                    <pic:cNvPicPr>
                      <a:picLocks noChangeAspect="1"/>
                    </pic:cNvPicPr>
                  </pic:nvPicPr>
                  <pic:blipFill>
                    <a:blip r:embed="rId360"/>
                    <a:stretch>
                      <a:fillRect/>
                    </a:stretch>
                  </pic:blipFill>
                  <pic:spPr>
                    <a:xfrm>
                      <a:off x="0" y="0"/>
                      <a:ext cx="5467350" cy="7810500"/>
                    </a:xfrm>
                    <a:prstGeom prst="rect">
                      <a:avLst/>
                    </a:prstGeom>
                    <a:noFill/>
                    <a:ln>
                      <a:noFill/>
                    </a:ln>
                  </pic:spPr>
                </pic:pic>
              </a:graphicData>
            </a:graphic>
          </wp:inline>
        </w:drawing>
      </w:r>
    </w:p>
    <w:p>
      <w:pPr>
        <w:pStyle w:val="16"/>
        <w:ind w:firstLine="422" w:firstLineChars="200"/>
      </w:pPr>
    </w:p>
    <w:p>
      <w:pPr>
        <w:spacing w:line="300" w:lineRule="auto"/>
        <w:ind w:firstLine="482" w:firstLineChars="200"/>
        <w:jc w:val="left"/>
      </w:pPr>
      <w:r>
        <w:rPr>
          <w:rFonts w:ascii="Times New Roman" w:hAnsi="Times New Roman"/>
          <w:bCs/>
          <w:color w:val="auto"/>
          <w:sz w:val="24"/>
          <w:szCs w:val="20"/>
        </w:rPr>
        <w:t>附件1</w:t>
      </w:r>
      <w:r>
        <w:rPr>
          <w:rFonts w:hint="eastAsia" w:ascii="Times New Roman" w:hAnsi="Times New Roman"/>
          <w:bCs/>
          <w:color w:val="auto"/>
          <w:sz w:val="24"/>
          <w:szCs w:val="20"/>
        </w:rPr>
        <w:t>9</w:t>
      </w:r>
      <w:r>
        <w:rPr>
          <w:rFonts w:ascii="Times New Roman" w:hAnsi="Times New Roman"/>
          <w:bCs/>
          <w:color w:val="auto"/>
          <w:sz w:val="24"/>
          <w:szCs w:val="20"/>
        </w:rPr>
        <w:t>：</w:t>
      </w:r>
      <w:r>
        <w:rPr>
          <w:rFonts w:hint="eastAsia" w:ascii="Times New Roman" w:hAnsi="Times New Roman"/>
          <w:bCs/>
          <w:color w:val="auto"/>
          <w:sz w:val="24"/>
          <w:szCs w:val="20"/>
        </w:rPr>
        <w:t>广州市财政局关于广州市南沙区政府投资工程建设项目建设方案联审决策委员会交通专业委员会联合评审会议的意见</w:t>
      </w:r>
      <w:r>
        <w:rPr>
          <w:rFonts w:ascii="Times New Roman" w:hAnsi="Times New Roman"/>
          <w:bCs/>
          <w:color w:val="auto"/>
          <w:sz w:val="24"/>
          <w:szCs w:val="20"/>
        </w:rPr>
        <w:t>；</w:t>
      </w:r>
    </w:p>
    <w:p>
      <w:pPr>
        <w:spacing w:line="300" w:lineRule="auto"/>
        <w:ind w:firstLine="562" w:firstLineChars="200"/>
        <w:jc w:val="left"/>
      </w:pPr>
      <w:r>
        <w:drawing>
          <wp:inline distT="0" distB="0" distL="114300" distR="114300">
            <wp:extent cx="4925060" cy="7399655"/>
            <wp:effectExtent l="0" t="0" r="8890" b="10795"/>
            <wp:docPr id="13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25"/>
                    <pic:cNvPicPr>
                      <a:picLocks noChangeAspect="1"/>
                    </pic:cNvPicPr>
                  </pic:nvPicPr>
                  <pic:blipFill>
                    <a:blip r:embed="rId361"/>
                    <a:stretch>
                      <a:fillRect/>
                    </a:stretch>
                  </pic:blipFill>
                  <pic:spPr>
                    <a:xfrm>
                      <a:off x="0" y="0"/>
                      <a:ext cx="4925060" cy="7399655"/>
                    </a:xfrm>
                    <a:prstGeom prst="rect">
                      <a:avLst/>
                    </a:prstGeom>
                    <a:noFill/>
                    <a:ln>
                      <a:noFill/>
                    </a:ln>
                  </pic:spPr>
                </pic:pic>
              </a:graphicData>
            </a:graphic>
          </wp:inline>
        </w:drawing>
      </w:r>
    </w:p>
    <w:p>
      <w:pPr>
        <w:spacing w:line="300" w:lineRule="auto"/>
        <w:ind w:firstLine="562" w:firstLineChars="200"/>
        <w:jc w:val="left"/>
      </w:pPr>
    </w:p>
    <w:p>
      <w:pPr>
        <w:spacing w:line="300" w:lineRule="auto"/>
        <w:ind w:firstLine="482" w:firstLineChars="200"/>
        <w:jc w:val="left"/>
      </w:pPr>
      <w:r>
        <w:rPr>
          <w:rFonts w:ascii="Times New Roman" w:hAnsi="Times New Roman"/>
          <w:bCs/>
          <w:color w:val="auto"/>
          <w:sz w:val="24"/>
          <w:szCs w:val="20"/>
        </w:rPr>
        <w:t>附件</w:t>
      </w:r>
      <w:r>
        <w:rPr>
          <w:rFonts w:hint="eastAsia" w:ascii="Times New Roman" w:hAnsi="Times New Roman"/>
          <w:bCs/>
          <w:color w:val="auto"/>
          <w:sz w:val="24"/>
          <w:szCs w:val="20"/>
        </w:rPr>
        <w:t>20</w:t>
      </w:r>
      <w:r>
        <w:rPr>
          <w:rFonts w:ascii="Times New Roman" w:hAnsi="Times New Roman"/>
          <w:bCs/>
          <w:color w:val="auto"/>
          <w:sz w:val="24"/>
          <w:szCs w:val="20"/>
        </w:rPr>
        <w:t>：</w:t>
      </w:r>
      <w:r>
        <w:rPr>
          <w:rFonts w:hint="eastAsia" w:ascii="Times New Roman" w:hAnsi="Times New Roman"/>
          <w:bCs/>
          <w:color w:val="auto"/>
          <w:sz w:val="24"/>
          <w:szCs w:val="20"/>
        </w:rPr>
        <w:t>20230919【会议备忘】关于研究南沙全民文化体育综合体配建道路事宜的备忘</w:t>
      </w:r>
      <w:r>
        <w:rPr>
          <w:rFonts w:ascii="Times New Roman" w:hAnsi="Times New Roman"/>
          <w:bCs/>
          <w:color w:val="auto"/>
          <w:sz w:val="24"/>
          <w:szCs w:val="20"/>
        </w:rPr>
        <w:t>；</w:t>
      </w:r>
    </w:p>
    <w:p>
      <w:pPr>
        <w:spacing w:line="300" w:lineRule="auto"/>
        <w:ind w:firstLine="562" w:firstLineChars="200"/>
        <w:jc w:val="left"/>
      </w:pPr>
      <w:r>
        <w:drawing>
          <wp:inline distT="0" distB="0" distL="114300" distR="114300">
            <wp:extent cx="5337175" cy="7687945"/>
            <wp:effectExtent l="0" t="0" r="15875" b="8255"/>
            <wp:docPr id="27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5"/>
                    <pic:cNvPicPr>
                      <a:picLocks noChangeAspect="1"/>
                    </pic:cNvPicPr>
                  </pic:nvPicPr>
                  <pic:blipFill>
                    <a:blip r:embed="rId362"/>
                    <a:stretch>
                      <a:fillRect/>
                    </a:stretch>
                  </pic:blipFill>
                  <pic:spPr>
                    <a:xfrm>
                      <a:off x="0" y="0"/>
                      <a:ext cx="5337175" cy="7687945"/>
                    </a:xfrm>
                    <a:prstGeom prst="rect">
                      <a:avLst/>
                    </a:prstGeom>
                    <a:noFill/>
                    <a:ln>
                      <a:noFill/>
                    </a:ln>
                  </pic:spPr>
                </pic:pic>
              </a:graphicData>
            </a:graphic>
          </wp:inline>
        </w:drawing>
      </w:r>
    </w:p>
    <w:p>
      <w:pPr>
        <w:spacing w:line="300" w:lineRule="auto"/>
        <w:ind w:firstLine="562" w:firstLineChars="200"/>
        <w:jc w:val="left"/>
      </w:pPr>
    </w:p>
    <w:p>
      <w:pPr>
        <w:spacing w:line="300" w:lineRule="auto"/>
        <w:ind w:firstLine="562" w:firstLineChars="200"/>
        <w:jc w:val="left"/>
      </w:pPr>
    </w:p>
    <w:p>
      <w:pPr>
        <w:spacing w:line="300" w:lineRule="auto"/>
        <w:ind w:firstLine="482" w:firstLineChars="200"/>
        <w:jc w:val="left"/>
      </w:pPr>
      <w:r>
        <w:rPr>
          <w:rFonts w:ascii="Times New Roman" w:hAnsi="Times New Roman"/>
          <w:bCs/>
          <w:color w:val="auto"/>
          <w:sz w:val="24"/>
          <w:szCs w:val="20"/>
        </w:rPr>
        <w:t>附件</w:t>
      </w:r>
      <w:r>
        <w:rPr>
          <w:rFonts w:hint="eastAsia" w:ascii="Times New Roman" w:hAnsi="Times New Roman"/>
          <w:bCs/>
          <w:color w:val="auto"/>
          <w:sz w:val="24"/>
          <w:szCs w:val="20"/>
        </w:rPr>
        <w:t>21</w:t>
      </w:r>
      <w:r>
        <w:rPr>
          <w:rFonts w:ascii="Times New Roman" w:hAnsi="Times New Roman"/>
          <w:bCs/>
          <w:color w:val="auto"/>
          <w:sz w:val="24"/>
          <w:szCs w:val="20"/>
        </w:rPr>
        <w:t>：</w:t>
      </w:r>
      <w:r>
        <w:rPr>
          <w:rFonts w:hint="eastAsia" w:ascii="Times New Roman" w:hAnsi="Times New Roman"/>
          <w:bCs/>
          <w:color w:val="auto"/>
          <w:sz w:val="24"/>
          <w:szCs w:val="20"/>
        </w:rPr>
        <w:t>广州南沙开发区土地开发中心《关于商请提供南沙全民文化体育综合体项目配套骨干道路（二十涌北路、规划纵三路）土地储备费用的复函》</w:t>
      </w:r>
      <w:r>
        <w:rPr>
          <w:rFonts w:ascii="Times New Roman" w:hAnsi="Times New Roman"/>
          <w:bCs/>
          <w:color w:val="auto"/>
          <w:sz w:val="24"/>
          <w:szCs w:val="20"/>
        </w:rPr>
        <w:t>；</w:t>
      </w:r>
    </w:p>
    <w:p>
      <w:pPr>
        <w:pStyle w:val="16"/>
        <w:ind w:firstLine="422" w:firstLineChars="200"/>
        <w:rPr>
          <w:rFonts w:ascii="Times New Roman" w:hAnsi="Times New Roman"/>
        </w:rPr>
      </w:pPr>
    </w:p>
    <w:p>
      <w:pPr>
        <w:spacing w:line="300" w:lineRule="auto"/>
        <w:ind w:firstLine="562" w:firstLineChars="200"/>
        <w:jc w:val="left"/>
      </w:pPr>
      <w:r>
        <w:drawing>
          <wp:inline distT="0" distB="0" distL="114300" distR="114300">
            <wp:extent cx="5448300" cy="7728585"/>
            <wp:effectExtent l="0" t="0" r="0" b="5715"/>
            <wp:docPr id="2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5"/>
                    <pic:cNvPicPr>
                      <a:picLocks noChangeAspect="1"/>
                    </pic:cNvPicPr>
                  </pic:nvPicPr>
                  <pic:blipFill>
                    <a:blip r:embed="rId363"/>
                    <a:stretch>
                      <a:fillRect/>
                    </a:stretch>
                  </pic:blipFill>
                  <pic:spPr>
                    <a:xfrm>
                      <a:off x="0" y="0"/>
                      <a:ext cx="5448300" cy="7728585"/>
                    </a:xfrm>
                    <a:prstGeom prst="rect">
                      <a:avLst/>
                    </a:prstGeom>
                    <a:noFill/>
                    <a:ln>
                      <a:noFill/>
                    </a:ln>
                  </pic:spPr>
                </pic:pic>
              </a:graphicData>
            </a:graphic>
          </wp:inline>
        </w:drawing>
      </w:r>
      <w:r>
        <w:drawing>
          <wp:inline distT="0" distB="0" distL="114300" distR="114300">
            <wp:extent cx="5876925" cy="8305800"/>
            <wp:effectExtent l="0" t="0" r="9525" b="0"/>
            <wp:docPr id="2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6"/>
                    <pic:cNvPicPr>
                      <a:picLocks noChangeAspect="1"/>
                    </pic:cNvPicPr>
                  </pic:nvPicPr>
                  <pic:blipFill>
                    <a:blip r:embed="rId364"/>
                    <a:stretch>
                      <a:fillRect/>
                    </a:stretch>
                  </pic:blipFill>
                  <pic:spPr>
                    <a:xfrm>
                      <a:off x="0" y="0"/>
                      <a:ext cx="5876925" cy="8305800"/>
                    </a:xfrm>
                    <a:prstGeom prst="rect">
                      <a:avLst/>
                    </a:prstGeom>
                    <a:noFill/>
                    <a:ln>
                      <a:noFill/>
                    </a:ln>
                  </pic:spPr>
                </pic:pic>
              </a:graphicData>
            </a:graphic>
          </wp:inline>
        </w:drawing>
      </w:r>
    </w:p>
    <w:p>
      <w:pPr>
        <w:spacing w:line="300" w:lineRule="auto"/>
        <w:ind w:firstLine="482" w:firstLineChars="200"/>
        <w:jc w:val="left"/>
      </w:pPr>
      <w:r>
        <w:rPr>
          <w:rFonts w:ascii="Times New Roman" w:hAnsi="Times New Roman"/>
          <w:bCs/>
          <w:color w:val="auto"/>
          <w:sz w:val="24"/>
          <w:szCs w:val="20"/>
        </w:rPr>
        <w:t>附件</w:t>
      </w:r>
      <w:r>
        <w:rPr>
          <w:rFonts w:hint="eastAsia" w:ascii="Times New Roman" w:hAnsi="Times New Roman"/>
          <w:bCs/>
          <w:color w:val="auto"/>
          <w:sz w:val="24"/>
          <w:szCs w:val="20"/>
        </w:rPr>
        <w:t>22</w:t>
      </w:r>
      <w:r>
        <w:rPr>
          <w:rFonts w:ascii="Times New Roman" w:hAnsi="Times New Roman"/>
          <w:bCs/>
          <w:color w:val="auto"/>
          <w:sz w:val="24"/>
          <w:szCs w:val="20"/>
        </w:rPr>
        <w:t>：</w:t>
      </w:r>
      <w:r>
        <w:rPr>
          <w:rFonts w:hint="eastAsia" w:ascii="Times New Roman" w:hAnsi="Times New Roman"/>
          <w:bCs/>
          <w:color w:val="auto"/>
          <w:sz w:val="24"/>
          <w:szCs w:val="20"/>
        </w:rPr>
        <w:t>南沙全民文化体育综合体项目配套骨干道路工程（二十涌北路、规划纵三路）红线范围用地报批费测算表</w:t>
      </w:r>
      <w:r>
        <w:rPr>
          <w:rFonts w:ascii="Times New Roman" w:hAnsi="Times New Roman"/>
          <w:bCs/>
          <w:color w:val="auto"/>
          <w:sz w:val="24"/>
          <w:szCs w:val="20"/>
        </w:rPr>
        <w:t>；</w:t>
      </w:r>
    </w:p>
    <w:p>
      <w:pPr>
        <w:pStyle w:val="16"/>
      </w:pPr>
      <w:r>
        <w:drawing>
          <wp:inline distT="0" distB="0" distL="114300" distR="114300">
            <wp:extent cx="6658610" cy="6578600"/>
            <wp:effectExtent l="0" t="0" r="8890" b="1270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65"/>
                    <a:stretch>
                      <a:fillRect/>
                    </a:stretch>
                  </pic:blipFill>
                  <pic:spPr>
                    <a:xfrm>
                      <a:off x="0" y="0"/>
                      <a:ext cx="6658610" cy="6578600"/>
                    </a:xfrm>
                    <a:prstGeom prst="rect">
                      <a:avLst/>
                    </a:prstGeom>
                    <a:noFill/>
                    <a:ln>
                      <a:noFill/>
                    </a:ln>
                  </pic:spPr>
                </pic:pic>
              </a:graphicData>
            </a:graphic>
          </wp:inline>
        </w:drawing>
      </w:r>
    </w:p>
    <w:p>
      <w:pPr>
        <w:pStyle w:val="16"/>
      </w:pPr>
    </w:p>
    <w:p>
      <w:pPr>
        <w:pStyle w:val="16"/>
      </w:pPr>
    </w:p>
    <w:p>
      <w:pPr>
        <w:pStyle w:val="16"/>
      </w:pPr>
    </w:p>
    <w:p>
      <w:pPr>
        <w:pStyle w:val="16"/>
      </w:pPr>
    </w:p>
    <w:p>
      <w:pPr>
        <w:pStyle w:val="16"/>
      </w:pPr>
    </w:p>
    <w:p>
      <w:pPr>
        <w:spacing w:line="300" w:lineRule="auto"/>
        <w:ind w:firstLine="482" w:firstLineChars="200"/>
        <w:jc w:val="left"/>
      </w:pPr>
      <w:r>
        <w:rPr>
          <w:rFonts w:ascii="Times New Roman" w:hAnsi="Times New Roman"/>
          <w:bCs/>
          <w:color w:val="auto"/>
          <w:sz w:val="24"/>
          <w:szCs w:val="20"/>
        </w:rPr>
        <w:t>附件</w:t>
      </w:r>
      <w:r>
        <w:rPr>
          <w:rFonts w:hint="eastAsia" w:ascii="Times New Roman" w:hAnsi="Times New Roman"/>
          <w:bCs/>
          <w:color w:val="auto"/>
          <w:sz w:val="24"/>
          <w:szCs w:val="20"/>
        </w:rPr>
        <w:t>23</w:t>
      </w:r>
      <w:r>
        <w:rPr>
          <w:rFonts w:ascii="Times New Roman" w:hAnsi="Times New Roman"/>
          <w:bCs/>
          <w:color w:val="auto"/>
          <w:sz w:val="24"/>
          <w:szCs w:val="20"/>
        </w:rPr>
        <w:t>：</w:t>
      </w:r>
      <w:r>
        <w:rPr>
          <w:rFonts w:hint="eastAsia" w:ascii="Times New Roman" w:hAnsi="Times New Roman"/>
          <w:bCs/>
          <w:color w:val="auto"/>
          <w:sz w:val="24"/>
          <w:szCs w:val="20"/>
        </w:rPr>
        <w:t>广州市南沙区政府投资工程建设项目建设方案联审决策委员会交通专业委员会关于南沙全民文化体育综合体项目配套骨干道路(二十涌北路、规划纵三路)建设方案联合评审会议的纪要</w:t>
      </w:r>
      <w:r>
        <w:rPr>
          <w:rFonts w:ascii="Times New Roman" w:hAnsi="Times New Roman"/>
          <w:bCs/>
          <w:color w:val="auto"/>
          <w:sz w:val="24"/>
          <w:szCs w:val="20"/>
        </w:rPr>
        <w:t>；</w:t>
      </w:r>
    </w:p>
    <w:p>
      <w:pPr>
        <w:spacing w:line="300" w:lineRule="auto"/>
        <w:ind w:firstLine="562" w:firstLineChars="200"/>
        <w:jc w:val="left"/>
      </w:pPr>
      <w:r>
        <w:drawing>
          <wp:inline distT="0" distB="0" distL="114300" distR="114300">
            <wp:extent cx="5231130" cy="7505065"/>
            <wp:effectExtent l="0" t="0" r="7620" b="635"/>
            <wp:docPr id="11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25"/>
                    <pic:cNvPicPr>
                      <a:picLocks noChangeAspect="1"/>
                    </pic:cNvPicPr>
                  </pic:nvPicPr>
                  <pic:blipFill>
                    <a:blip r:embed="rId366"/>
                    <a:srcRect r="2246"/>
                    <a:stretch>
                      <a:fillRect/>
                    </a:stretch>
                  </pic:blipFill>
                  <pic:spPr>
                    <a:xfrm>
                      <a:off x="0" y="0"/>
                      <a:ext cx="5231130" cy="7505065"/>
                    </a:xfrm>
                    <a:prstGeom prst="rect">
                      <a:avLst/>
                    </a:prstGeom>
                    <a:noFill/>
                    <a:ln>
                      <a:noFill/>
                    </a:ln>
                  </pic:spPr>
                </pic:pic>
              </a:graphicData>
            </a:graphic>
          </wp:inline>
        </w:drawing>
      </w:r>
      <w:r>
        <w:drawing>
          <wp:inline distT="0" distB="0" distL="114300" distR="114300">
            <wp:extent cx="6048375" cy="8524875"/>
            <wp:effectExtent l="0" t="0" r="9525" b="9525"/>
            <wp:docPr id="11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26"/>
                    <pic:cNvPicPr>
                      <a:picLocks noChangeAspect="1"/>
                    </pic:cNvPicPr>
                  </pic:nvPicPr>
                  <pic:blipFill>
                    <a:blip r:embed="rId367"/>
                    <a:stretch>
                      <a:fillRect/>
                    </a:stretch>
                  </pic:blipFill>
                  <pic:spPr>
                    <a:xfrm>
                      <a:off x="0" y="0"/>
                      <a:ext cx="6048375" cy="8524875"/>
                    </a:xfrm>
                    <a:prstGeom prst="rect">
                      <a:avLst/>
                    </a:prstGeom>
                    <a:noFill/>
                    <a:ln>
                      <a:noFill/>
                    </a:ln>
                  </pic:spPr>
                </pic:pic>
              </a:graphicData>
            </a:graphic>
          </wp:inline>
        </w:drawing>
      </w:r>
      <w:r>
        <w:drawing>
          <wp:inline distT="0" distB="0" distL="114300" distR="114300">
            <wp:extent cx="6105525" cy="8467725"/>
            <wp:effectExtent l="0" t="0" r="9525" b="9525"/>
            <wp:docPr id="11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27"/>
                    <pic:cNvPicPr>
                      <a:picLocks noChangeAspect="1"/>
                    </pic:cNvPicPr>
                  </pic:nvPicPr>
                  <pic:blipFill>
                    <a:blip r:embed="rId368"/>
                    <a:stretch>
                      <a:fillRect/>
                    </a:stretch>
                  </pic:blipFill>
                  <pic:spPr>
                    <a:xfrm>
                      <a:off x="0" y="0"/>
                      <a:ext cx="6105525" cy="8467725"/>
                    </a:xfrm>
                    <a:prstGeom prst="rect">
                      <a:avLst/>
                    </a:prstGeom>
                    <a:noFill/>
                    <a:ln>
                      <a:noFill/>
                    </a:ln>
                  </pic:spPr>
                </pic:pic>
              </a:graphicData>
            </a:graphic>
          </wp:inline>
        </w:drawing>
      </w:r>
      <w:r>
        <w:drawing>
          <wp:inline distT="0" distB="0" distL="114300" distR="114300">
            <wp:extent cx="6115050" cy="8439150"/>
            <wp:effectExtent l="0" t="0" r="0" b="0"/>
            <wp:docPr id="11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28"/>
                    <pic:cNvPicPr>
                      <a:picLocks noChangeAspect="1"/>
                    </pic:cNvPicPr>
                  </pic:nvPicPr>
                  <pic:blipFill>
                    <a:blip r:embed="rId369"/>
                    <a:stretch>
                      <a:fillRect/>
                    </a:stretch>
                  </pic:blipFill>
                  <pic:spPr>
                    <a:xfrm>
                      <a:off x="0" y="0"/>
                      <a:ext cx="6115050" cy="8439150"/>
                    </a:xfrm>
                    <a:prstGeom prst="rect">
                      <a:avLst/>
                    </a:prstGeom>
                    <a:noFill/>
                    <a:ln>
                      <a:noFill/>
                    </a:ln>
                  </pic:spPr>
                </pic:pic>
              </a:graphicData>
            </a:graphic>
          </wp:inline>
        </w:drawing>
      </w:r>
      <w:r>
        <w:drawing>
          <wp:inline distT="0" distB="0" distL="114300" distR="114300">
            <wp:extent cx="6105525" cy="8477250"/>
            <wp:effectExtent l="0" t="0" r="9525" b="0"/>
            <wp:docPr id="13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29"/>
                    <pic:cNvPicPr>
                      <a:picLocks noChangeAspect="1"/>
                    </pic:cNvPicPr>
                  </pic:nvPicPr>
                  <pic:blipFill>
                    <a:blip r:embed="rId370"/>
                    <a:stretch>
                      <a:fillRect/>
                    </a:stretch>
                  </pic:blipFill>
                  <pic:spPr>
                    <a:xfrm>
                      <a:off x="0" y="0"/>
                      <a:ext cx="6105525" cy="8477250"/>
                    </a:xfrm>
                    <a:prstGeom prst="rect">
                      <a:avLst/>
                    </a:prstGeom>
                    <a:noFill/>
                    <a:ln>
                      <a:noFill/>
                    </a:ln>
                  </pic:spPr>
                </pic:pic>
              </a:graphicData>
            </a:graphic>
          </wp:inline>
        </w:drawing>
      </w:r>
      <w:r>
        <w:drawing>
          <wp:inline distT="0" distB="0" distL="114300" distR="114300">
            <wp:extent cx="6096000" cy="8601075"/>
            <wp:effectExtent l="0" t="0" r="0" b="9525"/>
            <wp:docPr id="14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30"/>
                    <pic:cNvPicPr>
                      <a:picLocks noChangeAspect="1"/>
                    </pic:cNvPicPr>
                  </pic:nvPicPr>
                  <pic:blipFill>
                    <a:blip r:embed="rId371"/>
                    <a:stretch>
                      <a:fillRect/>
                    </a:stretch>
                  </pic:blipFill>
                  <pic:spPr>
                    <a:xfrm>
                      <a:off x="0" y="0"/>
                      <a:ext cx="6096000" cy="8601075"/>
                    </a:xfrm>
                    <a:prstGeom prst="rect">
                      <a:avLst/>
                    </a:prstGeom>
                    <a:noFill/>
                    <a:ln>
                      <a:noFill/>
                    </a:ln>
                  </pic:spPr>
                </pic:pic>
              </a:graphicData>
            </a:graphic>
          </wp:inline>
        </w:drawing>
      </w:r>
      <w:r>
        <w:drawing>
          <wp:inline distT="0" distB="0" distL="114300" distR="114300">
            <wp:extent cx="6096000" cy="8601075"/>
            <wp:effectExtent l="0" t="0" r="0" b="9525"/>
            <wp:docPr id="14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31"/>
                    <pic:cNvPicPr>
                      <a:picLocks noChangeAspect="1"/>
                    </pic:cNvPicPr>
                  </pic:nvPicPr>
                  <pic:blipFill>
                    <a:blip r:embed="rId372"/>
                    <a:stretch>
                      <a:fillRect/>
                    </a:stretch>
                  </pic:blipFill>
                  <pic:spPr>
                    <a:xfrm>
                      <a:off x="0" y="0"/>
                      <a:ext cx="6096000" cy="8601075"/>
                    </a:xfrm>
                    <a:prstGeom prst="rect">
                      <a:avLst/>
                    </a:prstGeom>
                    <a:noFill/>
                    <a:ln>
                      <a:noFill/>
                    </a:ln>
                  </pic:spPr>
                </pic:pic>
              </a:graphicData>
            </a:graphic>
          </wp:inline>
        </w:drawing>
      </w:r>
      <w:r>
        <w:drawing>
          <wp:inline distT="0" distB="0" distL="114300" distR="114300">
            <wp:extent cx="6019800" cy="8524875"/>
            <wp:effectExtent l="0" t="0" r="0" b="9525"/>
            <wp:docPr id="1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32"/>
                    <pic:cNvPicPr>
                      <a:picLocks noChangeAspect="1"/>
                    </pic:cNvPicPr>
                  </pic:nvPicPr>
                  <pic:blipFill>
                    <a:blip r:embed="rId373"/>
                    <a:stretch>
                      <a:fillRect/>
                    </a:stretch>
                  </pic:blipFill>
                  <pic:spPr>
                    <a:xfrm>
                      <a:off x="0" y="0"/>
                      <a:ext cx="6019800" cy="8524875"/>
                    </a:xfrm>
                    <a:prstGeom prst="rect">
                      <a:avLst/>
                    </a:prstGeom>
                    <a:noFill/>
                    <a:ln>
                      <a:noFill/>
                    </a:ln>
                  </pic:spPr>
                </pic:pic>
              </a:graphicData>
            </a:graphic>
          </wp:inline>
        </w:drawing>
      </w:r>
    </w:p>
    <w:p>
      <w:pPr>
        <w:spacing w:line="300" w:lineRule="auto"/>
        <w:ind w:firstLine="482" w:firstLineChars="200"/>
        <w:jc w:val="left"/>
      </w:pPr>
      <w:r>
        <w:rPr>
          <w:rFonts w:ascii="Times New Roman" w:hAnsi="Times New Roman"/>
          <w:bCs/>
          <w:color w:val="auto"/>
          <w:sz w:val="24"/>
          <w:szCs w:val="20"/>
        </w:rPr>
        <w:t>附件</w:t>
      </w:r>
      <w:r>
        <w:rPr>
          <w:rFonts w:hint="eastAsia" w:ascii="Times New Roman" w:hAnsi="Times New Roman"/>
          <w:bCs/>
          <w:color w:val="auto"/>
          <w:sz w:val="24"/>
          <w:szCs w:val="20"/>
        </w:rPr>
        <w:t>24</w:t>
      </w:r>
      <w:r>
        <w:rPr>
          <w:rFonts w:ascii="Times New Roman" w:hAnsi="Times New Roman"/>
          <w:bCs/>
          <w:color w:val="auto"/>
          <w:sz w:val="24"/>
          <w:szCs w:val="20"/>
        </w:rPr>
        <w:t>：</w:t>
      </w:r>
      <w:r>
        <w:rPr>
          <w:rFonts w:hint="eastAsia" w:ascii="Times New Roman" w:hAnsi="Times New Roman"/>
          <w:bCs/>
          <w:color w:val="auto"/>
          <w:sz w:val="24"/>
          <w:szCs w:val="20"/>
        </w:rPr>
        <w:t>关于南沙全民文化体育综合体项目配套骨干道路(二十涌南路、二十涌南二路、二十一涌北路、规划纵一路、滨海路)等2个项目建设方案联审决策会会议纪要</w:t>
      </w:r>
      <w:r>
        <w:rPr>
          <w:rFonts w:ascii="Times New Roman" w:hAnsi="Times New Roman"/>
          <w:bCs/>
          <w:color w:val="auto"/>
          <w:sz w:val="24"/>
          <w:szCs w:val="20"/>
        </w:rPr>
        <w:t>；</w:t>
      </w:r>
    </w:p>
    <w:p>
      <w:pPr>
        <w:pStyle w:val="16"/>
        <w:jc w:val="center"/>
      </w:pPr>
      <w:r>
        <w:drawing>
          <wp:inline distT="0" distB="0" distL="114300" distR="114300">
            <wp:extent cx="5530215" cy="7915910"/>
            <wp:effectExtent l="0" t="0" r="13335" b="8890"/>
            <wp:docPr id="28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37"/>
                    <pic:cNvPicPr>
                      <a:picLocks noChangeAspect="1"/>
                    </pic:cNvPicPr>
                  </pic:nvPicPr>
                  <pic:blipFill>
                    <a:blip r:embed="rId374"/>
                    <a:stretch>
                      <a:fillRect/>
                    </a:stretch>
                  </pic:blipFill>
                  <pic:spPr>
                    <a:xfrm>
                      <a:off x="0" y="0"/>
                      <a:ext cx="5530215" cy="7915910"/>
                    </a:xfrm>
                    <a:prstGeom prst="rect">
                      <a:avLst/>
                    </a:prstGeom>
                    <a:noFill/>
                    <a:ln>
                      <a:noFill/>
                    </a:ln>
                  </pic:spPr>
                </pic:pic>
              </a:graphicData>
            </a:graphic>
          </wp:inline>
        </w:drawing>
      </w:r>
      <w:r>
        <w:drawing>
          <wp:inline distT="0" distB="0" distL="114300" distR="114300">
            <wp:extent cx="6076950" cy="8591550"/>
            <wp:effectExtent l="0" t="0" r="0" b="0"/>
            <wp:docPr id="28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38"/>
                    <pic:cNvPicPr>
                      <a:picLocks noChangeAspect="1"/>
                    </pic:cNvPicPr>
                  </pic:nvPicPr>
                  <pic:blipFill>
                    <a:blip r:embed="rId375"/>
                    <a:stretch>
                      <a:fillRect/>
                    </a:stretch>
                  </pic:blipFill>
                  <pic:spPr>
                    <a:xfrm>
                      <a:off x="0" y="0"/>
                      <a:ext cx="6076950" cy="8591550"/>
                    </a:xfrm>
                    <a:prstGeom prst="rect">
                      <a:avLst/>
                    </a:prstGeom>
                    <a:noFill/>
                    <a:ln>
                      <a:noFill/>
                    </a:ln>
                  </pic:spPr>
                </pic:pic>
              </a:graphicData>
            </a:graphic>
          </wp:inline>
        </w:drawing>
      </w:r>
      <w:r>
        <w:drawing>
          <wp:inline distT="0" distB="0" distL="114300" distR="114300">
            <wp:extent cx="6087745" cy="8343900"/>
            <wp:effectExtent l="0" t="0" r="8255" b="0"/>
            <wp:docPr id="286"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39"/>
                    <pic:cNvPicPr>
                      <a:picLocks noChangeAspect="1"/>
                    </pic:cNvPicPr>
                  </pic:nvPicPr>
                  <pic:blipFill>
                    <a:blip r:embed="rId376"/>
                    <a:srcRect r="910"/>
                    <a:stretch>
                      <a:fillRect/>
                    </a:stretch>
                  </pic:blipFill>
                  <pic:spPr>
                    <a:xfrm>
                      <a:off x="0" y="0"/>
                      <a:ext cx="6087745" cy="8343900"/>
                    </a:xfrm>
                    <a:prstGeom prst="rect">
                      <a:avLst/>
                    </a:prstGeom>
                    <a:noFill/>
                    <a:ln>
                      <a:noFill/>
                    </a:ln>
                  </pic:spPr>
                </pic:pic>
              </a:graphicData>
            </a:graphic>
          </wp:inline>
        </w:drawing>
      </w:r>
      <w:r>
        <w:drawing>
          <wp:inline distT="0" distB="0" distL="114300" distR="114300">
            <wp:extent cx="6115050" cy="8382000"/>
            <wp:effectExtent l="0" t="0" r="0" b="0"/>
            <wp:docPr id="28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40"/>
                    <pic:cNvPicPr>
                      <a:picLocks noChangeAspect="1"/>
                    </pic:cNvPicPr>
                  </pic:nvPicPr>
                  <pic:blipFill>
                    <a:blip r:embed="rId377"/>
                    <a:stretch>
                      <a:fillRect/>
                    </a:stretch>
                  </pic:blipFill>
                  <pic:spPr>
                    <a:xfrm>
                      <a:off x="0" y="0"/>
                      <a:ext cx="6115050" cy="8382000"/>
                    </a:xfrm>
                    <a:prstGeom prst="rect">
                      <a:avLst/>
                    </a:prstGeom>
                    <a:noFill/>
                    <a:ln>
                      <a:noFill/>
                    </a:ln>
                  </pic:spPr>
                </pic:pic>
              </a:graphicData>
            </a:graphic>
          </wp:inline>
        </w:drawing>
      </w:r>
      <w:r>
        <w:drawing>
          <wp:inline distT="0" distB="0" distL="114300" distR="114300">
            <wp:extent cx="6153150" cy="8505825"/>
            <wp:effectExtent l="0" t="0" r="0" b="9525"/>
            <wp:docPr id="28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41"/>
                    <pic:cNvPicPr>
                      <a:picLocks noChangeAspect="1"/>
                    </pic:cNvPicPr>
                  </pic:nvPicPr>
                  <pic:blipFill>
                    <a:blip r:embed="rId378"/>
                    <a:stretch>
                      <a:fillRect/>
                    </a:stretch>
                  </pic:blipFill>
                  <pic:spPr>
                    <a:xfrm>
                      <a:off x="0" y="0"/>
                      <a:ext cx="6153150" cy="8505825"/>
                    </a:xfrm>
                    <a:prstGeom prst="rect">
                      <a:avLst/>
                    </a:prstGeom>
                    <a:noFill/>
                    <a:ln>
                      <a:noFill/>
                    </a:ln>
                  </pic:spPr>
                </pic:pic>
              </a:graphicData>
            </a:graphic>
          </wp:inline>
        </w:drawing>
      </w:r>
      <w:r>
        <w:drawing>
          <wp:inline distT="0" distB="0" distL="114300" distR="114300">
            <wp:extent cx="6124575" cy="8667750"/>
            <wp:effectExtent l="0" t="0" r="9525" b="0"/>
            <wp:docPr id="29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42"/>
                    <pic:cNvPicPr>
                      <a:picLocks noChangeAspect="1"/>
                    </pic:cNvPicPr>
                  </pic:nvPicPr>
                  <pic:blipFill>
                    <a:blip r:embed="rId379"/>
                    <a:stretch>
                      <a:fillRect/>
                    </a:stretch>
                  </pic:blipFill>
                  <pic:spPr>
                    <a:xfrm>
                      <a:off x="0" y="0"/>
                      <a:ext cx="6124575" cy="8667750"/>
                    </a:xfrm>
                    <a:prstGeom prst="rect">
                      <a:avLst/>
                    </a:prstGeom>
                    <a:noFill/>
                    <a:ln>
                      <a:noFill/>
                    </a:ln>
                  </pic:spPr>
                </pic:pic>
              </a:graphicData>
            </a:graphic>
          </wp:inline>
        </w:drawing>
      </w:r>
    </w:p>
    <w:sectPr>
      <w:headerReference r:id="rId13" w:type="default"/>
      <w:footerReference r:id="rId14" w:type="default"/>
      <w:pgSz w:w="23814" w:h="16840" w:orient="landscape"/>
      <w:pgMar w:top="1701" w:right="1440" w:bottom="1106" w:left="1814" w:header="851" w:footer="283" w:gutter="0"/>
      <w:cols w:space="1028" w:num="2"/>
      <w:docGrid w:type="lines" w:linePitch="38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Batang">
    <w:altName w:val="Malgun Gothic"/>
    <w:panose1 w:val="02030600000101010101"/>
    <w:charset w:val="81"/>
    <w:family w:val="roman"/>
    <w:pitch w:val="default"/>
    <w:sig w:usb0="00000000" w:usb1="00000000" w:usb2="00000030" w:usb3="00000000" w:csb0="4008009F" w:csb1="DFD7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华文新魏">
    <w:panose1 w:val="02010800040101010101"/>
    <w:charset w:val="86"/>
    <w:family w:val="auto"/>
    <w:pitch w:val="default"/>
    <w:sig w:usb0="00000001" w:usb1="080F0000" w:usb2="00000000" w:usb3="00000000" w:csb0="00040000"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auto"/>
    <w:pitch w:val="default"/>
    <w:sig w:usb0="00000001" w:usb1="080E0000" w:usb2="00000000" w:usb3="00000000" w:csb0="00040000" w:csb1="00000000"/>
  </w:font>
  <w:font w:name="Tahoma">
    <w:panose1 w:val="020B0604030504040204"/>
    <w:charset w:val="00"/>
    <w:family w:val="swiss"/>
    <w:pitch w:val="default"/>
    <w:sig w:usb0="E1002EFF" w:usb1="C000605B" w:usb2="00000029" w:usb3="00000000" w:csb0="200101FF" w:csb1="20280000"/>
  </w:font>
  <w:font w:name="Verdana">
    <w:panose1 w:val="020B0604030504040204"/>
    <w:charset w:val="00"/>
    <w:family w:val="swiss"/>
    <w:pitch w:val="default"/>
    <w:sig w:usb0="A00006FF" w:usb1="4000205B" w:usb2="00000010" w:usb3="00000000" w:csb0="2000019F" w:csb1="00000000"/>
  </w:font>
  <w:font w:name="楷体_GB2312">
    <w:altName w:val="楷体"/>
    <w:panose1 w:val="00000000000000000000"/>
    <w:charset w:val="86"/>
    <w:family w:val="modern"/>
    <w:pitch w:val="default"/>
    <w:sig w:usb0="00000000" w:usb1="00000000" w:usb2="00000000" w:usb3="00000000" w:csb0="00040000" w:csb1="00000000"/>
  </w:font>
  <w:font w:name="新宋体">
    <w:panose1 w:val="02010609030101010101"/>
    <w:charset w:val="86"/>
    <w:family w:val="modern"/>
    <w:pitch w:val="default"/>
    <w:sig w:usb0="00000283" w:usb1="288F0000" w:usb2="00000006" w:usb3="00000000" w:csb0="00040001" w:csb1="00000000"/>
  </w:font>
  <w:font w:name="微软雅黑">
    <w:panose1 w:val="020B0503020204020204"/>
    <w:charset w:val="86"/>
    <w:family w:val="swiss"/>
    <w:pitch w:val="default"/>
    <w:sig w:usb0="80000287" w:usb1="2ACF3C50" w:usb2="00000016" w:usb3="00000000" w:csb0="0004001F" w:csb1="00000000"/>
  </w:font>
  <w:font w:name="Arial Unicode MS">
    <w:panose1 w:val="020B0604020202020204"/>
    <w:charset w:val="86"/>
    <w:family w:val="swiss"/>
    <w:pitch w:val="default"/>
    <w:sig w:usb0="FFFFFFFF" w:usb1="E9FFFFFF" w:usb2="0000003F" w:usb3="00000000" w:csb0="603F01FF" w:csb1="FFFF0000"/>
  </w:font>
  <w:font w:name="仿宋">
    <w:panose1 w:val="02010609060101010101"/>
    <w:charset w:val="86"/>
    <w:family w:val="modern"/>
    <w:pitch w:val="default"/>
    <w:sig w:usb0="800002BF" w:usb1="38CF7CFA" w:usb2="00000016" w:usb3="00000000" w:csb0="00040001" w:csb1="00000000"/>
  </w:font>
  <w:font w:name="华文仿宋">
    <w:panose1 w:val="02010600040101010101"/>
    <w:charset w:val="86"/>
    <w:family w:val="auto"/>
    <w:pitch w:val="default"/>
    <w:sig w:usb0="00000287" w:usb1="080F0000" w:usb2="00000000" w:usb3="00000000" w:csb0="0004009F" w:csb1="DFD70000"/>
  </w:font>
  <w:font w:name="等线">
    <w:panose1 w:val="02010600030101010101"/>
    <w:charset w:val="86"/>
    <w:family w:val="auto"/>
    <w:pitch w:val="default"/>
    <w:sig w:usb0="A00002BF" w:usb1="38CF7CFA" w:usb2="00000016" w:usb3="00000000" w:csb0="0004000F" w:csb1="00000000"/>
  </w:font>
  <w:font w:name="华文细黑">
    <w:panose1 w:val="02010600040101010101"/>
    <w:charset w:val="86"/>
    <w:family w:val="auto"/>
    <w:pitch w:val="default"/>
    <w:sig w:usb0="00000287" w:usb1="080F0000" w:usb2="00000000" w:usb3="00000000" w:csb0="0004009F" w:csb1="DFD70000"/>
  </w:font>
  <w:font w:name="Cambria Math">
    <w:panose1 w:val="02040503050406030204"/>
    <w:charset w:val="00"/>
    <w:family w:val="roman"/>
    <w:pitch w:val="default"/>
    <w:sig w:usb0="E00006FF" w:usb1="420024FF" w:usb2="02000000" w:usb3="00000000" w:csb0="2000019F" w:csb1="00000000"/>
  </w:font>
  <w:font w:name="Malgun Gothic">
    <w:panose1 w:val="020B0503020000020004"/>
    <w:charset w:val="81"/>
    <w:family w:val="auto"/>
    <w:pitch w:val="default"/>
    <w:sig w:usb0="9000002F" w:usb1="29D77CFB" w:usb2="00000012" w:usb3="00000000" w:csb0="0008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422"/>
      <w:jc w:val="center"/>
      <w:rPr>
        <w:color w:val="000000"/>
        <w:sz w:val="21"/>
        <w:szCs w:val="21"/>
      </w:rPr>
    </w:pPr>
  </w:p>
  <w:p>
    <w:pPr>
      <w:pStyle w:val="20"/>
      <w:ind w:firstLine="422"/>
      <w:jc w:val="center"/>
      <w:rPr>
        <w:color w:val="000000"/>
        <w:sz w:val="21"/>
        <w:szCs w:val="21"/>
      </w:rPr>
    </w:pPr>
    <w:r>
      <w:rPr>
        <w:color w:val="000000"/>
        <w:sz w:val="21"/>
        <w:szCs w:val="21"/>
      </w:rPr>
      <w:fldChar w:fldCharType="begin"/>
    </w:r>
    <w:r>
      <w:rPr>
        <w:color w:val="000000"/>
        <w:sz w:val="21"/>
        <w:szCs w:val="21"/>
      </w:rPr>
      <w:instrText xml:space="preserve"> PAGE   \* MERGEFORMAT </w:instrText>
    </w:r>
    <w:r>
      <w:rPr>
        <w:color w:val="000000"/>
        <w:sz w:val="21"/>
        <w:szCs w:val="21"/>
      </w:rPr>
      <w:fldChar w:fldCharType="separate"/>
    </w:r>
    <w:r>
      <w:rPr>
        <w:rFonts w:ascii="Times New Roman" w:hAnsi="Times New Roman"/>
        <w:color w:val="000000"/>
        <w:sz w:val="21"/>
        <w:szCs w:val="21"/>
        <w:lang w:val="zh-CN"/>
      </w:rPr>
      <w:t>11</w:t>
    </w:r>
    <w:r>
      <w:rPr>
        <w:color w:val="000000"/>
        <w:sz w:val="21"/>
        <w:szCs w:val="21"/>
      </w:rPr>
      <w:fldChar w:fldCharType="end"/>
    </w:r>
  </w:p>
  <w:p>
    <w:pPr>
      <w:pStyle w:val="20"/>
      <w:ind w:firstLine="361"/>
    </w:pPr>
  </w:p>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422"/>
      <w:jc w:val="center"/>
      <w:rPr>
        <w:color w:val="000000"/>
        <w:sz w:val="21"/>
        <w:szCs w:val="21"/>
      </w:rPr>
    </w:pPr>
  </w:p>
  <w:p>
    <w:pPr>
      <w:pStyle w:val="20"/>
      <w:ind w:firstLine="422"/>
      <w:jc w:val="center"/>
      <w:rPr>
        <w:color w:val="000000"/>
        <w:sz w:val="21"/>
        <w:szCs w:val="21"/>
      </w:rPr>
    </w:pPr>
    <w:r>
      <w:rPr>
        <w:color w:val="000000"/>
        <w:sz w:val="21"/>
        <w:szCs w:val="21"/>
      </w:rPr>
      <w:fldChar w:fldCharType="begin"/>
    </w:r>
    <w:r>
      <w:rPr>
        <w:color w:val="000000"/>
        <w:sz w:val="21"/>
        <w:szCs w:val="21"/>
      </w:rPr>
      <w:instrText xml:space="preserve"> PAGE   \* MERGEFORMAT </w:instrText>
    </w:r>
    <w:r>
      <w:rPr>
        <w:color w:val="000000"/>
        <w:sz w:val="21"/>
        <w:szCs w:val="21"/>
      </w:rPr>
      <w:fldChar w:fldCharType="separate"/>
    </w:r>
    <w:r>
      <w:rPr>
        <w:rFonts w:ascii="Times New Roman" w:hAnsi="Times New Roman"/>
        <w:color w:val="000000"/>
        <w:sz w:val="21"/>
        <w:szCs w:val="21"/>
        <w:lang w:val="zh-CN"/>
      </w:rPr>
      <w:t>122</w:t>
    </w:r>
    <w:r>
      <w:rPr>
        <w:color w:val="000000"/>
        <w:sz w:val="21"/>
        <w:szCs w:val="21"/>
      </w:rPr>
      <w:fldChar w:fldCharType="end"/>
    </w:r>
  </w:p>
  <w:p>
    <w:pPr>
      <w:pStyle w:val="20"/>
      <w:ind w:firstLine="361"/>
    </w:pPr>
  </w:p>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rPr>
        <w:color w:val="000000"/>
      </w:rPr>
    </w:pPr>
    <w:r>
      <w:rPr>
        <w:rFonts w:hint="eastAsia"/>
        <w:color w:val="000000"/>
      </w:rPr>
      <w:t>—————————————————————————————————————————————————————————————————————————————————————————————————————————————————</w:t>
    </w:r>
  </w:p>
  <w:p>
    <w:pPr>
      <w:pStyle w:val="20"/>
      <w:ind w:firstLine="422"/>
      <w:jc w:val="center"/>
      <w:rPr>
        <w:color w:val="000000"/>
        <w:sz w:val="21"/>
        <w:szCs w:val="21"/>
      </w:rPr>
    </w:pPr>
    <w:r>
      <w:rPr>
        <w:color w:val="000000"/>
        <w:sz w:val="21"/>
        <w:szCs w:val="21"/>
      </w:rPr>
      <w:fldChar w:fldCharType="begin"/>
    </w:r>
    <w:r>
      <w:rPr>
        <w:color w:val="000000"/>
        <w:sz w:val="21"/>
        <w:szCs w:val="21"/>
      </w:rPr>
      <w:instrText xml:space="preserve"> PAGE   \* MERGEFORMAT </w:instrText>
    </w:r>
    <w:r>
      <w:rPr>
        <w:color w:val="000000"/>
        <w:sz w:val="21"/>
        <w:szCs w:val="21"/>
      </w:rPr>
      <w:fldChar w:fldCharType="separate"/>
    </w:r>
    <w:r>
      <w:rPr>
        <w:rFonts w:ascii="Times New Roman" w:hAnsi="Times New Roman"/>
        <w:color w:val="000000"/>
        <w:sz w:val="21"/>
        <w:szCs w:val="21"/>
        <w:lang w:val="zh-CN"/>
      </w:rPr>
      <w:t>143</w:t>
    </w:r>
    <w:r>
      <w:rPr>
        <w:color w:val="000000"/>
        <w:sz w:val="21"/>
        <w:szCs w:val="21"/>
      </w:rPr>
      <w:fldChar w:fldCharType="end"/>
    </w:r>
  </w:p>
  <w:p>
    <w:pPr>
      <w:pStyle w:val="20"/>
      <w:ind w:firstLine="361"/>
    </w:pPr>
  </w:p>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rPr>
        <w:color w:val="000000"/>
      </w:rPr>
    </w:pPr>
    <w:r>
      <w:rPr>
        <w:rFonts w:hint="eastAsia"/>
        <w:color w:val="000000"/>
      </w:rPr>
      <w:t>—————————————————————————————————————————————————————————————————————————————————————————————————————————————————</w:t>
    </w:r>
  </w:p>
  <w:p>
    <w:pPr>
      <w:pStyle w:val="20"/>
      <w:ind w:firstLine="422"/>
      <w:jc w:val="center"/>
      <w:rPr>
        <w:color w:val="000000"/>
        <w:sz w:val="21"/>
        <w:szCs w:val="21"/>
      </w:rPr>
    </w:pPr>
    <w:r>
      <w:rPr>
        <w:color w:val="000000"/>
        <w:sz w:val="21"/>
        <w:szCs w:val="21"/>
      </w:rPr>
      <w:fldChar w:fldCharType="begin"/>
    </w:r>
    <w:r>
      <w:rPr>
        <w:color w:val="000000"/>
        <w:sz w:val="21"/>
        <w:szCs w:val="21"/>
      </w:rPr>
      <w:instrText xml:space="preserve"> PAGE   \* MERGEFORMAT </w:instrText>
    </w:r>
    <w:r>
      <w:rPr>
        <w:color w:val="000000"/>
        <w:sz w:val="21"/>
        <w:szCs w:val="21"/>
      </w:rPr>
      <w:fldChar w:fldCharType="separate"/>
    </w:r>
    <w:r>
      <w:rPr>
        <w:rFonts w:ascii="Times New Roman" w:hAnsi="Times New Roman"/>
        <w:color w:val="000000"/>
        <w:sz w:val="21"/>
        <w:szCs w:val="21"/>
        <w:lang w:val="zh-CN"/>
      </w:rPr>
      <w:t>161</w:t>
    </w:r>
    <w:r>
      <w:rPr>
        <w:color w:val="000000"/>
        <w:sz w:val="21"/>
        <w:szCs w:val="21"/>
      </w:rPr>
      <w:fldChar w:fldCharType="end"/>
    </w:r>
  </w:p>
  <w:p>
    <w:pPr>
      <w:pStyle w:val="20"/>
      <w:ind w:firstLine="361"/>
    </w:pPr>
  </w:p>
  <w:p/>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rPr>
        <w:color w:val="000000"/>
      </w:rPr>
    </w:pPr>
    <w:r>
      <w:rPr>
        <w:rFonts w:hint="eastAsia"/>
        <w:color w:val="000000"/>
      </w:rPr>
      <w:t>—————————————————————————————————————————————————————————————————————————————————————————————————————————————————</w:t>
    </w:r>
  </w:p>
  <w:p>
    <w:pPr>
      <w:pStyle w:val="20"/>
      <w:ind w:firstLine="422"/>
      <w:jc w:val="center"/>
      <w:rPr>
        <w:color w:val="000000"/>
        <w:sz w:val="21"/>
        <w:szCs w:val="21"/>
      </w:rPr>
    </w:pPr>
    <w:r>
      <w:rPr>
        <w:color w:val="000000"/>
        <w:sz w:val="21"/>
        <w:szCs w:val="21"/>
      </w:rPr>
      <w:fldChar w:fldCharType="begin"/>
    </w:r>
    <w:r>
      <w:rPr>
        <w:color w:val="000000"/>
        <w:sz w:val="21"/>
        <w:szCs w:val="21"/>
      </w:rPr>
      <w:instrText xml:space="preserve"> PAGE   \* MERGEFORMAT </w:instrText>
    </w:r>
    <w:r>
      <w:rPr>
        <w:color w:val="000000"/>
        <w:sz w:val="21"/>
        <w:szCs w:val="21"/>
      </w:rPr>
      <w:fldChar w:fldCharType="separate"/>
    </w:r>
    <w:r>
      <w:rPr>
        <w:rFonts w:ascii="Times New Roman" w:hAnsi="Times New Roman"/>
        <w:color w:val="000000"/>
        <w:sz w:val="21"/>
        <w:szCs w:val="21"/>
        <w:lang w:val="zh-CN"/>
      </w:rPr>
      <w:t>190</w:t>
    </w:r>
    <w:r>
      <w:rPr>
        <w:color w:val="000000"/>
        <w:sz w:val="21"/>
        <w:szCs w:val="21"/>
      </w:rPr>
      <w:fldChar w:fldCharType="end"/>
    </w:r>
  </w:p>
  <w:p>
    <w:pPr>
      <w:pStyle w:val="20"/>
      <w:ind w:firstLine="361"/>
    </w:pPr>
  </w:p>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rPr>
        <w:color w:val="000000"/>
      </w:rPr>
    </w:pPr>
    <w:r>
      <w:rPr>
        <w:rFonts w:hint="eastAsia"/>
        <w:color w:val="000000"/>
      </w:rPr>
      <w:t xml:space="preserve">————————————————————————————————————————————————————————————————————————————————————————————————————————————————— </w:t>
    </w:r>
  </w:p>
  <w:p>
    <w:pPr>
      <w:pStyle w:val="20"/>
      <w:ind w:firstLine="422"/>
      <w:jc w:val="center"/>
      <w:rPr>
        <w:color w:val="000000"/>
        <w:sz w:val="21"/>
        <w:szCs w:val="21"/>
      </w:rPr>
    </w:pPr>
    <w:r>
      <w:rPr>
        <w:color w:val="000000"/>
        <w:sz w:val="21"/>
        <w:szCs w:val="21"/>
      </w:rPr>
      <w:fldChar w:fldCharType="begin"/>
    </w:r>
    <w:r>
      <w:rPr>
        <w:color w:val="000000"/>
        <w:sz w:val="21"/>
        <w:szCs w:val="21"/>
      </w:rPr>
      <w:instrText xml:space="preserve"> PAGE   \* MERGEFORMAT </w:instrText>
    </w:r>
    <w:r>
      <w:rPr>
        <w:color w:val="000000"/>
        <w:sz w:val="21"/>
        <w:szCs w:val="21"/>
      </w:rPr>
      <w:fldChar w:fldCharType="separate"/>
    </w:r>
    <w:r>
      <w:rPr>
        <w:rFonts w:ascii="Times New Roman" w:hAnsi="Times New Roman"/>
        <w:color w:val="000000"/>
        <w:sz w:val="21"/>
        <w:szCs w:val="21"/>
        <w:lang w:val="zh-CN"/>
      </w:rPr>
      <w:t>209</w:t>
    </w:r>
    <w:r>
      <w:rPr>
        <w:color w:val="000000"/>
        <w:sz w:val="21"/>
        <w:szCs w:val="21"/>
      </w:rPr>
      <w:fldChar w:fldCharType="end"/>
    </w:r>
  </w:p>
  <w:p>
    <w:pPr>
      <w:pStyle w:val="20"/>
      <w:ind w:firstLine="361"/>
    </w:pPr>
  </w:p>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jc w:val="both"/>
    </w:pPr>
    <w:r>
      <w:rPr>
        <w:rFonts w:hint="eastAsia"/>
        <w:color w:val="auto"/>
        <w:sz w:val="32"/>
        <w:szCs w:val="32"/>
      </w:rPr>
      <w:t>南沙全民文化体育综合体项目配套骨干道路（二十涌北路、规划纵三路）工程可行性研究报告</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jc w:val="both"/>
    </w:pPr>
    <w:r>
      <w:rPr>
        <w:rFonts w:hint="eastAsia"/>
        <w:color w:val="auto"/>
        <w:sz w:val="32"/>
        <w:szCs w:val="32"/>
      </w:rPr>
      <w:t>南沙全民文化体育综合体项目配套骨干道路（二十涌北路、规划纵三路）工程可行性研究报告</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jc w:val="both"/>
    </w:pPr>
    <w:r>
      <w:rPr>
        <w:rFonts w:hint="eastAsia"/>
        <w:color w:val="auto"/>
        <w:sz w:val="32"/>
        <w:szCs w:val="32"/>
      </w:rPr>
      <w:t>南沙全民文化体育综合体项目配套骨干道路（二十涌北路、规划纵三路）工程可行性研究报告</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jc w:val="both"/>
    </w:pPr>
    <w:r>
      <w:rPr>
        <w:rFonts w:hint="eastAsia"/>
        <w:color w:val="auto"/>
        <w:sz w:val="32"/>
        <w:szCs w:val="32"/>
      </w:rPr>
      <w:t>南沙全民文化体育综合体项目配套骨干道路（二十涌北路、规划纵三路）工程可行性研究报告</w:t>
    </w:r>
  </w:p>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jc w:val="both"/>
    </w:pPr>
    <w:r>
      <w:rPr>
        <w:rFonts w:hint="eastAsia"/>
        <w:color w:val="auto"/>
        <w:sz w:val="32"/>
        <w:szCs w:val="32"/>
      </w:rPr>
      <w:t>南沙全民文化体育综合体项目配套骨干道路工程可行性研究报告</w:t>
    </w:r>
  </w:p>
  <w:p>
    <w:pPr>
      <w:pStyle w:val="21"/>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jc w:val="both"/>
    </w:pPr>
    <w:r>
      <w:rPr>
        <w:rFonts w:hint="eastAsia"/>
        <w:color w:val="auto"/>
        <w:sz w:val="32"/>
        <w:szCs w:val="32"/>
      </w:rPr>
      <w:t>南沙全民文化体育综合体项目配套骨干道路（二十涌北路、规划纵三路）工程可行性研究报告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90F0FD"/>
    <w:multiLevelType w:val="singleLevel"/>
    <w:tmpl w:val="8690F0FD"/>
    <w:lvl w:ilvl="0" w:tentative="0">
      <w:start w:val="2"/>
      <w:numFmt w:val="decimal"/>
      <w:suff w:val="nothing"/>
      <w:lvlText w:val="%1、"/>
      <w:lvlJc w:val="left"/>
    </w:lvl>
  </w:abstractNum>
  <w:abstractNum w:abstractNumId="1">
    <w:nsid w:val="90377405"/>
    <w:multiLevelType w:val="singleLevel"/>
    <w:tmpl w:val="90377405"/>
    <w:lvl w:ilvl="0" w:tentative="0">
      <w:start w:val="1"/>
      <w:numFmt w:val="decimal"/>
      <w:suff w:val="nothing"/>
      <w:lvlText w:val="%1、"/>
      <w:lvlJc w:val="left"/>
    </w:lvl>
  </w:abstractNum>
  <w:abstractNum w:abstractNumId="2">
    <w:nsid w:val="91775061"/>
    <w:multiLevelType w:val="singleLevel"/>
    <w:tmpl w:val="91775061"/>
    <w:lvl w:ilvl="0" w:tentative="0">
      <w:start w:val="1"/>
      <w:numFmt w:val="decimal"/>
      <w:suff w:val="nothing"/>
      <w:lvlText w:val="（%1）"/>
      <w:lvlJc w:val="left"/>
    </w:lvl>
  </w:abstractNum>
  <w:abstractNum w:abstractNumId="3">
    <w:nsid w:val="9C6D1696"/>
    <w:multiLevelType w:val="singleLevel"/>
    <w:tmpl w:val="9C6D1696"/>
    <w:lvl w:ilvl="0" w:tentative="0">
      <w:start w:val="1"/>
      <w:numFmt w:val="decimal"/>
      <w:suff w:val="nothing"/>
      <w:lvlText w:val="（%1）"/>
      <w:lvlJc w:val="left"/>
    </w:lvl>
  </w:abstractNum>
  <w:abstractNum w:abstractNumId="4">
    <w:nsid w:val="B48274D9"/>
    <w:multiLevelType w:val="singleLevel"/>
    <w:tmpl w:val="B48274D9"/>
    <w:lvl w:ilvl="0" w:tentative="0">
      <w:start w:val="2"/>
      <w:numFmt w:val="decimal"/>
      <w:suff w:val="nothing"/>
      <w:lvlText w:val="（%1）"/>
      <w:lvlJc w:val="left"/>
    </w:lvl>
  </w:abstractNum>
  <w:abstractNum w:abstractNumId="5">
    <w:nsid w:val="C02CB8D4"/>
    <w:multiLevelType w:val="singleLevel"/>
    <w:tmpl w:val="C02CB8D4"/>
    <w:lvl w:ilvl="0" w:tentative="0">
      <w:start w:val="1"/>
      <w:numFmt w:val="decimal"/>
      <w:suff w:val="nothing"/>
      <w:lvlText w:val="%1、"/>
      <w:lvlJc w:val="left"/>
    </w:lvl>
  </w:abstractNum>
  <w:abstractNum w:abstractNumId="6">
    <w:nsid w:val="CEE81C59"/>
    <w:multiLevelType w:val="singleLevel"/>
    <w:tmpl w:val="CEE81C59"/>
    <w:lvl w:ilvl="0" w:tentative="0">
      <w:start w:val="1"/>
      <w:numFmt w:val="decimal"/>
      <w:lvlText w:val="%1."/>
      <w:lvlJc w:val="left"/>
      <w:pPr>
        <w:tabs>
          <w:tab w:val="left" w:pos="312"/>
        </w:tabs>
      </w:pPr>
    </w:lvl>
  </w:abstractNum>
  <w:abstractNum w:abstractNumId="7">
    <w:nsid w:val="DC133A5A"/>
    <w:multiLevelType w:val="multilevel"/>
    <w:tmpl w:val="DC133A5A"/>
    <w:lvl w:ilvl="0" w:tentative="0">
      <w:start w:val="1"/>
      <w:numFmt w:val="decimal"/>
      <w:lvlText w:val="（%1）"/>
      <w:lvlJc w:val="left"/>
      <w:pPr>
        <w:tabs>
          <w:tab w:val="left" w:pos="567"/>
        </w:tabs>
        <w:ind w:left="0" w:firstLine="0"/>
      </w:pPr>
      <w:rPr>
        <w:rFonts w:hint="default" w:ascii="Times New Roman" w:hAnsi="Times New Roman" w:cs="Times New Roman"/>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EEDBA870"/>
    <w:multiLevelType w:val="singleLevel"/>
    <w:tmpl w:val="EEDBA870"/>
    <w:lvl w:ilvl="0" w:tentative="0">
      <w:start w:val="1"/>
      <w:numFmt w:val="decimal"/>
      <w:suff w:val="nothing"/>
      <w:lvlText w:val="%1、"/>
      <w:lvlJc w:val="left"/>
    </w:lvl>
  </w:abstractNum>
  <w:abstractNum w:abstractNumId="9">
    <w:nsid w:val="00000022"/>
    <w:multiLevelType w:val="multilevel"/>
    <w:tmpl w:val="00000022"/>
    <w:lvl w:ilvl="0" w:tentative="0">
      <w:start w:val="1"/>
      <w:numFmt w:val="decimal"/>
      <w:lvlText w:val="%1)"/>
      <w:lvlJc w:val="left"/>
      <w:pPr>
        <w:tabs>
          <w:tab w:val="left" w:pos="844"/>
        </w:tabs>
        <w:ind w:left="844" w:hanging="334"/>
      </w:pPr>
      <w:rPr>
        <w:rFonts w:hint="eastAsia"/>
      </w:rPr>
    </w:lvl>
    <w:lvl w:ilvl="1" w:tentative="0">
      <w:start w:val="1"/>
      <w:numFmt w:val="lowerLetter"/>
      <w:lvlText w:val="%2)"/>
      <w:lvlJc w:val="left"/>
      <w:pPr>
        <w:tabs>
          <w:tab w:val="left" w:pos="1264"/>
        </w:tabs>
        <w:ind w:left="1264" w:hanging="420"/>
      </w:pPr>
      <w:rPr>
        <w:rFonts w:hint="eastAsia"/>
      </w:rPr>
    </w:lvl>
    <w:lvl w:ilvl="2" w:tentative="0">
      <w:start w:val="1"/>
      <w:numFmt w:val="lowerRoman"/>
      <w:lvlText w:val="%3."/>
      <w:lvlJc w:val="right"/>
      <w:pPr>
        <w:tabs>
          <w:tab w:val="left" w:pos="1684"/>
        </w:tabs>
        <w:ind w:left="1684" w:hanging="420"/>
      </w:pPr>
      <w:rPr>
        <w:rFonts w:hint="eastAsia"/>
      </w:rPr>
    </w:lvl>
    <w:lvl w:ilvl="3" w:tentative="0">
      <w:start w:val="1"/>
      <w:numFmt w:val="decimal"/>
      <w:lvlText w:val="%4."/>
      <w:lvlJc w:val="left"/>
      <w:pPr>
        <w:tabs>
          <w:tab w:val="left" w:pos="2104"/>
        </w:tabs>
        <w:ind w:left="2104" w:hanging="420"/>
      </w:pPr>
      <w:rPr>
        <w:rFonts w:hint="eastAsia"/>
      </w:rPr>
    </w:lvl>
    <w:lvl w:ilvl="4" w:tentative="0">
      <w:start w:val="1"/>
      <w:numFmt w:val="lowerLetter"/>
      <w:lvlText w:val="%5)"/>
      <w:lvlJc w:val="left"/>
      <w:pPr>
        <w:tabs>
          <w:tab w:val="left" w:pos="2524"/>
        </w:tabs>
        <w:ind w:left="2524" w:hanging="420"/>
      </w:pPr>
      <w:rPr>
        <w:rFonts w:hint="eastAsia"/>
      </w:rPr>
    </w:lvl>
    <w:lvl w:ilvl="5" w:tentative="0">
      <w:start w:val="1"/>
      <w:numFmt w:val="lowerRoman"/>
      <w:lvlText w:val="%6."/>
      <w:lvlJc w:val="right"/>
      <w:pPr>
        <w:tabs>
          <w:tab w:val="left" w:pos="2944"/>
        </w:tabs>
        <w:ind w:left="2944" w:hanging="420"/>
      </w:pPr>
      <w:rPr>
        <w:rFonts w:hint="eastAsia"/>
      </w:rPr>
    </w:lvl>
    <w:lvl w:ilvl="6" w:tentative="0">
      <w:start w:val="1"/>
      <w:numFmt w:val="decimal"/>
      <w:lvlText w:val="%7."/>
      <w:lvlJc w:val="left"/>
      <w:pPr>
        <w:tabs>
          <w:tab w:val="left" w:pos="3364"/>
        </w:tabs>
        <w:ind w:left="3364" w:hanging="420"/>
      </w:pPr>
      <w:rPr>
        <w:rFonts w:hint="eastAsia"/>
      </w:rPr>
    </w:lvl>
    <w:lvl w:ilvl="7" w:tentative="0">
      <w:start w:val="1"/>
      <w:numFmt w:val="lowerLetter"/>
      <w:lvlText w:val="%8)"/>
      <w:lvlJc w:val="left"/>
      <w:pPr>
        <w:tabs>
          <w:tab w:val="left" w:pos="3784"/>
        </w:tabs>
        <w:ind w:left="3784" w:hanging="420"/>
      </w:pPr>
      <w:rPr>
        <w:rFonts w:hint="eastAsia"/>
      </w:rPr>
    </w:lvl>
    <w:lvl w:ilvl="8" w:tentative="0">
      <w:start w:val="1"/>
      <w:numFmt w:val="lowerRoman"/>
      <w:lvlText w:val="%9."/>
      <w:lvlJc w:val="right"/>
      <w:pPr>
        <w:tabs>
          <w:tab w:val="left" w:pos="4204"/>
        </w:tabs>
        <w:ind w:left="4204" w:hanging="420"/>
      </w:pPr>
      <w:rPr>
        <w:rFonts w:hint="eastAsia"/>
      </w:rPr>
    </w:lvl>
  </w:abstractNum>
  <w:abstractNum w:abstractNumId="10">
    <w:nsid w:val="01C47667"/>
    <w:multiLevelType w:val="multilevel"/>
    <w:tmpl w:val="01C47667"/>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1">
    <w:nsid w:val="02342DE7"/>
    <w:multiLevelType w:val="multilevel"/>
    <w:tmpl w:val="02342DE7"/>
    <w:lvl w:ilvl="0" w:tentative="0">
      <w:start w:val="1"/>
      <w:numFmt w:val="decimal"/>
      <w:lvlText w:val="%1、"/>
      <w:lvlJc w:val="left"/>
      <w:pPr>
        <w:ind w:left="720" w:hanging="360"/>
      </w:pPr>
      <w:rPr>
        <w:rFonts w:hint="default" w:ascii="Times New Roman" w:hAnsi="Times New Roman"/>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abstractNum w:abstractNumId="12">
    <w:nsid w:val="0B44567D"/>
    <w:multiLevelType w:val="multilevel"/>
    <w:tmpl w:val="0B44567D"/>
    <w:lvl w:ilvl="0" w:tentative="0">
      <w:start w:val="1"/>
      <w:numFmt w:val="decimal"/>
      <w:suff w:val="nothing"/>
      <w:lvlText w:val="（%1）"/>
      <w:lvlJc w:val="left"/>
      <w:pPr>
        <w:ind w:left="0" w:firstLine="0"/>
      </w:pPr>
      <w:rPr>
        <w:rFonts w:hint="eastAsia" w:ascii="华文细黑" w:hAnsi="华文细黑" w:eastAsia="华文细黑" w:cs="Times New Roman"/>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1013502A"/>
    <w:multiLevelType w:val="multilevel"/>
    <w:tmpl w:val="1013502A"/>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4">
    <w:nsid w:val="155227E1"/>
    <w:multiLevelType w:val="multilevel"/>
    <w:tmpl w:val="155227E1"/>
    <w:lvl w:ilvl="0" w:tentative="0">
      <w:start w:val="1"/>
      <w:numFmt w:val="decimal"/>
      <w:lvlText w:val="%1."/>
      <w:lvlJc w:val="left"/>
      <w:pPr>
        <w:ind w:left="900" w:hanging="420"/>
      </w:pPr>
      <w:rPr>
        <w:rFonts w:ascii="Times New Roman" w:hAnsi="Times New Roman"/>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5">
    <w:nsid w:val="159E7229"/>
    <w:multiLevelType w:val="multilevel"/>
    <w:tmpl w:val="159E7229"/>
    <w:lvl w:ilvl="0" w:tentative="0">
      <w:start w:val="1"/>
      <w:numFmt w:val="decimal"/>
      <w:suff w:val="nothing"/>
      <w:lvlText w:val="（%1）"/>
      <w:lvlJc w:val="left"/>
      <w:pPr>
        <w:ind w:left="0" w:firstLine="0"/>
      </w:pPr>
      <w:rPr>
        <w:rFonts w:hint="eastAsia" w:ascii="华文细黑" w:hAnsi="华文细黑" w:eastAsia="华文细黑" w:cs="Times New Roman"/>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166B2EFD"/>
    <w:multiLevelType w:val="multilevel"/>
    <w:tmpl w:val="166B2EFD"/>
    <w:lvl w:ilvl="0" w:tentative="0">
      <w:start w:val="1"/>
      <w:numFmt w:val="decimal"/>
      <w:suff w:val="nothing"/>
      <w:lvlText w:val="%1）"/>
      <w:lvlJc w:val="left"/>
      <w:pPr>
        <w:ind w:left="0" w:firstLine="480"/>
      </w:pPr>
      <w:rPr>
        <w:rFonts w:hint="default" w:ascii="Times New Roman" w:hAnsi="Times New Roman" w:eastAsia="宋体"/>
        <w:sz w:val="24"/>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7">
    <w:nsid w:val="1C040812"/>
    <w:multiLevelType w:val="multilevel"/>
    <w:tmpl w:val="1C040812"/>
    <w:lvl w:ilvl="0" w:tentative="0">
      <w:start w:val="1"/>
      <w:numFmt w:val="decimal"/>
      <w:suff w:val="nothing"/>
      <w:lvlText w:val="（%1）"/>
      <w:lvlJc w:val="left"/>
      <w:pPr>
        <w:ind w:left="63" w:firstLine="363"/>
      </w:pPr>
      <w:rPr>
        <w:rFonts w:hint="eastAsia" w:ascii="宋体" w:hAnsi="宋体" w:eastAsia="宋体"/>
      </w:rPr>
    </w:lvl>
    <w:lvl w:ilvl="1" w:tentative="0">
      <w:start w:val="1"/>
      <w:numFmt w:val="lowerLetter"/>
      <w:lvlText w:val="%2)"/>
      <w:lvlJc w:val="left"/>
      <w:pPr>
        <w:tabs>
          <w:tab w:val="left" w:pos="1260"/>
        </w:tabs>
        <w:ind w:left="1260" w:hanging="420"/>
      </w:pPr>
    </w:lvl>
    <w:lvl w:ilvl="2" w:tentative="0">
      <w:start w:val="1"/>
      <w:numFmt w:val="lowerRoman"/>
      <w:lvlText w:val="%3."/>
      <w:lvlJc w:val="right"/>
      <w:pPr>
        <w:tabs>
          <w:tab w:val="left" w:pos="1680"/>
        </w:tabs>
        <w:ind w:left="1680" w:hanging="420"/>
      </w:pPr>
    </w:lvl>
    <w:lvl w:ilvl="3" w:tentative="0">
      <w:start w:val="1"/>
      <w:numFmt w:val="decimal"/>
      <w:lvlText w:val="%4."/>
      <w:lvlJc w:val="left"/>
      <w:pPr>
        <w:tabs>
          <w:tab w:val="left" w:pos="2100"/>
        </w:tabs>
        <w:ind w:left="2100" w:hanging="420"/>
      </w:pPr>
    </w:lvl>
    <w:lvl w:ilvl="4" w:tentative="0">
      <w:start w:val="1"/>
      <w:numFmt w:val="lowerLetter"/>
      <w:lvlText w:val="%5)"/>
      <w:lvlJc w:val="left"/>
      <w:pPr>
        <w:tabs>
          <w:tab w:val="left" w:pos="2520"/>
        </w:tabs>
        <w:ind w:left="2520" w:hanging="420"/>
      </w:pPr>
    </w:lvl>
    <w:lvl w:ilvl="5" w:tentative="0">
      <w:start w:val="1"/>
      <w:numFmt w:val="lowerRoman"/>
      <w:lvlText w:val="%6."/>
      <w:lvlJc w:val="right"/>
      <w:pPr>
        <w:tabs>
          <w:tab w:val="left" w:pos="2940"/>
        </w:tabs>
        <w:ind w:left="2940" w:hanging="420"/>
      </w:pPr>
    </w:lvl>
    <w:lvl w:ilvl="6" w:tentative="0">
      <w:start w:val="1"/>
      <w:numFmt w:val="decimal"/>
      <w:lvlText w:val="%7."/>
      <w:lvlJc w:val="left"/>
      <w:pPr>
        <w:tabs>
          <w:tab w:val="left" w:pos="3360"/>
        </w:tabs>
        <w:ind w:left="3360" w:hanging="420"/>
      </w:pPr>
    </w:lvl>
    <w:lvl w:ilvl="7" w:tentative="0">
      <w:start w:val="1"/>
      <w:numFmt w:val="lowerLetter"/>
      <w:lvlText w:val="%8)"/>
      <w:lvlJc w:val="left"/>
      <w:pPr>
        <w:tabs>
          <w:tab w:val="left" w:pos="3780"/>
        </w:tabs>
        <w:ind w:left="3780" w:hanging="420"/>
      </w:pPr>
    </w:lvl>
    <w:lvl w:ilvl="8" w:tentative="0">
      <w:start w:val="1"/>
      <w:numFmt w:val="lowerRoman"/>
      <w:lvlText w:val="%9."/>
      <w:lvlJc w:val="right"/>
      <w:pPr>
        <w:tabs>
          <w:tab w:val="left" w:pos="4200"/>
        </w:tabs>
        <w:ind w:left="4200" w:hanging="420"/>
      </w:pPr>
    </w:lvl>
  </w:abstractNum>
  <w:abstractNum w:abstractNumId="18">
    <w:nsid w:val="1F523E34"/>
    <w:multiLevelType w:val="multilevel"/>
    <w:tmpl w:val="1F523E34"/>
    <w:lvl w:ilvl="0" w:tentative="0">
      <w:start w:val="1"/>
      <w:numFmt w:val="decimal"/>
      <w:suff w:val="nothing"/>
      <w:lvlText w:val="（%1）"/>
      <w:lvlJc w:val="left"/>
      <w:pPr>
        <w:ind w:left="0" w:firstLine="0"/>
      </w:pPr>
      <w:rPr>
        <w:rFonts w:hint="eastAsia" w:ascii="华文细黑" w:hAnsi="华文细黑" w:eastAsia="华文细黑" w:cs="Times New Roman"/>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23BF7DF6"/>
    <w:multiLevelType w:val="multilevel"/>
    <w:tmpl w:val="23BF7DF6"/>
    <w:lvl w:ilvl="0" w:tentative="0">
      <w:start w:val="1"/>
      <w:numFmt w:val="decimal"/>
      <w:suff w:val="nothing"/>
      <w:lvlText w:val="（%1）"/>
      <w:lvlJc w:val="left"/>
      <w:pPr>
        <w:ind w:left="0" w:firstLine="0"/>
      </w:pPr>
      <w:rPr>
        <w:rFonts w:hint="eastAsia" w:ascii="华文细黑" w:hAnsi="华文细黑" w:eastAsia="华文细黑" w:cs="Times New Roman"/>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25D053B8"/>
    <w:multiLevelType w:val="multilevel"/>
    <w:tmpl w:val="25D053B8"/>
    <w:lvl w:ilvl="0" w:tentative="0">
      <w:start w:val="1"/>
      <w:numFmt w:val="decimal"/>
      <w:lvlText w:val="（%1）"/>
      <w:lvlJc w:val="left"/>
      <w:pPr>
        <w:tabs>
          <w:tab w:val="left" w:pos="567"/>
        </w:tabs>
        <w:ind w:left="0" w:firstLine="0"/>
      </w:pPr>
      <w:rPr>
        <w:rFonts w:hint="default" w:ascii="Times New Roman" w:hAnsi="Times New Roman" w:cs="Times New Roman"/>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29AC5919"/>
    <w:multiLevelType w:val="multilevel"/>
    <w:tmpl w:val="29AC5919"/>
    <w:lvl w:ilvl="0" w:tentative="0">
      <w:start w:val="1"/>
      <w:numFmt w:val="decimal"/>
      <w:suff w:val="nothing"/>
      <w:lvlText w:val="（%1）"/>
      <w:lvlJc w:val="left"/>
      <w:pPr>
        <w:ind w:left="63" w:firstLine="363"/>
      </w:pPr>
      <w:rPr>
        <w:rFonts w:hint="eastAsia" w:ascii="宋体" w:hAnsi="宋体" w:eastAsia="宋体"/>
      </w:rPr>
    </w:lvl>
    <w:lvl w:ilvl="1" w:tentative="0">
      <w:start w:val="1"/>
      <w:numFmt w:val="lowerLetter"/>
      <w:lvlText w:val="%2)"/>
      <w:lvlJc w:val="left"/>
      <w:pPr>
        <w:tabs>
          <w:tab w:val="left" w:pos="1260"/>
        </w:tabs>
        <w:ind w:left="1260" w:hanging="420"/>
      </w:pPr>
    </w:lvl>
    <w:lvl w:ilvl="2" w:tentative="0">
      <w:start w:val="1"/>
      <w:numFmt w:val="lowerRoman"/>
      <w:lvlText w:val="%3."/>
      <w:lvlJc w:val="right"/>
      <w:pPr>
        <w:tabs>
          <w:tab w:val="left" w:pos="1680"/>
        </w:tabs>
        <w:ind w:left="1680" w:hanging="420"/>
      </w:pPr>
    </w:lvl>
    <w:lvl w:ilvl="3" w:tentative="0">
      <w:start w:val="1"/>
      <w:numFmt w:val="decimal"/>
      <w:lvlText w:val="%4."/>
      <w:lvlJc w:val="left"/>
      <w:pPr>
        <w:tabs>
          <w:tab w:val="left" w:pos="2100"/>
        </w:tabs>
        <w:ind w:left="2100" w:hanging="420"/>
      </w:pPr>
    </w:lvl>
    <w:lvl w:ilvl="4" w:tentative="0">
      <w:start w:val="1"/>
      <w:numFmt w:val="lowerLetter"/>
      <w:lvlText w:val="%5)"/>
      <w:lvlJc w:val="left"/>
      <w:pPr>
        <w:tabs>
          <w:tab w:val="left" w:pos="2520"/>
        </w:tabs>
        <w:ind w:left="2520" w:hanging="420"/>
      </w:pPr>
    </w:lvl>
    <w:lvl w:ilvl="5" w:tentative="0">
      <w:start w:val="1"/>
      <w:numFmt w:val="lowerRoman"/>
      <w:lvlText w:val="%6."/>
      <w:lvlJc w:val="right"/>
      <w:pPr>
        <w:tabs>
          <w:tab w:val="left" w:pos="2940"/>
        </w:tabs>
        <w:ind w:left="2940" w:hanging="420"/>
      </w:pPr>
    </w:lvl>
    <w:lvl w:ilvl="6" w:tentative="0">
      <w:start w:val="1"/>
      <w:numFmt w:val="decimal"/>
      <w:lvlText w:val="%7."/>
      <w:lvlJc w:val="left"/>
      <w:pPr>
        <w:tabs>
          <w:tab w:val="left" w:pos="3360"/>
        </w:tabs>
        <w:ind w:left="3360" w:hanging="420"/>
      </w:pPr>
    </w:lvl>
    <w:lvl w:ilvl="7" w:tentative="0">
      <w:start w:val="1"/>
      <w:numFmt w:val="lowerLetter"/>
      <w:lvlText w:val="%8)"/>
      <w:lvlJc w:val="left"/>
      <w:pPr>
        <w:tabs>
          <w:tab w:val="left" w:pos="3780"/>
        </w:tabs>
        <w:ind w:left="3780" w:hanging="420"/>
      </w:pPr>
    </w:lvl>
    <w:lvl w:ilvl="8" w:tentative="0">
      <w:start w:val="1"/>
      <w:numFmt w:val="lowerRoman"/>
      <w:lvlText w:val="%9."/>
      <w:lvlJc w:val="right"/>
      <w:pPr>
        <w:tabs>
          <w:tab w:val="left" w:pos="4200"/>
        </w:tabs>
        <w:ind w:left="4200" w:hanging="420"/>
      </w:pPr>
    </w:lvl>
  </w:abstractNum>
  <w:abstractNum w:abstractNumId="22">
    <w:nsid w:val="2B0E00A1"/>
    <w:multiLevelType w:val="multilevel"/>
    <w:tmpl w:val="2B0E00A1"/>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3">
    <w:nsid w:val="2BE76D6F"/>
    <w:multiLevelType w:val="multilevel"/>
    <w:tmpl w:val="2BE76D6F"/>
    <w:lvl w:ilvl="0" w:tentative="0">
      <w:start w:val="1"/>
      <w:numFmt w:val="decimal"/>
      <w:suff w:val="nothing"/>
      <w:lvlText w:val="（%1）"/>
      <w:lvlJc w:val="left"/>
      <w:pPr>
        <w:ind w:left="0" w:firstLine="0"/>
      </w:pPr>
      <w:rPr>
        <w:rFonts w:hint="eastAsia" w:ascii="华文细黑" w:hAnsi="华文细黑" w:eastAsia="华文细黑" w:cs="Times New Roman"/>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325766E1"/>
    <w:multiLevelType w:val="multilevel"/>
    <w:tmpl w:val="325766E1"/>
    <w:lvl w:ilvl="0" w:tentative="0">
      <w:start w:val="1"/>
      <w:numFmt w:val="bullet"/>
      <w:pStyle w:val="111"/>
      <w:lvlText w:val=""/>
      <w:lvlJc w:val="left"/>
      <w:pPr>
        <w:tabs>
          <w:tab w:val="left" w:pos="1050"/>
        </w:tabs>
        <w:ind w:left="1050" w:hanging="420"/>
      </w:pPr>
      <w:rPr>
        <w:rFonts w:hint="default" w:ascii="Wingdings" w:hAnsi="Wingdings"/>
        <w:color w:val="auto"/>
      </w:rPr>
    </w:lvl>
    <w:lvl w:ilvl="1" w:tentative="0">
      <w:start w:val="1"/>
      <w:numFmt w:val="bullet"/>
      <w:lvlText w:val=""/>
      <w:lvlJc w:val="left"/>
      <w:pPr>
        <w:tabs>
          <w:tab w:val="left" w:pos="1365"/>
        </w:tabs>
        <w:ind w:left="1365" w:hanging="420"/>
      </w:pPr>
      <w:rPr>
        <w:rFonts w:hint="default" w:ascii="Wingdings" w:hAnsi="Wingdings"/>
      </w:rPr>
    </w:lvl>
    <w:lvl w:ilvl="2" w:tentative="0">
      <w:start w:val="1"/>
      <w:numFmt w:val="bullet"/>
      <w:lvlText w:val=""/>
      <w:lvlJc w:val="left"/>
      <w:pPr>
        <w:tabs>
          <w:tab w:val="left" w:pos="1785"/>
        </w:tabs>
        <w:ind w:left="1785" w:hanging="420"/>
      </w:pPr>
      <w:rPr>
        <w:rFonts w:hint="default" w:ascii="Wingdings" w:hAnsi="Wingdings"/>
      </w:rPr>
    </w:lvl>
    <w:lvl w:ilvl="3" w:tentative="0">
      <w:start w:val="1"/>
      <w:numFmt w:val="bullet"/>
      <w:lvlText w:val=""/>
      <w:lvlJc w:val="left"/>
      <w:pPr>
        <w:tabs>
          <w:tab w:val="left" w:pos="2205"/>
        </w:tabs>
        <w:ind w:left="2205" w:hanging="420"/>
      </w:pPr>
      <w:rPr>
        <w:rFonts w:hint="default" w:ascii="Wingdings" w:hAnsi="Wingdings"/>
      </w:rPr>
    </w:lvl>
    <w:lvl w:ilvl="4" w:tentative="0">
      <w:start w:val="1"/>
      <w:numFmt w:val="bullet"/>
      <w:lvlText w:val=""/>
      <w:lvlJc w:val="left"/>
      <w:pPr>
        <w:tabs>
          <w:tab w:val="left" w:pos="2625"/>
        </w:tabs>
        <w:ind w:left="2625" w:hanging="420"/>
      </w:pPr>
      <w:rPr>
        <w:rFonts w:hint="default" w:ascii="Wingdings" w:hAnsi="Wingdings"/>
      </w:rPr>
    </w:lvl>
    <w:lvl w:ilvl="5" w:tentative="0">
      <w:start w:val="1"/>
      <w:numFmt w:val="bullet"/>
      <w:lvlText w:val=""/>
      <w:lvlJc w:val="left"/>
      <w:pPr>
        <w:tabs>
          <w:tab w:val="left" w:pos="3045"/>
        </w:tabs>
        <w:ind w:left="3045" w:hanging="420"/>
      </w:pPr>
      <w:rPr>
        <w:rFonts w:hint="default" w:ascii="Wingdings" w:hAnsi="Wingdings"/>
      </w:rPr>
    </w:lvl>
    <w:lvl w:ilvl="6" w:tentative="0">
      <w:start w:val="1"/>
      <w:numFmt w:val="bullet"/>
      <w:lvlText w:val=""/>
      <w:lvlJc w:val="left"/>
      <w:pPr>
        <w:tabs>
          <w:tab w:val="left" w:pos="3465"/>
        </w:tabs>
        <w:ind w:left="3465" w:hanging="420"/>
      </w:pPr>
      <w:rPr>
        <w:rFonts w:hint="default" w:ascii="Wingdings" w:hAnsi="Wingdings"/>
      </w:rPr>
    </w:lvl>
    <w:lvl w:ilvl="7" w:tentative="0">
      <w:start w:val="1"/>
      <w:numFmt w:val="bullet"/>
      <w:lvlText w:val=""/>
      <w:lvlJc w:val="left"/>
      <w:pPr>
        <w:tabs>
          <w:tab w:val="left" w:pos="3885"/>
        </w:tabs>
        <w:ind w:left="3885" w:hanging="420"/>
      </w:pPr>
      <w:rPr>
        <w:rFonts w:hint="default" w:ascii="Wingdings" w:hAnsi="Wingdings"/>
      </w:rPr>
    </w:lvl>
    <w:lvl w:ilvl="8" w:tentative="0">
      <w:start w:val="1"/>
      <w:numFmt w:val="bullet"/>
      <w:lvlText w:val=""/>
      <w:lvlJc w:val="left"/>
      <w:pPr>
        <w:tabs>
          <w:tab w:val="left" w:pos="4305"/>
        </w:tabs>
        <w:ind w:left="4305" w:hanging="420"/>
      </w:pPr>
      <w:rPr>
        <w:rFonts w:hint="default" w:ascii="Wingdings" w:hAnsi="Wingdings"/>
      </w:rPr>
    </w:lvl>
  </w:abstractNum>
  <w:abstractNum w:abstractNumId="25">
    <w:nsid w:val="3519475B"/>
    <w:multiLevelType w:val="multilevel"/>
    <w:tmpl w:val="3519475B"/>
    <w:lvl w:ilvl="0" w:tentative="0">
      <w:start w:val="1"/>
      <w:numFmt w:val="decimal"/>
      <w:lvlText w:val="（%1）"/>
      <w:lvlJc w:val="left"/>
      <w:pPr>
        <w:tabs>
          <w:tab w:val="left" w:pos="567"/>
        </w:tabs>
        <w:ind w:left="0" w:firstLine="0"/>
      </w:pPr>
      <w:rPr>
        <w:rFonts w:hint="default" w:ascii="Times New Roman" w:hAnsi="Times New Roman"/>
        <w:lang w:val="en-US"/>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37C827A0"/>
    <w:multiLevelType w:val="multilevel"/>
    <w:tmpl w:val="37C827A0"/>
    <w:lvl w:ilvl="0" w:tentative="0">
      <w:start w:val="1"/>
      <w:numFmt w:val="decimal"/>
      <w:suff w:val="nothing"/>
      <w:lvlText w:val="（%1）"/>
      <w:lvlJc w:val="left"/>
      <w:pPr>
        <w:ind w:left="57" w:firstLine="363"/>
      </w:pPr>
      <w:rPr>
        <w:rFonts w:hint="eastAsia" w:ascii="Times New Roman" w:hAnsi="Times New Roman" w:eastAsia="宋体"/>
      </w:rPr>
    </w:lvl>
    <w:lvl w:ilvl="1" w:tentative="0">
      <w:start w:val="1"/>
      <w:numFmt w:val="lowerLetter"/>
      <w:lvlText w:val="%2)"/>
      <w:lvlJc w:val="left"/>
      <w:pPr>
        <w:tabs>
          <w:tab w:val="left" w:pos="1254"/>
        </w:tabs>
        <w:ind w:left="1254" w:hanging="420"/>
      </w:pPr>
    </w:lvl>
    <w:lvl w:ilvl="2" w:tentative="0">
      <w:start w:val="1"/>
      <w:numFmt w:val="lowerRoman"/>
      <w:lvlText w:val="%3."/>
      <w:lvlJc w:val="right"/>
      <w:pPr>
        <w:tabs>
          <w:tab w:val="left" w:pos="1674"/>
        </w:tabs>
        <w:ind w:left="1674" w:hanging="420"/>
      </w:pPr>
    </w:lvl>
    <w:lvl w:ilvl="3" w:tentative="0">
      <w:start w:val="1"/>
      <w:numFmt w:val="decimal"/>
      <w:lvlText w:val="%4."/>
      <w:lvlJc w:val="left"/>
      <w:pPr>
        <w:tabs>
          <w:tab w:val="left" w:pos="2094"/>
        </w:tabs>
        <w:ind w:left="2094" w:hanging="420"/>
      </w:pPr>
    </w:lvl>
    <w:lvl w:ilvl="4" w:tentative="0">
      <w:start w:val="1"/>
      <w:numFmt w:val="lowerLetter"/>
      <w:lvlText w:val="%5)"/>
      <w:lvlJc w:val="left"/>
      <w:pPr>
        <w:tabs>
          <w:tab w:val="left" w:pos="2514"/>
        </w:tabs>
        <w:ind w:left="2514" w:hanging="420"/>
      </w:pPr>
    </w:lvl>
    <w:lvl w:ilvl="5" w:tentative="0">
      <w:start w:val="1"/>
      <w:numFmt w:val="lowerRoman"/>
      <w:lvlText w:val="%6."/>
      <w:lvlJc w:val="right"/>
      <w:pPr>
        <w:tabs>
          <w:tab w:val="left" w:pos="2934"/>
        </w:tabs>
        <w:ind w:left="2934" w:hanging="420"/>
      </w:pPr>
    </w:lvl>
    <w:lvl w:ilvl="6" w:tentative="0">
      <w:start w:val="1"/>
      <w:numFmt w:val="decimal"/>
      <w:lvlText w:val="%7."/>
      <w:lvlJc w:val="left"/>
      <w:pPr>
        <w:tabs>
          <w:tab w:val="left" w:pos="3354"/>
        </w:tabs>
        <w:ind w:left="3354" w:hanging="420"/>
      </w:pPr>
    </w:lvl>
    <w:lvl w:ilvl="7" w:tentative="0">
      <w:start w:val="1"/>
      <w:numFmt w:val="lowerLetter"/>
      <w:lvlText w:val="%8)"/>
      <w:lvlJc w:val="left"/>
      <w:pPr>
        <w:tabs>
          <w:tab w:val="left" w:pos="3774"/>
        </w:tabs>
        <w:ind w:left="3774" w:hanging="420"/>
      </w:pPr>
    </w:lvl>
    <w:lvl w:ilvl="8" w:tentative="0">
      <w:start w:val="1"/>
      <w:numFmt w:val="lowerRoman"/>
      <w:lvlText w:val="%9."/>
      <w:lvlJc w:val="right"/>
      <w:pPr>
        <w:tabs>
          <w:tab w:val="left" w:pos="4194"/>
        </w:tabs>
        <w:ind w:left="4194" w:hanging="420"/>
      </w:pPr>
    </w:lvl>
  </w:abstractNum>
  <w:abstractNum w:abstractNumId="27">
    <w:nsid w:val="38B66A74"/>
    <w:multiLevelType w:val="multilevel"/>
    <w:tmpl w:val="38B66A74"/>
    <w:lvl w:ilvl="0" w:tentative="0">
      <w:start w:val="1"/>
      <w:numFmt w:val="decimal"/>
      <w:suff w:val="nothing"/>
      <w:lvlText w:val="（%1）"/>
      <w:lvlJc w:val="left"/>
      <w:pPr>
        <w:ind w:left="57" w:firstLine="363"/>
      </w:pPr>
      <w:rPr>
        <w:rFonts w:hint="eastAsia" w:ascii="Times New Roman" w:hAnsi="Times New Roman" w:eastAsia="宋体"/>
      </w:rPr>
    </w:lvl>
    <w:lvl w:ilvl="1" w:tentative="0">
      <w:start w:val="1"/>
      <w:numFmt w:val="lowerLetter"/>
      <w:lvlText w:val="%2)"/>
      <w:lvlJc w:val="left"/>
      <w:pPr>
        <w:tabs>
          <w:tab w:val="left" w:pos="1254"/>
        </w:tabs>
        <w:ind w:left="1254" w:hanging="420"/>
      </w:pPr>
    </w:lvl>
    <w:lvl w:ilvl="2" w:tentative="0">
      <w:start w:val="1"/>
      <w:numFmt w:val="lowerRoman"/>
      <w:lvlText w:val="%3."/>
      <w:lvlJc w:val="right"/>
      <w:pPr>
        <w:tabs>
          <w:tab w:val="left" w:pos="1674"/>
        </w:tabs>
        <w:ind w:left="1674" w:hanging="420"/>
      </w:pPr>
    </w:lvl>
    <w:lvl w:ilvl="3" w:tentative="0">
      <w:start w:val="1"/>
      <w:numFmt w:val="decimal"/>
      <w:lvlText w:val="%4."/>
      <w:lvlJc w:val="left"/>
      <w:pPr>
        <w:tabs>
          <w:tab w:val="left" w:pos="2094"/>
        </w:tabs>
        <w:ind w:left="2094" w:hanging="420"/>
      </w:pPr>
    </w:lvl>
    <w:lvl w:ilvl="4" w:tentative="0">
      <w:start w:val="1"/>
      <w:numFmt w:val="lowerLetter"/>
      <w:lvlText w:val="%5)"/>
      <w:lvlJc w:val="left"/>
      <w:pPr>
        <w:tabs>
          <w:tab w:val="left" w:pos="2514"/>
        </w:tabs>
        <w:ind w:left="2514" w:hanging="420"/>
      </w:pPr>
    </w:lvl>
    <w:lvl w:ilvl="5" w:tentative="0">
      <w:start w:val="1"/>
      <w:numFmt w:val="lowerRoman"/>
      <w:lvlText w:val="%6."/>
      <w:lvlJc w:val="right"/>
      <w:pPr>
        <w:tabs>
          <w:tab w:val="left" w:pos="2934"/>
        </w:tabs>
        <w:ind w:left="2934" w:hanging="420"/>
      </w:pPr>
    </w:lvl>
    <w:lvl w:ilvl="6" w:tentative="0">
      <w:start w:val="1"/>
      <w:numFmt w:val="decimal"/>
      <w:lvlText w:val="%7."/>
      <w:lvlJc w:val="left"/>
      <w:pPr>
        <w:tabs>
          <w:tab w:val="left" w:pos="3354"/>
        </w:tabs>
        <w:ind w:left="3354" w:hanging="420"/>
      </w:pPr>
    </w:lvl>
    <w:lvl w:ilvl="7" w:tentative="0">
      <w:start w:val="1"/>
      <w:numFmt w:val="lowerLetter"/>
      <w:lvlText w:val="%8)"/>
      <w:lvlJc w:val="left"/>
      <w:pPr>
        <w:tabs>
          <w:tab w:val="left" w:pos="3774"/>
        </w:tabs>
        <w:ind w:left="3774" w:hanging="420"/>
      </w:pPr>
    </w:lvl>
    <w:lvl w:ilvl="8" w:tentative="0">
      <w:start w:val="1"/>
      <w:numFmt w:val="lowerRoman"/>
      <w:lvlText w:val="%9."/>
      <w:lvlJc w:val="right"/>
      <w:pPr>
        <w:tabs>
          <w:tab w:val="left" w:pos="4194"/>
        </w:tabs>
        <w:ind w:left="4194" w:hanging="420"/>
      </w:pPr>
    </w:lvl>
  </w:abstractNum>
  <w:abstractNum w:abstractNumId="28">
    <w:nsid w:val="39708686"/>
    <w:multiLevelType w:val="singleLevel"/>
    <w:tmpl w:val="39708686"/>
    <w:lvl w:ilvl="0" w:tentative="0">
      <w:start w:val="1"/>
      <w:numFmt w:val="decimal"/>
      <w:suff w:val="nothing"/>
      <w:lvlText w:val="%1、"/>
      <w:lvlJc w:val="left"/>
    </w:lvl>
  </w:abstractNum>
  <w:abstractNum w:abstractNumId="29">
    <w:nsid w:val="42DC25D6"/>
    <w:multiLevelType w:val="multilevel"/>
    <w:tmpl w:val="42DC25D6"/>
    <w:lvl w:ilvl="0" w:tentative="0">
      <w:start w:val="1"/>
      <w:numFmt w:val="decimal"/>
      <w:suff w:val="nothing"/>
      <w:lvlText w:val="（%1）"/>
      <w:lvlJc w:val="left"/>
      <w:pPr>
        <w:ind w:left="0" w:firstLine="0"/>
      </w:pPr>
      <w:rPr>
        <w:rFonts w:hint="eastAsia" w:ascii="华文细黑" w:hAnsi="华文细黑" w:eastAsia="华文细黑" w:cs="Times New Roman"/>
        <w:lang w:val="en-U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43BD48F6"/>
    <w:multiLevelType w:val="singleLevel"/>
    <w:tmpl w:val="43BD48F6"/>
    <w:lvl w:ilvl="0" w:tentative="0">
      <w:start w:val="1"/>
      <w:numFmt w:val="decimal"/>
      <w:suff w:val="nothing"/>
      <w:lvlText w:val="%1、"/>
      <w:lvlJc w:val="left"/>
    </w:lvl>
  </w:abstractNum>
  <w:abstractNum w:abstractNumId="31">
    <w:nsid w:val="4537006B"/>
    <w:multiLevelType w:val="multilevel"/>
    <w:tmpl w:val="4537006B"/>
    <w:lvl w:ilvl="0" w:tentative="0">
      <w:start w:val="1"/>
      <w:numFmt w:val="decimal"/>
      <w:suff w:val="nothing"/>
      <w:lvlText w:val="%1）"/>
      <w:lvlJc w:val="left"/>
      <w:pPr>
        <w:ind w:left="0" w:firstLine="480"/>
      </w:pPr>
      <w:rPr>
        <w:rFonts w:hint="default" w:ascii="Times New Roman" w:hAnsi="Times New Roman" w:eastAsia="宋体"/>
        <w:sz w:val="24"/>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2">
    <w:nsid w:val="455D33AF"/>
    <w:multiLevelType w:val="multilevel"/>
    <w:tmpl w:val="455D33AF"/>
    <w:lvl w:ilvl="0" w:tentative="0">
      <w:start w:val="1"/>
      <w:numFmt w:val="japaneseCounting"/>
      <w:pStyle w:val="2"/>
      <w:lvlText w:val="%1、"/>
      <w:lvlJc w:val="left"/>
      <w:pPr>
        <w:tabs>
          <w:tab w:val="left" w:pos="720"/>
        </w:tabs>
        <w:ind w:left="720" w:hanging="720"/>
      </w:pPr>
      <w:rPr>
        <w:rFonts w:hint="default"/>
        <w:color w:val="000000"/>
      </w:rPr>
    </w:lvl>
    <w:lvl w:ilvl="1" w:tentative="0">
      <w:start w:val="1"/>
      <w:numFmt w:val="lowerLetter"/>
      <w:lvlText w:val="%2)"/>
      <w:lvlJc w:val="left"/>
      <w:pPr>
        <w:tabs>
          <w:tab w:val="left" w:pos="840"/>
        </w:tabs>
        <w:ind w:left="840" w:hanging="420"/>
      </w:pPr>
    </w:lvl>
    <w:lvl w:ilvl="2" w:tentative="0">
      <w:start w:val="1"/>
      <w:numFmt w:val="decimal"/>
      <w:lvlText w:val="（%3）"/>
      <w:lvlJc w:val="left"/>
      <w:pPr>
        <w:ind w:left="1905" w:hanging="1065"/>
      </w:pPr>
      <w:rPr>
        <w:rFonts w:hint="default"/>
      </w:rPr>
    </w:lvl>
    <w:lvl w:ilvl="3" w:tentative="0">
      <w:start w:val="1"/>
      <w:numFmt w:val="decimal"/>
      <w:lvlText w:val="%4."/>
      <w:lvlJc w:val="left"/>
      <w:pPr>
        <w:ind w:left="1620" w:hanging="360"/>
      </w:pPr>
      <w:rPr>
        <w:rFonts w:hint="default"/>
      </w:r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3">
    <w:nsid w:val="48EE0A97"/>
    <w:multiLevelType w:val="multilevel"/>
    <w:tmpl w:val="48EE0A97"/>
    <w:lvl w:ilvl="0" w:tentative="0">
      <w:start w:val="1"/>
      <w:numFmt w:val="decimal"/>
      <w:suff w:val="nothing"/>
      <w:lvlText w:val="（%1）"/>
      <w:lvlJc w:val="left"/>
      <w:pPr>
        <w:ind w:left="0" w:firstLine="0"/>
      </w:pPr>
      <w:rPr>
        <w:rFonts w:hint="eastAsia" w:ascii="华文细黑" w:hAnsi="华文细黑" w:eastAsia="华文细黑" w:cs="Times New Roman"/>
        <w:lang w:val="en-U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4">
    <w:nsid w:val="4A625FE6"/>
    <w:multiLevelType w:val="multilevel"/>
    <w:tmpl w:val="4A625FE6"/>
    <w:lvl w:ilvl="0" w:tentative="0">
      <w:start w:val="1"/>
      <w:numFmt w:val="decimal"/>
      <w:suff w:val="space"/>
      <w:lvlText w:val="第%1章"/>
      <w:lvlJc w:val="left"/>
      <w:pPr>
        <w:ind w:left="0" w:firstLine="0"/>
      </w:pPr>
      <w:rPr>
        <w:rFonts w:hint="default" w:ascii="Times New Roman" w:hAnsi="Times New Roman" w:eastAsia="宋体"/>
        <w:sz w:val="32"/>
      </w:rPr>
    </w:lvl>
    <w:lvl w:ilvl="1" w:tentative="0">
      <w:start w:val="1"/>
      <w:numFmt w:val="decimal"/>
      <w:pStyle w:val="3"/>
      <w:suff w:val="space"/>
      <w:lvlText w:val="%1.%2"/>
      <w:lvlJc w:val="left"/>
      <w:pPr>
        <w:ind w:left="0" w:firstLine="0"/>
      </w:pPr>
      <w:rPr>
        <w:rFonts w:hint="eastAsia"/>
      </w:rPr>
    </w:lvl>
    <w:lvl w:ilvl="2" w:tentative="0">
      <w:start w:val="1"/>
      <w:numFmt w:val="decimal"/>
      <w:pStyle w:val="4"/>
      <w:suff w:val="space"/>
      <w:lvlText w:val="%1.%2.%3"/>
      <w:lvlJc w:val="left"/>
      <w:pPr>
        <w:ind w:left="0" w:firstLine="0"/>
      </w:pPr>
      <w:rPr>
        <w:rFonts w:hint="eastAsia"/>
      </w:rPr>
    </w:lvl>
    <w:lvl w:ilvl="3" w:tentative="0">
      <w:start w:val="1"/>
      <w:numFmt w:val="decimal"/>
      <w:pStyle w:val="5"/>
      <w:isLgl/>
      <w:suff w:val="space"/>
      <w:lvlText w:val="%1.%2.%3.%4"/>
      <w:lvlJc w:val="left"/>
      <w:pPr>
        <w:ind w:left="0" w:firstLine="0"/>
      </w:pPr>
      <w:rPr>
        <w:rFonts w:hint="default" w:ascii="Times New Roman" w:hAnsi="Times New Roman" w:eastAsia="宋体"/>
      </w:rPr>
    </w:lvl>
    <w:lvl w:ilvl="4" w:tentative="0">
      <w:start w:val="1"/>
      <w:numFmt w:val="decimal"/>
      <w:suff w:val="space"/>
      <w:lvlText w:val="%1.%2.%3.%4.%5"/>
      <w:lvlJc w:val="left"/>
      <w:pPr>
        <w:ind w:left="0" w:firstLine="0"/>
      </w:pPr>
      <w:rPr>
        <w:rFonts w:hint="eastAsia"/>
      </w:rPr>
    </w:lvl>
    <w:lvl w:ilvl="5" w:tentative="0">
      <w:start w:val="1"/>
      <w:numFmt w:val="decimal"/>
      <w:suff w:val="space"/>
      <w:lvlText w:val="%1.%2.%3.%4.%5.%6"/>
      <w:lvlJc w:val="left"/>
      <w:pPr>
        <w:ind w:left="0" w:firstLine="0"/>
      </w:pPr>
      <w:rPr>
        <w:rFonts w:hint="eastAsia"/>
      </w:rPr>
    </w:lvl>
    <w:lvl w:ilvl="6" w:tentative="0">
      <w:start w:val="1"/>
      <w:numFmt w:val="decimal"/>
      <w:suff w:val="space"/>
      <w:lvlText w:val="%1.%2.%3.%4.%5.%6.%7"/>
      <w:lvlJc w:val="left"/>
      <w:pPr>
        <w:ind w:left="0" w:firstLine="0"/>
      </w:pPr>
      <w:rPr>
        <w:rFonts w:hint="eastAsia"/>
      </w:rPr>
    </w:lvl>
    <w:lvl w:ilvl="7" w:tentative="0">
      <w:start w:val="1"/>
      <w:numFmt w:val="decimal"/>
      <w:suff w:val="space"/>
      <w:lvlText w:val="%1.%2.%3.%4.%5.%6.%7.%8"/>
      <w:lvlJc w:val="left"/>
      <w:pPr>
        <w:ind w:left="0" w:firstLine="0"/>
      </w:pPr>
      <w:rPr>
        <w:rFonts w:hint="eastAsia"/>
      </w:rPr>
    </w:lvl>
    <w:lvl w:ilvl="8" w:tentative="0">
      <w:start w:val="1"/>
      <w:numFmt w:val="decimal"/>
      <w:suff w:val="space"/>
      <w:lvlText w:val="%1.%2.%3.%4.%5.%6.%7.%8.%9"/>
      <w:lvlJc w:val="left"/>
      <w:pPr>
        <w:ind w:left="0" w:firstLine="0"/>
      </w:pPr>
      <w:rPr>
        <w:rFonts w:hint="eastAsia"/>
      </w:rPr>
    </w:lvl>
  </w:abstractNum>
  <w:abstractNum w:abstractNumId="35">
    <w:nsid w:val="4C293606"/>
    <w:multiLevelType w:val="singleLevel"/>
    <w:tmpl w:val="4C293606"/>
    <w:lvl w:ilvl="0" w:tentative="0">
      <w:start w:val="1"/>
      <w:numFmt w:val="decimal"/>
      <w:suff w:val="nothing"/>
      <w:lvlText w:val="%1、"/>
      <w:lvlJc w:val="left"/>
    </w:lvl>
  </w:abstractNum>
  <w:abstractNum w:abstractNumId="36">
    <w:nsid w:val="5023261E"/>
    <w:multiLevelType w:val="multilevel"/>
    <w:tmpl w:val="5023261E"/>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7">
    <w:nsid w:val="57495DE6"/>
    <w:multiLevelType w:val="multilevel"/>
    <w:tmpl w:val="57495DE6"/>
    <w:lvl w:ilvl="0" w:tentative="0">
      <w:start w:val="1"/>
      <w:numFmt w:val="decimalEnclosedCircle"/>
      <w:lvlText w:val="%1"/>
      <w:lvlJc w:val="left"/>
      <w:pPr>
        <w:ind w:left="804" w:hanging="360"/>
      </w:pPr>
      <w:rPr>
        <w:rFonts w:hint="default"/>
      </w:rPr>
    </w:lvl>
    <w:lvl w:ilvl="1" w:tentative="0">
      <w:start w:val="1"/>
      <w:numFmt w:val="lowerLetter"/>
      <w:lvlText w:val="%2)"/>
      <w:lvlJc w:val="left"/>
      <w:pPr>
        <w:ind w:left="1324" w:hanging="440"/>
      </w:pPr>
    </w:lvl>
    <w:lvl w:ilvl="2" w:tentative="0">
      <w:start w:val="1"/>
      <w:numFmt w:val="lowerRoman"/>
      <w:lvlText w:val="%3."/>
      <w:lvlJc w:val="right"/>
      <w:pPr>
        <w:ind w:left="1764" w:hanging="440"/>
      </w:pPr>
    </w:lvl>
    <w:lvl w:ilvl="3" w:tentative="0">
      <w:start w:val="1"/>
      <w:numFmt w:val="decimal"/>
      <w:lvlText w:val="%4."/>
      <w:lvlJc w:val="left"/>
      <w:pPr>
        <w:ind w:left="2204" w:hanging="440"/>
      </w:pPr>
    </w:lvl>
    <w:lvl w:ilvl="4" w:tentative="0">
      <w:start w:val="1"/>
      <w:numFmt w:val="lowerLetter"/>
      <w:lvlText w:val="%5)"/>
      <w:lvlJc w:val="left"/>
      <w:pPr>
        <w:ind w:left="2644" w:hanging="440"/>
      </w:pPr>
    </w:lvl>
    <w:lvl w:ilvl="5" w:tentative="0">
      <w:start w:val="1"/>
      <w:numFmt w:val="lowerRoman"/>
      <w:lvlText w:val="%6."/>
      <w:lvlJc w:val="right"/>
      <w:pPr>
        <w:ind w:left="3084" w:hanging="440"/>
      </w:pPr>
    </w:lvl>
    <w:lvl w:ilvl="6" w:tentative="0">
      <w:start w:val="1"/>
      <w:numFmt w:val="decimal"/>
      <w:lvlText w:val="%7."/>
      <w:lvlJc w:val="left"/>
      <w:pPr>
        <w:ind w:left="3524" w:hanging="440"/>
      </w:pPr>
    </w:lvl>
    <w:lvl w:ilvl="7" w:tentative="0">
      <w:start w:val="1"/>
      <w:numFmt w:val="lowerLetter"/>
      <w:lvlText w:val="%8)"/>
      <w:lvlJc w:val="left"/>
      <w:pPr>
        <w:ind w:left="3964" w:hanging="440"/>
      </w:pPr>
    </w:lvl>
    <w:lvl w:ilvl="8" w:tentative="0">
      <w:start w:val="1"/>
      <w:numFmt w:val="lowerRoman"/>
      <w:lvlText w:val="%9."/>
      <w:lvlJc w:val="right"/>
      <w:pPr>
        <w:ind w:left="4404" w:hanging="440"/>
      </w:pPr>
    </w:lvl>
  </w:abstractNum>
  <w:abstractNum w:abstractNumId="38">
    <w:nsid w:val="5A621E8C"/>
    <w:multiLevelType w:val="multilevel"/>
    <w:tmpl w:val="5A621E8C"/>
    <w:lvl w:ilvl="0" w:tentative="0">
      <w:start w:val="1"/>
      <w:numFmt w:val="decimalEnclosedCircle"/>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9">
    <w:nsid w:val="5FAD3588"/>
    <w:multiLevelType w:val="multilevel"/>
    <w:tmpl w:val="5FAD3588"/>
    <w:lvl w:ilvl="0" w:tentative="0">
      <w:start w:val="1"/>
      <w:numFmt w:val="decimal"/>
      <w:suff w:val="nothing"/>
      <w:lvlText w:val="%1）"/>
      <w:lvlJc w:val="left"/>
      <w:pPr>
        <w:ind w:left="0" w:firstLine="480"/>
      </w:pPr>
      <w:rPr>
        <w:rFonts w:hint="default" w:ascii="Times New Roman" w:hAnsi="Times New Roman"/>
      </w:rPr>
    </w:lvl>
    <w:lvl w:ilvl="1" w:tentative="0">
      <w:start w:val="1"/>
      <w:numFmt w:val="lowerLetter"/>
      <w:lvlText w:val="%2)"/>
      <w:lvlJc w:val="left"/>
      <w:pPr>
        <w:ind w:left="1364" w:hanging="420"/>
      </w:pPr>
    </w:lvl>
    <w:lvl w:ilvl="2" w:tentative="0">
      <w:start w:val="1"/>
      <w:numFmt w:val="lowerRoman"/>
      <w:lvlText w:val="%3."/>
      <w:lvlJc w:val="right"/>
      <w:pPr>
        <w:ind w:left="1784" w:hanging="420"/>
      </w:pPr>
    </w:lvl>
    <w:lvl w:ilvl="3" w:tentative="0">
      <w:start w:val="1"/>
      <w:numFmt w:val="decimal"/>
      <w:lvlText w:val="%4."/>
      <w:lvlJc w:val="left"/>
      <w:pPr>
        <w:ind w:left="2204" w:hanging="420"/>
      </w:pPr>
    </w:lvl>
    <w:lvl w:ilvl="4" w:tentative="0">
      <w:start w:val="1"/>
      <w:numFmt w:val="lowerLetter"/>
      <w:lvlText w:val="%5)"/>
      <w:lvlJc w:val="left"/>
      <w:pPr>
        <w:ind w:left="2624" w:hanging="420"/>
      </w:pPr>
    </w:lvl>
    <w:lvl w:ilvl="5" w:tentative="0">
      <w:start w:val="1"/>
      <w:numFmt w:val="lowerRoman"/>
      <w:lvlText w:val="%6."/>
      <w:lvlJc w:val="right"/>
      <w:pPr>
        <w:ind w:left="3044" w:hanging="420"/>
      </w:pPr>
    </w:lvl>
    <w:lvl w:ilvl="6" w:tentative="0">
      <w:start w:val="1"/>
      <w:numFmt w:val="decimal"/>
      <w:lvlText w:val="%7."/>
      <w:lvlJc w:val="left"/>
      <w:pPr>
        <w:ind w:left="3464" w:hanging="420"/>
      </w:pPr>
    </w:lvl>
    <w:lvl w:ilvl="7" w:tentative="0">
      <w:start w:val="1"/>
      <w:numFmt w:val="lowerLetter"/>
      <w:lvlText w:val="%8)"/>
      <w:lvlJc w:val="left"/>
      <w:pPr>
        <w:ind w:left="3884" w:hanging="420"/>
      </w:pPr>
    </w:lvl>
    <w:lvl w:ilvl="8" w:tentative="0">
      <w:start w:val="1"/>
      <w:numFmt w:val="lowerRoman"/>
      <w:lvlText w:val="%9."/>
      <w:lvlJc w:val="right"/>
      <w:pPr>
        <w:ind w:left="4304" w:hanging="420"/>
      </w:pPr>
    </w:lvl>
  </w:abstractNum>
  <w:abstractNum w:abstractNumId="40">
    <w:nsid w:val="6137565C"/>
    <w:multiLevelType w:val="multilevel"/>
    <w:tmpl w:val="6137565C"/>
    <w:lvl w:ilvl="0" w:tentative="0">
      <w:start w:val="1"/>
      <w:numFmt w:val="decimal"/>
      <w:lvlText w:val="（%1）"/>
      <w:lvlJc w:val="left"/>
      <w:pPr>
        <w:tabs>
          <w:tab w:val="left" w:pos="567"/>
        </w:tabs>
        <w:ind w:left="0" w:firstLine="0"/>
      </w:pPr>
      <w:rPr>
        <w:rFonts w:hint="default" w:ascii="Times New Roman" w:hAnsi="Times New Roman" w:cs="Times New Roman"/>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1">
    <w:nsid w:val="62A93284"/>
    <w:multiLevelType w:val="multilevel"/>
    <w:tmpl w:val="62A93284"/>
    <w:lvl w:ilvl="0" w:tentative="0">
      <w:start w:val="1"/>
      <w:numFmt w:val="decimal"/>
      <w:suff w:val="nothing"/>
      <w:lvlText w:val="（%1）"/>
      <w:lvlJc w:val="left"/>
      <w:pPr>
        <w:ind w:left="0" w:firstLine="0"/>
      </w:pPr>
      <w:rPr>
        <w:rFonts w:hint="eastAsia" w:ascii="华文细黑" w:hAnsi="华文细黑" w:eastAsia="华文细黑" w:cs="Times New Roman"/>
        <w:lang w:val="en-U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2">
    <w:nsid w:val="62DE3A42"/>
    <w:multiLevelType w:val="multilevel"/>
    <w:tmpl w:val="62DE3A42"/>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3">
    <w:nsid w:val="6386CECB"/>
    <w:multiLevelType w:val="singleLevel"/>
    <w:tmpl w:val="6386CECB"/>
    <w:lvl w:ilvl="0" w:tentative="0">
      <w:start w:val="1"/>
      <w:numFmt w:val="decimal"/>
      <w:suff w:val="nothing"/>
      <w:lvlText w:val="%1、"/>
      <w:lvlJc w:val="left"/>
    </w:lvl>
  </w:abstractNum>
  <w:abstractNum w:abstractNumId="44">
    <w:nsid w:val="655A7F64"/>
    <w:multiLevelType w:val="multilevel"/>
    <w:tmpl w:val="655A7F64"/>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5">
    <w:nsid w:val="66CB3ED1"/>
    <w:multiLevelType w:val="multilevel"/>
    <w:tmpl w:val="66CB3ED1"/>
    <w:lvl w:ilvl="0" w:tentative="0">
      <w:start w:val="1"/>
      <w:numFmt w:val="decimal"/>
      <w:lvlText w:val="（%1）"/>
      <w:lvlJc w:val="left"/>
      <w:pPr>
        <w:ind w:left="900" w:hanging="420"/>
      </w:pPr>
      <w:rPr>
        <w:rFonts w:hint="default" w:ascii="Times New Roman" w:hAnsi="Times New Roman"/>
        <w:lang w:val="en-US"/>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6">
    <w:nsid w:val="758F4329"/>
    <w:multiLevelType w:val="multilevel"/>
    <w:tmpl w:val="758F4329"/>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7">
    <w:nsid w:val="75C969F2"/>
    <w:multiLevelType w:val="multilevel"/>
    <w:tmpl w:val="75C969F2"/>
    <w:lvl w:ilvl="0" w:tentative="0">
      <w:start w:val="1"/>
      <w:numFmt w:val="decimal"/>
      <w:lvlText w:val="(%1)"/>
      <w:lvlJc w:val="left"/>
      <w:pPr>
        <w:ind w:left="980" w:hanging="420"/>
      </w:pPr>
      <w:rPr>
        <w:rFonts w:hint="default" w:cs="Times New Roman"/>
      </w:rPr>
    </w:lvl>
    <w:lvl w:ilvl="1" w:tentative="0">
      <w:start w:val="1"/>
      <w:numFmt w:val="lowerLetter"/>
      <w:lvlText w:val="%2)"/>
      <w:lvlJc w:val="left"/>
      <w:pPr>
        <w:ind w:left="1400" w:hanging="420"/>
      </w:pPr>
    </w:lvl>
    <w:lvl w:ilvl="2" w:tentative="0">
      <w:start w:val="1"/>
      <w:numFmt w:val="lowerRoman"/>
      <w:lvlText w:val="%3."/>
      <w:lvlJc w:val="right"/>
      <w:pPr>
        <w:ind w:left="1820" w:hanging="420"/>
      </w:pPr>
    </w:lvl>
    <w:lvl w:ilvl="3" w:tentative="0">
      <w:start w:val="1"/>
      <w:numFmt w:val="decimal"/>
      <w:lvlText w:val="%4."/>
      <w:lvlJc w:val="left"/>
      <w:pPr>
        <w:ind w:left="2240" w:hanging="420"/>
      </w:pPr>
    </w:lvl>
    <w:lvl w:ilvl="4" w:tentative="0">
      <w:start w:val="1"/>
      <w:numFmt w:val="lowerLetter"/>
      <w:lvlText w:val="%5)"/>
      <w:lvlJc w:val="left"/>
      <w:pPr>
        <w:ind w:left="2660" w:hanging="420"/>
      </w:pPr>
    </w:lvl>
    <w:lvl w:ilvl="5" w:tentative="0">
      <w:start w:val="1"/>
      <w:numFmt w:val="lowerRoman"/>
      <w:lvlText w:val="%6."/>
      <w:lvlJc w:val="right"/>
      <w:pPr>
        <w:ind w:left="3080" w:hanging="420"/>
      </w:pPr>
    </w:lvl>
    <w:lvl w:ilvl="6" w:tentative="0">
      <w:start w:val="1"/>
      <w:numFmt w:val="decimal"/>
      <w:lvlText w:val="%7."/>
      <w:lvlJc w:val="left"/>
      <w:pPr>
        <w:ind w:left="3500" w:hanging="420"/>
      </w:pPr>
    </w:lvl>
    <w:lvl w:ilvl="7" w:tentative="0">
      <w:start w:val="1"/>
      <w:numFmt w:val="lowerLetter"/>
      <w:lvlText w:val="%8)"/>
      <w:lvlJc w:val="left"/>
      <w:pPr>
        <w:ind w:left="3920" w:hanging="420"/>
      </w:pPr>
    </w:lvl>
    <w:lvl w:ilvl="8" w:tentative="0">
      <w:start w:val="1"/>
      <w:numFmt w:val="lowerRoman"/>
      <w:lvlText w:val="%9."/>
      <w:lvlJc w:val="right"/>
      <w:pPr>
        <w:ind w:left="4340" w:hanging="420"/>
      </w:pPr>
    </w:lvl>
  </w:abstractNum>
  <w:abstractNum w:abstractNumId="48">
    <w:nsid w:val="761A1492"/>
    <w:multiLevelType w:val="multilevel"/>
    <w:tmpl w:val="761A1492"/>
    <w:lvl w:ilvl="0" w:tentative="0">
      <w:start w:val="1"/>
      <w:numFmt w:val="decimal"/>
      <w:suff w:val="nothing"/>
      <w:lvlText w:val="（%1）"/>
      <w:lvlJc w:val="left"/>
      <w:pPr>
        <w:ind w:left="57" w:firstLine="363"/>
      </w:pPr>
      <w:rPr>
        <w:rFonts w:hint="eastAsia" w:ascii="Times New Roman" w:hAnsi="Times New Roman" w:eastAsia="宋体"/>
      </w:rPr>
    </w:lvl>
    <w:lvl w:ilvl="1" w:tentative="0">
      <w:start w:val="1"/>
      <w:numFmt w:val="lowerLetter"/>
      <w:lvlText w:val="%2)"/>
      <w:lvlJc w:val="left"/>
      <w:pPr>
        <w:tabs>
          <w:tab w:val="left" w:pos="1254"/>
        </w:tabs>
        <w:ind w:left="1254" w:hanging="420"/>
      </w:pPr>
    </w:lvl>
    <w:lvl w:ilvl="2" w:tentative="0">
      <w:start w:val="1"/>
      <w:numFmt w:val="lowerRoman"/>
      <w:lvlText w:val="%3."/>
      <w:lvlJc w:val="right"/>
      <w:pPr>
        <w:tabs>
          <w:tab w:val="left" w:pos="1674"/>
        </w:tabs>
        <w:ind w:left="1674" w:hanging="420"/>
      </w:pPr>
    </w:lvl>
    <w:lvl w:ilvl="3" w:tentative="0">
      <w:start w:val="1"/>
      <w:numFmt w:val="decimal"/>
      <w:lvlText w:val="%4."/>
      <w:lvlJc w:val="left"/>
      <w:pPr>
        <w:tabs>
          <w:tab w:val="left" w:pos="2094"/>
        </w:tabs>
        <w:ind w:left="2094" w:hanging="420"/>
      </w:pPr>
    </w:lvl>
    <w:lvl w:ilvl="4" w:tentative="0">
      <w:start w:val="1"/>
      <w:numFmt w:val="lowerLetter"/>
      <w:lvlText w:val="%5)"/>
      <w:lvlJc w:val="left"/>
      <w:pPr>
        <w:tabs>
          <w:tab w:val="left" w:pos="2514"/>
        </w:tabs>
        <w:ind w:left="2514" w:hanging="420"/>
      </w:pPr>
    </w:lvl>
    <w:lvl w:ilvl="5" w:tentative="0">
      <w:start w:val="1"/>
      <w:numFmt w:val="lowerRoman"/>
      <w:lvlText w:val="%6."/>
      <w:lvlJc w:val="right"/>
      <w:pPr>
        <w:tabs>
          <w:tab w:val="left" w:pos="2934"/>
        </w:tabs>
        <w:ind w:left="2934" w:hanging="420"/>
      </w:pPr>
    </w:lvl>
    <w:lvl w:ilvl="6" w:tentative="0">
      <w:start w:val="1"/>
      <w:numFmt w:val="decimal"/>
      <w:lvlText w:val="%7."/>
      <w:lvlJc w:val="left"/>
      <w:pPr>
        <w:tabs>
          <w:tab w:val="left" w:pos="3354"/>
        </w:tabs>
        <w:ind w:left="3354" w:hanging="420"/>
      </w:pPr>
    </w:lvl>
    <w:lvl w:ilvl="7" w:tentative="0">
      <w:start w:val="1"/>
      <w:numFmt w:val="lowerLetter"/>
      <w:lvlText w:val="%8)"/>
      <w:lvlJc w:val="left"/>
      <w:pPr>
        <w:tabs>
          <w:tab w:val="left" w:pos="3774"/>
        </w:tabs>
        <w:ind w:left="3774" w:hanging="420"/>
      </w:pPr>
    </w:lvl>
    <w:lvl w:ilvl="8" w:tentative="0">
      <w:start w:val="1"/>
      <w:numFmt w:val="lowerRoman"/>
      <w:lvlText w:val="%9."/>
      <w:lvlJc w:val="right"/>
      <w:pPr>
        <w:tabs>
          <w:tab w:val="left" w:pos="4194"/>
        </w:tabs>
        <w:ind w:left="4194" w:hanging="420"/>
      </w:pPr>
    </w:lvl>
  </w:abstractNum>
  <w:abstractNum w:abstractNumId="49">
    <w:nsid w:val="79D65F10"/>
    <w:multiLevelType w:val="multilevel"/>
    <w:tmpl w:val="79D65F10"/>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50">
    <w:nsid w:val="7C1626B9"/>
    <w:multiLevelType w:val="multilevel"/>
    <w:tmpl w:val="7C1626B9"/>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1">
    <w:nsid w:val="7C1C7FF3"/>
    <w:multiLevelType w:val="multilevel"/>
    <w:tmpl w:val="7C1C7FF3"/>
    <w:lvl w:ilvl="0" w:tentative="0">
      <w:start w:val="0"/>
      <w:numFmt w:val="bullet"/>
      <w:lvlText w:val=""/>
      <w:lvlJc w:val="left"/>
      <w:pPr>
        <w:ind w:left="900" w:hanging="420"/>
      </w:pPr>
      <w:rPr>
        <w:rFonts w:hint="default" w:ascii="Wingdings" w:hAnsi="Wingdings" w:eastAsia="宋体" w:cs="Times New Roman"/>
        <w:b w:val="0"/>
        <w:color w:val="008000"/>
        <w:lang w:val="en-US"/>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52">
    <w:nsid w:val="7D3B1CCB"/>
    <w:multiLevelType w:val="multilevel"/>
    <w:tmpl w:val="7D3B1CCB"/>
    <w:lvl w:ilvl="0" w:tentative="0">
      <w:start w:val="1"/>
      <w:numFmt w:val="decimal"/>
      <w:pStyle w:val="421"/>
      <w:suff w:val="nothing"/>
      <w:lvlText w:val="%1、"/>
      <w:lvlJc w:val="left"/>
      <w:pPr>
        <w:ind w:left="865" w:hanging="440"/>
      </w:pPr>
      <w:rPr>
        <w:rFonts w:ascii="Times New Roman" w:hAnsi="Times New Roman" w:eastAsia="宋体" w:cs="Times New Roman"/>
      </w:rPr>
    </w:lvl>
    <w:lvl w:ilvl="1" w:tentative="0">
      <w:start w:val="1"/>
      <w:numFmt w:val="decimal"/>
      <w:lvlText w:val="%2、"/>
      <w:lvlJc w:val="left"/>
      <w:pPr>
        <w:ind w:left="785" w:hanging="360"/>
      </w:pPr>
      <w:rPr>
        <w:rFonts w:hint="default"/>
      </w:rPr>
    </w:lvl>
    <w:lvl w:ilvl="2" w:tentative="0">
      <w:start w:val="1"/>
      <w:numFmt w:val="lowerRoman"/>
      <w:lvlText w:val="%3."/>
      <w:lvlJc w:val="right"/>
      <w:pPr>
        <w:ind w:left="1305" w:hanging="440"/>
      </w:pPr>
    </w:lvl>
    <w:lvl w:ilvl="3" w:tentative="0">
      <w:start w:val="1"/>
      <w:numFmt w:val="decimal"/>
      <w:lvlText w:val="%4."/>
      <w:lvlJc w:val="left"/>
      <w:pPr>
        <w:ind w:left="1745" w:hanging="440"/>
      </w:pPr>
    </w:lvl>
    <w:lvl w:ilvl="4" w:tentative="0">
      <w:start w:val="4"/>
      <w:numFmt w:val="decimal"/>
      <w:lvlText w:val="（%5）"/>
      <w:lvlJc w:val="left"/>
      <w:pPr>
        <w:ind w:left="2465" w:hanging="720"/>
      </w:pPr>
      <w:rPr>
        <w:rFonts w:hint="default"/>
      </w:rPr>
    </w:lvl>
    <w:lvl w:ilvl="5" w:tentative="0">
      <w:start w:val="1"/>
      <w:numFmt w:val="lowerRoman"/>
      <w:lvlText w:val="%6."/>
      <w:lvlJc w:val="right"/>
      <w:pPr>
        <w:ind w:left="2625" w:hanging="440"/>
      </w:pPr>
    </w:lvl>
    <w:lvl w:ilvl="6" w:tentative="0">
      <w:start w:val="1"/>
      <w:numFmt w:val="decimal"/>
      <w:lvlText w:val="%7."/>
      <w:lvlJc w:val="left"/>
      <w:pPr>
        <w:ind w:left="3065" w:hanging="440"/>
      </w:pPr>
    </w:lvl>
    <w:lvl w:ilvl="7" w:tentative="0">
      <w:start w:val="1"/>
      <w:numFmt w:val="lowerLetter"/>
      <w:lvlText w:val="%8)"/>
      <w:lvlJc w:val="left"/>
      <w:pPr>
        <w:ind w:left="3505" w:hanging="440"/>
      </w:pPr>
    </w:lvl>
    <w:lvl w:ilvl="8" w:tentative="0">
      <w:start w:val="1"/>
      <w:numFmt w:val="lowerRoman"/>
      <w:lvlText w:val="%9."/>
      <w:lvlJc w:val="right"/>
      <w:pPr>
        <w:ind w:left="3945" w:hanging="440"/>
      </w:pPr>
    </w:lvl>
  </w:abstractNum>
  <w:abstractNum w:abstractNumId="53">
    <w:nsid w:val="7EED218B"/>
    <w:multiLevelType w:val="multilevel"/>
    <w:tmpl w:val="7EED218B"/>
    <w:lvl w:ilvl="0" w:tentative="0">
      <w:start w:val="1"/>
      <w:numFmt w:val="decimal"/>
      <w:suff w:val="nothing"/>
      <w:lvlText w:val="（%1）"/>
      <w:lvlJc w:val="left"/>
      <w:pPr>
        <w:ind w:left="0" w:firstLine="0"/>
      </w:pPr>
      <w:rPr>
        <w:rFonts w:hint="eastAsia" w:ascii="华文细黑" w:hAnsi="华文细黑" w:eastAsia="华文细黑" w:cs="Times New Roman"/>
        <w:lang w:val="en-U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4">
    <w:nsid w:val="7EF3036A"/>
    <w:multiLevelType w:val="multilevel"/>
    <w:tmpl w:val="7EF3036A"/>
    <w:lvl w:ilvl="0" w:tentative="0">
      <w:start w:val="1"/>
      <w:numFmt w:val="decimal"/>
      <w:suff w:val="nothing"/>
      <w:lvlText w:val="（%1）"/>
      <w:lvlJc w:val="left"/>
      <w:pPr>
        <w:ind w:left="0" w:firstLine="0"/>
      </w:pPr>
      <w:rPr>
        <w:rFonts w:hint="eastAsia" w:ascii="华文细黑" w:hAnsi="华文细黑" w:eastAsia="华文细黑" w:cs="Times New Roman"/>
        <w:lang w:val="en-U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32"/>
  </w:num>
  <w:num w:numId="2">
    <w:abstractNumId w:val="34"/>
  </w:num>
  <w:num w:numId="3">
    <w:abstractNumId w:val="24"/>
  </w:num>
  <w:num w:numId="4">
    <w:abstractNumId w:val="52"/>
  </w:num>
  <w:num w:numId="5">
    <w:abstractNumId w:val="45"/>
  </w:num>
  <w:num w:numId="6">
    <w:abstractNumId w:val="28"/>
  </w:num>
  <w:num w:numId="7">
    <w:abstractNumId w:val="35"/>
  </w:num>
  <w:num w:numId="8">
    <w:abstractNumId w:val="8"/>
  </w:num>
  <w:num w:numId="9">
    <w:abstractNumId w:val="1"/>
  </w:num>
  <w:num w:numId="10">
    <w:abstractNumId w:val="2"/>
  </w:num>
  <w:num w:numId="11">
    <w:abstractNumId w:val="3"/>
  </w:num>
  <w:num w:numId="12">
    <w:abstractNumId w:val="4"/>
  </w:num>
  <w:num w:numId="13">
    <w:abstractNumId w:val="51"/>
  </w:num>
  <w:num w:numId="14">
    <w:abstractNumId w:val="52"/>
    <w:lvlOverride w:ilvl="0">
      <w:startOverride w:val="1"/>
    </w:lvlOverride>
  </w:num>
  <w:num w:numId="15">
    <w:abstractNumId w:val="43"/>
  </w:num>
  <w:num w:numId="16">
    <w:abstractNumId w:val="5"/>
  </w:num>
  <w:num w:numId="17">
    <w:abstractNumId w:val="6"/>
  </w:num>
  <w:num w:numId="18">
    <w:abstractNumId w:val="38"/>
  </w:num>
  <w:num w:numId="19">
    <w:abstractNumId w:val="37"/>
  </w:num>
  <w:num w:numId="20">
    <w:abstractNumId w:val="0"/>
  </w:num>
  <w:num w:numId="21">
    <w:abstractNumId w:val="49"/>
  </w:num>
  <w:num w:numId="22">
    <w:abstractNumId w:val="14"/>
  </w:num>
  <w:num w:numId="23">
    <w:abstractNumId w:val="10"/>
  </w:num>
  <w:num w:numId="24">
    <w:abstractNumId w:val="13"/>
  </w:num>
  <w:num w:numId="25">
    <w:abstractNumId w:val="36"/>
  </w:num>
  <w:num w:numId="26">
    <w:abstractNumId w:val="42"/>
  </w:num>
  <w:num w:numId="27">
    <w:abstractNumId w:val="46"/>
  </w:num>
  <w:num w:numId="28">
    <w:abstractNumId w:val="18"/>
  </w:num>
  <w:num w:numId="29">
    <w:abstractNumId w:val="19"/>
  </w:num>
  <w:num w:numId="30">
    <w:abstractNumId w:val="41"/>
  </w:num>
  <w:num w:numId="31">
    <w:abstractNumId w:val="53"/>
  </w:num>
  <w:num w:numId="32">
    <w:abstractNumId w:val="15"/>
  </w:num>
  <w:num w:numId="33">
    <w:abstractNumId w:val="12"/>
  </w:num>
  <w:num w:numId="34">
    <w:abstractNumId w:val="23"/>
  </w:num>
  <w:num w:numId="35">
    <w:abstractNumId w:val="29"/>
  </w:num>
  <w:num w:numId="36">
    <w:abstractNumId w:val="54"/>
  </w:num>
  <w:num w:numId="37">
    <w:abstractNumId w:val="33"/>
  </w:num>
  <w:num w:numId="38">
    <w:abstractNumId w:val="39"/>
  </w:num>
  <w:num w:numId="39">
    <w:abstractNumId w:val="16"/>
  </w:num>
  <w:num w:numId="40">
    <w:abstractNumId w:val="31"/>
  </w:num>
  <w:num w:numId="41">
    <w:abstractNumId w:val="9"/>
  </w:num>
  <w:num w:numId="4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7"/>
  </w:num>
  <w:num w:numId="4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7"/>
  </w:num>
  <w:num w:numId="46">
    <w:abstractNumId w:val="11"/>
  </w:num>
  <w:num w:numId="47">
    <w:abstractNumId w:val="25"/>
  </w:num>
  <w:num w:numId="48">
    <w:abstractNumId w:val="27"/>
  </w:num>
  <w:num w:numId="49">
    <w:abstractNumId w:val="48"/>
  </w:num>
  <w:num w:numId="50">
    <w:abstractNumId w:val="26"/>
  </w:num>
  <w:num w:numId="51">
    <w:abstractNumId w:val="17"/>
  </w:num>
  <w:num w:numId="52">
    <w:abstractNumId w:val="50"/>
  </w:num>
  <w:num w:numId="53">
    <w:abstractNumId w:val="21"/>
  </w:num>
  <w:num w:numId="54">
    <w:abstractNumId w:val="22"/>
  </w:num>
  <w:num w:numId="55">
    <w:abstractNumId w:val="44"/>
  </w:num>
  <w:num w:numId="56">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281"/>
  <w:drawingGridVerticalSpacing w:val="194"/>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zUzMjliZmEyMTE5MGEwMGRlZjk1ZDYyNmMxZmQ2ODYifQ=="/>
  </w:docVars>
  <w:rsids>
    <w:rsidRoot w:val="00172A27"/>
    <w:rsid w:val="000003D4"/>
    <w:rsid w:val="00000BE7"/>
    <w:rsid w:val="00000CCC"/>
    <w:rsid w:val="00001A6B"/>
    <w:rsid w:val="00001ABE"/>
    <w:rsid w:val="00002941"/>
    <w:rsid w:val="00002EDA"/>
    <w:rsid w:val="000032E2"/>
    <w:rsid w:val="00003905"/>
    <w:rsid w:val="00003C3D"/>
    <w:rsid w:val="00003CC0"/>
    <w:rsid w:val="0000437A"/>
    <w:rsid w:val="00004977"/>
    <w:rsid w:val="00004ECC"/>
    <w:rsid w:val="00005881"/>
    <w:rsid w:val="00005C2A"/>
    <w:rsid w:val="00005F60"/>
    <w:rsid w:val="00005FF6"/>
    <w:rsid w:val="00006013"/>
    <w:rsid w:val="00006633"/>
    <w:rsid w:val="000068E2"/>
    <w:rsid w:val="000070EA"/>
    <w:rsid w:val="0000719F"/>
    <w:rsid w:val="000072A3"/>
    <w:rsid w:val="000103EA"/>
    <w:rsid w:val="000106D2"/>
    <w:rsid w:val="00011B31"/>
    <w:rsid w:val="00011B4A"/>
    <w:rsid w:val="00011FBC"/>
    <w:rsid w:val="000121BA"/>
    <w:rsid w:val="000126A5"/>
    <w:rsid w:val="0001272A"/>
    <w:rsid w:val="000127AA"/>
    <w:rsid w:val="00013391"/>
    <w:rsid w:val="00013407"/>
    <w:rsid w:val="00014224"/>
    <w:rsid w:val="00014B69"/>
    <w:rsid w:val="00014CCA"/>
    <w:rsid w:val="00014D29"/>
    <w:rsid w:val="0001571B"/>
    <w:rsid w:val="000168D3"/>
    <w:rsid w:val="000168D4"/>
    <w:rsid w:val="00016C3F"/>
    <w:rsid w:val="00016D99"/>
    <w:rsid w:val="00017A44"/>
    <w:rsid w:val="00020AC9"/>
    <w:rsid w:val="0002153A"/>
    <w:rsid w:val="000225B6"/>
    <w:rsid w:val="00022853"/>
    <w:rsid w:val="00022B88"/>
    <w:rsid w:val="00022BF6"/>
    <w:rsid w:val="00022D43"/>
    <w:rsid w:val="000237EA"/>
    <w:rsid w:val="00023896"/>
    <w:rsid w:val="0002472A"/>
    <w:rsid w:val="0002515E"/>
    <w:rsid w:val="0002547E"/>
    <w:rsid w:val="00025E5E"/>
    <w:rsid w:val="00026506"/>
    <w:rsid w:val="00026D1F"/>
    <w:rsid w:val="000303E6"/>
    <w:rsid w:val="0003045D"/>
    <w:rsid w:val="0003070B"/>
    <w:rsid w:val="00030DDE"/>
    <w:rsid w:val="00030E85"/>
    <w:rsid w:val="00030EC3"/>
    <w:rsid w:val="0003118F"/>
    <w:rsid w:val="00031533"/>
    <w:rsid w:val="000316C1"/>
    <w:rsid w:val="00031822"/>
    <w:rsid w:val="00031A1F"/>
    <w:rsid w:val="00031C1D"/>
    <w:rsid w:val="00031FD3"/>
    <w:rsid w:val="000325EC"/>
    <w:rsid w:val="00032B14"/>
    <w:rsid w:val="00032FEF"/>
    <w:rsid w:val="0003358C"/>
    <w:rsid w:val="000337DC"/>
    <w:rsid w:val="00034577"/>
    <w:rsid w:val="00034FC5"/>
    <w:rsid w:val="000351D1"/>
    <w:rsid w:val="00035282"/>
    <w:rsid w:val="00035C3C"/>
    <w:rsid w:val="00036B44"/>
    <w:rsid w:val="00036C8A"/>
    <w:rsid w:val="00037989"/>
    <w:rsid w:val="00040A40"/>
    <w:rsid w:val="00040BBC"/>
    <w:rsid w:val="00040C0F"/>
    <w:rsid w:val="00040DE1"/>
    <w:rsid w:val="00040EF1"/>
    <w:rsid w:val="000410F7"/>
    <w:rsid w:val="00042B5A"/>
    <w:rsid w:val="00042C7D"/>
    <w:rsid w:val="00043A24"/>
    <w:rsid w:val="00043A71"/>
    <w:rsid w:val="00044028"/>
    <w:rsid w:val="00044D28"/>
    <w:rsid w:val="00045029"/>
    <w:rsid w:val="0004562C"/>
    <w:rsid w:val="000459A0"/>
    <w:rsid w:val="00046768"/>
    <w:rsid w:val="0004750F"/>
    <w:rsid w:val="00047771"/>
    <w:rsid w:val="0004781B"/>
    <w:rsid w:val="00047A5D"/>
    <w:rsid w:val="00050D5E"/>
    <w:rsid w:val="00050D64"/>
    <w:rsid w:val="00050DAA"/>
    <w:rsid w:val="000516AE"/>
    <w:rsid w:val="000521E7"/>
    <w:rsid w:val="000521F1"/>
    <w:rsid w:val="00053217"/>
    <w:rsid w:val="00053BDF"/>
    <w:rsid w:val="00053CCE"/>
    <w:rsid w:val="00053D43"/>
    <w:rsid w:val="000542B3"/>
    <w:rsid w:val="00054356"/>
    <w:rsid w:val="000543AE"/>
    <w:rsid w:val="000545DB"/>
    <w:rsid w:val="0005468A"/>
    <w:rsid w:val="00054A7C"/>
    <w:rsid w:val="00054B5E"/>
    <w:rsid w:val="0005557F"/>
    <w:rsid w:val="00055BBF"/>
    <w:rsid w:val="000560E3"/>
    <w:rsid w:val="000568DB"/>
    <w:rsid w:val="0005737D"/>
    <w:rsid w:val="00057D20"/>
    <w:rsid w:val="00057E95"/>
    <w:rsid w:val="00060038"/>
    <w:rsid w:val="00060578"/>
    <w:rsid w:val="000609FB"/>
    <w:rsid w:val="00060CEA"/>
    <w:rsid w:val="00061260"/>
    <w:rsid w:val="00061370"/>
    <w:rsid w:val="0006222A"/>
    <w:rsid w:val="000622ED"/>
    <w:rsid w:val="00063446"/>
    <w:rsid w:val="00063840"/>
    <w:rsid w:val="00063F38"/>
    <w:rsid w:val="0006434D"/>
    <w:rsid w:val="0006481B"/>
    <w:rsid w:val="00064A99"/>
    <w:rsid w:val="00064D64"/>
    <w:rsid w:val="0006531C"/>
    <w:rsid w:val="00065FDD"/>
    <w:rsid w:val="00066004"/>
    <w:rsid w:val="00066220"/>
    <w:rsid w:val="00066333"/>
    <w:rsid w:val="0006661D"/>
    <w:rsid w:val="00066974"/>
    <w:rsid w:val="000669EA"/>
    <w:rsid w:val="00066D8E"/>
    <w:rsid w:val="00066E05"/>
    <w:rsid w:val="00066E3B"/>
    <w:rsid w:val="0006747F"/>
    <w:rsid w:val="0006776F"/>
    <w:rsid w:val="00067C36"/>
    <w:rsid w:val="00067D41"/>
    <w:rsid w:val="00070266"/>
    <w:rsid w:val="00070C07"/>
    <w:rsid w:val="00070F81"/>
    <w:rsid w:val="000711C0"/>
    <w:rsid w:val="00071F74"/>
    <w:rsid w:val="00072414"/>
    <w:rsid w:val="0007289E"/>
    <w:rsid w:val="00072EBF"/>
    <w:rsid w:val="00072F57"/>
    <w:rsid w:val="00073011"/>
    <w:rsid w:val="0007334D"/>
    <w:rsid w:val="0007362D"/>
    <w:rsid w:val="00074367"/>
    <w:rsid w:val="00074C29"/>
    <w:rsid w:val="000750BC"/>
    <w:rsid w:val="00075B33"/>
    <w:rsid w:val="00076725"/>
    <w:rsid w:val="00077336"/>
    <w:rsid w:val="00077683"/>
    <w:rsid w:val="00080546"/>
    <w:rsid w:val="00080AEC"/>
    <w:rsid w:val="00080D6D"/>
    <w:rsid w:val="000811F0"/>
    <w:rsid w:val="000812F4"/>
    <w:rsid w:val="00081852"/>
    <w:rsid w:val="00081F42"/>
    <w:rsid w:val="0008256A"/>
    <w:rsid w:val="000825AA"/>
    <w:rsid w:val="000827D1"/>
    <w:rsid w:val="0008328D"/>
    <w:rsid w:val="00083640"/>
    <w:rsid w:val="000839AB"/>
    <w:rsid w:val="00083A9D"/>
    <w:rsid w:val="00083C6A"/>
    <w:rsid w:val="00083F83"/>
    <w:rsid w:val="000849B3"/>
    <w:rsid w:val="00084D5C"/>
    <w:rsid w:val="000851C4"/>
    <w:rsid w:val="00085401"/>
    <w:rsid w:val="000861A4"/>
    <w:rsid w:val="0008623B"/>
    <w:rsid w:val="000865F7"/>
    <w:rsid w:val="00086B45"/>
    <w:rsid w:val="00087BDB"/>
    <w:rsid w:val="00087F7A"/>
    <w:rsid w:val="000905BC"/>
    <w:rsid w:val="000905D9"/>
    <w:rsid w:val="00091042"/>
    <w:rsid w:val="00091119"/>
    <w:rsid w:val="000919B3"/>
    <w:rsid w:val="00091B2B"/>
    <w:rsid w:val="000920C2"/>
    <w:rsid w:val="00092516"/>
    <w:rsid w:val="00092F2F"/>
    <w:rsid w:val="0009307C"/>
    <w:rsid w:val="000934DE"/>
    <w:rsid w:val="00093BF6"/>
    <w:rsid w:val="00093F12"/>
    <w:rsid w:val="00094025"/>
    <w:rsid w:val="0009552B"/>
    <w:rsid w:val="00095835"/>
    <w:rsid w:val="00095AAF"/>
    <w:rsid w:val="00095B28"/>
    <w:rsid w:val="00095C78"/>
    <w:rsid w:val="000969B2"/>
    <w:rsid w:val="00096DF4"/>
    <w:rsid w:val="00097BE3"/>
    <w:rsid w:val="000A02C1"/>
    <w:rsid w:val="000A1AD8"/>
    <w:rsid w:val="000A1FBB"/>
    <w:rsid w:val="000A2309"/>
    <w:rsid w:val="000A2815"/>
    <w:rsid w:val="000A28C2"/>
    <w:rsid w:val="000A2C1C"/>
    <w:rsid w:val="000A2D19"/>
    <w:rsid w:val="000A3173"/>
    <w:rsid w:val="000A31C6"/>
    <w:rsid w:val="000A39D6"/>
    <w:rsid w:val="000A3E17"/>
    <w:rsid w:val="000A3E2C"/>
    <w:rsid w:val="000A3EF7"/>
    <w:rsid w:val="000A427B"/>
    <w:rsid w:val="000A4874"/>
    <w:rsid w:val="000A4D06"/>
    <w:rsid w:val="000A4DD3"/>
    <w:rsid w:val="000A51B2"/>
    <w:rsid w:val="000A6199"/>
    <w:rsid w:val="000A68D2"/>
    <w:rsid w:val="000A6A93"/>
    <w:rsid w:val="000A70E5"/>
    <w:rsid w:val="000A76D7"/>
    <w:rsid w:val="000A7D7B"/>
    <w:rsid w:val="000B03C2"/>
    <w:rsid w:val="000B06AE"/>
    <w:rsid w:val="000B0E0A"/>
    <w:rsid w:val="000B1334"/>
    <w:rsid w:val="000B17D1"/>
    <w:rsid w:val="000B1FE0"/>
    <w:rsid w:val="000B2949"/>
    <w:rsid w:val="000B2E45"/>
    <w:rsid w:val="000B3334"/>
    <w:rsid w:val="000B4852"/>
    <w:rsid w:val="000B537F"/>
    <w:rsid w:val="000B53F6"/>
    <w:rsid w:val="000B5C48"/>
    <w:rsid w:val="000B5C8C"/>
    <w:rsid w:val="000B626C"/>
    <w:rsid w:val="000B6E43"/>
    <w:rsid w:val="000B7672"/>
    <w:rsid w:val="000B7D58"/>
    <w:rsid w:val="000C0140"/>
    <w:rsid w:val="000C0598"/>
    <w:rsid w:val="000C15E0"/>
    <w:rsid w:val="000C178B"/>
    <w:rsid w:val="000C1CAF"/>
    <w:rsid w:val="000C243E"/>
    <w:rsid w:val="000C2769"/>
    <w:rsid w:val="000C29B1"/>
    <w:rsid w:val="000C3325"/>
    <w:rsid w:val="000C3775"/>
    <w:rsid w:val="000C38B4"/>
    <w:rsid w:val="000C3E3F"/>
    <w:rsid w:val="000C4067"/>
    <w:rsid w:val="000C46AD"/>
    <w:rsid w:val="000C47E3"/>
    <w:rsid w:val="000C4B3E"/>
    <w:rsid w:val="000C4BDB"/>
    <w:rsid w:val="000C507B"/>
    <w:rsid w:val="000C5214"/>
    <w:rsid w:val="000C5786"/>
    <w:rsid w:val="000C64E3"/>
    <w:rsid w:val="000C68E6"/>
    <w:rsid w:val="000C7609"/>
    <w:rsid w:val="000C76D4"/>
    <w:rsid w:val="000C77BD"/>
    <w:rsid w:val="000C78E3"/>
    <w:rsid w:val="000C7C33"/>
    <w:rsid w:val="000C7D82"/>
    <w:rsid w:val="000D0422"/>
    <w:rsid w:val="000D071C"/>
    <w:rsid w:val="000D157A"/>
    <w:rsid w:val="000D240D"/>
    <w:rsid w:val="000D2C6C"/>
    <w:rsid w:val="000D2DD8"/>
    <w:rsid w:val="000D2F36"/>
    <w:rsid w:val="000D363B"/>
    <w:rsid w:val="000D3E8F"/>
    <w:rsid w:val="000D43AD"/>
    <w:rsid w:val="000D43F8"/>
    <w:rsid w:val="000D4627"/>
    <w:rsid w:val="000D466B"/>
    <w:rsid w:val="000D4D33"/>
    <w:rsid w:val="000D4E86"/>
    <w:rsid w:val="000D4F29"/>
    <w:rsid w:val="000D51F9"/>
    <w:rsid w:val="000D567A"/>
    <w:rsid w:val="000D5C2C"/>
    <w:rsid w:val="000D5F8A"/>
    <w:rsid w:val="000D6442"/>
    <w:rsid w:val="000D6EC3"/>
    <w:rsid w:val="000D6FB5"/>
    <w:rsid w:val="000D7450"/>
    <w:rsid w:val="000D7797"/>
    <w:rsid w:val="000D785B"/>
    <w:rsid w:val="000D7DDB"/>
    <w:rsid w:val="000D7E2E"/>
    <w:rsid w:val="000D7FB1"/>
    <w:rsid w:val="000E03DC"/>
    <w:rsid w:val="000E07E5"/>
    <w:rsid w:val="000E0F93"/>
    <w:rsid w:val="000E15DA"/>
    <w:rsid w:val="000E166F"/>
    <w:rsid w:val="000E1783"/>
    <w:rsid w:val="000E1830"/>
    <w:rsid w:val="000E19E9"/>
    <w:rsid w:val="000E1B2E"/>
    <w:rsid w:val="000E1DA7"/>
    <w:rsid w:val="000E1FA2"/>
    <w:rsid w:val="000E24EF"/>
    <w:rsid w:val="000E27CF"/>
    <w:rsid w:val="000E28EF"/>
    <w:rsid w:val="000E38C7"/>
    <w:rsid w:val="000E393A"/>
    <w:rsid w:val="000E3DCF"/>
    <w:rsid w:val="000E3E3D"/>
    <w:rsid w:val="000E43EF"/>
    <w:rsid w:val="000E478A"/>
    <w:rsid w:val="000E48BC"/>
    <w:rsid w:val="000E5D12"/>
    <w:rsid w:val="000E666B"/>
    <w:rsid w:val="000E70F0"/>
    <w:rsid w:val="000E7250"/>
    <w:rsid w:val="000E738B"/>
    <w:rsid w:val="000E7A98"/>
    <w:rsid w:val="000E7BD2"/>
    <w:rsid w:val="000E7DF0"/>
    <w:rsid w:val="000F05D1"/>
    <w:rsid w:val="000F09BD"/>
    <w:rsid w:val="000F0F2D"/>
    <w:rsid w:val="000F1220"/>
    <w:rsid w:val="000F1377"/>
    <w:rsid w:val="000F1901"/>
    <w:rsid w:val="000F1A3D"/>
    <w:rsid w:val="000F1E87"/>
    <w:rsid w:val="000F2597"/>
    <w:rsid w:val="000F27E5"/>
    <w:rsid w:val="000F3049"/>
    <w:rsid w:val="000F34C6"/>
    <w:rsid w:val="000F3538"/>
    <w:rsid w:val="000F3A18"/>
    <w:rsid w:val="000F41B7"/>
    <w:rsid w:val="000F4676"/>
    <w:rsid w:val="000F4DCB"/>
    <w:rsid w:val="000F515C"/>
    <w:rsid w:val="000F5344"/>
    <w:rsid w:val="000F55E0"/>
    <w:rsid w:val="000F5C24"/>
    <w:rsid w:val="000F5EAC"/>
    <w:rsid w:val="000F6516"/>
    <w:rsid w:val="000F6A6D"/>
    <w:rsid w:val="000F6B8D"/>
    <w:rsid w:val="000F6C10"/>
    <w:rsid w:val="000F723B"/>
    <w:rsid w:val="000F7328"/>
    <w:rsid w:val="000F7C47"/>
    <w:rsid w:val="00100420"/>
    <w:rsid w:val="001006F2"/>
    <w:rsid w:val="001007F8"/>
    <w:rsid w:val="001021EC"/>
    <w:rsid w:val="0010240A"/>
    <w:rsid w:val="00102499"/>
    <w:rsid w:val="00103E44"/>
    <w:rsid w:val="00104391"/>
    <w:rsid w:val="001049D4"/>
    <w:rsid w:val="00104ABC"/>
    <w:rsid w:val="001053F7"/>
    <w:rsid w:val="00105E35"/>
    <w:rsid w:val="00106DCB"/>
    <w:rsid w:val="0011021E"/>
    <w:rsid w:val="001103F3"/>
    <w:rsid w:val="001104CE"/>
    <w:rsid w:val="001105A0"/>
    <w:rsid w:val="00110BB8"/>
    <w:rsid w:val="00110F45"/>
    <w:rsid w:val="0011120F"/>
    <w:rsid w:val="0011225A"/>
    <w:rsid w:val="0011248F"/>
    <w:rsid w:val="00112BAB"/>
    <w:rsid w:val="00112CA9"/>
    <w:rsid w:val="00112D3C"/>
    <w:rsid w:val="001131CA"/>
    <w:rsid w:val="0011331D"/>
    <w:rsid w:val="00113458"/>
    <w:rsid w:val="00113D7C"/>
    <w:rsid w:val="00114103"/>
    <w:rsid w:val="001141A7"/>
    <w:rsid w:val="00114C3F"/>
    <w:rsid w:val="00114F60"/>
    <w:rsid w:val="001150EF"/>
    <w:rsid w:val="00115210"/>
    <w:rsid w:val="00115633"/>
    <w:rsid w:val="00115795"/>
    <w:rsid w:val="00115BAF"/>
    <w:rsid w:val="00115F02"/>
    <w:rsid w:val="0011625F"/>
    <w:rsid w:val="00116446"/>
    <w:rsid w:val="001165AE"/>
    <w:rsid w:val="00116C87"/>
    <w:rsid w:val="00116DDD"/>
    <w:rsid w:val="0011739A"/>
    <w:rsid w:val="00117C62"/>
    <w:rsid w:val="0012003B"/>
    <w:rsid w:val="001204BC"/>
    <w:rsid w:val="00120A74"/>
    <w:rsid w:val="001212EA"/>
    <w:rsid w:val="001214FD"/>
    <w:rsid w:val="0012170D"/>
    <w:rsid w:val="0012268A"/>
    <w:rsid w:val="00123522"/>
    <w:rsid w:val="001238ED"/>
    <w:rsid w:val="00124FE9"/>
    <w:rsid w:val="00125204"/>
    <w:rsid w:val="00125A69"/>
    <w:rsid w:val="00126088"/>
    <w:rsid w:val="00127433"/>
    <w:rsid w:val="001274FC"/>
    <w:rsid w:val="00127856"/>
    <w:rsid w:val="00127FCF"/>
    <w:rsid w:val="001306CF"/>
    <w:rsid w:val="00130D67"/>
    <w:rsid w:val="00131018"/>
    <w:rsid w:val="001310BE"/>
    <w:rsid w:val="00131374"/>
    <w:rsid w:val="001315D0"/>
    <w:rsid w:val="00131DE4"/>
    <w:rsid w:val="001323A4"/>
    <w:rsid w:val="001324F8"/>
    <w:rsid w:val="00132AF1"/>
    <w:rsid w:val="00132EC8"/>
    <w:rsid w:val="00132F39"/>
    <w:rsid w:val="00133270"/>
    <w:rsid w:val="00133990"/>
    <w:rsid w:val="00133A0A"/>
    <w:rsid w:val="0013494F"/>
    <w:rsid w:val="00134960"/>
    <w:rsid w:val="00134C2F"/>
    <w:rsid w:val="00136689"/>
    <w:rsid w:val="00136781"/>
    <w:rsid w:val="001368D0"/>
    <w:rsid w:val="00136ACA"/>
    <w:rsid w:val="00136B00"/>
    <w:rsid w:val="00136F79"/>
    <w:rsid w:val="001375F7"/>
    <w:rsid w:val="00137787"/>
    <w:rsid w:val="001377C7"/>
    <w:rsid w:val="00137ED3"/>
    <w:rsid w:val="00140411"/>
    <w:rsid w:val="00140574"/>
    <w:rsid w:val="001407C5"/>
    <w:rsid w:val="001413E7"/>
    <w:rsid w:val="00141F33"/>
    <w:rsid w:val="00142252"/>
    <w:rsid w:val="00142317"/>
    <w:rsid w:val="00142534"/>
    <w:rsid w:val="00142583"/>
    <w:rsid w:val="00142D46"/>
    <w:rsid w:val="0014313F"/>
    <w:rsid w:val="00143EBF"/>
    <w:rsid w:val="00144129"/>
    <w:rsid w:val="00144315"/>
    <w:rsid w:val="00144CB2"/>
    <w:rsid w:val="00145710"/>
    <w:rsid w:val="00145A5D"/>
    <w:rsid w:val="00146509"/>
    <w:rsid w:val="00146AD5"/>
    <w:rsid w:val="00146C63"/>
    <w:rsid w:val="001473E3"/>
    <w:rsid w:val="00147412"/>
    <w:rsid w:val="001479B6"/>
    <w:rsid w:val="00147BD6"/>
    <w:rsid w:val="00150585"/>
    <w:rsid w:val="00150B7D"/>
    <w:rsid w:val="00150BF5"/>
    <w:rsid w:val="00150FEC"/>
    <w:rsid w:val="00151F2F"/>
    <w:rsid w:val="00152065"/>
    <w:rsid w:val="00152BA3"/>
    <w:rsid w:val="001537C9"/>
    <w:rsid w:val="00153892"/>
    <w:rsid w:val="00153999"/>
    <w:rsid w:val="00153DD0"/>
    <w:rsid w:val="00155A91"/>
    <w:rsid w:val="00156254"/>
    <w:rsid w:val="00156BC7"/>
    <w:rsid w:val="00156EF9"/>
    <w:rsid w:val="001573A6"/>
    <w:rsid w:val="0015751A"/>
    <w:rsid w:val="001578E4"/>
    <w:rsid w:val="001602E8"/>
    <w:rsid w:val="0016044E"/>
    <w:rsid w:val="00160928"/>
    <w:rsid w:val="00160A7C"/>
    <w:rsid w:val="00161299"/>
    <w:rsid w:val="0016135E"/>
    <w:rsid w:val="001613F6"/>
    <w:rsid w:val="001614E7"/>
    <w:rsid w:val="00161F11"/>
    <w:rsid w:val="001624C7"/>
    <w:rsid w:val="00162904"/>
    <w:rsid w:val="00162E5C"/>
    <w:rsid w:val="0016308C"/>
    <w:rsid w:val="001630B2"/>
    <w:rsid w:val="001634B6"/>
    <w:rsid w:val="00163684"/>
    <w:rsid w:val="00163B8B"/>
    <w:rsid w:val="00163CCF"/>
    <w:rsid w:val="00164340"/>
    <w:rsid w:val="001649C0"/>
    <w:rsid w:val="00165171"/>
    <w:rsid w:val="0016518D"/>
    <w:rsid w:val="001656B8"/>
    <w:rsid w:val="001658ED"/>
    <w:rsid w:val="0016599D"/>
    <w:rsid w:val="001659A0"/>
    <w:rsid w:val="00165C67"/>
    <w:rsid w:val="00165F5F"/>
    <w:rsid w:val="001662BB"/>
    <w:rsid w:val="001669AC"/>
    <w:rsid w:val="001669C7"/>
    <w:rsid w:val="0016741F"/>
    <w:rsid w:val="00167594"/>
    <w:rsid w:val="001676D8"/>
    <w:rsid w:val="001703ED"/>
    <w:rsid w:val="00170A23"/>
    <w:rsid w:val="00170F76"/>
    <w:rsid w:val="0017130C"/>
    <w:rsid w:val="0017146D"/>
    <w:rsid w:val="0017158A"/>
    <w:rsid w:val="00171659"/>
    <w:rsid w:val="0017179F"/>
    <w:rsid w:val="00171ABC"/>
    <w:rsid w:val="00171C45"/>
    <w:rsid w:val="00171CCC"/>
    <w:rsid w:val="00172593"/>
    <w:rsid w:val="001726BF"/>
    <w:rsid w:val="00172A27"/>
    <w:rsid w:val="00172E43"/>
    <w:rsid w:val="001732B6"/>
    <w:rsid w:val="00174172"/>
    <w:rsid w:val="001743FC"/>
    <w:rsid w:val="0017484D"/>
    <w:rsid w:val="00174BCA"/>
    <w:rsid w:val="00175E97"/>
    <w:rsid w:val="00175F97"/>
    <w:rsid w:val="00176214"/>
    <w:rsid w:val="001765BF"/>
    <w:rsid w:val="00176DD0"/>
    <w:rsid w:val="00176ECB"/>
    <w:rsid w:val="001770AD"/>
    <w:rsid w:val="00177118"/>
    <w:rsid w:val="001774CF"/>
    <w:rsid w:val="00177570"/>
    <w:rsid w:val="00177CF3"/>
    <w:rsid w:val="0018023B"/>
    <w:rsid w:val="00180403"/>
    <w:rsid w:val="001810E9"/>
    <w:rsid w:val="0018228F"/>
    <w:rsid w:val="00182550"/>
    <w:rsid w:val="00182ADF"/>
    <w:rsid w:val="001833DD"/>
    <w:rsid w:val="0018402E"/>
    <w:rsid w:val="00184379"/>
    <w:rsid w:val="0018446D"/>
    <w:rsid w:val="00184BD2"/>
    <w:rsid w:val="0018528E"/>
    <w:rsid w:val="00185638"/>
    <w:rsid w:val="001865CD"/>
    <w:rsid w:val="00186EEF"/>
    <w:rsid w:val="00187E3B"/>
    <w:rsid w:val="00190307"/>
    <w:rsid w:val="00190330"/>
    <w:rsid w:val="00190D61"/>
    <w:rsid w:val="00191276"/>
    <w:rsid w:val="00192B9C"/>
    <w:rsid w:val="00192FB9"/>
    <w:rsid w:val="001939E8"/>
    <w:rsid w:val="00193B2F"/>
    <w:rsid w:val="00193BF3"/>
    <w:rsid w:val="00194058"/>
    <w:rsid w:val="001948CC"/>
    <w:rsid w:val="00194F68"/>
    <w:rsid w:val="00195023"/>
    <w:rsid w:val="00195C1B"/>
    <w:rsid w:val="00195D08"/>
    <w:rsid w:val="00195D65"/>
    <w:rsid w:val="00196130"/>
    <w:rsid w:val="0019739E"/>
    <w:rsid w:val="00197CF4"/>
    <w:rsid w:val="001A0070"/>
    <w:rsid w:val="001A0DAC"/>
    <w:rsid w:val="001A0ED8"/>
    <w:rsid w:val="001A122B"/>
    <w:rsid w:val="001A1542"/>
    <w:rsid w:val="001A1921"/>
    <w:rsid w:val="001A2192"/>
    <w:rsid w:val="001A2744"/>
    <w:rsid w:val="001A2781"/>
    <w:rsid w:val="001A2F1B"/>
    <w:rsid w:val="001A2F39"/>
    <w:rsid w:val="001A3180"/>
    <w:rsid w:val="001A319F"/>
    <w:rsid w:val="001A31A8"/>
    <w:rsid w:val="001A36A5"/>
    <w:rsid w:val="001A3892"/>
    <w:rsid w:val="001A3B23"/>
    <w:rsid w:val="001A4102"/>
    <w:rsid w:val="001A4580"/>
    <w:rsid w:val="001A48BF"/>
    <w:rsid w:val="001A4CC9"/>
    <w:rsid w:val="001A4DFA"/>
    <w:rsid w:val="001A4EF9"/>
    <w:rsid w:val="001A5D57"/>
    <w:rsid w:val="001A605D"/>
    <w:rsid w:val="001A621B"/>
    <w:rsid w:val="001A63CA"/>
    <w:rsid w:val="001A6553"/>
    <w:rsid w:val="001A67C9"/>
    <w:rsid w:val="001A6DE9"/>
    <w:rsid w:val="001A7C39"/>
    <w:rsid w:val="001A7F13"/>
    <w:rsid w:val="001B2035"/>
    <w:rsid w:val="001B2072"/>
    <w:rsid w:val="001B253A"/>
    <w:rsid w:val="001B25D5"/>
    <w:rsid w:val="001B2A52"/>
    <w:rsid w:val="001B3938"/>
    <w:rsid w:val="001B3D71"/>
    <w:rsid w:val="001B3F7B"/>
    <w:rsid w:val="001B42B3"/>
    <w:rsid w:val="001B5146"/>
    <w:rsid w:val="001B5520"/>
    <w:rsid w:val="001B5890"/>
    <w:rsid w:val="001B5AAD"/>
    <w:rsid w:val="001B5E94"/>
    <w:rsid w:val="001B6139"/>
    <w:rsid w:val="001B69B2"/>
    <w:rsid w:val="001B6B5B"/>
    <w:rsid w:val="001B6CFC"/>
    <w:rsid w:val="001B6F22"/>
    <w:rsid w:val="001B6F6B"/>
    <w:rsid w:val="001C095A"/>
    <w:rsid w:val="001C0E66"/>
    <w:rsid w:val="001C145E"/>
    <w:rsid w:val="001C1684"/>
    <w:rsid w:val="001C1882"/>
    <w:rsid w:val="001C2337"/>
    <w:rsid w:val="001C2AC1"/>
    <w:rsid w:val="001C3132"/>
    <w:rsid w:val="001C334D"/>
    <w:rsid w:val="001C3DE3"/>
    <w:rsid w:val="001C45AE"/>
    <w:rsid w:val="001C4702"/>
    <w:rsid w:val="001C4947"/>
    <w:rsid w:val="001C4E90"/>
    <w:rsid w:val="001C57CA"/>
    <w:rsid w:val="001C64F0"/>
    <w:rsid w:val="001C7097"/>
    <w:rsid w:val="001C7298"/>
    <w:rsid w:val="001C73AD"/>
    <w:rsid w:val="001C77E5"/>
    <w:rsid w:val="001C7920"/>
    <w:rsid w:val="001C7985"/>
    <w:rsid w:val="001D0573"/>
    <w:rsid w:val="001D12C1"/>
    <w:rsid w:val="001D1696"/>
    <w:rsid w:val="001D1BBC"/>
    <w:rsid w:val="001D1F4B"/>
    <w:rsid w:val="001D21F2"/>
    <w:rsid w:val="001D2205"/>
    <w:rsid w:val="001D2674"/>
    <w:rsid w:val="001D27B7"/>
    <w:rsid w:val="001D29A0"/>
    <w:rsid w:val="001D2AD6"/>
    <w:rsid w:val="001D30F0"/>
    <w:rsid w:val="001D4038"/>
    <w:rsid w:val="001D49A6"/>
    <w:rsid w:val="001D5D81"/>
    <w:rsid w:val="001D5DC7"/>
    <w:rsid w:val="001D5E70"/>
    <w:rsid w:val="001D70FC"/>
    <w:rsid w:val="001D7296"/>
    <w:rsid w:val="001D7E7C"/>
    <w:rsid w:val="001D7F65"/>
    <w:rsid w:val="001E0635"/>
    <w:rsid w:val="001E0F28"/>
    <w:rsid w:val="001E1083"/>
    <w:rsid w:val="001E223F"/>
    <w:rsid w:val="001E2F0F"/>
    <w:rsid w:val="001E3075"/>
    <w:rsid w:val="001E3366"/>
    <w:rsid w:val="001E378F"/>
    <w:rsid w:val="001E4584"/>
    <w:rsid w:val="001E47E2"/>
    <w:rsid w:val="001E4B68"/>
    <w:rsid w:val="001E4E20"/>
    <w:rsid w:val="001E4FC1"/>
    <w:rsid w:val="001E500F"/>
    <w:rsid w:val="001E55E5"/>
    <w:rsid w:val="001E591E"/>
    <w:rsid w:val="001E59F8"/>
    <w:rsid w:val="001E5C11"/>
    <w:rsid w:val="001E5D2C"/>
    <w:rsid w:val="001E5D39"/>
    <w:rsid w:val="001E627A"/>
    <w:rsid w:val="001E634D"/>
    <w:rsid w:val="001E6EAB"/>
    <w:rsid w:val="001F0069"/>
    <w:rsid w:val="001F1BD8"/>
    <w:rsid w:val="001F26CE"/>
    <w:rsid w:val="001F3056"/>
    <w:rsid w:val="001F3196"/>
    <w:rsid w:val="001F4F65"/>
    <w:rsid w:val="001F5C55"/>
    <w:rsid w:val="001F5D08"/>
    <w:rsid w:val="001F62AA"/>
    <w:rsid w:val="001F6602"/>
    <w:rsid w:val="001F74CB"/>
    <w:rsid w:val="001F7AB8"/>
    <w:rsid w:val="00200D08"/>
    <w:rsid w:val="0020125F"/>
    <w:rsid w:val="002017DD"/>
    <w:rsid w:val="0020184C"/>
    <w:rsid w:val="00201C11"/>
    <w:rsid w:val="00201F69"/>
    <w:rsid w:val="00203A15"/>
    <w:rsid w:val="00203F43"/>
    <w:rsid w:val="00203F5E"/>
    <w:rsid w:val="00204680"/>
    <w:rsid w:val="002046AF"/>
    <w:rsid w:val="00204DBD"/>
    <w:rsid w:val="00205CCB"/>
    <w:rsid w:val="002060B5"/>
    <w:rsid w:val="00207029"/>
    <w:rsid w:val="0020789A"/>
    <w:rsid w:val="0020797F"/>
    <w:rsid w:val="00207A4F"/>
    <w:rsid w:val="00207D1C"/>
    <w:rsid w:val="0021008A"/>
    <w:rsid w:val="00210872"/>
    <w:rsid w:val="00210B47"/>
    <w:rsid w:val="00211031"/>
    <w:rsid w:val="002111DF"/>
    <w:rsid w:val="0021247E"/>
    <w:rsid w:val="002125E2"/>
    <w:rsid w:val="0021290A"/>
    <w:rsid w:val="00212C44"/>
    <w:rsid w:val="00212DFC"/>
    <w:rsid w:val="00213249"/>
    <w:rsid w:val="00213418"/>
    <w:rsid w:val="00213AF7"/>
    <w:rsid w:val="00213D3C"/>
    <w:rsid w:val="0021427D"/>
    <w:rsid w:val="00214D42"/>
    <w:rsid w:val="002151CA"/>
    <w:rsid w:val="00215740"/>
    <w:rsid w:val="00216910"/>
    <w:rsid w:val="00217D23"/>
    <w:rsid w:val="00220253"/>
    <w:rsid w:val="0022035C"/>
    <w:rsid w:val="00220E39"/>
    <w:rsid w:val="00221ABD"/>
    <w:rsid w:val="00223DAD"/>
    <w:rsid w:val="00223F44"/>
    <w:rsid w:val="002243E4"/>
    <w:rsid w:val="002245C6"/>
    <w:rsid w:val="002248B9"/>
    <w:rsid w:val="00224C1C"/>
    <w:rsid w:val="00225258"/>
    <w:rsid w:val="0022560E"/>
    <w:rsid w:val="00225AE9"/>
    <w:rsid w:val="00225F6E"/>
    <w:rsid w:val="002264A1"/>
    <w:rsid w:val="0022653F"/>
    <w:rsid w:val="00226814"/>
    <w:rsid w:val="002271A8"/>
    <w:rsid w:val="00227BE7"/>
    <w:rsid w:val="00227D1B"/>
    <w:rsid w:val="00230356"/>
    <w:rsid w:val="00230D89"/>
    <w:rsid w:val="002312B9"/>
    <w:rsid w:val="00231811"/>
    <w:rsid w:val="00231A46"/>
    <w:rsid w:val="00231A8D"/>
    <w:rsid w:val="00231D7E"/>
    <w:rsid w:val="0023288D"/>
    <w:rsid w:val="002334F3"/>
    <w:rsid w:val="00233A96"/>
    <w:rsid w:val="0023423D"/>
    <w:rsid w:val="00234308"/>
    <w:rsid w:val="0023445C"/>
    <w:rsid w:val="00234A18"/>
    <w:rsid w:val="002354A3"/>
    <w:rsid w:val="00235706"/>
    <w:rsid w:val="0023581F"/>
    <w:rsid w:val="00235A68"/>
    <w:rsid w:val="0023619B"/>
    <w:rsid w:val="00236600"/>
    <w:rsid w:val="00236B3C"/>
    <w:rsid w:val="00236C40"/>
    <w:rsid w:val="002375F3"/>
    <w:rsid w:val="0024039F"/>
    <w:rsid w:val="002403E9"/>
    <w:rsid w:val="002406F4"/>
    <w:rsid w:val="00240C66"/>
    <w:rsid w:val="00240E2D"/>
    <w:rsid w:val="00240FBF"/>
    <w:rsid w:val="00241BA0"/>
    <w:rsid w:val="00241C67"/>
    <w:rsid w:val="00241D5E"/>
    <w:rsid w:val="00241E04"/>
    <w:rsid w:val="0024471A"/>
    <w:rsid w:val="002448DE"/>
    <w:rsid w:val="00244C46"/>
    <w:rsid w:val="00246D93"/>
    <w:rsid w:val="00246ECB"/>
    <w:rsid w:val="00247631"/>
    <w:rsid w:val="00247E57"/>
    <w:rsid w:val="00250DDA"/>
    <w:rsid w:val="00250ECC"/>
    <w:rsid w:val="00251128"/>
    <w:rsid w:val="002512BF"/>
    <w:rsid w:val="002518EF"/>
    <w:rsid w:val="0025193D"/>
    <w:rsid w:val="00251ADA"/>
    <w:rsid w:val="00252B16"/>
    <w:rsid w:val="002532D2"/>
    <w:rsid w:val="00254DC6"/>
    <w:rsid w:val="00254F3E"/>
    <w:rsid w:val="00255602"/>
    <w:rsid w:val="002557EF"/>
    <w:rsid w:val="00255EB4"/>
    <w:rsid w:val="002560F4"/>
    <w:rsid w:val="002565D9"/>
    <w:rsid w:val="00257217"/>
    <w:rsid w:val="002572D7"/>
    <w:rsid w:val="00257568"/>
    <w:rsid w:val="00257AE0"/>
    <w:rsid w:val="00257BB4"/>
    <w:rsid w:val="00257D3F"/>
    <w:rsid w:val="00257EAE"/>
    <w:rsid w:val="00260FCA"/>
    <w:rsid w:val="00261131"/>
    <w:rsid w:val="00261E2E"/>
    <w:rsid w:val="0026245A"/>
    <w:rsid w:val="00262E4B"/>
    <w:rsid w:val="002631E6"/>
    <w:rsid w:val="00263431"/>
    <w:rsid w:val="002638FC"/>
    <w:rsid w:val="00263A89"/>
    <w:rsid w:val="00263BAC"/>
    <w:rsid w:val="00263D11"/>
    <w:rsid w:val="00264AF2"/>
    <w:rsid w:val="00264DEA"/>
    <w:rsid w:val="0026518E"/>
    <w:rsid w:val="00265301"/>
    <w:rsid w:val="0026577D"/>
    <w:rsid w:val="002658C0"/>
    <w:rsid w:val="00266FA3"/>
    <w:rsid w:val="00267A15"/>
    <w:rsid w:val="00267E27"/>
    <w:rsid w:val="00267E56"/>
    <w:rsid w:val="00270859"/>
    <w:rsid w:val="00270959"/>
    <w:rsid w:val="00271222"/>
    <w:rsid w:val="00271912"/>
    <w:rsid w:val="00271EDE"/>
    <w:rsid w:val="00272028"/>
    <w:rsid w:val="00272183"/>
    <w:rsid w:val="0027246D"/>
    <w:rsid w:val="00272A3E"/>
    <w:rsid w:val="00272CF5"/>
    <w:rsid w:val="00272DAC"/>
    <w:rsid w:val="00272F02"/>
    <w:rsid w:val="00273402"/>
    <w:rsid w:val="00273EF4"/>
    <w:rsid w:val="0027421C"/>
    <w:rsid w:val="00274F3B"/>
    <w:rsid w:val="00274F68"/>
    <w:rsid w:val="002754F7"/>
    <w:rsid w:val="00275992"/>
    <w:rsid w:val="00275AE3"/>
    <w:rsid w:val="0027601F"/>
    <w:rsid w:val="00277036"/>
    <w:rsid w:val="002774CF"/>
    <w:rsid w:val="0028170C"/>
    <w:rsid w:val="00282200"/>
    <w:rsid w:val="00282847"/>
    <w:rsid w:val="00282A05"/>
    <w:rsid w:val="00282D0E"/>
    <w:rsid w:val="00282FC4"/>
    <w:rsid w:val="00283942"/>
    <w:rsid w:val="00283B0F"/>
    <w:rsid w:val="00283E6F"/>
    <w:rsid w:val="0028413D"/>
    <w:rsid w:val="00284B25"/>
    <w:rsid w:val="002853A1"/>
    <w:rsid w:val="002855A0"/>
    <w:rsid w:val="002863B2"/>
    <w:rsid w:val="002868EE"/>
    <w:rsid w:val="00286CD2"/>
    <w:rsid w:val="00286DA6"/>
    <w:rsid w:val="002871B3"/>
    <w:rsid w:val="002872B2"/>
    <w:rsid w:val="00287782"/>
    <w:rsid w:val="00287B15"/>
    <w:rsid w:val="00287C83"/>
    <w:rsid w:val="002900B8"/>
    <w:rsid w:val="00290812"/>
    <w:rsid w:val="00290AAC"/>
    <w:rsid w:val="00290B47"/>
    <w:rsid w:val="00291CB9"/>
    <w:rsid w:val="00291CC5"/>
    <w:rsid w:val="00291D46"/>
    <w:rsid w:val="0029273A"/>
    <w:rsid w:val="00292DB3"/>
    <w:rsid w:val="00292F90"/>
    <w:rsid w:val="0029333D"/>
    <w:rsid w:val="002936A9"/>
    <w:rsid w:val="002937EF"/>
    <w:rsid w:val="00293F9A"/>
    <w:rsid w:val="00294099"/>
    <w:rsid w:val="00294117"/>
    <w:rsid w:val="002941FE"/>
    <w:rsid w:val="00294209"/>
    <w:rsid w:val="0029445F"/>
    <w:rsid w:val="002944BF"/>
    <w:rsid w:val="00294582"/>
    <w:rsid w:val="0029476B"/>
    <w:rsid w:val="002952A0"/>
    <w:rsid w:val="002952FA"/>
    <w:rsid w:val="0029545E"/>
    <w:rsid w:val="00295C06"/>
    <w:rsid w:val="002960A9"/>
    <w:rsid w:val="002967C7"/>
    <w:rsid w:val="002979C2"/>
    <w:rsid w:val="002A0024"/>
    <w:rsid w:val="002A0306"/>
    <w:rsid w:val="002A06C7"/>
    <w:rsid w:val="002A0996"/>
    <w:rsid w:val="002A11BF"/>
    <w:rsid w:val="002A1261"/>
    <w:rsid w:val="002A1ACC"/>
    <w:rsid w:val="002A1D92"/>
    <w:rsid w:val="002A27EC"/>
    <w:rsid w:val="002A2C4D"/>
    <w:rsid w:val="002A2F97"/>
    <w:rsid w:val="002A349E"/>
    <w:rsid w:val="002A44BE"/>
    <w:rsid w:val="002A4532"/>
    <w:rsid w:val="002A48BC"/>
    <w:rsid w:val="002A5F69"/>
    <w:rsid w:val="002A61F2"/>
    <w:rsid w:val="002A62E1"/>
    <w:rsid w:val="002A758B"/>
    <w:rsid w:val="002A7607"/>
    <w:rsid w:val="002B0530"/>
    <w:rsid w:val="002B16D4"/>
    <w:rsid w:val="002B1A81"/>
    <w:rsid w:val="002B1E78"/>
    <w:rsid w:val="002B2224"/>
    <w:rsid w:val="002B2516"/>
    <w:rsid w:val="002B2677"/>
    <w:rsid w:val="002B2AC7"/>
    <w:rsid w:val="002B2B82"/>
    <w:rsid w:val="002B2F05"/>
    <w:rsid w:val="002B311A"/>
    <w:rsid w:val="002B335C"/>
    <w:rsid w:val="002B38C4"/>
    <w:rsid w:val="002B4219"/>
    <w:rsid w:val="002B45F7"/>
    <w:rsid w:val="002B4835"/>
    <w:rsid w:val="002B4A7C"/>
    <w:rsid w:val="002B4CCE"/>
    <w:rsid w:val="002B4D96"/>
    <w:rsid w:val="002B53FF"/>
    <w:rsid w:val="002B6BBF"/>
    <w:rsid w:val="002B6D33"/>
    <w:rsid w:val="002B7BF5"/>
    <w:rsid w:val="002B7C8F"/>
    <w:rsid w:val="002B7EC3"/>
    <w:rsid w:val="002C03D2"/>
    <w:rsid w:val="002C0D1C"/>
    <w:rsid w:val="002C1077"/>
    <w:rsid w:val="002C20EF"/>
    <w:rsid w:val="002C2123"/>
    <w:rsid w:val="002C2D13"/>
    <w:rsid w:val="002C2D56"/>
    <w:rsid w:val="002C32BA"/>
    <w:rsid w:val="002C32C4"/>
    <w:rsid w:val="002C3349"/>
    <w:rsid w:val="002C3A87"/>
    <w:rsid w:val="002C3CC2"/>
    <w:rsid w:val="002C43DD"/>
    <w:rsid w:val="002C4447"/>
    <w:rsid w:val="002C44E3"/>
    <w:rsid w:val="002C466E"/>
    <w:rsid w:val="002C4671"/>
    <w:rsid w:val="002C4E83"/>
    <w:rsid w:val="002C5012"/>
    <w:rsid w:val="002C51D1"/>
    <w:rsid w:val="002C51D5"/>
    <w:rsid w:val="002C52BA"/>
    <w:rsid w:val="002C661D"/>
    <w:rsid w:val="002C68FE"/>
    <w:rsid w:val="002C6911"/>
    <w:rsid w:val="002C69B5"/>
    <w:rsid w:val="002C6B6C"/>
    <w:rsid w:val="002C7231"/>
    <w:rsid w:val="002D041A"/>
    <w:rsid w:val="002D10C6"/>
    <w:rsid w:val="002D10E3"/>
    <w:rsid w:val="002D1325"/>
    <w:rsid w:val="002D14C9"/>
    <w:rsid w:val="002D14E3"/>
    <w:rsid w:val="002D1765"/>
    <w:rsid w:val="002D18B7"/>
    <w:rsid w:val="002D26BB"/>
    <w:rsid w:val="002D33E0"/>
    <w:rsid w:val="002D34CF"/>
    <w:rsid w:val="002D38ED"/>
    <w:rsid w:val="002D3FF9"/>
    <w:rsid w:val="002D46B7"/>
    <w:rsid w:val="002D4BA1"/>
    <w:rsid w:val="002D4C26"/>
    <w:rsid w:val="002D50D9"/>
    <w:rsid w:val="002D56B7"/>
    <w:rsid w:val="002D5BF6"/>
    <w:rsid w:val="002D6B54"/>
    <w:rsid w:val="002D75C7"/>
    <w:rsid w:val="002D7B6A"/>
    <w:rsid w:val="002D7C5F"/>
    <w:rsid w:val="002E05DB"/>
    <w:rsid w:val="002E09B2"/>
    <w:rsid w:val="002E1154"/>
    <w:rsid w:val="002E165C"/>
    <w:rsid w:val="002E1A01"/>
    <w:rsid w:val="002E1A3C"/>
    <w:rsid w:val="002E1D93"/>
    <w:rsid w:val="002E1F29"/>
    <w:rsid w:val="002E20D7"/>
    <w:rsid w:val="002E282D"/>
    <w:rsid w:val="002E29CE"/>
    <w:rsid w:val="002E29F8"/>
    <w:rsid w:val="002E3442"/>
    <w:rsid w:val="002E3469"/>
    <w:rsid w:val="002E3811"/>
    <w:rsid w:val="002E41B6"/>
    <w:rsid w:val="002E45A5"/>
    <w:rsid w:val="002E52DE"/>
    <w:rsid w:val="002E61E1"/>
    <w:rsid w:val="002E6FE6"/>
    <w:rsid w:val="002E745A"/>
    <w:rsid w:val="002E7693"/>
    <w:rsid w:val="002E782A"/>
    <w:rsid w:val="002E7D03"/>
    <w:rsid w:val="002F0913"/>
    <w:rsid w:val="002F1033"/>
    <w:rsid w:val="002F1222"/>
    <w:rsid w:val="002F1D86"/>
    <w:rsid w:val="002F1EA8"/>
    <w:rsid w:val="002F23D7"/>
    <w:rsid w:val="002F246B"/>
    <w:rsid w:val="002F24A4"/>
    <w:rsid w:val="002F2586"/>
    <w:rsid w:val="002F263A"/>
    <w:rsid w:val="002F29FE"/>
    <w:rsid w:val="002F33F7"/>
    <w:rsid w:val="002F365B"/>
    <w:rsid w:val="002F391E"/>
    <w:rsid w:val="002F3DF8"/>
    <w:rsid w:val="002F436C"/>
    <w:rsid w:val="002F44DF"/>
    <w:rsid w:val="002F4AD2"/>
    <w:rsid w:val="002F505B"/>
    <w:rsid w:val="002F6549"/>
    <w:rsid w:val="002F780D"/>
    <w:rsid w:val="002F7EF9"/>
    <w:rsid w:val="002F7FC2"/>
    <w:rsid w:val="00300AA4"/>
    <w:rsid w:val="00300AC9"/>
    <w:rsid w:val="00300B57"/>
    <w:rsid w:val="00300BBE"/>
    <w:rsid w:val="00300D06"/>
    <w:rsid w:val="00300E1B"/>
    <w:rsid w:val="003016C8"/>
    <w:rsid w:val="0030181E"/>
    <w:rsid w:val="00301B43"/>
    <w:rsid w:val="00301EB9"/>
    <w:rsid w:val="0030229E"/>
    <w:rsid w:val="00302887"/>
    <w:rsid w:val="0030363D"/>
    <w:rsid w:val="00303B13"/>
    <w:rsid w:val="00304070"/>
    <w:rsid w:val="00304574"/>
    <w:rsid w:val="0030460B"/>
    <w:rsid w:val="00305366"/>
    <w:rsid w:val="003056B8"/>
    <w:rsid w:val="00305CDB"/>
    <w:rsid w:val="00305EA7"/>
    <w:rsid w:val="0030679E"/>
    <w:rsid w:val="00306BBD"/>
    <w:rsid w:val="0030705F"/>
    <w:rsid w:val="003071A4"/>
    <w:rsid w:val="00307CAE"/>
    <w:rsid w:val="00310283"/>
    <w:rsid w:val="00310881"/>
    <w:rsid w:val="00310971"/>
    <w:rsid w:val="00312746"/>
    <w:rsid w:val="00312B24"/>
    <w:rsid w:val="00312E16"/>
    <w:rsid w:val="00312FDF"/>
    <w:rsid w:val="0031330F"/>
    <w:rsid w:val="003139F0"/>
    <w:rsid w:val="00313C14"/>
    <w:rsid w:val="00313D98"/>
    <w:rsid w:val="003141CD"/>
    <w:rsid w:val="00314435"/>
    <w:rsid w:val="003144B2"/>
    <w:rsid w:val="00314AF6"/>
    <w:rsid w:val="00315243"/>
    <w:rsid w:val="00315836"/>
    <w:rsid w:val="00315B41"/>
    <w:rsid w:val="00315E00"/>
    <w:rsid w:val="0031642C"/>
    <w:rsid w:val="00316E29"/>
    <w:rsid w:val="00317FF0"/>
    <w:rsid w:val="00320B9B"/>
    <w:rsid w:val="003213B3"/>
    <w:rsid w:val="003213FC"/>
    <w:rsid w:val="003213FD"/>
    <w:rsid w:val="0032165F"/>
    <w:rsid w:val="00321A8F"/>
    <w:rsid w:val="00321EF6"/>
    <w:rsid w:val="00322153"/>
    <w:rsid w:val="00322509"/>
    <w:rsid w:val="0032266E"/>
    <w:rsid w:val="00322DD6"/>
    <w:rsid w:val="00322EBA"/>
    <w:rsid w:val="00323B7A"/>
    <w:rsid w:val="00323BB4"/>
    <w:rsid w:val="00323D88"/>
    <w:rsid w:val="00324A6F"/>
    <w:rsid w:val="00324A9C"/>
    <w:rsid w:val="0032591B"/>
    <w:rsid w:val="00325C88"/>
    <w:rsid w:val="003263F9"/>
    <w:rsid w:val="0032687E"/>
    <w:rsid w:val="00326D20"/>
    <w:rsid w:val="0032722A"/>
    <w:rsid w:val="00327647"/>
    <w:rsid w:val="00327827"/>
    <w:rsid w:val="00327E36"/>
    <w:rsid w:val="00330539"/>
    <w:rsid w:val="00330794"/>
    <w:rsid w:val="00330B31"/>
    <w:rsid w:val="00331929"/>
    <w:rsid w:val="00331B6A"/>
    <w:rsid w:val="00331C9A"/>
    <w:rsid w:val="00331ED8"/>
    <w:rsid w:val="00332543"/>
    <w:rsid w:val="00332ADF"/>
    <w:rsid w:val="00332C1B"/>
    <w:rsid w:val="0033304A"/>
    <w:rsid w:val="00333981"/>
    <w:rsid w:val="00334227"/>
    <w:rsid w:val="0033437E"/>
    <w:rsid w:val="003346CA"/>
    <w:rsid w:val="003346D1"/>
    <w:rsid w:val="00334A71"/>
    <w:rsid w:val="00335C38"/>
    <w:rsid w:val="0033620F"/>
    <w:rsid w:val="00336C90"/>
    <w:rsid w:val="00336FC6"/>
    <w:rsid w:val="0033765C"/>
    <w:rsid w:val="00337778"/>
    <w:rsid w:val="00337DB1"/>
    <w:rsid w:val="00340E2B"/>
    <w:rsid w:val="00340F03"/>
    <w:rsid w:val="00343E50"/>
    <w:rsid w:val="0034476E"/>
    <w:rsid w:val="00344773"/>
    <w:rsid w:val="0034480D"/>
    <w:rsid w:val="00344CCF"/>
    <w:rsid w:val="00345223"/>
    <w:rsid w:val="003457D2"/>
    <w:rsid w:val="00345EB2"/>
    <w:rsid w:val="0034643D"/>
    <w:rsid w:val="003464CE"/>
    <w:rsid w:val="00346CB2"/>
    <w:rsid w:val="00346D17"/>
    <w:rsid w:val="00347ABB"/>
    <w:rsid w:val="00347E2A"/>
    <w:rsid w:val="003505A8"/>
    <w:rsid w:val="00350A2E"/>
    <w:rsid w:val="00350A74"/>
    <w:rsid w:val="00350CCF"/>
    <w:rsid w:val="003518C9"/>
    <w:rsid w:val="00351C10"/>
    <w:rsid w:val="00351C99"/>
    <w:rsid w:val="00351CE9"/>
    <w:rsid w:val="00351F24"/>
    <w:rsid w:val="003522F5"/>
    <w:rsid w:val="0035244E"/>
    <w:rsid w:val="003524C6"/>
    <w:rsid w:val="00352DD1"/>
    <w:rsid w:val="003532FE"/>
    <w:rsid w:val="0035443D"/>
    <w:rsid w:val="0035594B"/>
    <w:rsid w:val="00355C66"/>
    <w:rsid w:val="00356421"/>
    <w:rsid w:val="00356803"/>
    <w:rsid w:val="00356A32"/>
    <w:rsid w:val="00356F1E"/>
    <w:rsid w:val="00357348"/>
    <w:rsid w:val="00357779"/>
    <w:rsid w:val="00357EB5"/>
    <w:rsid w:val="00360404"/>
    <w:rsid w:val="003605BC"/>
    <w:rsid w:val="00360BF5"/>
    <w:rsid w:val="00361025"/>
    <w:rsid w:val="0036133C"/>
    <w:rsid w:val="00361E7B"/>
    <w:rsid w:val="00362102"/>
    <w:rsid w:val="0036226B"/>
    <w:rsid w:val="0036226E"/>
    <w:rsid w:val="00362BCF"/>
    <w:rsid w:val="00362C5A"/>
    <w:rsid w:val="00362FC9"/>
    <w:rsid w:val="00363DC1"/>
    <w:rsid w:val="00364400"/>
    <w:rsid w:val="00364ADF"/>
    <w:rsid w:val="0036516C"/>
    <w:rsid w:val="00365B19"/>
    <w:rsid w:val="00366370"/>
    <w:rsid w:val="003665CF"/>
    <w:rsid w:val="00366AF6"/>
    <w:rsid w:val="00367C56"/>
    <w:rsid w:val="00367CBF"/>
    <w:rsid w:val="00370AA9"/>
    <w:rsid w:val="00371508"/>
    <w:rsid w:val="00371D18"/>
    <w:rsid w:val="0037219C"/>
    <w:rsid w:val="00372563"/>
    <w:rsid w:val="003725FB"/>
    <w:rsid w:val="003728C0"/>
    <w:rsid w:val="00372BF0"/>
    <w:rsid w:val="00372E14"/>
    <w:rsid w:val="00372FC7"/>
    <w:rsid w:val="003739BA"/>
    <w:rsid w:val="00373AC7"/>
    <w:rsid w:val="00373DD9"/>
    <w:rsid w:val="003752AE"/>
    <w:rsid w:val="003752E0"/>
    <w:rsid w:val="00375AA1"/>
    <w:rsid w:val="0037676F"/>
    <w:rsid w:val="003778E9"/>
    <w:rsid w:val="00377BCE"/>
    <w:rsid w:val="00377EED"/>
    <w:rsid w:val="00377F60"/>
    <w:rsid w:val="00380D08"/>
    <w:rsid w:val="003810A7"/>
    <w:rsid w:val="00381792"/>
    <w:rsid w:val="00381BCF"/>
    <w:rsid w:val="0038205B"/>
    <w:rsid w:val="00382C4C"/>
    <w:rsid w:val="00383222"/>
    <w:rsid w:val="00383F3E"/>
    <w:rsid w:val="003843F4"/>
    <w:rsid w:val="00385D13"/>
    <w:rsid w:val="00386640"/>
    <w:rsid w:val="00386662"/>
    <w:rsid w:val="00386AAD"/>
    <w:rsid w:val="00386C51"/>
    <w:rsid w:val="00387245"/>
    <w:rsid w:val="003878AD"/>
    <w:rsid w:val="003879BB"/>
    <w:rsid w:val="00390244"/>
    <w:rsid w:val="00390254"/>
    <w:rsid w:val="00390291"/>
    <w:rsid w:val="003905DF"/>
    <w:rsid w:val="003908F2"/>
    <w:rsid w:val="00390AF2"/>
    <w:rsid w:val="00391707"/>
    <w:rsid w:val="00392141"/>
    <w:rsid w:val="0039276D"/>
    <w:rsid w:val="0039278F"/>
    <w:rsid w:val="00392847"/>
    <w:rsid w:val="00392B9E"/>
    <w:rsid w:val="003948ED"/>
    <w:rsid w:val="00394B74"/>
    <w:rsid w:val="00394FF8"/>
    <w:rsid w:val="00395801"/>
    <w:rsid w:val="003967E1"/>
    <w:rsid w:val="00396A60"/>
    <w:rsid w:val="00396F8D"/>
    <w:rsid w:val="003973BB"/>
    <w:rsid w:val="003A031A"/>
    <w:rsid w:val="003A0505"/>
    <w:rsid w:val="003A054D"/>
    <w:rsid w:val="003A08BF"/>
    <w:rsid w:val="003A176F"/>
    <w:rsid w:val="003A1C44"/>
    <w:rsid w:val="003A1CD5"/>
    <w:rsid w:val="003A26C5"/>
    <w:rsid w:val="003A293E"/>
    <w:rsid w:val="003A3019"/>
    <w:rsid w:val="003A3035"/>
    <w:rsid w:val="003A32DA"/>
    <w:rsid w:val="003A366B"/>
    <w:rsid w:val="003A380D"/>
    <w:rsid w:val="003A480B"/>
    <w:rsid w:val="003A4AF2"/>
    <w:rsid w:val="003A4B54"/>
    <w:rsid w:val="003A4BA6"/>
    <w:rsid w:val="003A51DC"/>
    <w:rsid w:val="003A5549"/>
    <w:rsid w:val="003A5DA0"/>
    <w:rsid w:val="003A5F03"/>
    <w:rsid w:val="003A637A"/>
    <w:rsid w:val="003A655B"/>
    <w:rsid w:val="003A6617"/>
    <w:rsid w:val="003A6629"/>
    <w:rsid w:val="003A672D"/>
    <w:rsid w:val="003A678D"/>
    <w:rsid w:val="003A728C"/>
    <w:rsid w:val="003A7B57"/>
    <w:rsid w:val="003A7C65"/>
    <w:rsid w:val="003B11EC"/>
    <w:rsid w:val="003B12A8"/>
    <w:rsid w:val="003B15C2"/>
    <w:rsid w:val="003B1704"/>
    <w:rsid w:val="003B189A"/>
    <w:rsid w:val="003B1937"/>
    <w:rsid w:val="003B1952"/>
    <w:rsid w:val="003B2039"/>
    <w:rsid w:val="003B29AA"/>
    <w:rsid w:val="003B34FE"/>
    <w:rsid w:val="003B3B58"/>
    <w:rsid w:val="003B3F55"/>
    <w:rsid w:val="003B3F94"/>
    <w:rsid w:val="003B474A"/>
    <w:rsid w:val="003B48D6"/>
    <w:rsid w:val="003B4AB4"/>
    <w:rsid w:val="003B5C2B"/>
    <w:rsid w:val="003B622F"/>
    <w:rsid w:val="003B6739"/>
    <w:rsid w:val="003B6CDC"/>
    <w:rsid w:val="003B701A"/>
    <w:rsid w:val="003B7089"/>
    <w:rsid w:val="003B722D"/>
    <w:rsid w:val="003B77BC"/>
    <w:rsid w:val="003B7E80"/>
    <w:rsid w:val="003B7FEA"/>
    <w:rsid w:val="003C02CF"/>
    <w:rsid w:val="003C0558"/>
    <w:rsid w:val="003C092D"/>
    <w:rsid w:val="003C0BF9"/>
    <w:rsid w:val="003C1355"/>
    <w:rsid w:val="003C1763"/>
    <w:rsid w:val="003C1B8C"/>
    <w:rsid w:val="003C1F5A"/>
    <w:rsid w:val="003C2AFC"/>
    <w:rsid w:val="003C2CA4"/>
    <w:rsid w:val="003C2D3B"/>
    <w:rsid w:val="003C3B16"/>
    <w:rsid w:val="003C3B1C"/>
    <w:rsid w:val="003C3DAE"/>
    <w:rsid w:val="003C4BC8"/>
    <w:rsid w:val="003C6197"/>
    <w:rsid w:val="003C69E2"/>
    <w:rsid w:val="003C6E3C"/>
    <w:rsid w:val="003C74C3"/>
    <w:rsid w:val="003D03D3"/>
    <w:rsid w:val="003D04E6"/>
    <w:rsid w:val="003D06B8"/>
    <w:rsid w:val="003D0DD1"/>
    <w:rsid w:val="003D1089"/>
    <w:rsid w:val="003D109C"/>
    <w:rsid w:val="003D15DC"/>
    <w:rsid w:val="003D1B09"/>
    <w:rsid w:val="003D1F85"/>
    <w:rsid w:val="003D2703"/>
    <w:rsid w:val="003D2A40"/>
    <w:rsid w:val="003D2C1E"/>
    <w:rsid w:val="003D2C62"/>
    <w:rsid w:val="003D2EBC"/>
    <w:rsid w:val="003D3097"/>
    <w:rsid w:val="003D3438"/>
    <w:rsid w:val="003D39FE"/>
    <w:rsid w:val="003D438E"/>
    <w:rsid w:val="003D451D"/>
    <w:rsid w:val="003D4747"/>
    <w:rsid w:val="003D4A04"/>
    <w:rsid w:val="003D4CB0"/>
    <w:rsid w:val="003D5007"/>
    <w:rsid w:val="003D58F3"/>
    <w:rsid w:val="003D6661"/>
    <w:rsid w:val="003D6686"/>
    <w:rsid w:val="003D6752"/>
    <w:rsid w:val="003D7208"/>
    <w:rsid w:val="003D74C3"/>
    <w:rsid w:val="003D74FC"/>
    <w:rsid w:val="003D76E6"/>
    <w:rsid w:val="003D772B"/>
    <w:rsid w:val="003E1016"/>
    <w:rsid w:val="003E10C6"/>
    <w:rsid w:val="003E1B35"/>
    <w:rsid w:val="003E2194"/>
    <w:rsid w:val="003E2935"/>
    <w:rsid w:val="003E29A7"/>
    <w:rsid w:val="003E2BED"/>
    <w:rsid w:val="003E2DFD"/>
    <w:rsid w:val="003E3822"/>
    <w:rsid w:val="003E3D99"/>
    <w:rsid w:val="003E41FA"/>
    <w:rsid w:val="003E425B"/>
    <w:rsid w:val="003E442E"/>
    <w:rsid w:val="003E45FF"/>
    <w:rsid w:val="003E499D"/>
    <w:rsid w:val="003E49FA"/>
    <w:rsid w:val="003E4C66"/>
    <w:rsid w:val="003E68C6"/>
    <w:rsid w:val="003E68F8"/>
    <w:rsid w:val="003E6B58"/>
    <w:rsid w:val="003E6D2E"/>
    <w:rsid w:val="003E7532"/>
    <w:rsid w:val="003E7625"/>
    <w:rsid w:val="003E77B8"/>
    <w:rsid w:val="003E794F"/>
    <w:rsid w:val="003E7BE7"/>
    <w:rsid w:val="003E7D7C"/>
    <w:rsid w:val="003E7EFA"/>
    <w:rsid w:val="003F0127"/>
    <w:rsid w:val="003F01F1"/>
    <w:rsid w:val="003F050F"/>
    <w:rsid w:val="003F0765"/>
    <w:rsid w:val="003F07AA"/>
    <w:rsid w:val="003F0DDC"/>
    <w:rsid w:val="003F10AD"/>
    <w:rsid w:val="003F10D1"/>
    <w:rsid w:val="003F12AF"/>
    <w:rsid w:val="003F1379"/>
    <w:rsid w:val="003F18EE"/>
    <w:rsid w:val="003F1C09"/>
    <w:rsid w:val="003F1DF1"/>
    <w:rsid w:val="003F1ECE"/>
    <w:rsid w:val="003F222E"/>
    <w:rsid w:val="003F2379"/>
    <w:rsid w:val="003F24B0"/>
    <w:rsid w:val="003F24E8"/>
    <w:rsid w:val="003F2987"/>
    <w:rsid w:val="003F2B90"/>
    <w:rsid w:val="003F3165"/>
    <w:rsid w:val="003F3625"/>
    <w:rsid w:val="003F3805"/>
    <w:rsid w:val="003F3AE1"/>
    <w:rsid w:val="003F4AD0"/>
    <w:rsid w:val="003F4B51"/>
    <w:rsid w:val="003F4DF0"/>
    <w:rsid w:val="003F52B5"/>
    <w:rsid w:val="003F5882"/>
    <w:rsid w:val="003F601C"/>
    <w:rsid w:val="003F6834"/>
    <w:rsid w:val="003F6919"/>
    <w:rsid w:val="003F7569"/>
    <w:rsid w:val="003F7BDF"/>
    <w:rsid w:val="00400BD4"/>
    <w:rsid w:val="0040116D"/>
    <w:rsid w:val="00401D89"/>
    <w:rsid w:val="00401F2F"/>
    <w:rsid w:val="00402118"/>
    <w:rsid w:val="0040254E"/>
    <w:rsid w:val="00402668"/>
    <w:rsid w:val="00402B29"/>
    <w:rsid w:val="00402FAE"/>
    <w:rsid w:val="00403691"/>
    <w:rsid w:val="004039BD"/>
    <w:rsid w:val="0040451E"/>
    <w:rsid w:val="00404828"/>
    <w:rsid w:val="00404D00"/>
    <w:rsid w:val="00404F78"/>
    <w:rsid w:val="00405052"/>
    <w:rsid w:val="00405B5D"/>
    <w:rsid w:val="00406AB0"/>
    <w:rsid w:val="00407016"/>
    <w:rsid w:val="00407D92"/>
    <w:rsid w:val="0041015A"/>
    <w:rsid w:val="004101E7"/>
    <w:rsid w:val="00410E50"/>
    <w:rsid w:val="00411003"/>
    <w:rsid w:val="00411024"/>
    <w:rsid w:val="00411E4A"/>
    <w:rsid w:val="004124AE"/>
    <w:rsid w:val="004126FD"/>
    <w:rsid w:val="00412FD7"/>
    <w:rsid w:val="00413383"/>
    <w:rsid w:val="00413CD8"/>
    <w:rsid w:val="00413F9E"/>
    <w:rsid w:val="004143E8"/>
    <w:rsid w:val="00414B02"/>
    <w:rsid w:val="0041515F"/>
    <w:rsid w:val="0041548F"/>
    <w:rsid w:val="004156D6"/>
    <w:rsid w:val="00416345"/>
    <w:rsid w:val="00416668"/>
    <w:rsid w:val="004176CD"/>
    <w:rsid w:val="004176E3"/>
    <w:rsid w:val="00417D4A"/>
    <w:rsid w:val="00417E19"/>
    <w:rsid w:val="004203FC"/>
    <w:rsid w:val="00420B58"/>
    <w:rsid w:val="004213BB"/>
    <w:rsid w:val="004218D8"/>
    <w:rsid w:val="00421B7D"/>
    <w:rsid w:val="00421C23"/>
    <w:rsid w:val="004223E4"/>
    <w:rsid w:val="00422A5E"/>
    <w:rsid w:val="00422E10"/>
    <w:rsid w:val="00423050"/>
    <w:rsid w:val="00423B89"/>
    <w:rsid w:val="00424036"/>
    <w:rsid w:val="00424076"/>
    <w:rsid w:val="004245EB"/>
    <w:rsid w:val="00424804"/>
    <w:rsid w:val="00424D72"/>
    <w:rsid w:val="004253C9"/>
    <w:rsid w:val="0042560A"/>
    <w:rsid w:val="00425829"/>
    <w:rsid w:val="00426156"/>
    <w:rsid w:val="00426206"/>
    <w:rsid w:val="00426216"/>
    <w:rsid w:val="0042675F"/>
    <w:rsid w:val="00426B4D"/>
    <w:rsid w:val="00426DB9"/>
    <w:rsid w:val="00427141"/>
    <w:rsid w:val="004272C2"/>
    <w:rsid w:val="004278AF"/>
    <w:rsid w:val="00427C3D"/>
    <w:rsid w:val="00430DAD"/>
    <w:rsid w:val="004318AC"/>
    <w:rsid w:val="00432450"/>
    <w:rsid w:val="00434536"/>
    <w:rsid w:val="00435234"/>
    <w:rsid w:val="00435327"/>
    <w:rsid w:val="00435646"/>
    <w:rsid w:val="00435D06"/>
    <w:rsid w:val="00435D31"/>
    <w:rsid w:val="0043603C"/>
    <w:rsid w:val="00436295"/>
    <w:rsid w:val="00436625"/>
    <w:rsid w:val="004368F7"/>
    <w:rsid w:val="00437DC0"/>
    <w:rsid w:val="0044044E"/>
    <w:rsid w:val="00440978"/>
    <w:rsid w:val="00440A17"/>
    <w:rsid w:val="00440B7E"/>
    <w:rsid w:val="004411AD"/>
    <w:rsid w:val="00441423"/>
    <w:rsid w:val="004415A8"/>
    <w:rsid w:val="004417B9"/>
    <w:rsid w:val="0044191C"/>
    <w:rsid w:val="00441E11"/>
    <w:rsid w:val="00441FC1"/>
    <w:rsid w:val="00442011"/>
    <w:rsid w:val="0044228F"/>
    <w:rsid w:val="0044276B"/>
    <w:rsid w:val="00442AA5"/>
    <w:rsid w:val="00443048"/>
    <w:rsid w:val="004436FD"/>
    <w:rsid w:val="00443A2E"/>
    <w:rsid w:val="004442BA"/>
    <w:rsid w:val="0044432B"/>
    <w:rsid w:val="00444365"/>
    <w:rsid w:val="00444881"/>
    <w:rsid w:val="00444A24"/>
    <w:rsid w:val="00444F5C"/>
    <w:rsid w:val="004451CD"/>
    <w:rsid w:val="0044581E"/>
    <w:rsid w:val="00445BA4"/>
    <w:rsid w:val="0044644F"/>
    <w:rsid w:val="0044684D"/>
    <w:rsid w:val="00446895"/>
    <w:rsid w:val="004469B3"/>
    <w:rsid w:val="00446C6B"/>
    <w:rsid w:val="00446C96"/>
    <w:rsid w:val="00446DA6"/>
    <w:rsid w:val="00447ACD"/>
    <w:rsid w:val="0045026A"/>
    <w:rsid w:val="00450789"/>
    <w:rsid w:val="00451358"/>
    <w:rsid w:val="00451C66"/>
    <w:rsid w:val="00451DBD"/>
    <w:rsid w:val="004528E9"/>
    <w:rsid w:val="004532FC"/>
    <w:rsid w:val="0045344F"/>
    <w:rsid w:val="00453AB1"/>
    <w:rsid w:val="004547BE"/>
    <w:rsid w:val="00454BDB"/>
    <w:rsid w:val="00454ED7"/>
    <w:rsid w:val="00456195"/>
    <w:rsid w:val="004561F6"/>
    <w:rsid w:val="004564B4"/>
    <w:rsid w:val="00456CFF"/>
    <w:rsid w:val="004571E6"/>
    <w:rsid w:val="004572CD"/>
    <w:rsid w:val="004578E5"/>
    <w:rsid w:val="00457E77"/>
    <w:rsid w:val="00457EC8"/>
    <w:rsid w:val="004608D7"/>
    <w:rsid w:val="00461298"/>
    <w:rsid w:val="004614A2"/>
    <w:rsid w:val="00461910"/>
    <w:rsid w:val="00461A97"/>
    <w:rsid w:val="00461B1B"/>
    <w:rsid w:val="00461BC4"/>
    <w:rsid w:val="00462AED"/>
    <w:rsid w:val="0046375C"/>
    <w:rsid w:val="00463A43"/>
    <w:rsid w:val="00463A89"/>
    <w:rsid w:val="00463F6A"/>
    <w:rsid w:val="0046400E"/>
    <w:rsid w:val="0046456E"/>
    <w:rsid w:val="004646CA"/>
    <w:rsid w:val="004655FA"/>
    <w:rsid w:val="004658CE"/>
    <w:rsid w:val="0046598A"/>
    <w:rsid w:val="00466280"/>
    <w:rsid w:val="004670A2"/>
    <w:rsid w:val="00467275"/>
    <w:rsid w:val="00467793"/>
    <w:rsid w:val="00467FE0"/>
    <w:rsid w:val="00467FF7"/>
    <w:rsid w:val="004701F6"/>
    <w:rsid w:val="0047021D"/>
    <w:rsid w:val="0047035E"/>
    <w:rsid w:val="00470556"/>
    <w:rsid w:val="00470611"/>
    <w:rsid w:val="0047062D"/>
    <w:rsid w:val="00470CF2"/>
    <w:rsid w:val="00470E0F"/>
    <w:rsid w:val="004718C3"/>
    <w:rsid w:val="00471AC9"/>
    <w:rsid w:val="00471C12"/>
    <w:rsid w:val="0047261B"/>
    <w:rsid w:val="0047284E"/>
    <w:rsid w:val="00472BF3"/>
    <w:rsid w:val="00472EEF"/>
    <w:rsid w:val="00472F44"/>
    <w:rsid w:val="0047317A"/>
    <w:rsid w:val="00473621"/>
    <w:rsid w:val="00473702"/>
    <w:rsid w:val="00473A24"/>
    <w:rsid w:val="00474074"/>
    <w:rsid w:val="00474409"/>
    <w:rsid w:val="004747B4"/>
    <w:rsid w:val="004757D8"/>
    <w:rsid w:val="00476739"/>
    <w:rsid w:val="00476A7C"/>
    <w:rsid w:val="00476A88"/>
    <w:rsid w:val="004770AC"/>
    <w:rsid w:val="00477826"/>
    <w:rsid w:val="00480080"/>
    <w:rsid w:val="0048027C"/>
    <w:rsid w:val="00480860"/>
    <w:rsid w:val="00480BC9"/>
    <w:rsid w:val="0048117C"/>
    <w:rsid w:val="004813B5"/>
    <w:rsid w:val="00481876"/>
    <w:rsid w:val="00481EBA"/>
    <w:rsid w:val="00481FDA"/>
    <w:rsid w:val="0048279D"/>
    <w:rsid w:val="00482983"/>
    <w:rsid w:val="0048306F"/>
    <w:rsid w:val="00483333"/>
    <w:rsid w:val="0048398D"/>
    <w:rsid w:val="00483A49"/>
    <w:rsid w:val="00483C05"/>
    <w:rsid w:val="00483F2C"/>
    <w:rsid w:val="004842A2"/>
    <w:rsid w:val="004842C9"/>
    <w:rsid w:val="00484622"/>
    <w:rsid w:val="00484A63"/>
    <w:rsid w:val="00484A99"/>
    <w:rsid w:val="00484E2D"/>
    <w:rsid w:val="00485396"/>
    <w:rsid w:val="004854D3"/>
    <w:rsid w:val="00485ACA"/>
    <w:rsid w:val="00485FFF"/>
    <w:rsid w:val="0048625D"/>
    <w:rsid w:val="004863F0"/>
    <w:rsid w:val="00486FEC"/>
    <w:rsid w:val="004876B0"/>
    <w:rsid w:val="00490269"/>
    <w:rsid w:val="004904C0"/>
    <w:rsid w:val="00490AE5"/>
    <w:rsid w:val="00490DB8"/>
    <w:rsid w:val="00491AAF"/>
    <w:rsid w:val="00491B58"/>
    <w:rsid w:val="00491BB7"/>
    <w:rsid w:val="00491F89"/>
    <w:rsid w:val="004923C6"/>
    <w:rsid w:val="00492603"/>
    <w:rsid w:val="004931BC"/>
    <w:rsid w:val="00493266"/>
    <w:rsid w:val="00493533"/>
    <w:rsid w:val="0049413C"/>
    <w:rsid w:val="0049439A"/>
    <w:rsid w:val="0049452C"/>
    <w:rsid w:val="004948C0"/>
    <w:rsid w:val="00494EFE"/>
    <w:rsid w:val="00495262"/>
    <w:rsid w:val="00495508"/>
    <w:rsid w:val="00495F90"/>
    <w:rsid w:val="00496013"/>
    <w:rsid w:val="0049635F"/>
    <w:rsid w:val="00496471"/>
    <w:rsid w:val="0049663F"/>
    <w:rsid w:val="00496A20"/>
    <w:rsid w:val="00496CF2"/>
    <w:rsid w:val="00496DC0"/>
    <w:rsid w:val="00497317"/>
    <w:rsid w:val="004974E0"/>
    <w:rsid w:val="00497684"/>
    <w:rsid w:val="004A0A2F"/>
    <w:rsid w:val="004A0B24"/>
    <w:rsid w:val="004A0FA6"/>
    <w:rsid w:val="004A1600"/>
    <w:rsid w:val="004A1772"/>
    <w:rsid w:val="004A1848"/>
    <w:rsid w:val="004A1EF5"/>
    <w:rsid w:val="004A2A4C"/>
    <w:rsid w:val="004A3D4B"/>
    <w:rsid w:val="004A48AA"/>
    <w:rsid w:val="004A4D9B"/>
    <w:rsid w:val="004A5298"/>
    <w:rsid w:val="004A5BC9"/>
    <w:rsid w:val="004A65EF"/>
    <w:rsid w:val="004A6A93"/>
    <w:rsid w:val="004A6D65"/>
    <w:rsid w:val="004A6EBF"/>
    <w:rsid w:val="004A79BA"/>
    <w:rsid w:val="004A79F6"/>
    <w:rsid w:val="004A7BA4"/>
    <w:rsid w:val="004A7D05"/>
    <w:rsid w:val="004B0056"/>
    <w:rsid w:val="004B0348"/>
    <w:rsid w:val="004B07E6"/>
    <w:rsid w:val="004B1115"/>
    <w:rsid w:val="004B1637"/>
    <w:rsid w:val="004B1736"/>
    <w:rsid w:val="004B194B"/>
    <w:rsid w:val="004B230D"/>
    <w:rsid w:val="004B26CD"/>
    <w:rsid w:val="004B2AFA"/>
    <w:rsid w:val="004B361A"/>
    <w:rsid w:val="004B397B"/>
    <w:rsid w:val="004B3B96"/>
    <w:rsid w:val="004B460A"/>
    <w:rsid w:val="004B4BC8"/>
    <w:rsid w:val="004B4F1F"/>
    <w:rsid w:val="004B4F75"/>
    <w:rsid w:val="004B5067"/>
    <w:rsid w:val="004B54DB"/>
    <w:rsid w:val="004B5575"/>
    <w:rsid w:val="004B5DA7"/>
    <w:rsid w:val="004B672A"/>
    <w:rsid w:val="004B676A"/>
    <w:rsid w:val="004B6A30"/>
    <w:rsid w:val="004B7731"/>
    <w:rsid w:val="004B7A0A"/>
    <w:rsid w:val="004B7B24"/>
    <w:rsid w:val="004B7D08"/>
    <w:rsid w:val="004C011D"/>
    <w:rsid w:val="004C0269"/>
    <w:rsid w:val="004C06BE"/>
    <w:rsid w:val="004C146C"/>
    <w:rsid w:val="004C1643"/>
    <w:rsid w:val="004C17B5"/>
    <w:rsid w:val="004C237D"/>
    <w:rsid w:val="004C2561"/>
    <w:rsid w:val="004C2602"/>
    <w:rsid w:val="004C36EB"/>
    <w:rsid w:val="004C397F"/>
    <w:rsid w:val="004C4949"/>
    <w:rsid w:val="004C58BB"/>
    <w:rsid w:val="004C5B64"/>
    <w:rsid w:val="004C65D7"/>
    <w:rsid w:val="004C6E86"/>
    <w:rsid w:val="004C709D"/>
    <w:rsid w:val="004C72B8"/>
    <w:rsid w:val="004C7AA4"/>
    <w:rsid w:val="004D0F82"/>
    <w:rsid w:val="004D12EC"/>
    <w:rsid w:val="004D1443"/>
    <w:rsid w:val="004D14FA"/>
    <w:rsid w:val="004D195B"/>
    <w:rsid w:val="004D26F7"/>
    <w:rsid w:val="004D2941"/>
    <w:rsid w:val="004D313D"/>
    <w:rsid w:val="004D3727"/>
    <w:rsid w:val="004D3CAD"/>
    <w:rsid w:val="004D3E58"/>
    <w:rsid w:val="004D4414"/>
    <w:rsid w:val="004D50D7"/>
    <w:rsid w:val="004D5153"/>
    <w:rsid w:val="004D51CF"/>
    <w:rsid w:val="004D5603"/>
    <w:rsid w:val="004D5AA6"/>
    <w:rsid w:val="004D5D3C"/>
    <w:rsid w:val="004D5E47"/>
    <w:rsid w:val="004D6296"/>
    <w:rsid w:val="004D7019"/>
    <w:rsid w:val="004D7272"/>
    <w:rsid w:val="004E004A"/>
    <w:rsid w:val="004E0C6B"/>
    <w:rsid w:val="004E2411"/>
    <w:rsid w:val="004E2893"/>
    <w:rsid w:val="004E28CE"/>
    <w:rsid w:val="004E28EB"/>
    <w:rsid w:val="004E2C75"/>
    <w:rsid w:val="004E2F99"/>
    <w:rsid w:val="004E3EFF"/>
    <w:rsid w:val="004E4A88"/>
    <w:rsid w:val="004E5F82"/>
    <w:rsid w:val="004E6718"/>
    <w:rsid w:val="004E6C27"/>
    <w:rsid w:val="004E75A5"/>
    <w:rsid w:val="004E7BA3"/>
    <w:rsid w:val="004E7E0B"/>
    <w:rsid w:val="004F01B5"/>
    <w:rsid w:val="004F0214"/>
    <w:rsid w:val="004F095C"/>
    <w:rsid w:val="004F0B55"/>
    <w:rsid w:val="004F1270"/>
    <w:rsid w:val="004F142F"/>
    <w:rsid w:val="004F215D"/>
    <w:rsid w:val="004F2776"/>
    <w:rsid w:val="004F2819"/>
    <w:rsid w:val="004F294E"/>
    <w:rsid w:val="004F3ACA"/>
    <w:rsid w:val="004F3E12"/>
    <w:rsid w:val="004F3E96"/>
    <w:rsid w:val="004F4239"/>
    <w:rsid w:val="004F45C6"/>
    <w:rsid w:val="004F4CC1"/>
    <w:rsid w:val="004F4DBC"/>
    <w:rsid w:val="004F4E55"/>
    <w:rsid w:val="004F57CF"/>
    <w:rsid w:val="004F58BA"/>
    <w:rsid w:val="004F6094"/>
    <w:rsid w:val="004F6204"/>
    <w:rsid w:val="004F6B32"/>
    <w:rsid w:val="004F6D34"/>
    <w:rsid w:val="004F7048"/>
    <w:rsid w:val="004F71D6"/>
    <w:rsid w:val="004F7C25"/>
    <w:rsid w:val="00500DBF"/>
    <w:rsid w:val="005021D2"/>
    <w:rsid w:val="00502337"/>
    <w:rsid w:val="0050289B"/>
    <w:rsid w:val="0050338F"/>
    <w:rsid w:val="0050349A"/>
    <w:rsid w:val="00503A0F"/>
    <w:rsid w:val="00503F80"/>
    <w:rsid w:val="005046CF"/>
    <w:rsid w:val="00504789"/>
    <w:rsid w:val="005049C0"/>
    <w:rsid w:val="00505CB1"/>
    <w:rsid w:val="00505D03"/>
    <w:rsid w:val="00505EE8"/>
    <w:rsid w:val="0050655D"/>
    <w:rsid w:val="00506569"/>
    <w:rsid w:val="005066F0"/>
    <w:rsid w:val="00506B3A"/>
    <w:rsid w:val="005103AB"/>
    <w:rsid w:val="005103F7"/>
    <w:rsid w:val="00511537"/>
    <w:rsid w:val="0051227F"/>
    <w:rsid w:val="00512AA1"/>
    <w:rsid w:val="0051373E"/>
    <w:rsid w:val="0051386A"/>
    <w:rsid w:val="00513BA0"/>
    <w:rsid w:val="0051439B"/>
    <w:rsid w:val="005147BC"/>
    <w:rsid w:val="00514A16"/>
    <w:rsid w:val="00514B8A"/>
    <w:rsid w:val="00514DCD"/>
    <w:rsid w:val="00515525"/>
    <w:rsid w:val="00515798"/>
    <w:rsid w:val="00515BF5"/>
    <w:rsid w:val="00515C28"/>
    <w:rsid w:val="005163AE"/>
    <w:rsid w:val="00516B3B"/>
    <w:rsid w:val="00516B50"/>
    <w:rsid w:val="00516CD6"/>
    <w:rsid w:val="00516D53"/>
    <w:rsid w:val="00517AF7"/>
    <w:rsid w:val="005206F9"/>
    <w:rsid w:val="0052070F"/>
    <w:rsid w:val="00520DD1"/>
    <w:rsid w:val="00521CC2"/>
    <w:rsid w:val="00521EE0"/>
    <w:rsid w:val="00521F52"/>
    <w:rsid w:val="00522565"/>
    <w:rsid w:val="00522C76"/>
    <w:rsid w:val="00522F0A"/>
    <w:rsid w:val="005236D2"/>
    <w:rsid w:val="005239EC"/>
    <w:rsid w:val="00523D36"/>
    <w:rsid w:val="00524E4D"/>
    <w:rsid w:val="00525E57"/>
    <w:rsid w:val="0052610C"/>
    <w:rsid w:val="005266AD"/>
    <w:rsid w:val="00526B10"/>
    <w:rsid w:val="0052723E"/>
    <w:rsid w:val="00527A90"/>
    <w:rsid w:val="00527D28"/>
    <w:rsid w:val="00527D7E"/>
    <w:rsid w:val="005309F8"/>
    <w:rsid w:val="00530A94"/>
    <w:rsid w:val="00530BD5"/>
    <w:rsid w:val="00530CBB"/>
    <w:rsid w:val="005316EC"/>
    <w:rsid w:val="00531D4F"/>
    <w:rsid w:val="00531FB8"/>
    <w:rsid w:val="0053286D"/>
    <w:rsid w:val="00532A3C"/>
    <w:rsid w:val="00532C16"/>
    <w:rsid w:val="00532C8B"/>
    <w:rsid w:val="00532E0D"/>
    <w:rsid w:val="00532F11"/>
    <w:rsid w:val="00532F27"/>
    <w:rsid w:val="0053327D"/>
    <w:rsid w:val="00533883"/>
    <w:rsid w:val="00533BDF"/>
    <w:rsid w:val="005344F4"/>
    <w:rsid w:val="0053495C"/>
    <w:rsid w:val="00534A99"/>
    <w:rsid w:val="00534BC9"/>
    <w:rsid w:val="00534C1A"/>
    <w:rsid w:val="005353C8"/>
    <w:rsid w:val="0053561C"/>
    <w:rsid w:val="005358BD"/>
    <w:rsid w:val="00535CC1"/>
    <w:rsid w:val="005361FB"/>
    <w:rsid w:val="00536DD8"/>
    <w:rsid w:val="0053733B"/>
    <w:rsid w:val="005377A6"/>
    <w:rsid w:val="00537DB6"/>
    <w:rsid w:val="00540873"/>
    <w:rsid w:val="00540C84"/>
    <w:rsid w:val="0054148B"/>
    <w:rsid w:val="005419F2"/>
    <w:rsid w:val="00541D9D"/>
    <w:rsid w:val="00541E75"/>
    <w:rsid w:val="00542945"/>
    <w:rsid w:val="00542D2B"/>
    <w:rsid w:val="00542E8C"/>
    <w:rsid w:val="00543E5B"/>
    <w:rsid w:val="00544175"/>
    <w:rsid w:val="005444CA"/>
    <w:rsid w:val="00544A6D"/>
    <w:rsid w:val="00544BA3"/>
    <w:rsid w:val="00544C4B"/>
    <w:rsid w:val="005453DF"/>
    <w:rsid w:val="0054540D"/>
    <w:rsid w:val="00545547"/>
    <w:rsid w:val="0054554C"/>
    <w:rsid w:val="0054579D"/>
    <w:rsid w:val="00545904"/>
    <w:rsid w:val="00545CB8"/>
    <w:rsid w:val="0054633B"/>
    <w:rsid w:val="00546698"/>
    <w:rsid w:val="005469CD"/>
    <w:rsid w:val="00547220"/>
    <w:rsid w:val="0054752E"/>
    <w:rsid w:val="00547838"/>
    <w:rsid w:val="005479E3"/>
    <w:rsid w:val="00547B2C"/>
    <w:rsid w:val="00547BBF"/>
    <w:rsid w:val="005506AC"/>
    <w:rsid w:val="00551099"/>
    <w:rsid w:val="0055113F"/>
    <w:rsid w:val="005511CC"/>
    <w:rsid w:val="00551A7B"/>
    <w:rsid w:val="00551D93"/>
    <w:rsid w:val="00551E5F"/>
    <w:rsid w:val="00552484"/>
    <w:rsid w:val="00552740"/>
    <w:rsid w:val="00552754"/>
    <w:rsid w:val="00552790"/>
    <w:rsid w:val="005528E7"/>
    <w:rsid w:val="005532E3"/>
    <w:rsid w:val="005535F3"/>
    <w:rsid w:val="0055362C"/>
    <w:rsid w:val="00553A13"/>
    <w:rsid w:val="00553F0E"/>
    <w:rsid w:val="00554E3C"/>
    <w:rsid w:val="00555109"/>
    <w:rsid w:val="005551C5"/>
    <w:rsid w:val="00555DE6"/>
    <w:rsid w:val="0055663E"/>
    <w:rsid w:val="005568FA"/>
    <w:rsid w:val="0055703C"/>
    <w:rsid w:val="0055758E"/>
    <w:rsid w:val="0055761C"/>
    <w:rsid w:val="00560347"/>
    <w:rsid w:val="0056054C"/>
    <w:rsid w:val="005607A5"/>
    <w:rsid w:val="0056127A"/>
    <w:rsid w:val="00561380"/>
    <w:rsid w:val="005614EA"/>
    <w:rsid w:val="00561581"/>
    <w:rsid w:val="0056161F"/>
    <w:rsid w:val="00561995"/>
    <w:rsid w:val="00561CEA"/>
    <w:rsid w:val="00561E46"/>
    <w:rsid w:val="00562298"/>
    <w:rsid w:val="005628CF"/>
    <w:rsid w:val="00562E4B"/>
    <w:rsid w:val="005632C7"/>
    <w:rsid w:val="00563631"/>
    <w:rsid w:val="00563C78"/>
    <w:rsid w:val="005645F9"/>
    <w:rsid w:val="0056553A"/>
    <w:rsid w:val="0056657F"/>
    <w:rsid w:val="00566FF5"/>
    <w:rsid w:val="0056722E"/>
    <w:rsid w:val="005672E5"/>
    <w:rsid w:val="00567939"/>
    <w:rsid w:val="00567E19"/>
    <w:rsid w:val="005705AF"/>
    <w:rsid w:val="005705F4"/>
    <w:rsid w:val="00570C98"/>
    <w:rsid w:val="005717CC"/>
    <w:rsid w:val="0057191B"/>
    <w:rsid w:val="00572862"/>
    <w:rsid w:val="00572D0E"/>
    <w:rsid w:val="00573797"/>
    <w:rsid w:val="00573961"/>
    <w:rsid w:val="00573A8C"/>
    <w:rsid w:val="00573F28"/>
    <w:rsid w:val="005740F3"/>
    <w:rsid w:val="00574354"/>
    <w:rsid w:val="005749E3"/>
    <w:rsid w:val="00574ABF"/>
    <w:rsid w:val="00574C84"/>
    <w:rsid w:val="00574CFC"/>
    <w:rsid w:val="00574FD5"/>
    <w:rsid w:val="005753FF"/>
    <w:rsid w:val="005754EF"/>
    <w:rsid w:val="0057560A"/>
    <w:rsid w:val="005756C6"/>
    <w:rsid w:val="005758E0"/>
    <w:rsid w:val="00575E2F"/>
    <w:rsid w:val="00576071"/>
    <w:rsid w:val="00576282"/>
    <w:rsid w:val="005768A6"/>
    <w:rsid w:val="00576BC3"/>
    <w:rsid w:val="00576F62"/>
    <w:rsid w:val="00577AF3"/>
    <w:rsid w:val="00577CDE"/>
    <w:rsid w:val="00580335"/>
    <w:rsid w:val="00580511"/>
    <w:rsid w:val="005814C6"/>
    <w:rsid w:val="00582156"/>
    <w:rsid w:val="0058240E"/>
    <w:rsid w:val="00582AAD"/>
    <w:rsid w:val="005830F1"/>
    <w:rsid w:val="005830F3"/>
    <w:rsid w:val="0058315A"/>
    <w:rsid w:val="005831F0"/>
    <w:rsid w:val="005837A6"/>
    <w:rsid w:val="0058413D"/>
    <w:rsid w:val="00584184"/>
    <w:rsid w:val="005841BF"/>
    <w:rsid w:val="00584F6C"/>
    <w:rsid w:val="00585032"/>
    <w:rsid w:val="005855E5"/>
    <w:rsid w:val="005858D1"/>
    <w:rsid w:val="0058594A"/>
    <w:rsid w:val="0058615E"/>
    <w:rsid w:val="005861E4"/>
    <w:rsid w:val="005862A5"/>
    <w:rsid w:val="00586450"/>
    <w:rsid w:val="005864F8"/>
    <w:rsid w:val="00586A11"/>
    <w:rsid w:val="00586C71"/>
    <w:rsid w:val="00587089"/>
    <w:rsid w:val="005870DE"/>
    <w:rsid w:val="00587859"/>
    <w:rsid w:val="0059019B"/>
    <w:rsid w:val="005910E1"/>
    <w:rsid w:val="005913F2"/>
    <w:rsid w:val="0059173D"/>
    <w:rsid w:val="0059189F"/>
    <w:rsid w:val="00591CE6"/>
    <w:rsid w:val="0059219F"/>
    <w:rsid w:val="00593015"/>
    <w:rsid w:val="00593378"/>
    <w:rsid w:val="0059382A"/>
    <w:rsid w:val="005938EA"/>
    <w:rsid w:val="00593957"/>
    <w:rsid w:val="00593ED0"/>
    <w:rsid w:val="00594197"/>
    <w:rsid w:val="005941ED"/>
    <w:rsid w:val="00594448"/>
    <w:rsid w:val="0059485D"/>
    <w:rsid w:val="0059515E"/>
    <w:rsid w:val="00596957"/>
    <w:rsid w:val="00596D91"/>
    <w:rsid w:val="005973A0"/>
    <w:rsid w:val="005977F6"/>
    <w:rsid w:val="0059788F"/>
    <w:rsid w:val="00597E23"/>
    <w:rsid w:val="005A03F9"/>
    <w:rsid w:val="005A112F"/>
    <w:rsid w:val="005A12B7"/>
    <w:rsid w:val="005A15AB"/>
    <w:rsid w:val="005A1637"/>
    <w:rsid w:val="005A1677"/>
    <w:rsid w:val="005A1B62"/>
    <w:rsid w:val="005A2416"/>
    <w:rsid w:val="005A27A5"/>
    <w:rsid w:val="005A289F"/>
    <w:rsid w:val="005A28C6"/>
    <w:rsid w:val="005A337A"/>
    <w:rsid w:val="005A3F54"/>
    <w:rsid w:val="005A4596"/>
    <w:rsid w:val="005A4830"/>
    <w:rsid w:val="005A4F82"/>
    <w:rsid w:val="005A5728"/>
    <w:rsid w:val="005A59E9"/>
    <w:rsid w:val="005A5E10"/>
    <w:rsid w:val="005A6577"/>
    <w:rsid w:val="005A6D59"/>
    <w:rsid w:val="005A6E02"/>
    <w:rsid w:val="005A6F7A"/>
    <w:rsid w:val="005B00D8"/>
    <w:rsid w:val="005B0A8F"/>
    <w:rsid w:val="005B0B35"/>
    <w:rsid w:val="005B123A"/>
    <w:rsid w:val="005B13EB"/>
    <w:rsid w:val="005B16E0"/>
    <w:rsid w:val="005B16FB"/>
    <w:rsid w:val="005B19A1"/>
    <w:rsid w:val="005B1B37"/>
    <w:rsid w:val="005B1B8F"/>
    <w:rsid w:val="005B28B7"/>
    <w:rsid w:val="005B31BE"/>
    <w:rsid w:val="005B4615"/>
    <w:rsid w:val="005B46D7"/>
    <w:rsid w:val="005B470A"/>
    <w:rsid w:val="005B4864"/>
    <w:rsid w:val="005B4BA4"/>
    <w:rsid w:val="005B579F"/>
    <w:rsid w:val="005B58E2"/>
    <w:rsid w:val="005B7108"/>
    <w:rsid w:val="005B7722"/>
    <w:rsid w:val="005B7DE2"/>
    <w:rsid w:val="005C034E"/>
    <w:rsid w:val="005C06F6"/>
    <w:rsid w:val="005C1119"/>
    <w:rsid w:val="005C124A"/>
    <w:rsid w:val="005C1B40"/>
    <w:rsid w:val="005C222A"/>
    <w:rsid w:val="005C27E0"/>
    <w:rsid w:val="005C2B03"/>
    <w:rsid w:val="005C2D31"/>
    <w:rsid w:val="005C35FF"/>
    <w:rsid w:val="005C3815"/>
    <w:rsid w:val="005C3C44"/>
    <w:rsid w:val="005C41F4"/>
    <w:rsid w:val="005C42E5"/>
    <w:rsid w:val="005C4493"/>
    <w:rsid w:val="005C469B"/>
    <w:rsid w:val="005C4708"/>
    <w:rsid w:val="005C4936"/>
    <w:rsid w:val="005C4F46"/>
    <w:rsid w:val="005C57F5"/>
    <w:rsid w:val="005C6257"/>
    <w:rsid w:val="005C62A1"/>
    <w:rsid w:val="005C63DB"/>
    <w:rsid w:val="005C6431"/>
    <w:rsid w:val="005C663C"/>
    <w:rsid w:val="005C68C1"/>
    <w:rsid w:val="005C6EF2"/>
    <w:rsid w:val="005C6F65"/>
    <w:rsid w:val="005C7942"/>
    <w:rsid w:val="005D021C"/>
    <w:rsid w:val="005D0B06"/>
    <w:rsid w:val="005D1006"/>
    <w:rsid w:val="005D146C"/>
    <w:rsid w:val="005D1F60"/>
    <w:rsid w:val="005D2090"/>
    <w:rsid w:val="005D2456"/>
    <w:rsid w:val="005D24BD"/>
    <w:rsid w:val="005D264D"/>
    <w:rsid w:val="005D281A"/>
    <w:rsid w:val="005D2BDC"/>
    <w:rsid w:val="005D313E"/>
    <w:rsid w:val="005D3838"/>
    <w:rsid w:val="005D3EC0"/>
    <w:rsid w:val="005D3FAF"/>
    <w:rsid w:val="005D44C7"/>
    <w:rsid w:val="005D478A"/>
    <w:rsid w:val="005D4818"/>
    <w:rsid w:val="005D4DE5"/>
    <w:rsid w:val="005D51EF"/>
    <w:rsid w:val="005D558D"/>
    <w:rsid w:val="005D7406"/>
    <w:rsid w:val="005D772B"/>
    <w:rsid w:val="005D7B58"/>
    <w:rsid w:val="005E0040"/>
    <w:rsid w:val="005E0687"/>
    <w:rsid w:val="005E06B9"/>
    <w:rsid w:val="005E0B76"/>
    <w:rsid w:val="005E0BA8"/>
    <w:rsid w:val="005E0F91"/>
    <w:rsid w:val="005E12CE"/>
    <w:rsid w:val="005E142C"/>
    <w:rsid w:val="005E1553"/>
    <w:rsid w:val="005E1675"/>
    <w:rsid w:val="005E1DF7"/>
    <w:rsid w:val="005E25CC"/>
    <w:rsid w:val="005E2B18"/>
    <w:rsid w:val="005E2C39"/>
    <w:rsid w:val="005E2D36"/>
    <w:rsid w:val="005E2F47"/>
    <w:rsid w:val="005E3B60"/>
    <w:rsid w:val="005E3BE1"/>
    <w:rsid w:val="005E3CAE"/>
    <w:rsid w:val="005E3F31"/>
    <w:rsid w:val="005E4EFF"/>
    <w:rsid w:val="005E51D0"/>
    <w:rsid w:val="005E5427"/>
    <w:rsid w:val="005E55EE"/>
    <w:rsid w:val="005E592D"/>
    <w:rsid w:val="005E5B39"/>
    <w:rsid w:val="005E5EB4"/>
    <w:rsid w:val="005E6787"/>
    <w:rsid w:val="005E6B0D"/>
    <w:rsid w:val="005E6C86"/>
    <w:rsid w:val="005E6E8F"/>
    <w:rsid w:val="005E7CE2"/>
    <w:rsid w:val="005F01BE"/>
    <w:rsid w:val="005F033A"/>
    <w:rsid w:val="005F0901"/>
    <w:rsid w:val="005F0DD2"/>
    <w:rsid w:val="005F0F8C"/>
    <w:rsid w:val="005F10CC"/>
    <w:rsid w:val="005F12F2"/>
    <w:rsid w:val="005F130E"/>
    <w:rsid w:val="005F14C9"/>
    <w:rsid w:val="005F18D9"/>
    <w:rsid w:val="005F18FF"/>
    <w:rsid w:val="005F1FC9"/>
    <w:rsid w:val="005F2352"/>
    <w:rsid w:val="005F3481"/>
    <w:rsid w:val="005F3A2F"/>
    <w:rsid w:val="005F3F9A"/>
    <w:rsid w:val="005F3FAE"/>
    <w:rsid w:val="005F4BD4"/>
    <w:rsid w:val="005F4F3E"/>
    <w:rsid w:val="005F54DA"/>
    <w:rsid w:val="005F556C"/>
    <w:rsid w:val="005F5580"/>
    <w:rsid w:val="005F5C66"/>
    <w:rsid w:val="005F6402"/>
    <w:rsid w:val="005F6BF6"/>
    <w:rsid w:val="005F6BFF"/>
    <w:rsid w:val="005F6F6A"/>
    <w:rsid w:val="005F7A42"/>
    <w:rsid w:val="005F7B00"/>
    <w:rsid w:val="00600283"/>
    <w:rsid w:val="006005DD"/>
    <w:rsid w:val="00600A2A"/>
    <w:rsid w:val="00600E33"/>
    <w:rsid w:val="0060125C"/>
    <w:rsid w:val="0060127E"/>
    <w:rsid w:val="0060239F"/>
    <w:rsid w:val="0060243D"/>
    <w:rsid w:val="00602797"/>
    <w:rsid w:val="00602B03"/>
    <w:rsid w:val="006030C9"/>
    <w:rsid w:val="00603240"/>
    <w:rsid w:val="00604217"/>
    <w:rsid w:val="00604903"/>
    <w:rsid w:val="00604AAF"/>
    <w:rsid w:val="00604B47"/>
    <w:rsid w:val="0060509C"/>
    <w:rsid w:val="00605352"/>
    <w:rsid w:val="00605E96"/>
    <w:rsid w:val="006064E6"/>
    <w:rsid w:val="006070CB"/>
    <w:rsid w:val="00607F57"/>
    <w:rsid w:val="00610540"/>
    <w:rsid w:val="006118BF"/>
    <w:rsid w:val="00611979"/>
    <w:rsid w:val="0061258B"/>
    <w:rsid w:val="00612BB2"/>
    <w:rsid w:val="00612CA3"/>
    <w:rsid w:val="00613367"/>
    <w:rsid w:val="00613757"/>
    <w:rsid w:val="00613E38"/>
    <w:rsid w:val="00613FE0"/>
    <w:rsid w:val="0061471A"/>
    <w:rsid w:val="00614AE8"/>
    <w:rsid w:val="00614B2C"/>
    <w:rsid w:val="0061563D"/>
    <w:rsid w:val="0061584B"/>
    <w:rsid w:val="00616245"/>
    <w:rsid w:val="00616614"/>
    <w:rsid w:val="00617716"/>
    <w:rsid w:val="00617FD6"/>
    <w:rsid w:val="006203AC"/>
    <w:rsid w:val="006205DD"/>
    <w:rsid w:val="00620781"/>
    <w:rsid w:val="00620A43"/>
    <w:rsid w:val="00621D3D"/>
    <w:rsid w:val="00621D4D"/>
    <w:rsid w:val="00622784"/>
    <w:rsid w:val="0062281D"/>
    <w:rsid w:val="00623397"/>
    <w:rsid w:val="00623D22"/>
    <w:rsid w:val="00623F7A"/>
    <w:rsid w:val="00625082"/>
    <w:rsid w:val="006260BD"/>
    <w:rsid w:val="006266B5"/>
    <w:rsid w:val="00627607"/>
    <w:rsid w:val="00627651"/>
    <w:rsid w:val="00627C30"/>
    <w:rsid w:val="00627D5C"/>
    <w:rsid w:val="00630186"/>
    <w:rsid w:val="00630212"/>
    <w:rsid w:val="00630290"/>
    <w:rsid w:val="0063042B"/>
    <w:rsid w:val="00630437"/>
    <w:rsid w:val="00630825"/>
    <w:rsid w:val="00630E15"/>
    <w:rsid w:val="006310F3"/>
    <w:rsid w:val="00631C42"/>
    <w:rsid w:val="00631EEB"/>
    <w:rsid w:val="0063210D"/>
    <w:rsid w:val="00632428"/>
    <w:rsid w:val="00632D31"/>
    <w:rsid w:val="0063300D"/>
    <w:rsid w:val="006345F2"/>
    <w:rsid w:val="0063498E"/>
    <w:rsid w:val="00634E7E"/>
    <w:rsid w:val="00634E8C"/>
    <w:rsid w:val="00634FDB"/>
    <w:rsid w:val="00635095"/>
    <w:rsid w:val="0063528D"/>
    <w:rsid w:val="006355E4"/>
    <w:rsid w:val="00635902"/>
    <w:rsid w:val="0063600E"/>
    <w:rsid w:val="00637430"/>
    <w:rsid w:val="00637B33"/>
    <w:rsid w:val="00637EAF"/>
    <w:rsid w:val="0064033F"/>
    <w:rsid w:val="00640960"/>
    <w:rsid w:val="00641345"/>
    <w:rsid w:val="006425FD"/>
    <w:rsid w:val="00642E52"/>
    <w:rsid w:val="00642F2C"/>
    <w:rsid w:val="00643237"/>
    <w:rsid w:val="00643675"/>
    <w:rsid w:val="00644DDD"/>
    <w:rsid w:val="00644F0D"/>
    <w:rsid w:val="00645013"/>
    <w:rsid w:val="00645BDE"/>
    <w:rsid w:val="00646066"/>
    <w:rsid w:val="0064655A"/>
    <w:rsid w:val="00646902"/>
    <w:rsid w:val="006469F6"/>
    <w:rsid w:val="00646F84"/>
    <w:rsid w:val="0064758F"/>
    <w:rsid w:val="006475D0"/>
    <w:rsid w:val="00647A14"/>
    <w:rsid w:val="00647B97"/>
    <w:rsid w:val="00647F0E"/>
    <w:rsid w:val="0065089D"/>
    <w:rsid w:val="00650E99"/>
    <w:rsid w:val="00651344"/>
    <w:rsid w:val="006513FE"/>
    <w:rsid w:val="00651DBA"/>
    <w:rsid w:val="00652346"/>
    <w:rsid w:val="0065249C"/>
    <w:rsid w:val="00652ECF"/>
    <w:rsid w:val="006532CF"/>
    <w:rsid w:val="00653485"/>
    <w:rsid w:val="00653A74"/>
    <w:rsid w:val="00654139"/>
    <w:rsid w:val="006541DC"/>
    <w:rsid w:val="006542BB"/>
    <w:rsid w:val="00654848"/>
    <w:rsid w:val="00654EC9"/>
    <w:rsid w:val="00655527"/>
    <w:rsid w:val="00655ABA"/>
    <w:rsid w:val="00656450"/>
    <w:rsid w:val="00656BE5"/>
    <w:rsid w:val="0065704D"/>
    <w:rsid w:val="006574FB"/>
    <w:rsid w:val="0066000B"/>
    <w:rsid w:val="00660701"/>
    <w:rsid w:val="00660911"/>
    <w:rsid w:val="00660A80"/>
    <w:rsid w:val="00661563"/>
    <w:rsid w:val="00661690"/>
    <w:rsid w:val="006616F4"/>
    <w:rsid w:val="00661CB1"/>
    <w:rsid w:val="00661DEB"/>
    <w:rsid w:val="00662B42"/>
    <w:rsid w:val="00662B73"/>
    <w:rsid w:val="00662D05"/>
    <w:rsid w:val="00662D20"/>
    <w:rsid w:val="00663037"/>
    <w:rsid w:val="0066306A"/>
    <w:rsid w:val="006630CF"/>
    <w:rsid w:val="006630EC"/>
    <w:rsid w:val="0066353D"/>
    <w:rsid w:val="00663686"/>
    <w:rsid w:val="00663794"/>
    <w:rsid w:val="00664E76"/>
    <w:rsid w:val="0066566A"/>
    <w:rsid w:val="00665982"/>
    <w:rsid w:val="006659FF"/>
    <w:rsid w:val="006660B0"/>
    <w:rsid w:val="0066644A"/>
    <w:rsid w:val="0066652C"/>
    <w:rsid w:val="00666BAE"/>
    <w:rsid w:val="00666D34"/>
    <w:rsid w:val="00667140"/>
    <w:rsid w:val="0066759B"/>
    <w:rsid w:val="006677F2"/>
    <w:rsid w:val="006678AE"/>
    <w:rsid w:val="00670386"/>
    <w:rsid w:val="006709A7"/>
    <w:rsid w:val="006719DC"/>
    <w:rsid w:val="0067207A"/>
    <w:rsid w:val="00672280"/>
    <w:rsid w:val="006726A9"/>
    <w:rsid w:val="00673670"/>
    <w:rsid w:val="00673CDA"/>
    <w:rsid w:val="006741B9"/>
    <w:rsid w:val="006743F3"/>
    <w:rsid w:val="006745FF"/>
    <w:rsid w:val="00674A93"/>
    <w:rsid w:val="00674C54"/>
    <w:rsid w:val="00675162"/>
    <w:rsid w:val="00675210"/>
    <w:rsid w:val="006755A5"/>
    <w:rsid w:val="006759A6"/>
    <w:rsid w:val="00675F4B"/>
    <w:rsid w:val="006764FF"/>
    <w:rsid w:val="00676AF3"/>
    <w:rsid w:val="00677170"/>
    <w:rsid w:val="006772F3"/>
    <w:rsid w:val="0067740E"/>
    <w:rsid w:val="006774CA"/>
    <w:rsid w:val="00677692"/>
    <w:rsid w:val="00677A09"/>
    <w:rsid w:val="00677A26"/>
    <w:rsid w:val="00680BE5"/>
    <w:rsid w:val="00680D27"/>
    <w:rsid w:val="00680F6D"/>
    <w:rsid w:val="006811AB"/>
    <w:rsid w:val="006814EC"/>
    <w:rsid w:val="0068194D"/>
    <w:rsid w:val="00681A28"/>
    <w:rsid w:val="00682263"/>
    <w:rsid w:val="00682D8F"/>
    <w:rsid w:val="006839EA"/>
    <w:rsid w:val="00684659"/>
    <w:rsid w:val="00685285"/>
    <w:rsid w:val="006853ED"/>
    <w:rsid w:val="006858E7"/>
    <w:rsid w:val="00685B96"/>
    <w:rsid w:val="00686566"/>
    <w:rsid w:val="006867B2"/>
    <w:rsid w:val="00686AE0"/>
    <w:rsid w:val="00686CA0"/>
    <w:rsid w:val="006900ED"/>
    <w:rsid w:val="00690C1C"/>
    <w:rsid w:val="00690D9D"/>
    <w:rsid w:val="006911A9"/>
    <w:rsid w:val="00691A2F"/>
    <w:rsid w:val="00691C64"/>
    <w:rsid w:val="00691C7A"/>
    <w:rsid w:val="00691F13"/>
    <w:rsid w:val="006921C4"/>
    <w:rsid w:val="006923BB"/>
    <w:rsid w:val="0069250F"/>
    <w:rsid w:val="0069254B"/>
    <w:rsid w:val="00692833"/>
    <w:rsid w:val="00693989"/>
    <w:rsid w:val="00694174"/>
    <w:rsid w:val="006941CB"/>
    <w:rsid w:val="006942FC"/>
    <w:rsid w:val="006943E5"/>
    <w:rsid w:val="0069484E"/>
    <w:rsid w:val="006950FF"/>
    <w:rsid w:val="006952DE"/>
    <w:rsid w:val="00695A6F"/>
    <w:rsid w:val="00696161"/>
    <w:rsid w:val="006961F1"/>
    <w:rsid w:val="006964EB"/>
    <w:rsid w:val="006969C0"/>
    <w:rsid w:val="00696D69"/>
    <w:rsid w:val="006971A0"/>
    <w:rsid w:val="0069730D"/>
    <w:rsid w:val="00697B84"/>
    <w:rsid w:val="00697E49"/>
    <w:rsid w:val="006A02A1"/>
    <w:rsid w:val="006A0478"/>
    <w:rsid w:val="006A10B6"/>
    <w:rsid w:val="006A12A5"/>
    <w:rsid w:val="006A1B9E"/>
    <w:rsid w:val="006A1EBE"/>
    <w:rsid w:val="006A22CE"/>
    <w:rsid w:val="006A233C"/>
    <w:rsid w:val="006A25E1"/>
    <w:rsid w:val="006A2920"/>
    <w:rsid w:val="006A2EB5"/>
    <w:rsid w:val="006A32C6"/>
    <w:rsid w:val="006A3BB5"/>
    <w:rsid w:val="006A4BFA"/>
    <w:rsid w:val="006A4E42"/>
    <w:rsid w:val="006A562A"/>
    <w:rsid w:val="006A64B8"/>
    <w:rsid w:val="006A6845"/>
    <w:rsid w:val="006A6958"/>
    <w:rsid w:val="006A6EDA"/>
    <w:rsid w:val="006A6F5B"/>
    <w:rsid w:val="006A7110"/>
    <w:rsid w:val="006A7F79"/>
    <w:rsid w:val="006B08D7"/>
    <w:rsid w:val="006B08E3"/>
    <w:rsid w:val="006B0DA9"/>
    <w:rsid w:val="006B1681"/>
    <w:rsid w:val="006B18B6"/>
    <w:rsid w:val="006B1CF6"/>
    <w:rsid w:val="006B1F98"/>
    <w:rsid w:val="006B23DC"/>
    <w:rsid w:val="006B23FB"/>
    <w:rsid w:val="006B2637"/>
    <w:rsid w:val="006B3016"/>
    <w:rsid w:val="006B3415"/>
    <w:rsid w:val="006B382C"/>
    <w:rsid w:val="006B441C"/>
    <w:rsid w:val="006B56A2"/>
    <w:rsid w:val="006B5CEE"/>
    <w:rsid w:val="006B646E"/>
    <w:rsid w:val="006B6540"/>
    <w:rsid w:val="006B670A"/>
    <w:rsid w:val="006B6DBA"/>
    <w:rsid w:val="006B76C1"/>
    <w:rsid w:val="006B781C"/>
    <w:rsid w:val="006B7B3F"/>
    <w:rsid w:val="006C0602"/>
    <w:rsid w:val="006C064D"/>
    <w:rsid w:val="006C15CE"/>
    <w:rsid w:val="006C2858"/>
    <w:rsid w:val="006C2D3B"/>
    <w:rsid w:val="006C2D5B"/>
    <w:rsid w:val="006C2E7D"/>
    <w:rsid w:val="006C3239"/>
    <w:rsid w:val="006C3434"/>
    <w:rsid w:val="006C3B43"/>
    <w:rsid w:val="006C3D11"/>
    <w:rsid w:val="006C5029"/>
    <w:rsid w:val="006C5192"/>
    <w:rsid w:val="006C5C80"/>
    <w:rsid w:val="006C6046"/>
    <w:rsid w:val="006C632A"/>
    <w:rsid w:val="006C6710"/>
    <w:rsid w:val="006C6766"/>
    <w:rsid w:val="006C7850"/>
    <w:rsid w:val="006C793A"/>
    <w:rsid w:val="006C7C33"/>
    <w:rsid w:val="006C7D33"/>
    <w:rsid w:val="006D00FD"/>
    <w:rsid w:val="006D09E0"/>
    <w:rsid w:val="006D0AE7"/>
    <w:rsid w:val="006D138D"/>
    <w:rsid w:val="006D14A7"/>
    <w:rsid w:val="006D1B38"/>
    <w:rsid w:val="006D1E8C"/>
    <w:rsid w:val="006D28F9"/>
    <w:rsid w:val="006D29FC"/>
    <w:rsid w:val="006D2B84"/>
    <w:rsid w:val="006D2CB0"/>
    <w:rsid w:val="006D2E9B"/>
    <w:rsid w:val="006D358A"/>
    <w:rsid w:val="006D4692"/>
    <w:rsid w:val="006D4D70"/>
    <w:rsid w:val="006D591C"/>
    <w:rsid w:val="006D5992"/>
    <w:rsid w:val="006D5A65"/>
    <w:rsid w:val="006D64CF"/>
    <w:rsid w:val="006D6B15"/>
    <w:rsid w:val="006D6CFF"/>
    <w:rsid w:val="006D6F82"/>
    <w:rsid w:val="006D74EE"/>
    <w:rsid w:val="006D7B48"/>
    <w:rsid w:val="006E11B9"/>
    <w:rsid w:val="006E133F"/>
    <w:rsid w:val="006E1644"/>
    <w:rsid w:val="006E1916"/>
    <w:rsid w:val="006E1D69"/>
    <w:rsid w:val="006E208F"/>
    <w:rsid w:val="006E2301"/>
    <w:rsid w:val="006E251C"/>
    <w:rsid w:val="006E261A"/>
    <w:rsid w:val="006E2635"/>
    <w:rsid w:val="006E2896"/>
    <w:rsid w:val="006E2A6B"/>
    <w:rsid w:val="006E3378"/>
    <w:rsid w:val="006E35D4"/>
    <w:rsid w:val="006E36FE"/>
    <w:rsid w:val="006E3BEF"/>
    <w:rsid w:val="006E3CA6"/>
    <w:rsid w:val="006E3D3D"/>
    <w:rsid w:val="006E3E30"/>
    <w:rsid w:val="006E3F7A"/>
    <w:rsid w:val="006E40FC"/>
    <w:rsid w:val="006E4749"/>
    <w:rsid w:val="006E5014"/>
    <w:rsid w:val="006E6AB6"/>
    <w:rsid w:val="006E6B66"/>
    <w:rsid w:val="006E758B"/>
    <w:rsid w:val="006F0407"/>
    <w:rsid w:val="006F04AF"/>
    <w:rsid w:val="006F103A"/>
    <w:rsid w:val="006F10DE"/>
    <w:rsid w:val="006F128E"/>
    <w:rsid w:val="006F1468"/>
    <w:rsid w:val="006F1A07"/>
    <w:rsid w:val="006F1A8F"/>
    <w:rsid w:val="006F1D78"/>
    <w:rsid w:val="006F294F"/>
    <w:rsid w:val="006F3374"/>
    <w:rsid w:val="006F3B9D"/>
    <w:rsid w:val="006F4210"/>
    <w:rsid w:val="006F439F"/>
    <w:rsid w:val="006F445C"/>
    <w:rsid w:val="006F4B59"/>
    <w:rsid w:val="006F50D1"/>
    <w:rsid w:val="006F558F"/>
    <w:rsid w:val="006F5E6F"/>
    <w:rsid w:val="006F6281"/>
    <w:rsid w:val="006F65BB"/>
    <w:rsid w:val="006F67C4"/>
    <w:rsid w:val="006F6AA1"/>
    <w:rsid w:val="006F6EFB"/>
    <w:rsid w:val="006F79E4"/>
    <w:rsid w:val="006F7A2C"/>
    <w:rsid w:val="006F7B0A"/>
    <w:rsid w:val="00700236"/>
    <w:rsid w:val="00700463"/>
    <w:rsid w:val="0070047A"/>
    <w:rsid w:val="00700595"/>
    <w:rsid w:val="00701535"/>
    <w:rsid w:val="00701914"/>
    <w:rsid w:val="00702173"/>
    <w:rsid w:val="007039BC"/>
    <w:rsid w:val="00703EB4"/>
    <w:rsid w:val="00704188"/>
    <w:rsid w:val="0070421C"/>
    <w:rsid w:val="00704E2A"/>
    <w:rsid w:val="007051C7"/>
    <w:rsid w:val="00705A51"/>
    <w:rsid w:val="00705D66"/>
    <w:rsid w:val="00706316"/>
    <w:rsid w:val="0070639A"/>
    <w:rsid w:val="007064E6"/>
    <w:rsid w:val="00706992"/>
    <w:rsid w:val="00706F32"/>
    <w:rsid w:val="00707093"/>
    <w:rsid w:val="007070AC"/>
    <w:rsid w:val="00707BCB"/>
    <w:rsid w:val="00710852"/>
    <w:rsid w:val="00710B31"/>
    <w:rsid w:val="007116CB"/>
    <w:rsid w:val="00712195"/>
    <w:rsid w:val="00712A31"/>
    <w:rsid w:val="00712FC0"/>
    <w:rsid w:val="00713193"/>
    <w:rsid w:val="0071339A"/>
    <w:rsid w:val="0071361B"/>
    <w:rsid w:val="007144B8"/>
    <w:rsid w:val="00714C94"/>
    <w:rsid w:val="00715208"/>
    <w:rsid w:val="007161F7"/>
    <w:rsid w:val="00716273"/>
    <w:rsid w:val="007162F5"/>
    <w:rsid w:val="00716802"/>
    <w:rsid w:val="00716BDD"/>
    <w:rsid w:val="00716D64"/>
    <w:rsid w:val="00716E34"/>
    <w:rsid w:val="00717BF9"/>
    <w:rsid w:val="00720019"/>
    <w:rsid w:val="0072091A"/>
    <w:rsid w:val="007209E8"/>
    <w:rsid w:val="00720EA3"/>
    <w:rsid w:val="007211C4"/>
    <w:rsid w:val="00721298"/>
    <w:rsid w:val="007213DB"/>
    <w:rsid w:val="007217EC"/>
    <w:rsid w:val="0072190F"/>
    <w:rsid w:val="00721BE2"/>
    <w:rsid w:val="00721FF4"/>
    <w:rsid w:val="007220E0"/>
    <w:rsid w:val="007222C2"/>
    <w:rsid w:val="00722459"/>
    <w:rsid w:val="00722765"/>
    <w:rsid w:val="00722848"/>
    <w:rsid w:val="00722E6C"/>
    <w:rsid w:val="00723225"/>
    <w:rsid w:val="00723CAD"/>
    <w:rsid w:val="00724C32"/>
    <w:rsid w:val="00724D4A"/>
    <w:rsid w:val="007251E5"/>
    <w:rsid w:val="0072539B"/>
    <w:rsid w:val="00725536"/>
    <w:rsid w:val="007256F5"/>
    <w:rsid w:val="00725D43"/>
    <w:rsid w:val="00725D8D"/>
    <w:rsid w:val="00725F29"/>
    <w:rsid w:val="00725FAC"/>
    <w:rsid w:val="00725FF2"/>
    <w:rsid w:val="0072740F"/>
    <w:rsid w:val="007279A6"/>
    <w:rsid w:val="00727CE7"/>
    <w:rsid w:val="00730117"/>
    <w:rsid w:val="00730194"/>
    <w:rsid w:val="00730538"/>
    <w:rsid w:val="0073058C"/>
    <w:rsid w:val="0073094C"/>
    <w:rsid w:val="00730F5B"/>
    <w:rsid w:val="0073160C"/>
    <w:rsid w:val="00731A7B"/>
    <w:rsid w:val="00731F39"/>
    <w:rsid w:val="00731F3B"/>
    <w:rsid w:val="00732692"/>
    <w:rsid w:val="00732DCD"/>
    <w:rsid w:val="00733347"/>
    <w:rsid w:val="0073337C"/>
    <w:rsid w:val="0073362B"/>
    <w:rsid w:val="00734070"/>
    <w:rsid w:val="00734250"/>
    <w:rsid w:val="00734537"/>
    <w:rsid w:val="00735592"/>
    <w:rsid w:val="00735A52"/>
    <w:rsid w:val="00735EFD"/>
    <w:rsid w:val="007362CE"/>
    <w:rsid w:val="00736839"/>
    <w:rsid w:val="00736875"/>
    <w:rsid w:val="007377A6"/>
    <w:rsid w:val="00737B0D"/>
    <w:rsid w:val="00740232"/>
    <w:rsid w:val="007402B9"/>
    <w:rsid w:val="00741329"/>
    <w:rsid w:val="00741A8F"/>
    <w:rsid w:val="00741FCD"/>
    <w:rsid w:val="007421EE"/>
    <w:rsid w:val="00742823"/>
    <w:rsid w:val="00743433"/>
    <w:rsid w:val="00743553"/>
    <w:rsid w:val="0074387D"/>
    <w:rsid w:val="0074555D"/>
    <w:rsid w:val="00745BBA"/>
    <w:rsid w:val="007465F5"/>
    <w:rsid w:val="00746738"/>
    <w:rsid w:val="007467B1"/>
    <w:rsid w:val="00746A93"/>
    <w:rsid w:val="00746B90"/>
    <w:rsid w:val="00746C90"/>
    <w:rsid w:val="00747778"/>
    <w:rsid w:val="00747CAD"/>
    <w:rsid w:val="00747F1E"/>
    <w:rsid w:val="0075033F"/>
    <w:rsid w:val="00750F31"/>
    <w:rsid w:val="00751182"/>
    <w:rsid w:val="007514B4"/>
    <w:rsid w:val="007514D3"/>
    <w:rsid w:val="00752177"/>
    <w:rsid w:val="007525BF"/>
    <w:rsid w:val="007526E0"/>
    <w:rsid w:val="00752753"/>
    <w:rsid w:val="0075309D"/>
    <w:rsid w:val="007540F3"/>
    <w:rsid w:val="007543FE"/>
    <w:rsid w:val="007544D4"/>
    <w:rsid w:val="00754B3C"/>
    <w:rsid w:val="00754D36"/>
    <w:rsid w:val="00755993"/>
    <w:rsid w:val="007559C6"/>
    <w:rsid w:val="00755ADB"/>
    <w:rsid w:val="00755C33"/>
    <w:rsid w:val="00756DCC"/>
    <w:rsid w:val="0075736B"/>
    <w:rsid w:val="0075769F"/>
    <w:rsid w:val="00757752"/>
    <w:rsid w:val="0075792E"/>
    <w:rsid w:val="00757D25"/>
    <w:rsid w:val="00760905"/>
    <w:rsid w:val="0076096F"/>
    <w:rsid w:val="00761B61"/>
    <w:rsid w:val="00761C8C"/>
    <w:rsid w:val="00761E3B"/>
    <w:rsid w:val="00761F5D"/>
    <w:rsid w:val="00762065"/>
    <w:rsid w:val="007623EF"/>
    <w:rsid w:val="00763107"/>
    <w:rsid w:val="0076387F"/>
    <w:rsid w:val="00763FED"/>
    <w:rsid w:val="0076452F"/>
    <w:rsid w:val="00764764"/>
    <w:rsid w:val="00765790"/>
    <w:rsid w:val="00765DD0"/>
    <w:rsid w:val="007662A1"/>
    <w:rsid w:val="00766E51"/>
    <w:rsid w:val="00766F97"/>
    <w:rsid w:val="007673EA"/>
    <w:rsid w:val="00767A98"/>
    <w:rsid w:val="00767C96"/>
    <w:rsid w:val="00767DD6"/>
    <w:rsid w:val="00770650"/>
    <w:rsid w:val="00770B12"/>
    <w:rsid w:val="00770F79"/>
    <w:rsid w:val="00771FDB"/>
    <w:rsid w:val="0077221D"/>
    <w:rsid w:val="00772B21"/>
    <w:rsid w:val="00772FA8"/>
    <w:rsid w:val="00773B77"/>
    <w:rsid w:val="00773BBF"/>
    <w:rsid w:val="00774644"/>
    <w:rsid w:val="0077494D"/>
    <w:rsid w:val="007753AF"/>
    <w:rsid w:val="00775536"/>
    <w:rsid w:val="00775869"/>
    <w:rsid w:val="00775F7D"/>
    <w:rsid w:val="00776BBF"/>
    <w:rsid w:val="00776E76"/>
    <w:rsid w:val="00777387"/>
    <w:rsid w:val="007776DC"/>
    <w:rsid w:val="00777BAE"/>
    <w:rsid w:val="00777C1F"/>
    <w:rsid w:val="00780025"/>
    <w:rsid w:val="007800C5"/>
    <w:rsid w:val="007801C7"/>
    <w:rsid w:val="007804FE"/>
    <w:rsid w:val="0078081A"/>
    <w:rsid w:val="00780CF7"/>
    <w:rsid w:val="00781284"/>
    <w:rsid w:val="0078147A"/>
    <w:rsid w:val="007819C4"/>
    <w:rsid w:val="007821AC"/>
    <w:rsid w:val="00782471"/>
    <w:rsid w:val="007838D0"/>
    <w:rsid w:val="00784629"/>
    <w:rsid w:val="00785352"/>
    <w:rsid w:val="00785EC9"/>
    <w:rsid w:val="0078749B"/>
    <w:rsid w:val="00787913"/>
    <w:rsid w:val="0079068F"/>
    <w:rsid w:val="00790A00"/>
    <w:rsid w:val="00790FBD"/>
    <w:rsid w:val="007916E4"/>
    <w:rsid w:val="0079228F"/>
    <w:rsid w:val="007929DA"/>
    <w:rsid w:val="00792BF2"/>
    <w:rsid w:val="00792C91"/>
    <w:rsid w:val="00793202"/>
    <w:rsid w:val="00793B49"/>
    <w:rsid w:val="007944FB"/>
    <w:rsid w:val="007945A1"/>
    <w:rsid w:val="00794899"/>
    <w:rsid w:val="0079496C"/>
    <w:rsid w:val="00795037"/>
    <w:rsid w:val="00795220"/>
    <w:rsid w:val="007952C0"/>
    <w:rsid w:val="007958A4"/>
    <w:rsid w:val="00795F15"/>
    <w:rsid w:val="00796017"/>
    <w:rsid w:val="00796151"/>
    <w:rsid w:val="0079642D"/>
    <w:rsid w:val="00797360"/>
    <w:rsid w:val="007976C0"/>
    <w:rsid w:val="007976EB"/>
    <w:rsid w:val="0079785D"/>
    <w:rsid w:val="0079786F"/>
    <w:rsid w:val="007979F3"/>
    <w:rsid w:val="007A08FE"/>
    <w:rsid w:val="007A0B47"/>
    <w:rsid w:val="007A0F09"/>
    <w:rsid w:val="007A1A11"/>
    <w:rsid w:val="007A1FED"/>
    <w:rsid w:val="007A23B0"/>
    <w:rsid w:val="007A276C"/>
    <w:rsid w:val="007A2809"/>
    <w:rsid w:val="007A2A8E"/>
    <w:rsid w:val="007A2C29"/>
    <w:rsid w:val="007A2E7D"/>
    <w:rsid w:val="007A3099"/>
    <w:rsid w:val="007A3509"/>
    <w:rsid w:val="007A4279"/>
    <w:rsid w:val="007A4B8A"/>
    <w:rsid w:val="007A52F8"/>
    <w:rsid w:val="007A5750"/>
    <w:rsid w:val="007A61EE"/>
    <w:rsid w:val="007A64BC"/>
    <w:rsid w:val="007A6878"/>
    <w:rsid w:val="007A69FB"/>
    <w:rsid w:val="007A775C"/>
    <w:rsid w:val="007A79D2"/>
    <w:rsid w:val="007A7B5A"/>
    <w:rsid w:val="007B13E6"/>
    <w:rsid w:val="007B1AD9"/>
    <w:rsid w:val="007B1BE7"/>
    <w:rsid w:val="007B1D7D"/>
    <w:rsid w:val="007B1F68"/>
    <w:rsid w:val="007B1FCE"/>
    <w:rsid w:val="007B214D"/>
    <w:rsid w:val="007B25E1"/>
    <w:rsid w:val="007B2C18"/>
    <w:rsid w:val="007B3218"/>
    <w:rsid w:val="007B3A87"/>
    <w:rsid w:val="007B3D1E"/>
    <w:rsid w:val="007B40DA"/>
    <w:rsid w:val="007B47D9"/>
    <w:rsid w:val="007B4B5D"/>
    <w:rsid w:val="007B52DE"/>
    <w:rsid w:val="007B59A4"/>
    <w:rsid w:val="007B5C11"/>
    <w:rsid w:val="007B5C3B"/>
    <w:rsid w:val="007B5E40"/>
    <w:rsid w:val="007B66FC"/>
    <w:rsid w:val="007B74AF"/>
    <w:rsid w:val="007C015C"/>
    <w:rsid w:val="007C080B"/>
    <w:rsid w:val="007C08B1"/>
    <w:rsid w:val="007C0B3A"/>
    <w:rsid w:val="007C175E"/>
    <w:rsid w:val="007C1870"/>
    <w:rsid w:val="007C1D1D"/>
    <w:rsid w:val="007C270F"/>
    <w:rsid w:val="007C2EA8"/>
    <w:rsid w:val="007C3D94"/>
    <w:rsid w:val="007C4E70"/>
    <w:rsid w:val="007C5474"/>
    <w:rsid w:val="007C54D0"/>
    <w:rsid w:val="007C575E"/>
    <w:rsid w:val="007C5A0D"/>
    <w:rsid w:val="007C600A"/>
    <w:rsid w:val="007C6035"/>
    <w:rsid w:val="007C6EE7"/>
    <w:rsid w:val="007C7307"/>
    <w:rsid w:val="007C7783"/>
    <w:rsid w:val="007D078F"/>
    <w:rsid w:val="007D0E37"/>
    <w:rsid w:val="007D109E"/>
    <w:rsid w:val="007D14AC"/>
    <w:rsid w:val="007D160B"/>
    <w:rsid w:val="007D1ADD"/>
    <w:rsid w:val="007D1CF9"/>
    <w:rsid w:val="007D1FDF"/>
    <w:rsid w:val="007D2545"/>
    <w:rsid w:val="007D2726"/>
    <w:rsid w:val="007D39D2"/>
    <w:rsid w:val="007D3A9A"/>
    <w:rsid w:val="007D3E2B"/>
    <w:rsid w:val="007D3FA4"/>
    <w:rsid w:val="007D4762"/>
    <w:rsid w:val="007D480D"/>
    <w:rsid w:val="007D4822"/>
    <w:rsid w:val="007D4B74"/>
    <w:rsid w:val="007D4D41"/>
    <w:rsid w:val="007D4D6F"/>
    <w:rsid w:val="007D5000"/>
    <w:rsid w:val="007D50B1"/>
    <w:rsid w:val="007D50C8"/>
    <w:rsid w:val="007D54FB"/>
    <w:rsid w:val="007D56C0"/>
    <w:rsid w:val="007D5756"/>
    <w:rsid w:val="007D5B70"/>
    <w:rsid w:val="007D5E38"/>
    <w:rsid w:val="007D6FFF"/>
    <w:rsid w:val="007D7041"/>
    <w:rsid w:val="007E01EF"/>
    <w:rsid w:val="007E08FB"/>
    <w:rsid w:val="007E1092"/>
    <w:rsid w:val="007E199C"/>
    <w:rsid w:val="007E1D59"/>
    <w:rsid w:val="007E24BB"/>
    <w:rsid w:val="007E25D4"/>
    <w:rsid w:val="007E26E8"/>
    <w:rsid w:val="007E2BB3"/>
    <w:rsid w:val="007E365E"/>
    <w:rsid w:val="007E36B3"/>
    <w:rsid w:val="007E3D19"/>
    <w:rsid w:val="007E3F71"/>
    <w:rsid w:val="007E42AD"/>
    <w:rsid w:val="007E5114"/>
    <w:rsid w:val="007E594B"/>
    <w:rsid w:val="007E5F1C"/>
    <w:rsid w:val="007E6233"/>
    <w:rsid w:val="007E6478"/>
    <w:rsid w:val="007E6C7D"/>
    <w:rsid w:val="007E70F1"/>
    <w:rsid w:val="007E7C0D"/>
    <w:rsid w:val="007E7DC4"/>
    <w:rsid w:val="007F022D"/>
    <w:rsid w:val="007F02AA"/>
    <w:rsid w:val="007F0857"/>
    <w:rsid w:val="007F1081"/>
    <w:rsid w:val="007F1D99"/>
    <w:rsid w:val="007F219B"/>
    <w:rsid w:val="007F22C0"/>
    <w:rsid w:val="007F2B25"/>
    <w:rsid w:val="007F30A9"/>
    <w:rsid w:val="007F3233"/>
    <w:rsid w:val="007F3869"/>
    <w:rsid w:val="007F3AF2"/>
    <w:rsid w:val="007F3CAF"/>
    <w:rsid w:val="007F3CF0"/>
    <w:rsid w:val="007F45F1"/>
    <w:rsid w:val="007F4918"/>
    <w:rsid w:val="007F4DF3"/>
    <w:rsid w:val="007F510B"/>
    <w:rsid w:val="007F563B"/>
    <w:rsid w:val="007F5CDA"/>
    <w:rsid w:val="007F5E94"/>
    <w:rsid w:val="007F6AC2"/>
    <w:rsid w:val="007F6DF5"/>
    <w:rsid w:val="007F7176"/>
    <w:rsid w:val="007F71F5"/>
    <w:rsid w:val="007F77C1"/>
    <w:rsid w:val="007F7B09"/>
    <w:rsid w:val="00800B05"/>
    <w:rsid w:val="00800D7A"/>
    <w:rsid w:val="008015D8"/>
    <w:rsid w:val="00801853"/>
    <w:rsid w:val="00801DB9"/>
    <w:rsid w:val="00802330"/>
    <w:rsid w:val="008025B7"/>
    <w:rsid w:val="00802C38"/>
    <w:rsid w:val="008039B1"/>
    <w:rsid w:val="00803C9A"/>
    <w:rsid w:val="008043BD"/>
    <w:rsid w:val="008043C8"/>
    <w:rsid w:val="00804594"/>
    <w:rsid w:val="0080496E"/>
    <w:rsid w:val="00805C91"/>
    <w:rsid w:val="00805F0C"/>
    <w:rsid w:val="0080606E"/>
    <w:rsid w:val="0080700D"/>
    <w:rsid w:val="008074A7"/>
    <w:rsid w:val="00810828"/>
    <w:rsid w:val="008113E6"/>
    <w:rsid w:val="00811ED6"/>
    <w:rsid w:val="0081268C"/>
    <w:rsid w:val="00812BBC"/>
    <w:rsid w:val="008130B5"/>
    <w:rsid w:val="008131AC"/>
    <w:rsid w:val="008133B3"/>
    <w:rsid w:val="00813B0F"/>
    <w:rsid w:val="00814E93"/>
    <w:rsid w:val="0081505A"/>
    <w:rsid w:val="00815A6F"/>
    <w:rsid w:val="00815A87"/>
    <w:rsid w:val="0081673E"/>
    <w:rsid w:val="00816925"/>
    <w:rsid w:val="00816F2F"/>
    <w:rsid w:val="00817327"/>
    <w:rsid w:val="00817A16"/>
    <w:rsid w:val="00817EF3"/>
    <w:rsid w:val="00817F15"/>
    <w:rsid w:val="0082023F"/>
    <w:rsid w:val="008202FA"/>
    <w:rsid w:val="008206C6"/>
    <w:rsid w:val="00820FAB"/>
    <w:rsid w:val="008210A6"/>
    <w:rsid w:val="0082126C"/>
    <w:rsid w:val="00821BCD"/>
    <w:rsid w:val="0082234B"/>
    <w:rsid w:val="008228C7"/>
    <w:rsid w:val="00822979"/>
    <w:rsid w:val="00823459"/>
    <w:rsid w:val="00824069"/>
    <w:rsid w:val="0082483A"/>
    <w:rsid w:val="00824F04"/>
    <w:rsid w:val="00825272"/>
    <w:rsid w:val="00826478"/>
    <w:rsid w:val="00826699"/>
    <w:rsid w:val="00826910"/>
    <w:rsid w:val="00827898"/>
    <w:rsid w:val="008278DE"/>
    <w:rsid w:val="00827B1C"/>
    <w:rsid w:val="00827EE4"/>
    <w:rsid w:val="00827EF3"/>
    <w:rsid w:val="00830237"/>
    <w:rsid w:val="00830360"/>
    <w:rsid w:val="008304E0"/>
    <w:rsid w:val="00830CB5"/>
    <w:rsid w:val="00830E83"/>
    <w:rsid w:val="00831335"/>
    <w:rsid w:val="00831A21"/>
    <w:rsid w:val="00831C52"/>
    <w:rsid w:val="008326AB"/>
    <w:rsid w:val="0083341E"/>
    <w:rsid w:val="00833A9C"/>
    <w:rsid w:val="008342B3"/>
    <w:rsid w:val="0083441C"/>
    <w:rsid w:val="00834D13"/>
    <w:rsid w:val="00834FBC"/>
    <w:rsid w:val="00835325"/>
    <w:rsid w:val="008357B8"/>
    <w:rsid w:val="00835FB5"/>
    <w:rsid w:val="008364F1"/>
    <w:rsid w:val="0083653B"/>
    <w:rsid w:val="0083667A"/>
    <w:rsid w:val="00836C0E"/>
    <w:rsid w:val="00836D47"/>
    <w:rsid w:val="008373D9"/>
    <w:rsid w:val="0083780F"/>
    <w:rsid w:val="00837C10"/>
    <w:rsid w:val="00837D41"/>
    <w:rsid w:val="008407F5"/>
    <w:rsid w:val="0084096A"/>
    <w:rsid w:val="00841212"/>
    <w:rsid w:val="008418FB"/>
    <w:rsid w:val="00842158"/>
    <w:rsid w:val="00842807"/>
    <w:rsid w:val="008429DC"/>
    <w:rsid w:val="00842CE9"/>
    <w:rsid w:val="00842F4E"/>
    <w:rsid w:val="00843904"/>
    <w:rsid w:val="0084393B"/>
    <w:rsid w:val="00843C59"/>
    <w:rsid w:val="00843C9E"/>
    <w:rsid w:val="00843FFA"/>
    <w:rsid w:val="00845659"/>
    <w:rsid w:val="00845C04"/>
    <w:rsid w:val="00845CE8"/>
    <w:rsid w:val="008464A1"/>
    <w:rsid w:val="0084694F"/>
    <w:rsid w:val="00846A77"/>
    <w:rsid w:val="00846E41"/>
    <w:rsid w:val="00847857"/>
    <w:rsid w:val="00847C36"/>
    <w:rsid w:val="00847D9A"/>
    <w:rsid w:val="00850162"/>
    <w:rsid w:val="008506F0"/>
    <w:rsid w:val="00850B07"/>
    <w:rsid w:val="00850DB8"/>
    <w:rsid w:val="00851846"/>
    <w:rsid w:val="00851FA1"/>
    <w:rsid w:val="008523DA"/>
    <w:rsid w:val="008524DB"/>
    <w:rsid w:val="008528A1"/>
    <w:rsid w:val="00852D93"/>
    <w:rsid w:val="00852E04"/>
    <w:rsid w:val="00852E8D"/>
    <w:rsid w:val="00852EF6"/>
    <w:rsid w:val="00852FA6"/>
    <w:rsid w:val="00852FF2"/>
    <w:rsid w:val="0085364A"/>
    <w:rsid w:val="00853855"/>
    <w:rsid w:val="00853CEC"/>
    <w:rsid w:val="00853F36"/>
    <w:rsid w:val="00854229"/>
    <w:rsid w:val="00854A48"/>
    <w:rsid w:val="00854BE5"/>
    <w:rsid w:val="0085524B"/>
    <w:rsid w:val="008558A8"/>
    <w:rsid w:val="00855B05"/>
    <w:rsid w:val="00856B4C"/>
    <w:rsid w:val="0085745C"/>
    <w:rsid w:val="0085756B"/>
    <w:rsid w:val="0086089C"/>
    <w:rsid w:val="00860CC4"/>
    <w:rsid w:val="008614CC"/>
    <w:rsid w:val="00862598"/>
    <w:rsid w:val="008626E6"/>
    <w:rsid w:val="0086274E"/>
    <w:rsid w:val="00862A43"/>
    <w:rsid w:val="008631D3"/>
    <w:rsid w:val="008635F7"/>
    <w:rsid w:val="0086381E"/>
    <w:rsid w:val="00863C0B"/>
    <w:rsid w:val="0086426E"/>
    <w:rsid w:val="00864A3A"/>
    <w:rsid w:val="00865270"/>
    <w:rsid w:val="0086564C"/>
    <w:rsid w:val="00865A0E"/>
    <w:rsid w:val="00865B20"/>
    <w:rsid w:val="00865CA7"/>
    <w:rsid w:val="008661C6"/>
    <w:rsid w:val="00866394"/>
    <w:rsid w:val="008664A2"/>
    <w:rsid w:val="00867564"/>
    <w:rsid w:val="008706C4"/>
    <w:rsid w:val="00870FF6"/>
    <w:rsid w:val="008713FA"/>
    <w:rsid w:val="00871908"/>
    <w:rsid w:val="00872191"/>
    <w:rsid w:val="00872290"/>
    <w:rsid w:val="00872C43"/>
    <w:rsid w:val="00872E82"/>
    <w:rsid w:val="00873812"/>
    <w:rsid w:val="00873C5C"/>
    <w:rsid w:val="0087416F"/>
    <w:rsid w:val="0087484C"/>
    <w:rsid w:val="00874BD4"/>
    <w:rsid w:val="00874D6A"/>
    <w:rsid w:val="00874E85"/>
    <w:rsid w:val="00874F2F"/>
    <w:rsid w:val="00874FEA"/>
    <w:rsid w:val="00875140"/>
    <w:rsid w:val="00875D85"/>
    <w:rsid w:val="008767F6"/>
    <w:rsid w:val="00876947"/>
    <w:rsid w:val="00877121"/>
    <w:rsid w:val="00877684"/>
    <w:rsid w:val="00877750"/>
    <w:rsid w:val="00877B10"/>
    <w:rsid w:val="00880A5D"/>
    <w:rsid w:val="00881404"/>
    <w:rsid w:val="00881471"/>
    <w:rsid w:val="00882245"/>
    <w:rsid w:val="0088228D"/>
    <w:rsid w:val="00883664"/>
    <w:rsid w:val="00883B17"/>
    <w:rsid w:val="00883C8F"/>
    <w:rsid w:val="00884073"/>
    <w:rsid w:val="008842D2"/>
    <w:rsid w:val="00884744"/>
    <w:rsid w:val="0088475E"/>
    <w:rsid w:val="00884FAE"/>
    <w:rsid w:val="008851AC"/>
    <w:rsid w:val="0088561A"/>
    <w:rsid w:val="00885EAC"/>
    <w:rsid w:val="00886443"/>
    <w:rsid w:val="00887429"/>
    <w:rsid w:val="008876AC"/>
    <w:rsid w:val="0089078C"/>
    <w:rsid w:val="008908B0"/>
    <w:rsid w:val="00890C21"/>
    <w:rsid w:val="00890E32"/>
    <w:rsid w:val="00890FBB"/>
    <w:rsid w:val="00891049"/>
    <w:rsid w:val="008910A7"/>
    <w:rsid w:val="00891224"/>
    <w:rsid w:val="008912C5"/>
    <w:rsid w:val="008917E6"/>
    <w:rsid w:val="00891B15"/>
    <w:rsid w:val="00891CA6"/>
    <w:rsid w:val="00891F0D"/>
    <w:rsid w:val="008920EA"/>
    <w:rsid w:val="008923FB"/>
    <w:rsid w:val="008925DD"/>
    <w:rsid w:val="008930F4"/>
    <w:rsid w:val="00893238"/>
    <w:rsid w:val="0089426F"/>
    <w:rsid w:val="0089462C"/>
    <w:rsid w:val="00894AE3"/>
    <w:rsid w:val="00894F3C"/>
    <w:rsid w:val="00895F74"/>
    <w:rsid w:val="00896A4C"/>
    <w:rsid w:val="00896DC0"/>
    <w:rsid w:val="00897ECE"/>
    <w:rsid w:val="008A0300"/>
    <w:rsid w:val="008A06BD"/>
    <w:rsid w:val="008A0C33"/>
    <w:rsid w:val="008A1001"/>
    <w:rsid w:val="008A124B"/>
    <w:rsid w:val="008A1F63"/>
    <w:rsid w:val="008A2AA7"/>
    <w:rsid w:val="008A33C3"/>
    <w:rsid w:val="008A36E4"/>
    <w:rsid w:val="008A4931"/>
    <w:rsid w:val="008A4B9D"/>
    <w:rsid w:val="008A4BE7"/>
    <w:rsid w:val="008A4D3A"/>
    <w:rsid w:val="008A4ED3"/>
    <w:rsid w:val="008A554C"/>
    <w:rsid w:val="008A6586"/>
    <w:rsid w:val="008A66BF"/>
    <w:rsid w:val="008A6ABE"/>
    <w:rsid w:val="008A753E"/>
    <w:rsid w:val="008A7E99"/>
    <w:rsid w:val="008A7ECF"/>
    <w:rsid w:val="008B003A"/>
    <w:rsid w:val="008B0573"/>
    <w:rsid w:val="008B0A74"/>
    <w:rsid w:val="008B0BBC"/>
    <w:rsid w:val="008B0FC9"/>
    <w:rsid w:val="008B10C6"/>
    <w:rsid w:val="008B1537"/>
    <w:rsid w:val="008B223F"/>
    <w:rsid w:val="008B2321"/>
    <w:rsid w:val="008B2ECF"/>
    <w:rsid w:val="008B317D"/>
    <w:rsid w:val="008B3191"/>
    <w:rsid w:val="008B3933"/>
    <w:rsid w:val="008B3B2A"/>
    <w:rsid w:val="008B40BC"/>
    <w:rsid w:val="008B47AC"/>
    <w:rsid w:val="008B48A3"/>
    <w:rsid w:val="008B4F9F"/>
    <w:rsid w:val="008B5260"/>
    <w:rsid w:val="008B5CF6"/>
    <w:rsid w:val="008B6AF0"/>
    <w:rsid w:val="008B6D30"/>
    <w:rsid w:val="008B6DA4"/>
    <w:rsid w:val="008B7791"/>
    <w:rsid w:val="008B78F4"/>
    <w:rsid w:val="008B7C81"/>
    <w:rsid w:val="008B7CFB"/>
    <w:rsid w:val="008C0174"/>
    <w:rsid w:val="008C0CDD"/>
    <w:rsid w:val="008C0EFD"/>
    <w:rsid w:val="008C1DBF"/>
    <w:rsid w:val="008C21D7"/>
    <w:rsid w:val="008C22A2"/>
    <w:rsid w:val="008C291F"/>
    <w:rsid w:val="008C2D44"/>
    <w:rsid w:val="008C378F"/>
    <w:rsid w:val="008C3B19"/>
    <w:rsid w:val="008C3E4E"/>
    <w:rsid w:val="008C5599"/>
    <w:rsid w:val="008C5D69"/>
    <w:rsid w:val="008C60B2"/>
    <w:rsid w:val="008C637C"/>
    <w:rsid w:val="008C6739"/>
    <w:rsid w:val="008C6E2D"/>
    <w:rsid w:val="008C78B3"/>
    <w:rsid w:val="008D0000"/>
    <w:rsid w:val="008D023E"/>
    <w:rsid w:val="008D0AC3"/>
    <w:rsid w:val="008D0BB9"/>
    <w:rsid w:val="008D0DC7"/>
    <w:rsid w:val="008D13B8"/>
    <w:rsid w:val="008D1EB9"/>
    <w:rsid w:val="008D233C"/>
    <w:rsid w:val="008D25F2"/>
    <w:rsid w:val="008D27F9"/>
    <w:rsid w:val="008D2880"/>
    <w:rsid w:val="008D313F"/>
    <w:rsid w:val="008D3279"/>
    <w:rsid w:val="008D353E"/>
    <w:rsid w:val="008D3938"/>
    <w:rsid w:val="008D3A2D"/>
    <w:rsid w:val="008D3A37"/>
    <w:rsid w:val="008D4265"/>
    <w:rsid w:val="008D427E"/>
    <w:rsid w:val="008D57C3"/>
    <w:rsid w:val="008D7276"/>
    <w:rsid w:val="008D7563"/>
    <w:rsid w:val="008D7C8F"/>
    <w:rsid w:val="008E057B"/>
    <w:rsid w:val="008E060E"/>
    <w:rsid w:val="008E09B2"/>
    <w:rsid w:val="008E161A"/>
    <w:rsid w:val="008E168B"/>
    <w:rsid w:val="008E1B63"/>
    <w:rsid w:val="008E1F2C"/>
    <w:rsid w:val="008E2F6E"/>
    <w:rsid w:val="008E31A8"/>
    <w:rsid w:val="008E3284"/>
    <w:rsid w:val="008E3AB9"/>
    <w:rsid w:val="008E3E49"/>
    <w:rsid w:val="008E3F55"/>
    <w:rsid w:val="008E4F2D"/>
    <w:rsid w:val="008E4FE7"/>
    <w:rsid w:val="008E537B"/>
    <w:rsid w:val="008E628A"/>
    <w:rsid w:val="008E658B"/>
    <w:rsid w:val="008E66BC"/>
    <w:rsid w:val="008E6864"/>
    <w:rsid w:val="008E6BF5"/>
    <w:rsid w:val="008E7638"/>
    <w:rsid w:val="008E7953"/>
    <w:rsid w:val="008E7C01"/>
    <w:rsid w:val="008F0BAB"/>
    <w:rsid w:val="008F130B"/>
    <w:rsid w:val="008F1A9D"/>
    <w:rsid w:val="008F34A0"/>
    <w:rsid w:val="008F360A"/>
    <w:rsid w:val="008F4389"/>
    <w:rsid w:val="008F4560"/>
    <w:rsid w:val="008F51E4"/>
    <w:rsid w:val="008F5475"/>
    <w:rsid w:val="008F6626"/>
    <w:rsid w:val="008F678C"/>
    <w:rsid w:val="008F6C53"/>
    <w:rsid w:val="008F6E82"/>
    <w:rsid w:val="008F70F6"/>
    <w:rsid w:val="008F7539"/>
    <w:rsid w:val="008F75A1"/>
    <w:rsid w:val="009001F8"/>
    <w:rsid w:val="0090024A"/>
    <w:rsid w:val="0090049D"/>
    <w:rsid w:val="009007AE"/>
    <w:rsid w:val="00900892"/>
    <w:rsid w:val="00900B01"/>
    <w:rsid w:val="00900E0C"/>
    <w:rsid w:val="00901342"/>
    <w:rsid w:val="009014E8"/>
    <w:rsid w:val="00901598"/>
    <w:rsid w:val="00901D83"/>
    <w:rsid w:val="00902248"/>
    <w:rsid w:val="0090228F"/>
    <w:rsid w:val="00902CE7"/>
    <w:rsid w:val="00903146"/>
    <w:rsid w:val="009037FE"/>
    <w:rsid w:val="0090498B"/>
    <w:rsid w:val="009049A1"/>
    <w:rsid w:val="00904BE3"/>
    <w:rsid w:val="00905160"/>
    <w:rsid w:val="0090562D"/>
    <w:rsid w:val="00905A17"/>
    <w:rsid w:val="00905F6D"/>
    <w:rsid w:val="00906173"/>
    <w:rsid w:val="0090655F"/>
    <w:rsid w:val="009066A4"/>
    <w:rsid w:val="00906983"/>
    <w:rsid w:val="00906B29"/>
    <w:rsid w:val="00906F5B"/>
    <w:rsid w:val="00907088"/>
    <w:rsid w:val="0090710F"/>
    <w:rsid w:val="009071AE"/>
    <w:rsid w:val="009075B0"/>
    <w:rsid w:val="00907696"/>
    <w:rsid w:val="00907B49"/>
    <w:rsid w:val="00907B6E"/>
    <w:rsid w:val="00907BD9"/>
    <w:rsid w:val="00907D3B"/>
    <w:rsid w:val="0091032E"/>
    <w:rsid w:val="00910533"/>
    <w:rsid w:val="009109FE"/>
    <w:rsid w:val="0091101A"/>
    <w:rsid w:val="0091183C"/>
    <w:rsid w:val="0091185E"/>
    <w:rsid w:val="00911BAC"/>
    <w:rsid w:val="00911BD7"/>
    <w:rsid w:val="00912905"/>
    <w:rsid w:val="00912C94"/>
    <w:rsid w:val="00912DA2"/>
    <w:rsid w:val="00912DAF"/>
    <w:rsid w:val="00912E51"/>
    <w:rsid w:val="00913350"/>
    <w:rsid w:val="00913598"/>
    <w:rsid w:val="009138F4"/>
    <w:rsid w:val="00914FEE"/>
    <w:rsid w:val="0091587E"/>
    <w:rsid w:val="0091699E"/>
    <w:rsid w:val="0091721F"/>
    <w:rsid w:val="0091723C"/>
    <w:rsid w:val="009175FD"/>
    <w:rsid w:val="00917AEF"/>
    <w:rsid w:val="00917B64"/>
    <w:rsid w:val="00917BFE"/>
    <w:rsid w:val="0092024E"/>
    <w:rsid w:val="00920612"/>
    <w:rsid w:val="009208D6"/>
    <w:rsid w:val="009211FC"/>
    <w:rsid w:val="00921306"/>
    <w:rsid w:val="0092133F"/>
    <w:rsid w:val="009213C3"/>
    <w:rsid w:val="0092158D"/>
    <w:rsid w:val="00922C28"/>
    <w:rsid w:val="009238E0"/>
    <w:rsid w:val="00923E65"/>
    <w:rsid w:val="00924265"/>
    <w:rsid w:val="009247A3"/>
    <w:rsid w:val="00924B4C"/>
    <w:rsid w:val="0092575D"/>
    <w:rsid w:val="00925890"/>
    <w:rsid w:val="009259B7"/>
    <w:rsid w:val="00925E64"/>
    <w:rsid w:val="00926A4E"/>
    <w:rsid w:val="00926DC1"/>
    <w:rsid w:val="00927122"/>
    <w:rsid w:val="009276FC"/>
    <w:rsid w:val="00927C11"/>
    <w:rsid w:val="00927D5E"/>
    <w:rsid w:val="00930230"/>
    <w:rsid w:val="00930F55"/>
    <w:rsid w:val="00931606"/>
    <w:rsid w:val="00932058"/>
    <w:rsid w:val="009337E1"/>
    <w:rsid w:val="009341A4"/>
    <w:rsid w:val="009343BB"/>
    <w:rsid w:val="0093471C"/>
    <w:rsid w:val="00934E5D"/>
    <w:rsid w:val="00935E8A"/>
    <w:rsid w:val="00936D9E"/>
    <w:rsid w:val="00937646"/>
    <w:rsid w:val="00937DBB"/>
    <w:rsid w:val="009401D3"/>
    <w:rsid w:val="009405D9"/>
    <w:rsid w:val="00940784"/>
    <w:rsid w:val="00940B32"/>
    <w:rsid w:val="00940DAF"/>
    <w:rsid w:val="00940F93"/>
    <w:rsid w:val="00940FB3"/>
    <w:rsid w:val="00941708"/>
    <w:rsid w:val="00941BBC"/>
    <w:rsid w:val="00941C67"/>
    <w:rsid w:val="00942005"/>
    <w:rsid w:val="0094214A"/>
    <w:rsid w:val="00942200"/>
    <w:rsid w:val="00942907"/>
    <w:rsid w:val="00942E77"/>
    <w:rsid w:val="00943A91"/>
    <w:rsid w:val="00943B4D"/>
    <w:rsid w:val="00943DCA"/>
    <w:rsid w:val="00944E9C"/>
    <w:rsid w:val="00945A67"/>
    <w:rsid w:val="009463E6"/>
    <w:rsid w:val="00946D6C"/>
    <w:rsid w:val="009475F7"/>
    <w:rsid w:val="00947633"/>
    <w:rsid w:val="00950468"/>
    <w:rsid w:val="00950BC2"/>
    <w:rsid w:val="00950CE0"/>
    <w:rsid w:val="0095102E"/>
    <w:rsid w:val="00951E13"/>
    <w:rsid w:val="009525E0"/>
    <w:rsid w:val="0095264D"/>
    <w:rsid w:val="00952E93"/>
    <w:rsid w:val="00953163"/>
    <w:rsid w:val="0095325A"/>
    <w:rsid w:val="00953B28"/>
    <w:rsid w:val="00953CB8"/>
    <w:rsid w:val="00953CD0"/>
    <w:rsid w:val="00954DD2"/>
    <w:rsid w:val="0095559D"/>
    <w:rsid w:val="00955688"/>
    <w:rsid w:val="009558FE"/>
    <w:rsid w:val="00955A34"/>
    <w:rsid w:val="009567B1"/>
    <w:rsid w:val="00956AF6"/>
    <w:rsid w:val="009570F8"/>
    <w:rsid w:val="00957EB2"/>
    <w:rsid w:val="00960A37"/>
    <w:rsid w:val="00960B13"/>
    <w:rsid w:val="00960C7C"/>
    <w:rsid w:val="00960FB7"/>
    <w:rsid w:val="009612B3"/>
    <w:rsid w:val="0096178D"/>
    <w:rsid w:val="00962085"/>
    <w:rsid w:val="009621CA"/>
    <w:rsid w:val="00962627"/>
    <w:rsid w:val="00962936"/>
    <w:rsid w:val="00962C89"/>
    <w:rsid w:val="009635B8"/>
    <w:rsid w:val="009635D8"/>
    <w:rsid w:val="00963A18"/>
    <w:rsid w:val="00963FF6"/>
    <w:rsid w:val="00964C22"/>
    <w:rsid w:val="00964F69"/>
    <w:rsid w:val="00965CE6"/>
    <w:rsid w:val="00966166"/>
    <w:rsid w:val="009663E7"/>
    <w:rsid w:val="00967496"/>
    <w:rsid w:val="0096757F"/>
    <w:rsid w:val="00967673"/>
    <w:rsid w:val="0096767B"/>
    <w:rsid w:val="00967BDC"/>
    <w:rsid w:val="009701E4"/>
    <w:rsid w:val="0097053B"/>
    <w:rsid w:val="0097084D"/>
    <w:rsid w:val="00970A78"/>
    <w:rsid w:val="00970D68"/>
    <w:rsid w:val="00971C1C"/>
    <w:rsid w:val="00971E2C"/>
    <w:rsid w:val="00972348"/>
    <w:rsid w:val="0097244D"/>
    <w:rsid w:val="00972531"/>
    <w:rsid w:val="00972A7D"/>
    <w:rsid w:val="00972B28"/>
    <w:rsid w:val="00972D68"/>
    <w:rsid w:val="00973120"/>
    <w:rsid w:val="009735BE"/>
    <w:rsid w:val="009738A7"/>
    <w:rsid w:val="00973D2D"/>
    <w:rsid w:val="00974563"/>
    <w:rsid w:val="00974DEF"/>
    <w:rsid w:val="0097510F"/>
    <w:rsid w:val="009753C9"/>
    <w:rsid w:val="0097640A"/>
    <w:rsid w:val="00976AA1"/>
    <w:rsid w:val="00976F4A"/>
    <w:rsid w:val="00977705"/>
    <w:rsid w:val="00977887"/>
    <w:rsid w:val="00977B8E"/>
    <w:rsid w:val="00977EB6"/>
    <w:rsid w:val="0098054F"/>
    <w:rsid w:val="00981780"/>
    <w:rsid w:val="009819DB"/>
    <w:rsid w:val="00981AC6"/>
    <w:rsid w:val="009822F3"/>
    <w:rsid w:val="009828EF"/>
    <w:rsid w:val="00982E55"/>
    <w:rsid w:val="0098387C"/>
    <w:rsid w:val="00983AF7"/>
    <w:rsid w:val="00984528"/>
    <w:rsid w:val="009847B9"/>
    <w:rsid w:val="009854D9"/>
    <w:rsid w:val="00985F39"/>
    <w:rsid w:val="009860E3"/>
    <w:rsid w:val="0098634B"/>
    <w:rsid w:val="009865D8"/>
    <w:rsid w:val="00986762"/>
    <w:rsid w:val="009875DA"/>
    <w:rsid w:val="00987B83"/>
    <w:rsid w:val="00987C91"/>
    <w:rsid w:val="0099008B"/>
    <w:rsid w:val="009902EE"/>
    <w:rsid w:val="00990D79"/>
    <w:rsid w:val="00990E43"/>
    <w:rsid w:val="00990EAC"/>
    <w:rsid w:val="009912AC"/>
    <w:rsid w:val="00991CDD"/>
    <w:rsid w:val="00991F85"/>
    <w:rsid w:val="00992963"/>
    <w:rsid w:val="00992A57"/>
    <w:rsid w:val="00992AE8"/>
    <w:rsid w:val="00993462"/>
    <w:rsid w:val="0099367C"/>
    <w:rsid w:val="00993B50"/>
    <w:rsid w:val="00993D13"/>
    <w:rsid w:val="0099491C"/>
    <w:rsid w:val="00995605"/>
    <w:rsid w:val="00995AA6"/>
    <w:rsid w:val="009960BD"/>
    <w:rsid w:val="00996105"/>
    <w:rsid w:val="00996319"/>
    <w:rsid w:val="00996815"/>
    <w:rsid w:val="00996823"/>
    <w:rsid w:val="009969D4"/>
    <w:rsid w:val="00996AA6"/>
    <w:rsid w:val="00996B37"/>
    <w:rsid w:val="00996C22"/>
    <w:rsid w:val="00996E0F"/>
    <w:rsid w:val="009977BF"/>
    <w:rsid w:val="00997EDD"/>
    <w:rsid w:val="009A021A"/>
    <w:rsid w:val="009A0317"/>
    <w:rsid w:val="009A11AA"/>
    <w:rsid w:val="009A16F9"/>
    <w:rsid w:val="009A1E60"/>
    <w:rsid w:val="009A2550"/>
    <w:rsid w:val="009A2552"/>
    <w:rsid w:val="009A27EC"/>
    <w:rsid w:val="009A2E78"/>
    <w:rsid w:val="009A30F1"/>
    <w:rsid w:val="009A33DC"/>
    <w:rsid w:val="009A360D"/>
    <w:rsid w:val="009A3717"/>
    <w:rsid w:val="009A3D14"/>
    <w:rsid w:val="009A40D5"/>
    <w:rsid w:val="009A412A"/>
    <w:rsid w:val="009A59CE"/>
    <w:rsid w:val="009A5E30"/>
    <w:rsid w:val="009A652F"/>
    <w:rsid w:val="009A6708"/>
    <w:rsid w:val="009A6A12"/>
    <w:rsid w:val="009A7369"/>
    <w:rsid w:val="009A74AB"/>
    <w:rsid w:val="009A74EF"/>
    <w:rsid w:val="009A7714"/>
    <w:rsid w:val="009A7A57"/>
    <w:rsid w:val="009A7AFD"/>
    <w:rsid w:val="009A7C38"/>
    <w:rsid w:val="009A7F49"/>
    <w:rsid w:val="009B051E"/>
    <w:rsid w:val="009B093F"/>
    <w:rsid w:val="009B0A41"/>
    <w:rsid w:val="009B10B5"/>
    <w:rsid w:val="009B12D5"/>
    <w:rsid w:val="009B16A5"/>
    <w:rsid w:val="009B1BEF"/>
    <w:rsid w:val="009B203A"/>
    <w:rsid w:val="009B2571"/>
    <w:rsid w:val="009B2680"/>
    <w:rsid w:val="009B2845"/>
    <w:rsid w:val="009B2863"/>
    <w:rsid w:val="009B2CAF"/>
    <w:rsid w:val="009B2D34"/>
    <w:rsid w:val="009B2D6B"/>
    <w:rsid w:val="009B2FEF"/>
    <w:rsid w:val="009B3027"/>
    <w:rsid w:val="009B3103"/>
    <w:rsid w:val="009B31F9"/>
    <w:rsid w:val="009B3332"/>
    <w:rsid w:val="009B3940"/>
    <w:rsid w:val="009B3DE6"/>
    <w:rsid w:val="009B3E29"/>
    <w:rsid w:val="009B4610"/>
    <w:rsid w:val="009B47A7"/>
    <w:rsid w:val="009B49AB"/>
    <w:rsid w:val="009B4DC5"/>
    <w:rsid w:val="009B51B0"/>
    <w:rsid w:val="009B54CD"/>
    <w:rsid w:val="009B5A20"/>
    <w:rsid w:val="009B5C68"/>
    <w:rsid w:val="009B5DE2"/>
    <w:rsid w:val="009B638E"/>
    <w:rsid w:val="009B68DF"/>
    <w:rsid w:val="009B6CEA"/>
    <w:rsid w:val="009B6FBE"/>
    <w:rsid w:val="009C015F"/>
    <w:rsid w:val="009C02E1"/>
    <w:rsid w:val="009C0649"/>
    <w:rsid w:val="009C0736"/>
    <w:rsid w:val="009C08F9"/>
    <w:rsid w:val="009C0B7F"/>
    <w:rsid w:val="009C0F00"/>
    <w:rsid w:val="009C1AFC"/>
    <w:rsid w:val="009C1DB7"/>
    <w:rsid w:val="009C2525"/>
    <w:rsid w:val="009C275E"/>
    <w:rsid w:val="009C27CA"/>
    <w:rsid w:val="009C2CAE"/>
    <w:rsid w:val="009C37F2"/>
    <w:rsid w:val="009C398C"/>
    <w:rsid w:val="009C3B34"/>
    <w:rsid w:val="009C4475"/>
    <w:rsid w:val="009C523A"/>
    <w:rsid w:val="009C5B1D"/>
    <w:rsid w:val="009C5D44"/>
    <w:rsid w:val="009C65EA"/>
    <w:rsid w:val="009C6DBB"/>
    <w:rsid w:val="009C6DDD"/>
    <w:rsid w:val="009C73AE"/>
    <w:rsid w:val="009C74FF"/>
    <w:rsid w:val="009C77F7"/>
    <w:rsid w:val="009C7C8E"/>
    <w:rsid w:val="009C7EDE"/>
    <w:rsid w:val="009C7F95"/>
    <w:rsid w:val="009C7FEB"/>
    <w:rsid w:val="009D057D"/>
    <w:rsid w:val="009D0B41"/>
    <w:rsid w:val="009D0F26"/>
    <w:rsid w:val="009D1309"/>
    <w:rsid w:val="009D19F2"/>
    <w:rsid w:val="009D1B81"/>
    <w:rsid w:val="009D20F6"/>
    <w:rsid w:val="009D211A"/>
    <w:rsid w:val="009D236E"/>
    <w:rsid w:val="009D31A6"/>
    <w:rsid w:val="009D3B3E"/>
    <w:rsid w:val="009D4428"/>
    <w:rsid w:val="009D4B61"/>
    <w:rsid w:val="009D52C4"/>
    <w:rsid w:val="009D52F8"/>
    <w:rsid w:val="009D56F7"/>
    <w:rsid w:val="009D5B8D"/>
    <w:rsid w:val="009D5E49"/>
    <w:rsid w:val="009D62BE"/>
    <w:rsid w:val="009D638E"/>
    <w:rsid w:val="009D65BF"/>
    <w:rsid w:val="009D76B0"/>
    <w:rsid w:val="009D77DD"/>
    <w:rsid w:val="009D77ED"/>
    <w:rsid w:val="009D7976"/>
    <w:rsid w:val="009D7D1B"/>
    <w:rsid w:val="009E00C5"/>
    <w:rsid w:val="009E022E"/>
    <w:rsid w:val="009E082A"/>
    <w:rsid w:val="009E09E8"/>
    <w:rsid w:val="009E0A71"/>
    <w:rsid w:val="009E1E60"/>
    <w:rsid w:val="009E20ED"/>
    <w:rsid w:val="009E21A2"/>
    <w:rsid w:val="009E2599"/>
    <w:rsid w:val="009E3657"/>
    <w:rsid w:val="009E37A1"/>
    <w:rsid w:val="009E3810"/>
    <w:rsid w:val="009E39A5"/>
    <w:rsid w:val="009E3D0B"/>
    <w:rsid w:val="009E3F63"/>
    <w:rsid w:val="009E445F"/>
    <w:rsid w:val="009E4E94"/>
    <w:rsid w:val="009E53CE"/>
    <w:rsid w:val="009E5BCF"/>
    <w:rsid w:val="009E654B"/>
    <w:rsid w:val="009E687F"/>
    <w:rsid w:val="009E7438"/>
    <w:rsid w:val="009E7814"/>
    <w:rsid w:val="009E7BC0"/>
    <w:rsid w:val="009F0328"/>
    <w:rsid w:val="009F0444"/>
    <w:rsid w:val="009F07DA"/>
    <w:rsid w:val="009F0ED0"/>
    <w:rsid w:val="009F10D4"/>
    <w:rsid w:val="009F152A"/>
    <w:rsid w:val="009F1755"/>
    <w:rsid w:val="009F1762"/>
    <w:rsid w:val="009F189A"/>
    <w:rsid w:val="009F196A"/>
    <w:rsid w:val="009F1A88"/>
    <w:rsid w:val="009F2A4C"/>
    <w:rsid w:val="009F31C0"/>
    <w:rsid w:val="009F347A"/>
    <w:rsid w:val="009F394A"/>
    <w:rsid w:val="009F420E"/>
    <w:rsid w:val="009F4F5B"/>
    <w:rsid w:val="009F54C3"/>
    <w:rsid w:val="009F5899"/>
    <w:rsid w:val="009F6218"/>
    <w:rsid w:val="009F67E7"/>
    <w:rsid w:val="009F7381"/>
    <w:rsid w:val="009F73F0"/>
    <w:rsid w:val="009F79EB"/>
    <w:rsid w:val="00A003FB"/>
    <w:rsid w:val="00A005C8"/>
    <w:rsid w:val="00A0085E"/>
    <w:rsid w:val="00A00A5A"/>
    <w:rsid w:val="00A00B2C"/>
    <w:rsid w:val="00A00D69"/>
    <w:rsid w:val="00A00E98"/>
    <w:rsid w:val="00A01142"/>
    <w:rsid w:val="00A011D4"/>
    <w:rsid w:val="00A015A8"/>
    <w:rsid w:val="00A0165A"/>
    <w:rsid w:val="00A02457"/>
    <w:rsid w:val="00A02B30"/>
    <w:rsid w:val="00A02E37"/>
    <w:rsid w:val="00A03428"/>
    <w:rsid w:val="00A036DD"/>
    <w:rsid w:val="00A03BCF"/>
    <w:rsid w:val="00A03C5C"/>
    <w:rsid w:val="00A03C6A"/>
    <w:rsid w:val="00A03D9A"/>
    <w:rsid w:val="00A03E29"/>
    <w:rsid w:val="00A0403D"/>
    <w:rsid w:val="00A04873"/>
    <w:rsid w:val="00A04A5F"/>
    <w:rsid w:val="00A04B09"/>
    <w:rsid w:val="00A055A7"/>
    <w:rsid w:val="00A05819"/>
    <w:rsid w:val="00A0638C"/>
    <w:rsid w:val="00A06A7C"/>
    <w:rsid w:val="00A06CD6"/>
    <w:rsid w:val="00A07F9A"/>
    <w:rsid w:val="00A108FA"/>
    <w:rsid w:val="00A11194"/>
    <w:rsid w:val="00A11605"/>
    <w:rsid w:val="00A1160F"/>
    <w:rsid w:val="00A11619"/>
    <w:rsid w:val="00A11818"/>
    <w:rsid w:val="00A12316"/>
    <w:rsid w:val="00A126AF"/>
    <w:rsid w:val="00A12B2D"/>
    <w:rsid w:val="00A12BF2"/>
    <w:rsid w:val="00A12C83"/>
    <w:rsid w:val="00A133AF"/>
    <w:rsid w:val="00A13812"/>
    <w:rsid w:val="00A13820"/>
    <w:rsid w:val="00A143E5"/>
    <w:rsid w:val="00A15696"/>
    <w:rsid w:val="00A15730"/>
    <w:rsid w:val="00A15B50"/>
    <w:rsid w:val="00A15FC9"/>
    <w:rsid w:val="00A16756"/>
    <w:rsid w:val="00A16D45"/>
    <w:rsid w:val="00A17FA6"/>
    <w:rsid w:val="00A2031C"/>
    <w:rsid w:val="00A20865"/>
    <w:rsid w:val="00A20B2A"/>
    <w:rsid w:val="00A20EEF"/>
    <w:rsid w:val="00A21224"/>
    <w:rsid w:val="00A21277"/>
    <w:rsid w:val="00A21334"/>
    <w:rsid w:val="00A21899"/>
    <w:rsid w:val="00A21A07"/>
    <w:rsid w:val="00A221EA"/>
    <w:rsid w:val="00A22549"/>
    <w:rsid w:val="00A22A5A"/>
    <w:rsid w:val="00A22B1E"/>
    <w:rsid w:val="00A22F74"/>
    <w:rsid w:val="00A2324F"/>
    <w:rsid w:val="00A2346F"/>
    <w:rsid w:val="00A235FB"/>
    <w:rsid w:val="00A23773"/>
    <w:rsid w:val="00A23F14"/>
    <w:rsid w:val="00A241D0"/>
    <w:rsid w:val="00A245F8"/>
    <w:rsid w:val="00A248FA"/>
    <w:rsid w:val="00A24A61"/>
    <w:rsid w:val="00A24F3F"/>
    <w:rsid w:val="00A25188"/>
    <w:rsid w:val="00A25424"/>
    <w:rsid w:val="00A256EF"/>
    <w:rsid w:val="00A2617B"/>
    <w:rsid w:val="00A26FE0"/>
    <w:rsid w:val="00A279E6"/>
    <w:rsid w:val="00A27F3B"/>
    <w:rsid w:val="00A3018D"/>
    <w:rsid w:val="00A309B5"/>
    <w:rsid w:val="00A30B8D"/>
    <w:rsid w:val="00A30EF7"/>
    <w:rsid w:val="00A310E9"/>
    <w:rsid w:val="00A31216"/>
    <w:rsid w:val="00A3133E"/>
    <w:rsid w:val="00A31E3B"/>
    <w:rsid w:val="00A326F0"/>
    <w:rsid w:val="00A3270F"/>
    <w:rsid w:val="00A32874"/>
    <w:rsid w:val="00A32D2A"/>
    <w:rsid w:val="00A32E6F"/>
    <w:rsid w:val="00A32F7B"/>
    <w:rsid w:val="00A330F0"/>
    <w:rsid w:val="00A33175"/>
    <w:rsid w:val="00A33986"/>
    <w:rsid w:val="00A34265"/>
    <w:rsid w:val="00A3493E"/>
    <w:rsid w:val="00A3648C"/>
    <w:rsid w:val="00A3695B"/>
    <w:rsid w:val="00A36A66"/>
    <w:rsid w:val="00A37038"/>
    <w:rsid w:val="00A376A1"/>
    <w:rsid w:val="00A37B3E"/>
    <w:rsid w:val="00A40252"/>
    <w:rsid w:val="00A40A50"/>
    <w:rsid w:val="00A40CD9"/>
    <w:rsid w:val="00A41133"/>
    <w:rsid w:val="00A41717"/>
    <w:rsid w:val="00A419D9"/>
    <w:rsid w:val="00A41AE5"/>
    <w:rsid w:val="00A41F62"/>
    <w:rsid w:val="00A424E5"/>
    <w:rsid w:val="00A42622"/>
    <w:rsid w:val="00A4270F"/>
    <w:rsid w:val="00A43330"/>
    <w:rsid w:val="00A433CD"/>
    <w:rsid w:val="00A4347C"/>
    <w:rsid w:val="00A44682"/>
    <w:rsid w:val="00A44714"/>
    <w:rsid w:val="00A4479A"/>
    <w:rsid w:val="00A44B82"/>
    <w:rsid w:val="00A44F06"/>
    <w:rsid w:val="00A456BA"/>
    <w:rsid w:val="00A45859"/>
    <w:rsid w:val="00A45F90"/>
    <w:rsid w:val="00A475B9"/>
    <w:rsid w:val="00A47B96"/>
    <w:rsid w:val="00A47DA5"/>
    <w:rsid w:val="00A50316"/>
    <w:rsid w:val="00A5031D"/>
    <w:rsid w:val="00A503D7"/>
    <w:rsid w:val="00A50888"/>
    <w:rsid w:val="00A50AAC"/>
    <w:rsid w:val="00A50E32"/>
    <w:rsid w:val="00A5109C"/>
    <w:rsid w:val="00A5166C"/>
    <w:rsid w:val="00A517EE"/>
    <w:rsid w:val="00A52572"/>
    <w:rsid w:val="00A525E8"/>
    <w:rsid w:val="00A5260C"/>
    <w:rsid w:val="00A52A83"/>
    <w:rsid w:val="00A52AC8"/>
    <w:rsid w:val="00A52B8B"/>
    <w:rsid w:val="00A54B9E"/>
    <w:rsid w:val="00A54D9A"/>
    <w:rsid w:val="00A553CE"/>
    <w:rsid w:val="00A55623"/>
    <w:rsid w:val="00A55804"/>
    <w:rsid w:val="00A55929"/>
    <w:rsid w:val="00A56430"/>
    <w:rsid w:val="00A564CB"/>
    <w:rsid w:val="00A56726"/>
    <w:rsid w:val="00A567A2"/>
    <w:rsid w:val="00A56BA5"/>
    <w:rsid w:val="00A57AED"/>
    <w:rsid w:val="00A57B01"/>
    <w:rsid w:val="00A57C88"/>
    <w:rsid w:val="00A57F01"/>
    <w:rsid w:val="00A57FED"/>
    <w:rsid w:val="00A61261"/>
    <w:rsid w:val="00A62125"/>
    <w:rsid w:val="00A63BD2"/>
    <w:rsid w:val="00A6483B"/>
    <w:rsid w:val="00A64C68"/>
    <w:rsid w:val="00A65A4F"/>
    <w:rsid w:val="00A65D7A"/>
    <w:rsid w:val="00A6603A"/>
    <w:rsid w:val="00A66C13"/>
    <w:rsid w:val="00A66FEC"/>
    <w:rsid w:val="00A6792F"/>
    <w:rsid w:val="00A7001E"/>
    <w:rsid w:val="00A700D3"/>
    <w:rsid w:val="00A70224"/>
    <w:rsid w:val="00A705AF"/>
    <w:rsid w:val="00A70BCE"/>
    <w:rsid w:val="00A7107A"/>
    <w:rsid w:val="00A71370"/>
    <w:rsid w:val="00A72006"/>
    <w:rsid w:val="00A72A34"/>
    <w:rsid w:val="00A72EE6"/>
    <w:rsid w:val="00A73213"/>
    <w:rsid w:val="00A73216"/>
    <w:rsid w:val="00A73BDB"/>
    <w:rsid w:val="00A745D7"/>
    <w:rsid w:val="00A7465F"/>
    <w:rsid w:val="00A74DA0"/>
    <w:rsid w:val="00A7525B"/>
    <w:rsid w:val="00A754CC"/>
    <w:rsid w:val="00A7671B"/>
    <w:rsid w:val="00A76DBA"/>
    <w:rsid w:val="00A776A0"/>
    <w:rsid w:val="00A77B3B"/>
    <w:rsid w:val="00A77F96"/>
    <w:rsid w:val="00A8057B"/>
    <w:rsid w:val="00A80BC4"/>
    <w:rsid w:val="00A80C07"/>
    <w:rsid w:val="00A80CFD"/>
    <w:rsid w:val="00A80D5A"/>
    <w:rsid w:val="00A80EE6"/>
    <w:rsid w:val="00A810C1"/>
    <w:rsid w:val="00A810CD"/>
    <w:rsid w:val="00A81631"/>
    <w:rsid w:val="00A821E3"/>
    <w:rsid w:val="00A823BB"/>
    <w:rsid w:val="00A83064"/>
    <w:rsid w:val="00A830A6"/>
    <w:rsid w:val="00A83415"/>
    <w:rsid w:val="00A8368B"/>
    <w:rsid w:val="00A83763"/>
    <w:rsid w:val="00A83E8F"/>
    <w:rsid w:val="00A84262"/>
    <w:rsid w:val="00A84276"/>
    <w:rsid w:val="00A8427C"/>
    <w:rsid w:val="00A8462A"/>
    <w:rsid w:val="00A8467F"/>
    <w:rsid w:val="00A854D5"/>
    <w:rsid w:val="00A85737"/>
    <w:rsid w:val="00A85989"/>
    <w:rsid w:val="00A873DC"/>
    <w:rsid w:val="00A87753"/>
    <w:rsid w:val="00A87A49"/>
    <w:rsid w:val="00A87D1C"/>
    <w:rsid w:val="00A90211"/>
    <w:rsid w:val="00A90539"/>
    <w:rsid w:val="00A90B82"/>
    <w:rsid w:val="00A90E3B"/>
    <w:rsid w:val="00A92091"/>
    <w:rsid w:val="00A92556"/>
    <w:rsid w:val="00A92605"/>
    <w:rsid w:val="00A92CED"/>
    <w:rsid w:val="00A933A2"/>
    <w:rsid w:val="00A938A9"/>
    <w:rsid w:val="00A93BBD"/>
    <w:rsid w:val="00A94069"/>
    <w:rsid w:val="00A94A19"/>
    <w:rsid w:val="00A94C14"/>
    <w:rsid w:val="00A952EE"/>
    <w:rsid w:val="00A95321"/>
    <w:rsid w:val="00A953A0"/>
    <w:rsid w:val="00A95AA2"/>
    <w:rsid w:val="00A96F25"/>
    <w:rsid w:val="00A97048"/>
    <w:rsid w:val="00A97722"/>
    <w:rsid w:val="00A97D27"/>
    <w:rsid w:val="00A97D78"/>
    <w:rsid w:val="00AA00CC"/>
    <w:rsid w:val="00AA01AC"/>
    <w:rsid w:val="00AA1396"/>
    <w:rsid w:val="00AA15AD"/>
    <w:rsid w:val="00AA2EB7"/>
    <w:rsid w:val="00AA3833"/>
    <w:rsid w:val="00AA3A56"/>
    <w:rsid w:val="00AA445A"/>
    <w:rsid w:val="00AA44EF"/>
    <w:rsid w:val="00AA5274"/>
    <w:rsid w:val="00AA54CE"/>
    <w:rsid w:val="00AA554B"/>
    <w:rsid w:val="00AA56F0"/>
    <w:rsid w:val="00AA5AF1"/>
    <w:rsid w:val="00AA64F1"/>
    <w:rsid w:val="00AA673D"/>
    <w:rsid w:val="00AA68D3"/>
    <w:rsid w:val="00AA6C0C"/>
    <w:rsid w:val="00AA6C93"/>
    <w:rsid w:val="00AA77F9"/>
    <w:rsid w:val="00AA7DCD"/>
    <w:rsid w:val="00AB003F"/>
    <w:rsid w:val="00AB0644"/>
    <w:rsid w:val="00AB0DCE"/>
    <w:rsid w:val="00AB0DF4"/>
    <w:rsid w:val="00AB166C"/>
    <w:rsid w:val="00AB19CC"/>
    <w:rsid w:val="00AB1D22"/>
    <w:rsid w:val="00AB2074"/>
    <w:rsid w:val="00AB22A2"/>
    <w:rsid w:val="00AB238E"/>
    <w:rsid w:val="00AB2635"/>
    <w:rsid w:val="00AB2C01"/>
    <w:rsid w:val="00AB3547"/>
    <w:rsid w:val="00AB38B6"/>
    <w:rsid w:val="00AB3E97"/>
    <w:rsid w:val="00AB4016"/>
    <w:rsid w:val="00AB486E"/>
    <w:rsid w:val="00AB4DA0"/>
    <w:rsid w:val="00AB6563"/>
    <w:rsid w:val="00AB6CE4"/>
    <w:rsid w:val="00AB6DE3"/>
    <w:rsid w:val="00AB722D"/>
    <w:rsid w:val="00AB735F"/>
    <w:rsid w:val="00AB76CE"/>
    <w:rsid w:val="00AB7A09"/>
    <w:rsid w:val="00AB7A54"/>
    <w:rsid w:val="00AB7F7C"/>
    <w:rsid w:val="00AC063F"/>
    <w:rsid w:val="00AC1970"/>
    <w:rsid w:val="00AC1BC1"/>
    <w:rsid w:val="00AC1DB4"/>
    <w:rsid w:val="00AC2206"/>
    <w:rsid w:val="00AC24C6"/>
    <w:rsid w:val="00AC254C"/>
    <w:rsid w:val="00AC295F"/>
    <w:rsid w:val="00AC2B0E"/>
    <w:rsid w:val="00AC35AD"/>
    <w:rsid w:val="00AC3B2D"/>
    <w:rsid w:val="00AC3FA8"/>
    <w:rsid w:val="00AC40DD"/>
    <w:rsid w:val="00AC48B7"/>
    <w:rsid w:val="00AC4DD7"/>
    <w:rsid w:val="00AC5C82"/>
    <w:rsid w:val="00AC5DE1"/>
    <w:rsid w:val="00AC6230"/>
    <w:rsid w:val="00AC6315"/>
    <w:rsid w:val="00AC64BD"/>
    <w:rsid w:val="00AC6F29"/>
    <w:rsid w:val="00AC757D"/>
    <w:rsid w:val="00AC7684"/>
    <w:rsid w:val="00AC7A97"/>
    <w:rsid w:val="00AC7CDF"/>
    <w:rsid w:val="00AD0122"/>
    <w:rsid w:val="00AD0A54"/>
    <w:rsid w:val="00AD0D51"/>
    <w:rsid w:val="00AD0E28"/>
    <w:rsid w:val="00AD105B"/>
    <w:rsid w:val="00AD122C"/>
    <w:rsid w:val="00AD19DC"/>
    <w:rsid w:val="00AD1A6F"/>
    <w:rsid w:val="00AD1CA7"/>
    <w:rsid w:val="00AD217E"/>
    <w:rsid w:val="00AD2622"/>
    <w:rsid w:val="00AD282A"/>
    <w:rsid w:val="00AD2D59"/>
    <w:rsid w:val="00AD2E2C"/>
    <w:rsid w:val="00AD2F2F"/>
    <w:rsid w:val="00AD3915"/>
    <w:rsid w:val="00AD3E59"/>
    <w:rsid w:val="00AD4B82"/>
    <w:rsid w:val="00AD56E4"/>
    <w:rsid w:val="00AD58F3"/>
    <w:rsid w:val="00AD61BD"/>
    <w:rsid w:val="00AD63EA"/>
    <w:rsid w:val="00AD64C2"/>
    <w:rsid w:val="00AD6E80"/>
    <w:rsid w:val="00AD6E9B"/>
    <w:rsid w:val="00AD738E"/>
    <w:rsid w:val="00AE0C5E"/>
    <w:rsid w:val="00AE1246"/>
    <w:rsid w:val="00AE196A"/>
    <w:rsid w:val="00AE1C0C"/>
    <w:rsid w:val="00AE1FAB"/>
    <w:rsid w:val="00AE2124"/>
    <w:rsid w:val="00AE260A"/>
    <w:rsid w:val="00AE290D"/>
    <w:rsid w:val="00AE3391"/>
    <w:rsid w:val="00AE34C2"/>
    <w:rsid w:val="00AE405D"/>
    <w:rsid w:val="00AE406D"/>
    <w:rsid w:val="00AE485F"/>
    <w:rsid w:val="00AE6249"/>
    <w:rsid w:val="00AE6A84"/>
    <w:rsid w:val="00AE70FA"/>
    <w:rsid w:val="00AE712F"/>
    <w:rsid w:val="00AE725D"/>
    <w:rsid w:val="00AF027F"/>
    <w:rsid w:val="00AF0853"/>
    <w:rsid w:val="00AF0F82"/>
    <w:rsid w:val="00AF16EA"/>
    <w:rsid w:val="00AF1A0D"/>
    <w:rsid w:val="00AF1E8E"/>
    <w:rsid w:val="00AF1EE9"/>
    <w:rsid w:val="00AF201B"/>
    <w:rsid w:val="00AF22BE"/>
    <w:rsid w:val="00AF26B7"/>
    <w:rsid w:val="00AF43CE"/>
    <w:rsid w:val="00AF4BC1"/>
    <w:rsid w:val="00AF56CD"/>
    <w:rsid w:val="00AF5B2D"/>
    <w:rsid w:val="00AF5D3C"/>
    <w:rsid w:val="00AF5E91"/>
    <w:rsid w:val="00AF63A1"/>
    <w:rsid w:val="00AF650F"/>
    <w:rsid w:val="00AF66D7"/>
    <w:rsid w:val="00AF6C7F"/>
    <w:rsid w:val="00AF6CB5"/>
    <w:rsid w:val="00AF6E1D"/>
    <w:rsid w:val="00AF7334"/>
    <w:rsid w:val="00B0006C"/>
    <w:rsid w:val="00B0049B"/>
    <w:rsid w:val="00B006AA"/>
    <w:rsid w:val="00B01BCA"/>
    <w:rsid w:val="00B02434"/>
    <w:rsid w:val="00B0244E"/>
    <w:rsid w:val="00B024D6"/>
    <w:rsid w:val="00B02512"/>
    <w:rsid w:val="00B02A60"/>
    <w:rsid w:val="00B02A9D"/>
    <w:rsid w:val="00B035B7"/>
    <w:rsid w:val="00B03671"/>
    <w:rsid w:val="00B037CD"/>
    <w:rsid w:val="00B03842"/>
    <w:rsid w:val="00B04AF6"/>
    <w:rsid w:val="00B0551B"/>
    <w:rsid w:val="00B0565B"/>
    <w:rsid w:val="00B05A44"/>
    <w:rsid w:val="00B05F59"/>
    <w:rsid w:val="00B068D6"/>
    <w:rsid w:val="00B06B03"/>
    <w:rsid w:val="00B06C3D"/>
    <w:rsid w:val="00B06E55"/>
    <w:rsid w:val="00B07533"/>
    <w:rsid w:val="00B07D0F"/>
    <w:rsid w:val="00B102B0"/>
    <w:rsid w:val="00B10AD9"/>
    <w:rsid w:val="00B110E0"/>
    <w:rsid w:val="00B11146"/>
    <w:rsid w:val="00B114F5"/>
    <w:rsid w:val="00B11FA2"/>
    <w:rsid w:val="00B122A8"/>
    <w:rsid w:val="00B12AB7"/>
    <w:rsid w:val="00B12C1C"/>
    <w:rsid w:val="00B12F74"/>
    <w:rsid w:val="00B132F9"/>
    <w:rsid w:val="00B13B5B"/>
    <w:rsid w:val="00B13DFD"/>
    <w:rsid w:val="00B142FA"/>
    <w:rsid w:val="00B14DC0"/>
    <w:rsid w:val="00B15756"/>
    <w:rsid w:val="00B15DDF"/>
    <w:rsid w:val="00B16367"/>
    <w:rsid w:val="00B16BC6"/>
    <w:rsid w:val="00B1754A"/>
    <w:rsid w:val="00B176E2"/>
    <w:rsid w:val="00B17CAB"/>
    <w:rsid w:val="00B17E7C"/>
    <w:rsid w:val="00B20212"/>
    <w:rsid w:val="00B20CC9"/>
    <w:rsid w:val="00B21D79"/>
    <w:rsid w:val="00B2268C"/>
    <w:rsid w:val="00B23012"/>
    <w:rsid w:val="00B2324E"/>
    <w:rsid w:val="00B23405"/>
    <w:rsid w:val="00B240FD"/>
    <w:rsid w:val="00B24EBB"/>
    <w:rsid w:val="00B25962"/>
    <w:rsid w:val="00B25A90"/>
    <w:rsid w:val="00B25AD4"/>
    <w:rsid w:val="00B25CD9"/>
    <w:rsid w:val="00B265D2"/>
    <w:rsid w:val="00B26877"/>
    <w:rsid w:val="00B268CB"/>
    <w:rsid w:val="00B26FCB"/>
    <w:rsid w:val="00B2773E"/>
    <w:rsid w:val="00B27F8C"/>
    <w:rsid w:val="00B30619"/>
    <w:rsid w:val="00B30941"/>
    <w:rsid w:val="00B31C75"/>
    <w:rsid w:val="00B32A3D"/>
    <w:rsid w:val="00B32F33"/>
    <w:rsid w:val="00B3316E"/>
    <w:rsid w:val="00B3319F"/>
    <w:rsid w:val="00B33C27"/>
    <w:rsid w:val="00B33FD9"/>
    <w:rsid w:val="00B342A4"/>
    <w:rsid w:val="00B34730"/>
    <w:rsid w:val="00B3480F"/>
    <w:rsid w:val="00B34868"/>
    <w:rsid w:val="00B34F2C"/>
    <w:rsid w:val="00B3573B"/>
    <w:rsid w:val="00B357D5"/>
    <w:rsid w:val="00B35EC3"/>
    <w:rsid w:val="00B36152"/>
    <w:rsid w:val="00B365F1"/>
    <w:rsid w:val="00B3677D"/>
    <w:rsid w:val="00B36B2B"/>
    <w:rsid w:val="00B36F2C"/>
    <w:rsid w:val="00B36FF0"/>
    <w:rsid w:val="00B37959"/>
    <w:rsid w:val="00B40255"/>
    <w:rsid w:val="00B406BE"/>
    <w:rsid w:val="00B4097C"/>
    <w:rsid w:val="00B41085"/>
    <w:rsid w:val="00B416EB"/>
    <w:rsid w:val="00B417F0"/>
    <w:rsid w:val="00B41D85"/>
    <w:rsid w:val="00B4218F"/>
    <w:rsid w:val="00B42346"/>
    <w:rsid w:val="00B42404"/>
    <w:rsid w:val="00B42FE3"/>
    <w:rsid w:val="00B4323F"/>
    <w:rsid w:val="00B4338A"/>
    <w:rsid w:val="00B43426"/>
    <w:rsid w:val="00B43CE8"/>
    <w:rsid w:val="00B441B8"/>
    <w:rsid w:val="00B44410"/>
    <w:rsid w:val="00B44834"/>
    <w:rsid w:val="00B4505A"/>
    <w:rsid w:val="00B45242"/>
    <w:rsid w:val="00B45547"/>
    <w:rsid w:val="00B456F5"/>
    <w:rsid w:val="00B46489"/>
    <w:rsid w:val="00B4757F"/>
    <w:rsid w:val="00B50148"/>
    <w:rsid w:val="00B50482"/>
    <w:rsid w:val="00B5063F"/>
    <w:rsid w:val="00B5096A"/>
    <w:rsid w:val="00B51575"/>
    <w:rsid w:val="00B52033"/>
    <w:rsid w:val="00B525E1"/>
    <w:rsid w:val="00B529C8"/>
    <w:rsid w:val="00B534A6"/>
    <w:rsid w:val="00B540B4"/>
    <w:rsid w:val="00B54D6B"/>
    <w:rsid w:val="00B5510B"/>
    <w:rsid w:val="00B55218"/>
    <w:rsid w:val="00B559FE"/>
    <w:rsid w:val="00B55E96"/>
    <w:rsid w:val="00B55EFC"/>
    <w:rsid w:val="00B56841"/>
    <w:rsid w:val="00B56CD4"/>
    <w:rsid w:val="00B56DBD"/>
    <w:rsid w:val="00B57732"/>
    <w:rsid w:val="00B57803"/>
    <w:rsid w:val="00B57F90"/>
    <w:rsid w:val="00B60503"/>
    <w:rsid w:val="00B6095E"/>
    <w:rsid w:val="00B6110E"/>
    <w:rsid w:val="00B6150F"/>
    <w:rsid w:val="00B61FA3"/>
    <w:rsid w:val="00B62A39"/>
    <w:rsid w:val="00B62A78"/>
    <w:rsid w:val="00B62C12"/>
    <w:rsid w:val="00B62F74"/>
    <w:rsid w:val="00B63D52"/>
    <w:rsid w:val="00B63FC8"/>
    <w:rsid w:val="00B6417F"/>
    <w:rsid w:val="00B64863"/>
    <w:rsid w:val="00B64A77"/>
    <w:rsid w:val="00B64EB6"/>
    <w:rsid w:val="00B64EBC"/>
    <w:rsid w:val="00B64F81"/>
    <w:rsid w:val="00B66B46"/>
    <w:rsid w:val="00B67078"/>
    <w:rsid w:val="00B670BB"/>
    <w:rsid w:val="00B674FB"/>
    <w:rsid w:val="00B67813"/>
    <w:rsid w:val="00B6785E"/>
    <w:rsid w:val="00B67C10"/>
    <w:rsid w:val="00B7008D"/>
    <w:rsid w:val="00B707D0"/>
    <w:rsid w:val="00B709CD"/>
    <w:rsid w:val="00B70EA9"/>
    <w:rsid w:val="00B72C7D"/>
    <w:rsid w:val="00B73802"/>
    <w:rsid w:val="00B73B62"/>
    <w:rsid w:val="00B73EC9"/>
    <w:rsid w:val="00B74354"/>
    <w:rsid w:val="00B74464"/>
    <w:rsid w:val="00B74996"/>
    <w:rsid w:val="00B75186"/>
    <w:rsid w:val="00B751AE"/>
    <w:rsid w:val="00B75537"/>
    <w:rsid w:val="00B7556A"/>
    <w:rsid w:val="00B7572A"/>
    <w:rsid w:val="00B758BA"/>
    <w:rsid w:val="00B7591D"/>
    <w:rsid w:val="00B759CB"/>
    <w:rsid w:val="00B76E1D"/>
    <w:rsid w:val="00B76F1A"/>
    <w:rsid w:val="00B8012D"/>
    <w:rsid w:val="00B80356"/>
    <w:rsid w:val="00B808DD"/>
    <w:rsid w:val="00B80998"/>
    <w:rsid w:val="00B80E3C"/>
    <w:rsid w:val="00B812B0"/>
    <w:rsid w:val="00B8134E"/>
    <w:rsid w:val="00B815F4"/>
    <w:rsid w:val="00B81ED4"/>
    <w:rsid w:val="00B8214A"/>
    <w:rsid w:val="00B8284A"/>
    <w:rsid w:val="00B82BE7"/>
    <w:rsid w:val="00B837C6"/>
    <w:rsid w:val="00B83F8D"/>
    <w:rsid w:val="00B84ACC"/>
    <w:rsid w:val="00B84CD7"/>
    <w:rsid w:val="00B84D50"/>
    <w:rsid w:val="00B85604"/>
    <w:rsid w:val="00B8589D"/>
    <w:rsid w:val="00B85CE7"/>
    <w:rsid w:val="00B85D99"/>
    <w:rsid w:val="00B85ED1"/>
    <w:rsid w:val="00B86769"/>
    <w:rsid w:val="00B86B37"/>
    <w:rsid w:val="00B86F44"/>
    <w:rsid w:val="00B87723"/>
    <w:rsid w:val="00B901DB"/>
    <w:rsid w:val="00B90758"/>
    <w:rsid w:val="00B90918"/>
    <w:rsid w:val="00B90FCF"/>
    <w:rsid w:val="00B912C3"/>
    <w:rsid w:val="00B91FD4"/>
    <w:rsid w:val="00B92712"/>
    <w:rsid w:val="00B927A8"/>
    <w:rsid w:val="00B92BEB"/>
    <w:rsid w:val="00B9341F"/>
    <w:rsid w:val="00B93579"/>
    <w:rsid w:val="00B9376C"/>
    <w:rsid w:val="00B93C60"/>
    <w:rsid w:val="00B93CCC"/>
    <w:rsid w:val="00B940E0"/>
    <w:rsid w:val="00B9423A"/>
    <w:rsid w:val="00B94AAE"/>
    <w:rsid w:val="00B94F27"/>
    <w:rsid w:val="00B966A8"/>
    <w:rsid w:val="00B966BF"/>
    <w:rsid w:val="00B96B04"/>
    <w:rsid w:val="00B96DEA"/>
    <w:rsid w:val="00B97040"/>
    <w:rsid w:val="00B970A5"/>
    <w:rsid w:val="00B974FA"/>
    <w:rsid w:val="00BA0ACE"/>
    <w:rsid w:val="00BA0B98"/>
    <w:rsid w:val="00BA152E"/>
    <w:rsid w:val="00BA1A73"/>
    <w:rsid w:val="00BA1C12"/>
    <w:rsid w:val="00BA1F80"/>
    <w:rsid w:val="00BA237E"/>
    <w:rsid w:val="00BA2529"/>
    <w:rsid w:val="00BA2DE0"/>
    <w:rsid w:val="00BA33DB"/>
    <w:rsid w:val="00BA3AE3"/>
    <w:rsid w:val="00BA3AEB"/>
    <w:rsid w:val="00BA3BEB"/>
    <w:rsid w:val="00BA418D"/>
    <w:rsid w:val="00BA45E0"/>
    <w:rsid w:val="00BA462E"/>
    <w:rsid w:val="00BA48B1"/>
    <w:rsid w:val="00BA4BA1"/>
    <w:rsid w:val="00BA4CE8"/>
    <w:rsid w:val="00BA4E78"/>
    <w:rsid w:val="00BA4F6D"/>
    <w:rsid w:val="00BA505E"/>
    <w:rsid w:val="00BA5488"/>
    <w:rsid w:val="00BA578A"/>
    <w:rsid w:val="00BA58BB"/>
    <w:rsid w:val="00BA5DD7"/>
    <w:rsid w:val="00BA6420"/>
    <w:rsid w:val="00BA68AC"/>
    <w:rsid w:val="00BA6CFA"/>
    <w:rsid w:val="00BA6ED4"/>
    <w:rsid w:val="00BA7123"/>
    <w:rsid w:val="00BA76DD"/>
    <w:rsid w:val="00BA7732"/>
    <w:rsid w:val="00BA7753"/>
    <w:rsid w:val="00BA7FB3"/>
    <w:rsid w:val="00BB011B"/>
    <w:rsid w:val="00BB0589"/>
    <w:rsid w:val="00BB11E9"/>
    <w:rsid w:val="00BB14D3"/>
    <w:rsid w:val="00BB1DF2"/>
    <w:rsid w:val="00BB1E06"/>
    <w:rsid w:val="00BB301C"/>
    <w:rsid w:val="00BB31F2"/>
    <w:rsid w:val="00BB320E"/>
    <w:rsid w:val="00BB3844"/>
    <w:rsid w:val="00BB38F0"/>
    <w:rsid w:val="00BB479F"/>
    <w:rsid w:val="00BB5C99"/>
    <w:rsid w:val="00BB5ED7"/>
    <w:rsid w:val="00BB5F07"/>
    <w:rsid w:val="00BB6441"/>
    <w:rsid w:val="00BB6CB2"/>
    <w:rsid w:val="00BB6D91"/>
    <w:rsid w:val="00BB6EC8"/>
    <w:rsid w:val="00BB6F4B"/>
    <w:rsid w:val="00BB7104"/>
    <w:rsid w:val="00BB73DE"/>
    <w:rsid w:val="00BB75AC"/>
    <w:rsid w:val="00BB7693"/>
    <w:rsid w:val="00BB7874"/>
    <w:rsid w:val="00BB79F1"/>
    <w:rsid w:val="00BB7B04"/>
    <w:rsid w:val="00BB7B49"/>
    <w:rsid w:val="00BB7EBD"/>
    <w:rsid w:val="00BC071C"/>
    <w:rsid w:val="00BC0BC6"/>
    <w:rsid w:val="00BC115F"/>
    <w:rsid w:val="00BC163A"/>
    <w:rsid w:val="00BC3024"/>
    <w:rsid w:val="00BC3769"/>
    <w:rsid w:val="00BC3805"/>
    <w:rsid w:val="00BC416F"/>
    <w:rsid w:val="00BC4DF5"/>
    <w:rsid w:val="00BC51AE"/>
    <w:rsid w:val="00BC54C0"/>
    <w:rsid w:val="00BC559A"/>
    <w:rsid w:val="00BC58BA"/>
    <w:rsid w:val="00BC5BF9"/>
    <w:rsid w:val="00BC6241"/>
    <w:rsid w:val="00BC6BC0"/>
    <w:rsid w:val="00BC6C89"/>
    <w:rsid w:val="00BC7535"/>
    <w:rsid w:val="00BC79A1"/>
    <w:rsid w:val="00BC7AB4"/>
    <w:rsid w:val="00BC7EF8"/>
    <w:rsid w:val="00BD0427"/>
    <w:rsid w:val="00BD0541"/>
    <w:rsid w:val="00BD0560"/>
    <w:rsid w:val="00BD087E"/>
    <w:rsid w:val="00BD0AEA"/>
    <w:rsid w:val="00BD103D"/>
    <w:rsid w:val="00BD13A0"/>
    <w:rsid w:val="00BD14DC"/>
    <w:rsid w:val="00BD16B9"/>
    <w:rsid w:val="00BD202A"/>
    <w:rsid w:val="00BD2371"/>
    <w:rsid w:val="00BD2433"/>
    <w:rsid w:val="00BD2C07"/>
    <w:rsid w:val="00BD30B1"/>
    <w:rsid w:val="00BD3A95"/>
    <w:rsid w:val="00BD3DC3"/>
    <w:rsid w:val="00BD433C"/>
    <w:rsid w:val="00BD4D44"/>
    <w:rsid w:val="00BD4E96"/>
    <w:rsid w:val="00BD50F2"/>
    <w:rsid w:val="00BD57BE"/>
    <w:rsid w:val="00BD5CC8"/>
    <w:rsid w:val="00BD5F49"/>
    <w:rsid w:val="00BD6D64"/>
    <w:rsid w:val="00BD6E4D"/>
    <w:rsid w:val="00BD6FDC"/>
    <w:rsid w:val="00BD7C6C"/>
    <w:rsid w:val="00BD7CF5"/>
    <w:rsid w:val="00BE01B8"/>
    <w:rsid w:val="00BE06B1"/>
    <w:rsid w:val="00BE083C"/>
    <w:rsid w:val="00BE0991"/>
    <w:rsid w:val="00BE0DB6"/>
    <w:rsid w:val="00BE0DDB"/>
    <w:rsid w:val="00BE1003"/>
    <w:rsid w:val="00BE16B7"/>
    <w:rsid w:val="00BE1863"/>
    <w:rsid w:val="00BE2426"/>
    <w:rsid w:val="00BE28AE"/>
    <w:rsid w:val="00BE35F4"/>
    <w:rsid w:val="00BE3788"/>
    <w:rsid w:val="00BE3AAC"/>
    <w:rsid w:val="00BE3C64"/>
    <w:rsid w:val="00BE3CA1"/>
    <w:rsid w:val="00BE41D8"/>
    <w:rsid w:val="00BE425A"/>
    <w:rsid w:val="00BE439B"/>
    <w:rsid w:val="00BE4A19"/>
    <w:rsid w:val="00BE4B27"/>
    <w:rsid w:val="00BE565D"/>
    <w:rsid w:val="00BE5823"/>
    <w:rsid w:val="00BE5C9E"/>
    <w:rsid w:val="00BE5D72"/>
    <w:rsid w:val="00BE60C1"/>
    <w:rsid w:val="00BE68E9"/>
    <w:rsid w:val="00BE713C"/>
    <w:rsid w:val="00BE7183"/>
    <w:rsid w:val="00BE71F3"/>
    <w:rsid w:val="00BE779D"/>
    <w:rsid w:val="00BF075B"/>
    <w:rsid w:val="00BF0E68"/>
    <w:rsid w:val="00BF166E"/>
    <w:rsid w:val="00BF3000"/>
    <w:rsid w:val="00BF3035"/>
    <w:rsid w:val="00BF42D7"/>
    <w:rsid w:val="00BF462F"/>
    <w:rsid w:val="00BF49F8"/>
    <w:rsid w:val="00BF506B"/>
    <w:rsid w:val="00BF640C"/>
    <w:rsid w:val="00BF6459"/>
    <w:rsid w:val="00BF6B2C"/>
    <w:rsid w:val="00BF72EF"/>
    <w:rsid w:val="00BF7A98"/>
    <w:rsid w:val="00C0009C"/>
    <w:rsid w:val="00C00400"/>
    <w:rsid w:val="00C00642"/>
    <w:rsid w:val="00C008D0"/>
    <w:rsid w:val="00C00BFA"/>
    <w:rsid w:val="00C029BB"/>
    <w:rsid w:val="00C02A20"/>
    <w:rsid w:val="00C02F95"/>
    <w:rsid w:val="00C03292"/>
    <w:rsid w:val="00C0393B"/>
    <w:rsid w:val="00C039C6"/>
    <w:rsid w:val="00C03A3D"/>
    <w:rsid w:val="00C03B68"/>
    <w:rsid w:val="00C040C0"/>
    <w:rsid w:val="00C044A0"/>
    <w:rsid w:val="00C04E51"/>
    <w:rsid w:val="00C050EB"/>
    <w:rsid w:val="00C059D4"/>
    <w:rsid w:val="00C05AD0"/>
    <w:rsid w:val="00C05E0C"/>
    <w:rsid w:val="00C05EF3"/>
    <w:rsid w:val="00C061AA"/>
    <w:rsid w:val="00C06474"/>
    <w:rsid w:val="00C06B12"/>
    <w:rsid w:val="00C06B80"/>
    <w:rsid w:val="00C074CB"/>
    <w:rsid w:val="00C07AA9"/>
    <w:rsid w:val="00C07D7A"/>
    <w:rsid w:val="00C07F94"/>
    <w:rsid w:val="00C1088D"/>
    <w:rsid w:val="00C10E60"/>
    <w:rsid w:val="00C110EE"/>
    <w:rsid w:val="00C11946"/>
    <w:rsid w:val="00C11AA2"/>
    <w:rsid w:val="00C121CC"/>
    <w:rsid w:val="00C129E0"/>
    <w:rsid w:val="00C12B95"/>
    <w:rsid w:val="00C12E17"/>
    <w:rsid w:val="00C145BC"/>
    <w:rsid w:val="00C1498A"/>
    <w:rsid w:val="00C14B60"/>
    <w:rsid w:val="00C14F14"/>
    <w:rsid w:val="00C15124"/>
    <w:rsid w:val="00C15A69"/>
    <w:rsid w:val="00C15E15"/>
    <w:rsid w:val="00C15E6C"/>
    <w:rsid w:val="00C16636"/>
    <w:rsid w:val="00C16726"/>
    <w:rsid w:val="00C16E2C"/>
    <w:rsid w:val="00C1790F"/>
    <w:rsid w:val="00C1797E"/>
    <w:rsid w:val="00C17D44"/>
    <w:rsid w:val="00C20D35"/>
    <w:rsid w:val="00C2143F"/>
    <w:rsid w:val="00C216A8"/>
    <w:rsid w:val="00C22484"/>
    <w:rsid w:val="00C226B1"/>
    <w:rsid w:val="00C22724"/>
    <w:rsid w:val="00C229A7"/>
    <w:rsid w:val="00C233EA"/>
    <w:rsid w:val="00C23E98"/>
    <w:rsid w:val="00C2438D"/>
    <w:rsid w:val="00C24ECB"/>
    <w:rsid w:val="00C25024"/>
    <w:rsid w:val="00C252E5"/>
    <w:rsid w:val="00C25504"/>
    <w:rsid w:val="00C2679B"/>
    <w:rsid w:val="00C26D85"/>
    <w:rsid w:val="00C2787E"/>
    <w:rsid w:val="00C27C6D"/>
    <w:rsid w:val="00C27CC6"/>
    <w:rsid w:val="00C3017F"/>
    <w:rsid w:val="00C30622"/>
    <w:rsid w:val="00C309C5"/>
    <w:rsid w:val="00C30A02"/>
    <w:rsid w:val="00C30E90"/>
    <w:rsid w:val="00C3120C"/>
    <w:rsid w:val="00C316CA"/>
    <w:rsid w:val="00C325A5"/>
    <w:rsid w:val="00C32FA0"/>
    <w:rsid w:val="00C330AF"/>
    <w:rsid w:val="00C337C4"/>
    <w:rsid w:val="00C33D65"/>
    <w:rsid w:val="00C33D90"/>
    <w:rsid w:val="00C34D2D"/>
    <w:rsid w:val="00C34D97"/>
    <w:rsid w:val="00C3502C"/>
    <w:rsid w:val="00C359E3"/>
    <w:rsid w:val="00C35C68"/>
    <w:rsid w:val="00C35E2B"/>
    <w:rsid w:val="00C365F4"/>
    <w:rsid w:val="00C3681C"/>
    <w:rsid w:val="00C373F7"/>
    <w:rsid w:val="00C37E39"/>
    <w:rsid w:val="00C40056"/>
    <w:rsid w:val="00C41694"/>
    <w:rsid w:val="00C41891"/>
    <w:rsid w:val="00C41DD7"/>
    <w:rsid w:val="00C42AC0"/>
    <w:rsid w:val="00C42C3A"/>
    <w:rsid w:val="00C43141"/>
    <w:rsid w:val="00C4364D"/>
    <w:rsid w:val="00C43769"/>
    <w:rsid w:val="00C43893"/>
    <w:rsid w:val="00C438C0"/>
    <w:rsid w:val="00C43D17"/>
    <w:rsid w:val="00C43ECD"/>
    <w:rsid w:val="00C44173"/>
    <w:rsid w:val="00C441CA"/>
    <w:rsid w:val="00C44C42"/>
    <w:rsid w:val="00C44EE3"/>
    <w:rsid w:val="00C459C1"/>
    <w:rsid w:val="00C45BAF"/>
    <w:rsid w:val="00C45FBC"/>
    <w:rsid w:val="00C4652A"/>
    <w:rsid w:val="00C467E7"/>
    <w:rsid w:val="00C46857"/>
    <w:rsid w:val="00C47BE2"/>
    <w:rsid w:val="00C47CC3"/>
    <w:rsid w:val="00C5073C"/>
    <w:rsid w:val="00C509FE"/>
    <w:rsid w:val="00C50A36"/>
    <w:rsid w:val="00C50E7C"/>
    <w:rsid w:val="00C50EEA"/>
    <w:rsid w:val="00C5112E"/>
    <w:rsid w:val="00C51229"/>
    <w:rsid w:val="00C513FD"/>
    <w:rsid w:val="00C5171E"/>
    <w:rsid w:val="00C518B8"/>
    <w:rsid w:val="00C51B6E"/>
    <w:rsid w:val="00C51C8A"/>
    <w:rsid w:val="00C51FC7"/>
    <w:rsid w:val="00C52781"/>
    <w:rsid w:val="00C52862"/>
    <w:rsid w:val="00C5298B"/>
    <w:rsid w:val="00C52FCE"/>
    <w:rsid w:val="00C53CD0"/>
    <w:rsid w:val="00C53F52"/>
    <w:rsid w:val="00C542EA"/>
    <w:rsid w:val="00C5486D"/>
    <w:rsid w:val="00C55B2D"/>
    <w:rsid w:val="00C55B52"/>
    <w:rsid w:val="00C55E67"/>
    <w:rsid w:val="00C565FE"/>
    <w:rsid w:val="00C569E4"/>
    <w:rsid w:val="00C56C56"/>
    <w:rsid w:val="00C57146"/>
    <w:rsid w:val="00C5750A"/>
    <w:rsid w:val="00C6009D"/>
    <w:rsid w:val="00C604A5"/>
    <w:rsid w:val="00C60833"/>
    <w:rsid w:val="00C61596"/>
    <w:rsid w:val="00C6173D"/>
    <w:rsid w:val="00C619A0"/>
    <w:rsid w:val="00C61A89"/>
    <w:rsid w:val="00C61D0D"/>
    <w:rsid w:val="00C61D46"/>
    <w:rsid w:val="00C61DFB"/>
    <w:rsid w:val="00C6265B"/>
    <w:rsid w:val="00C62830"/>
    <w:rsid w:val="00C62D61"/>
    <w:rsid w:val="00C631A5"/>
    <w:rsid w:val="00C63383"/>
    <w:rsid w:val="00C6393A"/>
    <w:rsid w:val="00C63AF1"/>
    <w:rsid w:val="00C63B6C"/>
    <w:rsid w:val="00C64B2F"/>
    <w:rsid w:val="00C65189"/>
    <w:rsid w:val="00C65553"/>
    <w:rsid w:val="00C65690"/>
    <w:rsid w:val="00C66536"/>
    <w:rsid w:val="00C66819"/>
    <w:rsid w:val="00C7060D"/>
    <w:rsid w:val="00C70B46"/>
    <w:rsid w:val="00C71060"/>
    <w:rsid w:val="00C71828"/>
    <w:rsid w:val="00C71DE1"/>
    <w:rsid w:val="00C71EC0"/>
    <w:rsid w:val="00C72003"/>
    <w:rsid w:val="00C72141"/>
    <w:rsid w:val="00C72960"/>
    <w:rsid w:val="00C72E39"/>
    <w:rsid w:val="00C7332D"/>
    <w:rsid w:val="00C73B03"/>
    <w:rsid w:val="00C73EAA"/>
    <w:rsid w:val="00C74568"/>
    <w:rsid w:val="00C74FE2"/>
    <w:rsid w:val="00C75513"/>
    <w:rsid w:val="00C75857"/>
    <w:rsid w:val="00C764FF"/>
    <w:rsid w:val="00C76F15"/>
    <w:rsid w:val="00C770D3"/>
    <w:rsid w:val="00C77242"/>
    <w:rsid w:val="00C7768E"/>
    <w:rsid w:val="00C778A1"/>
    <w:rsid w:val="00C77A5E"/>
    <w:rsid w:val="00C77CC7"/>
    <w:rsid w:val="00C805E4"/>
    <w:rsid w:val="00C80ED6"/>
    <w:rsid w:val="00C8151A"/>
    <w:rsid w:val="00C81E4D"/>
    <w:rsid w:val="00C81EA3"/>
    <w:rsid w:val="00C8209D"/>
    <w:rsid w:val="00C82605"/>
    <w:rsid w:val="00C82953"/>
    <w:rsid w:val="00C82FCA"/>
    <w:rsid w:val="00C831DF"/>
    <w:rsid w:val="00C832F4"/>
    <w:rsid w:val="00C83FE5"/>
    <w:rsid w:val="00C84669"/>
    <w:rsid w:val="00C84741"/>
    <w:rsid w:val="00C85AFB"/>
    <w:rsid w:val="00C85E4D"/>
    <w:rsid w:val="00C8648E"/>
    <w:rsid w:val="00C8653A"/>
    <w:rsid w:val="00C86FEB"/>
    <w:rsid w:val="00C87561"/>
    <w:rsid w:val="00C909E7"/>
    <w:rsid w:val="00C91C4F"/>
    <w:rsid w:val="00C91CA5"/>
    <w:rsid w:val="00C92B4D"/>
    <w:rsid w:val="00C92E4C"/>
    <w:rsid w:val="00C92F14"/>
    <w:rsid w:val="00C93230"/>
    <w:rsid w:val="00C935BB"/>
    <w:rsid w:val="00C93878"/>
    <w:rsid w:val="00C94036"/>
    <w:rsid w:val="00C942CF"/>
    <w:rsid w:val="00C94846"/>
    <w:rsid w:val="00C94947"/>
    <w:rsid w:val="00C94EE5"/>
    <w:rsid w:val="00C9507C"/>
    <w:rsid w:val="00C95166"/>
    <w:rsid w:val="00C95C56"/>
    <w:rsid w:val="00C95F3A"/>
    <w:rsid w:val="00C96220"/>
    <w:rsid w:val="00C9638C"/>
    <w:rsid w:val="00C964FB"/>
    <w:rsid w:val="00C968C5"/>
    <w:rsid w:val="00C96924"/>
    <w:rsid w:val="00C96A98"/>
    <w:rsid w:val="00C975E6"/>
    <w:rsid w:val="00C97B66"/>
    <w:rsid w:val="00CA0D42"/>
    <w:rsid w:val="00CA1428"/>
    <w:rsid w:val="00CA15A2"/>
    <w:rsid w:val="00CA1979"/>
    <w:rsid w:val="00CA1DC0"/>
    <w:rsid w:val="00CA1E56"/>
    <w:rsid w:val="00CA2F80"/>
    <w:rsid w:val="00CA3343"/>
    <w:rsid w:val="00CA3939"/>
    <w:rsid w:val="00CA3DC8"/>
    <w:rsid w:val="00CA3E0C"/>
    <w:rsid w:val="00CA4FA6"/>
    <w:rsid w:val="00CA5140"/>
    <w:rsid w:val="00CA644E"/>
    <w:rsid w:val="00CA67FA"/>
    <w:rsid w:val="00CA6E3D"/>
    <w:rsid w:val="00CA7907"/>
    <w:rsid w:val="00CA7F27"/>
    <w:rsid w:val="00CB049C"/>
    <w:rsid w:val="00CB1A0A"/>
    <w:rsid w:val="00CB254E"/>
    <w:rsid w:val="00CB2824"/>
    <w:rsid w:val="00CB284F"/>
    <w:rsid w:val="00CB2C11"/>
    <w:rsid w:val="00CB2CEF"/>
    <w:rsid w:val="00CB3825"/>
    <w:rsid w:val="00CB4236"/>
    <w:rsid w:val="00CB4A82"/>
    <w:rsid w:val="00CB50EC"/>
    <w:rsid w:val="00CB50FC"/>
    <w:rsid w:val="00CB515B"/>
    <w:rsid w:val="00CB6234"/>
    <w:rsid w:val="00CB78ED"/>
    <w:rsid w:val="00CB7F50"/>
    <w:rsid w:val="00CC0022"/>
    <w:rsid w:val="00CC02BE"/>
    <w:rsid w:val="00CC12BD"/>
    <w:rsid w:val="00CC18C8"/>
    <w:rsid w:val="00CC24B3"/>
    <w:rsid w:val="00CC2746"/>
    <w:rsid w:val="00CC2EA4"/>
    <w:rsid w:val="00CC3446"/>
    <w:rsid w:val="00CC49CA"/>
    <w:rsid w:val="00CC4F3B"/>
    <w:rsid w:val="00CC6782"/>
    <w:rsid w:val="00CC7C72"/>
    <w:rsid w:val="00CD0E78"/>
    <w:rsid w:val="00CD10BC"/>
    <w:rsid w:val="00CD11F6"/>
    <w:rsid w:val="00CD1834"/>
    <w:rsid w:val="00CD1887"/>
    <w:rsid w:val="00CD24E9"/>
    <w:rsid w:val="00CD260B"/>
    <w:rsid w:val="00CD26D5"/>
    <w:rsid w:val="00CD325A"/>
    <w:rsid w:val="00CD3AE6"/>
    <w:rsid w:val="00CD43B4"/>
    <w:rsid w:val="00CD4446"/>
    <w:rsid w:val="00CD4875"/>
    <w:rsid w:val="00CD53FD"/>
    <w:rsid w:val="00CD5990"/>
    <w:rsid w:val="00CD5E23"/>
    <w:rsid w:val="00CD5E7C"/>
    <w:rsid w:val="00CD5FF3"/>
    <w:rsid w:val="00CD614D"/>
    <w:rsid w:val="00CD6DB1"/>
    <w:rsid w:val="00CD75C8"/>
    <w:rsid w:val="00CD7631"/>
    <w:rsid w:val="00CD7635"/>
    <w:rsid w:val="00CD79B9"/>
    <w:rsid w:val="00CE01D4"/>
    <w:rsid w:val="00CE0268"/>
    <w:rsid w:val="00CE0348"/>
    <w:rsid w:val="00CE086A"/>
    <w:rsid w:val="00CE0CE8"/>
    <w:rsid w:val="00CE12E2"/>
    <w:rsid w:val="00CE160B"/>
    <w:rsid w:val="00CE1C94"/>
    <w:rsid w:val="00CE1D93"/>
    <w:rsid w:val="00CE1E63"/>
    <w:rsid w:val="00CE2269"/>
    <w:rsid w:val="00CE2483"/>
    <w:rsid w:val="00CE2675"/>
    <w:rsid w:val="00CE2801"/>
    <w:rsid w:val="00CE2EEB"/>
    <w:rsid w:val="00CE3085"/>
    <w:rsid w:val="00CE3CD2"/>
    <w:rsid w:val="00CE3F64"/>
    <w:rsid w:val="00CE4B2D"/>
    <w:rsid w:val="00CE53DB"/>
    <w:rsid w:val="00CE5D9B"/>
    <w:rsid w:val="00CE62CD"/>
    <w:rsid w:val="00CE6395"/>
    <w:rsid w:val="00CE65B7"/>
    <w:rsid w:val="00CE67AD"/>
    <w:rsid w:val="00CE67E9"/>
    <w:rsid w:val="00CE6832"/>
    <w:rsid w:val="00CE6BA3"/>
    <w:rsid w:val="00CE7032"/>
    <w:rsid w:val="00CE7188"/>
    <w:rsid w:val="00CE7482"/>
    <w:rsid w:val="00CE754A"/>
    <w:rsid w:val="00CE7746"/>
    <w:rsid w:val="00CE776D"/>
    <w:rsid w:val="00CE7B60"/>
    <w:rsid w:val="00CE7DAF"/>
    <w:rsid w:val="00CF0172"/>
    <w:rsid w:val="00CF0A4D"/>
    <w:rsid w:val="00CF0B64"/>
    <w:rsid w:val="00CF0E27"/>
    <w:rsid w:val="00CF1642"/>
    <w:rsid w:val="00CF17AC"/>
    <w:rsid w:val="00CF1BFA"/>
    <w:rsid w:val="00CF1DDB"/>
    <w:rsid w:val="00CF1F44"/>
    <w:rsid w:val="00CF249B"/>
    <w:rsid w:val="00CF2796"/>
    <w:rsid w:val="00CF2A1E"/>
    <w:rsid w:val="00CF2AC3"/>
    <w:rsid w:val="00CF39F4"/>
    <w:rsid w:val="00CF3B41"/>
    <w:rsid w:val="00CF456A"/>
    <w:rsid w:val="00CF468D"/>
    <w:rsid w:val="00CF49A6"/>
    <w:rsid w:val="00CF49CA"/>
    <w:rsid w:val="00CF59F0"/>
    <w:rsid w:val="00CF6C14"/>
    <w:rsid w:val="00CF72EB"/>
    <w:rsid w:val="00CF7302"/>
    <w:rsid w:val="00CF7B0B"/>
    <w:rsid w:val="00CF7B6A"/>
    <w:rsid w:val="00CF7C6A"/>
    <w:rsid w:val="00D00658"/>
    <w:rsid w:val="00D00A96"/>
    <w:rsid w:val="00D00EE1"/>
    <w:rsid w:val="00D01893"/>
    <w:rsid w:val="00D01A70"/>
    <w:rsid w:val="00D01E82"/>
    <w:rsid w:val="00D01F0E"/>
    <w:rsid w:val="00D01F88"/>
    <w:rsid w:val="00D01FAD"/>
    <w:rsid w:val="00D02611"/>
    <w:rsid w:val="00D02D9F"/>
    <w:rsid w:val="00D02E5E"/>
    <w:rsid w:val="00D030E1"/>
    <w:rsid w:val="00D03FB5"/>
    <w:rsid w:val="00D043D7"/>
    <w:rsid w:val="00D044F6"/>
    <w:rsid w:val="00D04F08"/>
    <w:rsid w:val="00D05295"/>
    <w:rsid w:val="00D05EC4"/>
    <w:rsid w:val="00D06346"/>
    <w:rsid w:val="00D06686"/>
    <w:rsid w:val="00D06940"/>
    <w:rsid w:val="00D07CDB"/>
    <w:rsid w:val="00D07DEA"/>
    <w:rsid w:val="00D1067D"/>
    <w:rsid w:val="00D10739"/>
    <w:rsid w:val="00D10AF6"/>
    <w:rsid w:val="00D10D4A"/>
    <w:rsid w:val="00D10E8B"/>
    <w:rsid w:val="00D11A27"/>
    <w:rsid w:val="00D1230B"/>
    <w:rsid w:val="00D128D6"/>
    <w:rsid w:val="00D12AA1"/>
    <w:rsid w:val="00D12EF9"/>
    <w:rsid w:val="00D13199"/>
    <w:rsid w:val="00D132C2"/>
    <w:rsid w:val="00D13684"/>
    <w:rsid w:val="00D1394C"/>
    <w:rsid w:val="00D142CA"/>
    <w:rsid w:val="00D146ED"/>
    <w:rsid w:val="00D14A1D"/>
    <w:rsid w:val="00D1509D"/>
    <w:rsid w:val="00D1568B"/>
    <w:rsid w:val="00D15B31"/>
    <w:rsid w:val="00D15DC9"/>
    <w:rsid w:val="00D160E4"/>
    <w:rsid w:val="00D16D31"/>
    <w:rsid w:val="00D172DB"/>
    <w:rsid w:val="00D175FD"/>
    <w:rsid w:val="00D20422"/>
    <w:rsid w:val="00D2077E"/>
    <w:rsid w:val="00D2085B"/>
    <w:rsid w:val="00D20A51"/>
    <w:rsid w:val="00D219BF"/>
    <w:rsid w:val="00D21EE6"/>
    <w:rsid w:val="00D22000"/>
    <w:rsid w:val="00D2201A"/>
    <w:rsid w:val="00D22A0E"/>
    <w:rsid w:val="00D22C43"/>
    <w:rsid w:val="00D22E4C"/>
    <w:rsid w:val="00D230ED"/>
    <w:rsid w:val="00D2347C"/>
    <w:rsid w:val="00D23550"/>
    <w:rsid w:val="00D2375C"/>
    <w:rsid w:val="00D2396D"/>
    <w:rsid w:val="00D239F3"/>
    <w:rsid w:val="00D23AAC"/>
    <w:rsid w:val="00D23D1F"/>
    <w:rsid w:val="00D23E30"/>
    <w:rsid w:val="00D24988"/>
    <w:rsid w:val="00D24AEB"/>
    <w:rsid w:val="00D24B43"/>
    <w:rsid w:val="00D24FB9"/>
    <w:rsid w:val="00D25272"/>
    <w:rsid w:val="00D255A5"/>
    <w:rsid w:val="00D2597E"/>
    <w:rsid w:val="00D26258"/>
    <w:rsid w:val="00D26266"/>
    <w:rsid w:val="00D264EB"/>
    <w:rsid w:val="00D267D5"/>
    <w:rsid w:val="00D26CE6"/>
    <w:rsid w:val="00D26F94"/>
    <w:rsid w:val="00D27233"/>
    <w:rsid w:val="00D27461"/>
    <w:rsid w:val="00D301BF"/>
    <w:rsid w:val="00D313DA"/>
    <w:rsid w:val="00D31622"/>
    <w:rsid w:val="00D32621"/>
    <w:rsid w:val="00D32842"/>
    <w:rsid w:val="00D32924"/>
    <w:rsid w:val="00D345B6"/>
    <w:rsid w:val="00D34AB0"/>
    <w:rsid w:val="00D34D13"/>
    <w:rsid w:val="00D35CE2"/>
    <w:rsid w:val="00D35EA4"/>
    <w:rsid w:val="00D3631F"/>
    <w:rsid w:val="00D36688"/>
    <w:rsid w:val="00D36E1B"/>
    <w:rsid w:val="00D370CD"/>
    <w:rsid w:val="00D376C2"/>
    <w:rsid w:val="00D402DA"/>
    <w:rsid w:val="00D40523"/>
    <w:rsid w:val="00D40F07"/>
    <w:rsid w:val="00D421A7"/>
    <w:rsid w:val="00D42DAB"/>
    <w:rsid w:val="00D4371A"/>
    <w:rsid w:val="00D43CF9"/>
    <w:rsid w:val="00D44004"/>
    <w:rsid w:val="00D441CF"/>
    <w:rsid w:val="00D44A5B"/>
    <w:rsid w:val="00D44B63"/>
    <w:rsid w:val="00D44E87"/>
    <w:rsid w:val="00D45520"/>
    <w:rsid w:val="00D45905"/>
    <w:rsid w:val="00D45A27"/>
    <w:rsid w:val="00D46798"/>
    <w:rsid w:val="00D467BF"/>
    <w:rsid w:val="00D469B0"/>
    <w:rsid w:val="00D46AB7"/>
    <w:rsid w:val="00D47154"/>
    <w:rsid w:val="00D47585"/>
    <w:rsid w:val="00D47A05"/>
    <w:rsid w:val="00D47CD6"/>
    <w:rsid w:val="00D5049A"/>
    <w:rsid w:val="00D507CE"/>
    <w:rsid w:val="00D50A80"/>
    <w:rsid w:val="00D50B2C"/>
    <w:rsid w:val="00D50D17"/>
    <w:rsid w:val="00D5164A"/>
    <w:rsid w:val="00D51D23"/>
    <w:rsid w:val="00D5211B"/>
    <w:rsid w:val="00D5235B"/>
    <w:rsid w:val="00D52CAA"/>
    <w:rsid w:val="00D5322D"/>
    <w:rsid w:val="00D5389B"/>
    <w:rsid w:val="00D54B5F"/>
    <w:rsid w:val="00D55653"/>
    <w:rsid w:val="00D5566A"/>
    <w:rsid w:val="00D56185"/>
    <w:rsid w:val="00D561EC"/>
    <w:rsid w:val="00D56386"/>
    <w:rsid w:val="00D56401"/>
    <w:rsid w:val="00D565A6"/>
    <w:rsid w:val="00D56F6F"/>
    <w:rsid w:val="00D570AC"/>
    <w:rsid w:val="00D57336"/>
    <w:rsid w:val="00D5749D"/>
    <w:rsid w:val="00D609E6"/>
    <w:rsid w:val="00D61529"/>
    <w:rsid w:val="00D616FC"/>
    <w:rsid w:val="00D61842"/>
    <w:rsid w:val="00D622F1"/>
    <w:rsid w:val="00D6260D"/>
    <w:rsid w:val="00D628DD"/>
    <w:rsid w:val="00D62A63"/>
    <w:rsid w:val="00D62FDB"/>
    <w:rsid w:val="00D6312A"/>
    <w:rsid w:val="00D63D49"/>
    <w:rsid w:val="00D64810"/>
    <w:rsid w:val="00D64934"/>
    <w:rsid w:val="00D64A46"/>
    <w:rsid w:val="00D64D23"/>
    <w:rsid w:val="00D651E0"/>
    <w:rsid w:val="00D65421"/>
    <w:rsid w:val="00D65A73"/>
    <w:rsid w:val="00D65C1A"/>
    <w:rsid w:val="00D66847"/>
    <w:rsid w:val="00D66A96"/>
    <w:rsid w:val="00D67871"/>
    <w:rsid w:val="00D70735"/>
    <w:rsid w:val="00D70787"/>
    <w:rsid w:val="00D71232"/>
    <w:rsid w:val="00D716C6"/>
    <w:rsid w:val="00D71A17"/>
    <w:rsid w:val="00D71CD9"/>
    <w:rsid w:val="00D71E2F"/>
    <w:rsid w:val="00D7239F"/>
    <w:rsid w:val="00D72C48"/>
    <w:rsid w:val="00D735A8"/>
    <w:rsid w:val="00D7473D"/>
    <w:rsid w:val="00D74EC9"/>
    <w:rsid w:val="00D75D19"/>
    <w:rsid w:val="00D7615B"/>
    <w:rsid w:val="00D76B7C"/>
    <w:rsid w:val="00D772FD"/>
    <w:rsid w:val="00D77383"/>
    <w:rsid w:val="00D773BF"/>
    <w:rsid w:val="00D773F2"/>
    <w:rsid w:val="00D77C40"/>
    <w:rsid w:val="00D81E63"/>
    <w:rsid w:val="00D824FF"/>
    <w:rsid w:val="00D8299E"/>
    <w:rsid w:val="00D83CE3"/>
    <w:rsid w:val="00D83FC2"/>
    <w:rsid w:val="00D8419A"/>
    <w:rsid w:val="00D844A5"/>
    <w:rsid w:val="00D84648"/>
    <w:rsid w:val="00D84A93"/>
    <w:rsid w:val="00D85305"/>
    <w:rsid w:val="00D85337"/>
    <w:rsid w:val="00D85959"/>
    <w:rsid w:val="00D85A1A"/>
    <w:rsid w:val="00D85D46"/>
    <w:rsid w:val="00D862A2"/>
    <w:rsid w:val="00D86D04"/>
    <w:rsid w:val="00D875AB"/>
    <w:rsid w:val="00D910AE"/>
    <w:rsid w:val="00D91D0C"/>
    <w:rsid w:val="00D92307"/>
    <w:rsid w:val="00D92542"/>
    <w:rsid w:val="00D92936"/>
    <w:rsid w:val="00D92AAA"/>
    <w:rsid w:val="00D92C12"/>
    <w:rsid w:val="00D93A9A"/>
    <w:rsid w:val="00D93BED"/>
    <w:rsid w:val="00D94513"/>
    <w:rsid w:val="00D961B5"/>
    <w:rsid w:val="00D964B6"/>
    <w:rsid w:val="00D96646"/>
    <w:rsid w:val="00D96B8C"/>
    <w:rsid w:val="00D976C3"/>
    <w:rsid w:val="00D978EA"/>
    <w:rsid w:val="00D97AF0"/>
    <w:rsid w:val="00D97B5C"/>
    <w:rsid w:val="00D97CEE"/>
    <w:rsid w:val="00DA0199"/>
    <w:rsid w:val="00DA05C1"/>
    <w:rsid w:val="00DA0F11"/>
    <w:rsid w:val="00DA118C"/>
    <w:rsid w:val="00DA16DB"/>
    <w:rsid w:val="00DA179D"/>
    <w:rsid w:val="00DA1DC9"/>
    <w:rsid w:val="00DA1FED"/>
    <w:rsid w:val="00DA2EB7"/>
    <w:rsid w:val="00DA30B5"/>
    <w:rsid w:val="00DA33BD"/>
    <w:rsid w:val="00DA34D7"/>
    <w:rsid w:val="00DA34ED"/>
    <w:rsid w:val="00DA39AB"/>
    <w:rsid w:val="00DA463A"/>
    <w:rsid w:val="00DA46CD"/>
    <w:rsid w:val="00DA4916"/>
    <w:rsid w:val="00DA4A43"/>
    <w:rsid w:val="00DA4AF7"/>
    <w:rsid w:val="00DA4CCB"/>
    <w:rsid w:val="00DA4E51"/>
    <w:rsid w:val="00DA5317"/>
    <w:rsid w:val="00DA5989"/>
    <w:rsid w:val="00DA5F15"/>
    <w:rsid w:val="00DA6022"/>
    <w:rsid w:val="00DA6490"/>
    <w:rsid w:val="00DA67AF"/>
    <w:rsid w:val="00DA6FB0"/>
    <w:rsid w:val="00DA76D8"/>
    <w:rsid w:val="00DA77AB"/>
    <w:rsid w:val="00DA78A9"/>
    <w:rsid w:val="00DB01A1"/>
    <w:rsid w:val="00DB0402"/>
    <w:rsid w:val="00DB05B4"/>
    <w:rsid w:val="00DB06EF"/>
    <w:rsid w:val="00DB07D1"/>
    <w:rsid w:val="00DB0C6F"/>
    <w:rsid w:val="00DB13C1"/>
    <w:rsid w:val="00DB1C48"/>
    <w:rsid w:val="00DB1CCA"/>
    <w:rsid w:val="00DB245F"/>
    <w:rsid w:val="00DB2577"/>
    <w:rsid w:val="00DB2B27"/>
    <w:rsid w:val="00DB2B9F"/>
    <w:rsid w:val="00DB2C80"/>
    <w:rsid w:val="00DB2DA1"/>
    <w:rsid w:val="00DB3261"/>
    <w:rsid w:val="00DB3423"/>
    <w:rsid w:val="00DB3499"/>
    <w:rsid w:val="00DB3D69"/>
    <w:rsid w:val="00DB4F4D"/>
    <w:rsid w:val="00DB5018"/>
    <w:rsid w:val="00DB50CB"/>
    <w:rsid w:val="00DB522D"/>
    <w:rsid w:val="00DB6926"/>
    <w:rsid w:val="00DB6C74"/>
    <w:rsid w:val="00DB77A7"/>
    <w:rsid w:val="00DB7F3A"/>
    <w:rsid w:val="00DC0393"/>
    <w:rsid w:val="00DC0482"/>
    <w:rsid w:val="00DC140E"/>
    <w:rsid w:val="00DC2236"/>
    <w:rsid w:val="00DC2349"/>
    <w:rsid w:val="00DC2B8E"/>
    <w:rsid w:val="00DC4BFE"/>
    <w:rsid w:val="00DC4D8A"/>
    <w:rsid w:val="00DC4FF2"/>
    <w:rsid w:val="00DC58EF"/>
    <w:rsid w:val="00DC5A90"/>
    <w:rsid w:val="00DC5C88"/>
    <w:rsid w:val="00DC6094"/>
    <w:rsid w:val="00DC6ADF"/>
    <w:rsid w:val="00DC70E6"/>
    <w:rsid w:val="00DC74B0"/>
    <w:rsid w:val="00DC7832"/>
    <w:rsid w:val="00DC7907"/>
    <w:rsid w:val="00DC7A6F"/>
    <w:rsid w:val="00DD0A84"/>
    <w:rsid w:val="00DD0F25"/>
    <w:rsid w:val="00DD0F46"/>
    <w:rsid w:val="00DD1539"/>
    <w:rsid w:val="00DD1A8B"/>
    <w:rsid w:val="00DD1B82"/>
    <w:rsid w:val="00DD1D32"/>
    <w:rsid w:val="00DD2705"/>
    <w:rsid w:val="00DD29E9"/>
    <w:rsid w:val="00DD3502"/>
    <w:rsid w:val="00DD35B8"/>
    <w:rsid w:val="00DD3804"/>
    <w:rsid w:val="00DD391F"/>
    <w:rsid w:val="00DD3D12"/>
    <w:rsid w:val="00DD5366"/>
    <w:rsid w:val="00DD55D8"/>
    <w:rsid w:val="00DD5D34"/>
    <w:rsid w:val="00DD606B"/>
    <w:rsid w:val="00DD729F"/>
    <w:rsid w:val="00DD736F"/>
    <w:rsid w:val="00DD768F"/>
    <w:rsid w:val="00DD7DD7"/>
    <w:rsid w:val="00DE01A3"/>
    <w:rsid w:val="00DE0360"/>
    <w:rsid w:val="00DE0361"/>
    <w:rsid w:val="00DE0EB8"/>
    <w:rsid w:val="00DE16B8"/>
    <w:rsid w:val="00DE1C81"/>
    <w:rsid w:val="00DE1D28"/>
    <w:rsid w:val="00DE20F0"/>
    <w:rsid w:val="00DE26AD"/>
    <w:rsid w:val="00DE28D3"/>
    <w:rsid w:val="00DE2C07"/>
    <w:rsid w:val="00DE33B9"/>
    <w:rsid w:val="00DE3E8F"/>
    <w:rsid w:val="00DE4B2C"/>
    <w:rsid w:val="00DE4F7B"/>
    <w:rsid w:val="00DE510F"/>
    <w:rsid w:val="00DE51D9"/>
    <w:rsid w:val="00DE536C"/>
    <w:rsid w:val="00DE5864"/>
    <w:rsid w:val="00DE5BDD"/>
    <w:rsid w:val="00DE5EAC"/>
    <w:rsid w:val="00DE62F6"/>
    <w:rsid w:val="00DE6504"/>
    <w:rsid w:val="00DE653F"/>
    <w:rsid w:val="00DE7471"/>
    <w:rsid w:val="00DE7BCB"/>
    <w:rsid w:val="00DE7C30"/>
    <w:rsid w:val="00DF01A6"/>
    <w:rsid w:val="00DF0B45"/>
    <w:rsid w:val="00DF1091"/>
    <w:rsid w:val="00DF22CB"/>
    <w:rsid w:val="00DF2C36"/>
    <w:rsid w:val="00DF2C53"/>
    <w:rsid w:val="00DF300C"/>
    <w:rsid w:val="00DF329A"/>
    <w:rsid w:val="00DF388D"/>
    <w:rsid w:val="00DF465B"/>
    <w:rsid w:val="00DF4DC9"/>
    <w:rsid w:val="00DF555C"/>
    <w:rsid w:val="00DF56DC"/>
    <w:rsid w:val="00DF5B99"/>
    <w:rsid w:val="00DF6464"/>
    <w:rsid w:val="00DF686E"/>
    <w:rsid w:val="00DF690D"/>
    <w:rsid w:val="00DF7345"/>
    <w:rsid w:val="00DF76F4"/>
    <w:rsid w:val="00DF7AF0"/>
    <w:rsid w:val="00DF7EF7"/>
    <w:rsid w:val="00DF7F62"/>
    <w:rsid w:val="00E00127"/>
    <w:rsid w:val="00E00782"/>
    <w:rsid w:val="00E01371"/>
    <w:rsid w:val="00E01906"/>
    <w:rsid w:val="00E019F2"/>
    <w:rsid w:val="00E022ED"/>
    <w:rsid w:val="00E02588"/>
    <w:rsid w:val="00E02612"/>
    <w:rsid w:val="00E027FF"/>
    <w:rsid w:val="00E033C3"/>
    <w:rsid w:val="00E03528"/>
    <w:rsid w:val="00E03708"/>
    <w:rsid w:val="00E038F1"/>
    <w:rsid w:val="00E03B54"/>
    <w:rsid w:val="00E04EAE"/>
    <w:rsid w:val="00E052DD"/>
    <w:rsid w:val="00E05440"/>
    <w:rsid w:val="00E05489"/>
    <w:rsid w:val="00E05636"/>
    <w:rsid w:val="00E06F0B"/>
    <w:rsid w:val="00E1003C"/>
    <w:rsid w:val="00E1159C"/>
    <w:rsid w:val="00E120B6"/>
    <w:rsid w:val="00E128AE"/>
    <w:rsid w:val="00E130D6"/>
    <w:rsid w:val="00E13107"/>
    <w:rsid w:val="00E139B6"/>
    <w:rsid w:val="00E13E9D"/>
    <w:rsid w:val="00E14903"/>
    <w:rsid w:val="00E14972"/>
    <w:rsid w:val="00E151CE"/>
    <w:rsid w:val="00E16208"/>
    <w:rsid w:val="00E1711C"/>
    <w:rsid w:val="00E17187"/>
    <w:rsid w:val="00E2007C"/>
    <w:rsid w:val="00E201B6"/>
    <w:rsid w:val="00E20AF1"/>
    <w:rsid w:val="00E20C06"/>
    <w:rsid w:val="00E2160E"/>
    <w:rsid w:val="00E21924"/>
    <w:rsid w:val="00E21AF3"/>
    <w:rsid w:val="00E22C1A"/>
    <w:rsid w:val="00E22D3E"/>
    <w:rsid w:val="00E22D5C"/>
    <w:rsid w:val="00E22E85"/>
    <w:rsid w:val="00E23530"/>
    <w:rsid w:val="00E23E03"/>
    <w:rsid w:val="00E24683"/>
    <w:rsid w:val="00E24CFC"/>
    <w:rsid w:val="00E24F60"/>
    <w:rsid w:val="00E251DA"/>
    <w:rsid w:val="00E25BC4"/>
    <w:rsid w:val="00E25C42"/>
    <w:rsid w:val="00E25C47"/>
    <w:rsid w:val="00E25E50"/>
    <w:rsid w:val="00E26237"/>
    <w:rsid w:val="00E267EA"/>
    <w:rsid w:val="00E26A92"/>
    <w:rsid w:val="00E26D02"/>
    <w:rsid w:val="00E271A8"/>
    <w:rsid w:val="00E27452"/>
    <w:rsid w:val="00E276AE"/>
    <w:rsid w:val="00E2793A"/>
    <w:rsid w:val="00E3003A"/>
    <w:rsid w:val="00E30789"/>
    <w:rsid w:val="00E30815"/>
    <w:rsid w:val="00E31ADF"/>
    <w:rsid w:val="00E31E29"/>
    <w:rsid w:val="00E322EB"/>
    <w:rsid w:val="00E32C9D"/>
    <w:rsid w:val="00E32F21"/>
    <w:rsid w:val="00E338FC"/>
    <w:rsid w:val="00E3451D"/>
    <w:rsid w:val="00E3461F"/>
    <w:rsid w:val="00E34936"/>
    <w:rsid w:val="00E34B01"/>
    <w:rsid w:val="00E34C9D"/>
    <w:rsid w:val="00E34DBA"/>
    <w:rsid w:val="00E35481"/>
    <w:rsid w:val="00E354BE"/>
    <w:rsid w:val="00E355D7"/>
    <w:rsid w:val="00E357EF"/>
    <w:rsid w:val="00E35D20"/>
    <w:rsid w:val="00E362E0"/>
    <w:rsid w:val="00E36734"/>
    <w:rsid w:val="00E368F8"/>
    <w:rsid w:val="00E37077"/>
    <w:rsid w:val="00E37146"/>
    <w:rsid w:val="00E37287"/>
    <w:rsid w:val="00E372A7"/>
    <w:rsid w:val="00E40203"/>
    <w:rsid w:val="00E4089F"/>
    <w:rsid w:val="00E408A8"/>
    <w:rsid w:val="00E4110B"/>
    <w:rsid w:val="00E416A8"/>
    <w:rsid w:val="00E41BFF"/>
    <w:rsid w:val="00E42446"/>
    <w:rsid w:val="00E43217"/>
    <w:rsid w:val="00E43CD1"/>
    <w:rsid w:val="00E44628"/>
    <w:rsid w:val="00E44A60"/>
    <w:rsid w:val="00E4577F"/>
    <w:rsid w:val="00E45E01"/>
    <w:rsid w:val="00E45F69"/>
    <w:rsid w:val="00E45FAD"/>
    <w:rsid w:val="00E463D2"/>
    <w:rsid w:val="00E470E7"/>
    <w:rsid w:val="00E47423"/>
    <w:rsid w:val="00E47E74"/>
    <w:rsid w:val="00E506A4"/>
    <w:rsid w:val="00E50A49"/>
    <w:rsid w:val="00E50AE3"/>
    <w:rsid w:val="00E50B44"/>
    <w:rsid w:val="00E51509"/>
    <w:rsid w:val="00E5180C"/>
    <w:rsid w:val="00E5185B"/>
    <w:rsid w:val="00E51AB4"/>
    <w:rsid w:val="00E51BF0"/>
    <w:rsid w:val="00E52132"/>
    <w:rsid w:val="00E523FF"/>
    <w:rsid w:val="00E52716"/>
    <w:rsid w:val="00E52B83"/>
    <w:rsid w:val="00E537C9"/>
    <w:rsid w:val="00E53951"/>
    <w:rsid w:val="00E55A8F"/>
    <w:rsid w:val="00E55BCB"/>
    <w:rsid w:val="00E55C2E"/>
    <w:rsid w:val="00E56858"/>
    <w:rsid w:val="00E56A33"/>
    <w:rsid w:val="00E56C30"/>
    <w:rsid w:val="00E57033"/>
    <w:rsid w:val="00E57D20"/>
    <w:rsid w:val="00E57D42"/>
    <w:rsid w:val="00E57E16"/>
    <w:rsid w:val="00E60521"/>
    <w:rsid w:val="00E60586"/>
    <w:rsid w:val="00E6087F"/>
    <w:rsid w:val="00E60DC5"/>
    <w:rsid w:val="00E60E85"/>
    <w:rsid w:val="00E61146"/>
    <w:rsid w:val="00E61346"/>
    <w:rsid w:val="00E616AA"/>
    <w:rsid w:val="00E616CA"/>
    <w:rsid w:val="00E61849"/>
    <w:rsid w:val="00E620AB"/>
    <w:rsid w:val="00E621AD"/>
    <w:rsid w:val="00E621E8"/>
    <w:rsid w:val="00E62D68"/>
    <w:rsid w:val="00E63B5F"/>
    <w:rsid w:val="00E63B60"/>
    <w:rsid w:val="00E64086"/>
    <w:rsid w:val="00E641BE"/>
    <w:rsid w:val="00E64289"/>
    <w:rsid w:val="00E6444F"/>
    <w:rsid w:val="00E6475C"/>
    <w:rsid w:val="00E65601"/>
    <w:rsid w:val="00E656C4"/>
    <w:rsid w:val="00E6576A"/>
    <w:rsid w:val="00E664D4"/>
    <w:rsid w:val="00E668BA"/>
    <w:rsid w:val="00E66E5B"/>
    <w:rsid w:val="00E67712"/>
    <w:rsid w:val="00E6779B"/>
    <w:rsid w:val="00E67BB7"/>
    <w:rsid w:val="00E67C9E"/>
    <w:rsid w:val="00E70F90"/>
    <w:rsid w:val="00E7149C"/>
    <w:rsid w:val="00E715E9"/>
    <w:rsid w:val="00E715FC"/>
    <w:rsid w:val="00E71F7D"/>
    <w:rsid w:val="00E72468"/>
    <w:rsid w:val="00E72559"/>
    <w:rsid w:val="00E7273F"/>
    <w:rsid w:val="00E72E17"/>
    <w:rsid w:val="00E73894"/>
    <w:rsid w:val="00E73B91"/>
    <w:rsid w:val="00E73BA4"/>
    <w:rsid w:val="00E74491"/>
    <w:rsid w:val="00E74517"/>
    <w:rsid w:val="00E74655"/>
    <w:rsid w:val="00E74B9D"/>
    <w:rsid w:val="00E7537B"/>
    <w:rsid w:val="00E756C4"/>
    <w:rsid w:val="00E75DA1"/>
    <w:rsid w:val="00E76029"/>
    <w:rsid w:val="00E760C3"/>
    <w:rsid w:val="00E76122"/>
    <w:rsid w:val="00E768F4"/>
    <w:rsid w:val="00E76A1B"/>
    <w:rsid w:val="00E76BC2"/>
    <w:rsid w:val="00E7720B"/>
    <w:rsid w:val="00E77403"/>
    <w:rsid w:val="00E776A6"/>
    <w:rsid w:val="00E77B2C"/>
    <w:rsid w:val="00E801AC"/>
    <w:rsid w:val="00E80CB0"/>
    <w:rsid w:val="00E80E6C"/>
    <w:rsid w:val="00E810CA"/>
    <w:rsid w:val="00E8166D"/>
    <w:rsid w:val="00E818A8"/>
    <w:rsid w:val="00E81A4C"/>
    <w:rsid w:val="00E81A60"/>
    <w:rsid w:val="00E81A9C"/>
    <w:rsid w:val="00E81D59"/>
    <w:rsid w:val="00E823C1"/>
    <w:rsid w:val="00E8295E"/>
    <w:rsid w:val="00E8336D"/>
    <w:rsid w:val="00E83499"/>
    <w:rsid w:val="00E839A3"/>
    <w:rsid w:val="00E8416D"/>
    <w:rsid w:val="00E84A0D"/>
    <w:rsid w:val="00E85284"/>
    <w:rsid w:val="00E85631"/>
    <w:rsid w:val="00E85EB5"/>
    <w:rsid w:val="00E86328"/>
    <w:rsid w:val="00E86B22"/>
    <w:rsid w:val="00E87BBD"/>
    <w:rsid w:val="00E9000F"/>
    <w:rsid w:val="00E901BC"/>
    <w:rsid w:val="00E909FE"/>
    <w:rsid w:val="00E913C0"/>
    <w:rsid w:val="00E91535"/>
    <w:rsid w:val="00E921EF"/>
    <w:rsid w:val="00E924AF"/>
    <w:rsid w:val="00E928A4"/>
    <w:rsid w:val="00E92CC4"/>
    <w:rsid w:val="00E934DC"/>
    <w:rsid w:val="00E9385C"/>
    <w:rsid w:val="00E93ACA"/>
    <w:rsid w:val="00E9415B"/>
    <w:rsid w:val="00E94573"/>
    <w:rsid w:val="00E957E9"/>
    <w:rsid w:val="00E95A19"/>
    <w:rsid w:val="00E96B50"/>
    <w:rsid w:val="00E96CFC"/>
    <w:rsid w:val="00E96D65"/>
    <w:rsid w:val="00E974F0"/>
    <w:rsid w:val="00EA0496"/>
    <w:rsid w:val="00EA0591"/>
    <w:rsid w:val="00EA0FD3"/>
    <w:rsid w:val="00EA1303"/>
    <w:rsid w:val="00EA1485"/>
    <w:rsid w:val="00EA1870"/>
    <w:rsid w:val="00EA1980"/>
    <w:rsid w:val="00EA214E"/>
    <w:rsid w:val="00EA2E2B"/>
    <w:rsid w:val="00EA3D87"/>
    <w:rsid w:val="00EA4590"/>
    <w:rsid w:val="00EA4785"/>
    <w:rsid w:val="00EA5214"/>
    <w:rsid w:val="00EA5666"/>
    <w:rsid w:val="00EA5B1D"/>
    <w:rsid w:val="00EA5CA6"/>
    <w:rsid w:val="00EA601E"/>
    <w:rsid w:val="00EA6321"/>
    <w:rsid w:val="00EA706C"/>
    <w:rsid w:val="00EA7797"/>
    <w:rsid w:val="00EA793A"/>
    <w:rsid w:val="00EA7A89"/>
    <w:rsid w:val="00EA7C77"/>
    <w:rsid w:val="00EB0914"/>
    <w:rsid w:val="00EB09E5"/>
    <w:rsid w:val="00EB1051"/>
    <w:rsid w:val="00EB11BF"/>
    <w:rsid w:val="00EB15A1"/>
    <w:rsid w:val="00EB193A"/>
    <w:rsid w:val="00EB19D2"/>
    <w:rsid w:val="00EB1B15"/>
    <w:rsid w:val="00EB1F6A"/>
    <w:rsid w:val="00EB22A6"/>
    <w:rsid w:val="00EB2EFA"/>
    <w:rsid w:val="00EB35A3"/>
    <w:rsid w:val="00EB3614"/>
    <w:rsid w:val="00EB4528"/>
    <w:rsid w:val="00EB4532"/>
    <w:rsid w:val="00EB4762"/>
    <w:rsid w:val="00EB4BFD"/>
    <w:rsid w:val="00EB4F96"/>
    <w:rsid w:val="00EB520C"/>
    <w:rsid w:val="00EB5E24"/>
    <w:rsid w:val="00EB61FD"/>
    <w:rsid w:val="00EB621F"/>
    <w:rsid w:val="00EB63A3"/>
    <w:rsid w:val="00EB643A"/>
    <w:rsid w:val="00EB6C82"/>
    <w:rsid w:val="00EB7707"/>
    <w:rsid w:val="00EC0324"/>
    <w:rsid w:val="00EC06EC"/>
    <w:rsid w:val="00EC0B18"/>
    <w:rsid w:val="00EC0B6C"/>
    <w:rsid w:val="00EC1133"/>
    <w:rsid w:val="00EC1275"/>
    <w:rsid w:val="00EC14EB"/>
    <w:rsid w:val="00EC192B"/>
    <w:rsid w:val="00EC200D"/>
    <w:rsid w:val="00EC242D"/>
    <w:rsid w:val="00EC2966"/>
    <w:rsid w:val="00EC2D39"/>
    <w:rsid w:val="00EC3156"/>
    <w:rsid w:val="00EC321E"/>
    <w:rsid w:val="00EC3222"/>
    <w:rsid w:val="00EC3DC6"/>
    <w:rsid w:val="00EC3DFA"/>
    <w:rsid w:val="00EC3E65"/>
    <w:rsid w:val="00EC3ED7"/>
    <w:rsid w:val="00EC4FC1"/>
    <w:rsid w:val="00EC5199"/>
    <w:rsid w:val="00EC5314"/>
    <w:rsid w:val="00EC5751"/>
    <w:rsid w:val="00EC5B23"/>
    <w:rsid w:val="00EC6D57"/>
    <w:rsid w:val="00EC7056"/>
    <w:rsid w:val="00EC7350"/>
    <w:rsid w:val="00ED027E"/>
    <w:rsid w:val="00ED0521"/>
    <w:rsid w:val="00ED079C"/>
    <w:rsid w:val="00ED0820"/>
    <w:rsid w:val="00ED179E"/>
    <w:rsid w:val="00ED17B1"/>
    <w:rsid w:val="00ED19E3"/>
    <w:rsid w:val="00ED1C44"/>
    <w:rsid w:val="00ED1D00"/>
    <w:rsid w:val="00ED314B"/>
    <w:rsid w:val="00ED35D7"/>
    <w:rsid w:val="00ED3B00"/>
    <w:rsid w:val="00ED4174"/>
    <w:rsid w:val="00ED47EC"/>
    <w:rsid w:val="00ED4980"/>
    <w:rsid w:val="00ED5854"/>
    <w:rsid w:val="00ED58F6"/>
    <w:rsid w:val="00ED68BC"/>
    <w:rsid w:val="00ED6C3F"/>
    <w:rsid w:val="00ED7169"/>
    <w:rsid w:val="00ED7D01"/>
    <w:rsid w:val="00ED7D80"/>
    <w:rsid w:val="00ED7E3A"/>
    <w:rsid w:val="00EE00AA"/>
    <w:rsid w:val="00EE00F5"/>
    <w:rsid w:val="00EE0337"/>
    <w:rsid w:val="00EE0C6A"/>
    <w:rsid w:val="00EE1423"/>
    <w:rsid w:val="00EE2461"/>
    <w:rsid w:val="00EE2B1A"/>
    <w:rsid w:val="00EE2BA0"/>
    <w:rsid w:val="00EE3A72"/>
    <w:rsid w:val="00EE44E8"/>
    <w:rsid w:val="00EE45DF"/>
    <w:rsid w:val="00EE46D8"/>
    <w:rsid w:val="00EE4814"/>
    <w:rsid w:val="00EE496D"/>
    <w:rsid w:val="00EE49E0"/>
    <w:rsid w:val="00EE53BC"/>
    <w:rsid w:val="00EE56CF"/>
    <w:rsid w:val="00EE5D6F"/>
    <w:rsid w:val="00EE604B"/>
    <w:rsid w:val="00EE63E5"/>
    <w:rsid w:val="00EE70CC"/>
    <w:rsid w:val="00EE7497"/>
    <w:rsid w:val="00EE785B"/>
    <w:rsid w:val="00EE7CE9"/>
    <w:rsid w:val="00EF0699"/>
    <w:rsid w:val="00EF0A1B"/>
    <w:rsid w:val="00EF105A"/>
    <w:rsid w:val="00EF18CF"/>
    <w:rsid w:val="00EF26B2"/>
    <w:rsid w:val="00EF2B72"/>
    <w:rsid w:val="00EF2D6A"/>
    <w:rsid w:val="00EF3174"/>
    <w:rsid w:val="00EF3479"/>
    <w:rsid w:val="00EF3508"/>
    <w:rsid w:val="00EF3613"/>
    <w:rsid w:val="00EF38FD"/>
    <w:rsid w:val="00EF3A25"/>
    <w:rsid w:val="00EF3FC4"/>
    <w:rsid w:val="00EF4202"/>
    <w:rsid w:val="00EF4286"/>
    <w:rsid w:val="00EF4586"/>
    <w:rsid w:val="00EF4A0E"/>
    <w:rsid w:val="00EF4B08"/>
    <w:rsid w:val="00EF4D60"/>
    <w:rsid w:val="00EF5210"/>
    <w:rsid w:val="00EF695F"/>
    <w:rsid w:val="00EF7C5C"/>
    <w:rsid w:val="00F00BE1"/>
    <w:rsid w:val="00F00BE8"/>
    <w:rsid w:val="00F00E05"/>
    <w:rsid w:val="00F01516"/>
    <w:rsid w:val="00F01D02"/>
    <w:rsid w:val="00F01EC0"/>
    <w:rsid w:val="00F0243E"/>
    <w:rsid w:val="00F02494"/>
    <w:rsid w:val="00F038B6"/>
    <w:rsid w:val="00F041E6"/>
    <w:rsid w:val="00F04DA9"/>
    <w:rsid w:val="00F05352"/>
    <w:rsid w:val="00F053E9"/>
    <w:rsid w:val="00F055BC"/>
    <w:rsid w:val="00F05701"/>
    <w:rsid w:val="00F05730"/>
    <w:rsid w:val="00F05A14"/>
    <w:rsid w:val="00F0610A"/>
    <w:rsid w:val="00F06410"/>
    <w:rsid w:val="00F06A91"/>
    <w:rsid w:val="00F06ABB"/>
    <w:rsid w:val="00F07485"/>
    <w:rsid w:val="00F07E47"/>
    <w:rsid w:val="00F101A7"/>
    <w:rsid w:val="00F1075A"/>
    <w:rsid w:val="00F11143"/>
    <w:rsid w:val="00F11373"/>
    <w:rsid w:val="00F12026"/>
    <w:rsid w:val="00F1260E"/>
    <w:rsid w:val="00F126B2"/>
    <w:rsid w:val="00F1290C"/>
    <w:rsid w:val="00F12D06"/>
    <w:rsid w:val="00F13344"/>
    <w:rsid w:val="00F1357F"/>
    <w:rsid w:val="00F13994"/>
    <w:rsid w:val="00F139F5"/>
    <w:rsid w:val="00F13C58"/>
    <w:rsid w:val="00F14506"/>
    <w:rsid w:val="00F14A7F"/>
    <w:rsid w:val="00F14C7F"/>
    <w:rsid w:val="00F14CC2"/>
    <w:rsid w:val="00F15304"/>
    <w:rsid w:val="00F153BD"/>
    <w:rsid w:val="00F159C1"/>
    <w:rsid w:val="00F15A8B"/>
    <w:rsid w:val="00F163F0"/>
    <w:rsid w:val="00F169D6"/>
    <w:rsid w:val="00F17238"/>
    <w:rsid w:val="00F17BDD"/>
    <w:rsid w:val="00F17F62"/>
    <w:rsid w:val="00F204AE"/>
    <w:rsid w:val="00F20606"/>
    <w:rsid w:val="00F20B6C"/>
    <w:rsid w:val="00F20FB5"/>
    <w:rsid w:val="00F216C7"/>
    <w:rsid w:val="00F21992"/>
    <w:rsid w:val="00F219C1"/>
    <w:rsid w:val="00F21EC2"/>
    <w:rsid w:val="00F233F3"/>
    <w:rsid w:val="00F23585"/>
    <w:rsid w:val="00F2396D"/>
    <w:rsid w:val="00F23FC4"/>
    <w:rsid w:val="00F24831"/>
    <w:rsid w:val="00F2524A"/>
    <w:rsid w:val="00F253F5"/>
    <w:rsid w:val="00F25A16"/>
    <w:rsid w:val="00F25B6E"/>
    <w:rsid w:val="00F25E1B"/>
    <w:rsid w:val="00F25F74"/>
    <w:rsid w:val="00F2628B"/>
    <w:rsid w:val="00F26348"/>
    <w:rsid w:val="00F26B41"/>
    <w:rsid w:val="00F26DFC"/>
    <w:rsid w:val="00F278FE"/>
    <w:rsid w:val="00F27D16"/>
    <w:rsid w:val="00F306F1"/>
    <w:rsid w:val="00F31093"/>
    <w:rsid w:val="00F310B6"/>
    <w:rsid w:val="00F313D2"/>
    <w:rsid w:val="00F31C1D"/>
    <w:rsid w:val="00F31D73"/>
    <w:rsid w:val="00F327DC"/>
    <w:rsid w:val="00F32E73"/>
    <w:rsid w:val="00F3387C"/>
    <w:rsid w:val="00F34339"/>
    <w:rsid w:val="00F3494B"/>
    <w:rsid w:val="00F34D5C"/>
    <w:rsid w:val="00F354AC"/>
    <w:rsid w:val="00F3579E"/>
    <w:rsid w:val="00F36141"/>
    <w:rsid w:val="00F3645D"/>
    <w:rsid w:val="00F365A9"/>
    <w:rsid w:val="00F367DF"/>
    <w:rsid w:val="00F367EB"/>
    <w:rsid w:val="00F3704E"/>
    <w:rsid w:val="00F371B2"/>
    <w:rsid w:val="00F37927"/>
    <w:rsid w:val="00F40060"/>
    <w:rsid w:val="00F40948"/>
    <w:rsid w:val="00F4132E"/>
    <w:rsid w:val="00F414A7"/>
    <w:rsid w:val="00F42891"/>
    <w:rsid w:val="00F42979"/>
    <w:rsid w:val="00F42C3D"/>
    <w:rsid w:val="00F431C3"/>
    <w:rsid w:val="00F43E54"/>
    <w:rsid w:val="00F44097"/>
    <w:rsid w:val="00F44C55"/>
    <w:rsid w:val="00F44E34"/>
    <w:rsid w:val="00F44E35"/>
    <w:rsid w:val="00F44EC2"/>
    <w:rsid w:val="00F45AAB"/>
    <w:rsid w:val="00F47265"/>
    <w:rsid w:val="00F500C3"/>
    <w:rsid w:val="00F5099B"/>
    <w:rsid w:val="00F509F2"/>
    <w:rsid w:val="00F50F10"/>
    <w:rsid w:val="00F510A9"/>
    <w:rsid w:val="00F51286"/>
    <w:rsid w:val="00F51862"/>
    <w:rsid w:val="00F51D15"/>
    <w:rsid w:val="00F51E2A"/>
    <w:rsid w:val="00F52394"/>
    <w:rsid w:val="00F52814"/>
    <w:rsid w:val="00F528FE"/>
    <w:rsid w:val="00F52C2D"/>
    <w:rsid w:val="00F53453"/>
    <w:rsid w:val="00F53E3D"/>
    <w:rsid w:val="00F54774"/>
    <w:rsid w:val="00F54A63"/>
    <w:rsid w:val="00F54F4E"/>
    <w:rsid w:val="00F55109"/>
    <w:rsid w:val="00F55515"/>
    <w:rsid w:val="00F55DEA"/>
    <w:rsid w:val="00F55E5C"/>
    <w:rsid w:val="00F5677C"/>
    <w:rsid w:val="00F567F9"/>
    <w:rsid w:val="00F57949"/>
    <w:rsid w:val="00F57DC6"/>
    <w:rsid w:val="00F57EAB"/>
    <w:rsid w:val="00F60284"/>
    <w:rsid w:val="00F60285"/>
    <w:rsid w:val="00F60316"/>
    <w:rsid w:val="00F60813"/>
    <w:rsid w:val="00F608FD"/>
    <w:rsid w:val="00F60ECC"/>
    <w:rsid w:val="00F613E3"/>
    <w:rsid w:val="00F6167D"/>
    <w:rsid w:val="00F621F4"/>
    <w:rsid w:val="00F6393D"/>
    <w:rsid w:val="00F63A24"/>
    <w:rsid w:val="00F63F57"/>
    <w:rsid w:val="00F6505B"/>
    <w:rsid w:val="00F6528E"/>
    <w:rsid w:val="00F66AAA"/>
    <w:rsid w:val="00F67343"/>
    <w:rsid w:val="00F679EC"/>
    <w:rsid w:val="00F67DE6"/>
    <w:rsid w:val="00F67E61"/>
    <w:rsid w:val="00F67FE0"/>
    <w:rsid w:val="00F700DC"/>
    <w:rsid w:val="00F7094F"/>
    <w:rsid w:val="00F70970"/>
    <w:rsid w:val="00F70E52"/>
    <w:rsid w:val="00F7171E"/>
    <w:rsid w:val="00F718EF"/>
    <w:rsid w:val="00F721C5"/>
    <w:rsid w:val="00F72574"/>
    <w:rsid w:val="00F73FF6"/>
    <w:rsid w:val="00F740EF"/>
    <w:rsid w:val="00F745FD"/>
    <w:rsid w:val="00F74886"/>
    <w:rsid w:val="00F74B69"/>
    <w:rsid w:val="00F74B9B"/>
    <w:rsid w:val="00F74D1A"/>
    <w:rsid w:val="00F75506"/>
    <w:rsid w:val="00F759B5"/>
    <w:rsid w:val="00F75F29"/>
    <w:rsid w:val="00F75F99"/>
    <w:rsid w:val="00F75FF0"/>
    <w:rsid w:val="00F760E9"/>
    <w:rsid w:val="00F763E0"/>
    <w:rsid w:val="00F769AB"/>
    <w:rsid w:val="00F76F65"/>
    <w:rsid w:val="00F7752E"/>
    <w:rsid w:val="00F778DA"/>
    <w:rsid w:val="00F800E8"/>
    <w:rsid w:val="00F8064D"/>
    <w:rsid w:val="00F80934"/>
    <w:rsid w:val="00F80A6C"/>
    <w:rsid w:val="00F80B93"/>
    <w:rsid w:val="00F80D34"/>
    <w:rsid w:val="00F80F0B"/>
    <w:rsid w:val="00F81512"/>
    <w:rsid w:val="00F81F4B"/>
    <w:rsid w:val="00F81FD5"/>
    <w:rsid w:val="00F82238"/>
    <w:rsid w:val="00F82B4B"/>
    <w:rsid w:val="00F82B9D"/>
    <w:rsid w:val="00F82C48"/>
    <w:rsid w:val="00F82E1E"/>
    <w:rsid w:val="00F83388"/>
    <w:rsid w:val="00F834CC"/>
    <w:rsid w:val="00F83950"/>
    <w:rsid w:val="00F83D63"/>
    <w:rsid w:val="00F83DD9"/>
    <w:rsid w:val="00F842F2"/>
    <w:rsid w:val="00F84349"/>
    <w:rsid w:val="00F8471C"/>
    <w:rsid w:val="00F84B1F"/>
    <w:rsid w:val="00F84B75"/>
    <w:rsid w:val="00F85021"/>
    <w:rsid w:val="00F85081"/>
    <w:rsid w:val="00F85153"/>
    <w:rsid w:val="00F8546C"/>
    <w:rsid w:val="00F857A6"/>
    <w:rsid w:val="00F85B13"/>
    <w:rsid w:val="00F85C5C"/>
    <w:rsid w:val="00F86110"/>
    <w:rsid w:val="00F8643F"/>
    <w:rsid w:val="00F86B9D"/>
    <w:rsid w:val="00F86ED8"/>
    <w:rsid w:val="00F875E2"/>
    <w:rsid w:val="00F87A31"/>
    <w:rsid w:val="00F87C2B"/>
    <w:rsid w:val="00F907B2"/>
    <w:rsid w:val="00F90CA7"/>
    <w:rsid w:val="00F90D4B"/>
    <w:rsid w:val="00F90F63"/>
    <w:rsid w:val="00F90FC7"/>
    <w:rsid w:val="00F9169E"/>
    <w:rsid w:val="00F91732"/>
    <w:rsid w:val="00F924CA"/>
    <w:rsid w:val="00F92AD1"/>
    <w:rsid w:val="00F92FD5"/>
    <w:rsid w:val="00F9310D"/>
    <w:rsid w:val="00F93E47"/>
    <w:rsid w:val="00F942FC"/>
    <w:rsid w:val="00F94310"/>
    <w:rsid w:val="00F9440E"/>
    <w:rsid w:val="00F94D3D"/>
    <w:rsid w:val="00F94D6D"/>
    <w:rsid w:val="00F94D94"/>
    <w:rsid w:val="00F94E00"/>
    <w:rsid w:val="00F9520D"/>
    <w:rsid w:val="00F95802"/>
    <w:rsid w:val="00F9586D"/>
    <w:rsid w:val="00F95A9A"/>
    <w:rsid w:val="00F96787"/>
    <w:rsid w:val="00F967C3"/>
    <w:rsid w:val="00F96806"/>
    <w:rsid w:val="00F96F83"/>
    <w:rsid w:val="00F978F1"/>
    <w:rsid w:val="00F97E9A"/>
    <w:rsid w:val="00FA01AE"/>
    <w:rsid w:val="00FA032F"/>
    <w:rsid w:val="00FA056A"/>
    <w:rsid w:val="00FA08DE"/>
    <w:rsid w:val="00FA0C9A"/>
    <w:rsid w:val="00FA0DB7"/>
    <w:rsid w:val="00FA0E19"/>
    <w:rsid w:val="00FA1632"/>
    <w:rsid w:val="00FA1D2E"/>
    <w:rsid w:val="00FA21C0"/>
    <w:rsid w:val="00FA2638"/>
    <w:rsid w:val="00FA283B"/>
    <w:rsid w:val="00FA2C67"/>
    <w:rsid w:val="00FA2FF7"/>
    <w:rsid w:val="00FA3AC8"/>
    <w:rsid w:val="00FA4263"/>
    <w:rsid w:val="00FA4380"/>
    <w:rsid w:val="00FA4BA9"/>
    <w:rsid w:val="00FA5132"/>
    <w:rsid w:val="00FA5637"/>
    <w:rsid w:val="00FA61E1"/>
    <w:rsid w:val="00FA6691"/>
    <w:rsid w:val="00FA6F0E"/>
    <w:rsid w:val="00FA7358"/>
    <w:rsid w:val="00FA7BA9"/>
    <w:rsid w:val="00FA7CD0"/>
    <w:rsid w:val="00FB0030"/>
    <w:rsid w:val="00FB15D6"/>
    <w:rsid w:val="00FB1EC5"/>
    <w:rsid w:val="00FB2DFE"/>
    <w:rsid w:val="00FB2EED"/>
    <w:rsid w:val="00FB3990"/>
    <w:rsid w:val="00FB41DF"/>
    <w:rsid w:val="00FB4A37"/>
    <w:rsid w:val="00FB4D96"/>
    <w:rsid w:val="00FB698B"/>
    <w:rsid w:val="00FB69BD"/>
    <w:rsid w:val="00FB6BF2"/>
    <w:rsid w:val="00FB6C0E"/>
    <w:rsid w:val="00FB73F8"/>
    <w:rsid w:val="00FB76FA"/>
    <w:rsid w:val="00FB7E23"/>
    <w:rsid w:val="00FC06D5"/>
    <w:rsid w:val="00FC0ED6"/>
    <w:rsid w:val="00FC1178"/>
    <w:rsid w:val="00FC1316"/>
    <w:rsid w:val="00FC2048"/>
    <w:rsid w:val="00FC2086"/>
    <w:rsid w:val="00FC2554"/>
    <w:rsid w:val="00FC2944"/>
    <w:rsid w:val="00FC2D8B"/>
    <w:rsid w:val="00FC2FF5"/>
    <w:rsid w:val="00FC315C"/>
    <w:rsid w:val="00FC34AE"/>
    <w:rsid w:val="00FC3ECD"/>
    <w:rsid w:val="00FC3FB9"/>
    <w:rsid w:val="00FC4075"/>
    <w:rsid w:val="00FC6311"/>
    <w:rsid w:val="00FC6C71"/>
    <w:rsid w:val="00FC6F64"/>
    <w:rsid w:val="00FC7001"/>
    <w:rsid w:val="00FC723E"/>
    <w:rsid w:val="00FC72B4"/>
    <w:rsid w:val="00FC7381"/>
    <w:rsid w:val="00FC7462"/>
    <w:rsid w:val="00FD0330"/>
    <w:rsid w:val="00FD0994"/>
    <w:rsid w:val="00FD09D0"/>
    <w:rsid w:val="00FD13C0"/>
    <w:rsid w:val="00FD1676"/>
    <w:rsid w:val="00FD1AE7"/>
    <w:rsid w:val="00FD28FD"/>
    <w:rsid w:val="00FD2F0B"/>
    <w:rsid w:val="00FD3529"/>
    <w:rsid w:val="00FD3591"/>
    <w:rsid w:val="00FD45BB"/>
    <w:rsid w:val="00FD59F3"/>
    <w:rsid w:val="00FD5E8D"/>
    <w:rsid w:val="00FD5FAA"/>
    <w:rsid w:val="00FD6829"/>
    <w:rsid w:val="00FD6AAD"/>
    <w:rsid w:val="00FD7618"/>
    <w:rsid w:val="00FD77C8"/>
    <w:rsid w:val="00FD794F"/>
    <w:rsid w:val="00FD7993"/>
    <w:rsid w:val="00FE0360"/>
    <w:rsid w:val="00FE07AF"/>
    <w:rsid w:val="00FE0DDD"/>
    <w:rsid w:val="00FE22BE"/>
    <w:rsid w:val="00FE2782"/>
    <w:rsid w:val="00FE284F"/>
    <w:rsid w:val="00FE28DB"/>
    <w:rsid w:val="00FE2EF6"/>
    <w:rsid w:val="00FE3386"/>
    <w:rsid w:val="00FE38AB"/>
    <w:rsid w:val="00FE3A2E"/>
    <w:rsid w:val="00FE3A88"/>
    <w:rsid w:val="00FE3AA8"/>
    <w:rsid w:val="00FE3C7E"/>
    <w:rsid w:val="00FE4306"/>
    <w:rsid w:val="00FE5371"/>
    <w:rsid w:val="00FE6B0B"/>
    <w:rsid w:val="00FE713E"/>
    <w:rsid w:val="00FE772E"/>
    <w:rsid w:val="00FF0FE6"/>
    <w:rsid w:val="00FF1191"/>
    <w:rsid w:val="00FF1A44"/>
    <w:rsid w:val="00FF2670"/>
    <w:rsid w:val="00FF2A2E"/>
    <w:rsid w:val="00FF2A62"/>
    <w:rsid w:val="00FF365E"/>
    <w:rsid w:val="00FF3712"/>
    <w:rsid w:val="00FF453E"/>
    <w:rsid w:val="00FF4E18"/>
    <w:rsid w:val="00FF5741"/>
    <w:rsid w:val="00FF5D25"/>
    <w:rsid w:val="00FF5E3D"/>
    <w:rsid w:val="00FF5F75"/>
    <w:rsid w:val="00FF6AEF"/>
    <w:rsid w:val="01001B5E"/>
    <w:rsid w:val="01010607"/>
    <w:rsid w:val="01112A9B"/>
    <w:rsid w:val="0113674E"/>
    <w:rsid w:val="01212258"/>
    <w:rsid w:val="01360AA4"/>
    <w:rsid w:val="01455922"/>
    <w:rsid w:val="01663486"/>
    <w:rsid w:val="019112B2"/>
    <w:rsid w:val="019A2F49"/>
    <w:rsid w:val="01D4740C"/>
    <w:rsid w:val="01DD2DCB"/>
    <w:rsid w:val="01E20B17"/>
    <w:rsid w:val="020F0479"/>
    <w:rsid w:val="021076AC"/>
    <w:rsid w:val="0220781A"/>
    <w:rsid w:val="0283181D"/>
    <w:rsid w:val="028924A1"/>
    <w:rsid w:val="029B0405"/>
    <w:rsid w:val="02A60BF8"/>
    <w:rsid w:val="02B0310F"/>
    <w:rsid w:val="02F149FD"/>
    <w:rsid w:val="034B047A"/>
    <w:rsid w:val="036663CC"/>
    <w:rsid w:val="036A5013"/>
    <w:rsid w:val="03932B91"/>
    <w:rsid w:val="0395323F"/>
    <w:rsid w:val="03A33270"/>
    <w:rsid w:val="03CA5C6D"/>
    <w:rsid w:val="03CE16D3"/>
    <w:rsid w:val="03DC64C4"/>
    <w:rsid w:val="03E72B61"/>
    <w:rsid w:val="03FA480F"/>
    <w:rsid w:val="04762137"/>
    <w:rsid w:val="04770389"/>
    <w:rsid w:val="048D3E9E"/>
    <w:rsid w:val="0490144A"/>
    <w:rsid w:val="04BE5926"/>
    <w:rsid w:val="04C321D6"/>
    <w:rsid w:val="04D37589"/>
    <w:rsid w:val="04E72267"/>
    <w:rsid w:val="054A568F"/>
    <w:rsid w:val="054F59BE"/>
    <w:rsid w:val="05551D4C"/>
    <w:rsid w:val="057A17B3"/>
    <w:rsid w:val="05880374"/>
    <w:rsid w:val="05A30D71"/>
    <w:rsid w:val="05CA4074"/>
    <w:rsid w:val="05DD6427"/>
    <w:rsid w:val="06127ADF"/>
    <w:rsid w:val="062C2C12"/>
    <w:rsid w:val="066E57BB"/>
    <w:rsid w:val="06723DE6"/>
    <w:rsid w:val="06725B16"/>
    <w:rsid w:val="069C3840"/>
    <w:rsid w:val="06F60F00"/>
    <w:rsid w:val="073A0F90"/>
    <w:rsid w:val="076946A1"/>
    <w:rsid w:val="07820F4E"/>
    <w:rsid w:val="07872474"/>
    <w:rsid w:val="07D17DB0"/>
    <w:rsid w:val="07DD49A7"/>
    <w:rsid w:val="07F97602"/>
    <w:rsid w:val="07FC5502"/>
    <w:rsid w:val="081D0925"/>
    <w:rsid w:val="082A4737"/>
    <w:rsid w:val="085378CF"/>
    <w:rsid w:val="0871270B"/>
    <w:rsid w:val="08B063E8"/>
    <w:rsid w:val="09151346"/>
    <w:rsid w:val="098175B4"/>
    <w:rsid w:val="098A5DEB"/>
    <w:rsid w:val="09CD0A4B"/>
    <w:rsid w:val="09D96E9E"/>
    <w:rsid w:val="09F45FD8"/>
    <w:rsid w:val="09F71450"/>
    <w:rsid w:val="0A0D71C2"/>
    <w:rsid w:val="0A1C5B99"/>
    <w:rsid w:val="0A442EC0"/>
    <w:rsid w:val="0A5855F1"/>
    <w:rsid w:val="0A692EE2"/>
    <w:rsid w:val="0AA73804"/>
    <w:rsid w:val="0AB9572B"/>
    <w:rsid w:val="0ABF3F39"/>
    <w:rsid w:val="0AD94081"/>
    <w:rsid w:val="0AEC54C8"/>
    <w:rsid w:val="0B2C3772"/>
    <w:rsid w:val="0B6D3E49"/>
    <w:rsid w:val="0B7D76BA"/>
    <w:rsid w:val="0B907F82"/>
    <w:rsid w:val="0BF94792"/>
    <w:rsid w:val="0C2E2DED"/>
    <w:rsid w:val="0D1F103B"/>
    <w:rsid w:val="0D425EC2"/>
    <w:rsid w:val="0D660F9A"/>
    <w:rsid w:val="0D8D6748"/>
    <w:rsid w:val="0D930F40"/>
    <w:rsid w:val="0DC161D1"/>
    <w:rsid w:val="0E1E7A31"/>
    <w:rsid w:val="0E2F472E"/>
    <w:rsid w:val="0E571C6D"/>
    <w:rsid w:val="0E5D72B9"/>
    <w:rsid w:val="0E79335D"/>
    <w:rsid w:val="0E9826A4"/>
    <w:rsid w:val="0EA872EE"/>
    <w:rsid w:val="0EBD108E"/>
    <w:rsid w:val="0F3753B8"/>
    <w:rsid w:val="0F3A38DE"/>
    <w:rsid w:val="0F3C1CFE"/>
    <w:rsid w:val="0F3C46D9"/>
    <w:rsid w:val="0F9954C0"/>
    <w:rsid w:val="0FAC570B"/>
    <w:rsid w:val="0FF14842"/>
    <w:rsid w:val="101A5F54"/>
    <w:rsid w:val="10414594"/>
    <w:rsid w:val="10482BD9"/>
    <w:rsid w:val="10507A21"/>
    <w:rsid w:val="105434CA"/>
    <w:rsid w:val="10601AFB"/>
    <w:rsid w:val="107B403C"/>
    <w:rsid w:val="10945E1E"/>
    <w:rsid w:val="10B02C85"/>
    <w:rsid w:val="10DC5DE1"/>
    <w:rsid w:val="10EC390B"/>
    <w:rsid w:val="111F4DAC"/>
    <w:rsid w:val="115F3764"/>
    <w:rsid w:val="11893A7C"/>
    <w:rsid w:val="119B2FE4"/>
    <w:rsid w:val="11BA18B5"/>
    <w:rsid w:val="11C526FC"/>
    <w:rsid w:val="11DB182B"/>
    <w:rsid w:val="11EB4368"/>
    <w:rsid w:val="11F9582E"/>
    <w:rsid w:val="120945EA"/>
    <w:rsid w:val="124F7D0D"/>
    <w:rsid w:val="12677945"/>
    <w:rsid w:val="12724E17"/>
    <w:rsid w:val="12887A46"/>
    <w:rsid w:val="128F22DB"/>
    <w:rsid w:val="12F2507E"/>
    <w:rsid w:val="12F53F78"/>
    <w:rsid w:val="12FE2007"/>
    <w:rsid w:val="13057541"/>
    <w:rsid w:val="131D182F"/>
    <w:rsid w:val="1330077F"/>
    <w:rsid w:val="13683279"/>
    <w:rsid w:val="136C3083"/>
    <w:rsid w:val="13706113"/>
    <w:rsid w:val="1375028B"/>
    <w:rsid w:val="13781B6C"/>
    <w:rsid w:val="1391489A"/>
    <w:rsid w:val="139363A6"/>
    <w:rsid w:val="13A17A3B"/>
    <w:rsid w:val="13C457DA"/>
    <w:rsid w:val="13C74C5C"/>
    <w:rsid w:val="13E86CE9"/>
    <w:rsid w:val="140C79FD"/>
    <w:rsid w:val="14180C98"/>
    <w:rsid w:val="141A4082"/>
    <w:rsid w:val="146070FB"/>
    <w:rsid w:val="147954B1"/>
    <w:rsid w:val="14D024AB"/>
    <w:rsid w:val="14FC0298"/>
    <w:rsid w:val="153E24B0"/>
    <w:rsid w:val="15694E32"/>
    <w:rsid w:val="159368C7"/>
    <w:rsid w:val="15972C1C"/>
    <w:rsid w:val="15A24381"/>
    <w:rsid w:val="15AD6FD1"/>
    <w:rsid w:val="15CC37AD"/>
    <w:rsid w:val="160B0BE1"/>
    <w:rsid w:val="165A6944"/>
    <w:rsid w:val="165C7571"/>
    <w:rsid w:val="16800B62"/>
    <w:rsid w:val="16BA30C6"/>
    <w:rsid w:val="16C136E5"/>
    <w:rsid w:val="16C26C49"/>
    <w:rsid w:val="16C805D0"/>
    <w:rsid w:val="17047D1B"/>
    <w:rsid w:val="170D0422"/>
    <w:rsid w:val="17141EB2"/>
    <w:rsid w:val="174048C3"/>
    <w:rsid w:val="177B0B4D"/>
    <w:rsid w:val="17885FB1"/>
    <w:rsid w:val="17C57C22"/>
    <w:rsid w:val="17F16E39"/>
    <w:rsid w:val="180917D6"/>
    <w:rsid w:val="180C273E"/>
    <w:rsid w:val="183C1F29"/>
    <w:rsid w:val="1844012A"/>
    <w:rsid w:val="185145F5"/>
    <w:rsid w:val="18995DAD"/>
    <w:rsid w:val="18C66D91"/>
    <w:rsid w:val="19037448"/>
    <w:rsid w:val="191842B8"/>
    <w:rsid w:val="193E32CB"/>
    <w:rsid w:val="194060C5"/>
    <w:rsid w:val="19642F00"/>
    <w:rsid w:val="19720CC7"/>
    <w:rsid w:val="199C5D44"/>
    <w:rsid w:val="19A80893"/>
    <w:rsid w:val="19E0719E"/>
    <w:rsid w:val="19F3005A"/>
    <w:rsid w:val="1A185A13"/>
    <w:rsid w:val="1A336735"/>
    <w:rsid w:val="1A922E6F"/>
    <w:rsid w:val="1AA135C1"/>
    <w:rsid w:val="1AB031B9"/>
    <w:rsid w:val="1AB639D2"/>
    <w:rsid w:val="1AB73CF9"/>
    <w:rsid w:val="1B023ABA"/>
    <w:rsid w:val="1B0F636C"/>
    <w:rsid w:val="1B3E2D44"/>
    <w:rsid w:val="1B661349"/>
    <w:rsid w:val="1B6C00C4"/>
    <w:rsid w:val="1B7B757C"/>
    <w:rsid w:val="1B937848"/>
    <w:rsid w:val="1B9717CD"/>
    <w:rsid w:val="1BCF2EAD"/>
    <w:rsid w:val="1BF72137"/>
    <w:rsid w:val="1C131E1B"/>
    <w:rsid w:val="1C316C17"/>
    <w:rsid w:val="1C6E50DA"/>
    <w:rsid w:val="1C716FE3"/>
    <w:rsid w:val="1C977901"/>
    <w:rsid w:val="1CAC17BC"/>
    <w:rsid w:val="1CB866C9"/>
    <w:rsid w:val="1CDE6253"/>
    <w:rsid w:val="1CF546AA"/>
    <w:rsid w:val="1D32457C"/>
    <w:rsid w:val="1D3C213F"/>
    <w:rsid w:val="1D5921C0"/>
    <w:rsid w:val="1D9C5A80"/>
    <w:rsid w:val="1DA84EDF"/>
    <w:rsid w:val="1DC86404"/>
    <w:rsid w:val="1DE17B70"/>
    <w:rsid w:val="1DE23ACD"/>
    <w:rsid w:val="1DFE701D"/>
    <w:rsid w:val="1E3A468D"/>
    <w:rsid w:val="1E605592"/>
    <w:rsid w:val="1E6F1C17"/>
    <w:rsid w:val="1E8665C6"/>
    <w:rsid w:val="1E8B0D05"/>
    <w:rsid w:val="1E8B2680"/>
    <w:rsid w:val="1ED053E2"/>
    <w:rsid w:val="1EEC3E2D"/>
    <w:rsid w:val="1EFC68B3"/>
    <w:rsid w:val="1F354999"/>
    <w:rsid w:val="1F3D58D3"/>
    <w:rsid w:val="1F446C62"/>
    <w:rsid w:val="1F49071C"/>
    <w:rsid w:val="1F4C5B16"/>
    <w:rsid w:val="1F7D6895"/>
    <w:rsid w:val="1F7F6D28"/>
    <w:rsid w:val="1F971355"/>
    <w:rsid w:val="1FDE0409"/>
    <w:rsid w:val="1FDE4F62"/>
    <w:rsid w:val="1FE303D9"/>
    <w:rsid w:val="1FE36310"/>
    <w:rsid w:val="200F54C2"/>
    <w:rsid w:val="205B705D"/>
    <w:rsid w:val="20A17669"/>
    <w:rsid w:val="20AD3FE0"/>
    <w:rsid w:val="20C242E2"/>
    <w:rsid w:val="21304119"/>
    <w:rsid w:val="215740E9"/>
    <w:rsid w:val="215C629E"/>
    <w:rsid w:val="21765636"/>
    <w:rsid w:val="21766559"/>
    <w:rsid w:val="217756EA"/>
    <w:rsid w:val="218B1194"/>
    <w:rsid w:val="218C669E"/>
    <w:rsid w:val="21B40D93"/>
    <w:rsid w:val="21D267A7"/>
    <w:rsid w:val="21EF6455"/>
    <w:rsid w:val="21FF50C2"/>
    <w:rsid w:val="22490FC0"/>
    <w:rsid w:val="22536014"/>
    <w:rsid w:val="225E4D3B"/>
    <w:rsid w:val="228331A2"/>
    <w:rsid w:val="22911E7E"/>
    <w:rsid w:val="23225C2D"/>
    <w:rsid w:val="232549E3"/>
    <w:rsid w:val="23294AEC"/>
    <w:rsid w:val="2330414C"/>
    <w:rsid w:val="23305E7B"/>
    <w:rsid w:val="233A0AA7"/>
    <w:rsid w:val="23517128"/>
    <w:rsid w:val="23696A18"/>
    <w:rsid w:val="23751D87"/>
    <w:rsid w:val="237E09EC"/>
    <w:rsid w:val="23DD4521"/>
    <w:rsid w:val="24104432"/>
    <w:rsid w:val="2442577A"/>
    <w:rsid w:val="24464791"/>
    <w:rsid w:val="24495294"/>
    <w:rsid w:val="245316F1"/>
    <w:rsid w:val="24563ED6"/>
    <w:rsid w:val="246A3562"/>
    <w:rsid w:val="24741A6B"/>
    <w:rsid w:val="248144B4"/>
    <w:rsid w:val="24CC1BD3"/>
    <w:rsid w:val="24D629E1"/>
    <w:rsid w:val="24DE201C"/>
    <w:rsid w:val="250043E5"/>
    <w:rsid w:val="255D06FD"/>
    <w:rsid w:val="25641C62"/>
    <w:rsid w:val="25961478"/>
    <w:rsid w:val="25A55F80"/>
    <w:rsid w:val="25C867AA"/>
    <w:rsid w:val="25C94F55"/>
    <w:rsid w:val="25D41A92"/>
    <w:rsid w:val="25DC0326"/>
    <w:rsid w:val="25DC5C46"/>
    <w:rsid w:val="25DC5E46"/>
    <w:rsid w:val="25E01103"/>
    <w:rsid w:val="25E9303A"/>
    <w:rsid w:val="26027740"/>
    <w:rsid w:val="26C37006"/>
    <w:rsid w:val="27112449"/>
    <w:rsid w:val="27295F8F"/>
    <w:rsid w:val="27427611"/>
    <w:rsid w:val="2754432B"/>
    <w:rsid w:val="27613721"/>
    <w:rsid w:val="27616FE8"/>
    <w:rsid w:val="276F2332"/>
    <w:rsid w:val="277A0B13"/>
    <w:rsid w:val="277C48A6"/>
    <w:rsid w:val="279C55DC"/>
    <w:rsid w:val="27A96056"/>
    <w:rsid w:val="27AB2EB7"/>
    <w:rsid w:val="27D0143A"/>
    <w:rsid w:val="27D96FBF"/>
    <w:rsid w:val="27DD29E1"/>
    <w:rsid w:val="280A6865"/>
    <w:rsid w:val="2856480F"/>
    <w:rsid w:val="28773A53"/>
    <w:rsid w:val="28A43E8F"/>
    <w:rsid w:val="28DB0637"/>
    <w:rsid w:val="28E67DE3"/>
    <w:rsid w:val="28F93369"/>
    <w:rsid w:val="28FE115D"/>
    <w:rsid w:val="29351C47"/>
    <w:rsid w:val="29476B23"/>
    <w:rsid w:val="295D66B7"/>
    <w:rsid w:val="296028EA"/>
    <w:rsid w:val="29872949"/>
    <w:rsid w:val="29C00059"/>
    <w:rsid w:val="2A014B03"/>
    <w:rsid w:val="2A6C67AF"/>
    <w:rsid w:val="2AB427D3"/>
    <w:rsid w:val="2B2112AC"/>
    <w:rsid w:val="2B3952D3"/>
    <w:rsid w:val="2B4E12D4"/>
    <w:rsid w:val="2B711800"/>
    <w:rsid w:val="2B844FB6"/>
    <w:rsid w:val="2B8613CE"/>
    <w:rsid w:val="2B8B450B"/>
    <w:rsid w:val="2B93397B"/>
    <w:rsid w:val="2BCC4DEC"/>
    <w:rsid w:val="2BD602CF"/>
    <w:rsid w:val="2BE75CB0"/>
    <w:rsid w:val="2BF9682C"/>
    <w:rsid w:val="2BFB5050"/>
    <w:rsid w:val="2C161FAD"/>
    <w:rsid w:val="2C21465F"/>
    <w:rsid w:val="2C734A42"/>
    <w:rsid w:val="2CAA29F5"/>
    <w:rsid w:val="2CCF146F"/>
    <w:rsid w:val="2CE33FB0"/>
    <w:rsid w:val="2D1E6C9B"/>
    <w:rsid w:val="2D5205CB"/>
    <w:rsid w:val="2D60110A"/>
    <w:rsid w:val="2D780A32"/>
    <w:rsid w:val="2D9F1634"/>
    <w:rsid w:val="2DBD465D"/>
    <w:rsid w:val="2DF340A7"/>
    <w:rsid w:val="2E022C11"/>
    <w:rsid w:val="2E0927F6"/>
    <w:rsid w:val="2E183D2E"/>
    <w:rsid w:val="2E5A1FFE"/>
    <w:rsid w:val="2E7A26A0"/>
    <w:rsid w:val="2EA74B17"/>
    <w:rsid w:val="2EB26EB4"/>
    <w:rsid w:val="2EBD258D"/>
    <w:rsid w:val="2F0D7070"/>
    <w:rsid w:val="2F2625FC"/>
    <w:rsid w:val="2F6E2F66"/>
    <w:rsid w:val="2F7B66D0"/>
    <w:rsid w:val="2F7E6257"/>
    <w:rsid w:val="2F8E62CA"/>
    <w:rsid w:val="2FA44DCF"/>
    <w:rsid w:val="2FA63021"/>
    <w:rsid w:val="2FAF0127"/>
    <w:rsid w:val="2FD05A34"/>
    <w:rsid w:val="2FD80C3D"/>
    <w:rsid w:val="2FF16992"/>
    <w:rsid w:val="30543982"/>
    <w:rsid w:val="30CB2D3F"/>
    <w:rsid w:val="30DA21A4"/>
    <w:rsid w:val="30F7503F"/>
    <w:rsid w:val="30FF1732"/>
    <w:rsid w:val="313E7A55"/>
    <w:rsid w:val="31413D8C"/>
    <w:rsid w:val="31A16302"/>
    <w:rsid w:val="31A779A4"/>
    <w:rsid w:val="31BA4E3B"/>
    <w:rsid w:val="31BB65E3"/>
    <w:rsid w:val="31D30000"/>
    <w:rsid w:val="31ED3D5E"/>
    <w:rsid w:val="31F40342"/>
    <w:rsid w:val="31FF098C"/>
    <w:rsid w:val="322A699C"/>
    <w:rsid w:val="32316859"/>
    <w:rsid w:val="32491C1C"/>
    <w:rsid w:val="32500091"/>
    <w:rsid w:val="327C1B4B"/>
    <w:rsid w:val="3293788C"/>
    <w:rsid w:val="32A61AD2"/>
    <w:rsid w:val="33080BAD"/>
    <w:rsid w:val="330C227B"/>
    <w:rsid w:val="332435CC"/>
    <w:rsid w:val="333D6022"/>
    <w:rsid w:val="33576347"/>
    <w:rsid w:val="33593CD5"/>
    <w:rsid w:val="338659A2"/>
    <w:rsid w:val="3392223A"/>
    <w:rsid w:val="33BF0BD0"/>
    <w:rsid w:val="33DE547F"/>
    <w:rsid w:val="33E24F83"/>
    <w:rsid w:val="341A7754"/>
    <w:rsid w:val="3422555A"/>
    <w:rsid w:val="34425A0E"/>
    <w:rsid w:val="344763A4"/>
    <w:rsid w:val="34791C2A"/>
    <w:rsid w:val="347B0F20"/>
    <w:rsid w:val="34897ED7"/>
    <w:rsid w:val="34BC4238"/>
    <w:rsid w:val="34CC3529"/>
    <w:rsid w:val="34CE3C78"/>
    <w:rsid w:val="34DC47D5"/>
    <w:rsid w:val="34FF6B04"/>
    <w:rsid w:val="35217D46"/>
    <w:rsid w:val="353C563E"/>
    <w:rsid w:val="355732FA"/>
    <w:rsid w:val="35831E3A"/>
    <w:rsid w:val="35A92C44"/>
    <w:rsid w:val="35CF48B1"/>
    <w:rsid w:val="35EC556F"/>
    <w:rsid w:val="35EE4FC9"/>
    <w:rsid w:val="361B6516"/>
    <w:rsid w:val="3620540F"/>
    <w:rsid w:val="36293956"/>
    <w:rsid w:val="364616DD"/>
    <w:rsid w:val="36C95F72"/>
    <w:rsid w:val="36FC6F79"/>
    <w:rsid w:val="371B60A2"/>
    <w:rsid w:val="371C4CE5"/>
    <w:rsid w:val="37332395"/>
    <w:rsid w:val="373819ED"/>
    <w:rsid w:val="373F1A6D"/>
    <w:rsid w:val="379A009A"/>
    <w:rsid w:val="37A75B88"/>
    <w:rsid w:val="37C242B9"/>
    <w:rsid w:val="37F60FE9"/>
    <w:rsid w:val="37F765DB"/>
    <w:rsid w:val="3809239F"/>
    <w:rsid w:val="3811387B"/>
    <w:rsid w:val="389C322B"/>
    <w:rsid w:val="38CD0662"/>
    <w:rsid w:val="38E56968"/>
    <w:rsid w:val="38EB388C"/>
    <w:rsid w:val="395137E4"/>
    <w:rsid w:val="395F4180"/>
    <w:rsid w:val="399657E9"/>
    <w:rsid w:val="39992C2C"/>
    <w:rsid w:val="39C026EF"/>
    <w:rsid w:val="39D21DAC"/>
    <w:rsid w:val="39D972DA"/>
    <w:rsid w:val="39E95BF4"/>
    <w:rsid w:val="3A000E7A"/>
    <w:rsid w:val="3A091644"/>
    <w:rsid w:val="3A1404C7"/>
    <w:rsid w:val="3A1515BC"/>
    <w:rsid w:val="3A163157"/>
    <w:rsid w:val="3A792D4D"/>
    <w:rsid w:val="3A8558B0"/>
    <w:rsid w:val="3AE31FD5"/>
    <w:rsid w:val="3AE80CE6"/>
    <w:rsid w:val="3B405F2E"/>
    <w:rsid w:val="3B6279AA"/>
    <w:rsid w:val="3B6947BA"/>
    <w:rsid w:val="3B8D78C3"/>
    <w:rsid w:val="3BA80B64"/>
    <w:rsid w:val="3BDB1162"/>
    <w:rsid w:val="3BE253E0"/>
    <w:rsid w:val="3C067321"/>
    <w:rsid w:val="3C1E1DDD"/>
    <w:rsid w:val="3C59525F"/>
    <w:rsid w:val="3C7C7818"/>
    <w:rsid w:val="3CC503C4"/>
    <w:rsid w:val="3CF74EBC"/>
    <w:rsid w:val="3CFA4640"/>
    <w:rsid w:val="3D0A72E5"/>
    <w:rsid w:val="3D164601"/>
    <w:rsid w:val="3D1646DA"/>
    <w:rsid w:val="3D2F7968"/>
    <w:rsid w:val="3D450C04"/>
    <w:rsid w:val="3D6C1E8C"/>
    <w:rsid w:val="3D981A3A"/>
    <w:rsid w:val="3DB7687C"/>
    <w:rsid w:val="3DD37190"/>
    <w:rsid w:val="3E157370"/>
    <w:rsid w:val="3E2E1242"/>
    <w:rsid w:val="3E6C531C"/>
    <w:rsid w:val="3E9C323A"/>
    <w:rsid w:val="3EA3354D"/>
    <w:rsid w:val="3EA62C17"/>
    <w:rsid w:val="3EC11C25"/>
    <w:rsid w:val="3EED6DE0"/>
    <w:rsid w:val="3EFD0EAF"/>
    <w:rsid w:val="3F022566"/>
    <w:rsid w:val="3F040AF2"/>
    <w:rsid w:val="3F0F2E5A"/>
    <w:rsid w:val="3F4563B2"/>
    <w:rsid w:val="3FC7583E"/>
    <w:rsid w:val="3FF2575C"/>
    <w:rsid w:val="3FFF7307"/>
    <w:rsid w:val="4084028E"/>
    <w:rsid w:val="40A4535A"/>
    <w:rsid w:val="40C8091D"/>
    <w:rsid w:val="40E618A1"/>
    <w:rsid w:val="40EB2F11"/>
    <w:rsid w:val="413E130B"/>
    <w:rsid w:val="414C3A28"/>
    <w:rsid w:val="41555E30"/>
    <w:rsid w:val="41575D4F"/>
    <w:rsid w:val="4160642C"/>
    <w:rsid w:val="41C31810"/>
    <w:rsid w:val="41FD4D22"/>
    <w:rsid w:val="421003D6"/>
    <w:rsid w:val="421516F9"/>
    <w:rsid w:val="423979BD"/>
    <w:rsid w:val="42747399"/>
    <w:rsid w:val="42A46864"/>
    <w:rsid w:val="42B42802"/>
    <w:rsid w:val="42BB2659"/>
    <w:rsid w:val="42BD274A"/>
    <w:rsid w:val="42C1083D"/>
    <w:rsid w:val="42D74C91"/>
    <w:rsid w:val="42F97BDF"/>
    <w:rsid w:val="430E47FE"/>
    <w:rsid w:val="431F7754"/>
    <w:rsid w:val="43617533"/>
    <w:rsid w:val="43745919"/>
    <w:rsid w:val="437D686E"/>
    <w:rsid w:val="439B47F3"/>
    <w:rsid w:val="43B311DC"/>
    <w:rsid w:val="440075BE"/>
    <w:rsid w:val="441D4F01"/>
    <w:rsid w:val="441F032B"/>
    <w:rsid w:val="441F0CF6"/>
    <w:rsid w:val="444F5DD0"/>
    <w:rsid w:val="4467501D"/>
    <w:rsid w:val="44990B6A"/>
    <w:rsid w:val="44A16FA5"/>
    <w:rsid w:val="44AC677D"/>
    <w:rsid w:val="44CC1A80"/>
    <w:rsid w:val="44F23AAE"/>
    <w:rsid w:val="45D147FE"/>
    <w:rsid w:val="45D459C7"/>
    <w:rsid w:val="45E5269D"/>
    <w:rsid w:val="45EB3AB0"/>
    <w:rsid w:val="46644363"/>
    <w:rsid w:val="46687FAF"/>
    <w:rsid w:val="467C6146"/>
    <w:rsid w:val="4683280F"/>
    <w:rsid w:val="468A1F3C"/>
    <w:rsid w:val="469F55BC"/>
    <w:rsid w:val="46A211E8"/>
    <w:rsid w:val="46B07EC9"/>
    <w:rsid w:val="46B937F2"/>
    <w:rsid w:val="46BC4AD9"/>
    <w:rsid w:val="46C7745F"/>
    <w:rsid w:val="46DF70EC"/>
    <w:rsid w:val="47170634"/>
    <w:rsid w:val="47370A0E"/>
    <w:rsid w:val="47387FAB"/>
    <w:rsid w:val="478C769B"/>
    <w:rsid w:val="47AA7A75"/>
    <w:rsid w:val="47B35D41"/>
    <w:rsid w:val="47C50090"/>
    <w:rsid w:val="47D00488"/>
    <w:rsid w:val="47D06C50"/>
    <w:rsid w:val="47D32551"/>
    <w:rsid w:val="47D66741"/>
    <w:rsid w:val="47D67E67"/>
    <w:rsid w:val="47D70B06"/>
    <w:rsid w:val="48013092"/>
    <w:rsid w:val="48192BC8"/>
    <w:rsid w:val="48493247"/>
    <w:rsid w:val="48561666"/>
    <w:rsid w:val="489A18B1"/>
    <w:rsid w:val="48A21586"/>
    <w:rsid w:val="48C80815"/>
    <w:rsid w:val="48FA3C9B"/>
    <w:rsid w:val="49405E7D"/>
    <w:rsid w:val="4943158F"/>
    <w:rsid w:val="498952C4"/>
    <w:rsid w:val="498B6137"/>
    <w:rsid w:val="49AD5280"/>
    <w:rsid w:val="49C57D0C"/>
    <w:rsid w:val="49CA04F4"/>
    <w:rsid w:val="49CE709F"/>
    <w:rsid w:val="4A0368E5"/>
    <w:rsid w:val="4A074CCD"/>
    <w:rsid w:val="4A4821AE"/>
    <w:rsid w:val="4A6D51CD"/>
    <w:rsid w:val="4A79689E"/>
    <w:rsid w:val="4AAB6812"/>
    <w:rsid w:val="4ABC4D1F"/>
    <w:rsid w:val="4AE7064E"/>
    <w:rsid w:val="4B683B54"/>
    <w:rsid w:val="4B747A79"/>
    <w:rsid w:val="4B881658"/>
    <w:rsid w:val="4B8B3770"/>
    <w:rsid w:val="4BBA0128"/>
    <w:rsid w:val="4BBC54E4"/>
    <w:rsid w:val="4BBD4467"/>
    <w:rsid w:val="4BCC5633"/>
    <w:rsid w:val="4BEA3706"/>
    <w:rsid w:val="4C083922"/>
    <w:rsid w:val="4C2627E3"/>
    <w:rsid w:val="4C470C51"/>
    <w:rsid w:val="4C7C6D3B"/>
    <w:rsid w:val="4C975D45"/>
    <w:rsid w:val="4CA12DFA"/>
    <w:rsid w:val="4CAF1013"/>
    <w:rsid w:val="4CC065F7"/>
    <w:rsid w:val="4CCD4132"/>
    <w:rsid w:val="4CE11FE2"/>
    <w:rsid w:val="4CE465FB"/>
    <w:rsid w:val="4CEA5F52"/>
    <w:rsid w:val="4D1675E0"/>
    <w:rsid w:val="4D330192"/>
    <w:rsid w:val="4D4B2632"/>
    <w:rsid w:val="4D7F0E8B"/>
    <w:rsid w:val="4DD74667"/>
    <w:rsid w:val="4DE45470"/>
    <w:rsid w:val="4DE9188C"/>
    <w:rsid w:val="4DF420F5"/>
    <w:rsid w:val="4DFC4629"/>
    <w:rsid w:val="4E067654"/>
    <w:rsid w:val="4E115089"/>
    <w:rsid w:val="4E123CC1"/>
    <w:rsid w:val="4E12787D"/>
    <w:rsid w:val="4E18105F"/>
    <w:rsid w:val="4E365592"/>
    <w:rsid w:val="4E7C3473"/>
    <w:rsid w:val="4E8B2414"/>
    <w:rsid w:val="4E98249A"/>
    <w:rsid w:val="4E9E6450"/>
    <w:rsid w:val="4F085562"/>
    <w:rsid w:val="4F090D0B"/>
    <w:rsid w:val="4F0A4F22"/>
    <w:rsid w:val="4F0C3D0D"/>
    <w:rsid w:val="50294B08"/>
    <w:rsid w:val="50722057"/>
    <w:rsid w:val="509131C9"/>
    <w:rsid w:val="509147F5"/>
    <w:rsid w:val="50937C35"/>
    <w:rsid w:val="50C302C0"/>
    <w:rsid w:val="50C5215D"/>
    <w:rsid w:val="50CF3D2E"/>
    <w:rsid w:val="50E02ECD"/>
    <w:rsid w:val="50FB2D75"/>
    <w:rsid w:val="5135165B"/>
    <w:rsid w:val="51501312"/>
    <w:rsid w:val="51543E48"/>
    <w:rsid w:val="517839BA"/>
    <w:rsid w:val="518A729F"/>
    <w:rsid w:val="518E5247"/>
    <w:rsid w:val="51BD0514"/>
    <w:rsid w:val="51E1492A"/>
    <w:rsid w:val="51E4278A"/>
    <w:rsid w:val="520547D0"/>
    <w:rsid w:val="52134AB1"/>
    <w:rsid w:val="527954F7"/>
    <w:rsid w:val="528B5C2F"/>
    <w:rsid w:val="52BB2F23"/>
    <w:rsid w:val="52C524B3"/>
    <w:rsid w:val="52E16E5F"/>
    <w:rsid w:val="52E2243E"/>
    <w:rsid w:val="531A1B78"/>
    <w:rsid w:val="531C5D16"/>
    <w:rsid w:val="533802B0"/>
    <w:rsid w:val="53B65415"/>
    <w:rsid w:val="53BF3294"/>
    <w:rsid w:val="53C2552D"/>
    <w:rsid w:val="53E27B85"/>
    <w:rsid w:val="53EC2585"/>
    <w:rsid w:val="53EC4BF7"/>
    <w:rsid w:val="54430747"/>
    <w:rsid w:val="546C18AF"/>
    <w:rsid w:val="547253BA"/>
    <w:rsid w:val="548821EA"/>
    <w:rsid w:val="54C2404B"/>
    <w:rsid w:val="54D24FAB"/>
    <w:rsid w:val="54FF12D2"/>
    <w:rsid w:val="550930A5"/>
    <w:rsid w:val="553214A9"/>
    <w:rsid w:val="5535135C"/>
    <w:rsid w:val="55425416"/>
    <w:rsid w:val="554A610B"/>
    <w:rsid w:val="5557126F"/>
    <w:rsid w:val="55646706"/>
    <w:rsid w:val="556A6DCD"/>
    <w:rsid w:val="557B742B"/>
    <w:rsid w:val="558C7B36"/>
    <w:rsid w:val="55AC0AE1"/>
    <w:rsid w:val="55BA5191"/>
    <w:rsid w:val="55D541F7"/>
    <w:rsid w:val="55F476B1"/>
    <w:rsid w:val="55F8477A"/>
    <w:rsid w:val="55FE3557"/>
    <w:rsid w:val="56270B6B"/>
    <w:rsid w:val="566A01C8"/>
    <w:rsid w:val="567A0E49"/>
    <w:rsid w:val="569D042A"/>
    <w:rsid w:val="56B0057F"/>
    <w:rsid w:val="56EA5A26"/>
    <w:rsid w:val="570D7061"/>
    <w:rsid w:val="570E0839"/>
    <w:rsid w:val="57150E92"/>
    <w:rsid w:val="571C5DB6"/>
    <w:rsid w:val="5751600B"/>
    <w:rsid w:val="5762547E"/>
    <w:rsid w:val="578E5521"/>
    <w:rsid w:val="57F0777E"/>
    <w:rsid w:val="58806F78"/>
    <w:rsid w:val="588A7AC9"/>
    <w:rsid w:val="58D740C7"/>
    <w:rsid w:val="58DD1742"/>
    <w:rsid w:val="58F408FE"/>
    <w:rsid w:val="5942013A"/>
    <w:rsid w:val="597316F0"/>
    <w:rsid w:val="599E766E"/>
    <w:rsid w:val="59E83D53"/>
    <w:rsid w:val="5A1E47AC"/>
    <w:rsid w:val="5A2A62E5"/>
    <w:rsid w:val="5A473D73"/>
    <w:rsid w:val="5A476127"/>
    <w:rsid w:val="5A763279"/>
    <w:rsid w:val="5ABB5323"/>
    <w:rsid w:val="5AE00A6D"/>
    <w:rsid w:val="5AE14D89"/>
    <w:rsid w:val="5AF75478"/>
    <w:rsid w:val="5BAD55B3"/>
    <w:rsid w:val="5BBB46FC"/>
    <w:rsid w:val="5C413BAB"/>
    <w:rsid w:val="5C766A7C"/>
    <w:rsid w:val="5C813B0B"/>
    <w:rsid w:val="5C814A76"/>
    <w:rsid w:val="5C900786"/>
    <w:rsid w:val="5C9522CF"/>
    <w:rsid w:val="5CA208D6"/>
    <w:rsid w:val="5CA41E70"/>
    <w:rsid w:val="5CBC52BF"/>
    <w:rsid w:val="5CEF1F4D"/>
    <w:rsid w:val="5D0F67F8"/>
    <w:rsid w:val="5D484764"/>
    <w:rsid w:val="5D561194"/>
    <w:rsid w:val="5D9C760D"/>
    <w:rsid w:val="5DC36485"/>
    <w:rsid w:val="5DD92690"/>
    <w:rsid w:val="5DDB7F87"/>
    <w:rsid w:val="5DDC2FCE"/>
    <w:rsid w:val="5DDE59B0"/>
    <w:rsid w:val="5DFD09B2"/>
    <w:rsid w:val="5E0D2339"/>
    <w:rsid w:val="5E18680E"/>
    <w:rsid w:val="5E2D6537"/>
    <w:rsid w:val="5EAC16EA"/>
    <w:rsid w:val="5ECA4D45"/>
    <w:rsid w:val="5ECC0E30"/>
    <w:rsid w:val="5ECF3B3C"/>
    <w:rsid w:val="5EFA3D8B"/>
    <w:rsid w:val="5F0674B4"/>
    <w:rsid w:val="5F073154"/>
    <w:rsid w:val="5F0F2F82"/>
    <w:rsid w:val="5F927999"/>
    <w:rsid w:val="5FD664F8"/>
    <w:rsid w:val="5FE41AEC"/>
    <w:rsid w:val="602C1234"/>
    <w:rsid w:val="602F2F28"/>
    <w:rsid w:val="60610B72"/>
    <w:rsid w:val="606F2A79"/>
    <w:rsid w:val="60823D10"/>
    <w:rsid w:val="60A76991"/>
    <w:rsid w:val="60FA6BA5"/>
    <w:rsid w:val="610A5EDF"/>
    <w:rsid w:val="61450249"/>
    <w:rsid w:val="616B7AA3"/>
    <w:rsid w:val="617F5EBD"/>
    <w:rsid w:val="61852145"/>
    <w:rsid w:val="61AF54A3"/>
    <w:rsid w:val="61CA1828"/>
    <w:rsid w:val="61FC2BD8"/>
    <w:rsid w:val="61FF01EB"/>
    <w:rsid w:val="61FF48DF"/>
    <w:rsid w:val="625C73EB"/>
    <w:rsid w:val="62621A6A"/>
    <w:rsid w:val="626B50BF"/>
    <w:rsid w:val="62811F67"/>
    <w:rsid w:val="629D0130"/>
    <w:rsid w:val="62A115DE"/>
    <w:rsid w:val="62AE2841"/>
    <w:rsid w:val="62BA741A"/>
    <w:rsid w:val="62EE0EC9"/>
    <w:rsid w:val="63205712"/>
    <w:rsid w:val="63250D4F"/>
    <w:rsid w:val="635A29F5"/>
    <w:rsid w:val="636C2856"/>
    <w:rsid w:val="63A0764B"/>
    <w:rsid w:val="63CA4B4D"/>
    <w:rsid w:val="63F472C3"/>
    <w:rsid w:val="641C30ED"/>
    <w:rsid w:val="64446389"/>
    <w:rsid w:val="644B5789"/>
    <w:rsid w:val="64553E6A"/>
    <w:rsid w:val="646D7614"/>
    <w:rsid w:val="6488154A"/>
    <w:rsid w:val="648A677E"/>
    <w:rsid w:val="64904296"/>
    <w:rsid w:val="64C00105"/>
    <w:rsid w:val="64F40B17"/>
    <w:rsid w:val="64F658D5"/>
    <w:rsid w:val="6594219A"/>
    <w:rsid w:val="65971A7F"/>
    <w:rsid w:val="65FE6FCD"/>
    <w:rsid w:val="660208BE"/>
    <w:rsid w:val="661C34BC"/>
    <w:rsid w:val="66555848"/>
    <w:rsid w:val="66563C96"/>
    <w:rsid w:val="66B81A5D"/>
    <w:rsid w:val="66D659BE"/>
    <w:rsid w:val="66D7452B"/>
    <w:rsid w:val="67206C39"/>
    <w:rsid w:val="67235835"/>
    <w:rsid w:val="67386679"/>
    <w:rsid w:val="6739155A"/>
    <w:rsid w:val="67507BBB"/>
    <w:rsid w:val="675E7E2F"/>
    <w:rsid w:val="67660778"/>
    <w:rsid w:val="676D7CBA"/>
    <w:rsid w:val="67AC671F"/>
    <w:rsid w:val="67D36B66"/>
    <w:rsid w:val="67FC38D4"/>
    <w:rsid w:val="6805745B"/>
    <w:rsid w:val="68294213"/>
    <w:rsid w:val="682C160E"/>
    <w:rsid w:val="6848469A"/>
    <w:rsid w:val="686F79F8"/>
    <w:rsid w:val="68790CF7"/>
    <w:rsid w:val="687E10BD"/>
    <w:rsid w:val="689D6B8E"/>
    <w:rsid w:val="68D8310B"/>
    <w:rsid w:val="68F12F14"/>
    <w:rsid w:val="69087BB1"/>
    <w:rsid w:val="69265AF1"/>
    <w:rsid w:val="69274D5F"/>
    <w:rsid w:val="6931512E"/>
    <w:rsid w:val="694F4F20"/>
    <w:rsid w:val="695422DB"/>
    <w:rsid w:val="69DD398E"/>
    <w:rsid w:val="69EA2C18"/>
    <w:rsid w:val="69F00894"/>
    <w:rsid w:val="69F803B6"/>
    <w:rsid w:val="6A3D5969"/>
    <w:rsid w:val="6A537D8A"/>
    <w:rsid w:val="6A5C167E"/>
    <w:rsid w:val="6A9040D6"/>
    <w:rsid w:val="6A9214C7"/>
    <w:rsid w:val="6A9A1D5E"/>
    <w:rsid w:val="6AA33E09"/>
    <w:rsid w:val="6AAA5CE1"/>
    <w:rsid w:val="6AF24E8F"/>
    <w:rsid w:val="6B6B4AC0"/>
    <w:rsid w:val="6B767B69"/>
    <w:rsid w:val="6B7D28AC"/>
    <w:rsid w:val="6B867FBD"/>
    <w:rsid w:val="6B8E1E93"/>
    <w:rsid w:val="6BAB570D"/>
    <w:rsid w:val="6BDC78F3"/>
    <w:rsid w:val="6BEC5C84"/>
    <w:rsid w:val="6BEC7A32"/>
    <w:rsid w:val="6BF95CAB"/>
    <w:rsid w:val="6C2D06C5"/>
    <w:rsid w:val="6C7801A2"/>
    <w:rsid w:val="6CA515B1"/>
    <w:rsid w:val="6CBB431E"/>
    <w:rsid w:val="6CC45A3A"/>
    <w:rsid w:val="6CC5107C"/>
    <w:rsid w:val="6D22192A"/>
    <w:rsid w:val="6D226F28"/>
    <w:rsid w:val="6D341690"/>
    <w:rsid w:val="6D532F3B"/>
    <w:rsid w:val="6D667EA9"/>
    <w:rsid w:val="6D7C4BE8"/>
    <w:rsid w:val="6D8F1578"/>
    <w:rsid w:val="6DA3575A"/>
    <w:rsid w:val="6DF9383B"/>
    <w:rsid w:val="6E35567E"/>
    <w:rsid w:val="6E7D4504"/>
    <w:rsid w:val="6E85135F"/>
    <w:rsid w:val="6EEA57FC"/>
    <w:rsid w:val="6F093B7C"/>
    <w:rsid w:val="6F125163"/>
    <w:rsid w:val="6F3516FC"/>
    <w:rsid w:val="6FAA5C3A"/>
    <w:rsid w:val="6FCE5D37"/>
    <w:rsid w:val="6FD26F3F"/>
    <w:rsid w:val="6FF46EB5"/>
    <w:rsid w:val="7004359C"/>
    <w:rsid w:val="7019203A"/>
    <w:rsid w:val="704B0A2D"/>
    <w:rsid w:val="707204AD"/>
    <w:rsid w:val="70894029"/>
    <w:rsid w:val="7091226D"/>
    <w:rsid w:val="70AD3C34"/>
    <w:rsid w:val="70B00632"/>
    <w:rsid w:val="70C17C56"/>
    <w:rsid w:val="70CF77C1"/>
    <w:rsid w:val="70D9705A"/>
    <w:rsid w:val="71012A65"/>
    <w:rsid w:val="710A5292"/>
    <w:rsid w:val="711D0DD2"/>
    <w:rsid w:val="713F71E8"/>
    <w:rsid w:val="71417A35"/>
    <w:rsid w:val="71662EDE"/>
    <w:rsid w:val="71FC1D0E"/>
    <w:rsid w:val="723D583F"/>
    <w:rsid w:val="72476035"/>
    <w:rsid w:val="725E38F1"/>
    <w:rsid w:val="72734A0C"/>
    <w:rsid w:val="727D1E70"/>
    <w:rsid w:val="72A66B8C"/>
    <w:rsid w:val="72BA2638"/>
    <w:rsid w:val="72C65703"/>
    <w:rsid w:val="72F01BB6"/>
    <w:rsid w:val="72FA7CCA"/>
    <w:rsid w:val="73017B83"/>
    <w:rsid w:val="730B5629"/>
    <w:rsid w:val="73120538"/>
    <w:rsid w:val="731A751C"/>
    <w:rsid w:val="731E7F04"/>
    <w:rsid w:val="732C6FED"/>
    <w:rsid w:val="73440153"/>
    <w:rsid w:val="73566CAF"/>
    <w:rsid w:val="736B748E"/>
    <w:rsid w:val="737B3CAA"/>
    <w:rsid w:val="737B63F8"/>
    <w:rsid w:val="73D744E8"/>
    <w:rsid w:val="74235FBB"/>
    <w:rsid w:val="74365EDD"/>
    <w:rsid w:val="744C73E6"/>
    <w:rsid w:val="746D36EC"/>
    <w:rsid w:val="74774B32"/>
    <w:rsid w:val="749C038F"/>
    <w:rsid w:val="74D3178F"/>
    <w:rsid w:val="74E054E2"/>
    <w:rsid w:val="75294E78"/>
    <w:rsid w:val="753E571C"/>
    <w:rsid w:val="75505ED1"/>
    <w:rsid w:val="757F5473"/>
    <w:rsid w:val="7580187F"/>
    <w:rsid w:val="758143BE"/>
    <w:rsid w:val="758E26FE"/>
    <w:rsid w:val="759D1C0E"/>
    <w:rsid w:val="75A373B3"/>
    <w:rsid w:val="75B5082D"/>
    <w:rsid w:val="75CE5C43"/>
    <w:rsid w:val="75E15668"/>
    <w:rsid w:val="75E41A52"/>
    <w:rsid w:val="75EA6029"/>
    <w:rsid w:val="76670B49"/>
    <w:rsid w:val="76953504"/>
    <w:rsid w:val="76B12C26"/>
    <w:rsid w:val="76D00D64"/>
    <w:rsid w:val="76E92B83"/>
    <w:rsid w:val="77060EB2"/>
    <w:rsid w:val="77072CED"/>
    <w:rsid w:val="77237726"/>
    <w:rsid w:val="77283D65"/>
    <w:rsid w:val="773D0CDA"/>
    <w:rsid w:val="779C7818"/>
    <w:rsid w:val="77B2189E"/>
    <w:rsid w:val="77B92EBE"/>
    <w:rsid w:val="77BC475C"/>
    <w:rsid w:val="77CD25F7"/>
    <w:rsid w:val="77E61A66"/>
    <w:rsid w:val="77F008AA"/>
    <w:rsid w:val="78062A7A"/>
    <w:rsid w:val="780D1A58"/>
    <w:rsid w:val="78275845"/>
    <w:rsid w:val="782B3690"/>
    <w:rsid w:val="783B6733"/>
    <w:rsid w:val="784E1EF6"/>
    <w:rsid w:val="788567E4"/>
    <w:rsid w:val="78905FDE"/>
    <w:rsid w:val="78CE64DF"/>
    <w:rsid w:val="78E52782"/>
    <w:rsid w:val="78EA354B"/>
    <w:rsid w:val="79053EE1"/>
    <w:rsid w:val="790560AE"/>
    <w:rsid w:val="79083BF1"/>
    <w:rsid w:val="792A25F8"/>
    <w:rsid w:val="79340A36"/>
    <w:rsid w:val="794964C4"/>
    <w:rsid w:val="7958370A"/>
    <w:rsid w:val="795C20EC"/>
    <w:rsid w:val="795F1E4D"/>
    <w:rsid w:val="796F3C90"/>
    <w:rsid w:val="79E77FA9"/>
    <w:rsid w:val="7A11440A"/>
    <w:rsid w:val="7A155DD9"/>
    <w:rsid w:val="7A2E3661"/>
    <w:rsid w:val="7A4705AD"/>
    <w:rsid w:val="7A492DAA"/>
    <w:rsid w:val="7A54038B"/>
    <w:rsid w:val="7A5B629E"/>
    <w:rsid w:val="7A925C48"/>
    <w:rsid w:val="7AA04B9C"/>
    <w:rsid w:val="7AAF7044"/>
    <w:rsid w:val="7AB07B25"/>
    <w:rsid w:val="7AFC0A03"/>
    <w:rsid w:val="7B221D76"/>
    <w:rsid w:val="7B51340D"/>
    <w:rsid w:val="7BDA6E84"/>
    <w:rsid w:val="7BF5023D"/>
    <w:rsid w:val="7C026625"/>
    <w:rsid w:val="7C150BA5"/>
    <w:rsid w:val="7C3229F7"/>
    <w:rsid w:val="7C745605"/>
    <w:rsid w:val="7C935AB3"/>
    <w:rsid w:val="7CA25FCA"/>
    <w:rsid w:val="7CC33F15"/>
    <w:rsid w:val="7CC83BA3"/>
    <w:rsid w:val="7CD460A4"/>
    <w:rsid w:val="7D0A7D18"/>
    <w:rsid w:val="7D6846E6"/>
    <w:rsid w:val="7D685EEA"/>
    <w:rsid w:val="7D737A10"/>
    <w:rsid w:val="7DAA770F"/>
    <w:rsid w:val="7DE1451A"/>
    <w:rsid w:val="7DF22C25"/>
    <w:rsid w:val="7E3F2387"/>
    <w:rsid w:val="7E4967AF"/>
    <w:rsid w:val="7E4F463C"/>
    <w:rsid w:val="7E6834EE"/>
    <w:rsid w:val="7E9C7878"/>
    <w:rsid w:val="7EDA35ED"/>
    <w:rsid w:val="7F446008"/>
    <w:rsid w:val="7F4618F4"/>
    <w:rsid w:val="7F551A64"/>
    <w:rsid w:val="7F6B00CF"/>
    <w:rsid w:val="7F7547C4"/>
    <w:rsid w:val="7F7C0296"/>
    <w:rsid w:val="7FCD3F06"/>
    <w:rsid w:val="7FD24F48"/>
    <w:rsid w:val="7FD80540"/>
    <w:rsid w:val="7FE210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nhideWhenUsed="0" w:uiPriority="1" w:semiHidden="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uiPriority="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0" w:name="index heading"/>
    <w:lsdException w:qFormat="1" w:unhideWhenUsed="0" w:uiPriority="0" w:semiHidden="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qFormat="1" w:uiPriority="0" w:name="Date"/>
    <w:lsdException w:qFormat="1"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99"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qFormat="1"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宋体" w:hAnsi="宋体" w:eastAsia="宋体" w:cs="Times New Roman"/>
      <w:b/>
      <w:color w:val="FFFFFF"/>
      <w:kern w:val="2"/>
      <w:sz w:val="28"/>
      <w:szCs w:val="28"/>
      <w:lang w:val="en-US" w:eastAsia="zh-CN" w:bidi="ar-SA"/>
    </w:rPr>
  </w:style>
  <w:style w:type="paragraph" w:styleId="2">
    <w:name w:val="heading 1"/>
    <w:basedOn w:val="1"/>
    <w:next w:val="1"/>
    <w:link w:val="42"/>
    <w:qFormat/>
    <w:uiPriority w:val="0"/>
    <w:pPr>
      <w:numPr>
        <w:ilvl w:val="0"/>
        <w:numId w:val="1"/>
      </w:numPr>
      <w:spacing w:beforeLines="50" w:afterLines="50" w:line="400" w:lineRule="exact"/>
      <w:outlineLvl w:val="0"/>
    </w:pPr>
    <w:rPr>
      <w:rFonts w:ascii="黑体" w:eastAsia="黑体"/>
      <w:color w:val="000000"/>
      <w:sz w:val="32"/>
    </w:rPr>
  </w:style>
  <w:style w:type="paragraph" w:styleId="3">
    <w:name w:val="heading 2"/>
    <w:basedOn w:val="1"/>
    <w:next w:val="1"/>
    <w:link w:val="41"/>
    <w:qFormat/>
    <w:uiPriority w:val="0"/>
    <w:pPr>
      <w:keepNext/>
      <w:keepLines/>
      <w:numPr>
        <w:ilvl w:val="1"/>
        <w:numId w:val="2"/>
      </w:numPr>
      <w:spacing w:line="300" w:lineRule="auto"/>
      <w:jc w:val="left"/>
      <w:outlineLvl w:val="1"/>
    </w:pPr>
    <w:rPr>
      <w:rFonts w:ascii="Times New Roman" w:hAnsi="Times New Roman" w:eastAsia="黑体"/>
      <w:color w:val="0000CC"/>
      <w:szCs w:val="24"/>
    </w:rPr>
  </w:style>
  <w:style w:type="paragraph" w:styleId="4">
    <w:name w:val="heading 3"/>
    <w:basedOn w:val="1"/>
    <w:next w:val="1"/>
    <w:link w:val="43"/>
    <w:qFormat/>
    <w:uiPriority w:val="0"/>
    <w:pPr>
      <w:keepNext/>
      <w:keepLines/>
      <w:numPr>
        <w:ilvl w:val="2"/>
        <w:numId w:val="2"/>
      </w:numPr>
      <w:spacing w:line="360" w:lineRule="auto"/>
      <w:jc w:val="left"/>
      <w:outlineLvl w:val="2"/>
    </w:pPr>
    <w:rPr>
      <w:rFonts w:ascii="Times New Roman" w:hAnsi="Times New Roman" w:eastAsia="黑体"/>
      <w:color w:val="C00000"/>
      <w:sz w:val="24"/>
      <w:szCs w:val="24"/>
    </w:rPr>
  </w:style>
  <w:style w:type="paragraph" w:styleId="5">
    <w:name w:val="heading 4"/>
    <w:basedOn w:val="1"/>
    <w:next w:val="1"/>
    <w:link w:val="44"/>
    <w:qFormat/>
    <w:uiPriority w:val="0"/>
    <w:pPr>
      <w:keepNext/>
      <w:keepLines/>
      <w:numPr>
        <w:ilvl w:val="3"/>
        <w:numId w:val="2"/>
      </w:numPr>
      <w:spacing w:line="300" w:lineRule="auto"/>
      <w:jc w:val="left"/>
      <w:outlineLvl w:val="3"/>
    </w:pPr>
    <w:rPr>
      <w:color w:val="000000"/>
      <w:sz w:val="24"/>
      <w:szCs w:val="24"/>
    </w:rPr>
  </w:style>
  <w:style w:type="paragraph" w:styleId="6">
    <w:name w:val="heading 8"/>
    <w:basedOn w:val="1"/>
    <w:next w:val="1"/>
    <w:qFormat/>
    <w:uiPriority w:val="1"/>
    <w:pPr>
      <w:ind w:left="740"/>
      <w:outlineLvl w:val="7"/>
    </w:pPr>
    <w:rPr>
      <w:rFonts w:cs="宋体"/>
      <w:bCs/>
      <w:sz w:val="24"/>
      <w:szCs w:val="24"/>
    </w:rPr>
  </w:style>
  <w:style w:type="character" w:default="1" w:styleId="35">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7">
    <w:name w:val="toc 7"/>
    <w:basedOn w:val="1"/>
    <w:next w:val="1"/>
    <w:unhideWhenUsed/>
    <w:qFormat/>
    <w:uiPriority w:val="39"/>
    <w:pPr>
      <w:ind w:left="2520" w:leftChars="1200"/>
    </w:pPr>
    <w:rPr>
      <w:rFonts w:ascii="Calibri" w:hAnsi="Calibri"/>
      <w:b w:val="0"/>
      <w:color w:val="auto"/>
      <w:sz w:val="21"/>
      <w:szCs w:val="22"/>
    </w:rPr>
  </w:style>
  <w:style w:type="paragraph" w:styleId="8">
    <w:name w:val="Normal Indent"/>
    <w:basedOn w:val="1"/>
    <w:link w:val="45"/>
    <w:qFormat/>
    <w:uiPriority w:val="0"/>
    <w:pPr>
      <w:spacing w:line="360" w:lineRule="auto"/>
      <w:ind w:firstLine="420"/>
    </w:pPr>
    <w:rPr>
      <w:rFonts w:ascii="Times New Roman" w:hAnsi="Times New Roman"/>
      <w:b w:val="0"/>
      <w:color w:val="auto"/>
      <w:sz w:val="24"/>
      <w:szCs w:val="20"/>
    </w:rPr>
  </w:style>
  <w:style w:type="paragraph" w:styleId="9">
    <w:name w:val="caption"/>
    <w:basedOn w:val="1"/>
    <w:next w:val="1"/>
    <w:link w:val="46"/>
    <w:qFormat/>
    <w:uiPriority w:val="0"/>
    <w:pPr>
      <w:spacing w:before="152" w:after="160"/>
    </w:pPr>
    <w:rPr>
      <w:rFonts w:ascii="Arial" w:hAnsi="Arial" w:eastAsia="黑体"/>
      <w:b w:val="0"/>
      <w:color w:val="auto"/>
      <w:sz w:val="20"/>
      <w:szCs w:val="20"/>
    </w:rPr>
  </w:style>
  <w:style w:type="paragraph" w:styleId="10">
    <w:name w:val="Document Map"/>
    <w:basedOn w:val="1"/>
    <w:link w:val="47"/>
    <w:qFormat/>
    <w:uiPriority w:val="0"/>
    <w:rPr>
      <w:sz w:val="18"/>
      <w:szCs w:val="18"/>
    </w:rPr>
  </w:style>
  <w:style w:type="paragraph" w:styleId="11">
    <w:name w:val="annotation text"/>
    <w:basedOn w:val="1"/>
    <w:link w:val="48"/>
    <w:qFormat/>
    <w:uiPriority w:val="0"/>
    <w:pPr>
      <w:jc w:val="left"/>
    </w:pPr>
    <w:rPr>
      <w:rFonts w:ascii="Times New Roman" w:hAnsi="Times New Roman"/>
      <w:b w:val="0"/>
      <w:color w:val="auto"/>
      <w:sz w:val="21"/>
      <w:szCs w:val="24"/>
    </w:rPr>
  </w:style>
  <w:style w:type="paragraph" w:styleId="12">
    <w:name w:val="Body Text"/>
    <w:basedOn w:val="1"/>
    <w:link w:val="49"/>
    <w:qFormat/>
    <w:uiPriority w:val="0"/>
    <w:pPr>
      <w:spacing w:after="120"/>
    </w:pPr>
  </w:style>
  <w:style w:type="paragraph" w:styleId="13">
    <w:name w:val="Body Text Indent"/>
    <w:basedOn w:val="1"/>
    <w:link w:val="50"/>
    <w:qFormat/>
    <w:uiPriority w:val="0"/>
    <w:pPr>
      <w:spacing w:after="120"/>
      <w:ind w:left="420" w:leftChars="200"/>
    </w:pPr>
  </w:style>
  <w:style w:type="paragraph" w:styleId="14">
    <w:name w:val="toc 5"/>
    <w:basedOn w:val="1"/>
    <w:next w:val="1"/>
    <w:unhideWhenUsed/>
    <w:qFormat/>
    <w:uiPriority w:val="39"/>
    <w:pPr>
      <w:ind w:left="1680" w:leftChars="800"/>
    </w:pPr>
    <w:rPr>
      <w:rFonts w:ascii="Calibri" w:hAnsi="Calibri"/>
      <w:b w:val="0"/>
      <w:color w:val="auto"/>
      <w:sz w:val="21"/>
      <w:szCs w:val="22"/>
    </w:rPr>
  </w:style>
  <w:style w:type="paragraph" w:styleId="15">
    <w:name w:val="toc 3"/>
    <w:basedOn w:val="1"/>
    <w:next w:val="1"/>
    <w:qFormat/>
    <w:uiPriority w:val="39"/>
    <w:pPr>
      <w:tabs>
        <w:tab w:val="left" w:pos="1701"/>
        <w:tab w:val="right" w:leader="dot" w:pos="9756"/>
      </w:tabs>
      <w:spacing w:line="300" w:lineRule="auto"/>
      <w:ind w:left="992" w:leftChars="353"/>
      <w:jc w:val="left"/>
    </w:pPr>
  </w:style>
  <w:style w:type="paragraph" w:styleId="16">
    <w:name w:val="Plain Text"/>
    <w:basedOn w:val="1"/>
    <w:link w:val="51"/>
    <w:qFormat/>
    <w:uiPriority w:val="99"/>
    <w:rPr>
      <w:rFonts w:hAnsi="Courier New"/>
      <w:color w:val="auto"/>
      <w:sz w:val="21"/>
      <w:szCs w:val="20"/>
    </w:rPr>
  </w:style>
  <w:style w:type="paragraph" w:styleId="17">
    <w:name w:val="toc 8"/>
    <w:basedOn w:val="1"/>
    <w:next w:val="1"/>
    <w:unhideWhenUsed/>
    <w:qFormat/>
    <w:uiPriority w:val="39"/>
    <w:pPr>
      <w:ind w:left="2940" w:leftChars="1400"/>
    </w:pPr>
    <w:rPr>
      <w:rFonts w:ascii="Calibri" w:hAnsi="Calibri"/>
      <w:b w:val="0"/>
      <w:color w:val="auto"/>
      <w:sz w:val="21"/>
      <w:szCs w:val="22"/>
    </w:rPr>
  </w:style>
  <w:style w:type="paragraph" w:styleId="18">
    <w:name w:val="Date"/>
    <w:basedOn w:val="1"/>
    <w:next w:val="1"/>
    <w:link w:val="52"/>
    <w:semiHidden/>
    <w:unhideWhenUsed/>
    <w:qFormat/>
    <w:uiPriority w:val="0"/>
    <w:pPr>
      <w:ind w:left="100" w:leftChars="2500"/>
    </w:pPr>
    <w:rPr>
      <w:color w:val="auto"/>
    </w:rPr>
  </w:style>
  <w:style w:type="paragraph" w:styleId="19">
    <w:name w:val="Balloon Text"/>
    <w:basedOn w:val="1"/>
    <w:link w:val="53"/>
    <w:qFormat/>
    <w:uiPriority w:val="0"/>
    <w:rPr>
      <w:sz w:val="18"/>
      <w:szCs w:val="18"/>
    </w:rPr>
  </w:style>
  <w:style w:type="paragraph" w:styleId="20">
    <w:name w:val="footer"/>
    <w:basedOn w:val="1"/>
    <w:link w:val="54"/>
    <w:qFormat/>
    <w:uiPriority w:val="0"/>
    <w:pPr>
      <w:tabs>
        <w:tab w:val="center" w:pos="4153"/>
        <w:tab w:val="right" w:pos="8306"/>
      </w:tabs>
      <w:snapToGrid w:val="0"/>
      <w:jc w:val="left"/>
    </w:pPr>
    <w:rPr>
      <w:sz w:val="18"/>
      <w:szCs w:val="18"/>
    </w:rPr>
  </w:style>
  <w:style w:type="paragraph" w:styleId="21">
    <w:name w:val="header"/>
    <w:basedOn w:val="1"/>
    <w:link w:val="55"/>
    <w:qFormat/>
    <w:uiPriority w:val="0"/>
    <w:pPr>
      <w:pBdr>
        <w:bottom w:val="single" w:color="auto" w:sz="6" w:space="1"/>
      </w:pBdr>
      <w:tabs>
        <w:tab w:val="center" w:pos="4153"/>
        <w:tab w:val="right" w:pos="8306"/>
      </w:tabs>
      <w:snapToGrid w:val="0"/>
      <w:jc w:val="center"/>
    </w:pPr>
    <w:rPr>
      <w:sz w:val="18"/>
      <w:szCs w:val="18"/>
    </w:rPr>
  </w:style>
  <w:style w:type="paragraph" w:styleId="22">
    <w:name w:val="toc 1"/>
    <w:basedOn w:val="1"/>
    <w:next w:val="1"/>
    <w:qFormat/>
    <w:uiPriority w:val="39"/>
    <w:pPr>
      <w:tabs>
        <w:tab w:val="left" w:pos="600"/>
        <w:tab w:val="right" w:leader="dot" w:pos="9756"/>
      </w:tabs>
      <w:spacing w:line="300" w:lineRule="auto"/>
      <w:jc w:val="left"/>
    </w:pPr>
    <w:rPr>
      <w:b w:val="0"/>
      <w:color w:val="auto"/>
      <w:sz w:val="24"/>
    </w:rPr>
  </w:style>
  <w:style w:type="paragraph" w:styleId="23">
    <w:name w:val="toc 4"/>
    <w:basedOn w:val="1"/>
    <w:next w:val="1"/>
    <w:qFormat/>
    <w:uiPriority w:val="39"/>
    <w:pPr>
      <w:ind w:left="840" w:firstLine="200" w:firstLineChars="200"/>
      <w:jc w:val="left"/>
    </w:pPr>
    <w:rPr>
      <w:rFonts w:ascii="Times New Roman" w:hAnsi="Times New Roman" w:eastAsia="华文新魏"/>
      <w:b w:val="0"/>
      <w:color w:val="auto"/>
      <w:sz w:val="18"/>
      <w:szCs w:val="18"/>
    </w:rPr>
  </w:style>
  <w:style w:type="paragraph" w:styleId="24">
    <w:name w:val="Subtitle"/>
    <w:basedOn w:val="13"/>
    <w:link w:val="56"/>
    <w:qFormat/>
    <w:uiPriority w:val="0"/>
    <w:pPr>
      <w:adjustRightInd w:val="0"/>
      <w:snapToGrid w:val="0"/>
      <w:spacing w:afterLines="50" w:line="320" w:lineRule="exact"/>
      <w:ind w:left="0" w:leftChars="0"/>
      <w:jc w:val="center"/>
    </w:pPr>
    <w:rPr>
      <w:rFonts w:ascii="Times New Roman" w:hAnsi="Times New Roman"/>
      <w:color w:val="333399"/>
      <w:sz w:val="21"/>
      <w:szCs w:val="20"/>
    </w:rPr>
  </w:style>
  <w:style w:type="paragraph" w:styleId="25">
    <w:name w:val="toc 6"/>
    <w:basedOn w:val="1"/>
    <w:next w:val="1"/>
    <w:unhideWhenUsed/>
    <w:qFormat/>
    <w:uiPriority w:val="39"/>
    <w:pPr>
      <w:ind w:left="2100" w:leftChars="1000"/>
    </w:pPr>
    <w:rPr>
      <w:rFonts w:ascii="Calibri" w:hAnsi="Calibri"/>
      <w:b w:val="0"/>
      <w:color w:val="auto"/>
      <w:sz w:val="21"/>
      <w:szCs w:val="22"/>
    </w:rPr>
  </w:style>
  <w:style w:type="paragraph" w:styleId="26">
    <w:name w:val="toc 2"/>
    <w:basedOn w:val="1"/>
    <w:next w:val="1"/>
    <w:qFormat/>
    <w:uiPriority w:val="39"/>
    <w:pPr>
      <w:tabs>
        <w:tab w:val="left" w:pos="1134"/>
        <w:tab w:val="right" w:leader="dot" w:pos="9756"/>
      </w:tabs>
      <w:spacing w:line="300" w:lineRule="auto"/>
      <w:ind w:left="562" w:leftChars="200"/>
    </w:pPr>
  </w:style>
  <w:style w:type="paragraph" w:styleId="27">
    <w:name w:val="toc 9"/>
    <w:basedOn w:val="1"/>
    <w:next w:val="1"/>
    <w:unhideWhenUsed/>
    <w:qFormat/>
    <w:uiPriority w:val="39"/>
    <w:pPr>
      <w:ind w:left="3360" w:leftChars="1600"/>
    </w:pPr>
    <w:rPr>
      <w:rFonts w:ascii="Calibri" w:hAnsi="Calibri"/>
      <w:b w:val="0"/>
      <w:color w:val="auto"/>
      <w:sz w:val="21"/>
      <w:szCs w:val="22"/>
    </w:rPr>
  </w:style>
  <w:style w:type="paragraph" w:styleId="28">
    <w:name w:val="Normal (Web)"/>
    <w:basedOn w:val="1"/>
    <w:unhideWhenUsed/>
    <w:qFormat/>
    <w:uiPriority w:val="99"/>
    <w:pPr>
      <w:spacing w:before="100" w:beforeAutospacing="1" w:after="100" w:afterAutospacing="1"/>
      <w:jc w:val="left"/>
    </w:pPr>
    <w:rPr>
      <w:rFonts w:ascii="Times New Roman" w:hAnsi="Times New Roman"/>
      <w:b w:val="0"/>
      <w:color w:val="auto"/>
      <w:kern w:val="0"/>
      <w:sz w:val="24"/>
      <w:szCs w:val="20"/>
    </w:rPr>
  </w:style>
  <w:style w:type="paragraph" w:styleId="29">
    <w:name w:val="Title"/>
    <w:basedOn w:val="1"/>
    <w:next w:val="1"/>
    <w:link w:val="57"/>
    <w:qFormat/>
    <w:uiPriority w:val="0"/>
    <w:pPr>
      <w:spacing w:before="240" w:after="60"/>
      <w:jc w:val="center"/>
      <w:outlineLvl w:val="0"/>
    </w:pPr>
    <w:rPr>
      <w:rFonts w:ascii="Cambria" w:hAnsi="Cambria"/>
      <w:bCs/>
      <w:sz w:val="32"/>
      <w:szCs w:val="32"/>
    </w:rPr>
  </w:style>
  <w:style w:type="paragraph" w:styleId="30">
    <w:name w:val="annotation subject"/>
    <w:basedOn w:val="11"/>
    <w:next w:val="11"/>
    <w:link w:val="58"/>
    <w:semiHidden/>
    <w:unhideWhenUsed/>
    <w:qFormat/>
    <w:uiPriority w:val="0"/>
    <w:rPr>
      <w:rFonts w:ascii="宋体" w:hAnsi="宋体"/>
      <w:b/>
      <w:bCs/>
      <w:sz w:val="28"/>
      <w:szCs w:val="28"/>
    </w:rPr>
  </w:style>
  <w:style w:type="paragraph" w:styleId="31">
    <w:name w:val="Body Text First Indent"/>
    <w:basedOn w:val="1"/>
    <w:link w:val="59"/>
    <w:qFormat/>
    <w:uiPriority w:val="0"/>
    <w:pPr>
      <w:ind w:firstLine="420" w:firstLineChars="100"/>
    </w:pPr>
  </w:style>
  <w:style w:type="table" w:styleId="33">
    <w:name w:val="Table Grid"/>
    <w:basedOn w:val="32"/>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34">
    <w:name w:val="Medium Grid 3 Accent 1"/>
    <w:basedOn w:val="32"/>
    <w:qFormat/>
    <w:uiPriority w:val="69"/>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4F81BD" w:themeFill="accent1"/>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4F81BD" w:themeFill="accent1"/>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4F81BD" w:themeFill="accent1"/>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4F81BD" w:themeFill="accen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7C0DE" w:themeFill="accen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A7C0DE" w:themeFill="accent1" w:themeFillTint="7F"/>
      </w:tcPr>
    </w:tblStylePr>
  </w:style>
  <w:style w:type="character" w:styleId="36">
    <w:name w:val="Strong"/>
    <w:basedOn w:val="35"/>
    <w:qFormat/>
    <w:uiPriority w:val="22"/>
    <w:rPr>
      <w:b/>
      <w:bCs/>
    </w:rPr>
  </w:style>
  <w:style w:type="character" w:styleId="37">
    <w:name w:val="FollowedHyperlink"/>
    <w:unhideWhenUsed/>
    <w:qFormat/>
    <w:uiPriority w:val="99"/>
    <w:rPr>
      <w:color w:val="800080"/>
      <w:u w:val="single"/>
    </w:rPr>
  </w:style>
  <w:style w:type="character" w:styleId="38">
    <w:name w:val="Emphasis"/>
    <w:basedOn w:val="35"/>
    <w:qFormat/>
    <w:uiPriority w:val="0"/>
    <w:rPr>
      <w:i/>
    </w:rPr>
  </w:style>
  <w:style w:type="character" w:styleId="39">
    <w:name w:val="Hyperlink"/>
    <w:unhideWhenUsed/>
    <w:qFormat/>
    <w:uiPriority w:val="99"/>
    <w:rPr>
      <w:color w:val="0000FF"/>
      <w:u w:val="single"/>
    </w:rPr>
  </w:style>
  <w:style w:type="character" w:styleId="40">
    <w:name w:val="annotation reference"/>
    <w:qFormat/>
    <w:uiPriority w:val="0"/>
    <w:rPr>
      <w:rFonts w:eastAsia="仿宋_GB2312"/>
      <w:kern w:val="2"/>
      <w:sz w:val="21"/>
      <w:szCs w:val="24"/>
      <w:lang w:val="en-US" w:eastAsia="zh-CN" w:bidi="ar-SA"/>
    </w:rPr>
  </w:style>
  <w:style w:type="character" w:customStyle="1" w:styleId="41">
    <w:name w:val="标题 2 Char"/>
    <w:link w:val="3"/>
    <w:qFormat/>
    <w:uiPriority w:val="0"/>
    <w:rPr>
      <w:rFonts w:eastAsia="黑体"/>
      <w:b/>
      <w:color w:val="0000CC"/>
      <w:kern w:val="2"/>
      <w:sz w:val="28"/>
      <w:szCs w:val="24"/>
    </w:rPr>
  </w:style>
  <w:style w:type="character" w:customStyle="1" w:styleId="42">
    <w:name w:val="标题 1 Char"/>
    <w:link w:val="2"/>
    <w:qFormat/>
    <w:uiPriority w:val="0"/>
    <w:rPr>
      <w:rFonts w:ascii="黑体" w:hAnsi="宋体" w:eastAsia="黑体"/>
      <w:b/>
      <w:color w:val="000000"/>
      <w:kern w:val="2"/>
      <w:sz w:val="32"/>
      <w:szCs w:val="28"/>
    </w:rPr>
  </w:style>
  <w:style w:type="character" w:customStyle="1" w:styleId="43">
    <w:name w:val="标题 3 Char"/>
    <w:link w:val="4"/>
    <w:qFormat/>
    <w:uiPriority w:val="0"/>
    <w:rPr>
      <w:rFonts w:eastAsia="黑体"/>
      <w:b/>
      <w:color w:val="C00000"/>
      <w:kern w:val="2"/>
      <w:sz w:val="24"/>
      <w:szCs w:val="24"/>
    </w:rPr>
  </w:style>
  <w:style w:type="character" w:customStyle="1" w:styleId="44">
    <w:name w:val="标题 4 Char"/>
    <w:basedOn w:val="35"/>
    <w:link w:val="5"/>
    <w:qFormat/>
    <w:uiPriority w:val="0"/>
    <w:rPr>
      <w:rFonts w:ascii="宋体" w:hAnsi="宋体"/>
      <w:b/>
      <w:color w:val="000000"/>
      <w:kern w:val="2"/>
      <w:sz w:val="24"/>
      <w:szCs w:val="24"/>
    </w:rPr>
  </w:style>
  <w:style w:type="character" w:customStyle="1" w:styleId="45">
    <w:name w:val="正文缩进 Char"/>
    <w:link w:val="8"/>
    <w:qFormat/>
    <w:uiPriority w:val="0"/>
    <w:rPr>
      <w:kern w:val="2"/>
      <w:sz w:val="24"/>
    </w:rPr>
  </w:style>
  <w:style w:type="character" w:customStyle="1" w:styleId="46">
    <w:name w:val="题注 Char"/>
    <w:link w:val="9"/>
    <w:qFormat/>
    <w:uiPriority w:val="0"/>
    <w:rPr>
      <w:rFonts w:ascii="Arial" w:hAnsi="Arial" w:eastAsia="黑体"/>
      <w:kern w:val="2"/>
    </w:rPr>
  </w:style>
  <w:style w:type="character" w:customStyle="1" w:styleId="47">
    <w:name w:val="文档结构图 Char"/>
    <w:link w:val="10"/>
    <w:qFormat/>
    <w:uiPriority w:val="0"/>
    <w:rPr>
      <w:rFonts w:ascii="宋体" w:hAnsi="宋体"/>
      <w:b/>
      <w:color w:val="FFFFFF"/>
      <w:kern w:val="2"/>
      <w:sz w:val="18"/>
      <w:szCs w:val="18"/>
    </w:rPr>
  </w:style>
  <w:style w:type="character" w:customStyle="1" w:styleId="48">
    <w:name w:val="批注文字 Char1"/>
    <w:link w:val="11"/>
    <w:qFormat/>
    <w:uiPriority w:val="0"/>
    <w:rPr>
      <w:kern w:val="2"/>
      <w:sz w:val="21"/>
      <w:szCs w:val="24"/>
    </w:rPr>
  </w:style>
  <w:style w:type="character" w:customStyle="1" w:styleId="49">
    <w:name w:val="正文文本 Char"/>
    <w:basedOn w:val="35"/>
    <w:link w:val="12"/>
    <w:qFormat/>
    <w:uiPriority w:val="0"/>
    <w:rPr>
      <w:rFonts w:ascii="宋体" w:hAnsi="宋体"/>
      <w:b/>
      <w:color w:val="FFFFFF"/>
      <w:kern w:val="2"/>
      <w:sz w:val="28"/>
      <w:szCs w:val="28"/>
    </w:rPr>
  </w:style>
  <w:style w:type="character" w:customStyle="1" w:styleId="50">
    <w:name w:val="正文文本缩进 Char"/>
    <w:link w:val="13"/>
    <w:qFormat/>
    <w:uiPriority w:val="0"/>
    <w:rPr>
      <w:rFonts w:ascii="宋体" w:hAnsi="宋体"/>
      <w:b/>
      <w:color w:val="FFFFFF"/>
      <w:kern w:val="2"/>
      <w:sz w:val="28"/>
      <w:szCs w:val="28"/>
    </w:rPr>
  </w:style>
  <w:style w:type="character" w:customStyle="1" w:styleId="51">
    <w:name w:val="纯文本 Char"/>
    <w:link w:val="16"/>
    <w:qFormat/>
    <w:uiPriority w:val="99"/>
    <w:rPr>
      <w:rFonts w:ascii="宋体" w:hAnsi="Courier New"/>
      <w:kern w:val="2"/>
      <w:sz w:val="21"/>
    </w:rPr>
  </w:style>
  <w:style w:type="character" w:customStyle="1" w:styleId="52">
    <w:name w:val="日期 Char"/>
    <w:basedOn w:val="35"/>
    <w:link w:val="18"/>
    <w:semiHidden/>
    <w:qFormat/>
    <w:uiPriority w:val="0"/>
    <w:rPr>
      <w:rFonts w:ascii="宋体" w:hAnsi="宋体"/>
      <w:b/>
      <w:kern w:val="2"/>
      <w:sz w:val="28"/>
      <w:szCs w:val="28"/>
    </w:rPr>
  </w:style>
  <w:style w:type="character" w:customStyle="1" w:styleId="53">
    <w:name w:val="批注框文本 Char"/>
    <w:link w:val="19"/>
    <w:qFormat/>
    <w:uiPriority w:val="0"/>
    <w:rPr>
      <w:rFonts w:ascii="宋体" w:hAnsi="宋体"/>
      <w:b/>
      <w:color w:val="FFFFFF"/>
      <w:kern w:val="2"/>
      <w:sz w:val="18"/>
      <w:szCs w:val="18"/>
    </w:rPr>
  </w:style>
  <w:style w:type="character" w:customStyle="1" w:styleId="54">
    <w:name w:val="页脚 Char"/>
    <w:link w:val="20"/>
    <w:qFormat/>
    <w:uiPriority w:val="0"/>
    <w:rPr>
      <w:rFonts w:ascii="宋体" w:hAnsi="宋体"/>
      <w:b/>
      <w:color w:val="FFFFFF"/>
      <w:kern w:val="2"/>
      <w:sz w:val="18"/>
      <w:szCs w:val="18"/>
    </w:rPr>
  </w:style>
  <w:style w:type="character" w:customStyle="1" w:styleId="55">
    <w:name w:val="页眉 Char"/>
    <w:link w:val="21"/>
    <w:qFormat/>
    <w:uiPriority w:val="0"/>
    <w:rPr>
      <w:rFonts w:ascii="宋体" w:hAnsi="宋体"/>
      <w:b/>
      <w:color w:val="FFFFFF"/>
      <w:kern w:val="2"/>
      <w:sz w:val="18"/>
      <w:szCs w:val="18"/>
    </w:rPr>
  </w:style>
  <w:style w:type="character" w:customStyle="1" w:styleId="56">
    <w:name w:val="副标题 Char"/>
    <w:link w:val="24"/>
    <w:qFormat/>
    <w:uiPriority w:val="0"/>
    <w:rPr>
      <w:b/>
      <w:color w:val="333399"/>
      <w:kern w:val="2"/>
      <w:sz w:val="21"/>
    </w:rPr>
  </w:style>
  <w:style w:type="character" w:customStyle="1" w:styleId="57">
    <w:name w:val="标题 Char"/>
    <w:link w:val="29"/>
    <w:qFormat/>
    <w:uiPriority w:val="0"/>
    <w:rPr>
      <w:rFonts w:ascii="Cambria" w:hAnsi="Cambria" w:cs="Times New Roman"/>
      <w:b/>
      <w:bCs/>
      <w:color w:val="FFFFFF"/>
      <w:kern w:val="2"/>
      <w:sz w:val="32"/>
      <w:szCs w:val="32"/>
    </w:rPr>
  </w:style>
  <w:style w:type="character" w:customStyle="1" w:styleId="58">
    <w:name w:val="批注主题 Char"/>
    <w:basedOn w:val="48"/>
    <w:link w:val="30"/>
    <w:semiHidden/>
    <w:qFormat/>
    <w:uiPriority w:val="0"/>
    <w:rPr>
      <w:rFonts w:ascii="宋体" w:hAnsi="宋体"/>
      <w:b/>
      <w:bCs/>
      <w:kern w:val="2"/>
      <w:sz w:val="28"/>
      <w:szCs w:val="28"/>
    </w:rPr>
  </w:style>
  <w:style w:type="character" w:customStyle="1" w:styleId="59">
    <w:name w:val="正文首行缩进 Char"/>
    <w:link w:val="31"/>
    <w:qFormat/>
    <w:uiPriority w:val="0"/>
    <w:rPr>
      <w:rFonts w:ascii="宋体" w:hAnsi="宋体"/>
      <w:b/>
      <w:color w:val="FFFFFF"/>
      <w:kern w:val="2"/>
      <w:sz w:val="28"/>
      <w:szCs w:val="28"/>
    </w:rPr>
  </w:style>
  <w:style w:type="paragraph" w:customStyle="1" w:styleId="60">
    <w:name w:val="msonormal"/>
    <w:basedOn w:val="1"/>
    <w:qFormat/>
    <w:uiPriority w:val="0"/>
    <w:pPr>
      <w:widowControl/>
      <w:spacing w:before="100" w:beforeAutospacing="1" w:after="100" w:afterAutospacing="1"/>
      <w:jc w:val="left"/>
    </w:pPr>
    <w:rPr>
      <w:rFonts w:cs="宋体"/>
      <w:b w:val="0"/>
      <w:color w:val="auto"/>
      <w:kern w:val="0"/>
      <w:sz w:val="24"/>
      <w:szCs w:val="24"/>
    </w:rPr>
  </w:style>
  <w:style w:type="paragraph" w:customStyle="1" w:styleId="61">
    <w:name w:val="Char Char Char Char"/>
    <w:basedOn w:val="1"/>
    <w:qFormat/>
    <w:uiPriority w:val="0"/>
    <w:pPr>
      <w:tabs>
        <w:tab w:val="left" w:pos="425"/>
      </w:tabs>
      <w:ind w:left="425" w:hanging="425"/>
    </w:pPr>
    <w:rPr>
      <w:rFonts w:ascii="Times New Roman" w:hAnsi="Times New Roman" w:eastAsia="仿宋_GB2312"/>
      <w:b w:val="0"/>
      <w:color w:val="auto"/>
      <w:kern w:val="24"/>
      <w:sz w:val="24"/>
      <w:szCs w:val="24"/>
    </w:rPr>
  </w:style>
  <w:style w:type="paragraph" w:customStyle="1" w:styleId="62">
    <w:name w:val="默认段落字体 Para Char Char Char Char Char Char Char Char Char Char Char Char Char Char Char Char Char Char Char Char Char Char Char Char Char Char Char Char Char Char Char"/>
    <w:basedOn w:val="1"/>
    <w:semiHidden/>
    <w:qFormat/>
    <w:uiPriority w:val="0"/>
    <w:pPr>
      <w:spacing w:afterLines="50" w:line="520" w:lineRule="exact"/>
      <w:jc w:val="center"/>
    </w:pPr>
    <w:rPr>
      <w:rFonts w:ascii="Arial" w:hAnsi="Arial" w:eastAsia="仿宋_GB2312"/>
      <w:b w:val="0"/>
      <w:color w:val="auto"/>
    </w:rPr>
  </w:style>
  <w:style w:type="paragraph" w:customStyle="1" w:styleId="63">
    <w:name w:val="1 Char Char Char Char"/>
    <w:basedOn w:val="1"/>
    <w:qFormat/>
    <w:uiPriority w:val="0"/>
    <w:rPr>
      <w:rFonts w:ascii="Tahoma" w:hAnsi="Tahoma"/>
      <w:b w:val="0"/>
      <w:color w:val="auto"/>
      <w:sz w:val="24"/>
      <w:szCs w:val="20"/>
    </w:rPr>
  </w:style>
  <w:style w:type="paragraph" w:customStyle="1" w:styleId="64">
    <w:name w:val="标准"/>
    <w:basedOn w:val="1"/>
    <w:qFormat/>
    <w:uiPriority w:val="0"/>
    <w:pPr>
      <w:adjustRightInd w:val="0"/>
      <w:spacing w:line="360" w:lineRule="auto"/>
      <w:jc w:val="center"/>
      <w:textAlignment w:val="baseline"/>
    </w:pPr>
    <w:rPr>
      <w:rFonts w:ascii="Times New Roman" w:hAnsi="Times New Roman"/>
      <w:b w:val="0"/>
      <w:color w:val="auto"/>
      <w:kern w:val="0"/>
      <w:sz w:val="24"/>
      <w:szCs w:val="20"/>
    </w:rPr>
  </w:style>
  <w:style w:type="paragraph" w:customStyle="1" w:styleId="65">
    <w:name w:val="Default"/>
    <w:qFormat/>
    <w:uiPriority w:val="0"/>
    <w:pPr>
      <w:widowControl w:val="0"/>
      <w:autoSpaceDE w:val="0"/>
      <w:autoSpaceDN w:val="0"/>
      <w:adjustRightInd w:val="0"/>
    </w:pPr>
    <w:rPr>
      <w:rFonts w:ascii="黑体" w:hAnsi="Times New Roman" w:eastAsia="黑体" w:cs="黑体"/>
      <w:color w:val="000000"/>
      <w:sz w:val="24"/>
      <w:szCs w:val="24"/>
      <w:lang w:val="en-US" w:eastAsia="zh-CN" w:bidi="ar-SA"/>
    </w:rPr>
  </w:style>
  <w:style w:type="paragraph" w:customStyle="1" w:styleId="66">
    <w:name w:val="样式 样式 宋体 小四 左 + 左  0 字符"/>
    <w:basedOn w:val="1"/>
    <w:qFormat/>
    <w:uiPriority w:val="0"/>
    <w:pPr>
      <w:spacing w:line="360" w:lineRule="auto"/>
      <w:jc w:val="left"/>
    </w:pPr>
    <w:rPr>
      <w:rFonts w:cs="宋体"/>
      <w:b w:val="0"/>
      <w:color w:val="auto"/>
      <w:sz w:val="24"/>
      <w:szCs w:val="20"/>
    </w:rPr>
  </w:style>
  <w:style w:type="paragraph" w:styleId="67">
    <w:name w:val="List Paragraph"/>
    <w:basedOn w:val="1"/>
    <w:link w:val="68"/>
    <w:qFormat/>
    <w:uiPriority w:val="34"/>
    <w:pPr>
      <w:ind w:firstLine="420" w:firstLineChars="200"/>
    </w:pPr>
  </w:style>
  <w:style w:type="character" w:customStyle="1" w:styleId="68">
    <w:name w:val="列出段落 Char"/>
    <w:link w:val="67"/>
    <w:qFormat/>
    <w:uiPriority w:val="34"/>
    <w:rPr>
      <w:rFonts w:ascii="宋体" w:hAnsi="宋体"/>
      <w:b/>
      <w:color w:val="FFFFFF"/>
      <w:kern w:val="2"/>
      <w:sz w:val="28"/>
      <w:szCs w:val="28"/>
    </w:rPr>
  </w:style>
  <w:style w:type="paragraph" w:customStyle="1" w:styleId="69">
    <w:name w:val="Char Char14 Char Char"/>
    <w:basedOn w:val="1"/>
    <w:qFormat/>
    <w:uiPriority w:val="0"/>
    <w:pPr>
      <w:widowControl/>
      <w:spacing w:after="160" w:line="240" w:lineRule="exact"/>
      <w:jc w:val="left"/>
    </w:pPr>
    <w:rPr>
      <w:rFonts w:ascii="Verdana" w:hAnsi="Verdana"/>
      <w:b w:val="0"/>
      <w:color w:val="auto"/>
      <w:kern w:val="0"/>
      <w:sz w:val="21"/>
      <w:szCs w:val="20"/>
      <w:lang w:eastAsia="en-US"/>
    </w:rPr>
  </w:style>
  <w:style w:type="paragraph" w:customStyle="1" w:styleId="70">
    <w:name w:val="zz正文"/>
    <w:basedOn w:val="1"/>
    <w:link w:val="71"/>
    <w:qFormat/>
    <w:uiPriority w:val="0"/>
    <w:pPr>
      <w:spacing w:line="360" w:lineRule="auto"/>
    </w:pPr>
    <w:rPr>
      <w:rFonts w:hAnsi="Times New Roman"/>
      <w:b w:val="0"/>
      <w:color w:val="auto"/>
      <w:kern w:val="0"/>
      <w:sz w:val="24"/>
      <w:szCs w:val="24"/>
    </w:rPr>
  </w:style>
  <w:style w:type="character" w:customStyle="1" w:styleId="71">
    <w:name w:val="zz正文 Char Char"/>
    <w:link w:val="70"/>
    <w:qFormat/>
    <w:uiPriority w:val="0"/>
    <w:rPr>
      <w:rFonts w:ascii="宋体"/>
      <w:sz w:val="24"/>
      <w:szCs w:val="24"/>
    </w:rPr>
  </w:style>
  <w:style w:type="paragraph" w:customStyle="1" w:styleId="72">
    <w:name w:val="样式 居中"/>
    <w:basedOn w:val="1"/>
    <w:qFormat/>
    <w:uiPriority w:val="0"/>
    <w:pPr>
      <w:spacing w:line="360" w:lineRule="auto"/>
      <w:jc w:val="center"/>
    </w:pPr>
    <w:rPr>
      <w:rFonts w:ascii="Times New Roman" w:hAnsi="Times New Roman" w:eastAsia="楷体_GB2312" w:cs="宋体"/>
      <w:b w:val="0"/>
      <w:color w:val="auto"/>
      <w:sz w:val="21"/>
      <w:szCs w:val="20"/>
    </w:rPr>
  </w:style>
  <w:style w:type="paragraph" w:customStyle="1" w:styleId="73">
    <w:name w:val="xl27"/>
    <w:basedOn w:val="1"/>
    <w:qFormat/>
    <w:uiPriority w:val="0"/>
    <w:pPr>
      <w:widowControl/>
      <w:spacing w:before="100" w:beforeAutospacing="1" w:after="100" w:afterAutospacing="1"/>
      <w:jc w:val="left"/>
    </w:pPr>
    <w:rPr>
      <w:b w:val="0"/>
      <w:color w:val="auto"/>
      <w:kern w:val="0"/>
      <w:sz w:val="22"/>
      <w:szCs w:val="22"/>
    </w:rPr>
  </w:style>
  <w:style w:type="paragraph" w:customStyle="1" w:styleId="74">
    <w:name w:val="纯文本1"/>
    <w:basedOn w:val="1"/>
    <w:qFormat/>
    <w:uiPriority w:val="0"/>
    <w:pPr>
      <w:autoSpaceDE w:val="0"/>
      <w:autoSpaceDN w:val="0"/>
      <w:adjustRightInd w:val="0"/>
      <w:spacing w:line="312" w:lineRule="atLeast"/>
      <w:textAlignment w:val="baseline"/>
    </w:pPr>
    <w:rPr>
      <w:rFonts w:hAnsi="Times New Roman"/>
      <w:b w:val="0"/>
      <w:color w:val="auto"/>
      <w:kern w:val="0"/>
      <w:sz w:val="21"/>
      <w:szCs w:val="20"/>
    </w:rPr>
  </w:style>
  <w:style w:type="paragraph" w:customStyle="1" w:styleId="75">
    <w:name w:val="reader-word-layer"/>
    <w:basedOn w:val="1"/>
    <w:qFormat/>
    <w:uiPriority w:val="0"/>
    <w:pPr>
      <w:widowControl/>
      <w:spacing w:before="100" w:beforeAutospacing="1" w:after="100" w:afterAutospacing="1"/>
      <w:jc w:val="left"/>
    </w:pPr>
    <w:rPr>
      <w:rFonts w:cs="宋体"/>
      <w:b w:val="0"/>
      <w:color w:val="auto"/>
      <w:kern w:val="0"/>
      <w:sz w:val="24"/>
      <w:szCs w:val="24"/>
    </w:rPr>
  </w:style>
  <w:style w:type="paragraph" w:customStyle="1" w:styleId="76">
    <w:name w:val="仿宋正文"/>
    <w:basedOn w:val="1"/>
    <w:link w:val="77"/>
    <w:qFormat/>
    <w:uiPriority w:val="0"/>
    <w:pPr>
      <w:adjustRightInd w:val="0"/>
      <w:snapToGrid w:val="0"/>
      <w:spacing w:line="360" w:lineRule="auto"/>
      <w:ind w:firstLine="480" w:firstLineChars="200"/>
    </w:pPr>
    <w:rPr>
      <w:b w:val="0"/>
      <w:color w:val="auto"/>
      <w:sz w:val="24"/>
      <w:szCs w:val="24"/>
    </w:rPr>
  </w:style>
  <w:style w:type="character" w:customStyle="1" w:styleId="77">
    <w:name w:val="仿宋正文 Char"/>
    <w:link w:val="76"/>
    <w:qFormat/>
    <w:uiPriority w:val="0"/>
    <w:rPr>
      <w:rFonts w:ascii="宋体" w:hAnsi="宋体"/>
      <w:kern w:val="2"/>
      <w:sz w:val="24"/>
      <w:szCs w:val="24"/>
    </w:rPr>
  </w:style>
  <w:style w:type="paragraph" w:styleId="78">
    <w:name w:val="No Spacing"/>
    <w:link w:val="79"/>
    <w:qFormat/>
    <w:uiPriority w:val="1"/>
    <w:pPr>
      <w:jc w:val="center"/>
    </w:pPr>
    <w:rPr>
      <w:rFonts w:ascii="Calibri" w:hAnsi="Calibri" w:eastAsia="宋体" w:cs="Times New Roman"/>
      <w:sz w:val="21"/>
      <w:szCs w:val="21"/>
      <w:lang w:val="en-US" w:eastAsia="zh-CN" w:bidi="ar-SA"/>
    </w:rPr>
  </w:style>
  <w:style w:type="character" w:customStyle="1" w:styleId="79">
    <w:name w:val="无间隔 Char"/>
    <w:link w:val="78"/>
    <w:qFormat/>
    <w:uiPriority w:val="1"/>
    <w:rPr>
      <w:rFonts w:ascii="Calibri" w:hAnsi="Calibri"/>
      <w:sz w:val="21"/>
      <w:szCs w:val="21"/>
      <w:lang w:bidi="ar-SA"/>
    </w:rPr>
  </w:style>
  <w:style w:type="paragraph" w:customStyle="1" w:styleId="80">
    <w:name w:val="条文A"/>
    <w:basedOn w:val="1"/>
    <w:qFormat/>
    <w:uiPriority w:val="0"/>
    <w:pPr>
      <w:tabs>
        <w:tab w:val="left" w:pos="1125"/>
      </w:tabs>
      <w:spacing w:line="520" w:lineRule="exact"/>
      <w:ind w:left="1125" w:right="210" w:hanging="420"/>
    </w:pPr>
    <w:rPr>
      <w:rFonts w:ascii="Times New Roman" w:hAnsi="Times New Roman" w:cs="宋体"/>
      <w:b w:val="0"/>
      <w:color w:val="auto"/>
      <w:szCs w:val="20"/>
    </w:rPr>
  </w:style>
  <w:style w:type="paragraph" w:customStyle="1" w:styleId="81">
    <w:name w:val="表格文字"/>
    <w:link w:val="82"/>
    <w:qFormat/>
    <w:uiPriority w:val="0"/>
    <w:pPr>
      <w:jc w:val="center"/>
    </w:pPr>
    <w:rPr>
      <w:rFonts w:ascii="宋体" w:hAnsi="Times New Roman" w:eastAsia="宋体" w:cs="Times New Roman"/>
      <w:sz w:val="21"/>
      <w:lang w:val="en-US" w:eastAsia="zh-CN" w:bidi="ar-SA"/>
    </w:rPr>
  </w:style>
  <w:style w:type="character" w:customStyle="1" w:styleId="82">
    <w:name w:val="表格文字 Char"/>
    <w:link w:val="81"/>
    <w:qFormat/>
    <w:uiPriority w:val="0"/>
    <w:rPr>
      <w:rFonts w:ascii="宋体"/>
      <w:sz w:val="21"/>
      <w:lang w:bidi="ar-SA"/>
    </w:rPr>
  </w:style>
  <w:style w:type="paragraph" w:customStyle="1" w:styleId="83">
    <w:name w:val="样式 正文段落 + 首行缩进:  2 字符"/>
    <w:basedOn w:val="1"/>
    <w:link w:val="84"/>
    <w:qFormat/>
    <w:uiPriority w:val="0"/>
    <w:pPr>
      <w:widowControl/>
      <w:spacing w:line="360" w:lineRule="auto"/>
      <w:ind w:firstLine="480" w:firstLineChars="200"/>
      <w:jc w:val="left"/>
    </w:pPr>
    <w:rPr>
      <w:rFonts w:ascii="仿宋_GB2312" w:hAnsi="Calibri" w:eastAsia="仿宋_GB2312"/>
      <w:b w:val="0"/>
      <w:color w:val="auto"/>
      <w:sz w:val="24"/>
      <w:szCs w:val="24"/>
    </w:rPr>
  </w:style>
  <w:style w:type="character" w:customStyle="1" w:styleId="84">
    <w:name w:val="样式 正文段落 + 首行缩进:  2 字符 Char"/>
    <w:link w:val="83"/>
    <w:qFormat/>
    <w:uiPriority w:val="0"/>
    <w:rPr>
      <w:rFonts w:ascii="仿宋_GB2312" w:hAnsi="Calibri" w:eastAsia="仿宋_GB2312" w:cs="宋体"/>
      <w:kern w:val="2"/>
      <w:sz w:val="24"/>
      <w:szCs w:val="24"/>
    </w:rPr>
  </w:style>
  <w:style w:type="paragraph" w:customStyle="1" w:styleId="85">
    <w:name w:val="表格5号字"/>
    <w:basedOn w:val="1"/>
    <w:link w:val="86"/>
    <w:qFormat/>
    <w:uiPriority w:val="0"/>
    <w:pPr>
      <w:snapToGrid w:val="0"/>
      <w:spacing w:beforeLines="10" w:afterLines="10" w:line="240" w:lineRule="exact"/>
      <w:jc w:val="center"/>
      <w:textAlignment w:val="center"/>
    </w:pPr>
    <w:rPr>
      <w:b w:val="0"/>
      <w:color w:val="auto"/>
      <w:kern w:val="0"/>
      <w:sz w:val="21"/>
      <w:szCs w:val="24"/>
      <w:lang w:val="en-GB"/>
    </w:rPr>
  </w:style>
  <w:style w:type="character" w:customStyle="1" w:styleId="86">
    <w:name w:val="表格5号字 Char"/>
    <w:link w:val="85"/>
    <w:qFormat/>
    <w:uiPriority w:val="0"/>
    <w:rPr>
      <w:rFonts w:ascii="宋体" w:hAnsi="宋体" w:cs="宋体"/>
      <w:sz w:val="21"/>
      <w:szCs w:val="24"/>
      <w:lang w:val="en-GB"/>
    </w:rPr>
  </w:style>
  <w:style w:type="paragraph" w:customStyle="1" w:styleId="87">
    <w:name w:val="表头加粗"/>
    <w:basedOn w:val="1"/>
    <w:link w:val="88"/>
    <w:qFormat/>
    <w:uiPriority w:val="0"/>
    <w:pPr>
      <w:spacing w:before="10" w:after="10" w:line="200" w:lineRule="exact"/>
    </w:pPr>
    <w:rPr>
      <w:b w:val="0"/>
      <w:bCs/>
      <w:color w:val="auto"/>
      <w:spacing w:val="-20"/>
      <w:kern w:val="0"/>
      <w:sz w:val="18"/>
      <w:szCs w:val="18"/>
    </w:rPr>
  </w:style>
  <w:style w:type="character" w:customStyle="1" w:styleId="88">
    <w:name w:val="表头加粗 Char"/>
    <w:link w:val="87"/>
    <w:qFormat/>
    <w:uiPriority w:val="0"/>
    <w:rPr>
      <w:rFonts w:ascii="宋体" w:hAnsi="宋体" w:eastAsia="宋体" w:cs="宋体"/>
      <w:bCs/>
      <w:spacing w:val="-20"/>
      <w:sz w:val="18"/>
      <w:szCs w:val="18"/>
    </w:rPr>
  </w:style>
  <w:style w:type="paragraph" w:customStyle="1" w:styleId="89">
    <w:name w:val="加粗小标"/>
    <w:basedOn w:val="1"/>
    <w:next w:val="1"/>
    <w:qFormat/>
    <w:uiPriority w:val="0"/>
    <w:pPr>
      <w:spacing w:line="360" w:lineRule="auto"/>
      <w:ind w:left="1" w:leftChars="1" w:hanging="17" w:hangingChars="7"/>
      <w:textAlignment w:val="center"/>
      <w:outlineLvl w:val="4"/>
    </w:pPr>
    <w:rPr>
      <w:b w:val="0"/>
      <w:color w:val="auto"/>
      <w:sz w:val="24"/>
      <w:szCs w:val="24"/>
    </w:rPr>
  </w:style>
  <w:style w:type="paragraph" w:customStyle="1" w:styleId="90">
    <w:name w:val="Char Char Char Char Char Char Char Char1 Char"/>
    <w:basedOn w:val="1"/>
    <w:qFormat/>
    <w:uiPriority w:val="0"/>
    <w:rPr>
      <w:rFonts w:ascii="Tahoma" w:hAnsi="Tahoma"/>
      <w:b w:val="0"/>
      <w:color w:val="auto"/>
      <w:sz w:val="24"/>
      <w:szCs w:val="20"/>
    </w:rPr>
  </w:style>
  <w:style w:type="paragraph" w:customStyle="1" w:styleId="91">
    <w:name w:val="标题2"/>
    <w:basedOn w:val="1"/>
    <w:next w:val="1"/>
    <w:qFormat/>
    <w:uiPriority w:val="0"/>
    <w:pPr>
      <w:tabs>
        <w:tab w:val="left" w:pos="540"/>
      </w:tabs>
      <w:spacing w:line="360" w:lineRule="auto"/>
      <w:outlineLvl w:val="1"/>
    </w:pPr>
    <w:rPr>
      <w:rFonts w:ascii="Times New Roman" w:hAnsi="Times New Roman"/>
      <w:color w:val="0000FF"/>
      <w:sz w:val="24"/>
      <w:szCs w:val="24"/>
    </w:rPr>
  </w:style>
  <w:style w:type="paragraph" w:customStyle="1" w:styleId="92">
    <w:name w:val="Char1"/>
    <w:basedOn w:val="1"/>
    <w:qFormat/>
    <w:uiPriority w:val="0"/>
    <w:rPr>
      <w:rFonts w:ascii="Times New Roman" w:hAnsi="Times New Roman"/>
      <w:b w:val="0"/>
      <w:color w:val="auto"/>
      <w:sz w:val="21"/>
      <w:szCs w:val="20"/>
    </w:rPr>
  </w:style>
  <w:style w:type="paragraph" w:customStyle="1" w:styleId="93">
    <w:name w:val="TOC 标题1"/>
    <w:basedOn w:val="2"/>
    <w:next w:val="1"/>
    <w:unhideWhenUsed/>
    <w:qFormat/>
    <w:uiPriority w:val="39"/>
    <w:pPr>
      <w:keepNext/>
      <w:keepLines/>
      <w:widowControl/>
      <w:numPr>
        <w:numId w:val="0"/>
      </w:numPr>
      <w:spacing w:beforeLines="0" w:afterLines="0" w:line="276" w:lineRule="auto"/>
      <w:jc w:val="left"/>
      <w:outlineLvl w:val="9"/>
    </w:pPr>
    <w:rPr>
      <w:rFonts w:ascii="Cambria" w:hAnsi="Cambria" w:eastAsia="宋体"/>
      <w:bCs/>
      <w:color w:val="365F91"/>
      <w:kern w:val="0"/>
    </w:rPr>
  </w:style>
  <w:style w:type="paragraph" w:customStyle="1" w:styleId="94">
    <w:name w:val="正文格式"/>
    <w:basedOn w:val="1"/>
    <w:qFormat/>
    <w:uiPriority w:val="0"/>
    <w:pPr>
      <w:spacing w:line="360" w:lineRule="auto"/>
      <w:ind w:firstLine="480" w:firstLineChars="200"/>
      <w:jc w:val="left"/>
    </w:pPr>
    <w:rPr>
      <w:rFonts w:ascii="Times New Roman" w:hAnsi="Times New Roman" w:cs="宋体"/>
      <w:b w:val="0"/>
      <w:snapToGrid w:val="0"/>
      <w:color w:val="auto"/>
      <w:sz w:val="24"/>
      <w:szCs w:val="20"/>
    </w:rPr>
  </w:style>
  <w:style w:type="paragraph" w:customStyle="1" w:styleId="95">
    <w:name w:val="图名格式"/>
    <w:basedOn w:val="94"/>
    <w:qFormat/>
    <w:uiPriority w:val="0"/>
    <w:pPr>
      <w:spacing w:line="240" w:lineRule="auto"/>
      <w:ind w:firstLine="0" w:firstLineChars="0"/>
      <w:jc w:val="center"/>
    </w:pPr>
    <w:rPr>
      <w:b/>
      <w:snapToGrid/>
      <w:sz w:val="21"/>
    </w:rPr>
  </w:style>
  <w:style w:type="table" w:customStyle="1" w:styleId="96">
    <w:name w:val="边框1.5磅内框0.5磅"/>
    <w:basedOn w:val="32"/>
    <w:qFormat/>
    <w:uiPriority w:val="99"/>
    <w:pPr>
      <w:jc w:val="center"/>
    </w:pPr>
    <w:rPr>
      <w:sz w:val="21"/>
    </w:rPr>
    <w:tblPr>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
    <w:trPr>
      <w:jc w:val="center"/>
    </w:trPr>
    <w:tcPr>
      <w:vAlign w:val="center"/>
    </w:tcPr>
  </w:style>
  <w:style w:type="paragraph" w:customStyle="1" w:styleId="97">
    <w:name w:val="图表内容格式"/>
    <w:basedOn w:val="94"/>
    <w:qFormat/>
    <w:uiPriority w:val="0"/>
    <w:pPr>
      <w:spacing w:line="240" w:lineRule="auto"/>
      <w:ind w:firstLine="0" w:firstLineChars="0"/>
      <w:jc w:val="center"/>
    </w:pPr>
    <w:rPr>
      <w:snapToGrid/>
      <w:sz w:val="21"/>
    </w:rPr>
  </w:style>
  <w:style w:type="paragraph" w:customStyle="1" w:styleId="98">
    <w:name w:val="表名样式"/>
    <w:basedOn w:val="95"/>
    <w:qFormat/>
    <w:uiPriority w:val="0"/>
    <w:pPr>
      <w:jc w:val="right"/>
    </w:pPr>
  </w:style>
  <w:style w:type="character" w:customStyle="1" w:styleId="99">
    <w:name w:val="样式 标题 3style3h3H3sect1.2.3标题 3 Char Charsect1.2.31sect1.2...3 Char Char"/>
    <w:link w:val="100"/>
    <w:qFormat/>
    <w:uiPriority w:val="0"/>
    <w:rPr>
      <w:rFonts w:ascii="宋体" w:hAnsi="宋体"/>
      <w:b/>
      <w:bCs/>
      <w:kern w:val="2"/>
      <w:sz w:val="32"/>
      <w:szCs w:val="32"/>
    </w:rPr>
  </w:style>
  <w:style w:type="paragraph" w:customStyle="1" w:styleId="100">
    <w:name w:val="样式 标题 3style3h3H3sect1.2.3标题 3 Char Charsect1.2.31sect1.2...3"/>
    <w:basedOn w:val="4"/>
    <w:link w:val="99"/>
    <w:qFormat/>
    <w:uiPriority w:val="0"/>
    <w:pPr>
      <w:numPr>
        <w:ilvl w:val="0"/>
        <w:numId w:val="0"/>
      </w:numPr>
      <w:spacing w:before="260" w:after="260" w:line="416" w:lineRule="auto"/>
    </w:pPr>
    <w:rPr>
      <w:rFonts w:ascii="宋体" w:eastAsia="宋体"/>
      <w:bCs/>
      <w:color w:val="auto"/>
      <w:sz w:val="32"/>
      <w:szCs w:val="32"/>
    </w:rPr>
  </w:style>
  <w:style w:type="paragraph" w:customStyle="1" w:styleId="101">
    <w:name w:val="7说明正文"/>
    <w:basedOn w:val="1"/>
    <w:qFormat/>
    <w:uiPriority w:val="0"/>
    <w:pPr>
      <w:spacing w:line="360" w:lineRule="auto"/>
      <w:ind w:left="420" w:leftChars="200" w:firstLine="480" w:firstLineChars="200"/>
    </w:pPr>
    <w:rPr>
      <w:rFonts w:ascii="Times New Roman" w:hAnsi="Times New Roman"/>
      <w:b w:val="0"/>
      <w:color w:val="auto"/>
      <w:sz w:val="24"/>
      <w:szCs w:val="20"/>
    </w:rPr>
  </w:style>
  <w:style w:type="paragraph" w:customStyle="1" w:styleId="102">
    <w:name w:val="！正文"/>
    <w:basedOn w:val="1"/>
    <w:link w:val="103"/>
    <w:qFormat/>
    <w:uiPriority w:val="0"/>
    <w:pPr>
      <w:spacing w:line="360" w:lineRule="auto"/>
      <w:ind w:firstLine="480" w:firstLineChars="200"/>
    </w:pPr>
    <w:rPr>
      <w:rFonts w:ascii="Arial" w:hAnsi="Arial"/>
      <w:b w:val="0"/>
      <w:color w:val="auto"/>
      <w:sz w:val="24"/>
      <w:szCs w:val="24"/>
    </w:rPr>
  </w:style>
  <w:style w:type="character" w:customStyle="1" w:styleId="103">
    <w:name w:val="！正文 Char"/>
    <w:link w:val="102"/>
    <w:qFormat/>
    <w:uiPriority w:val="0"/>
    <w:rPr>
      <w:rFonts w:ascii="Arial" w:hAnsi="Arial"/>
      <w:kern w:val="2"/>
      <w:sz w:val="24"/>
      <w:szCs w:val="24"/>
    </w:rPr>
  </w:style>
  <w:style w:type="character" w:customStyle="1" w:styleId="104">
    <w:name w:val="未处理的提及1"/>
    <w:semiHidden/>
    <w:unhideWhenUsed/>
    <w:qFormat/>
    <w:uiPriority w:val="99"/>
    <w:rPr>
      <w:color w:val="605E5C"/>
      <w:shd w:val="clear" w:color="auto" w:fill="E1DFDD"/>
    </w:rPr>
  </w:style>
  <w:style w:type="paragraph" w:customStyle="1" w:styleId="105">
    <w:name w:val="2"/>
    <w:basedOn w:val="1"/>
    <w:next w:val="1"/>
    <w:unhideWhenUsed/>
    <w:qFormat/>
    <w:uiPriority w:val="39"/>
    <w:pPr>
      <w:ind w:left="3360" w:leftChars="1600"/>
    </w:pPr>
    <w:rPr>
      <w:rFonts w:ascii="Calibri" w:hAnsi="Calibri"/>
      <w:b w:val="0"/>
      <w:color w:val="auto"/>
      <w:sz w:val="21"/>
      <w:szCs w:val="22"/>
    </w:rPr>
  </w:style>
  <w:style w:type="character" w:customStyle="1" w:styleId="106">
    <w:name w:val="正文缩进 字符"/>
    <w:qFormat/>
    <w:uiPriority w:val="0"/>
    <w:rPr>
      <w:kern w:val="2"/>
      <w:sz w:val="24"/>
    </w:rPr>
  </w:style>
  <w:style w:type="paragraph" w:customStyle="1" w:styleId="107">
    <w:name w:val="列出段落1"/>
    <w:basedOn w:val="1"/>
    <w:qFormat/>
    <w:uiPriority w:val="34"/>
    <w:pPr>
      <w:spacing w:line="360" w:lineRule="auto"/>
      <w:ind w:firstLine="420" w:firstLineChars="200"/>
    </w:pPr>
    <w:rPr>
      <w:rFonts w:ascii="Calibri" w:hAnsi="Calibri"/>
      <w:b w:val="0"/>
      <w:color w:val="auto"/>
      <w:sz w:val="24"/>
      <w:szCs w:val="22"/>
    </w:rPr>
  </w:style>
  <w:style w:type="paragraph" w:customStyle="1" w:styleId="108">
    <w:name w:val="样式 标题 2 Char Charmystyle2style2标题 2 Char节标题 Char节标题2nd le...1"/>
    <w:basedOn w:val="3"/>
    <w:qFormat/>
    <w:uiPriority w:val="0"/>
    <w:pPr>
      <w:numPr>
        <w:ilvl w:val="0"/>
        <w:numId w:val="0"/>
      </w:numPr>
      <w:spacing w:before="260" w:after="260" w:line="240" w:lineRule="auto"/>
    </w:pPr>
    <w:rPr>
      <w:rFonts w:hAnsi="Arial" w:cs="宋体"/>
      <w:color w:val="auto"/>
      <w:sz w:val="32"/>
      <w:szCs w:val="20"/>
    </w:rPr>
  </w:style>
  <w:style w:type="paragraph" w:customStyle="1" w:styleId="109">
    <w:name w:val="1"/>
    <w:basedOn w:val="12"/>
    <w:next w:val="31"/>
    <w:qFormat/>
    <w:uiPriority w:val="0"/>
    <w:pPr>
      <w:ind w:firstLine="420" w:firstLineChars="100"/>
    </w:pPr>
  </w:style>
  <w:style w:type="paragraph" w:customStyle="1" w:styleId="110">
    <w:name w:val="Char Char Char Char Char Char2 Char"/>
    <w:basedOn w:val="1"/>
    <w:qFormat/>
    <w:uiPriority w:val="0"/>
    <w:pPr>
      <w:spacing w:line="360" w:lineRule="auto"/>
      <w:ind w:firstLine="200" w:firstLineChars="200"/>
    </w:pPr>
    <w:rPr>
      <w:rFonts w:cs="宋体"/>
      <w:b w:val="0"/>
      <w:color w:val="000000"/>
      <w:sz w:val="24"/>
      <w:szCs w:val="24"/>
    </w:rPr>
  </w:style>
  <w:style w:type="paragraph" w:customStyle="1" w:styleId="111">
    <w:name w:val="要点1"/>
    <w:basedOn w:val="8"/>
    <w:qFormat/>
    <w:uiPriority w:val="0"/>
    <w:pPr>
      <w:numPr>
        <w:ilvl w:val="0"/>
        <w:numId w:val="3"/>
      </w:numPr>
      <w:adjustRightInd w:val="0"/>
      <w:snapToGrid w:val="0"/>
      <w:spacing w:beforeLines="50" w:line="360" w:lineRule="exact"/>
      <w:ind w:right="567" w:rightChars="270" w:firstLine="0"/>
    </w:pPr>
    <w:rPr>
      <w:sz w:val="21"/>
    </w:rPr>
  </w:style>
  <w:style w:type="character" w:customStyle="1" w:styleId="112">
    <w:name w:val="bjh-p"/>
    <w:qFormat/>
    <w:uiPriority w:val="0"/>
  </w:style>
  <w:style w:type="character" w:customStyle="1" w:styleId="113">
    <w:name w:val="bjh-strong"/>
    <w:qFormat/>
    <w:uiPriority w:val="0"/>
  </w:style>
  <w:style w:type="paragraph" w:customStyle="1" w:styleId="114">
    <w:name w:val="CM56"/>
    <w:basedOn w:val="1"/>
    <w:next w:val="1"/>
    <w:qFormat/>
    <w:uiPriority w:val="0"/>
    <w:pPr>
      <w:autoSpaceDE w:val="0"/>
      <w:autoSpaceDN w:val="0"/>
      <w:adjustRightInd w:val="0"/>
      <w:spacing w:after="378"/>
      <w:jc w:val="left"/>
    </w:pPr>
    <w:rPr>
      <w:rFonts w:hAnsi="Times New Roman"/>
      <w:b w:val="0"/>
      <w:color w:val="000000"/>
      <w:kern w:val="0"/>
      <w:sz w:val="24"/>
      <w:szCs w:val="24"/>
    </w:rPr>
  </w:style>
  <w:style w:type="paragraph" w:customStyle="1" w:styleId="115">
    <w:name w:val="表头"/>
    <w:qFormat/>
    <w:uiPriority w:val="0"/>
    <w:pPr>
      <w:adjustRightInd w:val="0"/>
      <w:snapToGrid w:val="0"/>
      <w:spacing w:beforeLines="50" w:afterLines="50" w:line="500" w:lineRule="exact"/>
      <w:jc w:val="center"/>
    </w:pPr>
    <w:rPr>
      <w:rFonts w:ascii="Times New Roman" w:hAnsi="Times New Roman" w:eastAsia="宋体" w:cs="Times New Roman"/>
      <w:color w:val="000000"/>
      <w:spacing w:val="10"/>
      <w:kern w:val="2"/>
      <w:sz w:val="24"/>
      <w:szCs w:val="24"/>
      <w:lang w:val="en-US" w:eastAsia="zh-CN" w:bidi="ar-SA"/>
    </w:rPr>
  </w:style>
  <w:style w:type="character" w:customStyle="1" w:styleId="116">
    <w:name w:val="04正文 Char Char"/>
    <w:link w:val="117"/>
    <w:qFormat/>
    <w:uiPriority w:val="0"/>
    <w:rPr>
      <w:rFonts w:ascii="宋体" w:hAnsi="宋体" w:cs="宋体"/>
      <w:kern w:val="2"/>
      <w:sz w:val="24"/>
    </w:rPr>
  </w:style>
  <w:style w:type="paragraph" w:customStyle="1" w:styleId="117">
    <w:name w:val="04正文"/>
    <w:basedOn w:val="1"/>
    <w:link w:val="116"/>
    <w:qFormat/>
    <w:uiPriority w:val="0"/>
    <w:pPr>
      <w:spacing w:line="360" w:lineRule="auto"/>
      <w:ind w:firstLine="200" w:firstLineChars="200"/>
    </w:pPr>
    <w:rPr>
      <w:b w:val="0"/>
      <w:color w:val="auto"/>
      <w:sz w:val="24"/>
      <w:szCs w:val="20"/>
    </w:rPr>
  </w:style>
  <w:style w:type="paragraph" w:customStyle="1" w:styleId="118">
    <w:name w:val="正文的格式1.5倍行距"/>
    <w:basedOn w:val="1"/>
    <w:link w:val="119"/>
    <w:qFormat/>
    <w:uiPriority w:val="0"/>
    <w:pPr>
      <w:spacing w:line="360" w:lineRule="auto"/>
      <w:ind w:firstLine="200" w:firstLineChars="200"/>
    </w:pPr>
    <w:rPr>
      <w:rFonts w:ascii="Times New Roman" w:hAnsi="Times New Roman"/>
      <w:b w:val="0"/>
      <w:color w:val="auto"/>
      <w:szCs w:val="20"/>
    </w:rPr>
  </w:style>
  <w:style w:type="character" w:customStyle="1" w:styleId="119">
    <w:name w:val="正文的格式1.5倍行距 Char Char"/>
    <w:link w:val="118"/>
    <w:qFormat/>
    <w:uiPriority w:val="0"/>
    <w:rPr>
      <w:kern w:val="2"/>
      <w:sz w:val="28"/>
    </w:rPr>
  </w:style>
  <w:style w:type="paragraph" w:customStyle="1" w:styleId="120">
    <w:name w:val="0正文"/>
    <w:basedOn w:val="1"/>
    <w:qFormat/>
    <w:uiPriority w:val="0"/>
    <w:pPr>
      <w:spacing w:line="360" w:lineRule="auto"/>
      <w:ind w:firstLine="480"/>
      <w:jc w:val="left"/>
    </w:pPr>
    <w:rPr>
      <w:rFonts w:ascii="Calibri" w:hAnsi="Calibri"/>
      <w:b w:val="0"/>
      <w:color w:val="auto"/>
      <w:kern w:val="0"/>
      <w:sz w:val="24"/>
      <w:szCs w:val="20"/>
      <w:lang w:bidi="en-US"/>
    </w:rPr>
  </w:style>
  <w:style w:type="paragraph" w:customStyle="1" w:styleId="121">
    <w:name w:val="xl7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top"/>
    </w:pPr>
    <w:rPr>
      <w:rFonts w:ascii="仿宋_GB2312" w:eastAsia="仿宋_GB2312" w:cs="宋体"/>
      <w:b w:val="0"/>
      <w:color w:val="FF0000"/>
      <w:kern w:val="0"/>
      <w:sz w:val="20"/>
      <w:szCs w:val="20"/>
    </w:rPr>
  </w:style>
  <w:style w:type="paragraph" w:customStyle="1" w:styleId="122">
    <w:name w:val="表格0000000000000000"/>
    <w:basedOn w:val="1"/>
    <w:qFormat/>
    <w:uiPriority w:val="0"/>
    <w:rPr>
      <w:rFonts w:ascii="Times New Roman" w:hAnsi="Times New Roman"/>
      <w:b w:val="0"/>
      <w:color w:val="auto"/>
      <w:sz w:val="21"/>
      <w:szCs w:val="24"/>
    </w:rPr>
  </w:style>
  <w:style w:type="paragraph" w:customStyle="1" w:styleId="123">
    <w:name w:val="Char"/>
    <w:basedOn w:val="1"/>
    <w:semiHidden/>
    <w:qFormat/>
    <w:uiPriority w:val="0"/>
    <w:pPr>
      <w:spacing w:afterLines="50" w:line="520" w:lineRule="exact"/>
      <w:jc w:val="center"/>
    </w:pPr>
    <w:rPr>
      <w:rFonts w:ascii="Arial" w:hAnsi="Arial" w:eastAsia="仿宋_GB2312"/>
      <w:b w:val="0"/>
      <w:color w:val="auto"/>
    </w:rPr>
  </w:style>
  <w:style w:type="paragraph" w:customStyle="1" w:styleId="124">
    <w:name w:val="样式 首行缩进:  2 字符"/>
    <w:basedOn w:val="1"/>
    <w:qFormat/>
    <w:uiPriority w:val="0"/>
    <w:pPr>
      <w:ind w:firstLine="560" w:firstLineChars="200"/>
    </w:pPr>
    <w:rPr>
      <w:rFonts w:ascii="Times New Roman" w:hAnsi="Times New Roman" w:eastAsia="仿宋_GB2312"/>
      <w:b w:val="0"/>
      <w:color w:val="auto"/>
      <w:sz w:val="24"/>
      <w:szCs w:val="20"/>
    </w:rPr>
  </w:style>
  <w:style w:type="paragraph" w:customStyle="1" w:styleId="125">
    <w:name w:val="font5"/>
    <w:basedOn w:val="1"/>
    <w:qFormat/>
    <w:uiPriority w:val="0"/>
    <w:pPr>
      <w:widowControl/>
      <w:spacing w:before="100" w:beforeAutospacing="1" w:after="100" w:afterAutospacing="1"/>
      <w:jc w:val="left"/>
    </w:pPr>
    <w:rPr>
      <w:rFonts w:cs="宋体"/>
      <w:b w:val="0"/>
      <w:color w:val="auto"/>
      <w:kern w:val="0"/>
      <w:sz w:val="20"/>
      <w:szCs w:val="20"/>
    </w:rPr>
  </w:style>
  <w:style w:type="paragraph" w:customStyle="1" w:styleId="126">
    <w:name w:val="font6"/>
    <w:basedOn w:val="1"/>
    <w:qFormat/>
    <w:uiPriority w:val="0"/>
    <w:pPr>
      <w:widowControl/>
      <w:spacing w:before="100" w:beforeAutospacing="1" w:after="100" w:afterAutospacing="1"/>
      <w:jc w:val="left"/>
    </w:pPr>
    <w:rPr>
      <w:rFonts w:ascii="Times New Roman" w:hAnsi="Times New Roman"/>
      <w:b w:val="0"/>
      <w:color w:val="auto"/>
      <w:kern w:val="0"/>
      <w:sz w:val="20"/>
      <w:szCs w:val="20"/>
    </w:rPr>
  </w:style>
  <w:style w:type="paragraph" w:customStyle="1" w:styleId="127">
    <w:name w:val="font7"/>
    <w:basedOn w:val="1"/>
    <w:qFormat/>
    <w:uiPriority w:val="0"/>
    <w:pPr>
      <w:widowControl/>
      <w:spacing w:before="100" w:beforeAutospacing="1" w:after="100" w:afterAutospacing="1"/>
      <w:jc w:val="left"/>
    </w:pPr>
    <w:rPr>
      <w:rFonts w:cs="宋体"/>
      <w:b w:val="0"/>
      <w:color w:val="auto"/>
      <w:kern w:val="0"/>
      <w:sz w:val="18"/>
      <w:szCs w:val="18"/>
    </w:rPr>
  </w:style>
  <w:style w:type="paragraph" w:customStyle="1" w:styleId="128">
    <w:name w:val="font8"/>
    <w:basedOn w:val="1"/>
    <w:qFormat/>
    <w:uiPriority w:val="0"/>
    <w:pPr>
      <w:widowControl/>
      <w:spacing w:before="100" w:beforeAutospacing="1" w:after="100" w:afterAutospacing="1"/>
      <w:jc w:val="left"/>
    </w:pPr>
    <w:rPr>
      <w:rFonts w:cs="宋体"/>
      <w:b w:val="0"/>
      <w:color w:val="auto"/>
      <w:kern w:val="0"/>
      <w:sz w:val="18"/>
      <w:szCs w:val="18"/>
    </w:rPr>
  </w:style>
  <w:style w:type="paragraph" w:customStyle="1" w:styleId="129">
    <w:name w:val="font9"/>
    <w:basedOn w:val="1"/>
    <w:qFormat/>
    <w:uiPriority w:val="0"/>
    <w:pPr>
      <w:widowControl/>
      <w:spacing w:before="100" w:beforeAutospacing="1" w:after="100" w:afterAutospacing="1"/>
      <w:jc w:val="left"/>
    </w:pPr>
    <w:rPr>
      <w:rFonts w:cs="宋体"/>
      <w:b w:val="0"/>
      <w:color w:val="auto"/>
      <w:kern w:val="0"/>
      <w:sz w:val="20"/>
      <w:szCs w:val="20"/>
    </w:rPr>
  </w:style>
  <w:style w:type="paragraph" w:customStyle="1" w:styleId="130">
    <w:name w:val="font10"/>
    <w:basedOn w:val="1"/>
    <w:qFormat/>
    <w:uiPriority w:val="0"/>
    <w:pPr>
      <w:widowControl/>
      <w:spacing w:before="100" w:beforeAutospacing="1" w:after="100" w:afterAutospacing="1"/>
      <w:jc w:val="left"/>
    </w:pPr>
    <w:rPr>
      <w:rFonts w:cs="宋体"/>
      <w:b w:val="0"/>
      <w:color w:val="auto"/>
      <w:kern w:val="0"/>
      <w:sz w:val="20"/>
      <w:szCs w:val="20"/>
    </w:rPr>
  </w:style>
  <w:style w:type="paragraph" w:customStyle="1" w:styleId="131">
    <w:name w:val="font11"/>
    <w:basedOn w:val="1"/>
    <w:qFormat/>
    <w:uiPriority w:val="0"/>
    <w:pPr>
      <w:widowControl/>
      <w:spacing w:before="100" w:beforeAutospacing="1" w:after="100" w:afterAutospacing="1"/>
      <w:jc w:val="left"/>
    </w:pPr>
    <w:rPr>
      <w:rFonts w:cs="宋体"/>
      <w:b w:val="0"/>
      <w:color w:val="auto"/>
      <w:kern w:val="0"/>
      <w:sz w:val="20"/>
      <w:szCs w:val="20"/>
    </w:rPr>
  </w:style>
  <w:style w:type="paragraph" w:customStyle="1" w:styleId="132">
    <w:name w:val="xl76"/>
    <w:basedOn w:val="1"/>
    <w:qFormat/>
    <w:uiPriority w:val="0"/>
    <w:pPr>
      <w:widowControl/>
      <w:spacing w:before="100" w:beforeAutospacing="1" w:after="100" w:afterAutospacing="1"/>
      <w:jc w:val="left"/>
    </w:pPr>
    <w:rPr>
      <w:rFonts w:ascii="Times New Roman" w:hAnsi="Times New Roman"/>
      <w:b w:val="0"/>
      <w:color w:val="000000"/>
      <w:kern w:val="0"/>
      <w:sz w:val="24"/>
      <w:szCs w:val="24"/>
    </w:rPr>
  </w:style>
  <w:style w:type="paragraph" w:customStyle="1" w:styleId="133">
    <w:name w:val="xl7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auto"/>
      <w:kern w:val="0"/>
      <w:sz w:val="20"/>
      <w:szCs w:val="20"/>
    </w:rPr>
  </w:style>
  <w:style w:type="paragraph" w:customStyle="1" w:styleId="134">
    <w:name w:val="xl7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cs="宋体"/>
      <w:b w:val="0"/>
      <w:color w:val="auto"/>
      <w:kern w:val="0"/>
      <w:sz w:val="20"/>
      <w:szCs w:val="20"/>
    </w:rPr>
  </w:style>
  <w:style w:type="paragraph" w:customStyle="1" w:styleId="135">
    <w:name w:val="xl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auto"/>
      <w:kern w:val="0"/>
      <w:sz w:val="20"/>
      <w:szCs w:val="20"/>
    </w:rPr>
  </w:style>
  <w:style w:type="paragraph" w:customStyle="1" w:styleId="136">
    <w:name w:val="xl8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Cs/>
      <w:color w:val="auto"/>
      <w:kern w:val="0"/>
      <w:sz w:val="20"/>
      <w:szCs w:val="20"/>
    </w:rPr>
  </w:style>
  <w:style w:type="paragraph" w:customStyle="1" w:styleId="137">
    <w:name w:val="xl8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Cs/>
      <w:color w:val="auto"/>
      <w:kern w:val="0"/>
      <w:sz w:val="20"/>
      <w:szCs w:val="20"/>
    </w:rPr>
  </w:style>
  <w:style w:type="paragraph" w:customStyle="1" w:styleId="138">
    <w:name w:val="xl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Cs/>
      <w:color w:val="auto"/>
      <w:kern w:val="0"/>
      <w:sz w:val="20"/>
      <w:szCs w:val="20"/>
    </w:rPr>
  </w:style>
  <w:style w:type="paragraph" w:customStyle="1" w:styleId="139">
    <w:name w:val="xl8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Cs/>
      <w:color w:val="auto"/>
      <w:kern w:val="0"/>
      <w:sz w:val="20"/>
      <w:szCs w:val="20"/>
    </w:rPr>
  </w:style>
  <w:style w:type="paragraph" w:customStyle="1" w:styleId="140">
    <w:name w:val="xl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Cs/>
      <w:color w:val="auto"/>
      <w:kern w:val="0"/>
      <w:sz w:val="18"/>
      <w:szCs w:val="18"/>
    </w:rPr>
  </w:style>
  <w:style w:type="paragraph" w:customStyle="1" w:styleId="141">
    <w:name w:val="xl85"/>
    <w:basedOn w:val="1"/>
    <w:qFormat/>
    <w:uiPriority w:val="0"/>
    <w:pPr>
      <w:widowControl/>
      <w:spacing w:before="100" w:beforeAutospacing="1" w:after="100" w:afterAutospacing="1"/>
      <w:jc w:val="left"/>
    </w:pPr>
    <w:rPr>
      <w:rFonts w:ascii="Times New Roman" w:hAnsi="Times New Roman"/>
      <w:bCs/>
      <w:color w:val="000000"/>
      <w:kern w:val="0"/>
      <w:sz w:val="24"/>
      <w:szCs w:val="24"/>
    </w:rPr>
  </w:style>
  <w:style w:type="paragraph" w:customStyle="1" w:styleId="142">
    <w:name w:val="xl8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auto"/>
      <w:kern w:val="0"/>
      <w:sz w:val="20"/>
      <w:szCs w:val="20"/>
    </w:rPr>
  </w:style>
  <w:style w:type="paragraph" w:customStyle="1" w:styleId="143">
    <w:name w:val="xl8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cs="宋体"/>
      <w:b w:val="0"/>
      <w:color w:val="auto"/>
      <w:kern w:val="0"/>
      <w:sz w:val="20"/>
      <w:szCs w:val="20"/>
    </w:rPr>
  </w:style>
  <w:style w:type="paragraph" w:customStyle="1" w:styleId="144">
    <w:name w:val="xl8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auto"/>
      <w:kern w:val="0"/>
      <w:sz w:val="20"/>
      <w:szCs w:val="20"/>
    </w:rPr>
  </w:style>
  <w:style w:type="paragraph" w:customStyle="1" w:styleId="145">
    <w:name w:val="xl8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cs="宋体"/>
      <w:b w:val="0"/>
      <w:color w:val="auto"/>
      <w:kern w:val="0"/>
      <w:sz w:val="20"/>
      <w:szCs w:val="20"/>
    </w:rPr>
  </w:style>
  <w:style w:type="paragraph" w:customStyle="1" w:styleId="146">
    <w:name w:val="xl9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auto"/>
      <w:kern w:val="0"/>
      <w:sz w:val="20"/>
      <w:szCs w:val="20"/>
    </w:rPr>
  </w:style>
  <w:style w:type="paragraph" w:customStyle="1" w:styleId="147">
    <w:name w:val="xl9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Cs/>
      <w:color w:val="auto"/>
      <w:kern w:val="0"/>
      <w:sz w:val="20"/>
      <w:szCs w:val="20"/>
    </w:rPr>
  </w:style>
  <w:style w:type="paragraph" w:customStyle="1" w:styleId="148">
    <w:name w:val="xl9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Cs/>
      <w:color w:val="auto"/>
      <w:kern w:val="0"/>
      <w:sz w:val="20"/>
      <w:szCs w:val="20"/>
    </w:rPr>
  </w:style>
  <w:style w:type="paragraph" w:customStyle="1" w:styleId="149">
    <w:name w:val="xl9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auto"/>
      <w:kern w:val="0"/>
      <w:sz w:val="20"/>
      <w:szCs w:val="20"/>
    </w:rPr>
  </w:style>
  <w:style w:type="paragraph" w:customStyle="1" w:styleId="150">
    <w:name w:val="xl9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auto"/>
      <w:kern w:val="0"/>
      <w:sz w:val="20"/>
      <w:szCs w:val="20"/>
    </w:rPr>
  </w:style>
  <w:style w:type="paragraph" w:customStyle="1" w:styleId="151">
    <w:name w:val="xl9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auto"/>
      <w:kern w:val="0"/>
      <w:sz w:val="20"/>
      <w:szCs w:val="20"/>
    </w:rPr>
  </w:style>
  <w:style w:type="paragraph" w:customStyle="1" w:styleId="152">
    <w:name w:val="xl9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auto"/>
      <w:kern w:val="0"/>
      <w:sz w:val="20"/>
      <w:szCs w:val="20"/>
    </w:rPr>
  </w:style>
  <w:style w:type="paragraph" w:customStyle="1" w:styleId="153">
    <w:name w:val="xl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cs="宋体"/>
      <w:b w:val="0"/>
      <w:color w:val="auto"/>
      <w:kern w:val="0"/>
      <w:sz w:val="20"/>
      <w:szCs w:val="20"/>
    </w:rPr>
  </w:style>
  <w:style w:type="paragraph" w:customStyle="1" w:styleId="154">
    <w:name w:val="xl98"/>
    <w:basedOn w:val="1"/>
    <w:qFormat/>
    <w:uiPriority w:val="0"/>
    <w:pPr>
      <w:widowControl/>
      <w:spacing w:before="100" w:beforeAutospacing="1" w:after="100" w:afterAutospacing="1"/>
      <w:jc w:val="left"/>
    </w:pPr>
    <w:rPr>
      <w:rFonts w:ascii="Times New Roman" w:hAnsi="Times New Roman"/>
      <w:b w:val="0"/>
      <w:color w:val="FF0000"/>
      <w:kern w:val="0"/>
      <w:sz w:val="24"/>
      <w:szCs w:val="24"/>
    </w:rPr>
  </w:style>
  <w:style w:type="paragraph" w:customStyle="1" w:styleId="155">
    <w:name w:val="xl9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cs="宋体"/>
      <w:b w:val="0"/>
      <w:color w:val="auto"/>
      <w:kern w:val="0"/>
      <w:sz w:val="21"/>
      <w:szCs w:val="21"/>
    </w:rPr>
  </w:style>
  <w:style w:type="paragraph" w:customStyle="1" w:styleId="156">
    <w:name w:val="xl10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auto"/>
      <w:kern w:val="0"/>
      <w:sz w:val="20"/>
      <w:szCs w:val="20"/>
    </w:rPr>
  </w:style>
  <w:style w:type="paragraph" w:customStyle="1" w:styleId="157">
    <w:name w:val="xl101"/>
    <w:basedOn w:val="1"/>
    <w:qFormat/>
    <w:uiPriority w:val="0"/>
    <w:pPr>
      <w:widowControl/>
      <w:spacing w:before="100" w:beforeAutospacing="1" w:after="100" w:afterAutospacing="1"/>
      <w:jc w:val="left"/>
    </w:pPr>
    <w:rPr>
      <w:rFonts w:ascii="Times New Roman" w:hAnsi="Times New Roman"/>
      <w:b w:val="0"/>
      <w:color w:val="auto"/>
      <w:kern w:val="0"/>
      <w:sz w:val="24"/>
      <w:szCs w:val="24"/>
    </w:rPr>
  </w:style>
  <w:style w:type="paragraph" w:customStyle="1" w:styleId="158">
    <w:name w:val="xl10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auto"/>
      <w:kern w:val="0"/>
      <w:sz w:val="20"/>
      <w:szCs w:val="20"/>
    </w:rPr>
  </w:style>
  <w:style w:type="paragraph" w:customStyle="1" w:styleId="159">
    <w:name w:val="xl10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cs="宋体"/>
      <w:b w:val="0"/>
      <w:color w:val="auto"/>
      <w:kern w:val="0"/>
      <w:sz w:val="20"/>
      <w:szCs w:val="20"/>
    </w:rPr>
  </w:style>
  <w:style w:type="paragraph" w:customStyle="1" w:styleId="160">
    <w:name w:val="xl10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cs="宋体"/>
      <w:b w:val="0"/>
      <w:color w:val="auto"/>
      <w:kern w:val="0"/>
      <w:sz w:val="20"/>
      <w:szCs w:val="20"/>
    </w:rPr>
  </w:style>
  <w:style w:type="paragraph" w:customStyle="1" w:styleId="161">
    <w:name w:val="xl10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Cs/>
      <w:color w:val="auto"/>
      <w:kern w:val="0"/>
      <w:sz w:val="20"/>
      <w:szCs w:val="20"/>
    </w:rPr>
  </w:style>
  <w:style w:type="paragraph" w:customStyle="1" w:styleId="162">
    <w:name w:val="xl10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cs="宋体"/>
      <w:bCs/>
      <w:color w:val="auto"/>
      <w:kern w:val="0"/>
      <w:sz w:val="20"/>
      <w:szCs w:val="20"/>
    </w:rPr>
  </w:style>
  <w:style w:type="paragraph" w:customStyle="1" w:styleId="163">
    <w:name w:val="xl10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cs="宋体"/>
      <w:bCs/>
      <w:color w:val="auto"/>
      <w:kern w:val="0"/>
      <w:sz w:val="20"/>
      <w:szCs w:val="20"/>
    </w:rPr>
  </w:style>
  <w:style w:type="paragraph" w:customStyle="1" w:styleId="164">
    <w:name w:val="xl10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cs="宋体"/>
      <w:bCs/>
      <w:color w:val="auto"/>
      <w:kern w:val="0"/>
      <w:sz w:val="20"/>
      <w:szCs w:val="20"/>
    </w:rPr>
  </w:style>
  <w:style w:type="paragraph" w:customStyle="1" w:styleId="165">
    <w:name w:val="xl10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auto"/>
      <w:kern w:val="0"/>
      <w:sz w:val="20"/>
      <w:szCs w:val="20"/>
    </w:rPr>
  </w:style>
  <w:style w:type="paragraph" w:customStyle="1" w:styleId="166">
    <w:name w:val="xl11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b w:val="0"/>
      <w:color w:val="auto"/>
      <w:kern w:val="0"/>
      <w:sz w:val="20"/>
      <w:szCs w:val="20"/>
    </w:rPr>
  </w:style>
  <w:style w:type="paragraph" w:customStyle="1" w:styleId="167">
    <w:name w:val="xl11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auto"/>
      <w:kern w:val="0"/>
      <w:sz w:val="20"/>
      <w:szCs w:val="20"/>
    </w:rPr>
  </w:style>
  <w:style w:type="paragraph" w:customStyle="1" w:styleId="168">
    <w:name w:val="xl11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cs="宋体"/>
      <w:b w:val="0"/>
      <w:color w:val="auto"/>
      <w:kern w:val="0"/>
      <w:sz w:val="20"/>
      <w:szCs w:val="20"/>
    </w:rPr>
  </w:style>
  <w:style w:type="paragraph" w:customStyle="1" w:styleId="169">
    <w:name w:val="xl11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auto"/>
      <w:kern w:val="0"/>
      <w:sz w:val="20"/>
      <w:szCs w:val="20"/>
    </w:rPr>
  </w:style>
  <w:style w:type="paragraph" w:customStyle="1" w:styleId="170">
    <w:name w:val="xl11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bCs/>
      <w:color w:val="auto"/>
      <w:kern w:val="0"/>
      <w:sz w:val="20"/>
      <w:szCs w:val="20"/>
    </w:rPr>
  </w:style>
  <w:style w:type="paragraph" w:customStyle="1" w:styleId="171">
    <w:name w:val="xl11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Cs/>
      <w:color w:val="auto"/>
      <w:kern w:val="0"/>
      <w:sz w:val="20"/>
      <w:szCs w:val="20"/>
    </w:rPr>
  </w:style>
  <w:style w:type="paragraph" w:customStyle="1" w:styleId="172">
    <w:name w:val="xl11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textAlignment w:val="center"/>
    </w:pPr>
    <w:rPr>
      <w:rFonts w:cs="宋体"/>
      <w:bCs/>
      <w:color w:val="auto"/>
      <w:kern w:val="0"/>
      <w:sz w:val="20"/>
      <w:szCs w:val="20"/>
    </w:rPr>
  </w:style>
  <w:style w:type="paragraph" w:customStyle="1" w:styleId="173">
    <w:name w:val="xl117"/>
    <w:basedOn w:val="1"/>
    <w:qFormat/>
    <w:uiPriority w:val="0"/>
    <w:pPr>
      <w:widowControl/>
      <w:spacing w:before="100" w:beforeAutospacing="1" w:after="100" w:afterAutospacing="1"/>
      <w:jc w:val="left"/>
      <w:textAlignment w:val="center"/>
    </w:pPr>
    <w:rPr>
      <w:rFonts w:ascii="Times New Roman" w:hAnsi="Times New Roman"/>
      <w:b w:val="0"/>
      <w:color w:val="auto"/>
      <w:kern w:val="0"/>
      <w:sz w:val="24"/>
      <w:szCs w:val="24"/>
    </w:rPr>
  </w:style>
  <w:style w:type="paragraph" w:customStyle="1" w:styleId="174">
    <w:name w:val="xl118"/>
    <w:basedOn w:val="1"/>
    <w:qFormat/>
    <w:uiPriority w:val="0"/>
    <w:pPr>
      <w:widowControl/>
      <w:spacing w:before="100" w:beforeAutospacing="1" w:after="100" w:afterAutospacing="1"/>
      <w:jc w:val="left"/>
    </w:pPr>
    <w:rPr>
      <w:rFonts w:ascii="Times New Roman" w:hAnsi="Times New Roman"/>
      <w:b w:val="0"/>
      <w:color w:val="auto"/>
      <w:kern w:val="0"/>
      <w:sz w:val="24"/>
      <w:szCs w:val="24"/>
    </w:rPr>
  </w:style>
  <w:style w:type="paragraph" w:customStyle="1" w:styleId="175">
    <w:name w:val="xl119"/>
    <w:basedOn w:val="1"/>
    <w:qFormat/>
    <w:uiPriority w:val="0"/>
    <w:pPr>
      <w:widowControl/>
      <w:spacing w:before="100" w:beforeAutospacing="1" w:after="100" w:afterAutospacing="1"/>
      <w:jc w:val="left"/>
    </w:pPr>
    <w:rPr>
      <w:rFonts w:cs="宋体"/>
      <w:b w:val="0"/>
      <w:color w:val="auto"/>
      <w:kern w:val="0"/>
      <w:sz w:val="18"/>
      <w:szCs w:val="18"/>
    </w:rPr>
  </w:style>
  <w:style w:type="paragraph" w:customStyle="1" w:styleId="176">
    <w:name w:val="xl12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cs="宋体"/>
      <w:b w:val="0"/>
      <w:color w:val="auto"/>
      <w:kern w:val="0"/>
      <w:sz w:val="20"/>
      <w:szCs w:val="20"/>
    </w:rPr>
  </w:style>
  <w:style w:type="paragraph" w:customStyle="1" w:styleId="177">
    <w:name w:val="xl12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auto"/>
      <w:kern w:val="0"/>
      <w:sz w:val="20"/>
      <w:szCs w:val="20"/>
    </w:rPr>
  </w:style>
  <w:style w:type="paragraph" w:customStyle="1" w:styleId="178">
    <w:name w:val="xl122"/>
    <w:basedOn w:val="1"/>
    <w:qFormat/>
    <w:uiPriority w:val="0"/>
    <w:pPr>
      <w:widowControl/>
      <w:spacing w:before="100" w:beforeAutospacing="1" w:after="100" w:afterAutospacing="1"/>
      <w:jc w:val="left"/>
    </w:pPr>
    <w:rPr>
      <w:rFonts w:ascii="Times New Roman" w:hAnsi="Times New Roman"/>
      <w:bCs/>
      <w:color w:val="auto"/>
      <w:kern w:val="0"/>
      <w:sz w:val="24"/>
      <w:szCs w:val="24"/>
    </w:rPr>
  </w:style>
  <w:style w:type="paragraph" w:customStyle="1" w:styleId="179">
    <w:name w:val="xl12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cs="宋体"/>
      <w:b w:val="0"/>
      <w:color w:val="auto"/>
      <w:kern w:val="0"/>
      <w:sz w:val="20"/>
      <w:szCs w:val="20"/>
    </w:rPr>
  </w:style>
  <w:style w:type="paragraph" w:customStyle="1" w:styleId="180">
    <w:name w:val="xl12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auto"/>
      <w:kern w:val="0"/>
      <w:sz w:val="18"/>
      <w:szCs w:val="18"/>
    </w:rPr>
  </w:style>
  <w:style w:type="paragraph" w:customStyle="1" w:styleId="181">
    <w:name w:val="xl125"/>
    <w:basedOn w:val="1"/>
    <w:qFormat/>
    <w:uiPriority w:val="0"/>
    <w:pPr>
      <w:widowControl/>
      <w:pBdr>
        <w:left w:val="single" w:color="auto" w:sz="4" w:space="0"/>
        <w:right w:val="single" w:color="auto" w:sz="4" w:space="0"/>
      </w:pBdr>
      <w:spacing w:before="100" w:beforeAutospacing="1" w:after="100" w:afterAutospacing="1"/>
      <w:jc w:val="center"/>
    </w:pPr>
    <w:rPr>
      <w:rFonts w:cs="宋体"/>
      <w:b w:val="0"/>
      <w:color w:val="auto"/>
      <w:kern w:val="0"/>
      <w:sz w:val="20"/>
      <w:szCs w:val="20"/>
    </w:rPr>
  </w:style>
  <w:style w:type="paragraph" w:customStyle="1" w:styleId="182">
    <w:name w:val="xl1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cs="宋体"/>
      <w:bCs/>
      <w:color w:val="auto"/>
      <w:kern w:val="0"/>
      <w:sz w:val="20"/>
      <w:szCs w:val="20"/>
    </w:rPr>
  </w:style>
  <w:style w:type="paragraph" w:customStyle="1" w:styleId="183">
    <w:name w:val="xl127"/>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cs="宋体"/>
      <w:bCs/>
      <w:color w:val="auto"/>
      <w:kern w:val="0"/>
      <w:sz w:val="20"/>
      <w:szCs w:val="20"/>
    </w:rPr>
  </w:style>
  <w:style w:type="paragraph" w:customStyle="1" w:styleId="184">
    <w:name w:val="xl128"/>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cs="宋体"/>
      <w:bCs/>
      <w:color w:val="auto"/>
      <w:kern w:val="0"/>
      <w:sz w:val="20"/>
      <w:szCs w:val="20"/>
    </w:rPr>
  </w:style>
  <w:style w:type="paragraph" w:customStyle="1" w:styleId="185">
    <w:name w:val="xl129"/>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cs="宋体"/>
      <w:bCs/>
      <w:color w:val="auto"/>
      <w:kern w:val="0"/>
      <w:sz w:val="20"/>
      <w:szCs w:val="20"/>
    </w:rPr>
  </w:style>
  <w:style w:type="paragraph" w:customStyle="1" w:styleId="186">
    <w:name w:val="xl13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cs="宋体"/>
      <w:bCs/>
      <w:color w:val="auto"/>
      <w:kern w:val="0"/>
      <w:sz w:val="18"/>
      <w:szCs w:val="18"/>
    </w:rPr>
  </w:style>
  <w:style w:type="paragraph" w:customStyle="1" w:styleId="187">
    <w:name w:val="xl131"/>
    <w:basedOn w:val="1"/>
    <w:qFormat/>
    <w:uiPriority w:val="0"/>
    <w:pPr>
      <w:widowControl/>
      <w:spacing w:before="100" w:beforeAutospacing="1" w:after="100" w:afterAutospacing="1"/>
      <w:jc w:val="center"/>
      <w:textAlignment w:val="center"/>
    </w:pPr>
    <w:rPr>
      <w:rFonts w:cs="宋体"/>
      <w:bCs/>
      <w:color w:val="auto"/>
      <w:kern w:val="0"/>
    </w:rPr>
  </w:style>
  <w:style w:type="paragraph" w:customStyle="1" w:styleId="188">
    <w:name w:val="xl132"/>
    <w:basedOn w:val="1"/>
    <w:qFormat/>
    <w:uiPriority w:val="0"/>
    <w:pPr>
      <w:widowControl/>
      <w:pBdr>
        <w:left w:val="single" w:color="auto" w:sz="4" w:space="0"/>
        <w:right w:val="single" w:color="auto" w:sz="4" w:space="0"/>
      </w:pBdr>
      <w:spacing w:before="100" w:beforeAutospacing="1" w:after="100" w:afterAutospacing="1"/>
      <w:jc w:val="left"/>
    </w:pPr>
    <w:rPr>
      <w:rFonts w:cs="宋体"/>
      <w:b w:val="0"/>
      <w:color w:val="auto"/>
      <w:kern w:val="0"/>
      <w:sz w:val="20"/>
      <w:szCs w:val="20"/>
    </w:rPr>
  </w:style>
  <w:style w:type="paragraph" w:customStyle="1" w:styleId="189">
    <w:name w:val="xl133"/>
    <w:basedOn w:val="1"/>
    <w:qFormat/>
    <w:uiPriority w:val="0"/>
    <w:pPr>
      <w:widowControl/>
      <w:pBdr>
        <w:left w:val="single" w:color="auto" w:sz="4" w:space="0"/>
        <w:right w:val="single" w:color="auto" w:sz="4" w:space="0"/>
      </w:pBdr>
      <w:spacing w:before="100" w:beforeAutospacing="1" w:after="100" w:afterAutospacing="1"/>
      <w:jc w:val="left"/>
    </w:pPr>
    <w:rPr>
      <w:rFonts w:ascii="Times New Roman" w:hAnsi="Times New Roman"/>
      <w:b w:val="0"/>
      <w:color w:val="auto"/>
      <w:kern w:val="0"/>
      <w:sz w:val="20"/>
      <w:szCs w:val="20"/>
    </w:rPr>
  </w:style>
  <w:style w:type="paragraph" w:customStyle="1" w:styleId="190">
    <w:name w:val="font12"/>
    <w:basedOn w:val="1"/>
    <w:qFormat/>
    <w:uiPriority w:val="0"/>
    <w:pPr>
      <w:widowControl/>
      <w:spacing w:before="100" w:beforeAutospacing="1" w:after="100" w:afterAutospacing="1"/>
      <w:jc w:val="left"/>
    </w:pPr>
    <w:rPr>
      <w:rFonts w:cs="宋体"/>
      <w:b w:val="0"/>
      <w:color w:val="auto"/>
      <w:kern w:val="0"/>
      <w:sz w:val="20"/>
      <w:szCs w:val="20"/>
    </w:rPr>
  </w:style>
  <w:style w:type="paragraph" w:customStyle="1" w:styleId="191">
    <w:name w:val="xl134"/>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auto"/>
      <w:kern w:val="0"/>
      <w:sz w:val="20"/>
      <w:szCs w:val="20"/>
    </w:rPr>
  </w:style>
  <w:style w:type="paragraph" w:customStyle="1" w:styleId="192">
    <w:name w:val="xl135"/>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cs="宋体"/>
      <w:b w:val="0"/>
      <w:color w:val="auto"/>
      <w:kern w:val="0"/>
      <w:sz w:val="20"/>
      <w:szCs w:val="20"/>
    </w:rPr>
  </w:style>
  <w:style w:type="paragraph" w:customStyle="1" w:styleId="193">
    <w:name w:val="font0"/>
    <w:basedOn w:val="1"/>
    <w:qFormat/>
    <w:uiPriority w:val="0"/>
    <w:pPr>
      <w:widowControl/>
      <w:spacing w:before="100" w:beforeAutospacing="1" w:after="100" w:afterAutospacing="1"/>
      <w:jc w:val="left"/>
    </w:pPr>
    <w:rPr>
      <w:rFonts w:cs="宋体"/>
      <w:b w:val="0"/>
      <w:color w:val="auto"/>
      <w:kern w:val="0"/>
      <w:sz w:val="24"/>
      <w:szCs w:val="24"/>
    </w:rPr>
  </w:style>
  <w:style w:type="paragraph" w:customStyle="1" w:styleId="194">
    <w:name w:val="font13"/>
    <w:basedOn w:val="1"/>
    <w:qFormat/>
    <w:uiPriority w:val="0"/>
    <w:pPr>
      <w:widowControl/>
      <w:spacing w:before="100" w:beforeAutospacing="1" w:after="100" w:afterAutospacing="1"/>
      <w:jc w:val="left"/>
    </w:pPr>
    <w:rPr>
      <w:rFonts w:cs="宋体"/>
      <w:b w:val="0"/>
      <w:color w:val="auto"/>
      <w:kern w:val="0"/>
      <w:sz w:val="18"/>
      <w:szCs w:val="18"/>
    </w:rPr>
  </w:style>
  <w:style w:type="paragraph" w:customStyle="1" w:styleId="195">
    <w:name w:val="font14"/>
    <w:basedOn w:val="1"/>
    <w:qFormat/>
    <w:uiPriority w:val="0"/>
    <w:pPr>
      <w:widowControl/>
      <w:spacing w:before="100" w:beforeAutospacing="1" w:after="100" w:afterAutospacing="1"/>
      <w:jc w:val="left"/>
    </w:pPr>
    <w:rPr>
      <w:rFonts w:cs="宋体"/>
      <w:b w:val="0"/>
      <w:color w:val="auto"/>
      <w:kern w:val="0"/>
      <w:sz w:val="20"/>
      <w:szCs w:val="20"/>
    </w:rPr>
  </w:style>
  <w:style w:type="paragraph" w:customStyle="1" w:styleId="196">
    <w:name w:val="font15"/>
    <w:basedOn w:val="1"/>
    <w:qFormat/>
    <w:uiPriority w:val="0"/>
    <w:pPr>
      <w:widowControl/>
      <w:spacing w:before="100" w:beforeAutospacing="1" w:after="100" w:afterAutospacing="1"/>
      <w:jc w:val="left"/>
    </w:pPr>
    <w:rPr>
      <w:rFonts w:cs="宋体"/>
      <w:b w:val="0"/>
      <w:color w:val="auto"/>
      <w:kern w:val="0"/>
      <w:sz w:val="20"/>
      <w:szCs w:val="20"/>
    </w:rPr>
  </w:style>
  <w:style w:type="paragraph" w:customStyle="1" w:styleId="197">
    <w:name w:val="font16"/>
    <w:basedOn w:val="1"/>
    <w:qFormat/>
    <w:uiPriority w:val="0"/>
    <w:pPr>
      <w:widowControl/>
      <w:spacing w:before="100" w:beforeAutospacing="1" w:after="100" w:afterAutospacing="1"/>
      <w:jc w:val="left"/>
    </w:pPr>
    <w:rPr>
      <w:rFonts w:cs="宋体"/>
      <w:b w:val="0"/>
      <w:color w:val="auto"/>
      <w:kern w:val="0"/>
      <w:sz w:val="24"/>
      <w:szCs w:val="24"/>
    </w:rPr>
  </w:style>
  <w:style w:type="paragraph" w:customStyle="1" w:styleId="198">
    <w:name w:val="xl1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auto"/>
      <w:kern w:val="0"/>
      <w:sz w:val="20"/>
      <w:szCs w:val="20"/>
    </w:rPr>
  </w:style>
  <w:style w:type="paragraph" w:customStyle="1" w:styleId="199">
    <w:name w:val="xl1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cs="宋体"/>
      <w:b w:val="0"/>
      <w:color w:val="auto"/>
      <w:kern w:val="0"/>
      <w:sz w:val="20"/>
      <w:szCs w:val="20"/>
    </w:rPr>
  </w:style>
  <w:style w:type="paragraph" w:customStyle="1" w:styleId="200">
    <w:name w:val="xl13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auto"/>
      <w:kern w:val="0"/>
      <w:sz w:val="20"/>
      <w:szCs w:val="20"/>
    </w:rPr>
  </w:style>
  <w:style w:type="character" w:customStyle="1" w:styleId="201">
    <w:name w:val="Char Char Char Char Char Char Char Char Char Char Char"/>
    <w:link w:val="202"/>
    <w:qFormat/>
    <w:uiPriority w:val="0"/>
    <w:rPr>
      <w:rFonts w:ascii="宋体" w:hAnsi="宋体" w:eastAsia="仿宋_GB2312"/>
      <w:kern w:val="2"/>
      <w:sz w:val="24"/>
      <w:szCs w:val="24"/>
    </w:rPr>
  </w:style>
  <w:style w:type="paragraph" w:customStyle="1" w:styleId="202">
    <w:name w:val="Char Char Char Char Char Char Char Char Char Char"/>
    <w:basedOn w:val="1"/>
    <w:link w:val="201"/>
    <w:qFormat/>
    <w:uiPriority w:val="0"/>
    <w:pPr>
      <w:spacing w:line="360" w:lineRule="auto"/>
      <w:ind w:firstLine="200" w:firstLineChars="200"/>
    </w:pPr>
    <w:rPr>
      <w:rFonts w:eastAsia="仿宋_GB2312"/>
      <w:b w:val="0"/>
      <w:color w:val="auto"/>
      <w:sz w:val="24"/>
      <w:szCs w:val="24"/>
    </w:rPr>
  </w:style>
  <w:style w:type="character" w:customStyle="1" w:styleId="203">
    <w:name w:val="批注文字 Char"/>
    <w:basedOn w:val="35"/>
    <w:semiHidden/>
    <w:qFormat/>
    <w:uiPriority w:val="0"/>
    <w:rPr>
      <w:rFonts w:ascii="宋体" w:hAnsi="宋体"/>
      <w:b/>
      <w:color w:val="FFFFFF"/>
      <w:kern w:val="2"/>
      <w:sz w:val="28"/>
      <w:szCs w:val="28"/>
    </w:rPr>
  </w:style>
  <w:style w:type="paragraph" w:customStyle="1" w:styleId="204">
    <w:name w:val="纯文本2"/>
    <w:basedOn w:val="1"/>
    <w:qFormat/>
    <w:uiPriority w:val="0"/>
    <w:pPr>
      <w:autoSpaceDE w:val="0"/>
      <w:autoSpaceDN w:val="0"/>
      <w:adjustRightInd w:val="0"/>
      <w:spacing w:line="312" w:lineRule="atLeast"/>
      <w:textAlignment w:val="baseline"/>
    </w:pPr>
    <w:rPr>
      <w:rFonts w:hAnsi="Times New Roman"/>
      <w:b w:val="0"/>
      <w:color w:val="auto"/>
      <w:kern w:val="0"/>
      <w:sz w:val="21"/>
      <w:szCs w:val="20"/>
    </w:rPr>
  </w:style>
  <w:style w:type="paragraph" w:customStyle="1" w:styleId="205">
    <w:name w:val="++正文"/>
    <w:basedOn w:val="1"/>
    <w:qFormat/>
    <w:uiPriority w:val="0"/>
    <w:pPr>
      <w:spacing w:line="360" w:lineRule="auto"/>
      <w:ind w:firstLine="480" w:firstLineChars="200"/>
    </w:pPr>
    <w:rPr>
      <w:color w:val="auto"/>
      <w:kern w:val="0"/>
      <w:sz w:val="24"/>
    </w:rPr>
  </w:style>
  <w:style w:type="paragraph" w:customStyle="1" w:styleId="206">
    <w:name w:val="zlc 正文缩2"/>
    <w:basedOn w:val="1"/>
    <w:qFormat/>
    <w:uiPriority w:val="0"/>
    <w:pPr>
      <w:spacing w:line="360" w:lineRule="auto"/>
      <w:ind w:firstLine="480" w:firstLineChars="200"/>
    </w:pPr>
    <w:rPr>
      <w:rFonts w:ascii="Times New Roman" w:hAnsi="Times New Roman" w:cs="宋体"/>
      <w:b w:val="0"/>
      <w:color w:val="auto"/>
      <w:sz w:val="24"/>
      <w:szCs w:val="20"/>
    </w:rPr>
  </w:style>
  <w:style w:type="paragraph" w:customStyle="1" w:styleId="207">
    <w:name w:val="4正文"/>
    <w:basedOn w:val="12"/>
    <w:qFormat/>
    <w:uiPriority w:val="0"/>
    <w:pPr>
      <w:spacing w:after="0" w:line="360" w:lineRule="auto"/>
      <w:ind w:firstLine="200" w:firstLineChars="200"/>
    </w:pPr>
    <w:rPr>
      <w:rFonts w:ascii="Times New Roman" w:hAnsi="Times New Roman"/>
      <w:b w:val="0"/>
      <w:color w:val="auto"/>
      <w:sz w:val="24"/>
      <w:szCs w:val="24"/>
      <w:lang w:val="zh-CN"/>
    </w:rPr>
  </w:style>
  <w:style w:type="paragraph" w:customStyle="1" w:styleId="208">
    <w:name w:val="正文2"/>
    <w:basedOn w:val="1"/>
    <w:link w:val="209"/>
    <w:qFormat/>
    <w:uiPriority w:val="0"/>
    <w:pPr>
      <w:spacing w:line="360" w:lineRule="auto"/>
      <w:ind w:firstLine="200" w:firstLineChars="200"/>
    </w:pPr>
    <w:rPr>
      <w:rFonts w:ascii="Times New Roman" w:hAnsi="Times New Roman" w:cstheme="minorBidi"/>
      <w:b w:val="0"/>
      <w:color w:val="auto"/>
      <w:sz w:val="24"/>
      <w:szCs w:val="22"/>
    </w:rPr>
  </w:style>
  <w:style w:type="character" w:customStyle="1" w:styleId="209">
    <w:name w:val="正文2 字符"/>
    <w:basedOn w:val="35"/>
    <w:link w:val="208"/>
    <w:qFormat/>
    <w:uiPriority w:val="0"/>
    <w:rPr>
      <w:rFonts w:cstheme="minorBidi"/>
      <w:kern w:val="2"/>
      <w:sz w:val="24"/>
      <w:szCs w:val="22"/>
    </w:rPr>
  </w:style>
  <w:style w:type="paragraph" w:customStyle="1" w:styleId="210">
    <w:name w:val="图表内容"/>
    <w:basedOn w:val="1"/>
    <w:qFormat/>
    <w:uiPriority w:val="0"/>
    <w:pPr>
      <w:jc w:val="center"/>
    </w:pPr>
    <w:rPr>
      <w:rFonts w:ascii="Times New Roman" w:hAnsi="Times New Roman" w:eastAsia="新宋体"/>
      <w:b w:val="0"/>
      <w:color w:val="auto"/>
      <w:sz w:val="21"/>
      <w:szCs w:val="21"/>
    </w:rPr>
  </w:style>
  <w:style w:type="paragraph" w:customStyle="1" w:styleId="211">
    <w:name w:val="xl675"/>
    <w:basedOn w:val="1"/>
    <w:qFormat/>
    <w:uiPriority w:val="0"/>
    <w:pPr>
      <w:widowControl/>
      <w:spacing w:before="100" w:beforeAutospacing="1" w:after="100" w:afterAutospacing="1"/>
      <w:jc w:val="center"/>
      <w:textAlignment w:val="center"/>
    </w:pPr>
    <w:rPr>
      <w:rFonts w:cs="宋体"/>
      <w:bCs/>
      <w:color w:val="000000"/>
      <w:kern w:val="0"/>
      <w:sz w:val="20"/>
      <w:szCs w:val="20"/>
    </w:rPr>
  </w:style>
  <w:style w:type="paragraph" w:customStyle="1" w:styleId="212">
    <w:name w:val="xl676"/>
    <w:basedOn w:val="1"/>
    <w:qFormat/>
    <w:uiPriority w:val="0"/>
    <w:pPr>
      <w:widowControl/>
      <w:spacing w:before="100" w:beforeAutospacing="1" w:after="100" w:afterAutospacing="1"/>
      <w:jc w:val="center"/>
      <w:textAlignment w:val="center"/>
    </w:pPr>
    <w:rPr>
      <w:rFonts w:cs="宋体"/>
      <w:b w:val="0"/>
      <w:color w:val="000000"/>
      <w:kern w:val="0"/>
      <w:sz w:val="20"/>
      <w:szCs w:val="20"/>
    </w:rPr>
  </w:style>
  <w:style w:type="paragraph" w:customStyle="1" w:styleId="213">
    <w:name w:val="xl677"/>
    <w:basedOn w:val="1"/>
    <w:qFormat/>
    <w:uiPriority w:val="0"/>
    <w:pPr>
      <w:widowControl/>
      <w:spacing w:before="100" w:beforeAutospacing="1" w:after="100" w:afterAutospacing="1"/>
      <w:jc w:val="left"/>
      <w:textAlignment w:val="center"/>
    </w:pPr>
    <w:rPr>
      <w:rFonts w:cs="宋体"/>
      <w:b w:val="0"/>
      <w:color w:val="000000"/>
      <w:kern w:val="0"/>
      <w:sz w:val="20"/>
      <w:szCs w:val="20"/>
    </w:rPr>
  </w:style>
  <w:style w:type="paragraph" w:customStyle="1" w:styleId="214">
    <w:name w:val="xl678"/>
    <w:basedOn w:val="1"/>
    <w:qFormat/>
    <w:uiPriority w:val="0"/>
    <w:pPr>
      <w:widowControl/>
      <w:spacing w:before="100" w:beforeAutospacing="1" w:after="100" w:afterAutospacing="1"/>
      <w:jc w:val="center"/>
      <w:textAlignment w:val="center"/>
    </w:pPr>
    <w:rPr>
      <w:rFonts w:cs="宋体"/>
      <w:b w:val="0"/>
      <w:color w:val="000000"/>
      <w:kern w:val="0"/>
      <w:sz w:val="20"/>
      <w:szCs w:val="20"/>
    </w:rPr>
  </w:style>
  <w:style w:type="paragraph" w:customStyle="1" w:styleId="215">
    <w:name w:val="xl679"/>
    <w:basedOn w:val="1"/>
    <w:qFormat/>
    <w:uiPriority w:val="0"/>
    <w:pPr>
      <w:widowControl/>
      <w:spacing w:before="100" w:beforeAutospacing="1" w:after="100" w:afterAutospacing="1"/>
      <w:jc w:val="center"/>
      <w:textAlignment w:val="center"/>
    </w:pPr>
    <w:rPr>
      <w:rFonts w:cs="宋体"/>
      <w:b w:val="0"/>
      <w:color w:val="000000"/>
      <w:kern w:val="0"/>
      <w:sz w:val="20"/>
      <w:szCs w:val="20"/>
    </w:rPr>
  </w:style>
  <w:style w:type="paragraph" w:customStyle="1" w:styleId="216">
    <w:name w:val="xl680"/>
    <w:basedOn w:val="1"/>
    <w:qFormat/>
    <w:uiPriority w:val="0"/>
    <w:pPr>
      <w:widowControl/>
      <w:spacing w:before="100" w:beforeAutospacing="1" w:after="100" w:afterAutospacing="1"/>
      <w:jc w:val="center"/>
      <w:textAlignment w:val="center"/>
    </w:pPr>
    <w:rPr>
      <w:rFonts w:cs="宋体"/>
      <w:b w:val="0"/>
      <w:color w:val="000000"/>
      <w:kern w:val="0"/>
      <w:sz w:val="20"/>
      <w:szCs w:val="20"/>
    </w:rPr>
  </w:style>
  <w:style w:type="paragraph" w:customStyle="1" w:styleId="217">
    <w:name w:val="xl681"/>
    <w:basedOn w:val="1"/>
    <w:qFormat/>
    <w:uiPriority w:val="0"/>
    <w:pPr>
      <w:widowControl/>
      <w:spacing w:before="100" w:beforeAutospacing="1" w:after="100" w:afterAutospacing="1"/>
      <w:jc w:val="center"/>
      <w:textAlignment w:val="center"/>
    </w:pPr>
    <w:rPr>
      <w:rFonts w:cs="宋体"/>
      <w:b w:val="0"/>
      <w:color w:val="000000"/>
      <w:kern w:val="0"/>
      <w:sz w:val="20"/>
      <w:szCs w:val="20"/>
    </w:rPr>
  </w:style>
  <w:style w:type="paragraph" w:customStyle="1" w:styleId="218">
    <w:name w:val="xl6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000000"/>
      <w:kern w:val="0"/>
      <w:sz w:val="20"/>
      <w:szCs w:val="20"/>
    </w:rPr>
  </w:style>
  <w:style w:type="paragraph" w:customStyle="1" w:styleId="219">
    <w:name w:val="xl68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000000"/>
      <w:kern w:val="0"/>
      <w:sz w:val="20"/>
      <w:szCs w:val="20"/>
    </w:rPr>
  </w:style>
  <w:style w:type="paragraph" w:customStyle="1" w:styleId="220">
    <w:name w:val="xl6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Cs/>
      <w:color w:val="000000"/>
      <w:kern w:val="0"/>
      <w:sz w:val="20"/>
      <w:szCs w:val="20"/>
    </w:rPr>
  </w:style>
  <w:style w:type="paragraph" w:customStyle="1" w:styleId="221">
    <w:name w:val="xl6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Cs/>
      <w:color w:val="000000"/>
      <w:kern w:val="0"/>
      <w:sz w:val="20"/>
      <w:szCs w:val="20"/>
    </w:rPr>
  </w:style>
  <w:style w:type="paragraph" w:customStyle="1" w:styleId="222">
    <w:name w:val="xl68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Cs/>
      <w:color w:val="000000"/>
      <w:kern w:val="0"/>
      <w:sz w:val="20"/>
      <w:szCs w:val="20"/>
    </w:rPr>
  </w:style>
  <w:style w:type="paragraph" w:customStyle="1" w:styleId="223">
    <w:name w:val="xl68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Cs/>
      <w:color w:val="000000"/>
      <w:kern w:val="0"/>
      <w:sz w:val="20"/>
      <w:szCs w:val="20"/>
    </w:rPr>
  </w:style>
  <w:style w:type="paragraph" w:customStyle="1" w:styleId="224">
    <w:name w:val="xl68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Cs/>
      <w:color w:val="000000"/>
      <w:kern w:val="0"/>
      <w:sz w:val="20"/>
      <w:szCs w:val="20"/>
    </w:rPr>
  </w:style>
  <w:style w:type="paragraph" w:customStyle="1" w:styleId="225">
    <w:name w:val="xl68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Cs/>
      <w:color w:val="000000"/>
      <w:kern w:val="0"/>
      <w:sz w:val="20"/>
      <w:szCs w:val="20"/>
    </w:rPr>
  </w:style>
  <w:style w:type="paragraph" w:customStyle="1" w:styleId="226">
    <w:name w:val="xl69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000000"/>
      <w:kern w:val="0"/>
      <w:sz w:val="20"/>
      <w:szCs w:val="20"/>
    </w:rPr>
  </w:style>
  <w:style w:type="paragraph" w:customStyle="1" w:styleId="227">
    <w:name w:val="xl69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000000"/>
      <w:kern w:val="0"/>
      <w:sz w:val="20"/>
      <w:szCs w:val="20"/>
    </w:rPr>
  </w:style>
  <w:style w:type="paragraph" w:customStyle="1" w:styleId="228">
    <w:name w:val="xl69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cs="宋体"/>
      <w:bCs/>
      <w:color w:val="000000"/>
      <w:kern w:val="0"/>
      <w:sz w:val="20"/>
      <w:szCs w:val="20"/>
    </w:rPr>
  </w:style>
  <w:style w:type="paragraph" w:customStyle="1" w:styleId="229">
    <w:name w:val="xl69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Cs/>
      <w:color w:val="000000"/>
      <w:kern w:val="0"/>
      <w:sz w:val="20"/>
      <w:szCs w:val="20"/>
    </w:rPr>
  </w:style>
  <w:style w:type="paragraph" w:customStyle="1" w:styleId="230">
    <w:name w:val="xl69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Cs/>
      <w:color w:val="000000"/>
      <w:kern w:val="0"/>
      <w:sz w:val="20"/>
      <w:szCs w:val="20"/>
    </w:rPr>
  </w:style>
  <w:style w:type="paragraph" w:customStyle="1" w:styleId="231">
    <w:name w:val="xl69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000000"/>
      <w:kern w:val="0"/>
      <w:sz w:val="20"/>
      <w:szCs w:val="20"/>
    </w:rPr>
  </w:style>
  <w:style w:type="paragraph" w:customStyle="1" w:styleId="232">
    <w:name w:val="xl69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cs="宋体"/>
      <w:b w:val="0"/>
      <w:color w:val="000000"/>
      <w:kern w:val="0"/>
      <w:sz w:val="20"/>
      <w:szCs w:val="20"/>
    </w:rPr>
  </w:style>
  <w:style w:type="paragraph" w:customStyle="1" w:styleId="233">
    <w:name w:val="xl6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000000"/>
      <w:kern w:val="0"/>
      <w:sz w:val="20"/>
      <w:szCs w:val="20"/>
    </w:rPr>
  </w:style>
  <w:style w:type="paragraph" w:customStyle="1" w:styleId="234">
    <w:name w:val="xl6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cs="宋体"/>
      <w:b w:val="0"/>
      <w:color w:val="000000"/>
      <w:kern w:val="0"/>
      <w:sz w:val="20"/>
      <w:szCs w:val="20"/>
    </w:rPr>
  </w:style>
  <w:style w:type="paragraph" w:customStyle="1" w:styleId="235">
    <w:name w:val="xl69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000000"/>
      <w:kern w:val="0"/>
      <w:sz w:val="20"/>
      <w:szCs w:val="20"/>
    </w:rPr>
  </w:style>
  <w:style w:type="paragraph" w:customStyle="1" w:styleId="236">
    <w:name w:val="xl70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Cs/>
      <w:color w:val="000000"/>
      <w:kern w:val="0"/>
      <w:sz w:val="20"/>
      <w:szCs w:val="20"/>
    </w:rPr>
  </w:style>
  <w:style w:type="paragraph" w:customStyle="1" w:styleId="237">
    <w:name w:val="xl70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Cs/>
      <w:color w:val="000000"/>
      <w:kern w:val="0"/>
      <w:sz w:val="20"/>
      <w:szCs w:val="20"/>
    </w:rPr>
  </w:style>
  <w:style w:type="paragraph" w:customStyle="1" w:styleId="238">
    <w:name w:val="xl70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Cs/>
      <w:color w:val="000000"/>
      <w:kern w:val="0"/>
      <w:sz w:val="20"/>
      <w:szCs w:val="20"/>
    </w:rPr>
  </w:style>
  <w:style w:type="paragraph" w:customStyle="1" w:styleId="239">
    <w:name w:val="xl70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000000"/>
      <w:kern w:val="0"/>
      <w:sz w:val="20"/>
      <w:szCs w:val="20"/>
    </w:rPr>
  </w:style>
  <w:style w:type="paragraph" w:customStyle="1" w:styleId="240">
    <w:name w:val="xl70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000000"/>
      <w:kern w:val="0"/>
      <w:sz w:val="20"/>
      <w:szCs w:val="20"/>
    </w:rPr>
  </w:style>
  <w:style w:type="paragraph" w:customStyle="1" w:styleId="241">
    <w:name w:val="xl70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Cs/>
      <w:color w:val="000000"/>
      <w:kern w:val="0"/>
      <w:sz w:val="20"/>
      <w:szCs w:val="20"/>
    </w:rPr>
  </w:style>
  <w:style w:type="paragraph" w:customStyle="1" w:styleId="242">
    <w:name w:val="xl70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000000"/>
      <w:kern w:val="0"/>
      <w:sz w:val="20"/>
      <w:szCs w:val="20"/>
    </w:rPr>
  </w:style>
  <w:style w:type="paragraph" w:customStyle="1" w:styleId="243">
    <w:name w:val="xl707"/>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cs="宋体"/>
      <w:bCs/>
      <w:color w:val="000000"/>
      <w:kern w:val="0"/>
      <w:sz w:val="20"/>
      <w:szCs w:val="20"/>
    </w:rPr>
  </w:style>
  <w:style w:type="paragraph" w:customStyle="1" w:styleId="244">
    <w:name w:val="xl708"/>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cs="宋体"/>
      <w:bCs/>
      <w:color w:val="000000"/>
      <w:kern w:val="0"/>
      <w:sz w:val="20"/>
      <w:szCs w:val="20"/>
    </w:rPr>
  </w:style>
  <w:style w:type="paragraph" w:customStyle="1" w:styleId="245">
    <w:name w:val="xl709"/>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cs="宋体"/>
      <w:bCs/>
      <w:color w:val="000000"/>
      <w:kern w:val="0"/>
      <w:sz w:val="20"/>
      <w:szCs w:val="20"/>
    </w:rPr>
  </w:style>
  <w:style w:type="paragraph" w:customStyle="1" w:styleId="246">
    <w:name w:val="xl710"/>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cs="宋体"/>
      <w:bCs/>
      <w:color w:val="000000"/>
      <w:kern w:val="0"/>
      <w:sz w:val="20"/>
      <w:szCs w:val="20"/>
    </w:rPr>
  </w:style>
  <w:style w:type="paragraph" w:customStyle="1" w:styleId="247">
    <w:name w:val="xl711"/>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cs="宋体"/>
      <w:bCs/>
      <w:color w:val="000000"/>
      <w:kern w:val="0"/>
      <w:sz w:val="20"/>
      <w:szCs w:val="20"/>
    </w:rPr>
  </w:style>
  <w:style w:type="paragraph" w:customStyle="1" w:styleId="248">
    <w:name w:val="xl712"/>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cs="宋体"/>
      <w:bCs/>
      <w:color w:val="000000"/>
      <w:kern w:val="0"/>
      <w:sz w:val="20"/>
      <w:szCs w:val="20"/>
    </w:rPr>
  </w:style>
  <w:style w:type="paragraph" w:customStyle="1" w:styleId="249">
    <w:name w:val="xl713"/>
    <w:basedOn w:val="1"/>
    <w:qFormat/>
    <w:uiPriority w:val="0"/>
    <w:pPr>
      <w:widowControl/>
      <w:shd w:val="clear" w:color="000000" w:fill="FFFF00"/>
      <w:spacing w:before="100" w:beforeAutospacing="1" w:after="100" w:afterAutospacing="1"/>
      <w:jc w:val="center"/>
      <w:textAlignment w:val="center"/>
    </w:pPr>
    <w:rPr>
      <w:rFonts w:cs="宋体"/>
      <w:bCs/>
      <w:color w:val="000000"/>
      <w:kern w:val="0"/>
      <w:sz w:val="20"/>
      <w:szCs w:val="20"/>
    </w:rPr>
  </w:style>
  <w:style w:type="paragraph" w:customStyle="1" w:styleId="250">
    <w:name w:val="xl714"/>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cs="宋体"/>
      <w:b w:val="0"/>
      <w:color w:val="000000"/>
      <w:kern w:val="0"/>
      <w:sz w:val="20"/>
      <w:szCs w:val="20"/>
    </w:rPr>
  </w:style>
  <w:style w:type="paragraph" w:customStyle="1" w:styleId="251">
    <w:name w:val="xl715"/>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cs="宋体"/>
      <w:b w:val="0"/>
      <w:color w:val="000000"/>
      <w:kern w:val="0"/>
      <w:sz w:val="20"/>
      <w:szCs w:val="20"/>
    </w:rPr>
  </w:style>
  <w:style w:type="paragraph" w:customStyle="1" w:styleId="252">
    <w:name w:val="xl716"/>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cs="宋体"/>
      <w:b w:val="0"/>
      <w:color w:val="000000"/>
      <w:kern w:val="0"/>
      <w:sz w:val="20"/>
      <w:szCs w:val="20"/>
    </w:rPr>
  </w:style>
  <w:style w:type="paragraph" w:customStyle="1" w:styleId="253">
    <w:name w:val="xl717"/>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cs="宋体"/>
      <w:b w:val="0"/>
      <w:color w:val="000000"/>
      <w:kern w:val="0"/>
      <w:sz w:val="20"/>
      <w:szCs w:val="20"/>
    </w:rPr>
  </w:style>
  <w:style w:type="paragraph" w:customStyle="1" w:styleId="254">
    <w:name w:val="xl718"/>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cs="宋体"/>
      <w:b w:val="0"/>
      <w:color w:val="000000"/>
      <w:kern w:val="0"/>
      <w:sz w:val="20"/>
      <w:szCs w:val="20"/>
    </w:rPr>
  </w:style>
  <w:style w:type="paragraph" w:customStyle="1" w:styleId="255">
    <w:name w:val="xl719"/>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cs="宋体"/>
      <w:b w:val="0"/>
      <w:color w:val="000000"/>
      <w:kern w:val="0"/>
      <w:sz w:val="20"/>
      <w:szCs w:val="20"/>
    </w:rPr>
  </w:style>
  <w:style w:type="paragraph" w:customStyle="1" w:styleId="256">
    <w:name w:val="xl720"/>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cs="宋体"/>
      <w:b w:val="0"/>
      <w:color w:val="000000"/>
      <w:kern w:val="0"/>
      <w:sz w:val="20"/>
      <w:szCs w:val="20"/>
    </w:rPr>
  </w:style>
  <w:style w:type="paragraph" w:customStyle="1" w:styleId="257">
    <w:name w:val="xl721"/>
    <w:basedOn w:val="1"/>
    <w:qFormat/>
    <w:uiPriority w:val="0"/>
    <w:pPr>
      <w:widowControl/>
      <w:shd w:val="clear" w:color="000000" w:fill="FFFF00"/>
      <w:spacing w:before="100" w:beforeAutospacing="1" w:after="100" w:afterAutospacing="1"/>
      <w:jc w:val="center"/>
      <w:textAlignment w:val="center"/>
    </w:pPr>
    <w:rPr>
      <w:rFonts w:cs="宋体"/>
      <w:b w:val="0"/>
      <w:color w:val="000000"/>
      <w:kern w:val="0"/>
      <w:sz w:val="20"/>
      <w:szCs w:val="20"/>
    </w:rPr>
  </w:style>
  <w:style w:type="paragraph" w:customStyle="1" w:styleId="258">
    <w:name w:val="xl722"/>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cs="宋体"/>
      <w:b w:val="0"/>
      <w:color w:val="000000"/>
      <w:kern w:val="0"/>
      <w:sz w:val="20"/>
      <w:szCs w:val="20"/>
    </w:rPr>
  </w:style>
  <w:style w:type="paragraph" w:customStyle="1" w:styleId="259">
    <w:name w:val="xl723"/>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cs="宋体"/>
      <w:b w:val="0"/>
      <w:color w:val="auto"/>
      <w:kern w:val="0"/>
      <w:sz w:val="20"/>
      <w:szCs w:val="20"/>
    </w:rPr>
  </w:style>
  <w:style w:type="paragraph" w:customStyle="1" w:styleId="260">
    <w:name w:val="xl724"/>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cs="宋体"/>
      <w:bCs/>
      <w:color w:val="000000"/>
      <w:kern w:val="0"/>
      <w:sz w:val="20"/>
      <w:szCs w:val="20"/>
    </w:rPr>
  </w:style>
  <w:style w:type="paragraph" w:customStyle="1" w:styleId="261">
    <w:name w:val="xl725"/>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cs="宋体"/>
      <w:b w:val="0"/>
      <w:color w:val="000000"/>
      <w:kern w:val="0"/>
      <w:sz w:val="20"/>
      <w:szCs w:val="20"/>
    </w:rPr>
  </w:style>
  <w:style w:type="paragraph" w:customStyle="1" w:styleId="262">
    <w:name w:val="xl726"/>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cs="宋体"/>
      <w:b w:val="0"/>
      <w:color w:val="000000"/>
      <w:kern w:val="0"/>
      <w:sz w:val="20"/>
      <w:szCs w:val="20"/>
    </w:rPr>
  </w:style>
  <w:style w:type="paragraph" w:customStyle="1" w:styleId="263">
    <w:name w:val="xl727"/>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cs="宋体"/>
      <w:b w:val="0"/>
      <w:color w:val="000000"/>
      <w:kern w:val="0"/>
      <w:sz w:val="20"/>
      <w:szCs w:val="20"/>
    </w:rPr>
  </w:style>
  <w:style w:type="paragraph" w:customStyle="1" w:styleId="264">
    <w:name w:val="xl728"/>
    <w:basedOn w:val="1"/>
    <w:qFormat/>
    <w:uiPriority w:val="0"/>
    <w:pPr>
      <w:widowControl/>
      <w:spacing w:before="100" w:beforeAutospacing="1" w:after="100" w:afterAutospacing="1"/>
      <w:jc w:val="center"/>
      <w:textAlignment w:val="center"/>
    </w:pPr>
    <w:rPr>
      <w:rFonts w:cs="宋体"/>
      <w:bCs/>
      <w:color w:val="000000"/>
      <w:kern w:val="0"/>
      <w:sz w:val="32"/>
      <w:szCs w:val="32"/>
    </w:rPr>
  </w:style>
  <w:style w:type="paragraph" w:customStyle="1" w:styleId="265">
    <w:name w:val="xl729"/>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cs="宋体"/>
      <w:b w:val="0"/>
      <w:color w:val="000000"/>
      <w:kern w:val="0"/>
      <w:sz w:val="20"/>
      <w:szCs w:val="20"/>
    </w:rPr>
  </w:style>
  <w:style w:type="paragraph" w:customStyle="1" w:styleId="266">
    <w:name w:val="xl730"/>
    <w:basedOn w:val="1"/>
    <w:qFormat/>
    <w:uiPriority w:val="0"/>
    <w:pPr>
      <w:widowControl/>
      <w:pBdr>
        <w:top w:val="single" w:color="auto" w:sz="4" w:space="0"/>
        <w:bottom w:val="single" w:color="auto" w:sz="4" w:space="0"/>
      </w:pBdr>
      <w:spacing w:before="100" w:beforeAutospacing="1" w:after="100" w:afterAutospacing="1"/>
      <w:jc w:val="center"/>
      <w:textAlignment w:val="center"/>
    </w:pPr>
    <w:rPr>
      <w:rFonts w:cs="宋体"/>
      <w:b w:val="0"/>
      <w:color w:val="000000"/>
      <w:kern w:val="0"/>
      <w:sz w:val="20"/>
      <w:szCs w:val="20"/>
    </w:rPr>
  </w:style>
  <w:style w:type="paragraph" w:customStyle="1" w:styleId="267">
    <w:name w:val="xl731"/>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textAlignment w:val="center"/>
    </w:pPr>
    <w:rPr>
      <w:rFonts w:cs="宋体"/>
      <w:b w:val="0"/>
      <w:color w:val="000000"/>
      <w:kern w:val="0"/>
      <w:sz w:val="20"/>
      <w:szCs w:val="20"/>
    </w:rPr>
  </w:style>
  <w:style w:type="paragraph" w:customStyle="1" w:styleId="268">
    <w:name w:val="xl732"/>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cs="宋体"/>
      <w:b w:val="0"/>
      <w:color w:val="000000"/>
      <w:kern w:val="0"/>
      <w:sz w:val="20"/>
      <w:szCs w:val="20"/>
    </w:rPr>
  </w:style>
  <w:style w:type="paragraph" w:customStyle="1" w:styleId="269">
    <w:name w:val="xl733"/>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cs="宋体"/>
      <w:b w:val="0"/>
      <w:color w:val="000000"/>
      <w:kern w:val="0"/>
      <w:sz w:val="20"/>
      <w:szCs w:val="20"/>
    </w:rPr>
  </w:style>
  <w:style w:type="paragraph" w:customStyle="1" w:styleId="270">
    <w:name w:val="xl734"/>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cs="宋体"/>
      <w:bCs/>
      <w:color w:val="000000"/>
      <w:kern w:val="0"/>
      <w:sz w:val="20"/>
      <w:szCs w:val="20"/>
    </w:rPr>
  </w:style>
  <w:style w:type="paragraph" w:customStyle="1" w:styleId="271">
    <w:name w:val="正文 A"/>
    <w:qFormat/>
    <w:uiPriority w:val="0"/>
    <w:pPr>
      <w:widowControl w:val="0"/>
      <w:jc w:val="both"/>
    </w:pPr>
    <w:rPr>
      <w:rFonts w:ascii="Calibri" w:hAnsi="Calibri" w:eastAsia="Calibri" w:cs="Calibri"/>
      <w:color w:val="000000"/>
      <w:kern w:val="2"/>
      <w:sz w:val="21"/>
      <w:szCs w:val="21"/>
      <w:u w:color="000000"/>
      <w:lang w:val="en-US" w:eastAsia="zh-CN" w:bidi="ar-SA"/>
    </w:rPr>
  </w:style>
  <w:style w:type="paragraph" w:customStyle="1" w:styleId="272">
    <w:name w:val="xl194"/>
    <w:basedOn w:val="1"/>
    <w:qFormat/>
    <w:uiPriority w:val="0"/>
    <w:pPr>
      <w:widowControl/>
      <w:spacing w:before="100" w:beforeAutospacing="1" w:after="100" w:afterAutospacing="1"/>
      <w:jc w:val="center"/>
      <w:textAlignment w:val="center"/>
    </w:pPr>
    <w:rPr>
      <w:rFonts w:cs="宋体"/>
      <w:b w:val="0"/>
      <w:color w:val="000000"/>
      <w:kern w:val="0"/>
      <w:sz w:val="20"/>
      <w:szCs w:val="20"/>
    </w:rPr>
  </w:style>
  <w:style w:type="paragraph" w:customStyle="1" w:styleId="273">
    <w:name w:val="xl19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auto"/>
      <w:kern w:val="0"/>
      <w:sz w:val="18"/>
      <w:szCs w:val="18"/>
    </w:rPr>
  </w:style>
  <w:style w:type="paragraph" w:customStyle="1" w:styleId="274">
    <w:name w:val="xl19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000000"/>
      <w:kern w:val="0"/>
      <w:sz w:val="18"/>
      <w:szCs w:val="18"/>
    </w:rPr>
  </w:style>
  <w:style w:type="paragraph" w:customStyle="1" w:styleId="275">
    <w:name w:val="xl1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000000"/>
      <w:kern w:val="0"/>
      <w:sz w:val="18"/>
      <w:szCs w:val="18"/>
    </w:rPr>
  </w:style>
  <w:style w:type="paragraph" w:customStyle="1" w:styleId="276">
    <w:name w:val="xl1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Cs/>
      <w:color w:val="000000"/>
      <w:kern w:val="0"/>
      <w:sz w:val="18"/>
      <w:szCs w:val="18"/>
    </w:rPr>
  </w:style>
  <w:style w:type="paragraph" w:customStyle="1" w:styleId="277">
    <w:name w:val="xl19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Cs/>
      <w:color w:val="000000"/>
      <w:kern w:val="0"/>
      <w:sz w:val="18"/>
      <w:szCs w:val="18"/>
    </w:rPr>
  </w:style>
  <w:style w:type="paragraph" w:customStyle="1" w:styleId="278">
    <w:name w:val="xl20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Cs/>
      <w:color w:val="000000"/>
      <w:kern w:val="0"/>
      <w:sz w:val="18"/>
      <w:szCs w:val="18"/>
    </w:rPr>
  </w:style>
  <w:style w:type="paragraph" w:customStyle="1" w:styleId="279">
    <w:name w:val="xl20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Cs/>
      <w:color w:val="auto"/>
      <w:kern w:val="0"/>
      <w:sz w:val="18"/>
      <w:szCs w:val="18"/>
    </w:rPr>
  </w:style>
  <w:style w:type="paragraph" w:customStyle="1" w:styleId="280">
    <w:name w:val="xl20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000000"/>
      <w:kern w:val="0"/>
      <w:sz w:val="18"/>
      <w:szCs w:val="18"/>
    </w:rPr>
  </w:style>
  <w:style w:type="paragraph" w:customStyle="1" w:styleId="281">
    <w:name w:val="xl20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微软雅黑" w:hAnsi="微软雅黑" w:eastAsia="微软雅黑" w:cs="宋体"/>
      <w:bCs/>
      <w:color w:val="000000"/>
      <w:kern w:val="0"/>
      <w:sz w:val="18"/>
      <w:szCs w:val="18"/>
    </w:rPr>
  </w:style>
  <w:style w:type="paragraph" w:customStyle="1" w:styleId="282">
    <w:name w:val="xl20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Cs/>
      <w:color w:val="000000"/>
      <w:kern w:val="0"/>
      <w:sz w:val="18"/>
      <w:szCs w:val="18"/>
    </w:rPr>
  </w:style>
  <w:style w:type="paragraph" w:customStyle="1" w:styleId="283">
    <w:name w:val="xl20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000000"/>
      <w:kern w:val="0"/>
      <w:sz w:val="18"/>
      <w:szCs w:val="18"/>
    </w:rPr>
  </w:style>
  <w:style w:type="paragraph" w:customStyle="1" w:styleId="284">
    <w:name w:val="xl20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000000"/>
      <w:kern w:val="0"/>
      <w:sz w:val="18"/>
      <w:szCs w:val="18"/>
    </w:rPr>
  </w:style>
  <w:style w:type="paragraph" w:customStyle="1" w:styleId="285">
    <w:name w:val="xl207"/>
    <w:basedOn w:val="1"/>
    <w:qFormat/>
    <w:uiPriority w:val="0"/>
    <w:pPr>
      <w:widowControl/>
      <w:spacing w:before="100" w:beforeAutospacing="1" w:after="100" w:afterAutospacing="1"/>
      <w:jc w:val="center"/>
      <w:textAlignment w:val="center"/>
    </w:pPr>
    <w:rPr>
      <w:rFonts w:cs="宋体"/>
      <w:b w:val="0"/>
      <w:color w:val="000000"/>
      <w:kern w:val="0"/>
      <w:sz w:val="20"/>
      <w:szCs w:val="20"/>
    </w:rPr>
  </w:style>
  <w:style w:type="paragraph" w:customStyle="1" w:styleId="286">
    <w:name w:val="xl208"/>
    <w:basedOn w:val="1"/>
    <w:qFormat/>
    <w:uiPriority w:val="0"/>
    <w:pPr>
      <w:widowControl/>
      <w:spacing w:before="100" w:beforeAutospacing="1" w:after="100" w:afterAutospacing="1"/>
      <w:jc w:val="left"/>
      <w:textAlignment w:val="center"/>
    </w:pPr>
    <w:rPr>
      <w:rFonts w:cs="宋体"/>
      <w:b w:val="0"/>
      <w:color w:val="000000"/>
      <w:kern w:val="0"/>
      <w:sz w:val="20"/>
      <w:szCs w:val="20"/>
    </w:rPr>
  </w:style>
  <w:style w:type="paragraph" w:customStyle="1" w:styleId="287">
    <w:name w:val="xl209"/>
    <w:basedOn w:val="1"/>
    <w:qFormat/>
    <w:uiPriority w:val="0"/>
    <w:pPr>
      <w:widowControl/>
      <w:spacing w:before="100" w:beforeAutospacing="1" w:after="100" w:afterAutospacing="1"/>
      <w:jc w:val="center"/>
      <w:textAlignment w:val="center"/>
    </w:pPr>
    <w:rPr>
      <w:rFonts w:cs="宋体"/>
      <w:b w:val="0"/>
      <w:color w:val="000000"/>
      <w:kern w:val="0"/>
      <w:sz w:val="20"/>
      <w:szCs w:val="20"/>
    </w:rPr>
  </w:style>
  <w:style w:type="paragraph" w:customStyle="1" w:styleId="288">
    <w:name w:val="xl210"/>
    <w:basedOn w:val="1"/>
    <w:qFormat/>
    <w:uiPriority w:val="0"/>
    <w:pPr>
      <w:widowControl/>
      <w:spacing w:before="100" w:beforeAutospacing="1" w:after="100" w:afterAutospacing="1"/>
      <w:jc w:val="center"/>
      <w:textAlignment w:val="center"/>
    </w:pPr>
    <w:rPr>
      <w:rFonts w:cs="宋体"/>
      <w:b w:val="0"/>
      <w:color w:val="000000"/>
      <w:kern w:val="0"/>
      <w:sz w:val="20"/>
      <w:szCs w:val="20"/>
    </w:rPr>
  </w:style>
  <w:style w:type="paragraph" w:customStyle="1" w:styleId="289">
    <w:name w:val="xl211"/>
    <w:basedOn w:val="1"/>
    <w:qFormat/>
    <w:uiPriority w:val="0"/>
    <w:pPr>
      <w:widowControl/>
      <w:spacing w:before="100" w:beforeAutospacing="1" w:after="100" w:afterAutospacing="1"/>
      <w:jc w:val="center"/>
      <w:textAlignment w:val="center"/>
    </w:pPr>
    <w:rPr>
      <w:rFonts w:cs="宋体"/>
      <w:b w:val="0"/>
      <w:color w:val="000000"/>
      <w:kern w:val="0"/>
      <w:sz w:val="20"/>
      <w:szCs w:val="20"/>
    </w:rPr>
  </w:style>
  <w:style w:type="paragraph" w:customStyle="1" w:styleId="290">
    <w:name w:val="xl21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000000"/>
      <w:kern w:val="0"/>
      <w:sz w:val="18"/>
      <w:szCs w:val="18"/>
    </w:rPr>
  </w:style>
  <w:style w:type="paragraph" w:customStyle="1" w:styleId="291">
    <w:name w:val="xl21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微软雅黑" w:hAnsi="微软雅黑" w:eastAsia="微软雅黑" w:cs="宋体"/>
      <w:b w:val="0"/>
      <w:color w:val="000000"/>
      <w:kern w:val="0"/>
      <w:sz w:val="18"/>
      <w:szCs w:val="18"/>
    </w:rPr>
  </w:style>
  <w:style w:type="paragraph" w:customStyle="1" w:styleId="292">
    <w:name w:val="xl21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Cs/>
      <w:color w:val="000000"/>
      <w:kern w:val="0"/>
      <w:sz w:val="18"/>
      <w:szCs w:val="18"/>
    </w:rPr>
  </w:style>
  <w:style w:type="paragraph" w:customStyle="1" w:styleId="293">
    <w:name w:val="xl21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Cs/>
      <w:color w:val="000000"/>
      <w:kern w:val="0"/>
      <w:sz w:val="18"/>
      <w:szCs w:val="18"/>
    </w:rPr>
  </w:style>
  <w:style w:type="paragraph" w:customStyle="1" w:styleId="294">
    <w:name w:val="xl21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000000"/>
      <w:kern w:val="0"/>
      <w:sz w:val="18"/>
      <w:szCs w:val="18"/>
    </w:rPr>
  </w:style>
  <w:style w:type="paragraph" w:customStyle="1" w:styleId="295">
    <w:name w:val="xl21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cs="宋体"/>
      <w:b w:val="0"/>
      <w:color w:val="auto"/>
      <w:kern w:val="0"/>
      <w:sz w:val="20"/>
      <w:szCs w:val="20"/>
    </w:rPr>
  </w:style>
  <w:style w:type="paragraph" w:customStyle="1" w:styleId="296">
    <w:name w:val="xl21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Cs/>
      <w:color w:val="000000"/>
      <w:kern w:val="0"/>
      <w:sz w:val="18"/>
      <w:szCs w:val="18"/>
    </w:rPr>
  </w:style>
  <w:style w:type="paragraph" w:customStyle="1" w:styleId="297">
    <w:name w:val="xl21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Cs/>
      <w:color w:val="000000"/>
      <w:kern w:val="0"/>
      <w:sz w:val="18"/>
      <w:szCs w:val="18"/>
    </w:rPr>
  </w:style>
  <w:style w:type="paragraph" w:customStyle="1" w:styleId="298">
    <w:name w:val="xl22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000000"/>
      <w:kern w:val="0"/>
      <w:sz w:val="18"/>
      <w:szCs w:val="18"/>
    </w:rPr>
  </w:style>
  <w:style w:type="paragraph" w:customStyle="1" w:styleId="299">
    <w:name w:val="xl22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Cs/>
      <w:color w:val="000000"/>
      <w:kern w:val="0"/>
      <w:sz w:val="18"/>
      <w:szCs w:val="18"/>
    </w:rPr>
  </w:style>
  <w:style w:type="paragraph" w:customStyle="1" w:styleId="300">
    <w:name w:val="xl22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Cs/>
      <w:color w:val="auto"/>
      <w:kern w:val="0"/>
      <w:sz w:val="18"/>
      <w:szCs w:val="18"/>
    </w:rPr>
  </w:style>
  <w:style w:type="paragraph" w:customStyle="1" w:styleId="301">
    <w:name w:val="xl223"/>
    <w:basedOn w:val="1"/>
    <w:qFormat/>
    <w:uiPriority w:val="0"/>
    <w:pPr>
      <w:widowControl/>
      <w:spacing w:before="100" w:beforeAutospacing="1" w:after="100" w:afterAutospacing="1"/>
      <w:jc w:val="center"/>
      <w:textAlignment w:val="center"/>
    </w:pPr>
    <w:rPr>
      <w:rFonts w:cs="宋体"/>
      <w:bCs/>
      <w:color w:val="000000"/>
      <w:kern w:val="0"/>
      <w:sz w:val="20"/>
      <w:szCs w:val="20"/>
    </w:rPr>
  </w:style>
  <w:style w:type="paragraph" w:customStyle="1" w:styleId="302">
    <w:name w:val="xl22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000000"/>
      <w:kern w:val="0"/>
      <w:sz w:val="18"/>
      <w:szCs w:val="18"/>
    </w:rPr>
  </w:style>
  <w:style w:type="paragraph" w:customStyle="1" w:styleId="303">
    <w:name w:val="xl2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000000"/>
      <w:kern w:val="0"/>
      <w:sz w:val="18"/>
      <w:szCs w:val="18"/>
    </w:rPr>
  </w:style>
  <w:style w:type="paragraph" w:customStyle="1" w:styleId="304">
    <w:name w:val="xl22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auto"/>
      <w:kern w:val="0"/>
      <w:sz w:val="18"/>
      <w:szCs w:val="18"/>
    </w:rPr>
  </w:style>
  <w:style w:type="paragraph" w:customStyle="1" w:styleId="305">
    <w:name w:val="xl22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auto"/>
      <w:kern w:val="0"/>
      <w:sz w:val="18"/>
      <w:szCs w:val="18"/>
    </w:rPr>
  </w:style>
  <w:style w:type="paragraph" w:customStyle="1" w:styleId="306">
    <w:name w:val="xl228"/>
    <w:basedOn w:val="1"/>
    <w:qFormat/>
    <w:uiPriority w:val="0"/>
    <w:pPr>
      <w:widowControl/>
      <w:spacing w:before="100" w:beforeAutospacing="1" w:after="100" w:afterAutospacing="1"/>
      <w:jc w:val="center"/>
      <w:textAlignment w:val="center"/>
    </w:pPr>
    <w:rPr>
      <w:rFonts w:ascii="微软雅黑" w:hAnsi="微软雅黑" w:eastAsia="微软雅黑" w:cs="宋体"/>
      <w:bCs/>
      <w:color w:val="000000"/>
      <w:kern w:val="0"/>
      <w:sz w:val="24"/>
      <w:szCs w:val="24"/>
    </w:rPr>
  </w:style>
  <w:style w:type="paragraph" w:customStyle="1" w:styleId="307">
    <w:name w:val="xl229"/>
    <w:basedOn w:val="1"/>
    <w:qFormat/>
    <w:uiPriority w:val="0"/>
    <w:pPr>
      <w:widowControl/>
      <w:spacing w:before="100" w:beforeAutospacing="1" w:after="100" w:afterAutospacing="1"/>
      <w:jc w:val="center"/>
      <w:textAlignment w:val="center"/>
    </w:pPr>
    <w:rPr>
      <w:rFonts w:ascii="微软雅黑" w:hAnsi="微软雅黑" w:eastAsia="微软雅黑" w:cs="宋体"/>
      <w:bCs/>
      <w:color w:val="000000"/>
      <w:kern w:val="0"/>
      <w:sz w:val="24"/>
      <w:szCs w:val="24"/>
    </w:rPr>
  </w:style>
  <w:style w:type="paragraph" w:customStyle="1" w:styleId="308">
    <w:name w:val="xl230"/>
    <w:basedOn w:val="1"/>
    <w:qFormat/>
    <w:uiPriority w:val="0"/>
    <w:pPr>
      <w:widowControl/>
      <w:spacing w:before="100" w:beforeAutospacing="1" w:after="100" w:afterAutospacing="1"/>
      <w:jc w:val="center"/>
      <w:textAlignment w:val="center"/>
    </w:pPr>
    <w:rPr>
      <w:rFonts w:ascii="微软雅黑" w:hAnsi="微软雅黑" w:eastAsia="微软雅黑" w:cs="宋体"/>
      <w:bCs/>
      <w:color w:val="000000"/>
      <w:kern w:val="0"/>
      <w:sz w:val="24"/>
      <w:szCs w:val="24"/>
    </w:rPr>
  </w:style>
  <w:style w:type="paragraph" w:customStyle="1" w:styleId="309">
    <w:name w:val="xl23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cs="宋体"/>
      <w:b w:val="0"/>
      <w:color w:val="auto"/>
      <w:kern w:val="0"/>
      <w:sz w:val="20"/>
      <w:szCs w:val="20"/>
    </w:rPr>
  </w:style>
  <w:style w:type="paragraph" w:customStyle="1" w:styleId="310">
    <w:name w:val="xl2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auto"/>
      <w:kern w:val="0"/>
      <w:sz w:val="18"/>
      <w:szCs w:val="18"/>
    </w:rPr>
  </w:style>
  <w:style w:type="paragraph" w:customStyle="1" w:styleId="311">
    <w:name w:val="Style6"/>
    <w:basedOn w:val="1"/>
    <w:qFormat/>
    <w:uiPriority w:val="99"/>
    <w:pPr>
      <w:adjustRightInd w:val="0"/>
      <w:spacing w:line="583" w:lineRule="exact"/>
      <w:ind w:firstLine="778"/>
    </w:pPr>
    <w:rPr>
      <w:rFonts w:ascii="Arial" w:hAnsi="Arial" w:cs="Arial" w:eastAsiaTheme="minorEastAsia"/>
      <w:b w:val="0"/>
      <w:color w:val="auto"/>
      <w:kern w:val="0"/>
      <w:sz w:val="24"/>
      <w:szCs w:val="24"/>
    </w:rPr>
  </w:style>
  <w:style w:type="paragraph" w:customStyle="1" w:styleId="312">
    <w:name w:val="正文1"/>
    <w:basedOn w:val="1"/>
    <w:link w:val="313"/>
    <w:qFormat/>
    <w:uiPriority w:val="0"/>
    <w:pPr>
      <w:spacing w:line="360" w:lineRule="auto"/>
      <w:ind w:firstLine="422"/>
      <w:jc w:val="center"/>
    </w:pPr>
    <w:rPr>
      <w:color w:val="auto"/>
      <w:sz w:val="24"/>
      <w:szCs w:val="24"/>
      <w:lang w:val="zh-CN"/>
    </w:rPr>
  </w:style>
  <w:style w:type="character" w:customStyle="1" w:styleId="313">
    <w:name w:val="正文1 Char"/>
    <w:link w:val="312"/>
    <w:qFormat/>
    <w:uiPriority w:val="0"/>
    <w:rPr>
      <w:rFonts w:ascii="宋体" w:hAnsi="宋体"/>
      <w:b/>
      <w:kern w:val="2"/>
      <w:sz w:val="24"/>
      <w:szCs w:val="24"/>
      <w:lang w:val="zh-CN" w:eastAsia="zh-CN"/>
    </w:rPr>
  </w:style>
  <w:style w:type="paragraph" w:customStyle="1" w:styleId="314">
    <w:name w:val="xl23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000000"/>
      <w:kern w:val="0"/>
      <w:sz w:val="18"/>
      <w:szCs w:val="18"/>
    </w:rPr>
  </w:style>
  <w:style w:type="paragraph" w:customStyle="1" w:styleId="315">
    <w:name w:val="xl2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000000"/>
      <w:kern w:val="0"/>
      <w:sz w:val="18"/>
      <w:szCs w:val="18"/>
    </w:rPr>
  </w:style>
  <w:style w:type="paragraph" w:customStyle="1" w:styleId="316">
    <w:name w:val="xl2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cs="宋体"/>
      <w:bCs/>
      <w:color w:val="auto"/>
      <w:kern w:val="0"/>
      <w:sz w:val="20"/>
      <w:szCs w:val="20"/>
    </w:rPr>
  </w:style>
  <w:style w:type="paragraph" w:customStyle="1" w:styleId="317">
    <w:name w:val="xl2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cs="宋体"/>
      <w:b w:val="0"/>
      <w:color w:val="auto"/>
      <w:kern w:val="0"/>
      <w:sz w:val="20"/>
      <w:szCs w:val="20"/>
    </w:rPr>
  </w:style>
  <w:style w:type="paragraph" w:customStyle="1" w:styleId="318">
    <w:name w:val="xl2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Cs/>
      <w:color w:val="auto"/>
      <w:kern w:val="0"/>
      <w:sz w:val="18"/>
      <w:szCs w:val="18"/>
    </w:rPr>
  </w:style>
  <w:style w:type="paragraph" w:customStyle="1" w:styleId="319">
    <w:name w:val="xl23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auto"/>
      <w:kern w:val="0"/>
      <w:sz w:val="18"/>
      <w:szCs w:val="18"/>
    </w:rPr>
  </w:style>
  <w:style w:type="paragraph" w:customStyle="1" w:styleId="320">
    <w:name w:val="xl23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Cs/>
      <w:color w:val="auto"/>
      <w:kern w:val="0"/>
      <w:sz w:val="18"/>
      <w:szCs w:val="18"/>
    </w:rPr>
  </w:style>
  <w:style w:type="paragraph" w:customStyle="1" w:styleId="321">
    <w:name w:val="xl24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auto"/>
      <w:kern w:val="0"/>
      <w:sz w:val="18"/>
      <w:szCs w:val="18"/>
    </w:rPr>
  </w:style>
  <w:style w:type="paragraph" w:customStyle="1" w:styleId="322">
    <w:name w:val="xl241"/>
    <w:basedOn w:val="1"/>
    <w:qFormat/>
    <w:uiPriority w:val="0"/>
    <w:pPr>
      <w:widowControl/>
      <w:spacing w:before="100" w:beforeAutospacing="1" w:after="100" w:afterAutospacing="1"/>
      <w:jc w:val="center"/>
      <w:textAlignment w:val="center"/>
    </w:pPr>
    <w:rPr>
      <w:rFonts w:ascii="微软雅黑" w:hAnsi="微软雅黑" w:eastAsia="微软雅黑" w:cs="宋体"/>
      <w:bCs/>
      <w:color w:val="000000"/>
      <w:kern w:val="0"/>
      <w:sz w:val="24"/>
      <w:szCs w:val="24"/>
    </w:rPr>
  </w:style>
  <w:style w:type="paragraph" w:customStyle="1" w:styleId="323">
    <w:name w:val="xl242"/>
    <w:basedOn w:val="1"/>
    <w:qFormat/>
    <w:uiPriority w:val="0"/>
    <w:pPr>
      <w:widowControl/>
      <w:spacing w:before="100" w:beforeAutospacing="1" w:after="100" w:afterAutospacing="1"/>
      <w:jc w:val="center"/>
      <w:textAlignment w:val="center"/>
    </w:pPr>
    <w:rPr>
      <w:rFonts w:ascii="微软雅黑" w:hAnsi="微软雅黑" w:eastAsia="微软雅黑" w:cs="宋体"/>
      <w:bCs/>
      <w:color w:val="000000"/>
      <w:kern w:val="0"/>
      <w:sz w:val="24"/>
      <w:szCs w:val="24"/>
    </w:rPr>
  </w:style>
  <w:style w:type="paragraph" w:customStyle="1" w:styleId="324">
    <w:name w:val="xl243"/>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000000"/>
      <w:kern w:val="0"/>
      <w:sz w:val="18"/>
      <w:szCs w:val="18"/>
    </w:rPr>
  </w:style>
  <w:style w:type="paragraph" w:customStyle="1" w:styleId="325">
    <w:name w:val="xl244"/>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000000"/>
      <w:kern w:val="0"/>
      <w:sz w:val="18"/>
      <w:szCs w:val="18"/>
    </w:rPr>
  </w:style>
  <w:style w:type="paragraph" w:customStyle="1" w:styleId="326">
    <w:name w:val="xl245"/>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000000"/>
      <w:kern w:val="0"/>
      <w:sz w:val="18"/>
      <w:szCs w:val="18"/>
    </w:rPr>
  </w:style>
  <w:style w:type="paragraph" w:customStyle="1" w:styleId="327">
    <w:name w:val="TOC 标题11"/>
    <w:basedOn w:val="2"/>
    <w:next w:val="1"/>
    <w:unhideWhenUsed/>
    <w:qFormat/>
    <w:uiPriority w:val="39"/>
    <w:pPr>
      <w:keepNext/>
      <w:keepLines/>
      <w:widowControl/>
      <w:numPr>
        <w:numId w:val="0"/>
      </w:numPr>
      <w:spacing w:beforeLines="0" w:afterLines="0" w:line="276" w:lineRule="auto"/>
      <w:jc w:val="left"/>
      <w:outlineLvl w:val="9"/>
    </w:pPr>
    <w:rPr>
      <w:rFonts w:ascii="Cambria" w:hAnsi="Cambria" w:eastAsia="宋体"/>
      <w:bCs/>
      <w:color w:val="365F91"/>
      <w:kern w:val="0"/>
      <w:sz w:val="28"/>
    </w:rPr>
  </w:style>
  <w:style w:type="character" w:customStyle="1" w:styleId="328">
    <w:name w:val="样式1 Char"/>
    <w:link w:val="329"/>
    <w:qFormat/>
    <w:uiPriority w:val="0"/>
    <w:rPr>
      <w:rFonts w:ascii="宋体" w:hAnsi="宋体"/>
      <w:spacing w:val="12"/>
      <w:sz w:val="24"/>
      <w:szCs w:val="33"/>
    </w:rPr>
  </w:style>
  <w:style w:type="paragraph" w:customStyle="1" w:styleId="329">
    <w:name w:val="样式1"/>
    <w:basedOn w:val="1"/>
    <w:link w:val="328"/>
    <w:qFormat/>
    <w:uiPriority w:val="0"/>
    <w:pPr>
      <w:ind w:firstLine="583" w:firstLineChars="200"/>
    </w:pPr>
    <w:rPr>
      <w:b w:val="0"/>
      <w:color w:val="auto"/>
      <w:spacing w:val="12"/>
      <w:kern w:val="0"/>
      <w:sz w:val="24"/>
      <w:szCs w:val="33"/>
    </w:rPr>
  </w:style>
  <w:style w:type="paragraph" w:customStyle="1" w:styleId="330">
    <w:name w:val="xl34"/>
    <w:basedOn w:val="1"/>
    <w:qFormat/>
    <w:uiPriority w:val="0"/>
    <w:pPr>
      <w:widowControl/>
      <w:spacing w:before="100" w:after="100"/>
      <w:jc w:val="center"/>
      <w:textAlignment w:val="center"/>
    </w:pPr>
    <w:rPr>
      <w:rFonts w:ascii="Times New Roman" w:hAnsi="Times New Roman" w:eastAsia="Arial Unicode MS"/>
      <w:b w:val="0"/>
      <w:color w:val="auto"/>
      <w:kern w:val="0"/>
      <w:szCs w:val="24"/>
    </w:rPr>
  </w:style>
  <w:style w:type="character" w:customStyle="1" w:styleId="331">
    <w:name w:val="YB表头小四黑体 Char"/>
    <w:link w:val="332"/>
    <w:qFormat/>
    <w:uiPriority w:val="0"/>
    <w:rPr>
      <w:rFonts w:eastAsia="黑体"/>
      <w:kern w:val="2"/>
      <w:sz w:val="24"/>
    </w:rPr>
  </w:style>
  <w:style w:type="paragraph" w:customStyle="1" w:styleId="332">
    <w:name w:val="YB表头小四黑体"/>
    <w:basedOn w:val="1"/>
    <w:next w:val="1"/>
    <w:link w:val="331"/>
    <w:qFormat/>
    <w:uiPriority w:val="0"/>
    <w:pPr>
      <w:autoSpaceDE w:val="0"/>
      <w:autoSpaceDN w:val="0"/>
      <w:adjustRightInd w:val="0"/>
      <w:snapToGrid w:val="0"/>
      <w:spacing w:line="500" w:lineRule="exact"/>
      <w:jc w:val="center"/>
      <w:textAlignment w:val="bottom"/>
    </w:pPr>
    <w:rPr>
      <w:rFonts w:ascii="Times New Roman" w:hAnsi="Times New Roman" w:eastAsia="黑体"/>
      <w:b w:val="0"/>
      <w:color w:val="auto"/>
      <w:sz w:val="24"/>
      <w:szCs w:val="20"/>
    </w:rPr>
  </w:style>
  <w:style w:type="paragraph" w:customStyle="1" w:styleId="333">
    <w:name w:val="样式15"/>
    <w:basedOn w:val="1"/>
    <w:qFormat/>
    <w:uiPriority w:val="0"/>
    <w:pPr>
      <w:adjustRightInd w:val="0"/>
      <w:snapToGrid w:val="0"/>
      <w:spacing w:line="300" w:lineRule="auto"/>
      <w:ind w:firstLine="100" w:firstLineChars="100"/>
    </w:pPr>
    <w:rPr>
      <w:rFonts w:ascii="黑体" w:hAnsi="Times New Roman" w:eastAsia="黑体"/>
      <w:b w:val="0"/>
      <w:color w:val="auto"/>
      <w:sz w:val="24"/>
      <w:szCs w:val="24"/>
    </w:rPr>
  </w:style>
  <w:style w:type="paragraph" w:customStyle="1" w:styleId="334">
    <w:name w:val="正文文字缩进 3"/>
    <w:basedOn w:val="1"/>
    <w:qFormat/>
    <w:uiPriority w:val="0"/>
    <w:pPr>
      <w:spacing w:line="312" w:lineRule="auto"/>
      <w:ind w:firstLine="480" w:firstLineChars="200"/>
    </w:pPr>
    <w:rPr>
      <w:rFonts w:ascii="Times New Roman" w:hAnsi="Times New Roman"/>
      <w:b w:val="0"/>
      <w:color w:val="auto"/>
      <w:kern w:val="0"/>
      <w:sz w:val="24"/>
      <w:szCs w:val="24"/>
    </w:rPr>
  </w:style>
  <w:style w:type="paragraph" w:customStyle="1" w:styleId="335">
    <w:name w:val="Char Char5 Char Char"/>
    <w:basedOn w:val="1"/>
    <w:qFormat/>
    <w:uiPriority w:val="0"/>
    <w:pPr>
      <w:spacing w:line="360" w:lineRule="auto"/>
      <w:ind w:firstLine="200" w:firstLineChars="200"/>
    </w:pPr>
    <w:rPr>
      <w:rFonts w:cs="宋体"/>
      <w:b w:val="0"/>
      <w:color w:val="auto"/>
      <w:sz w:val="24"/>
      <w:szCs w:val="24"/>
    </w:rPr>
  </w:style>
  <w:style w:type="paragraph" w:customStyle="1" w:styleId="336">
    <w:name w:val="xl24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微软雅黑" w:hAnsi="微软雅黑" w:eastAsia="微软雅黑" w:cs="宋体"/>
      <w:bCs/>
      <w:color w:val="auto"/>
      <w:kern w:val="0"/>
      <w:sz w:val="18"/>
      <w:szCs w:val="18"/>
    </w:rPr>
  </w:style>
  <w:style w:type="paragraph" w:customStyle="1" w:styleId="337">
    <w:name w:val="xl24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auto"/>
      <w:kern w:val="0"/>
      <w:sz w:val="18"/>
      <w:szCs w:val="18"/>
    </w:rPr>
  </w:style>
  <w:style w:type="paragraph" w:customStyle="1" w:styleId="338">
    <w:name w:val="xl24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微软雅黑" w:hAnsi="微软雅黑" w:eastAsia="微软雅黑" w:cs="宋体"/>
      <w:b w:val="0"/>
      <w:color w:val="auto"/>
      <w:kern w:val="0"/>
      <w:sz w:val="18"/>
      <w:szCs w:val="18"/>
    </w:rPr>
  </w:style>
  <w:style w:type="paragraph" w:customStyle="1" w:styleId="339">
    <w:name w:val="xl249"/>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auto"/>
      <w:kern w:val="0"/>
      <w:sz w:val="18"/>
      <w:szCs w:val="18"/>
    </w:rPr>
  </w:style>
  <w:style w:type="paragraph" w:customStyle="1" w:styleId="340">
    <w:name w:val="xl25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cs="宋体"/>
      <w:bCs/>
      <w:color w:val="auto"/>
      <w:kern w:val="0"/>
      <w:sz w:val="20"/>
      <w:szCs w:val="20"/>
    </w:rPr>
  </w:style>
  <w:style w:type="paragraph" w:customStyle="1" w:styleId="341">
    <w:name w:val="xl25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cs="宋体"/>
      <w:b w:val="0"/>
      <w:color w:val="auto"/>
      <w:kern w:val="0"/>
      <w:sz w:val="20"/>
      <w:szCs w:val="20"/>
    </w:rPr>
  </w:style>
  <w:style w:type="paragraph" w:customStyle="1" w:styleId="342">
    <w:name w:val="xl252"/>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auto"/>
      <w:kern w:val="0"/>
      <w:sz w:val="18"/>
      <w:szCs w:val="18"/>
    </w:rPr>
  </w:style>
  <w:style w:type="paragraph" w:customStyle="1" w:styleId="343">
    <w:name w:val="xl253"/>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auto"/>
      <w:kern w:val="0"/>
      <w:sz w:val="18"/>
      <w:szCs w:val="18"/>
    </w:rPr>
  </w:style>
  <w:style w:type="paragraph" w:customStyle="1" w:styleId="344">
    <w:name w:val="xl254"/>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auto"/>
      <w:kern w:val="0"/>
      <w:sz w:val="18"/>
      <w:szCs w:val="18"/>
    </w:rPr>
  </w:style>
  <w:style w:type="paragraph" w:customStyle="1" w:styleId="345">
    <w:name w:val="xl25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auto"/>
      <w:kern w:val="0"/>
      <w:sz w:val="18"/>
      <w:szCs w:val="18"/>
    </w:rPr>
  </w:style>
  <w:style w:type="paragraph" w:customStyle="1" w:styleId="346">
    <w:name w:val="xl2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Cs/>
      <w:color w:val="auto"/>
      <w:kern w:val="0"/>
      <w:sz w:val="18"/>
      <w:szCs w:val="18"/>
    </w:rPr>
  </w:style>
  <w:style w:type="paragraph" w:customStyle="1" w:styleId="347">
    <w:name w:val="xl25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Cs/>
      <w:color w:val="auto"/>
      <w:kern w:val="0"/>
      <w:sz w:val="18"/>
      <w:szCs w:val="18"/>
    </w:rPr>
  </w:style>
  <w:style w:type="paragraph" w:customStyle="1" w:styleId="348">
    <w:name w:val="xl25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auto"/>
      <w:kern w:val="0"/>
      <w:sz w:val="18"/>
      <w:szCs w:val="18"/>
    </w:rPr>
  </w:style>
  <w:style w:type="paragraph" w:customStyle="1" w:styleId="349">
    <w:name w:val="xl25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 w:val="0"/>
      <w:color w:val="auto"/>
      <w:kern w:val="0"/>
      <w:sz w:val="18"/>
      <w:szCs w:val="18"/>
    </w:rPr>
  </w:style>
  <w:style w:type="paragraph" w:customStyle="1" w:styleId="350">
    <w:name w:val="表格内容"/>
    <w:basedOn w:val="1"/>
    <w:link w:val="351"/>
    <w:qFormat/>
    <w:uiPriority w:val="0"/>
    <w:pPr>
      <w:widowControl/>
      <w:jc w:val="center"/>
    </w:pPr>
    <w:rPr>
      <w:rFonts w:hAnsi="Times New Roman"/>
      <w:b w:val="0"/>
      <w:color w:val="auto"/>
      <w:sz w:val="21"/>
      <w:szCs w:val="24"/>
    </w:rPr>
  </w:style>
  <w:style w:type="character" w:customStyle="1" w:styleId="351">
    <w:name w:val="表格内容 Char"/>
    <w:link w:val="350"/>
    <w:qFormat/>
    <w:uiPriority w:val="0"/>
    <w:rPr>
      <w:rFonts w:ascii="宋体"/>
      <w:kern w:val="2"/>
      <w:sz w:val="21"/>
      <w:szCs w:val="24"/>
    </w:rPr>
  </w:style>
  <w:style w:type="character" w:customStyle="1" w:styleId="352">
    <w:name w:val="表名 Char"/>
    <w:link w:val="353"/>
    <w:qFormat/>
    <w:uiPriority w:val="0"/>
    <w:rPr>
      <w:rFonts w:ascii="Calibri" w:hAnsi="Calibri"/>
      <w:b/>
      <w:kern w:val="2"/>
      <w:sz w:val="21"/>
      <w:szCs w:val="21"/>
    </w:rPr>
  </w:style>
  <w:style w:type="paragraph" w:customStyle="1" w:styleId="353">
    <w:name w:val="表名"/>
    <w:basedOn w:val="1"/>
    <w:link w:val="352"/>
    <w:qFormat/>
    <w:uiPriority w:val="0"/>
    <w:pPr>
      <w:keepNext/>
      <w:widowControl/>
      <w:ind w:left="710"/>
      <w:jc w:val="center"/>
    </w:pPr>
    <w:rPr>
      <w:rFonts w:ascii="Calibri" w:hAnsi="Calibri"/>
      <w:color w:val="auto"/>
      <w:sz w:val="21"/>
      <w:szCs w:val="21"/>
    </w:rPr>
  </w:style>
  <w:style w:type="paragraph" w:customStyle="1" w:styleId="354">
    <w:name w:val="图名"/>
    <w:basedOn w:val="1"/>
    <w:qFormat/>
    <w:uiPriority w:val="0"/>
    <w:pPr>
      <w:widowControl/>
      <w:spacing w:after="50" w:afterLines="50"/>
      <w:ind w:left="5246"/>
      <w:jc w:val="center"/>
    </w:pPr>
    <w:rPr>
      <w:rFonts w:ascii="Calibri" w:hAnsi="Calibri"/>
      <w:color w:val="auto"/>
      <w:sz w:val="21"/>
      <w:szCs w:val="21"/>
    </w:rPr>
  </w:style>
  <w:style w:type="paragraph" w:customStyle="1" w:styleId="355">
    <w:name w:val="p15"/>
    <w:basedOn w:val="1"/>
    <w:qFormat/>
    <w:uiPriority w:val="0"/>
    <w:pPr>
      <w:widowControl/>
    </w:pPr>
    <w:rPr>
      <w:rFonts w:hint="eastAsia" w:ascii="Calibri" w:hAnsi="Calibri"/>
      <w:b w:val="0"/>
      <w:color w:val="auto"/>
      <w:sz w:val="21"/>
      <w:szCs w:val="24"/>
    </w:rPr>
  </w:style>
  <w:style w:type="paragraph" w:customStyle="1" w:styleId="356">
    <w:name w:val="lzm-zw"/>
    <w:basedOn w:val="1"/>
    <w:qFormat/>
    <w:uiPriority w:val="0"/>
    <w:pPr>
      <w:spacing w:line="500" w:lineRule="exact"/>
      <w:ind w:firstLine="200" w:firstLineChars="200"/>
    </w:pPr>
    <w:rPr>
      <w:rFonts w:ascii="Times New Roman" w:hAnsi="Times New Roman"/>
      <w:color w:val="auto"/>
      <w:sz w:val="24"/>
    </w:rPr>
  </w:style>
  <w:style w:type="paragraph" w:customStyle="1" w:styleId="357">
    <w:name w:val="xl26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cs="宋体"/>
      <w:b w:val="0"/>
      <w:color w:val="auto"/>
      <w:kern w:val="0"/>
      <w:sz w:val="20"/>
      <w:szCs w:val="20"/>
    </w:rPr>
  </w:style>
  <w:style w:type="paragraph" w:customStyle="1" w:styleId="358">
    <w:name w:val="xl261"/>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Cs/>
      <w:color w:val="auto"/>
      <w:kern w:val="0"/>
      <w:sz w:val="18"/>
      <w:szCs w:val="18"/>
    </w:rPr>
  </w:style>
  <w:style w:type="paragraph" w:customStyle="1" w:styleId="359">
    <w:name w:val="xl262"/>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微软雅黑" w:hAnsi="微软雅黑" w:eastAsia="微软雅黑" w:cs="宋体"/>
      <w:bCs/>
      <w:color w:val="auto"/>
      <w:kern w:val="0"/>
      <w:sz w:val="18"/>
      <w:szCs w:val="18"/>
    </w:rPr>
  </w:style>
  <w:style w:type="character" w:customStyle="1" w:styleId="360">
    <w:name w:val="标题 4 字符"/>
    <w:basedOn w:val="35"/>
    <w:semiHidden/>
    <w:qFormat/>
    <w:uiPriority w:val="0"/>
    <w:rPr>
      <w:rFonts w:asciiTheme="majorHAnsi" w:hAnsiTheme="majorHAnsi" w:eastAsiaTheme="majorEastAsia" w:cstheme="majorBidi"/>
      <w:b/>
      <w:bCs/>
      <w:color w:val="FFFFFF"/>
      <w:kern w:val="2"/>
      <w:sz w:val="28"/>
      <w:szCs w:val="28"/>
    </w:rPr>
  </w:style>
  <w:style w:type="character" w:customStyle="1" w:styleId="361">
    <w:name w:val="正文文本 字符"/>
    <w:basedOn w:val="35"/>
    <w:semiHidden/>
    <w:qFormat/>
    <w:uiPriority w:val="0"/>
    <w:rPr>
      <w:rFonts w:ascii="宋体" w:hAnsi="宋体"/>
      <w:b/>
      <w:color w:val="FFFFFF"/>
      <w:kern w:val="2"/>
      <w:sz w:val="28"/>
      <w:szCs w:val="28"/>
    </w:rPr>
  </w:style>
  <w:style w:type="character" w:customStyle="1" w:styleId="362">
    <w:name w:val="纯文本 字符1"/>
    <w:basedOn w:val="35"/>
    <w:semiHidden/>
    <w:qFormat/>
    <w:uiPriority w:val="0"/>
    <w:rPr>
      <w:rFonts w:ascii="宋体" w:hAnsi="Courier New"/>
      <w:kern w:val="2"/>
      <w:sz w:val="21"/>
    </w:rPr>
  </w:style>
  <w:style w:type="character" w:customStyle="1" w:styleId="363">
    <w:name w:val="标题 1 字符1"/>
    <w:basedOn w:val="35"/>
    <w:qFormat/>
    <w:uiPriority w:val="0"/>
    <w:rPr>
      <w:rFonts w:ascii="黑体" w:hAnsi="宋体" w:eastAsia="黑体" w:cs="宋体"/>
      <w:b/>
      <w:color w:val="000000"/>
      <w:kern w:val="2"/>
      <w:sz w:val="28"/>
      <w:szCs w:val="28"/>
    </w:rPr>
  </w:style>
  <w:style w:type="character" w:customStyle="1" w:styleId="364">
    <w:name w:val="标题 2 字符1"/>
    <w:basedOn w:val="35"/>
    <w:semiHidden/>
    <w:qFormat/>
    <w:uiPriority w:val="0"/>
    <w:rPr>
      <w:rFonts w:ascii="黑体" w:hAnsi="宋体" w:eastAsia="黑体" w:cs="宋体"/>
      <w:b/>
      <w:color w:val="000000"/>
      <w:kern w:val="2"/>
      <w:sz w:val="24"/>
      <w:szCs w:val="24"/>
    </w:rPr>
  </w:style>
  <w:style w:type="character" w:customStyle="1" w:styleId="365">
    <w:name w:val="标题 3 字符1"/>
    <w:basedOn w:val="35"/>
    <w:semiHidden/>
    <w:qFormat/>
    <w:uiPriority w:val="0"/>
    <w:rPr>
      <w:rFonts w:ascii="黑体" w:hAnsi="宋体" w:eastAsia="黑体" w:cs="宋体"/>
      <w:b/>
      <w:color w:val="000000"/>
      <w:kern w:val="2"/>
      <w:sz w:val="24"/>
      <w:szCs w:val="24"/>
    </w:rPr>
  </w:style>
  <w:style w:type="character" w:customStyle="1" w:styleId="366">
    <w:name w:val="正文首行缩进 字符1"/>
    <w:basedOn w:val="49"/>
    <w:semiHidden/>
    <w:qFormat/>
    <w:uiPriority w:val="99"/>
    <w:rPr>
      <w:rFonts w:ascii="宋体" w:hAnsi="宋体"/>
      <w:color w:val="FFFFFF"/>
      <w:kern w:val="2"/>
      <w:sz w:val="28"/>
      <w:szCs w:val="28"/>
    </w:rPr>
  </w:style>
  <w:style w:type="character" w:customStyle="1" w:styleId="367">
    <w:name w:val="页眉 字符1"/>
    <w:basedOn w:val="35"/>
    <w:semiHidden/>
    <w:qFormat/>
    <w:uiPriority w:val="99"/>
    <w:rPr>
      <w:rFonts w:ascii="宋体" w:hAnsi="宋体"/>
      <w:b/>
      <w:color w:val="FFFFFF"/>
      <w:kern w:val="2"/>
      <w:sz w:val="18"/>
      <w:szCs w:val="18"/>
    </w:rPr>
  </w:style>
  <w:style w:type="character" w:customStyle="1" w:styleId="368">
    <w:name w:val="页脚 字符1"/>
    <w:basedOn w:val="35"/>
    <w:semiHidden/>
    <w:qFormat/>
    <w:uiPriority w:val="99"/>
    <w:rPr>
      <w:rFonts w:ascii="宋体" w:hAnsi="宋体"/>
      <w:b/>
      <w:color w:val="FFFFFF"/>
      <w:kern w:val="2"/>
      <w:sz w:val="18"/>
      <w:szCs w:val="18"/>
    </w:rPr>
  </w:style>
  <w:style w:type="character" w:customStyle="1" w:styleId="369">
    <w:name w:val="正文文本缩进 字符1"/>
    <w:basedOn w:val="35"/>
    <w:semiHidden/>
    <w:qFormat/>
    <w:uiPriority w:val="99"/>
    <w:rPr>
      <w:rFonts w:ascii="宋体" w:hAnsi="宋体"/>
      <w:b/>
      <w:color w:val="FFFFFF"/>
      <w:kern w:val="2"/>
      <w:sz w:val="28"/>
      <w:szCs w:val="28"/>
    </w:rPr>
  </w:style>
  <w:style w:type="character" w:customStyle="1" w:styleId="370">
    <w:name w:val="副标题 字符1"/>
    <w:basedOn w:val="35"/>
    <w:qFormat/>
    <w:uiPriority w:val="99"/>
    <w:rPr>
      <w:b/>
      <w:color w:val="333399"/>
      <w:kern w:val="2"/>
      <w:sz w:val="21"/>
    </w:rPr>
  </w:style>
  <w:style w:type="character" w:customStyle="1" w:styleId="371">
    <w:name w:val="批注框文本 字符1"/>
    <w:basedOn w:val="35"/>
    <w:semiHidden/>
    <w:qFormat/>
    <w:uiPriority w:val="99"/>
    <w:rPr>
      <w:rFonts w:ascii="宋体" w:hAnsi="宋体"/>
      <w:b/>
      <w:color w:val="FFFFFF"/>
      <w:kern w:val="2"/>
      <w:sz w:val="18"/>
      <w:szCs w:val="18"/>
    </w:rPr>
  </w:style>
  <w:style w:type="character" w:customStyle="1" w:styleId="372">
    <w:name w:val="文档结构图 字符1"/>
    <w:basedOn w:val="35"/>
    <w:semiHidden/>
    <w:qFormat/>
    <w:uiPriority w:val="99"/>
    <w:rPr>
      <w:rFonts w:ascii="宋体" w:hAnsi="宋体"/>
      <w:b/>
      <w:color w:val="FFFFFF"/>
      <w:kern w:val="2"/>
      <w:sz w:val="18"/>
      <w:szCs w:val="18"/>
    </w:rPr>
  </w:style>
  <w:style w:type="character" w:customStyle="1" w:styleId="373">
    <w:name w:val="标题 字符1"/>
    <w:basedOn w:val="35"/>
    <w:qFormat/>
    <w:uiPriority w:val="99"/>
    <w:rPr>
      <w:rFonts w:ascii="Cambria" w:hAnsi="Cambria"/>
      <w:b/>
      <w:bCs/>
      <w:color w:val="FFFFFF"/>
      <w:kern w:val="2"/>
      <w:sz w:val="32"/>
      <w:szCs w:val="32"/>
    </w:rPr>
  </w:style>
  <w:style w:type="character" w:customStyle="1" w:styleId="374">
    <w:name w:val="批注文字 字符1"/>
    <w:basedOn w:val="35"/>
    <w:semiHidden/>
    <w:qFormat/>
    <w:uiPriority w:val="99"/>
    <w:rPr>
      <w:rFonts w:ascii="宋体" w:hAnsi="宋体"/>
      <w:b/>
      <w:color w:val="FFFFFF"/>
      <w:kern w:val="2"/>
      <w:sz w:val="28"/>
      <w:szCs w:val="28"/>
    </w:rPr>
  </w:style>
  <w:style w:type="character" w:customStyle="1" w:styleId="375">
    <w:name w:val="批注主题 字符1"/>
    <w:basedOn w:val="374"/>
    <w:semiHidden/>
    <w:qFormat/>
    <w:uiPriority w:val="99"/>
    <w:rPr>
      <w:rFonts w:ascii="宋体" w:hAnsi="宋体"/>
      <w:bCs/>
      <w:color w:val="FFFFFF"/>
      <w:kern w:val="2"/>
      <w:sz w:val="28"/>
      <w:szCs w:val="28"/>
    </w:rPr>
  </w:style>
  <w:style w:type="table" w:customStyle="1" w:styleId="376">
    <w:name w:val="中等深浅网格 3 - 强调文字颜色 11"/>
    <w:basedOn w:val="32"/>
    <w:qFormat/>
    <w:uiPriority w:val="69"/>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14:textFill>
          <w14:solidFill>
            <w14:schemeClr w14:val="bg1"/>
          </w14:solidFill>
        </w14:textFill>
      </w:r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4F81BD" w:themeFill="accent1"/>
      </w:tcPr>
    </w:tblStylePr>
    <w:tblStylePr w:type="lastRow">
      <w:rPr>
        <w:b/>
        <w:bCs/>
        <w:i w:val="0"/>
        <w:iCs w:val="0"/>
        <w:color w:val="FFFFFF" w:themeColor="background1"/>
        <w14:textFill>
          <w14:solidFill>
            <w14:schemeClr w14:val="bg1"/>
          </w14:solidFill>
        </w14:textFill>
      </w:r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4F81BD" w:themeFill="accent1"/>
      </w:tcPr>
    </w:tblStylePr>
    <w:tblStylePr w:type="firstCol">
      <w:rPr>
        <w:b/>
        <w:bCs/>
        <w:i w:val="0"/>
        <w:iCs w:val="0"/>
        <w:color w:val="FFFFFF" w:themeColor="background1"/>
        <w14:textFill>
          <w14:solidFill>
            <w14:schemeClr w14:val="bg1"/>
          </w14:solidFill>
        </w14:textFill>
      </w:rPr>
      <w:tcPr>
        <w:tcBorders>
          <w:left w:val="single" w:color="FFFFFF" w:themeColor="background1" w:sz="8" w:space="0"/>
          <w:right w:val="single" w:color="FFFFFF" w:themeColor="background1" w:sz="24" w:space="0"/>
          <w:insideH w:val="nil"/>
          <w:insideV w:val="nil"/>
        </w:tcBorders>
        <w:shd w:val="clear" w:color="auto" w:fill="4F81BD" w:themeFill="accent1"/>
      </w:tcPr>
    </w:tblStylePr>
    <w:tblStylePr w:type="lastCol">
      <w:rPr>
        <w:b/>
        <w:bCs/>
        <w:i w:val="0"/>
        <w:iCs w:val="0"/>
        <w:color w:val="FFFFFF" w:themeColor="background1"/>
        <w14:textFill>
          <w14:solidFill>
            <w14:schemeClr w14:val="bg1"/>
          </w14:solidFill>
        </w14:textFill>
      </w:rPr>
      <w:tcPr>
        <w:tcBorders>
          <w:top w:val="nil"/>
          <w:left w:val="single" w:color="FFFFFF" w:themeColor="background1" w:sz="24" w:space="0"/>
          <w:bottom w:val="nil"/>
          <w:right w:val="nil"/>
          <w:insideH w:val="nil"/>
          <w:insideV w:val="nil"/>
        </w:tcBorders>
        <w:shd w:val="clear" w:color="auto" w:fill="4F81BD" w:themeFill="accent1"/>
      </w:tcPr>
    </w:tblStylePr>
    <w:tblStylePr w:type="band1Vert">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7C0DE" w:themeFill="accent1" w:themeFillTint="7F"/>
      </w:tcPr>
    </w:tblStylePr>
    <w:tblStylePr w:type="band1Horz">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A7C0DE" w:themeFill="accent1" w:themeFillTint="7F"/>
      </w:tcPr>
    </w:tblStylePr>
  </w:style>
  <w:style w:type="paragraph" w:customStyle="1" w:styleId="377">
    <w:name w:val="图片备注"/>
    <w:basedOn w:val="1"/>
    <w:qFormat/>
    <w:uiPriority w:val="0"/>
    <w:pPr>
      <w:jc w:val="center"/>
    </w:pPr>
    <w:rPr>
      <w:rFonts w:ascii="黑体" w:hAnsi="黑体" w:eastAsia="黑体" w:cs="黑体"/>
      <w:b w:val="0"/>
      <w:color w:val="auto"/>
      <w:sz w:val="24"/>
      <w:szCs w:val="24"/>
    </w:rPr>
  </w:style>
  <w:style w:type="paragraph" w:customStyle="1" w:styleId="378">
    <w:name w:val="Table Paragraph"/>
    <w:basedOn w:val="1"/>
    <w:qFormat/>
    <w:uiPriority w:val="1"/>
    <w:pPr>
      <w:spacing w:line="360" w:lineRule="auto"/>
      <w:ind w:firstLine="1044" w:firstLineChars="200"/>
      <w:jc w:val="left"/>
    </w:pPr>
    <w:rPr>
      <w:rFonts w:ascii="仿宋" w:hAnsi="仿宋" w:eastAsia="仿宋" w:cs="仿宋"/>
      <w:b w:val="0"/>
      <w:color w:val="auto"/>
      <w:sz w:val="24"/>
      <w:szCs w:val="24"/>
    </w:rPr>
  </w:style>
  <w:style w:type="table" w:customStyle="1" w:styleId="379">
    <w:name w:val="Table Normal"/>
    <w:semiHidden/>
    <w:unhideWhenUsed/>
    <w:qFormat/>
    <w:uiPriority w:val="2"/>
    <w:pPr>
      <w:widowControl w:val="0"/>
      <w:autoSpaceDE w:val="0"/>
      <w:autoSpaceDN w:val="0"/>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table" w:customStyle="1" w:styleId="380">
    <w:name w:val="Table Normal1"/>
    <w:semiHidden/>
    <w:unhideWhenUsed/>
    <w:qFormat/>
    <w:uiPriority w:val="2"/>
    <w:pPr>
      <w:widowControl w:val="0"/>
      <w:autoSpaceDE w:val="0"/>
      <w:autoSpaceDN w:val="0"/>
    </w:pPr>
    <w:rPr>
      <w:rFonts w:ascii="Calibri" w:hAnsi="Calibri"/>
      <w:sz w:val="22"/>
      <w:szCs w:val="22"/>
      <w:lang w:eastAsia="en-US"/>
    </w:rPr>
    <w:tblPr>
      <w:tblCellMar>
        <w:top w:w="0" w:type="dxa"/>
        <w:left w:w="0" w:type="dxa"/>
        <w:bottom w:w="0" w:type="dxa"/>
        <w:right w:w="0" w:type="dxa"/>
      </w:tblCellMar>
    </w:tblPr>
  </w:style>
  <w:style w:type="table" w:customStyle="1" w:styleId="381">
    <w:name w:val="Table Normal2"/>
    <w:semiHidden/>
    <w:unhideWhenUsed/>
    <w:qFormat/>
    <w:uiPriority w:val="2"/>
    <w:pPr>
      <w:widowControl w:val="0"/>
      <w:autoSpaceDE w:val="0"/>
      <w:autoSpaceDN w:val="0"/>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table" w:customStyle="1" w:styleId="382">
    <w:name w:val="Table Normal3"/>
    <w:semiHidden/>
    <w:unhideWhenUsed/>
    <w:qFormat/>
    <w:uiPriority w:val="2"/>
    <w:pPr>
      <w:widowControl w:val="0"/>
      <w:autoSpaceDE w:val="0"/>
      <w:autoSpaceDN w:val="0"/>
    </w:pPr>
    <w:rPr>
      <w:rFonts w:ascii="Calibri" w:hAnsi="Calibri"/>
      <w:sz w:val="22"/>
      <w:szCs w:val="22"/>
      <w:lang w:eastAsia="en-US"/>
    </w:rPr>
    <w:tblPr>
      <w:tblCellMar>
        <w:top w:w="0" w:type="dxa"/>
        <w:left w:w="0" w:type="dxa"/>
        <w:bottom w:w="0" w:type="dxa"/>
        <w:right w:w="0" w:type="dxa"/>
      </w:tblCellMar>
    </w:tblPr>
  </w:style>
  <w:style w:type="paragraph" w:customStyle="1" w:styleId="383">
    <w:name w:val="图片抬头"/>
    <w:basedOn w:val="1"/>
    <w:qFormat/>
    <w:uiPriority w:val="0"/>
    <w:pPr>
      <w:adjustRightInd w:val="0"/>
      <w:spacing w:after="50" w:afterLines="50"/>
      <w:jc w:val="center"/>
    </w:pPr>
    <w:rPr>
      <w:rFonts w:ascii="Times New Roman" w:hAnsi="Times New Roman" w:eastAsia="新宋体" w:cstheme="minorBidi"/>
      <w:color w:val="auto"/>
      <w:sz w:val="21"/>
      <w:szCs w:val="21"/>
    </w:rPr>
  </w:style>
  <w:style w:type="paragraph" w:customStyle="1" w:styleId="384">
    <w:name w:val="text"/>
    <w:basedOn w:val="1"/>
    <w:qFormat/>
    <w:uiPriority w:val="0"/>
    <w:pPr>
      <w:autoSpaceDE w:val="0"/>
      <w:autoSpaceDN w:val="0"/>
      <w:spacing w:line="360" w:lineRule="auto"/>
      <w:ind w:firstLine="484" w:firstLineChars="202"/>
    </w:pPr>
    <w:rPr>
      <w:rFonts w:hint="eastAsia" w:ascii="Times New Roman" w:hAnsi="Times New Roman"/>
      <w:sz w:val="24"/>
    </w:rPr>
  </w:style>
  <w:style w:type="paragraph" w:customStyle="1" w:styleId="385">
    <w:name w:val="Char Char Char Char Char Char Char Char Char Char1"/>
    <w:basedOn w:val="1"/>
    <w:qFormat/>
    <w:uiPriority w:val="0"/>
    <w:pPr>
      <w:spacing w:line="360" w:lineRule="auto"/>
      <w:ind w:firstLine="200" w:firstLineChars="200"/>
    </w:pPr>
    <w:rPr>
      <w:sz w:val="24"/>
      <w:szCs w:val="24"/>
    </w:rPr>
  </w:style>
  <w:style w:type="paragraph" w:customStyle="1" w:styleId="386">
    <w:name w:val="项建正文"/>
    <w:basedOn w:val="12"/>
    <w:qFormat/>
    <w:uiPriority w:val="0"/>
    <w:pPr>
      <w:tabs>
        <w:tab w:val="left" w:pos="3555"/>
      </w:tabs>
      <w:adjustRightInd w:val="0"/>
      <w:snapToGrid w:val="0"/>
      <w:spacing w:beforeLines="50" w:after="0" w:line="360" w:lineRule="auto"/>
      <w:ind w:firstLine="200" w:firstLineChars="200"/>
      <w:jc w:val="left"/>
    </w:pPr>
    <w:rPr>
      <w:rFonts w:eastAsia="华文仿宋" w:cs="黑体"/>
      <w:kern w:val="0"/>
    </w:rPr>
  </w:style>
  <w:style w:type="paragraph" w:customStyle="1" w:styleId="387">
    <w:name w:val="投标正文"/>
    <w:basedOn w:val="1"/>
    <w:link w:val="388"/>
    <w:qFormat/>
    <w:uiPriority w:val="0"/>
    <w:pPr>
      <w:spacing w:line="360" w:lineRule="auto"/>
      <w:ind w:firstLine="200" w:firstLineChars="200"/>
    </w:pPr>
    <w:rPr>
      <w:sz w:val="24"/>
      <w:szCs w:val="24"/>
    </w:rPr>
  </w:style>
  <w:style w:type="character" w:customStyle="1" w:styleId="388">
    <w:name w:val="投标正文 Char"/>
    <w:basedOn w:val="35"/>
    <w:link w:val="387"/>
    <w:qFormat/>
    <w:uiPriority w:val="0"/>
    <w:rPr>
      <w:sz w:val="24"/>
      <w:szCs w:val="24"/>
    </w:rPr>
  </w:style>
  <w:style w:type="character" w:customStyle="1" w:styleId="389">
    <w:name w:val="15"/>
    <w:basedOn w:val="35"/>
    <w:qFormat/>
    <w:uiPriority w:val="0"/>
    <w:rPr>
      <w:rFonts w:hint="eastAsia" w:ascii="宋体" w:hAnsi="宋体" w:eastAsia="宋体"/>
      <w:color w:val="000000"/>
      <w:sz w:val="24"/>
      <w:szCs w:val="24"/>
    </w:rPr>
  </w:style>
  <w:style w:type="paragraph" w:customStyle="1" w:styleId="390">
    <w:name w:val="小节"/>
    <w:basedOn w:val="1"/>
    <w:qFormat/>
    <w:uiPriority w:val="0"/>
    <w:pPr>
      <w:keepNext/>
      <w:spacing w:before="120" w:line="360" w:lineRule="auto"/>
      <w:ind w:right="86" w:firstLine="566" w:firstLineChars="236"/>
    </w:pPr>
    <w:rPr>
      <w:rFonts w:hAnsi="Times New Roman"/>
      <w:b w:val="0"/>
      <w:color w:val="auto"/>
      <w:kern w:val="0"/>
      <w:sz w:val="24"/>
      <w:szCs w:val="20"/>
    </w:rPr>
  </w:style>
  <w:style w:type="paragraph" w:customStyle="1" w:styleId="391">
    <w:name w:val="Table Text"/>
    <w:basedOn w:val="1"/>
    <w:semiHidden/>
    <w:qFormat/>
    <w:uiPriority w:val="0"/>
    <w:rPr>
      <w:rFonts w:cs="宋体"/>
      <w:sz w:val="24"/>
      <w:szCs w:val="24"/>
      <w:lang w:eastAsia="en-US"/>
    </w:rPr>
  </w:style>
  <w:style w:type="table" w:customStyle="1" w:styleId="392">
    <w:name w:val="Table Normal4"/>
    <w:semiHidden/>
    <w:unhideWhenUsed/>
    <w:qFormat/>
    <w:uiPriority w:val="0"/>
    <w:rPr>
      <w:rFonts w:ascii="Arial" w:hAnsi="Arial" w:cs="Arial"/>
    </w:rPr>
    <w:tblPr>
      <w:tblCellMar>
        <w:top w:w="0" w:type="dxa"/>
        <w:left w:w="0" w:type="dxa"/>
        <w:bottom w:w="0" w:type="dxa"/>
        <w:right w:w="0" w:type="dxa"/>
      </w:tblCellMar>
    </w:tblPr>
  </w:style>
  <w:style w:type="paragraph" w:customStyle="1" w:styleId="393">
    <w:name w:val="1 三级目录"/>
    <w:basedOn w:val="394"/>
    <w:qFormat/>
    <w:uiPriority w:val="0"/>
    <w:pPr>
      <w:spacing w:after="0"/>
      <w:outlineLvl w:val="2"/>
    </w:pPr>
    <w:rPr>
      <w:b w:val="0"/>
      <w:color w:val="7030A0"/>
      <w:sz w:val="28"/>
    </w:rPr>
  </w:style>
  <w:style w:type="paragraph" w:customStyle="1" w:styleId="394">
    <w:name w:val="1 二级目录"/>
    <w:basedOn w:val="395"/>
    <w:qFormat/>
    <w:uiPriority w:val="0"/>
    <w:pPr>
      <w:spacing w:afterLines="0"/>
      <w:outlineLvl w:val="1"/>
    </w:pPr>
    <w:rPr>
      <w:color w:val="0000FF"/>
      <w:sz w:val="30"/>
    </w:rPr>
  </w:style>
  <w:style w:type="paragraph" w:customStyle="1" w:styleId="395">
    <w:name w:val="1 一级目录"/>
    <w:basedOn w:val="1"/>
    <w:qFormat/>
    <w:uiPriority w:val="0"/>
    <w:pPr>
      <w:spacing w:before="50" w:beforeLines="50" w:after="50" w:afterLines="50"/>
      <w:outlineLvl w:val="0"/>
    </w:pPr>
    <w:rPr>
      <w:rFonts w:ascii="黑体" w:hAnsi="黑体" w:eastAsia="黑体"/>
      <w:color w:val="4BACC6" w:themeColor="accent5"/>
      <w:sz w:val="32"/>
      <w:szCs w:val="32"/>
      <w14:textFill>
        <w14:solidFill>
          <w14:schemeClr w14:val="accent5"/>
        </w14:solidFill>
      </w14:textFill>
    </w:rPr>
  </w:style>
  <w:style w:type="table" w:customStyle="1" w:styleId="396">
    <w:name w:val="网格型1"/>
    <w:basedOn w:val="3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397">
    <w:name w:val="wxf-正文"/>
    <w:basedOn w:val="1"/>
    <w:qFormat/>
    <w:uiPriority w:val="0"/>
    <w:pPr>
      <w:spacing w:line="360" w:lineRule="auto"/>
      <w:ind w:firstLine="800" w:firstLineChars="200"/>
    </w:pPr>
    <w:rPr>
      <w:rFonts w:ascii="Times New Roman" w:hAnsi="Times New Roman"/>
      <w:b w:val="0"/>
      <w:color w:val="auto"/>
      <w:sz w:val="24"/>
      <w:szCs w:val="24"/>
    </w:rPr>
  </w:style>
  <w:style w:type="paragraph" w:customStyle="1" w:styleId="398">
    <w:name w:val="样式 样式 悬挂缩进: 0.02 字符 行距: 1.5 倍行距 + 左侧:  0.46 字符 悬挂缩进: 0.02 字符"/>
    <w:basedOn w:val="1"/>
    <w:qFormat/>
    <w:uiPriority w:val="99"/>
    <w:pPr>
      <w:adjustRightInd w:val="0"/>
      <w:spacing w:line="360" w:lineRule="auto"/>
      <w:jc w:val="left"/>
    </w:pPr>
    <w:rPr>
      <w:rFonts w:ascii="Times New Roman" w:hAnsi="Times New Roman"/>
      <w:b w:val="0"/>
      <w:color w:val="auto"/>
      <w:kern w:val="0"/>
      <w:sz w:val="24"/>
      <w:szCs w:val="24"/>
    </w:rPr>
  </w:style>
  <w:style w:type="table" w:customStyle="1" w:styleId="399">
    <w:name w:val="网格型2"/>
    <w:basedOn w:val="32"/>
    <w:qFormat/>
    <w:uiPriority w:val="39"/>
    <w:rPr>
      <w:rFonts w:ascii="Calibri" w:hAnsi="Calibri"/>
      <w:kern w:val="2"/>
      <w:sz w:val="21"/>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table" w:customStyle="1" w:styleId="400">
    <w:name w:val="网格型3"/>
    <w:basedOn w:val="32"/>
    <w:qFormat/>
    <w:uiPriority w:val="39"/>
    <w:rPr>
      <w:rFonts w:ascii="Calibri" w:hAnsi="Calibri"/>
      <w:kern w:val="2"/>
      <w:sz w:val="21"/>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table" w:customStyle="1" w:styleId="401">
    <w:name w:val="网格型4"/>
    <w:basedOn w:val="32"/>
    <w:qFormat/>
    <w:uiPriority w:val="39"/>
    <w:rPr>
      <w:rFonts w:ascii="Calibri" w:hAnsi="Calibri"/>
      <w:kern w:val="2"/>
      <w:sz w:val="21"/>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table" w:customStyle="1" w:styleId="402">
    <w:name w:val="网格型5"/>
    <w:basedOn w:val="32"/>
    <w:qFormat/>
    <w:uiPriority w:val="39"/>
    <w:rPr>
      <w:rFonts w:ascii="Calibri" w:hAnsi="Calibri"/>
      <w:kern w:val="2"/>
      <w:sz w:val="21"/>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table" w:customStyle="1" w:styleId="403">
    <w:name w:val="网格型6"/>
    <w:basedOn w:val="32"/>
    <w:qFormat/>
    <w:uiPriority w:val="39"/>
    <w:rPr>
      <w:rFonts w:ascii="Calibri" w:hAnsi="Calibri"/>
      <w:kern w:val="2"/>
      <w:sz w:val="21"/>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table" w:customStyle="1" w:styleId="404">
    <w:name w:val="网格型7"/>
    <w:basedOn w:val="32"/>
    <w:qFormat/>
    <w:uiPriority w:val="39"/>
    <w:rPr>
      <w:rFonts w:ascii="Calibri" w:hAnsi="Calibri"/>
      <w:kern w:val="2"/>
      <w:sz w:val="21"/>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table" w:customStyle="1" w:styleId="405">
    <w:name w:val="网格型8"/>
    <w:basedOn w:val="32"/>
    <w:qFormat/>
    <w:uiPriority w:val="39"/>
    <w:rPr>
      <w:rFonts w:ascii="Calibri" w:hAnsi="Calibri"/>
      <w:kern w:val="2"/>
      <w:sz w:val="21"/>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customStyle="1" w:styleId="406">
    <w:name w:val="font31"/>
    <w:basedOn w:val="35"/>
    <w:qFormat/>
    <w:uiPriority w:val="0"/>
    <w:rPr>
      <w:rFonts w:hint="default" w:ascii="Times New Roman" w:hAnsi="Times New Roman" w:cs="Times New Roman"/>
      <w:color w:val="000000"/>
      <w:sz w:val="22"/>
      <w:szCs w:val="22"/>
      <w:u w:val="none"/>
    </w:rPr>
  </w:style>
  <w:style w:type="character" w:customStyle="1" w:styleId="407">
    <w:name w:val="font21"/>
    <w:basedOn w:val="35"/>
    <w:qFormat/>
    <w:uiPriority w:val="0"/>
    <w:rPr>
      <w:rFonts w:hint="eastAsia" w:ascii="宋体" w:hAnsi="宋体" w:eastAsia="宋体" w:cs="宋体"/>
      <w:color w:val="000000"/>
      <w:sz w:val="20"/>
      <w:szCs w:val="20"/>
      <w:u w:val="none"/>
    </w:rPr>
  </w:style>
  <w:style w:type="character" w:customStyle="1" w:styleId="408">
    <w:name w:val="font41"/>
    <w:basedOn w:val="35"/>
    <w:qFormat/>
    <w:uiPriority w:val="0"/>
    <w:rPr>
      <w:rFonts w:hint="default" w:ascii="Times New Roman" w:hAnsi="Times New Roman" w:cs="Times New Roman"/>
      <w:color w:val="000000"/>
      <w:sz w:val="20"/>
      <w:szCs w:val="20"/>
      <w:u w:val="none"/>
      <w:vertAlign w:val="subscript"/>
    </w:rPr>
  </w:style>
  <w:style w:type="paragraph" w:customStyle="1" w:styleId="409">
    <w:name w:val="04 四级标题"/>
    <w:basedOn w:val="5"/>
    <w:next w:val="102"/>
    <w:qFormat/>
    <w:uiPriority w:val="0"/>
  </w:style>
  <w:style w:type="paragraph" w:customStyle="1" w:styleId="410">
    <w:name w:val="03 三级目录"/>
    <w:basedOn w:val="4"/>
    <w:next w:val="409"/>
    <w:qFormat/>
    <w:uiPriority w:val="0"/>
    <w:pPr>
      <w:spacing w:before="120"/>
    </w:pPr>
  </w:style>
  <w:style w:type="paragraph" w:customStyle="1" w:styleId="411">
    <w:name w:val="1 表格"/>
    <w:basedOn w:val="1"/>
    <w:qFormat/>
    <w:uiPriority w:val="0"/>
    <w:pPr>
      <w:jc w:val="center"/>
    </w:pPr>
    <w:rPr>
      <w:rFonts w:cs="宋体"/>
      <w:sz w:val="21"/>
    </w:rPr>
  </w:style>
  <w:style w:type="paragraph" w:customStyle="1" w:styleId="412">
    <w:name w:val="xl263"/>
    <w:basedOn w:val="1"/>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textAlignment w:val="center"/>
    </w:pPr>
    <w:rPr>
      <w:rFonts w:ascii="微软雅黑" w:hAnsi="微软雅黑" w:eastAsia="微软雅黑" w:cs="宋体"/>
      <w:bCs/>
      <w:color w:val="auto"/>
      <w:kern w:val="0"/>
      <w:sz w:val="18"/>
      <w:szCs w:val="18"/>
    </w:rPr>
  </w:style>
  <w:style w:type="paragraph" w:customStyle="1" w:styleId="413">
    <w:name w:val="1图表头"/>
    <w:basedOn w:val="414"/>
    <w:qFormat/>
    <w:uiPriority w:val="0"/>
    <w:pPr>
      <w:keepNext/>
      <w:keepLines/>
      <w:ind w:firstLine="0"/>
      <w:jc w:val="center"/>
    </w:pPr>
    <w:rPr>
      <w:rFonts w:hint="default" w:ascii="Times New Roman" w:hAnsi="Times New Roman"/>
      <w:bCs/>
      <w:kern w:val="2"/>
      <w:szCs w:val="21"/>
    </w:rPr>
  </w:style>
  <w:style w:type="paragraph" w:customStyle="1" w:styleId="414">
    <w:name w:val="工可正文"/>
    <w:basedOn w:val="1"/>
    <w:qFormat/>
    <w:uiPriority w:val="0"/>
    <w:pPr>
      <w:autoSpaceDE w:val="0"/>
      <w:autoSpaceDN w:val="0"/>
      <w:ind w:firstLine="200"/>
    </w:pPr>
    <w:rPr>
      <w:rFonts w:hint="eastAsia" w:ascii="Arial" w:hAnsi="Arial"/>
      <w:kern w:val="0"/>
      <w:szCs w:val="20"/>
    </w:rPr>
  </w:style>
  <w:style w:type="paragraph" w:customStyle="1" w:styleId="415">
    <w:name w:val="图表_new"/>
    <w:basedOn w:val="1"/>
    <w:next w:val="1"/>
    <w:qFormat/>
    <w:uiPriority w:val="0"/>
    <w:pPr>
      <w:jc w:val="center"/>
    </w:pPr>
    <w:rPr>
      <w:rFonts w:cstheme="minorBidi"/>
      <w:sz w:val="21"/>
    </w:rPr>
  </w:style>
  <w:style w:type="paragraph" w:customStyle="1" w:styleId="416">
    <w:name w:val="xl264"/>
    <w:basedOn w:val="1"/>
    <w:qFormat/>
    <w:uiPriority w:val="0"/>
    <w:pPr>
      <w:widowControl/>
      <w:shd w:val="clear" w:color="000000" w:fill="FFFFFF"/>
      <w:spacing w:before="100" w:beforeAutospacing="1" w:after="100" w:afterAutospacing="1"/>
      <w:jc w:val="center"/>
      <w:textAlignment w:val="center"/>
    </w:pPr>
    <w:rPr>
      <w:rFonts w:cs="宋体"/>
      <w:b w:val="0"/>
      <w:color w:val="auto"/>
      <w:kern w:val="0"/>
      <w:sz w:val="20"/>
      <w:szCs w:val="20"/>
    </w:rPr>
  </w:style>
  <w:style w:type="paragraph" w:customStyle="1" w:styleId="417">
    <w:name w:val="xl265"/>
    <w:basedOn w:val="1"/>
    <w:qFormat/>
    <w:uiPriority w:val="0"/>
    <w:pPr>
      <w:widowControl/>
      <w:shd w:val="clear" w:color="000000" w:fill="FFFFFF"/>
      <w:spacing w:before="100" w:beforeAutospacing="1" w:after="100" w:afterAutospacing="1"/>
      <w:jc w:val="center"/>
      <w:textAlignment w:val="center"/>
    </w:pPr>
    <w:rPr>
      <w:rFonts w:cs="宋体"/>
      <w:b w:val="0"/>
      <w:color w:val="auto"/>
      <w:kern w:val="0"/>
      <w:sz w:val="20"/>
      <w:szCs w:val="20"/>
    </w:rPr>
  </w:style>
  <w:style w:type="paragraph" w:customStyle="1" w:styleId="418">
    <w:name w:val="xl266"/>
    <w:basedOn w:val="1"/>
    <w:qFormat/>
    <w:uiPriority w:val="0"/>
    <w:pPr>
      <w:widowControl/>
      <w:shd w:val="clear" w:color="000000" w:fill="FFFFFF"/>
      <w:spacing w:before="100" w:beforeAutospacing="1" w:after="100" w:afterAutospacing="1"/>
      <w:jc w:val="center"/>
      <w:textAlignment w:val="center"/>
    </w:pPr>
    <w:rPr>
      <w:rFonts w:cs="宋体"/>
      <w:b w:val="0"/>
      <w:color w:val="auto"/>
      <w:kern w:val="0"/>
      <w:sz w:val="20"/>
      <w:szCs w:val="20"/>
    </w:rPr>
  </w:style>
  <w:style w:type="paragraph" w:customStyle="1" w:styleId="419">
    <w:name w:val="xl267"/>
    <w:basedOn w:val="1"/>
    <w:qFormat/>
    <w:uiPriority w:val="0"/>
    <w:pPr>
      <w:widowControl/>
      <w:shd w:val="clear" w:color="000000" w:fill="FFFFFF"/>
      <w:spacing w:before="100" w:beforeAutospacing="1" w:after="100" w:afterAutospacing="1"/>
      <w:jc w:val="center"/>
      <w:textAlignment w:val="center"/>
    </w:pPr>
    <w:rPr>
      <w:rFonts w:cs="宋体"/>
      <w:b w:val="0"/>
      <w:color w:val="auto"/>
      <w:kern w:val="0"/>
      <w:sz w:val="20"/>
      <w:szCs w:val="20"/>
    </w:rPr>
  </w:style>
  <w:style w:type="paragraph" w:customStyle="1" w:styleId="420">
    <w:name w:val="图表抬头"/>
    <w:basedOn w:val="210"/>
    <w:qFormat/>
    <w:uiPriority w:val="0"/>
    <w:rPr>
      <w:b/>
    </w:rPr>
  </w:style>
  <w:style w:type="paragraph" w:customStyle="1" w:styleId="421">
    <w:name w:val="*五级1、"/>
    <w:qFormat/>
    <w:uiPriority w:val="0"/>
    <w:pPr>
      <w:numPr>
        <w:ilvl w:val="0"/>
        <w:numId w:val="4"/>
      </w:numPr>
      <w:adjustRightInd w:val="0"/>
      <w:snapToGrid w:val="0"/>
      <w:spacing w:line="360" w:lineRule="auto"/>
      <w:jc w:val="both"/>
      <w:textAlignment w:val="baseline"/>
    </w:pPr>
    <w:rPr>
      <w:rFonts w:ascii="Times New Roman" w:hAnsi="Times New Roman" w:eastAsia="宋体" w:cs="Times New Roman"/>
      <w:color w:val="000000"/>
      <w:sz w:val="24"/>
      <w:lang w:val="en-US" w:eastAsia="zh-CN" w:bidi="ar-SA"/>
    </w:rPr>
  </w:style>
  <w:style w:type="paragraph" w:customStyle="1" w:styleId="422">
    <w:name w:val="xl268"/>
    <w:basedOn w:val="1"/>
    <w:qFormat/>
    <w:uiPriority w:val="0"/>
    <w:pPr>
      <w:widowControl/>
      <w:pBdr>
        <w:top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微软雅黑" w:hAnsi="微软雅黑" w:eastAsia="微软雅黑" w:cs="宋体"/>
      <w:b w:val="0"/>
      <w:color w:val="auto"/>
      <w:kern w:val="0"/>
      <w:sz w:val="20"/>
      <w:szCs w:val="20"/>
    </w:rPr>
  </w:style>
  <w:style w:type="paragraph" w:customStyle="1" w:styleId="423">
    <w:name w:val="xl269"/>
    <w:basedOn w:val="1"/>
    <w:qFormat/>
    <w:uiPriority w:val="0"/>
    <w:pPr>
      <w:widowControl/>
      <w:pBdr>
        <w:top w:val="single" w:color="auto" w:sz="4" w:space="0"/>
        <w:left w:val="single" w:color="auto" w:sz="4" w:space="0"/>
        <w:bottom w:val="single" w:color="auto" w:sz="4" w:space="0"/>
      </w:pBdr>
      <w:shd w:val="clear" w:color="000000" w:fill="FFFFFF"/>
      <w:spacing w:before="100" w:beforeAutospacing="1" w:after="100" w:afterAutospacing="1"/>
      <w:jc w:val="center"/>
      <w:textAlignment w:val="center"/>
    </w:pPr>
    <w:rPr>
      <w:rFonts w:ascii="微软雅黑" w:hAnsi="微软雅黑" w:eastAsia="微软雅黑" w:cs="宋体"/>
      <w:b w:val="0"/>
      <w:color w:val="auto"/>
      <w:kern w:val="0"/>
      <w:sz w:val="20"/>
      <w:szCs w:val="20"/>
    </w:rPr>
  </w:style>
  <w:style w:type="paragraph" w:customStyle="1" w:styleId="424">
    <w:name w:val="xl270"/>
    <w:basedOn w:val="1"/>
    <w:qFormat/>
    <w:uiPriority w:val="0"/>
    <w:pPr>
      <w:widowControl/>
      <w:pBdr>
        <w:top w:val="single" w:color="auto" w:sz="4" w:space="0"/>
        <w:bottom w:val="single" w:color="auto" w:sz="4" w:space="0"/>
      </w:pBdr>
      <w:shd w:val="clear" w:color="000000" w:fill="FFFFFF"/>
      <w:spacing w:before="100" w:beforeAutospacing="1" w:after="100" w:afterAutospacing="1"/>
      <w:jc w:val="center"/>
      <w:textAlignment w:val="center"/>
    </w:pPr>
    <w:rPr>
      <w:rFonts w:ascii="微软雅黑" w:hAnsi="微软雅黑" w:eastAsia="微软雅黑" w:cs="宋体"/>
      <w:b w:val="0"/>
      <w:color w:val="auto"/>
      <w:kern w:val="0"/>
      <w:sz w:val="20"/>
      <w:szCs w:val="20"/>
    </w:rPr>
  </w:style>
  <w:style w:type="paragraph" w:customStyle="1" w:styleId="425">
    <w:name w:val="xl271"/>
    <w:basedOn w:val="1"/>
    <w:qFormat/>
    <w:uiPriority w:val="0"/>
    <w:pPr>
      <w:widowControl/>
      <w:pBdr>
        <w:top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微软雅黑" w:hAnsi="微软雅黑" w:eastAsia="微软雅黑" w:cs="宋体"/>
      <w:b w:val="0"/>
      <w:color w:val="auto"/>
      <w:kern w:val="0"/>
      <w:sz w:val="20"/>
      <w:szCs w:val="20"/>
    </w:rPr>
  </w:style>
  <w:style w:type="paragraph" w:customStyle="1" w:styleId="426">
    <w:name w:val="xl272"/>
    <w:basedOn w:val="1"/>
    <w:qFormat/>
    <w:uiPriority w:val="0"/>
    <w:pPr>
      <w:widowControl/>
      <w:shd w:val="clear" w:color="000000" w:fill="FFFFFF"/>
      <w:spacing w:before="100" w:beforeAutospacing="1" w:after="100" w:afterAutospacing="1"/>
      <w:jc w:val="center"/>
      <w:textAlignment w:val="center"/>
    </w:pPr>
    <w:rPr>
      <w:rFonts w:ascii="微软雅黑" w:hAnsi="微软雅黑" w:eastAsia="微软雅黑" w:cs="宋体"/>
      <w:bCs/>
      <w:color w:val="auto"/>
      <w:kern w:val="0"/>
      <w:sz w:val="24"/>
      <w:szCs w:val="24"/>
    </w:rPr>
  </w:style>
  <w:style w:type="paragraph" w:customStyle="1" w:styleId="427">
    <w:name w:val="xl273"/>
    <w:basedOn w:val="1"/>
    <w:qFormat/>
    <w:uiPriority w:val="0"/>
    <w:pPr>
      <w:widowControl/>
      <w:pBdr>
        <w:top w:val="single" w:color="auto" w:sz="4" w:space="0"/>
        <w:bottom w:val="single" w:color="auto" w:sz="4" w:space="0"/>
      </w:pBdr>
      <w:shd w:val="clear" w:color="000000" w:fill="FFFFFF"/>
      <w:spacing w:before="100" w:beforeAutospacing="1" w:after="100" w:afterAutospacing="1"/>
      <w:jc w:val="center"/>
      <w:textAlignment w:val="center"/>
    </w:pPr>
    <w:rPr>
      <w:rFonts w:ascii="微软雅黑" w:hAnsi="微软雅黑" w:eastAsia="微软雅黑" w:cs="宋体"/>
      <w:bCs/>
      <w:color w:val="auto"/>
      <w:kern w:val="0"/>
      <w:sz w:val="20"/>
      <w:szCs w:val="20"/>
    </w:rPr>
  </w:style>
  <w:style w:type="paragraph" w:customStyle="1" w:styleId="428">
    <w:name w:val="xl274"/>
    <w:basedOn w:val="1"/>
    <w:qFormat/>
    <w:uiPriority w:val="0"/>
    <w:pPr>
      <w:widowControl/>
      <w:pBdr>
        <w:top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微软雅黑" w:hAnsi="微软雅黑" w:eastAsia="微软雅黑" w:cs="宋体"/>
      <w:bCs/>
      <w:color w:val="auto"/>
      <w:kern w:val="0"/>
      <w:sz w:val="20"/>
      <w:szCs w:val="20"/>
    </w:rPr>
  </w:style>
  <w:style w:type="paragraph" w:customStyle="1" w:styleId="429">
    <w:name w:val="xl275"/>
    <w:basedOn w:val="1"/>
    <w:qFormat/>
    <w:uiPriority w:val="0"/>
    <w:pPr>
      <w:widowControl/>
      <w:shd w:val="clear" w:color="000000" w:fill="FFFFFF"/>
      <w:spacing w:before="100" w:beforeAutospacing="1" w:after="100" w:afterAutospacing="1"/>
      <w:jc w:val="center"/>
      <w:textAlignment w:val="center"/>
    </w:pPr>
    <w:rPr>
      <w:rFonts w:ascii="微软雅黑" w:hAnsi="微软雅黑" w:eastAsia="微软雅黑" w:cs="宋体"/>
      <w:b w:val="0"/>
      <w:color w:val="auto"/>
      <w:kern w:val="0"/>
      <w:sz w:val="20"/>
      <w:szCs w:val="20"/>
    </w:rPr>
  </w:style>
  <w:style w:type="paragraph" w:customStyle="1" w:styleId="430">
    <w:name w:val="xl276"/>
    <w:basedOn w:val="1"/>
    <w:qFormat/>
    <w:uiPriority w:val="0"/>
    <w:pPr>
      <w:widowControl/>
      <w:shd w:val="clear" w:color="000000" w:fill="FFFFFF"/>
      <w:spacing w:before="100" w:beforeAutospacing="1" w:after="100" w:afterAutospacing="1"/>
      <w:jc w:val="center"/>
      <w:textAlignment w:val="center"/>
    </w:pPr>
    <w:rPr>
      <w:rFonts w:ascii="微软雅黑" w:hAnsi="微软雅黑" w:eastAsia="微软雅黑" w:cs="宋体"/>
      <w:b w:val="0"/>
      <w:color w:val="auto"/>
      <w:kern w:val="0"/>
      <w:sz w:val="20"/>
      <w:szCs w:val="20"/>
    </w:rPr>
  </w:style>
</w:styles>
</file>

<file path=word/_rels/document.xml.rels><?xml version="1.0" encoding="UTF-8" standalone="yes"?>
<Relationships xmlns="http://schemas.openxmlformats.org/package/2006/relationships"><Relationship Id="rId99" Type="http://schemas.openxmlformats.org/officeDocument/2006/relationships/image" Target="media/image67.png"/><Relationship Id="rId98" Type="http://schemas.openxmlformats.org/officeDocument/2006/relationships/image" Target="media/image66.png"/><Relationship Id="rId97" Type="http://schemas.openxmlformats.org/officeDocument/2006/relationships/image" Target="media/image65.png"/><Relationship Id="rId96" Type="http://schemas.openxmlformats.org/officeDocument/2006/relationships/image" Target="media/image64.png"/><Relationship Id="rId95" Type="http://schemas.openxmlformats.org/officeDocument/2006/relationships/image" Target="media/image63.wmf"/><Relationship Id="rId94" Type="http://schemas.openxmlformats.org/officeDocument/2006/relationships/image" Target="media/image62.wmf"/><Relationship Id="rId93" Type="http://schemas.openxmlformats.org/officeDocument/2006/relationships/image" Target="media/image61.wmf"/><Relationship Id="rId92" Type="http://schemas.openxmlformats.org/officeDocument/2006/relationships/image" Target="media/image60.wmf"/><Relationship Id="rId91" Type="http://schemas.openxmlformats.org/officeDocument/2006/relationships/image" Target="media/image59.wmf"/><Relationship Id="rId90" Type="http://schemas.openxmlformats.org/officeDocument/2006/relationships/image" Target="media/image58.wmf"/><Relationship Id="rId9" Type="http://schemas.openxmlformats.org/officeDocument/2006/relationships/header" Target="header4.xml"/><Relationship Id="rId89" Type="http://schemas.openxmlformats.org/officeDocument/2006/relationships/oleObject" Target="embeddings/oleObject17.bin"/><Relationship Id="rId88" Type="http://schemas.openxmlformats.org/officeDocument/2006/relationships/image" Target="media/image57.wmf"/><Relationship Id="rId87" Type="http://schemas.openxmlformats.org/officeDocument/2006/relationships/oleObject" Target="embeddings/oleObject16.bin"/><Relationship Id="rId86" Type="http://schemas.openxmlformats.org/officeDocument/2006/relationships/image" Target="media/image56.wmf"/><Relationship Id="rId85" Type="http://schemas.openxmlformats.org/officeDocument/2006/relationships/oleObject" Target="embeddings/oleObject15.bin"/><Relationship Id="rId84" Type="http://schemas.openxmlformats.org/officeDocument/2006/relationships/image" Target="media/image55.wmf"/><Relationship Id="rId83" Type="http://schemas.openxmlformats.org/officeDocument/2006/relationships/oleObject" Target="embeddings/oleObject14.bin"/><Relationship Id="rId82" Type="http://schemas.openxmlformats.org/officeDocument/2006/relationships/image" Target="media/image54.wmf"/><Relationship Id="rId81" Type="http://schemas.openxmlformats.org/officeDocument/2006/relationships/oleObject" Target="embeddings/oleObject13.bin"/><Relationship Id="rId80" Type="http://schemas.openxmlformats.org/officeDocument/2006/relationships/image" Target="media/image53.wmf"/><Relationship Id="rId8" Type="http://schemas.openxmlformats.org/officeDocument/2006/relationships/footer" Target="footer3.xml"/><Relationship Id="rId79" Type="http://schemas.openxmlformats.org/officeDocument/2006/relationships/oleObject" Target="embeddings/oleObject12.bin"/><Relationship Id="rId78" Type="http://schemas.openxmlformats.org/officeDocument/2006/relationships/image" Target="media/image52.wmf"/><Relationship Id="rId77" Type="http://schemas.openxmlformats.org/officeDocument/2006/relationships/oleObject" Target="embeddings/oleObject11.bin"/><Relationship Id="rId76" Type="http://schemas.openxmlformats.org/officeDocument/2006/relationships/image" Target="media/image51.wmf"/><Relationship Id="rId75" Type="http://schemas.openxmlformats.org/officeDocument/2006/relationships/oleObject" Target="embeddings/oleObject10.bin"/><Relationship Id="rId74" Type="http://schemas.openxmlformats.org/officeDocument/2006/relationships/image" Target="media/image50.wmf"/><Relationship Id="rId73" Type="http://schemas.openxmlformats.org/officeDocument/2006/relationships/oleObject" Target="embeddings/oleObject9.bin"/><Relationship Id="rId72" Type="http://schemas.openxmlformats.org/officeDocument/2006/relationships/image" Target="media/image49.wmf"/><Relationship Id="rId71" Type="http://schemas.openxmlformats.org/officeDocument/2006/relationships/oleObject" Target="embeddings/oleObject8.bin"/><Relationship Id="rId70" Type="http://schemas.openxmlformats.org/officeDocument/2006/relationships/image" Target="media/image48.wmf"/><Relationship Id="rId7" Type="http://schemas.openxmlformats.org/officeDocument/2006/relationships/header" Target="header3.xml"/><Relationship Id="rId69" Type="http://schemas.openxmlformats.org/officeDocument/2006/relationships/oleObject" Target="embeddings/oleObject7.bin"/><Relationship Id="rId68" Type="http://schemas.openxmlformats.org/officeDocument/2006/relationships/image" Target="media/image47.wmf"/><Relationship Id="rId67" Type="http://schemas.openxmlformats.org/officeDocument/2006/relationships/oleObject" Target="embeddings/oleObject6.bin"/><Relationship Id="rId66" Type="http://schemas.openxmlformats.org/officeDocument/2006/relationships/image" Target="media/image46.wmf"/><Relationship Id="rId65" Type="http://schemas.openxmlformats.org/officeDocument/2006/relationships/oleObject" Target="embeddings/oleObject5.bin"/><Relationship Id="rId64" Type="http://schemas.openxmlformats.org/officeDocument/2006/relationships/image" Target="media/image45.wmf"/><Relationship Id="rId63" Type="http://schemas.openxmlformats.org/officeDocument/2006/relationships/oleObject" Target="embeddings/oleObject4.bin"/><Relationship Id="rId62" Type="http://schemas.openxmlformats.org/officeDocument/2006/relationships/image" Target="media/image44.wmf"/><Relationship Id="rId61" Type="http://schemas.openxmlformats.org/officeDocument/2006/relationships/oleObject" Target="embeddings/oleObject3.bin"/><Relationship Id="rId60" Type="http://schemas.openxmlformats.org/officeDocument/2006/relationships/image" Target="media/image43.wmf"/><Relationship Id="rId6" Type="http://schemas.openxmlformats.org/officeDocument/2006/relationships/footer" Target="footer2.xml"/><Relationship Id="rId59" Type="http://schemas.openxmlformats.org/officeDocument/2006/relationships/oleObject" Target="embeddings/oleObject2.bin"/><Relationship Id="rId58" Type="http://schemas.openxmlformats.org/officeDocument/2006/relationships/image" Target="media/image42.wmf"/><Relationship Id="rId57" Type="http://schemas.openxmlformats.org/officeDocument/2006/relationships/oleObject" Target="embeddings/oleObject1.bin"/><Relationship Id="rId56" Type="http://schemas.openxmlformats.org/officeDocument/2006/relationships/image" Target="media/image41.png"/><Relationship Id="rId55" Type="http://schemas.openxmlformats.org/officeDocument/2006/relationships/image" Target="media/image40.png"/><Relationship Id="rId54" Type="http://schemas.openxmlformats.org/officeDocument/2006/relationships/image" Target="media/image39.png"/><Relationship Id="rId53" Type="http://schemas.openxmlformats.org/officeDocument/2006/relationships/image" Target="media/image38.png"/><Relationship Id="rId52" Type="http://schemas.openxmlformats.org/officeDocument/2006/relationships/image" Target="media/image37.jpeg"/><Relationship Id="rId51" Type="http://schemas.openxmlformats.org/officeDocument/2006/relationships/image" Target="media/image36.jpeg"/><Relationship Id="rId50" Type="http://schemas.openxmlformats.org/officeDocument/2006/relationships/image" Target="media/image35.jpeg"/><Relationship Id="rId5" Type="http://schemas.openxmlformats.org/officeDocument/2006/relationships/header" Target="header2.xml"/><Relationship Id="rId49" Type="http://schemas.openxmlformats.org/officeDocument/2006/relationships/image" Target="media/image34.png"/><Relationship Id="rId48" Type="http://schemas.openxmlformats.org/officeDocument/2006/relationships/image" Target="media/image33.png"/><Relationship Id="rId47" Type="http://schemas.openxmlformats.org/officeDocument/2006/relationships/image" Target="media/image32.jpeg"/><Relationship Id="rId46" Type="http://schemas.openxmlformats.org/officeDocument/2006/relationships/image" Target="media/image31.png"/><Relationship Id="rId45" Type="http://schemas.openxmlformats.org/officeDocument/2006/relationships/image" Target="media/image30.png"/><Relationship Id="rId44" Type="http://schemas.openxmlformats.org/officeDocument/2006/relationships/image" Target="media/image29.png"/><Relationship Id="rId43" Type="http://schemas.openxmlformats.org/officeDocument/2006/relationships/image" Target="media/image28.png"/><Relationship Id="rId42" Type="http://schemas.openxmlformats.org/officeDocument/2006/relationships/image" Target="media/image27.png"/><Relationship Id="rId41" Type="http://schemas.openxmlformats.org/officeDocument/2006/relationships/image" Target="media/image26.jpeg"/><Relationship Id="rId40" Type="http://schemas.openxmlformats.org/officeDocument/2006/relationships/image" Target="media/image25.jpeg"/><Relationship Id="rId4" Type="http://schemas.openxmlformats.org/officeDocument/2006/relationships/footer" Target="footer1.xml"/><Relationship Id="rId39" Type="http://schemas.openxmlformats.org/officeDocument/2006/relationships/image" Target="media/image24.jpeg"/><Relationship Id="rId383" Type="http://schemas.openxmlformats.org/officeDocument/2006/relationships/fontTable" Target="fontTable.xml"/><Relationship Id="rId382" Type="http://schemas.openxmlformats.org/officeDocument/2006/relationships/customXml" Target="../customXml/item2.xml"/><Relationship Id="rId381" Type="http://schemas.openxmlformats.org/officeDocument/2006/relationships/numbering" Target="numbering.xml"/><Relationship Id="rId380" Type="http://schemas.openxmlformats.org/officeDocument/2006/relationships/customXml" Target="../customXml/item1.xml"/><Relationship Id="rId38" Type="http://schemas.openxmlformats.org/officeDocument/2006/relationships/image" Target="media/image23.png"/><Relationship Id="rId379" Type="http://schemas.openxmlformats.org/officeDocument/2006/relationships/image" Target="media/image329.png"/><Relationship Id="rId378" Type="http://schemas.openxmlformats.org/officeDocument/2006/relationships/image" Target="media/image328.png"/><Relationship Id="rId377" Type="http://schemas.openxmlformats.org/officeDocument/2006/relationships/image" Target="media/image327.png"/><Relationship Id="rId376" Type="http://schemas.openxmlformats.org/officeDocument/2006/relationships/image" Target="media/image326.png"/><Relationship Id="rId375" Type="http://schemas.openxmlformats.org/officeDocument/2006/relationships/image" Target="media/image325.png"/><Relationship Id="rId374" Type="http://schemas.openxmlformats.org/officeDocument/2006/relationships/image" Target="media/image324.png"/><Relationship Id="rId373" Type="http://schemas.openxmlformats.org/officeDocument/2006/relationships/image" Target="media/image323.png"/><Relationship Id="rId372" Type="http://schemas.openxmlformats.org/officeDocument/2006/relationships/image" Target="media/image322.png"/><Relationship Id="rId371" Type="http://schemas.openxmlformats.org/officeDocument/2006/relationships/image" Target="media/image321.png"/><Relationship Id="rId370" Type="http://schemas.openxmlformats.org/officeDocument/2006/relationships/image" Target="media/image320.png"/><Relationship Id="rId37" Type="http://schemas.openxmlformats.org/officeDocument/2006/relationships/image" Target="media/image22.png"/><Relationship Id="rId369" Type="http://schemas.openxmlformats.org/officeDocument/2006/relationships/image" Target="media/image319.png"/><Relationship Id="rId368" Type="http://schemas.openxmlformats.org/officeDocument/2006/relationships/image" Target="media/image318.png"/><Relationship Id="rId367" Type="http://schemas.openxmlformats.org/officeDocument/2006/relationships/image" Target="media/image317.png"/><Relationship Id="rId366" Type="http://schemas.openxmlformats.org/officeDocument/2006/relationships/image" Target="media/image316.png"/><Relationship Id="rId365" Type="http://schemas.openxmlformats.org/officeDocument/2006/relationships/image" Target="media/image315.png"/><Relationship Id="rId364" Type="http://schemas.openxmlformats.org/officeDocument/2006/relationships/image" Target="media/image314.png"/><Relationship Id="rId363" Type="http://schemas.openxmlformats.org/officeDocument/2006/relationships/image" Target="media/image313.png"/><Relationship Id="rId362" Type="http://schemas.openxmlformats.org/officeDocument/2006/relationships/image" Target="media/image312.png"/><Relationship Id="rId361" Type="http://schemas.openxmlformats.org/officeDocument/2006/relationships/image" Target="media/image311.png"/><Relationship Id="rId360" Type="http://schemas.openxmlformats.org/officeDocument/2006/relationships/image" Target="media/image310.png"/><Relationship Id="rId36" Type="http://schemas.openxmlformats.org/officeDocument/2006/relationships/image" Target="media/image21.png"/><Relationship Id="rId359" Type="http://schemas.openxmlformats.org/officeDocument/2006/relationships/image" Target="media/image309.png"/><Relationship Id="rId358" Type="http://schemas.openxmlformats.org/officeDocument/2006/relationships/image" Target="media/image308.png"/><Relationship Id="rId357" Type="http://schemas.openxmlformats.org/officeDocument/2006/relationships/image" Target="media/image307.png"/><Relationship Id="rId356" Type="http://schemas.openxmlformats.org/officeDocument/2006/relationships/image" Target="media/image306.png"/><Relationship Id="rId355" Type="http://schemas.openxmlformats.org/officeDocument/2006/relationships/image" Target="media/image305.png"/><Relationship Id="rId354" Type="http://schemas.openxmlformats.org/officeDocument/2006/relationships/image" Target="media/image304.png"/><Relationship Id="rId353" Type="http://schemas.openxmlformats.org/officeDocument/2006/relationships/image" Target="media/image303.png"/><Relationship Id="rId352" Type="http://schemas.openxmlformats.org/officeDocument/2006/relationships/image" Target="media/image302.png"/><Relationship Id="rId351" Type="http://schemas.openxmlformats.org/officeDocument/2006/relationships/image" Target="media/image301.png"/><Relationship Id="rId350" Type="http://schemas.openxmlformats.org/officeDocument/2006/relationships/image" Target="media/image300.png"/><Relationship Id="rId35" Type="http://schemas.openxmlformats.org/officeDocument/2006/relationships/image" Target="media/image20.jpeg"/><Relationship Id="rId349" Type="http://schemas.openxmlformats.org/officeDocument/2006/relationships/image" Target="media/image299.png"/><Relationship Id="rId348" Type="http://schemas.openxmlformats.org/officeDocument/2006/relationships/image" Target="media/image298.png"/><Relationship Id="rId347" Type="http://schemas.openxmlformats.org/officeDocument/2006/relationships/image" Target="media/image297.png"/><Relationship Id="rId346" Type="http://schemas.openxmlformats.org/officeDocument/2006/relationships/image" Target="media/image296.png"/><Relationship Id="rId345" Type="http://schemas.openxmlformats.org/officeDocument/2006/relationships/image" Target="media/image295.png"/><Relationship Id="rId344" Type="http://schemas.openxmlformats.org/officeDocument/2006/relationships/image" Target="media/image294.png"/><Relationship Id="rId343" Type="http://schemas.openxmlformats.org/officeDocument/2006/relationships/image" Target="media/image293.png"/><Relationship Id="rId342" Type="http://schemas.openxmlformats.org/officeDocument/2006/relationships/image" Target="media/image292.png"/><Relationship Id="rId341" Type="http://schemas.openxmlformats.org/officeDocument/2006/relationships/image" Target="media/image291.png"/><Relationship Id="rId340" Type="http://schemas.openxmlformats.org/officeDocument/2006/relationships/image" Target="media/image290.png"/><Relationship Id="rId34" Type="http://schemas.openxmlformats.org/officeDocument/2006/relationships/image" Target="media/image19.jpeg"/><Relationship Id="rId339" Type="http://schemas.openxmlformats.org/officeDocument/2006/relationships/image" Target="media/image289.png"/><Relationship Id="rId338" Type="http://schemas.openxmlformats.org/officeDocument/2006/relationships/image" Target="media/image288.png"/><Relationship Id="rId337" Type="http://schemas.openxmlformats.org/officeDocument/2006/relationships/image" Target="media/image287.png"/><Relationship Id="rId336" Type="http://schemas.openxmlformats.org/officeDocument/2006/relationships/image" Target="media/image286.png"/><Relationship Id="rId335" Type="http://schemas.openxmlformats.org/officeDocument/2006/relationships/image" Target="media/image285.png"/><Relationship Id="rId334" Type="http://schemas.openxmlformats.org/officeDocument/2006/relationships/image" Target="media/image284.png"/><Relationship Id="rId333" Type="http://schemas.openxmlformats.org/officeDocument/2006/relationships/image" Target="media/image283.png"/><Relationship Id="rId332" Type="http://schemas.openxmlformats.org/officeDocument/2006/relationships/image" Target="media/image282.png"/><Relationship Id="rId331" Type="http://schemas.openxmlformats.org/officeDocument/2006/relationships/image" Target="media/image281.png"/><Relationship Id="rId330" Type="http://schemas.openxmlformats.org/officeDocument/2006/relationships/image" Target="media/image280.png"/><Relationship Id="rId33" Type="http://schemas.openxmlformats.org/officeDocument/2006/relationships/image" Target="media/image18.jpeg"/><Relationship Id="rId329" Type="http://schemas.openxmlformats.org/officeDocument/2006/relationships/image" Target="media/image279.png"/><Relationship Id="rId328" Type="http://schemas.openxmlformats.org/officeDocument/2006/relationships/image" Target="media/image278.png"/><Relationship Id="rId327" Type="http://schemas.openxmlformats.org/officeDocument/2006/relationships/image" Target="media/image277.png"/><Relationship Id="rId326" Type="http://schemas.openxmlformats.org/officeDocument/2006/relationships/image" Target="media/image276.png"/><Relationship Id="rId325" Type="http://schemas.openxmlformats.org/officeDocument/2006/relationships/image" Target="media/image275.png"/><Relationship Id="rId324" Type="http://schemas.openxmlformats.org/officeDocument/2006/relationships/image" Target="media/image274.png"/><Relationship Id="rId323" Type="http://schemas.openxmlformats.org/officeDocument/2006/relationships/image" Target="media/image273.png"/><Relationship Id="rId322" Type="http://schemas.openxmlformats.org/officeDocument/2006/relationships/image" Target="media/image272.png"/><Relationship Id="rId321" Type="http://schemas.openxmlformats.org/officeDocument/2006/relationships/image" Target="media/image271.png"/><Relationship Id="rId320" Type="http://schemas.openxmlformats.org/officeDocument/2006/relationships/image" Target="media/image270.png"/><Relationship Id="rId32" Type="http://schemas.openxmlformats.org/officeDocument/2006/relationships/image" Target="media/image17.png"/><Relationship Id="rId319" Type="http://schemas.openxmlformats.org/officeDocument/2006/relationships/image" Target="media/image269.png"/><Relationship Id="rId318" Type="http://schemas.openxmlformats.org/officeDocument/2006/relationships/image" Target="media/image268.png"/><Relationship Id="rId317" Type="http://schemas.openxmlformats.org/officeDocument/2006/relationships/image" Target="media/image267.png"/><Relationship Id="rId316" Type="http://schemas.openxmlformats.org/officeDocument/2006/relationships/image" Target="media/image266.png"/><Relationship Id="rId315" Type="http://schemas.openxmlformats.org/officeDocument/2006/relationships/image" Target="media/image265.png"/><Relationship Id="rId314" Type="http://schemas.openxmlformats.org/officeDocument/2006/relationships/image" Target="media/image264.png"/><Relationship Id="rId313" Type="http://schemas.openxmlformats.org/officeDocument/2006/relationships/image" Target="media/image263.png"/><Relationship Id="rId312" Type="http://schemas.openxmlformats.org/officeDocument/2006/relationships/image" Target="media/image262.png"/><Relationship Id="rId311" Type="http://schemas.openxmlformats.org/officeDocument/2006/relationships/image" Target="media/image261.jpeg"/><Relationship Id="rId310" Type="http://schemas.openxmlformats.org/officeDocument/2006/relationships/image" Target="media/image260.png"/><Relationship Id="rId31" Type="http://schemas.openxmlformats.org/officeDocument/2006/relationships/image" Target="media/image16.png"/><Relationship Id="rId309" Type="http://schemas.openxmlformats.org/officeDocument/2006/relationships/image" Target="media/image259.png"/><Relationship Id="rId308" Type="http://schemas.openxmlformats.org/officeDocument/2006/relationships/image" Target="media/image258.jpeg"/><Relationship Id="rId307" Type="http://schemas.openxmlformats.org/officeDocument/2006/relationships/image" Target="media/image257.jpeg"/><Relationship Id="rId306" Type="http://schemas.openxmlformats.org/officeDocument/2006/relationships/image" Target="media/image256.png"/><Relationship Id="rId305" Type="http://schemas.openxmlformats.org/officeDocument/2006/relationships/image" Target="media/image255.jpeg"/><Relationship Id="rId304" Type="http://schemas.openxmlformats.org/officeDocument/2006/relationships/image" Target="media/image254.png"/><Relationship Id="rId303" Type="http://schemas.openxmlformats.org/officeDocument/2006/relationships/image" Target="media/image253.png"/><Relationship Id="rId302" Type="http://schemas.openxmlformats.org/officeDocument/2006/relationships/image" Target="media/image252.png"/><Relationship Id="rId301" Type="http://schemas.openxmlformats.org/officeDocument/2006/relationships/image" Target="media/image251.png"/><Relationship Id="rId300" Type="http://schemas.openxmlformats.org/officeDocument/2006/relationships/image" Target="media/image250.png"/><Relationship Id="rId30" Type="http://schemas.openxmlformats.org/officeDocument/2006/relationships/image" Target="media/image15.png"/><Relationship Id="rId3" Type="http://schemas.openxmlformats.org/officeDocument/2006/relationships/header" Target="header1.xml"/><Relationship Id="rId299" Type="http://schemas.openxmlformats.org/officeDocument/2006/relationships/image" Target="media/image249.png"/><Relationship Id="rId298" Type="http://schemas.openxmlformats.org/officeDocument/2006/relationships/image" Target="media/image248.png"/><Relationship Id="rId297" Type="http://schemas.openxmlformats.org/officeDocument/2006/relationships/image" Target="media/image247.png"/><Relationship Id="rId296" Type="http://schemas.openxmlformats.org/officeDocument/2006/relationships/image" Target="media/image246.png"/><Relationship Id="rId295" Type="http://schemas.openxmlformats.org/officeDocument/2006/relationships/image" Target="media/image245.png"/><Relationship Id="rId294" Type="http://schemas.openxmlformats.org/officeDocument/2006/relationships/image" Target="media/image244.png"/><Relationship Id="rId293" Type="http://schemas.openxmlformats.org/officeDocument/2006/relationships/image" Target="media/image243.png"/><Relationship Id="rId292" Type="http://schemas.openxmlformats.org/officeDocument/2006/relationships/image" Target="media/image242.png"/><Relationship Id="rId291" Type="http://schemas.openxmlformats.org/officeDocument/2006/relationships/image" Target="media/image241.wmf"/><Relationship Id="rId290" Type="http://schemas.openxmlformats.org/officeDocument/2006/relationships/image" Target="media/image240.png"/><Relationship Id="rId29" Type="http://schemas.openxmlformats.org/officeDocument/2006/relationships/image" Target="media/image14.jpeg"/><Relationship Id="rId289" Type="http://schemas.openxmlformats.org/officeDocument/2006/relationships/image" Target="media/image239.png"/><Relationship Id="rId288" Type="http://schemas.openxmlformats.org/officeDocument/2006/relationships/image" Target="media/image238.png"/><Relationship Id="rId287" Type="http://schemas.openxmlformats.org/officeDocument/2006/relationships/image" Target="media/image237.png"/><Relationship Id="rId286" Type="http://schemas.openxmlformats.org/officeDocument/2006/relationships/image" Target="media/image236.png"/><Relationship Id="rId285" Type="http://schemas.openxmlformats.org/officeDocument/2006/relationships/image" Target="media/image235.png"/><Relationship Id="rId284" Type="http://schemas.openxmlformats.org/officeDocument/2006/relationships/image" Target="media/image234.wmf"/><Relationship Id="rId283" Type="http://schemas.openxmlformats.org/officeDocument/2006/relationships/oleObject" Target="embeddings/oleObject24.bin"/><Relationship Id="rId282" Type="http://schemas.openxmlformats.org/officeDocument/2006/relationships/image" Target="media/image233.wmf"/><Relationship Id="rId281" Type="http://schemas.openxmlformats.org/officeDocument/2006/relationships/oleObject" Target="embeddings/oleObject23.bin"/><Relationship Id="rId280" Type="http://schemas.openxmlformats.org/officeDocument/2006/relationships/image" Target="media/image232.png"/><Relationship Id="rId28" Type="http://schemas.openxmlformats.org/officeDocument/2006/relationships/image" Target="media/image13.png"/><Relationship Id="rId279" Type="http://schemas.openxmlformats.org/officeDocument/2006/relationships/image" Target="media/image231.png"/><Relationship Id="rId278" Type="http://schemas.openxmlformats.org/officeDocument/2006/relationships/image" Target="media/image230.png"/><Relationship Id="rId277" Type="http://schemas.openxmlformats.org/officeDocument/2006/relationships/image" Target="media/image229.png"/><Relationship Id="rId276" Type="http://schemas.openxmlformats.org/officeDocument/2006/relationships/image" Target="media/image228.png"/><Relationship Id="rId275" Type="http://schemas.openxmlformats.org/officeDocument/2006/relationships/image" Target="media/image227.png"/><Relationship Id="rId274" Type="http://schemas.openxmlformats.org/officeDocument/2006/relationships/image" Target="media/image226.png"/><Relationship Id="rId273" Type="http://schemas.openxmlformats.org/officeDocument/2006/relationships/image" Target="media/image225.png"/><Relationship Id="rId272" Type="http://schemas.openxmlformats.org/officeDocument/2006/relationships/image" Target="media/image224.png"/><Relationship Id="rId271" Type="http://schemas.openxmlformats.org/officeDocument/2006/relationships/image" Target="media/image223.png"/><Relationship Id="rId270" Type="http://schemas.openxmlformats.org/officeDocument/2006/relationships/image" Target="media/image222.png"/><Relationship Id="rId27" Type="http://schemas.openxmlformats.org/officeDocument/2006/relationships/image" Target="media/image12.png"/><Relationship Id="rId269" Type="http://schemas.openxmlformats.org/officeDocument/2006/relationships/image" Target="media/image221.png"/><Relationship Id="rId268" Type="http://schemas.openxmlformats.org/officeDocument/2006/relationships/image" Target="media/image220.png"/><Relationship Id="rId267" Type="http://schemas.openxmlformats.org/officeDocument/2006/relationships/image" Target="media/image219.jpeg"/><Relationship Id="rId266" Type="http://schemas.openxmlformats.org/officeDocument/2006/relationships/image" Target="media/image218.png"/><Relationship Id="rId265" Type="http://schemas.openxmlformats.org/officeDocument/2006/relationships/image" Target="media/image217.png"/><Relationship Id="rId264" Type="http://schemas.openxmlformats.org/officeDocument/2006/relationships/image" Target="media/image216.png"/><Relationship Id="rId263" Type="http://schemas.openxmlformats.org/officeDocument/2006/relationships/image" Target="media/image215.jpeg"/><Relationship Id="rId262" Type="http://schemas.openxmlformats.org/officeDocument/2006/relationships/image" Target="media/image214.jpeg"/><Relationship Id="rId261" Type="http://schemas.openxmlformats.org/officeDocument/2006/relationships/image" Target="media/image213.png"/><Relationship Id="rId260" Type="http://schemas.openxmlformats.org/officeDocument/2006/relationships/image" Target="media/image212.png"/><Relationship Id="rId26" Type="http://schemas.openxmlformats.org/officeDocument/2006/relationships/image" Target="media/image11.jpeg"/><Relationship Id="rId259" Type="http://schemas.openxmlformats.org/officeDocument/2006/relationships/image" Target="media/image211.png"/><Relationship Id="rId258" Type="http://schemas.openxmlformats.org/officeDocument/2006/relationships/image" Target="media/image210.jpeg"/><Relationship Id="rId257" Type="http://schemas.openxmlformats.org/officeDocument/2006/relationships/image" Target="media/image209.png"/><Relationship Id="rId256" Type="http://schemas.openxmlformats.org/officeDocument/2006/relationships/image" Target="media/image208.jpeg"/><Relationship Id="rId255" Type="http://schemas.openxmlformats.org/officeDocument/2006/relationships/image" Target="media/image207.jpeg"/><Relationship Id="rId254" Type="http://schemas.openxmlformats.org/officeDocument/2006/relationships/image" Target="media/image206.jpeg"/><Relationship Id="rId253" Type="http://schemas.openxmlformats.org/officeDocument/2006/relationships/image" Target="media/image205.jpeg"/><Relationship Id="rId252" Type="http://schemas.openxmlformats.org/officeDocument/2006/relationships/image" Target="media/image204.jpeg"/><Relationship Id="rId251" Type="http://schemas.openxmlformats.org/officeDocument/2006/relationships/image" Target="media/image203.jpeg"/><Relationship Id="rId250" Type="http://schemas.openxmlformats.org/officeDocument/2006/relationships/image" Target="media/image202.jpeg"/><Relationship Id="rId25" Type="http://schemas.openxmlformats.org/officeDocument/2006/relationships/image" Target="media/image10.png"/><Relationship Id="rId249" Type="http://schemas.openxmlformats.org/officeDocument/2006/relationships/image" Target="media/image201.jpeg"/><Relationship Id="rId248" Type="http://schemas.openxmlformats.org/officeDocument/2006/relationships/image" Target="media/image200.jpeg"/><Relationship Id="rId247" Type="http://schemas.openxmlformats.org/officeDocument/2006/relationships/image" Target="media/image199.png"/><Relationship Id="rId246" Type="http://schemas.openxmlformats.org/officeDocument/2006/relationships/image" Target="media/image198.png"/><Relationship Id="rId245" Type="http://schemas.openxmlformats.org/officeDocument/2006/relationships/image" Target="media/image197.png"/><Relationship Id="rId244" Type="http://schemas.openxmlformats.org/officeDocument/2006/relationships/image" Target="media/image196.jpeg"/><Relationship Id="rId243" Type="http://schemas.openxmlformats.org/officeDocument/2006/relationships/image" Target="media/image195.png"/><Relationship Id="rId242" Type="http://schemas.openxmlformats.org/officeDocument/2006/relationships/image" Target="media/image194.png"/><Relationship Id="rId241" Type="http://schemas.openxmlformats.org/officeDocument/2006/relationships/image" Target="media/image193.jpeg"/><Relationship Id="rId240" Type="http://schemas.openxmlformats.org/officeDocument/2006/relationships/image" Target="media/image192.png"/><Relationship Id="rId24" Type="http://schemas.openxmlformats.org/officeDocument/2006/relationships/image" Target="media/image9.jpeg"/><Relationship Id="rId239" Type="http://schemas.openxmlformats.org/officeDocument/2006/relationships/image" Target="media/image191.png"/><Relationship Id="rId238" Type="http://schemas.openxmlformats.org/officeDocument/2006/relationships/image" Target="media/image190.png"/><Relationship Id="rId237" Type="http://schemas.openxmlformats.org/officeDocument/2006/relationships/image" Target="media/image189.png"/><Relationship Id="rId236" Type="http://schemas.openxmlformats.org/officeDocument/2006/relationships/image" Target="media/image188.png"/><Relationship Id="rId235" Type="http://schemas.openxmlformats.org/officeDocument/2006/relationships/image" Target="media/image187.jpeg"/><Relationship Id="rId234" Type="http://schemas.openxmlformats.org/officeDocument/2006/relationships/image" Target="media/image186.jpeg"/><Relationship Id="rId233" Type="http://schemas.openxmlformats.org/officeDocument/2006/relationships/image" Target="media/image185.png"/><Relationship Id="rId232" Type="http://schemas.openxmlformats.org/officeDocument/2006/relationships/image" Target="media/image184.png"/><Relationship Id="rId231" Type="http://schemas.openxmlformats.org/officeDocument/2006/relationships/image" Target="media/image183.png"/><Relationship Id="rId230" Type="http://schemas.openxmlformats.org/officeDocument/2006/relationships/image" Target="media/image182.jpeg"/><Relationship Id="rId23" Type="http://schemas.openxmlformats.org/officeDocument/2006/relationships/image" Target="media/image8.png"/><Relationship Id="rId229" Type="http://schemas.openxmlformats.org/officeDocument/2006/relationships/image" Target="media/image181.jpeg"/><Relationship Id="rId228" Type="http://schemas.openxmlformats.org/officeDocument/2006/relationships/image" Target="media/image180.jpeg"/><Relationship Id="rId227" Type="http://schemas.openxmlformats.org/officeDocument/2006/relationships/image" Target="media/image179.jpeg"/><Relationship Id="rId226" Type="http://schemas.openxmlformats.org/officeDocument/2006/relationships/image" Target="media/image178.jpeg"/><Relationship Id="rId225" Type="http://schemas.openxmlformats.org/officeDocument/2006/relationships/image" Target="media/image177.jpeg"/><Relationship Id="rId224" Type="http://schemas.openxmlformats.org/officeDocument/2006/relationships/image" Target="media/image176.jpeg"/><Relationship Id="rId223" Type="http://schemas.openxmlformats.org/officeDocument/2006/relationships/image" Target="media/image175.jpeg"/><Relationship Id="rId222" Type="http://schemas.openxmlformats.org/officeDocument/2006/relationships/image" Target="media/image174.jpeg"/><Relationship Id="rId221" Type="http://schemas.openxmlformats.org/officeDocument/2006/relationships/image" Target="media/image173.jpeg"/><Relationship Id="rId220" Type="http://schemas.openxmlformats.org/officeDocument/2006/relationships/image" Target="media/image172.png"/><Relationship Id="rId22" Type="http://schemas.openxmlformats.org/officeDocument/2006/relationships/image" Target="media/image7.jpeg"/><Relationship Id="rId219" Type="http://schemas.openxmlformats.org/officeDocument/2006/relationships/image" Target="media/image171.png"/><Relationship Id="rId218" Type="http://schemas.openxmlformats.org/officeDocument/2006/relationships/image" Target="media/image170.jpeg"/><Relationship Id="rId217" Type="http://schemas.openxmlformats.org/officeDocument/2006/relationships/image" Target="media/image169.png"/><Relationship Id="rId216" Type="http://schemas.openxmlformats.org/officeDocument/2006/relationships/image" Target="media/image168.jpeg"/><Relationship Id="rId215" Type="http://schemas.openxmlformats.org/officeDocument/2006/relationships/image" Target="media/image167.jpeg"/><Relationship Id="rId214" Type="http://schemas.openxmlformats.org/officeDocument/2006/relationships/image" Target="media/image166.jpeg"/><Relationship Id="rId213" Type="http://schemas.openxmlformats.org/officeDocument/2006/relationships/image" Target="media/image165.png"/><Relationship Id="rId212" Type="http://schemas.openxmlformats.org/officeDocument/2006/relationships/image" Target="media/image164.png"/><Relationship Id="rId211" Type="http://schemas.openxmlformats.org/officeDocument/2006/relationships/image" Target="media/image163.png"/><Relationship Id="rId210" Type="http://schemas.openxmlformats.org/officeDocument/2006/relationships/image" Target="media/image162.png"/><Relationship Id="rId21" Type="http://schemas.openxmlformats.org/officeDocument/2006/relationships/image" Target="media/image6.png"/><Relationship Id="rId209" Type="http://schemas.openxmlformats.org/officeDocument/2006/relationships/image" Target="media/image161.png"/><Relationship Id="rId208" Type="http://schemas.openxmlformats.org/officeDocument/2006/relationships/oleObject" Target="embeddings/oleObject22.bin"/><Relationship Id="rId207" Type="http://schemas.openxmlformats.org/officeDocument/2006/relationships/oleObject" Target="embeddings/oleObject21.bin"/><Relationship Id="rId206" Type="http://schemas.openxmlformats.org/officeDocument/2006/relationships/oleObject" Target="embeddings/oleObject20.bin"/><Relationship Id="rId205" Type="http://schemas.openxmlformats.org/officeDocument/2006/relationships/image" Target="media/image160.wmf"/><Relationship Id="rId204" Type="http://schemas.openxmlformats.org/officeDocument/2006/relationships/oleObject" Target="embeddings/oleObject19.bin"/><Relationship Id="rId203" Type="http://schemas.openxmlformats.org/officeDocument/2006/relationships/image" Target="media/image159.wmf"/><Relationship Id="rId202" Type="http://schemas.openxmlformats.org/officeDocument/2006/relationships/oleObject" Target="embeddings/oleObject18.bin"/><Relationship Id="rId201" Type="http://schemas.openxmlformats.org/officeDocument/2006/relationships/image" Target="media/image158.png"/><Relationship Id="rId200" Type="http://schemas.openxmlformats.org/officeDocument/2006/relationships/image" Target="media/image157.jpeg"/><Relationship Id="rId20" Type="http://schemas.openxmlformats.org/officeDocument/2006/relationships/image" Target="media/image5.jpeg"/><Relationship Id="rId2" Type="http://schemas.openxmlformats.org/officeDocument/2006/relationships/settings" Target="settings.xml"/><Relationship Id="rId199" Type="http://schemas.openxmlformats.org/officeDocument/2006/relationships/image" Target="media/image156.png"/><Relationship Id="rId198" Type="http://schemas.openxmlformats.org/officeDocument/2006/relationships/image" Target="media/image155.jpeg"/><Relationship Id="rId197" Type="http://schemas.openxmlformats.org/officeDocument/2006/relationships/image" Target="media/image154.png"/><Relationship Id="rId196" Type="http://schemas.openxmlformats.org/officeDocument/2006/relationships/image" Target="media/image153.png"/><Relationship Id="rId195" Type="http://schemas.openxmlformats.org/officeDocument/2006/relationships/image" Target="media/image152.png"/><Relationship Id="rId194" Type="http://schemas.openxmlformats.org/officeDocument/2006/relationships/image" Target="media/image151.png"/><Relationship Id="rId193" Type="http://schemas.openxmlformats.org/officeDocument/2006/relationships/image" Target="media/image150.png"/><Relationship Id="rId192" Type="http://schemas.openxmlformats.org/officeDocument/2006/relationships/image" Target="media/image149.png"/><Relationship Id="rId191" Type="http://schemas.openxmlformats.org/officeDocument/2006/relationships/image" Target="media/image148.png"/><Relationship Id="rId190" Type="http://schemas.openxmlformats.org/officeDocument/2006/relationships/image" Target="media/image147.png"/><Relationship Id="rId19" Type="http://schemas.openxmlformats.org/officeDocument/2006/relationships/image" Target="media/image4.jpeg"/><Relationship Id="rId189" Type="http://schemas.openxmlformats.org/officeDocument/2006/relationships/image" Target="media/image146.png"/><Relationship Id="rId188" Type="http://schemas.openxmlformats.org/officeDocument/2006/relationships/image" Target="media/image145.png"/><Relationship Id="rId187" Type="http://schemas.openxmlformats.org/officeDocument/2006/relationships/image" Target="media/image144.png"/><Relationship Id="rId186" Type="http://schemas.openxmlformats.org/officeDocument/2006/relationships/image" Target="media/image143.jpeg"/><Relationship Id="rId185" Type="http://schemas.openxmlformats.org/officeDocument/2006/relationships/image" Target="media/image142.jpeg"/><Relationship Id="rId184" Type="http://schemas.openxmlformats.org/officeDocument/2006/relationships/image" Target="media/image141.jpeg"/><Relationship Id="rId183" Type="http://schemas.openxmlformats.org/officeDocument/2006/relationships/image" Target="media/image140.jpeg"/><Relationship Id="rId182" Type="http://schemas.openxmlformats.org/officeDocument/2006/relationships/image" Target="media/image139.jpeg"/><Relationship Id="rId181" Type="http://schemas.openxmlformats.org/officeDocument/2006/relationships/image" Target="media/image138.png"/><Relationship Id="rId180" Type="http://schemas.openxmlformats.org/officeDocument/2006/relationships/image" Target="media/image137.png"/><Relationship Id="rId18" Type="http://schemas.openxmlformats.org/officeDocument/2006/relationships/image" Target="media/image3.jpeg"/><Relationship Id="rId179" Type="http://schemas.openxmlformats.org/officeDocument/2006/relationships/image" Target="http://www.safety.com.cn/standard/tu/gb5768-1999-42.gif" TargetMode="External"/><Relationship Id="rId178" Type="http://schemas.openxmlformats.org/officeDocument/2006/relationships/image" Target="media/image136.png"/><Relationship Id="rId177" Type="http://schemas.openxmlformats.org/officeDocument/2006/relationships/image" Target="http://www.safety.com.cn/standard/tu/gb5768-1999-44.gif" TargetMode="External"/><Relationship Id="rId176" Type="http://schemas.openxmlformats.org/officeDocument/2006/relationships/image" Target="media/image135.png"/><Relationship Id="rId175" Type="http://schemas.openxmlformats.org/officeDocument/2006/relationships/image" Target="http://www.safety.com.cn/standard/tu/gb5768-1999-21.gif" TargetMode="External"/><Relationship Id="rId174" Type="http://schemas.openxmlformats.org/officeDocument/2006/relationships/image" Target="media/image134.png"/><Relationship Id="rId173" Type="http://schemas.openxmlformats.org/officeDocument/2006/relationships/image" Target="http://www.safety.com.cn/standard/tu/gb5768-1999-17.gif" TargetMode="External"/><Relationship Id="rId172" Type="http://schemas.openxmlformats.org/officeDocument/2006/relationships/image" Target="media/image133.png"/><Relationship Id="rId171" Type="http://schemas.openxmlformats.org/officeDocument/2006/relationships/image" Target="http://www.safety.com.cn/standard/tu/gb5768-1999-120.gif" TargetMode="External"/><Relationship Id="rId170" Type="http://schemas.openxmlformats.org/officeDocument/2006/relationships/image" Target="media/image132.png"/><Relationship Id="rId17" Type="http://schemas.openxmlformats.org/officeDocument/2006/relationships/image" Target="media/image2.jpeg"/><Relationship Id="rId169" Type="http://schemas.openxmlformats.org/officeDocument/2006/relationships/image" Target="http://www.safety.com.cn/standard/tu/gb5768-1999-110.gif" TargetMode="External"/><Relationship Id="rId168" Type="http://schemas.openxmlformats.org/officeDocument/2006/relationships/image" Target="media/image131.png"/><Relationship Id="rId167" Type="http://schemas.openxmlformats.org/officeDocument/2006/relationships/image" Target="http://www.safety.com.cn/standard/tu/gb5768-1999-118.gif" TargetMode="External"/><Relationship Id="rId166" Type="http://schemas.openxmlformats.org/officeDocument/2006/relationships/image" Target="media/image130.png"/><Relationship Id="rId165" Type="http://schemas.openxmlformats.org/officeDocument/2006/relationships/image" Target="http://www.safety.com.cn/standard/tu/gb5768-1999-96.gif" TargetMode="External"/><Relationship Id="rId164" Type="http://schemas.openxmlformats.org/officeDocument/2006/relationships/image" Target="media/image129.png"/><Relationship Id="rId163" Type="http://schemas.openxmlformats.org/officeDocument/2006/relationships/image" Target="http://www.safety.com.cn/standard/tu/gb5768-1999-79.gif" TargetMode="External"/><Relationship Id="rId162" Type="http://schemas.openxmlformats.org/officeDocument/2006/relationships/image" Target="media/image128.png"/><Relationship Id="rId161" Type="http://schemas.openxmlformats.org/officeDocument/2006/relationships/image" Target="media/image127.jpeg"/><Relationship Id="rId160" Type="http://schemas.openxmlformats.org/officeDocument/2006/relationships/image" Target="http://www.safety.com.cn/standard/tu/gb5768-1999-74.gif" TargetMode="External"/><Relationship Id="rId16" Type="http://schemas.openxmlformats.org/officeDocument/2006/relationships/image" Target="media/image1.jpeg"/><Relationship Id="rId159" Type="http://schemas.openxmlformats.org/officeDocument/2006/relationships/image" Target="media/image126.png"/><Relationship Id="rId158" Type="http://schemas.openxmlformats.org/officeDocument/2006/relationships/image" Target="http://www.safety.com.cn/standard/tu/gb5768-1999-58.gif" TargetMode="External"/><Relationship Id="rId157" Type="http://schemas.openxmlformats.org/officeDocument/2006/relationships/image" Target="media/image125.png"/><Relationship Id="rId156" Type="http://schemas.openxmlformats.org/officeDocument/2006/relationships/image" Target="media/image124.png"/><Relationship Id="rId155" Type="http://schemas.openxmlformats.org/officeDocument/2006/relationships/image" Target="media/image123.png"/><Relationship Id="rId154" Type="http://schemas.openxmlformats.org/officeDocument/2006/relationships/image" Target="media/image122.png"/><Relationship Id="rId153" Type="http://schemas.openxmlformats.org/officeDocument/2006/relationships/image" Target="media/image121.png"/><Relationship Id="rId152" Type="http://schemas.openxmlformats.org/officeDocument/2006/relationships/image" Target="media/image120.png"/><Relationship Id="rId151" Type="http://schemas.openxmlformats.org/officeDocument/2006/relationships/image" Target="media/image119.png"/><Relationship Id="rId150" Type="http://schemas.openxmlformats.org/officeDocument/2006/relationships/image" Target="media/image118.png"/><Relationship Id="rId15" Type="http://schemas.openxmlformats.org/officeDocument/2006/relationships/theme" Target="theme/theme1.xml"/><Relationship Id="rId149" Type="http://schemas.openxmlformats.org/officeDocument/2006/relationships/image" Target="media/image117.png"/><Relationship Id="rId148" Type="http://schemas.openxmlformats.org/officeDocument/2006/relationships/image" Target="media/image116.png"/><Relationship Id="rId147" Type="http://schemas.openxmlformats.org/officeDocument/2006/relationships/image" Target="media/image115.png"/><Relationship Id="rId146" Type="http://schemas.openxmlformats.org/officeDocument/2006/relationships/image" Target="media/image114.png"/><Relationship Id="rId145" Type="http://schemas.openxmlformats.org/officeDocument/2006/relationships/image" Target="media/image113.png"/><Relationship Id="rId144" Type="http://schemas.openxmlformats.org/officeDocument/2006/relationships/image" Target="media/image112.png"/><Relationship Id="rId143" Type="http://schemas.openxmlformats.org/officeDocument/2006/relationships/image" Target="media/image111.png"/><Relationship Id="rId142" Type="http://schemas.openxmlformats.org/officeDocument/2006/relationships/image" Target="media/image110.png"/><Relationship Id="rId141" Type="http://schemas.openxmlformats.org/officeDocument/2006/relationships/image" Target="media/image109.png"/><Relationship Id="rId140" Type="http://schemas.openxmlformats.org/officeDocument/2006/relationships/image" Target="media/image108.png"/><Relationship Id="rId14" Type="http://schemas.openxmlformats.org/officeDocument/2006/relationships/footer" Target="footer6.xml"/><Relationship Id="rId139" Type="http://schemas.openxmlformats.org/officeDocument/2006/relationships/image" Target="media/image107.png"/><Relationship Id="rId138" Type="http://schemas.openxmlformats.org/officeDocument/2006/relationships/image" Target="media/image106.png"/><Relationship Id="rId137" Type="http://schemas.openxmlformats.org/officeDocument/2006/relationships/image" Target="media/image105.png"/><Relationship Id="rId136" Type="http://schemas.openxmlformats.org/officeDocument/2006/relationships/image" Target="media/image104.png"/><Relationship Id="rId135" Type="http://schemas.openxmlformats.org/officeDocument/2006/relationships/image" Target="media/image103.png"/><Relationship Id="rId134" Type="http://schemas.openxmlformats.org/officeDocument/2006/relationships/image" Target="media/image102.png"/><Relationship Id="rId133" Type="http://schemas.openxmlformats.org/officeDocument/2006/relationships/image" Target="media/image101.png"/><Relationship Id="rId132" Type="http://schemas.openxmlformats.org/officeDocument/2006/relationships/image" Target="media/image100.jpeg"/><Relationship Id="rId131" Type="http://schemas.openxmlformats.org/officeDocument/2006/relationships/image" Target="media/image99.jpeg"/><Relationship Id="rId130" Type="http://schemas.openxmlformats.org/officeDocument/2006/relationships/image" Target="media/image98.jpeg"/><Relationship Id="rId13" Type="http://schemas.openxmlformats.org/officeDocument/2006/relationships/header" Target="header6.xml"/><Relationship Id="rId129" Type="http://schemas.openxmlformats.org/officeDocument/2006/relationships/image" Target="media/image97.jpeg"/><Relationship Id="rId128" Type="http://schemas.openxmlformats.org/officeDocument/2006/relationships/image" Target="media/image96.jpeg"/><Relationship Id="rId127" Type="http://schemas.openxmlformats.org/officeDocument/2006/relationships/image" Target="media/image95.jpeg"/><Relationship Id="rId126" Type="http://schemas.openxmlformats.org/officeDocument/2006/relationships/image" Target="media/image94.jpeg"/><Relationship Id="rId125" Type="http://schemas.openxmlformats.org/officeDocument/2006/relationships/image" Target="media/image93.png"/><Relationship Id="rId124" Type="http://schemas.openxmlformats.org/officeDocument/2006/relationships/image" Target="media/image92.png"/><Relationship Id="rId123" Type="http://schemas.openxmlformats.org/officeDocument/2006/relationships/image" Target="media/image91.emf"/><Relationship Id="rId122" Type="http://schemas.openxmlformats.org/officeDocument/2006/relationships/image" Target="media/image90.png"/><Relationship Id="rId121" Type="http://schemas.openxmlformats.org/officeDocument/2006/relationships/image" Target="media/image89.png"/><Relationship Id="rId120" Type="http://schemas.openxmlformats.org/officeDocument/2006/relationships/image" Target="media/image88.png"/><Relationship Id="rId12" Type="http://schemas.openxmlformats.org/officeDocument/2006/relationships/footer" Target="footer5.xml"/><Relationship Id="rId119" Type="http://schemas.openxmlformats.org/officeDocument/2006/relationships/image" Target="media/image87.png"/><Relationship Id="rId118" Type="http://schemas.openxmlformats.org/officeDocument/2006/relationships/image" Target="media/image86.jpeg"/><Relationship Id="rId117" Type="http://schemas.openxmlformats.org/officeDocument/2006/relationships/image" Target="media/image85.png"/><Relationship Id="rId116" Type="http://schemas.openxmlformats.org/officeDocument/2006/relationships/image" Target="media/image84.png"/><Relationship Id="rId115" Type="http://schemas.openxmlformats.org/officeDocument/2006/relationships/image" Target="media/image83.png"/><Relationship Id="rId114" Type="http://schemas.openxmlformats.org/officeDocument/2006/relationships/image" Target="media/image82.jpeg"/><Relationship Id="rId113" Type="http://schemas.openxmlformats.org/officeDocument/2006/relationships/image" Target="media/image81.png"/><Relationship Id="rId112" Type="http://schemas.openxmlformats.org/officeDocument/2006/relationships/image" Target="media/image80.png"/><Relationship Id="rId111" Type="http://schemas.openxmlformats.org/officeDocument/2006/relationships/image" Target="media/image79.png"/><Relationship Id="rId110" Type="http://schemas.openxmlformats.org/officeDocument/2006/relationships/image" Target="media/image78.png"/><Relationship Id="rId11" Type="http://schemas.openxmlformats.org/officeDocument/2006/relationships/header" Target="header5.xml"/><Relationship Id="rId109" Type="http://schemas.openxmlformats.org/officeDocument/2006/relationships/image" Target="media/image77.png"/><Relationship Id="rId108" Type="http://schemas.openxmlformats.org/officeDocument/2006/relationships/image" Target="media/image76.png"/><Relationship Id="rId107" Type="http://schemas.openxmlformats.org/officeDocument/2006/relationships/image" Target="media/image75.png"/><Relationship Id="rId106" Type="http://schemas.openxmlformats.org/officeDocument/2006/relationships/image" Target="media/image74.png"/><Relationship Id="rId105" Type="http://schemas.openxmlformats.org/officeDocument/2006/relationships/image" Target="media/image73.png"/><Relationship Id="rId104" Type="http://schemas.openxmlformats.org/officeDocument/2006/relationships/image" Target="media/image72.png"/><Relationship Id="rId103" Type="http://schemas.openxmlformats.org/officeDocument/2006/relationships/image" Target="media/image71.png"/><Relationship Id="rId102" Type="http://schemas.openxmlformats.org/officeDocument/2006/relationships/image" Target="media/image70.png"/><Relationship Id="rId101" Type="http://schemas.openxmlformats.org/officeDocument/2006/relationships/image" Target="media/image69.png"/><Relationship Id="rId100" Type="http://schemas.openxmlformats.org/officeDocument/2006/relationships/image" Target="media/image68.png"/><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A8A1B29-C18A-4BEC-B8F0-A6EA8620B3A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238</Pages>
  <Words>39060</Words>
  <Characters>222646</Characters>
  <Lines>1855</Lines>
  <Paragraphs>522</Paragraphs>
  <TotalTime>1</TotalTime>
  <ScaleCrop>false</ScaleCrop>
  <LinksUpToDate>false</LinksUpToDate>
  <CharactersWithSpaces>261184</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2023-09-21T03:16:00Z</dcterms:created>
  <dc:creator>User</dc:creator>
  <cp:lastModifiedBy>RIVERsea</cp:lastModifiedBy>
  <cp:lastPrinted>2023-08-15T13:05:00Z</cp:lastPrinted>
  <dcterms:modified xsi:type="dcterms:W3CDTF">2023-10-26T12:59:15Z</dcterms:modified>
  <dc:title>城市道路工程初步设计文件编制深度</dc:title>
  <cp:revision>78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20A82BDE7CEA4E1BB2B4786F3419322E_13</vt:lpwstr>
  </property>
</Properties>
</file>