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color w:val="auto"/>
          <w:sz w:val="29"/>
          <w:szCs w:val="29"/>
          <w:highlight w:val="none"/>
        </w:rPr>
      </w:pPr>
    </w:p>
    <w:p>
      <w:pPr>
        <w:pStyle w:val="3"/>
        <w:rPr>
          <w:rFonts w:hint="eastAsia" w:ascii="宋体" w:hAnsi="宋体" w:cs="宋体"/>
          <w:sz w:val="32"/>
          <w:szCs w:val="32"/>
          <w:lang w:val="en-US" w:eastAsia="zh-CN"/>
        </w:rPr>
      </w:pPr>
    </w:p>
    <w:p>
      <w:pPr>
        <w:pStyle w:val="3"/>
        <w:rPr>
          <w:rFonts w:hint="eastAsia" w:ascii="宋体" w:hAnsi="宋体" w:cs="宋体"/>
          <w:sz w:val="32"/>
          <w:szCs w:val="32"/>
          <w:lang w:val="en-US" w:eastAsia="zh-CN"/>
        </w:rPr>
      </w:pPr>
    </w:p>
    <w:p>
      <w:pPr>
        <w:spacing w:line="360" w:lineRule="auto"/>
        <w:jc w:val="left"/>
        <w:rPr>
          <w:rFonts w:hint="default" w:ascii="宋体" w:hAnsi="宋体" w:eastAsia="宋体" w:cs="宋体"/>
          <w:sz w:val="32"/>
          <w:szCs w:val="32"/>
          <w:lang w:val="en-US" w:eastAsia="zh-CN"/>
        </w:rPr>
      </w:pPr>
      <w:r>
        <w:rPr>
          <w:rFonts w:hint="eastAsia" w:ascii="宋体" w:hAnsi="宋体" w:cs="宋体"/>
          <w:sz w:val="32"/>
          <w:szCs w:val="32"/>
          <w:lang w:val="en-US" w:eastAsia="zh-CN"/>
        </w:rPr>
        <w:t>附件1：</w:t>
      </w:r>
    </w:p>
    <w:p>
      <w:pPr>
        <w:autoSpaceDE w:val="0"/>
        <w:autoSpaceDN w:val="0"/>
        <w:adjustRightInd w:val="0"/>
        <w:spacing w:line="360" w:lineRule="auto"/>
        <w:jc w:val="center"/>
        <w:rPr>
          <w:rFonts w:hint="eastAsia" w:ascii="宋体" w:hAnsi="宋体" w:cs="楷体_GB2312"/>
          <w:color w:val="auto"/>
          <w:kern w:val="0"/>
          <w:sz w:val="21"/>
          <w:szCs w:val="21"/>
          <w:highlight w:val="yellow"/>
        </w:rPr>
      </w:pPr>
      <w:r>
        <w:rPr>
          <w:rFonts w:hint="eastAsia" w:ascii="宋体" w:hAnsi="宋体" w:cs="宋体"/>
          <w:sz w:val="32"/>
          <w:szCs w:val="32"/>
          <w:lang w:val="en-US" w:eastAsia="zh-CN"/>
        </w:rPr>
        <w:t>CPC通行卡</w:t>
      </w:r>
      <w:r>
        <w:rPr>
          <w:rFonts w:hint="eastAsia" w:ascii="宋体" w:hAnsi="宋体" w:cs="宋体"/>
          <w:sz w:val="32"/>
          <w:szCs w:val="32"/>
        </w:rPr>
        <w:t>生产厂家声明函</w:t>
      </w:r>
    </w:p>
    <w:p>
      <w:pPr>
        <w:spacing w:line="360" w:lineRule="auto"/>
        <w:jc w:val="center"/>
        <w:rPr>
          <w:rFonts w:ascii="宋体" w:hAnsi="宋体" w:cs="宋体"/>
          <w:sz w:val="32"/>
          <w:szCs w:val="32"/>
          <w:lang w:val="en-GB"/>
        </w:rPr>
      </w:pPr>
    </w:p>
    <w:p>
      <w:pPr>
        <w:spacing w:line="360" w:lineRule="auto"/>
        <w:rPr>
          <w:rFonts w:ascii="宋体" w:hAnsi="宋体" w:cs="宋体"/>
          <w:sz w:val="32"/>
          <w:szCs w:val="32"/>
          <w:lang w:val="en-GB"/>
        </w:rPr>
      </w:pPr>
    </w:p>
    <w:p>
      <w:pPr>
        <w:spacing w:line="360" w:lineRule="auto"/>
        <w:rPr>
          <w:rFonts w:ascii="宋体" w:hAnsi="宋体" w:cs="宋体"/>
          <w:sz w:val="24"/>
          <w:szCs w:val="24"/>
        </w:rPr>
      </w:pPr>
      <w:r>
        <w:rPr>
          <w:rFonts w:hint="eastAsia" w:ascii="宋体" w:hAnsi="宋体" w:cs="宋体"/>
          <w:color w:val="000000"/>
          <w:sz w:val="24"/>
          <w:szCs w:val="24"/>
          <w:shd w:val="clear" w:color="auto" w:fill="FFFFFF"/>
          <w:lang w:val="en-US" w:eastAsia="zh-CN"/>
        </w:rPr>
        <w:t>广深珠高速公路</w:t>
      </w:r>
      <w:r>
        <w:rPr>
          <w:rFonts w:hint="eastAsia" w:ascii="宋体" w:hAnsi="宋体" w:cs="宋体"/>
          <w:color w:val="000000"/>
          <w:sz w:val="24"/>
          <w:szCs w:val="24"/>
          <w:shd w:val="clear" w:color="auto" w:fill="FFFFFF"/>
        </w:rPr>
        <w:t>有限公司</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我方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单位名称</w:t>
      </w:r>
      <w:r>
        <w:rPr>
          <w:rFonts w:hint="eastAsia" w:ascii="宋体" w:hAnsi="宋体" w:cs="宋体"/>
          <w:sz w:val="24"/>
          <w:szCs w:val="24"/>
          <w:u w:val="single"/>
          <w:lang w:eastAsia="zh-CN"/>
        </w:rPr>
        <w:t>）</w:t>
      </w:r>
      <w:r>
        <w:rPr>
          <w:rFonts w:hint="eastAsia" w:ascii="宋体" w:hAnsi="宋体" w:cs="宋体"/>
          <w:sz w:val="24"/>
          <w:szCs w:val="24"/>
        </w:rPr>
        <w:t>是依法成立、有效存续的企业法人，是</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CPC卡品牌名称）</w:t>
      </w:r>
      <w:r>
        <w:rPr>
          <w:rFonts w:hint="eastAsia" w:ascii="宋体" w:hAnsi="宋体" w:cs="宋体"/>
          <w:sz w:val="24"/>
          <w:szCs w:val="24"/>
        </w:rPr>
        <w:t>的生产厂家。现参加你单位组织的</w:t>
      </w:r>
      <w:r>
        <w:rPr>
          <w:rFonts w:hint="eastAsia" w:ascii="宋体" w:hAnsi="宋体" w:cs="宋体"/>
          <w:b/>
          <w:bCs/>
          <w:sz w:val="24"/>
          <w:szCs w:val="24"/>
        </w:rPr>
        <w:t>“</w:t>
      </w:r>
      <w:r>
        <w:rPr>
          <w:rFonts w:hint="eastAsia" w:ascii="宋体" w:hAnsi="宋体" w:cs="宋体"/>
          <w:b/>
          <w:bCs/>
          <w:sz w:val="24"/>
          <w:szCs w:val="24"/>
          <w:lang w:eastAsia="zh-CN"/>
        </w:rPr>
        <w:t>广深高速公路2023-2025年度CPC卡采购项目</w:t>
      </w:r>
      <w:r>
        <w:rPr>
          <w:rFonts w:hint="eastAsia" w:ascii="宋体" w:hAnsi="宋体" w:cs="宋体"/>
          <w:b/>
          <w:bCs/>
          <w:sz w:val="24"/>
          <w:szCs w:val="24"/>
        </w:rPr>
        <w:t>”</w:t>
      </w:r>
      <w:r>
        <w:rPr>
          <w:rFonts w:hint="eastAsia" w:ascii="宋体" w:hAnsi="宋体" w:cs="宋体"/>
          <w:sz w:val="24"/>
          <w:szCs w:val="24"/>
        </w:rPr>
        <w:t>的</w:t>
      </w:r>
      <w:r>
        <w:rPr>
          <w:rFonts w:hint="eastAsia" w:ascii="宋体" w:hAnsi="宋体" w:cs="宋体"/>
          <w:sz w:val="24"/>
          <w:szCs w:val="24"/>
          <w:lang w:val="en-US" w:eastAsia="zh-CN"/>
        </w:rPr>
        <w:t>投标</w:t>
      </w:r>
      <w:r>
        <w:rPr>
          <w:rFonts w:hint="eastAsia" w:ascii="宋体" w:hAnsi="宋体" w:cs="宋体"/>
          <w:sz w:val="24"/>
          <w:szCs w:val="24"/>
        </w:rPr>
        <w:t>活动，如被确认为中标人，我方将独立完成上述采购产品的生产及承担质量保证责任，如出现擅自分包或转包等情形，采购人有权解除合同，要求我方返还预付款、赔偿损失。</w:t>
      </w:r>
    </w:p>
    <w:p>
      <w:pPr>
        <w:spacing w:line="360" w:lineRule="auto"/>
        <w:ind w:firstLine="645"/>
        <w:rPr>
          <w:rFonts w:ascii="宋体" w:hAnsi="宋体" w:cs="宋体"/>
          <w:sz w:val="24"/>
          <w:szCs w:val="24"/>
        </w:rPr>
      </w:pPr>
    </w:p>
    <w:p>
      <w:pPr>
        <w:spacing w:line="360" w:lineRule="auto"/>
        <w:ind w:firstLine="645"/>
        <w:rPr>
          <w:rFonts w:ascii="宋体" w:hAnsi="宋体" w:cs="宋体"/>
          <w:sz w:val="24"/>
          <w:szCs w:val="24"/>
        </w:rPr>
      </w:pPr>
    </w:p>
    <w:p>
      <w:pPr>
        <w:spacing w:line="360" w:lineRule="auto"/>
        <w:ind w:firstLine="645"/>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专此声明。</w:t>
      </w:r>
    </w:p>
    <w:p>
      <w:pPr>
        <w:spacing w:line="360" w:lineRule="auto"/>
        <w:ind w:firstLine="645"/>
        <w:rPr>
          <w:rFonts w:ascii="宋体" w:hAnsi="宋体" w:cs="宋体"/>
          <w:sz w:val="24"/>
          <w:szCs w:val="24"/>
        </w:rPr>
      </w:pPr>
    </w:p>
    <w:p>
      <w:pPr>
        <w:spacing w:line="360" w:lineRule="auto"/>
        <w:ind w:firstLine="645"/>
        <w:rPr>
          <w:rFonts w:ascii="宋体" w:hAnsi="宋体" w:cs="宋体"/>
          <w:sz w:val="24"/>
          <w:szCs w:val="24"/>
        </w:rPr>
      </w:pPr>
    </w:p>
    <w:p>
      <w:pPr>
        <w:wordWrap w:val="0"/>
        <w:spacing w:line="360" w:lineRule="auto"/>
        <w:ind w:left="3780" w:leftChars="1800"/>
        <w:jc w:val="right"/>
        <w:rPr>
          <w:rFonts w:hint="default" w:ascii="宋体" w:hAnsi="宋体" w:eastAsia="宋体" w:cs="宋体"/>
          <w:sz w:val="24"/>
          <w:szCs w:val="24"/>
          <w:u w:val="none"/>
          <w:lang w:val="en-US" w:eastAsia="zh-CN"/>
        </w:rPr>
      </w:pPr>
      <w:r>
        <w:rPr>
          <w:rFonts w:hint="eastAsia" w:ascii="宋体" w:hAnsi="宋体" w:cs="宋体"/>
          <w:sz w:val="24"/>
          <w:szCs w:val="24"/>
        </w:rPr>
        <w:t>投标人(单位盖章) ：</w:t>
      </w:r>
      <w:r>
        <w:rPr>
          <w:rFonts w:hint="eastAsia" w:ascii="宋体" w:hAnsi="宋体" w:cs="宋体"/>
          <w:sz w:val="24"/>
          <w:szCs w:val="24"/>
          <w:u w:val="single"/>
          <w:lang w:val="en-US" w:eastAsia="zh-CN"/>
        </w:rPr>
        <w:t xml:space="preserve">                   </w:t>
      </w:r>
    </w:p>
    <w:p>
      <w:pPr>
        <w:spacing w:line="360" w:lineRule="auto"/>
        <w:ind w:left="3780" w:leftChars="1800"/>
        <w:jc w:val="right"/>
        <w:rPr>
          <w:rFonts w:ascii="宋体" w:hAnsi="宋体" w:cs="宋体"/>
          <w:sz w:val="24"/>
          <w:szCs w:val="24"/>
        </w:rPr>
      </w:pPr>
      <w:r>
        <w:rPr>
          <w:rFonts w:hint="eastAsia" w:ascii="宋体" w:hAnsi="宋体" w:cs="宋体"/>
          <w:sz w:val="24"/>
          <w:szCs w:val="24"/>
        </w:rPr>
        <w:t>日期：   年   月   日</w:t>
      </w:r>
    </w:p>
    <w:p>
      <w:pPr>
        <w:pStyle w:val="5"/>
        <w:ind w:left="0" w:leftChars="0" w:firstLine="0" w:firstLineChars="0"/>
        <w:rPr>
          <w:rFonts w:hint="eastAsia" w:ascii="宋体" w:hAnsi="宋体"/>
          <w:color w:val="auto"/>
          <w:sz w:val="29"/>
          <w:szCs w:val="29"/>
          <w:highlight w:val="none"/>
        </w:rPr>
      </w:pPr>
    </w:p>
    <w:p>
      <w:pPr>
        <w:pStyle w:val="5"/>
        <w:rPr>
          <w:rFonts w:hint="eastAsia" w:ascii="宋体" w:hAnsi="宋体"/>
          <w:color w:val="auto"/>
          <w:sz w:val="29"/>
          <w:szCs w:val="29"/>
          <w:highlight w:val="none"/>
        </w:rPr>
      </w:pPr>
    </w:p>
    <w:p>
      <w:pPr>
        <w:pStyle w:val="5"/>
        <w:rPr>
          <w:rFonts w:hint="eastAsia" w:ascii="宋体" w:hAnsi="宋体"/>
          <w:color w:val="auto"/>
          <w:sz w:val="29"/>
          <w:szCs w:val="29"/>
          <w:highlight w:val="none"/>
        </w:rPr>
      </w:pPr>
    </w:p>
    <w:p/>
    <w:p>
      <w:pPr>
        <w:autoSpaceDE w:val="0"/>
        <w:autoSpaceDN w:val="0"/>
        <w:adjustRightInd w:val="0"/>
        <w:spacing w:before="50"/>
        <w:rPr>
          <w:rFonts w:hint="eastAsia" w:ascii="宋体" w:hAnsi="宋体" w:eastAsia="宋体" w:cs="宋体"/>
          <w:b/>
          <w:sz w:val="30"/>
          <w:szCs w:val="30"/>
          <w:highlight w:val="none"/>
          <w:lang w:val="en-US" w:eastAsia="zh-CN"/>
        </w:rPr>
      </w:pPr>
      <w:r>
        <w:rPr>
          <w:rFonts w:hint="eastAsia" w:ascii="宋体" w:hAnsi="宋体" w:cs="宋体"/>
          <w:b/>
          <w:sz w:val="30"/>
          <w:szCs w:val="30"/>
          <w:highlight w:val="none"/>
        </w:rPr>
        <w:t>附件</w:t>
      </w:r>
      <w:r>
        <w:rPr>
          <w:rFonts w:hint="eastAsia" w:ascii="宋体" w:hAnsi="宋体" w:cs="宋体"/>
          <w:b/>
          <w:sz w:val="30"/>
          <w:szCs w:val="30"/>
          <w:highlight w:val="none"/>
          <w:lang w:val="en-US" w:eastAsia="zh-CN"/>
        </w:rPr>
        <w:t>2</w:t>
      </w:r>
      <w:r>
        <w:rPr>
          <w:rFonts w:hint="eastAsia" w:ascii="宋体" w:hAnsi="宋体" w:cs="宋体"/>
          <w:b/>
          <w:sz w:val="30"/>
          <w:szCs w:val="30"/>
          <w:highlight w:val="none"/>
        </w:rPr>
        <w:t>:</w:t>
      </w:r>
      <w:r>
        <w:rPr>
          <w:rFonts w:ascii="宋体" w:hAnsi="宋体"/>
          <w:b/>
          <w:bCs/>
          <w:color w:val="000000"/>
          <w:sz w:val="28"/>
          <w:szCs w:val="28"/>
          <w:highlight w:val="none"/>
        </w:rPr>
        <w:t>资格审查条件</w:t>
      </w:r>
    </w:p>
    <w:p>
      <w:pPr>
        <w:snapToGrid w:val="0"/>
        <w:spacing w:line="360" w:lineRule="auto"/>
        <w:rPr>
          <w:rFonts w:hint="eastAsia" w:ascii="宋体" w:hAnsi="宋体"/>
          <w:sz w:val="24"/>
          <w:szCs w:val="24"/>
          <w:highlight w:val="none"/>
        </w:rPr>
      </w:pP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附录</w:t>
      </w:r>
      <w:r>
        <w:rPr>
          <w:rFonts w:hint="eastAsia" w:ascii="宋体" w:hAnsi="宋体"/>
          <w:b/>
          <w:bCs/>
          <w:color w:val="000000"/>
          <w:sz w:val="28"/>
          <w:szCs w:val="28"/>
          <w:highlight w:val="none"/>
          <w:lang w:val="en-US" w:eastAsia="zh-CN"/>
        </w:rPr>
        <w:t>2</w:t>
      </w:r>
      <w:r>
        <w:rPr>
          <w:rFonts w:hint="eastAsia" w:ascii="宋体" w:hAnsi="宋体" w:eastAsia="宋体"/>
          <w:b/>
          <w:bCs/>
          <w:color w:val="000000"/>
          <w:sz w:val="28"/>
          <w:szCs w:val="28"/>
          <w:highlight w:val="none"/>
          <w:lang w:val="en-US" w:eastAsia="zh-CN"/>
        </w:rPr>
        <w:t>-1</w:t>
      </w:r>
      <w:r>
        <w:rPr>
          <w:rFonts w:ascii="宋体" w:hAnsi="宋体"/>
          <w:b/>
          <w:bCs/>
          <w:color w:val="000000"/>
          <w:sz w:val="28"/>
          <w:szCs w:val="28"/>
          <w:highlight w:val="none"/>
        </w:rPr>
        <w:t xml:space="preserve">  资格审查条件(资质最低条件)</w:t>
      </w:r>
    </w:p>
    <w:tbl>
      <w:tblPr>
        <w:tblStyle w:val="11"/>
        <w:tblW w:w="9200"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200" w:type="dxa"/>
            <w:vAlign w:val="center"/>
          </w:tcPr>
          <w:p>
            <w:pPr>
              <w:widowControl/>
              <w:snapToGrid w:val="0"/>
              <w:spacing w:line="240" w:lineRule="auto"/>
              <w:jc w:val="center"/>
              <w:rPr>
                <w:rFonts w:ascii="宋体" w:hAnsi="宋体" w:cs="宋体"/>
                <w:b/>
                <w:kern w:val="0"/>
                <w:szCs w:val="21"/>
                <w:highlight w:val="none"/>
              </w:rPr>
            </w:pPr>
            <w:r>
              <w:rPr>
                <w:rFonts w:ascii="宋体" w:hAnsi="宋体"/>
                <w:color w:val="000000"/>
                <w:sz w:val="24"/>
                <w:szCs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2" w:hRule="atLeast"/>
          <w:jc w:val="center"/>
        </w:trPr>
        <w:tc>
          <w:tcPr>
            <w:tcW w:w="9200" w:type="dxa"/>
            <w:vAlign w:val="center"/>
          </w:tcPr>
          <w:p>
            <w:pPr>
              <w:widowControl/>
              <w:numPr>
                <w:ilvl w:val="0"/>
                <w:numId w:val="0"/>
              </w:numPr>
              <w:snapToGrid w:val="0"/>
              <w:spacing w:line="240" w:lineRule="auto"/>
              <w:jc w:val="left"/>
              <w:rPr>
                <w:rFonts w:hint="eastAsia"/>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highlight w:val="none"/>
                <w:lang w:val="zh-CN" w:eastAsia="zh-CN"/>
              </w:rPr>
            </w:pPr>
            <w:r>
              <w:rPr>
                <w:rFonts w:hint="eastAsia"/>
                <w:highlight w:val="none"/>
                <w:lang w:val="en-US" w:eastAsia="zh-CN"/>
              </w:rPr>
              <w:t>投标人必须为中华人民共和国境内注册成立、合法存续的法人组织。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highlight w:val="none"/>
                <w:lang w:val="en-US" w:eastAsia="zh-CN"/>
              </w:rPr>
            </w:pPr>
            <w:r>
              <w:rPr>
                <w:rFonts w:hint="eastAsia"/>
                <w:highlight w:val="none"/>
                <w:lang w:val="en-US" w:eastAsia="zh-CN"/>
              </w:rPr>
              <w:t>投标人须为CPC卡直接生产厂家，不接受经销商投标。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highlight w:val="none"/>
                <w:lang w:val="en-US" w:eastAsia="zh-CN"/>
              </w:rPr>
            </w:pPr>
            <w:r>
              <w:rPr>
                <w:rFonts w:hint="eastAsia"/>
                <w:highlight w:val="none"/>
                <w:lang w:val="en-US" w:eastAsia="zh-CN"/>
              </w:rPr>
              <w:t>本次招标不接受分支机构（如分公司、支公司等等）投标。</w:t>
            </w:r>
          </w:p>
          <w:p>
            <w:pPr>
              <w:pStyle w:val="5"/>
              <w:rPr>
                <w:rFonts w:hint="eastAsia"/>
                <w:lang w:val="en-US" w:eastAsia="zh-CN"/>
              </w:rPr>
            </w:pPr>
          </w:p>
          <w:p>
            <w:pPr>
              <w:pStyle w:val="3"/>
              <w:keepNext w:val="0"/>
              <w:keepLines w:val="0"/>
              <w:pageBreakBefore w:val="0"/>
              <w:widowControl w:val="0"/>
              <w:kinsoku/>
              <w:wordWrap/>
              <w:overflowPunct/>
              <w:topLinePunct w:val="0"/>
              <w:autoSpaceDE/>
              <w:autoSpaceDN/>
              <w:bidi w:val="0"/>
              <w:spacing w:line="360" w:lineRule="auto"/>
              <w:textAlignment w:val="auto"/>
              <w:outlineLvl w:val="9"/>
              <w:rPr>
                <w:rFonts w:hint="eastAsia"/>
                <w:sz w:val="18"/>
                <w:szCs w:val="18"/>
                <w:highlight w:val="none"/>
                <w:lang w:val="en-US" w:eastAsia="zh-CN"/>
              </w:rPr>
            </w:pPr>
            <w:r>
              <w:rPr>
                <w:rFonts w:hint="eastAsia"/>
                <w:sz w:val="18"/>
                <w:szCs w:val="18"/>
                <w:highlight w:val="none"/>
                <w:lang w:val="en-US" w:eastAsia="zh-CN"/>
              </w:rPr>
              <w:t>注：1、应附企业法人营业执照、基本账户开户许可证（如企业所在地已取消企业银行账户许可而无法提供开户许可证的， 则需附上开户银行出具的“基本存款账户信息” 或“人民银行账户管理系统查询的基本账户信息截图”，下同） 的复印件。</w:t>
            </w:r>
          </w:p>
          <w:p>
            <w:pPr>
              <w:pStyle w:val="3"/>
              <w:keepNext w:val="0"/>
              <w:keepLines w:val="0"/>
              <w:pageBreakBefore w:val="0"/>
              <w:widowControl w:val="0"/>
              <w:kinsoku/>
              <w:wordWrap/>
              <w:overflowPunct/>
              <w:topLinePunct w:val="0"/>
              <w:autoSpaceDE/>
              <w:autoSpaceDN/>
              <w:bidi w:val="0"/>
              <w:spacing w:line="360" w:lineRule="auto"/>
              <w:textAlignment w:val="auto"/>
              <w:outlineLvl w:val="9"/>
              <w:rPr>
                <w:rFonts w:hint="eastAsia"/>
                <w:sz w:val="18"/>
                <w:szCs w:val="18"/>
                <w:lang w:val="en-US" w:eastAsia="zh-CN"/>
              </w:rPr>
            </w:pPr>
            <w:r>
              <w:rPr>
                <w:rFonts w:hint="eastAsia"/>
                <w:sz w:val="18"/>
                <w:szCs w:val="18"/>
                <w:highlight w:val="none"/>
                <w:lang w:val="en-US" w:eastAsia="zh-CN"/>
              </w:rPr>
              <w:t>2、上述第2点以投标人的声明函为准，格式见招标公告附件。</w:t>
            </w:r>
          </w:p>
        </w:tc>
      </w:tr>
    </w:tbl>
    <w:p>
      <w:pPr>
        <w:snapToGrid w:val="0"/>
        <w:spacing w:line="360" w:lineRule="auto"/>
        <w:ind w:firstLine="420" w:firstLineChars="200"/>
        <w:rPr>
          <w:rFonts w:hint="eastAsia" w:ascii="宋体" w:hAnsi="宋体"/>
          <w:highlight w:val="none"/>
        </w:rPr>
      </w:pPr>
    </w:p>
    <w:p>
      <w:pPr>
        <w:pStyle w:val="4"/>
        <w:rPr>
          <w:rFonts w:hint="eastAsia"/>
        </w:rPr>
      </w:pPr>
    </w:p>
    <w:p>
      <w:pPr>
        <w:snapToGrid w:val="0"/>
        <w:spacing w:line="360" w:lineRule="auto"/>
        <w:jc w:val="center"/>
        <w:rPr>
          <w:rFonts w:ascii="宋体" w:hAnsi="宋体"/>
          <w:sz w:val="24"/>
          <w:szCs w:val="24"/>
          <w:highlight w:val="none"/>
        </w:rPr>
      </w:pPr>
      <w:r>
        <w:rPr>
          <w:rFonts w:hint="eastAsia" w:ascii="宋体" w:hAnsi="宋体" w:eastAsia="Calibri" w:cs="宋体"/>
          <w:b/>
          <w:sz w:val="28"/>
          <w:szCs w:val="28"/>
          <w:highlight w:val="none"/>
        </w:rPr>
        <w:t>附录</w:t>
      </w:r>
      <w:r>
        <w:rPr>
          <w:rFonts w:hint="eastAsia" w:ascii="宋体" w:hAnsi="宋体" w:cs="宋体"/>
          <w:b/>
          <w:sz w:val="28"/>
          <w:szCs w:val="28"/>
          <w:highlight w:val="none"/>
          <w:lang w:val="en-US" w:eastAsia="zh-CN"/>
        </w:rPr>
        <w:t>2</w:t>
      </w:r>
      <w:r>
        <w:rPr>
          <w:rFonts w:hint="eastAsia" w:ascii="宋体" w:hAnsi="宋体" w:eastAsia="Calibri" w:cs="宋体"/>
          <w:b/>
          <w:sz w:val="28"/>
          <w:szCs w:val="28"/>
          <w:highlight w:val="none"/>
        </w:rPr>
        <w:t>-</w:t>
      </w:r>
      <w:r>
        <w:rPr>
          <w:rFonts w:hint="eastAsia" w:ascii="宋体" w:hAnsi="宋体" w:eastAsia="Calibri" w:cs="宋体"/>
          <w:b/>
          <w:sz w:val="28"/>
          <w:szCs w:val="28"/>
          <w:highlight w:val="none"/>
          <w:lang w:val="en-US" w:eastAsia="zh-CN"/>
        </w:rPr>
        <w:t>2</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sz w:val="28"/>
          <w:szCs w:val="28"/>
          <w:highlight w:val="none"/>
        </w:rPr>
        <w:t>财务最低要求</w:t>
      </w:r>
      <w:r>
        <w:rPr>
          <w:rFonts w:hint="eastAsia" w:ascii="宋体" w:hAnsi="宋体" w:eastAsia="Calibri" w:cs="宋体"/>
          <w:b/>
          <w:bCs w:val="0"/>
          <w:sz w:val="28"/>
          <w:szCs w:val="28"/>
          <w:highlight w:val="none"/>
          <w:lang w:eastAsia="zh-CN"/>
        </w:rPr>
        <w:t>）</w:t>
      </w:r>
    </w:p>
    <w:tbl>
      <w:tblPr>
        <w:tblStyle w:val="11"/>
        <w:tblW w:w="9195"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195" w:type="dxa"/>
            <w:vAlign w:val="center"/>
          </w:tcPr>
          <w:p>
            <w:pPr>
              <w:widowControl/>
              <w:snapToGrid w:val="0"/>
              <w:spacing w:line="240" w:lineRule="auto"/>
              <w:jc w:val="center"/>
              <w:rPr>
                <w:rFonts w:ascii="宋体" w:hAnsi="宋体" w:cs="宋体"/>
                <w:b/>
                <w:kern w:val="0"/>
                <w:szCs w:val="21"/>
                <w:highlight w:val="yellow"/>
              </w:rPr>
            </w:pPr>
            <w:r>
              <w:rPr>
                <w:rFonts w:ascii="宋体" w:hAnsi="宋体"/>
                <w:color w:val="000000"/>
                <w:sz w:val="24"/>
                <w:szCs w:val="24"/>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jc w:val="center"/>
        </w:trPr>
        <w:tc>
          <w:tcPr>
            <w:tcW w:w="919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sz w:val="18"/>
                <w:szCs w:val="18"/>
                <w:highlight w:val="none"/>
                <w:lang w:val="en-US" w:eastAsia="zh-CN"/>
              </w:rPr>
            </w:pPr>
            <w:r>
              <w:rPr>
                <w:rFonts w:hint="eastAsia"/>
                <w:highlight w:val="none"/>
                <w:lang w:val="zh-CN" w:eastAsia="zh-CN"/>
              </w:rPr>
              <w:t>注册资本金不少于</w:t>
            </w:r>
            <w:r>
              <w:rPr>
                <w:rFonts w:hint="eastAsia"/>
                <w:highlight w:val="none"/>
                <w:lang w:val="en-US" w:eastAsia="zh-CN"/>
              </w:rPr>
              <w:t>1</w:t>
            </w:r>
            <w:r>
              <w:rPr>
                <w:rFonts w:hint="eastAsia"/>
                <w:highlight w:val="none"/>
                <w:lang w:val="zh-CN" w:eastAsia="zh-CN"/>
              </w:rPr>
              <w:t>000万元人民币。</w:t>
            </w:r>
          </w:p>
          <w:p>
            <w:pPr>
              <w:pStyle w:val="3"/>
              <w:keepNext w:val="0"/>
              <w:keepLines w:val="0"/>
              <w:pageBreakBefore w:val="0"/>
              <w:widowControl w:val="0"/>
              <w:kinsoku/>
              <w:wordWrap/>
              <w:overflowPunct/>
              <w:topLinePunct w:val="0"/>
              <w:autoSpaceDE/>
              <w:autoSpaceDN/>
              <w:bidi w:val="0"/>
              <w:spacing w:line="360" w:lineRule="auto"/>
              <w:textAlignment w:val="auto"/>
              <w:outlineLvl w:val="9"/>
              <w:rPr>
                <w:rFonts w:hint="eastAsia"/>
                <w:sz w:val="18"/>
                <w:szCs w:val="18"/>
                <w:highlight w:val="none"/>
                <w:lang w:val="en-US" w:eastAsia="zh-CN"/>
              </w:rPr>
            </w:pPr>
            <w:r>
              <w:rPr>
                <w:rFonts w:hint="eastAsia"/>
                <w:sz w:val="18"/>
                <w:szCs w:val="18"/>
                <w:highlight w:val="none"/>
                <w:lang w:val="en-US" w:eastAsia="zh-CN"/>
              </w:rPr>
              <w:t>注：注册资本金以“全国企业信用信息公示系统”公示的最新注册资本金为准。</w:t>
            </w:r>
          </w:p>
        </w:tc>
      </w:tr>
    </w:tbl>
    <w:p>
      <w:pPr>
        <w:snapToGrid w:val="0"/>
        <w:spacing w:line="360" w:lineRule="auto"/>
        <w:jc w:val="both"/>
        <w:rPr>
          <w:rFonts w:hint="eastAsia" w:ascii="宋体" w:hAnsi="宋体" w:eastAsia="Calibri" w:cs="宋体"/>
          <w:b/>
          <w:sz w:val="28"/>
          <w:szCs w:val="28"/>
          <w:highlight w:val="yellow"/>
        </w:rPr>
      </w:pPr>
    </w:p>
    <w:p>
      <w:pPr>
        <w:snapToGrid w:val="0"/>
        <w:spacing w:line="360" w:lineRule="auto"/>
        <w:jc w:val="center"/>
        <w:rPr>
          <w:rFonts w:hint="eastAsia" w:ascii="宋体" w:hAnsi="宋体"/>
          <w:sz w:val="24"/>
          <w:szCs w:val="24"/>
          <w:highlight w:val="none"/>
        </w:rPr>
      </w:pPr>
      <w:r>
        <w:rPr>
          <w:rFonts w:hint="eastAsia" w:ascii="宋体" w:hAnsi="宋体" w:eastAsia="Calibri" w:cs="宋体"/>
          <w:b/>
          <w:sz w:val="28"/>
          <w:szCs w:val="28"/>
          <w:highlight w:val="none"/>
        </w:rPr>
        <w:t>附录</w:t>
      </w:r>
      <w:r>
        <w:rPr>
          <w:rFonts w:hint="eastAsia" w:ascii="宋体" w:hAnsi="宋体" w:cs="宋体"/>
          <w:b/>
          <w:sz w:val="28"/>
          <w:szCs w:val="28"/>
          <w:highlight w:val="none"/>
          <w:lang w:val="en-US" w:eastAsia="zh-CN"/>
        </w:rPr>
        <w:t>2</w:t>
      </w:r>
      <w:r>
        <w:rPr>
          <w:rFonts w:hint="eastAsia" w:ascii="宋体" w:hAnsi="宋体" w:eastAsia="Calibri" w:cs="宋体"/>
          <w:b/>
          <w:sz w:val="28"/>
          <w:szCs w:val="28"/>
          <w:highlight w:val="none"/>
        </w:rPr>
        <w:t>-</w:t>
      </w:r>
      <w:r>
        <w:rPr>
          <w:rFonts w:hint="eastAsia" w:ascii="宋体" w:hAnsi="宋体" w:cs="宋体"/>
          <w:b/>
          <w:sz w:val="28"/>
          <w:szCs w:val="28"/>
          <w:highlight w:val="none"/>
          <w:lang w:val="en-US" w:eastAsia="zh-CN"/>
        </w:rPr>
        <w:t>3</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bCs w:val="0"/>
          <w:sz w:val="28"/>
          <w:szCs w:val="28"/>
          <w:highlight w:val="none"/>
          <w:lang w:val="en-US" w:eastAsia="zh-CN"/>
        </w:rPr>
        <w:t>业绩</w:t>
      </w:r>
      <w:r>
        <w:rPr>
          <w:rFonts w:hint="eastAsia" w:ascii="宋体" w:hAnsi="宋体" w:eastAsia="Calibri" w:cs="宋体"/>
          <w:b/>
          <w:sz w:val="28"/>
          <w:szCs w:val="28"/>
          <w:highlight w:val="none"/>
        </w:rPr>
        <w:t>最低要求</w:t>
      </w:r>
      <w:r>
        <w:rPr>
          <w:rFonts w:hint="eastAsia" w:ascii="宋体" w:hAnsi="宋体" w:eastAsia="Calibri" w:cs="宋体"/>
          <w:b/>
          <w:bCs w:val="0"/>
          <w:sz w:val="28"/>
          <w:szCs w:val="28"/>
          <w:highlight w:val="none"/>
          <w:lang w:eastAsia="zh-CN"/>
        </w:rPr>
        <w:t>）</w:t>
      </w:r>
    </w:p>
    <w:tbl>
      <w:tblPr>
        <w:tblStyle w:val="11"/>
        <w:tblW w:w="9219" w:type="dxa"/>
        <w:jc w:val="center"/>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219" w:type="dxa"/>
            <w:vAlign w:val="center"/>
          </w:tcPr>
          <w:p>
            <w:pPr>
              <w:widowControl/>
              <w:snapToGrid w:val="0"/>
              <w:spacing w:line="240" w:lineRule="auto"/>
              <w:jc w:val="center"/>
              <w:rPr>
                <w:rFonts w:ascii="宋体" w:hAnsi="宋体" w:cs="宋体"/>
                <w:b/>
                <w:kern w:val="0"/>
                <w:szCs w:val="21"/>
                <w:highlight w:val="none"/>
              </w:rPr>
            </w:pPr>
            <w:r>
              <w:rPr>
                <w:rFonts w:hint="eastAsia" w:ascii="宋体" w:hAnsi="宋体"/>
                <w:color w:val="000000"/>
                <w:sz w:val="24"/>
                <w:szCs w:val="24"/>
                <w:highlight w:val="none"/>
                <w:lang w:val="en-US" w:eastAsia="zh-C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lang w:val="en-US" w:eastAsia="zh-CN"/>
              </w:rPr>
            </w:pPr>
            <w:r>
              <w:rPr>
                <w:rFonts w:hint="eastAsia"/>
                <w:lang w:val="en-US" w:eastAsia="zh-CN"/>
              </w:rPr>
              <w:t>投标人近三年内完成过1个合同金额在人民币50万元及以上的国内高速公路CPC卡采购项目。</w:t>
            </w:r>
          </w:p>
          <w:p>
            <w:pPr>
              <w:numPr>
                <w:ilvl w:val="0"/>
                <w:numId w:val="0"/>
              </w:numPr>
              <w:spacing w:line="360" w:lineRule="auto"/>
              <w:ind w:firstLine="840" w:firstLineChars="400"/>
              <w:rPr>
                <w:rFonts w:hint="eastAsia"/>
                <w:lang w:val="en-US" w:eastAsia="zh-CN"/>
              </w:rPr>
            </w:pPr>
            <w:r>
              <w:rPr>
                <w:rFonts w:hint="eastAsia"/>
                <w:lang w:val="en-US" w:eastAsia="zh-CN"/>
              </w:rPr>
              <w:t>注： 1、近三年定义为2020年1月1日至递交投标文件截止时间为止；</w:t>
            </w:r>
          </w:p>
          <w:p>
            <w:pPr>
              <w:numPr>
                <w:ilvl w:val="0"/>
                <w:numId w:val="0"/>
              </w:numPr>
              <w:spacing w:line="360" w:lineRule="auto"/>
              <w:ind w:firstLine="840" w:firstLineChars="400"/>
              <w:rPr>
                <w:rFonts w:hint="eastAsia"/>
                <w:lang w:val="en-US" w:eastAsia="zh-CN"/>
              </w:rPr>
            </w:pPr>
            <w:r>
              <w:rPr>
                <w:rFonts w:hint="eastAsia"/>
                <w:lang w:val="en-US" w:eastAsia="zh-CN"/>
              </w:rPr>
              <w:t>2、业绩时间以合同签订时间为准；</w:t>
            </w:r>
          </w:p>
          <w:p>
            <w:pPr>
              <w:numPr>
                <w:ilvl w:val="0"/>
                <w:numId w:val="0"/>
              </w:numPr>
              <w:spacing w:line="360" w:lineRule="auto"/>
              <w:ind w:firstLine="840" w:firstLineChars="400"/>
              <w:rPr>
                <w:rFonts w:hint="eastAsia"/>
                <w:lang w:val="en-US" w:eastAsia="zh-CN"/>
              </w:rPr>
            </w:pPr>
            <w:r>
              <w:rPr>
                <w:rFonts w:hint="eastAsia"/>
                <w:lang w:val="en-US" w:eastAsia="zh-CN"/>
              </w:rPr>
              <w:t>3、业绩证明材料须提供①中标通知书（如有）；②合同协议书复印件；</w:t>
            </w:r>
          </w:p>
          <w:p>
            <w:pPr>
              <w:pStyle w:val="2"/>
              <w:ind w:firstLine="840" w:firstLineChars="400"/>
              <w:rPr>
                <w:rFonts w:hint="default"/>
                <w:lang w:val="en-US" w:eastAsia="zh-CN"/>
              </w:rPr>
            </w:pPr>
          </w:p>
        </w:tc>
      </w:tr>
    </w:tbl>
    <w:p>
      <w:pPr>
        <w:snapToGrid w:val="0"/>
        <w:spacing w:line="360" w:lineRule="auto"/>
        <w:jc w:val="both"/>
        <w:rPr>
          <w:rFonts w:hint="eastAsia" w:ascii="宋体" w:hAnsi="宋体" w:eastAsia="Calibri" w:cs="宋体"/>
          <w:b/>
          <w:sz w:val="28"/>
          <w:szCs w:val="28"/>
          <w:highlight w:val="none"/>
        </w:rPr>
      </w:pPr>
    </w:p>
    <w:p>
      <w:pPr>
        <w:snapToGrid w:val="0"/>
        <w:spacing w:line="360" w:lineRule="auto"/>
        <w:jc w:val="center"/>
        <w:rPr>
          <w:rFonts w:hint="eastAsia" w:ascii="宋体" w:hAnsi="宋体"/>
          <w:sz w:val="24"/>
          <w:szCs w:val="24"/>
          <w:highlight w:val="none"/>
        </w:rPr>
      </w:pPr>
      <w:r>
        <w:rPr>
          <w:rFonts w:hint="eastAsia" w:ascii="宋体" w:hAnsi="宋体" w:eastAsia="Calibri" w:cs="宋体"/>
          <w:b/>
          <w:sz w:val="28"/>
          <w:szCs w:val="28"/>
          <w:highlight w:val="none"/>
        </w:rPr>
        <w:t>附录</w:t>
      </w:r>
      <w:r>
        <w:rPr>
          <w:rFonts w:hint="eastAsia" w:ascii="宋体" w:hAnsi="宋体" w:cs="宋体"/>
          <w:b/>
          <w:sz w:val="28"/>
          <w:szCs w:val="28"/>
          <w:highlight w:val="none"/>
          <w:lang w:val="en-US" w:eastAsia="zh-CN"/>
        </w:rPr>
        <w:t>2</w:t>
      </w:r>
      <w:r>
        <w:rPr>
          <w:rFonts w:hint="eastAsia" w:ascii="宋体" w:hAnsi="宋体" w:eastAsia="Calibri" w:cs="宋体"/>
          <w:b/>
          <w:sz w:val="28"/>
          <w:szCs w:val="28"/>
          <w:highlight w:val="none"/>
        </w:rPr>
        <w:t>-</w:t>
      </w:r>
      <w:r>
        <w:rPr>
          <w:rFonts w:hint="eastAsia" w:ascii="宋体" w:hAnsi="宋体" w:cs="宋体"/>
          <w:b/>
          <w:sz w:val="28"/>
          <w:szCs w:val="28"/>
          <w:highlight w:val="none"/>
          <w:lang w:val="en-US" w:eastAsia="zh-CN"/>
        </w:rPr>
        <w:t>4</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bCs w:val="0"/>
          <w:sz w:val="28"/>
          <w:szCs w:val="28"/>
          <w:highlight w:val="none"/>
          <w:lang w:val="en-US" w:eastAsia="zh-CN"/>
        </w:rPr>
        <w:t>信誉</w:t>
      </w:r>
      <w:r>
        <w:rPr>
          <w:rFonts w:hint="eastAsia" w:ascii="宋体" w:hAnsi="宋体" w:eastAsia="Calibri" w:cs="宋体"/>
          <w:b/>
          <w:sz w:val="28"/>
          <w:szCs w:val="28"/>
          <w:highlight w:val="none"/>
        </w:rPr>
        <w:t>最低要求</w:t>
      </w:r>
      <w:r>
        <w:rPr>
          <w:rFonts w:hint="eastAsia" w:ascii="宋体" w:hAnsi="宋体" w:eastAsia="Calibri" w:cs="宋体"/>
          <w:b/>
          <w:bCs w:val="0"/>
          <w:sz w:val="28"/>
          <w:szCs w:val="28"/>
          <w:highlight w:val="none"/>
          <w:lang w:eastAsia="zh-CN"/>
        </w:rPr>
        <w:t>）</w:t>
      </w:r>
    </w:p>
    <w:tbl>
      <w:tblPr>
        <w:tblStyle w:val="11"/>
        <w:tblW w:w="9219" w:type="dxa"/>
        <w:jc w:val="center"/>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219" w:type="dxa"/>
            <w:vAlign w:val="center"/>
          </w:tcPr>
          <w:p>
            <w:pPr>
              <w:widowControl/>
              <w:snapToGrid w:val="0"/>
              <w:spacing w:line="240" w:lineRule="auto"/>
              <w:jc w:val="center"/>
              <w:rPr>
                <w:rFonts w:ascii="宋体" w:hAnsi="宋体" w:cs="宋体"/>
                <w:b/>
                <w:kern w:val="0"/>
                <w:szCs w:val="21"/>
                <w:highlight w:val="none"/>
              </w:rPr>
            </w:pPr>
            <w:r>
              <w:rPr>
                <w:rFonts w:hint="eastAsia" w:ascii="宋体" w:hAnsi="宋体"/>
                <w:color w:val="000000"/>
                <w:sz w:val="24"/>
                <w:szCs w:val="24"/>
                <w:highlight w:val="none"/>
                <w:lang w:val="en-US" w:eastAsia="zh-CN"/>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1" w:hRule="atLeast"/>
          <w:jc w:val="center"/>
        </w:trPr>
        <w:tc>
          <w:tcPr>
            <w:tcW w:w="9219" w:type="dxa"/>
            <w:vAlign w:val="center"/>
          </w:tcPr>
          <w:p>
            <w:pPr>
              <w:widowControl/>
              <w:numPr>
                <w:ilvl w:val="0"/>
                <w:numId w:val="0"/>
              </w:numPr>
              <w:snapToGrid w:val="0"/>
              <w:spacing w:before="0" w:beforeLines="0" w:line="240" w:lineRule="auto"/>
              <w:ind w:firstLine="0" w:firstLineChars="0"/>
              <w:jc w:val="left"/>
              <w:rPr>
                <w:rFonts w:hint="eastAsia" w:ascii="宋体" w:hAnsi="宋体" w:eastAsia="Calibri" w:cs="Times New Roman"/>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sz w:val="21"/>
                <w:szCs w:val="21"/>
                <w:highlight w:val="none"/>
                <w:lang w:val="en-US" w:eastAsia="zh-CN"/>
              </w:rPr>
            </w:pPr>
            <w:r>
              <w:rPr>
                <w:rFonts w:hint="eastAsia"/>
                <w:sz w:val="21"/>
                <w:szCs w:val="21"/>
                <w:highlight w:val="none"/>
                <w:lang w:val="en-US" w:eastAsia="zh-CN"/>
              </w:rPr>
              <w:t>除了“投标人须知”第1.4.4项规定的内容外，投标人还需满足以下信誉要求：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sz w:val="21"/>
                <w:szCs w:val="21"/>
                <w:highlight w:val="none"/>
                <w:lang w:val="en-US" w:eastAsia="zh-CN"/>
              </w:rPr>
            </w:pPr>
            <w:r>
              <w:rPr>
                <w:rFonts w:hint="eastAsia"/>
                <w:sz w:val="21"/>
                <w:szCs w:val="21"/>
                <w:highlight w:val="none"/>
                <w:lang w:val="en-US" w:eastAsia="zh-CN"/>
              </w:rPr>
              <w:t>1</w:t>
            </w:r>
            <w:r>
              <w:rPr>
                <w:rFonts w:hint="eastAsia"/>
                <w:sz w:val="21"/>
                <w:szCs w:val="21"/>
                <w:highlight w:val="none"/>
                <w:lang w:val="zh-CN" w:eastAsia="zh-CN"/>
              </w:rPr>
              <w:t>、</w:t>
            </w:r>
            <w:r>
              <w:rPr>
                <w:rFonts w:hint="eastAsia"/>
                <w:sz w:val="21"/>
                <w:szCs w:val="21"/>
                <w:highlight w:val="none"/>
                <w:lang w:val="en-US" w:eastAsia="zh-CN"/>
              </w:rPr>
              <w:t>财务没有处于被接管、冻结、破产状态；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sz w:val="21"/>
                <w:szCs w:val="21"/>
                <w:highlight w:val="none"/>
                <w:lang w:val="en-US" w:eastAsia="zh-CN"/>
              </w:rPr>
            </w:pPr>
            <w:r>
              <w:rPr>
                <w:rFonts w:hint="default"/>
                <w:sz w:val="21"/>
                <w:szCs w:val="21"/>
                <w:highlight w:val="none"/>
                <w:lang w:val="en-US" w:eastAsia="zh-CN"/>
              </w:rPr>
              <w:t>2、投标人没有涉及正在诉讼的案件，或虽涉及正在诉讼的案件但经评标委员会认定不会对承担本项目造成重大影响</w:t>
            </w:r>
            <w:r>
              <w:rPr>
                <w:rFonts w:hint="eastAsia"/>
                <w:sz w:val="21"/>
                <w:szCs w:val="21"/>
                <w:highlight w:val="none"/>
                <w:lang w:val="en-US" w:eastAsia="zh-CN"/>
              </w:rPr>
              <w:t>。</w:t>
            </w:r>
          </w:p>
          <w:p>
            <w:pPr>
              <w:pStyle w:val="4"/>
              <w:rPr>
                <w:rFonts w:hint="default"/>
                <w:highlight w:val="none"/>
                <w:lang w:val="en-US" w:eastAsia="zh-CN"/>
              </w:rPr>
            </w:pPr>
          </w:p>
          <w:p>
            <w:pPr>
              <w:pStyle w:val="3"/>
              <w:keepNext w:val="0"/>
              <w:keepLines w:val="0"/>
              <w:pageBreakBefore w:val="0"/>
              <w:widowControl w:val="0"/>
              <w:kinsoku/>
              <w:wordWrap/>
              <w:overflowPunct/>
              <w:topLinePunct w:val="0"/>
              <w:autoSpaceDE/>
              <w:autoSpaceDN/>
              <w:bidi w:val="0"/>
              <w:spacing w:line="360" w:lineRule="auto"/>
              <w:textAlignment w:val="auto"/>
              <w:outlineLvl w:val="9"/>
              <w:rPr>
                <w:rFonts w:hint="default"/>
                <w:highlight w:val="none"/>
                <w:lang w:val="en-US" w:eastAsia="zh-CN"/>
              </w:rPr>
            </w:pPr>
            <w:r>
              <w:rPr>
                <w:rFonts w:hint="eastAsia"/>
                <w:sz w:val="18"/>
                <w:szCs w:val="18"/>
                <w:highlight w:val="none"/>
                <w:lang w:val="en-US" w:eastAsia="zh-CN"/>
              </w:rPr>
              <w:t>注：“投标人须知”第1.4.4项第1至3点、第6点、本款的第1至2点，以投标人的承诺为准，格式自拟；“投标人须知”第1.4.4项第4至5点，以对应网站的截图为准。</w:t>
            </w:r>
          </w:p>
        </w:tc>
      </w:tr>
    </w:tbl>
    <w:p>
      <w:pPr>
        <w:pStyle w:val="5"/>
        <w:ind w:left="0" w:leftChars="0" w:firstLine="0" w:firstLineChars="0"/>
        <w:rPr>
          <w:rFonts w:hint="eastAsia" w:ascii="宋体" w:hAnsi="宋体"/>
          <w:color w:val="auto"/>
          <w:szCs w:val="21"/>
          <w:highlight w:val="none"/>
        </w:rPr>
      </w:pPr>
    </w:p>
    <w:p>
      <w:pPr>
        <w:pStyle w:val="5"/>
        <w:ind w:left="0" w:leftChars="0" w:firstLine="0" w:firstLineChars="0"/>
        <w:rPr>
          <w:rFonts w:hint="eastAsia" w:ascii="宋体" w:hAnsi="宋体"/>
          <w:color w:val="auto"/>
          <w:szCs w:val="21"/>
          <w:highlight w:val="none"/>
        </w:rPr>
      </w:pPr>
    </w:p>
    <w:p>
      <w:pPr>
        <w:snapToGrid w:val="0"/>
        <w:spacing w:line="360" w:lineRule="auto"/>
        <w:jc w:val="center"/>
        <w:rPr>
          <w:rFonts w:hint="eastAsia" w:ascii="宋体" w:hAnsi="宋体"/>
          <w:sz w:val="24"/>
          <w:szCs w:val="24"/>
          <w:highlight w:val="none"/>
        </w:rPr>
      </w:pPr>
      <w:r>
        <w:rPr>
          <w:rFonts w:hint="eastAsia" w:ascii="宋体" w:hAnsi="宋体" w:eastAsia="Calibri" w:cs="宋体"/>
          <w:b/>
          <w:sz w:val="28"/>
          <w:szCs w:val="28"/>
          <w:highlight w:val="none"/>
        </w:rPr>
        <w:t>附录</w:t>
      </w:r>
      <w:r>
        <w:rPr>
          <w:rFonts w:hint="eastAsia" w:ascii="宋体" w:hAnsi="宋体" w:cs="宋体"/>
          <w:b/>
          <w:sz w:val="28"/>
          <w:szCs w:val="28"/>
          <w:highlight w:val="none"/>
          <w:lang w:val="en-US" w:eastAsia="zh-CN"/>
        </w:rPr>
        <w:t>2</w:t>
      </w:r>
      <w:r>
        <w:rPr>
          <w:rFonts w:hint="eastAsia" w:ascii="宋体" w:hAnsi="宋体" w:eastAsia="Calibri" w:cs="宋体"/>
          <w:b/>
          <w:sz w:val="28"/>
          <w:szCs w:val="28"/>
          <w:highlight w:val="none"/>
        </w:rPr>
        <w:t>-</w:t>
      </w:r>
      <w:r>
        <w:rPr>
          <w:rFonts w:hint="eastAsia" w:ascii="宋体" w:hAnsi="宋体" w:cs="宋体"/>
          <w:b/>
          <w:sz w:val="28"/>
          <w:szCs w:val="28"/>
          <w:highlight w:val="none"/>
          <w:lang w:val="en-US" w:eastAsia="zh-CN"/>
        </w:rPr>
        <w:t>5</w:t>
      </w:r>
      <w:r>
        <w:rPr>
          <w:rFonts w:hint="eastAsia" w:ascii="宋体" w:hAnsi="宋体" w:eastAsia="Calibri" w:cs="宋体"/>
          <w:b/>
          <w:sz w:val="28"/>
          <w:szCs w:val="28"/>
          <w:highlight w:val="none"/>
        </w:rPr>
        <w:t xml:space="preserve"> </w:t>
      </w:r>
      <w:r>
        <w:rPr>
          <w:rFonts w:hint="eastAsia" w:ascii="宋体" w:hAnsi="宋体" w:eastAsia="Calibri" w:cs="宋体"/>
          <w:b/>
          <w:bCs w:val="0"/>
          <w:sz w:val="28"/>
          <w:szCs w:val="28"/>
          <w:highlight w:val="none"/>
        </w:rPr>
        <w:t>资格审查条件</w:t>
      </w:r>
      <w:r>
        <w:rPr>
          <w:rFonts w:hint="eastAsia" w:ascii="宋体" w:hAnsi="宋体" w:eastAsia="Calibri" w:cs="宋体"/>
          <w:b/>
          <w:bCs w:val="0"/>
          <w:sz w:val="28"/>
          <w:szCs w:val="28"/>
          <w:highlight w:val="none"/>
          <w:lang w:eastAsia="zh-CN"/>
        </w:rPr>
        <w:t>（</w:t>
      </w:r>
      <w:r>
        <w:rPr>
          <w:rFonts w:hint="eastAsia" w:ascii="宋体" w:hAnsi="宋体" w:eastAsia="Calibri" w:cs="宋体"/>
          <w:b/>
          <w:bCs w:val="0"/>
          <w:sz w:val="28"/>
          <w:szCs w:val="28"/>
          <w:highlight w:val="none"/>
          <w:lang w:val="en-US" w:eastAsia="zh-CN"/>
        </w:rPr>
        <w:t>投标实物</w:t>
      </w:r>
      <w:r>
        <w:rPr>
          <w:rFonts w:hint="eastAsia" w:ascii="宋体" w:hAnsi="宋体" w:eastAsia="Calibri" w:cs="宋体"/>
          <w:b/>
          <w:sz w:val="28"/>
          <w:szCs w:val="28"/>
          <w:highlight w:val="none"/>
        </w:rPr>
        <w:t>最低要求</w:t>
      </w:r>
      <w:r>
        <w:rPr>
          <w:rFonts w:hint="eastAsia" w:ascii="宋体" w:hAnsi="宋体" w:eastAsia="Calibri" w:cs="宋体"/>
          <w:b/>
          <w:bCs w:val="0"/>
          <w:sz w:val="28"/>
          <w:szCs w:val="28"/>
          <w:highlight w:val="none"/>
          <w:lang w:eastAsia="zh-CN"/>
        </w:rPr>
        <w:t>）</w:t>
      </w:r>
    </w:p>
    <w:tbl>
      <w:tblPr>
        <w:tblStyle w:val="11"/>
        <w:tblW w:w="9219" w:type="dxa"/>
        <w:jc w:val="center"/>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219" w:type="dxa"/>
            <w:vAlign w:val="center"/>
          </w:tcPr>
          <w:p>
            <w:pPr>
              <w:widowControl/>
              <w:snapToGrid w:val="0"/>
              <w:spacing w:line="240" w:lineRule="auto"/>
              <w:jc w:val="center"/>
              <w:rPr>
                <w:rFonts w:ascii="宋体" w:hAnsi="宋体" w:cs="宋体"/>
                <w:b/>
                <w:kern w:val="0"/>
                <w:szCs w:val="21"/>
                <w:highlight w:val="none"/>
              </w:rPr>
            </w:pPr>
            <w:r>
              <w:rPr>
                <w:rFonts w:hint="eastAsia" w:ascii="宋体" w:hAnsi="宋体"/>
                <w:b w:val="0"/>
                <w:bCs w:val="0"/>
                <w:color w:val="000000"/>
                <w:sz w:val="24"/>
                <w:szCs w:val="24"/>
                <w:highlight w:val="none"/>
                <w:lang w:val="en-US" w:eastAsia="zh-CN"/>
              </w:rPr>
              <w:t>实物要求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1" w:hRule="atLeast"/>
          <w:jc w:val="center"/>
        </w:trPr>
        <w:tc>
          <w:tcPr>
            <w:tcW w:w="9219" w:type="dxa"/>
            <w:vAlign w:val="center"/>
          </w:tcPr>
          <w:p>
            <w:pPr>
              <w:widowControl/>
              <w:numPr>
                <w:ilvl w:val="0"/>
                <w:numId w:val="0"/>
              </w:numPr>
              <w:snapToGrid w:val="0"/>
              <w:spacing w:before="0" w:beforeLines="0" w:line="240" w:lineRule="auto"/>
              <w:ind w:firstLine="0" w:firstLineChars="0"/>
              <w:jc w:val="left"/>
              <w:rPr>
                <w:rFonts w:hint="eastAsia" w:ascii="宋体" w:hAnsi="宋体" w:eastAsia="Calibri" w:cs="Times New Roman"/>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投标人的CPC卡</w:t>
            </w:r>
            <w:r>
              <w:rPr>
                <w:rFonts w:hint="eastAsia" w:ascii="宋体" w:hAnsi="宋体" w:cs="宋体"/>
                <w:sz w:val="21"/>
                <w:szCs w:val="21"/>
                <w:highlight w:val="none"/>
                <w:lang w:val="en-US" w:eastAsia="zh-CN"/>
              </w:rPr>
              <w:t>实物</w:t>
            </w:r>
            <w:r>
              <w:rPr>
                <w:rFonts w:hint="eastAsia" w:ascii="宋体" w:hAnsi="宋体" w:eastAsia="宋体" w:cs="宋体"/>
                <w:sz w:val="21"/>
                <w:szCs w:val="21"/>
                <w:highlight w:val="none"/>
                <w:lang w:val="en-US" w:eastAsia="zh-CN"/>
              </w:rPr>
              <w:t>须符合招标文件的要求，其中：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投标实物的技术参数应符合“第三章  采购需求及相关要求  四、指标要求”的规定。</w:t>
            </w:r>
          </w:p>
          <w:p>
            <w:pPr>
              <w:numPr>
                <w:ilvl w:val="0"/>
                <w:numId w:val="0"/>
              </w:numPr>
              <w:spacing w:line="360" w:lineRule="auto"/>
              <w:ind w:firstLine="420" w:firstLineChars="200"/>
              <w:outlineLvl w:val="9"/>
              <w:rPr>
                <w:rFonts w:hint="default" w:ascii="Times New Roman" w:hAnsi="Times New Roman" w:eastAsia="宋体" w:cs="Times New Roman"/>
                <w:kern w:val="2"/>
                <w:sz w:val="21"/>
                <w:szCs w:val="21"/>
                <w:highlight w:val="none"/>
                <w:lang w:val="en-US" w:eastAsia="zh-CN" w:bidi="ar-SA"/>
              </w:rPr>
            </w:pPr>
            <w:r>
              <w:rPr>
                <w:rFonts w:hint="eastAsia" w:cs="Times New Roman"/>
                <w:szCs w:val="21"/>
                <w:highlight w:val="none"/>
                <w:lang w:val="en-US" w:eastAsia="zh-CN"/>
              </w:rPr>
              <w:t>2、</w:t>
            </w:r>
            <w:r>
              <w:rPr>
                <w:rFonts w:hint="default" w:ascii="Times New Roman" w:hAnsi="Times New Roman" w:eastAsia="宋体" w:cs="Times New Roman"/>
                <w:szCs w:val="21"/>
                <w:highlight w:val="none"/>
                <w:lang w:val="en-US" w:eastAsia="zh-CN"/>
              </w:rPr>
              <w:t>投标人须</w:t>
            </w:r>
            <w:r>
              <w:rPr>
                <w:rFonts w:hint="eastAsia" w:cs="Times New Roman"/>
                <w:szCs w:val="21"/>
                <w:highlight w:val="none"/>
                <w:lang w:val="en-US" w:eastAsia="zh-CN"/>
              </w:rPr>
              <w:t>提供</w:t>
            </w:r>
            <w:r>
              <w:rPr>
                <w:rFonts w:hint="default" w:ascii="Times New Roman" w:hAnsi="Times New Roman" w:eastAsia="宋体" w:cs="Times New Roman"/>
                <w:szCs w:val="21"/>
                <w:highlight w:val="none"/>
                <w:lang w:val="en-US" w:eastAsia="zh-CN"/>
              </w:rPr>
              <w:t>由北京中交国通智能交通系统技术有限公司（ITSC）出具</w:t>
            </w:r>
            <w:r>
              <w:rPr>
                <w:rFonts w:hint="eastAsia" w:cs="Times New Roman"/>
                <w:szCs w:val="21"/>
                <w:highlight w:val="none"/>
                <w:lang w:val="en-US" w:eastAsia="zh-CN"/>
              </w:rPr>
              <w:t>的</w:t>
            </w:r>
            <w:r>
              <w:rPr>
                <w:rFonts w:hint="default" w:ascii="Times New Roman" w:hAnsi="Times New Roman" w:eastAsia="宋体" w:cs="Times New Roman"/>
                <w:szCs w:val="21"/>
                <w:highlight w:val="none"/>
                <w:lang w:val="en-US" w:eastAsia="zh-CN"/>
              </w:rPr>
              <w:t>检测报告</w:t>
            </w:r>
            <w:r>
              <w:rPr>
                <w:rFonts w:hint="default" w:ascii="Times New Roman" w:hAnsi="Times New Roman" w:cs="Times New Roman"/>
                <w:szCs w:val="21"/>
                <w:highlight w:val="none"/>
                <w:lang w:val="en-US" w:eastAsia="zh-CN"/>
              </w:rPr>
              <w:t>，</w:t>
            </w:r>
            <w:r>
              <w:rPr>
                <w:rFonts w:hint="eastAsia" w:cs="Times New Roman"/>
                <w:szCs w:val="21"/>
                <w:highlight w:val="none"/>
                <w:lang w:val="en-US" w:eastAsia="zh-CN"/>
              </w:rPr>
              <w:t>检测报告各项指标均需合格，</w:t>
            </w:r>
            <w:r>
              <w:rPr>
                <w:rFonts w:hint="default" w:ascii="Times New Roman" w:hAnsi="Times New Roman" w:cs="Times New Roman"/>
                <w:szCs w:val="21"/>
                <w:highlight w:val="none"/>
                <w:lang w:val="en-US" w:eastAsia="zh-CN"/>
              </w:rPr>
              <w:t>且报告在有效期内</w:t>
            </w:r>
            <w:r>
              <w:rPr>
                <w:rFonts w:hint="default" w:ascii="Times New Roman" w:hAnsi="Times New Roman" w:eastAsia="宋体" w:cs="Times New Roman"/>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textAlignment w:val="auto"/>
              <w:outlineLvl w:val="9"/>
              <w:rPr>
                <w:rFonts w:hint="eastAsia" w:ascii="宋体" w:hAnsi="宋体" w:eastAsia="宋体" w:cs="宋体"/>
                <w:b/>
                <w:bCs/>
                <w:color w:val="auto"/>
                <w:sz w:val="18"/>
                <w:szCs w:val="1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textAlignment w:val="auto"/>
              <w:outlineLvl w:val="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注：</w:t>
            </w:r>
            <w:r>
              <w:rPr>
                <w:rFonts w:hint="eastAsia" w:ascii="宋体" w:hAnsi="宋体" w:cs="宋体"/>
                <w:b w:val="0"/>
                <w:bCs w:val="0"/>
                <w:color w:val="auto"/>
                <w:sz w:val="18"/>
                <w:szCs w:val="18"/>
                <w:highlight w:val="none"/>
                <w:lang w:val="en-US" w:eastAsia="zh-CN"/>
              </w:rPr>
              <w:t>1、本款的第1点按要求附“投标实物承诺函”承诺即可；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highlight w:val="none"/>
                <w:lang w:val="en-US" w:eastAsia="zh-CN"/>
              </w:rPr>
            </w:pPr>
          </w:p>
        </w:tc>
      </w:tr>
    </w:tbl>
    <w:p>
      <w:pPr>
        <w:pStyle w:val="5"/>
        <w:rPr>
          <w:rFonts w:hint="eastAsia" w:ascii="宋体" w:hAnsi="宋体"/>
          <w:color w:val="auto"/>
          <w:szCs w:val="21"/>
          <w:highlight w:val="none"/>
        </w:rPr>
      </w:pPr>
    </w:p>
    <w:p>
      <w:pPr>
        <w:pStyle w:val="5"/>
        <w:rPr>
          <w:rFonts w:hint="eastAsia" w:ascii="宋体" w:hAnsi="宋体"/>
          <w:color w:val="auto"/>
          <w:szCs w:val="21"/>
          <w:highlight w:val="none"/>
        </w:rPr>
      </w:pPr>
    </w:p>
    <w:p>
      <w:pPr>
        <w:pStyle w:val="5"/>
        <w:rPr>
          <w:rFonts w:hint="eastAsia" w:ascii="宋体" w:hAnsi="宋体"/>
          <w:color w:val="auto"/>
          <w:szCs w:val="21"/>
          <w:highlight w:val="none"/>
        </w:rPr>
      </w:pPr>
    </w:p>
    <w:p>
      <w:pPr>
        <w:pStyle w:val="6"/>
        <w:spacing w:before="240" w:beforeLines="100" w:after="240" w:afterLines="100"/>
        <w:jc w:val="center"/>
        <w:rPr>
          <w:rFonts w:hint="eastAsia" w:ascii="黑体" w:hAnsi="黑体" w:eastAsia="黑体"/>
          <w:b/>
          <w:color w:val="000000"/>
          <w:sz w:val="28"/>
          <w:szCs w:val="28"/>
          <w:highlight w:val="none"/>
        </w:rPr>
      </w:pPr>
    </w:p>
    <w:p>
      <w:pPr>
        <w:pStyle w:val="6"/>
        <w:spacing w:before="240" w:beforeLines="100" w:after="240" w:afterLines="100"/>
        <w:jc w:val="center"/>
        <w:rPr>
          <w:rFonts w:hint="eastAsia" w:ascii="黑体" w:hAnsi="黑体" w:eastAsia="黑体"/>
          <w:b/>
          <w:color w:val="000000"/>
          <w:sz w:val="28"/>
          <w:szCs w:val="28"/>
          <w:highlight w:val="none"/>
        </w:rPr>
      </w:pPr>
    </w:p>
    <w:p>
      <w:pPr>
        <w:pStyle w:val="5"/>
        <w:rPr>
          <w:rFonts w:hint="eastAsia" w:ascii="宋体" w:hAnsi="宋体"/>
          <w:color w:val="auto"/>
          <w:szCs w:val="21"/>
          <w:highlight w:val="none"/>
        </w:rPr>
      </w:pPr>
    </w:p>
    <w:p>
      <w:pPr>
        <w:autoSpaceDE w:val="0"/>
        <w:autoSpaceDN w:val="0"/>
        <w:adjustRightInd w:val="0"/>
        <w:spacing w:before="50"/>
        <w:rPr>
          <w:rFonts w:hint="eastAsia" w:ascii="宋体" w:hAnsi="宋体" w:cs="宋体"/>
          <w:b/>
          <w:sz w:val="30"/>
          <w:szCs w:val="30"/>
          <w:highlight w:val="none"/>
        </w:rPr>
      </w:pPr>
      <w:bookmarkStart w:id="0" w:name="_Toc9993"/>
      <w:bookmarkStart w:id="1" w:name="_Toc2017"/>
      <w:r>
        <w:rPr>
          <w:rFonts w:hint="eastAsia" w:ascii="宋体" w:hAnsi="宋体" w:cs="宋体"/>
          <w:b/>
          <w:sz w:val="30"/>
          <w:szCs w:val="30"/>
          <w:highlight w:val="none"/>
          <w:lang w:val="en-US" w:eastAsia="zh-CN"/>
        </w:rPr>
        <w:t>附件3</w:t>
      </w:r>
      <w:r>
        <w:rPr>
          <w:rFonts w:hint="eastAsia" w:ascii="宋体" w:hAnsi="宋体" w:cs="宋体"/>
          <w:b/>
          <w:sz w:val="30"/>
          <w:szCs w:val="30"/>
          <w:highlight w:val="none"/>
        </w:rPr>
        <w:t xml:space="preserve">  </w:t>
      </w:r>
      <w:bookmarkEnd w:id="0"/>
      <w:bookmarkEnd w:id="1"/>
      <w:r>
        <w:rPr>
          <w:rFonts w:hint="eastAsia" w:ascii="宋体" w:hAnsi="宋体" w:cs="宋体"/>
          <w:b/>
          <w:sz w:val="30"/>
          <w:szCs w:val="30"/>
          <w:highlight w:val="none"/>
          <w:lang w:val="en-US" w:eastAsia="zh-CN"/>
        </w:rPr>
        <w:t>采购需求及相关要求</w:t>
      </w:r>
    </w:p>
    <w:p>
      <w:pPr>
        <w:pStyle w:val="5"/>
        <w:numPr>
          <w:ilvl w:val="0"/>
          <w:numId w:val="3"/>
        </w:numPr>
        <w:spacing w:line="360" w:lineRule="auto"/>
        <w:ind w:left="0" w:leftChars="0" w:firstLine="0" w:firstLineChars="0"/>
        <w:jc w:val="left"/>
        <w:rPr>
          <w:rFonts w:hint="eastAsia"/>
          <w:b/>
          <w:bCs/>
          <w:sz w:val="28"/>
          <w:szCs w:val="28"/>
          <w:highlight w:val="none"/>
          <w:lang w:val="en-US" w:eastAsia="zh-CN"/>
        </w:rPr>
      </w:pPr>
      <w:r>
        <w:rPr>
          <w:rFonts w:hint="eastAsia"/>
          <w:b/>
          <w:bCs/>
          <w:sz w:val="28"/>
          <w:szCs w:val="28"/>
          <w:highlight w:val="none"/>
          <w:lang w:val="en-US" w:eastAsia="zh-CN"/>
        </w:rPr>
        <w:t>项目概况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pPr>
      <w:r>
        <w:rPr>
          <w:rFonts w:hint="eastAsia"/>
          <w:b w:val="0"/>
          <w:bCs w:val="0"/>
          <w:sz w:val="24"/>
          <w:szCs w:val="24"/>
          <w:highlight w:val="none"/>
          <w:lang w:val="en-US" w:eastAsia="zh-CN"/>
        </w:rPr>
        <w:t>广深高速公路是粤港澳大湾区的一条重要干线高速公路，联接广州、深圳两座一线城市，是粤港澳大湾区的大动脉之一，北起于广州市黄村立交，与广州环城高速公路北段相接，南止于深圳市皇岗口岸附近，与深圳皇岗路相接，双向六线行车，全长122.8公里。</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pPr>
      <w:r>
        <w:rPr>
          <w:rFonts w:hint="eastAsia"/>
          <w:b w:val="0"/>
          <w:bCs w:val="0"/>
          <w:sz w:val="24"/>
          <w:szCs w:val="24"/>
          <w:highlight w:val="none"/>
          <w:lang w:val="en-US" w:eastAsia="zh-CN"/>
        </w:rPr>
        <w:t>为确保CPC卡正常调配，招标人每年需按照《广东省高速公路CPC卡补充投放分配表》做好相关 CPC卡采购补充工作。</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b/>
          <w:bCs/>
          <w:sz w:val="28"/>
          <w:szCs w:val="28"/>
          <w:highlight w:val="none"/>
          <w:lang w:val="en-US" w:eastAsia="zh-CN"/>
        </w:rPr>
      </w:pPr>
      <w:r>
        <w:rPr>
          <w:rFonts w:hint="eastAsia"/>
          <w:b/>
          <w:bCs/>
          <w:sz w:val="28"/>
          <w:szCs w:val="28"/>
          <w:highlight w:val="none"/>
          <w:lang w:val="en-US" w:eastAsia="zh-CN"/>
        </w:rPr>
        <w:t>项目范围</w:t>
      </w:r>
    </w:p>
    <w:p>
      <w:p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项目</w:t>
      </w:r>
      <w:r>
        <w:rPr>
          <w:rFonts w:hint="eastAsia" w:ascii="宋体" w:hAnsi="宋体" w:eastAsia="宋体" w:cs="宋体"/>
          <w:b w:val="0"/>
          <w:bCs w:val="0"/>
          <w:sz w:val="24"/>
          <w:szCs w:val="24"/>
        </w:rPr>
        <w:t>范围包括供货、检验、</w:t>
      </w:r>
      <w:r>
        <w:rPr>
          <w:rFonts w:hint="eastAsia" w:ascii="宋体" w:hAnsi="宋体" w:eastAsia="宋体" w:cs="宋体"/>
          <w:b w:val="0"/>
          <w:bCs w:val="0"/>
          <w:sz w:val="24"/>
          <w:szCs w:val="24"/>
          <w:lang w:eastAsia="zh-CN"/>
        </w:rPr>
        <w:t>发行</w:t>
      </w:r>
      <w:r>
        <w:rPr>
          <w:rFonts w:hint="eastAsia" w:ascii="宋体" w:hAnsi="宋体" w:eastAsia="宋体" w:cs="宋体"/>
          <w:b w:val="0"/>
          <w:bCs w:val="0"/>
          <w:sz w:val="24"/>
          <w:szCs w:val="24"/>
        </w:rPr>
        <w:t>、验收、检修等相应的技术服务、技术指导、技术协调配合等全过程服务，具体服务计划如下：</w:t>
      </w:r>
    </w:p>
    <w:p>
      <w:pPr>
        <w:numPr>
          <w:ilvl w:val="0"/>
          <w:numId w:val="4"/>
        </w:numPr>
        <w:spacing w:line="360" w:lineRule="auto"/>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中标单位</w:t>
      </w:r>
      <w:r>
        <w:rPr>
          <w:rFonts w:hint="eastAsia" w:ascii="宋体" w:hAnsi="宋体" w:eastAsia="宋体" w:cs="宋体"/>
          <w:b w:val="0"/>
          <w:bCs w:val="0"/>
          <w:sz w:val="24"/>
          <w:szCs w:val="24"/>
        </w:rPr>
        <w:t>为所投标产品CPC卡提供5年的质保期服务；</w:t>
      </w:r>
    </w:p>
    <w:p>
      <w:pPr>
        <w:numPr>
          <w:ilvl w:val="0"/>
          <w:numId w:val="4"/>
        </w:numPr>
        <w:spacing w:line="360" w:lineRule="auto"/>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CPC卡生产、发行、送（抽）检、供货、验收、售后服务及税金等一切费用均由中标</w:t>
      </w:r>
      <w:r>
        <w:rPr>
          <w:rFonts w:hint="eastAsia" w:ascii="宋体" w:hAnsi="宋体" w:eastAsia="宋体" w:cs="宋体"/>
          <w:b w:val="0"/>
          <w:bCs w:val="0"/>
          <w:sz w:val="24"/>
          <w:szCs w:val="24"/>
          <w:lang w:eastAsia="zh-CN"/>
        </w:rPr>
        <w:t>单位</w:t>
      </w:r>
      <w:r>
        <w:rPr>
          <w:rFonts w:hint="eastAsia" w:ascii="宋体" w:hAnsi="宋体" w:eastAsia="宋体" w:cs="宋体"/>
          <w:b w:val="0"/>
          <w:bCs w:val="0"/>
          <w:sz w:val="24"/>
          <w:szCs w:val="24"/>
        </w:rPr>
        <w:t>自行承担。</w:t>
      </w:r>
    </w:p>
    <w:p>
      <w:pPr>
        <w:numPr>
          <w:ilvl w:val="0"/>
          <w:numId w:val="4"/>
        </w:numPr>
        <w:spacing w:line="360" w:lineRule="auto"/>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质保期内，产品出现非人为损坏故障或产品质量不能使用，</w:t>
      </w:r>
      <w:r>
        <w:rPr>
          <w:rFonts w:hint="eastAsia" w:ascii="宋体" w:hAnsi="宋体" w:eastAsia="宋体" w:cs="宋体"/>
          <w:b w:val="0"/>
          <w:bCs w:val="0"/>
          <w:sz w:val="24"/>
          <w:szCs w:val="24"/>
          <w:lang w:eastAsia="zh-CN"/>
        </w:rPr>
        <w:t>中标单位</w:t>
      </w:r>
      <w:r>
        <w:rPr>
          <w:rFonts w:hint="eastAsia" w:ascii="宋体" w:hAnsi="宋体" w:eastAsia="宋体" w:cs="宋体"/>
          <w:b w:val="0"/>
          <w:bCs w:val="0"/>
          <w:sz w:val="24"/>
          <w:szCs w:val="24"/>
        </w:rPr>
        <w:t>予以免费更换；</w:t>
      </w:r>
    </w:p>
    <w:p>
      <w:pPr>
        <w:numPr>
          <w:ilvl w:val="0"/>
          <w:numId w:val="4"/>
        </w:numPr>
        <w:spacing w:line="360" w:lineRule="auto"/>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质保期内，非人为损坏所导致的故障，</w:t>
      </w:r>
      <w:r>
        <w:rPr>
          <w:rFonts w:hint="eastAsia" w:ascii="宋体" w:hAnsi="宋体" w:eastAsia="宋体" w:cs="宋体"/>
          <w:b w:val="0"/>
          <w:bCs w:val="0"/>
          <w:sz w:val="24"/>
          <w:szCs w:val="24"/>
          <w:lang w:eastAsia="zh-CN"/>
        </w:rPr>
        <w:t>中标单位</w:t>
      </w:r>
      <w:r>
        <w:rPr>
          <w:rFonts w:hint="eastAsia" w:ascii="宋体" w:hAnsi="宋体" w:eastAsia="宋体" w:cs="宋体"/>
          <w:b w:val="0"/>
          <w:bCs w:val="0"/>
          <w:sz w:val="24"/>
          <w:szCs w:val="24"/>
        </w:rPr>
        <w:t>提供免费维修服务</w:t>
      </w:r>
      <w:r>
        <w:rPr>
          <w:rFonts w:hint="eastAsia" w:ascii="宋体" w:hAnsi="宋体" w:cs="宋体"/>
          <w:b w:val="0"/>
          <w:bCs w:val="0"/>
          <w:sz w:val="24"/>
          <w:szCs w:val="24"/>
          <w:highlight w:val="none"/>
          <w:lang w:eastAsia="zh-CN"/>
        </w:rPr>
        <w:t>。</w:t>
      </w:r>
    </w:p>
    <w:p>
      <w:pPr>
        <w:pStyle w:val="5"/>
        <w:numPr>
          <w:ilvl w:val="0"/>
          <w:numId w:val="3"/>
        </w:numPr>
        <w:spacing w:line="360" w:lineRule="auto"/>
        <w:ind w:left="0" w:leftChars="0" w:firstLine="0" w:firstLineChars="0"/>
        <w:jc w:val="left"/>
        <w:rPr>
          <w:rFonts w:hint="eastAsia"/>
          <w:b/>
          <w:bCs/>
          <w:sz w:val="28"/>
          <w:szCs w:val="28"/>
          <w:highlight w:val="none"/>
          <w:lang w:val="en-US" w:eastAsia="zh-CN"/>
        </w:rPr>
      </w:pPr>
      <w:r>
        <w:rPr>
          <w:rFonts w:hint="eastAsia"/>
          <w:b/>
          <w:bCs/>
          <w:sz w:val="28"/>
          <w:szCs w:val="28"/>
          <w:highlight w:val="none"/>
          <w:lang w:val="en-US" w:eastAsia="zh-CN"/>
        </w:rPr>
        <w:t>合同期与供货期</w:t>
      </w:r>
    </w:p>
    <w:p>
      <w:pPr>
        <w:spacing w:line="360" w:lineRule="auto"/>
        <w:ind w:firstLine="480" w:firstLineChars="20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本项目的合同期为2023-2025年，共3年，具体开始时间以合同签订时间为准。招标人每一合同年度期满将对中标单位的履约情况进行综合评价，上一合同年度的综合评价得分均超过90分，方可执行下一合同年度的合同。中标单位未通过招标人的综合评价的，本合同自动终止，招标人无须承担任何责任。</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pPr>
      <w:r>
        <w:rPr>
          <w:rFonts w:hint="eastAsia"/>
          <w:b w:val="0"/>
          <w:bCs w:val="0"/>
          <w:sz w:val="24"/>
          <w:szCs w:val="24"/>
          <w:highlight w:val="none"/>
          <w:lang w:val="en-US" w:eastAsia="zh-CN"/>
        </w:rPr>
        <w:t>本项目供货期为40日历天，自招标人下发书面的采购指令单之日开始算，40日历天内交货至招标人指定地点。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left"/>
        <w:textAlignment w:val="auto"/>
        <w:outlineLvl w:val="9"/>
        <w:rPr>
          <w:rFonts w:hint="eastAsia"/>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备注：第一个合同年度为合同签订之日起至2023年12月31日；从第二个合同年度起，</w:t>
      </w:r>
      <w:r>
        <w:rPr>
          <w:rFonts w:hint="eastAsia" w:ascii="宋体" w:hAnsi="宋体" w:cs="宋体"/>
          <w:b w:val="0"/>
          <w:bCs w:val="0"/>
          <w:sz w:val="21"/>
          <w:szCs w:val="21"/>
          <w:highlight w:val="none"/>
          <w:lang w:val="en-US" w:eastAsia="zh-CN"/>
        </w:rPr>
        <w:t>每个合同年度</w:t>
      </w:r>
      <w:r>
        <w:rPr>
          <w:rFonts w:hint="eastAsia" w:ascii="宋体" w:hAnsi="宋体" w:eastAsia="宋体" w:cs="宋体"/>
          <w:b w:val="0"/>
          <w:bCs w:val="0"/>
          <w:sz w:val="21"/>
          <w:szCs w:val="21"/>
          <w:highlight w:val="none"/>
          <w:lang w:val="en-US" w:eastAsia="zh-CN"/>
        </w:rPr>
        <w:t>为当年的1月1日至12月31日。</w:t>
      </w:r>
    </w:p>
    <w:p>
      <w:pPr>
        <w:pStyle w:val="5"/>
        <w:numPr>
          <w:ilvl w:val="0"/>
          <w:numId w:val="3"/>
        </w:numPr>
        <w:spacing w:before="0" w:after="0"/>
        <w:ind w:firstLine="0"/>
        <w:jc w:val="left"/>
        <w:rPr>
          <w:rFonts w:hint="eastAsia" w:ascii="Times New Roman" w:hAnsi="Times New Roman" w:eastAsia="宋体" w:cs="Times New Roman"/>
          <w:b/>
          <w:bCs/>
          <w:sz w:val="28"/>
          <w:szCs w:val="28"/>
          <w:highlight w:val="none"/>
        </w:rPr>
      </w:pPr>
      <w:r>
        <w:rPr>
          <w:rFonts w:hint="eastAsia"/>
          <w:b/>
          <w:bCs/>
          <w:sz w:val="28"/>
          <w:szCs w:val="28"/>
          <w:highlight w:val="none"/>
          <w:lang w:val="en-US" w:eastAsia="zh-CN"/>
        </w:rPr>
        <w:t>指标要求</w:t>
      </w:r>
    </w:p>
    <w:p>
      <w:pPr>
        <w:jc w:val="center"/>
        <w:rPr>
          <w:rFonts w:hint="eastAsia" w:ascii="宋体" w:hAnsi="宋体" w:eastAsia="宋体" w:cs="宋体"/>
          <w:sz w:val="24"/>
          <w:szCs w:val="24"/>
        </w:rPr>
      </w:pPr>
      <w:r>
        <w:rPr>
          <w:rFonts w:hint="eastAsia" w:ascii="宋体" w:hAnsi="宋体" w:eastAsia="宋体" w:cs="宋体"/>
          <w:sz w:val="24"/>
          <w:szCs w:val="24"/>
        </w:rPr>
        <w:t>5.8GHzCPC卡5.8GHz物理层参数表</w:t>
      </w:r>
    </w:p>
    <w:tbl>
      <w:tblPr>
        <w:tblStyle w:val="11"/>
        <w:tblW w:w="9174" w:type="dxa"/>
        <w:jc w:val="center"/>
        <w:tblInd w:w="0" w:type="dxa"/>
        <w:tblLayout w:type="fixed"/>
        <w:tblCellMar>
          <w:top w:w="0" w:type="dxa"/>
          <w:left w:w="0" w:type="dxa"/>
          <w:bottom w:w="0" w:type="dxa"/>
          <w:right w:w="0" w:type="dxa"/>
        </w:tblCellMar>
      </w:tblPr>
      <w:tblGrid>
        <w:gridCol w:w="1359"/>
        <w:gridCol w:w="2749"/>
        <w:gridCol w:w="5066"/>
      </w:tblGrid>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参数</w:t>
            </w:r>
          </w:p>
        </w:tc>
        <w:tc>
          <w:tcPr>
            <w:tcW w:w="5066" w:type="dxa"/>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规格</w:t>
            </w:r>
          </w:p>
        </w:tc>
      </w:tr>
      <w:tr>
        <w:tblPrEx>
          <w:tblLayout w:type="fixed"/>
          <w:tblCellMar>
            <w:top w:w="0" w:type="dxa"/>
            <w:left w:w="0" w:type="dxa"/>
            <w:bottom w:w="0" w:type="dxa"/>
            <w:right w:w="0" w:type="dxa"/>
          </w:tblCellMar>
        </w:tblPrEx>
        <w:trPr>
          <w:trHeight w:val="508" w:hRule="exact"/>
          <w:jc w:val="center"/>
        </w:trPr>
        <w:tc>
          <w:tcPr>
            <w:tcW w:w="4108" w:type="dxa"/>
            <w:gridSpan w:val="2"/>
            <w:vMerge w:val="restar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载波频率</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信道</w:t>
            </w:r>
            <w:r>
              <w:rPr>
                <w:rFonts w:ascii="Times New Roman" w:hAnsi="Times New Roman" w:eastAsia="宋体" w:cs="Times New Roman"/>
                <w:szCs w:val="21"/>
              </w:rPr>
              <w:t xml:space="preserve"> 1</w:t>
            </w:r>
            <w:r>
              <w:rPr>
                <w:rFonts w:hint="eastAsia" w:ascii="Times New Roman" w:hAnsi="Times New Roman" w:eastAsia="宋体" w:cs="Times New Roman"/>
                <w:szCs w:val="21"/>
              </w:rPr>
              <w:t>：</w:t>
            </w:r>
            <w:r>
              <w:rPr>
                <w:rFonts w:ascii="Times New Roman" w:hAnsi="Times New Roman" w:eastAsia="宋体" w:cs="Times New Roman"/>
                <w:szCs w:val="21"/>
              </w:rPr>
              <w:t>5.79GHz</w:t>
            </w:r>
          </w:p>
        </w:tc>
      </w:tr>
      <w:tr>
        <w:tblPrEx>
          <w:tblLayout w:type="fixed"/>
          <w:tblCellMar>
            <w:top w:w="0" w:type="dxa"/>
            <w:left w:w="0" w:type="dxa"/>
            <w:bottom w:w="0" w:type="dxa"/>
            <w:right w:w="0" w:type="dxa"/>
          </w:tblCellMar>
        </w:tblPrEx>
        <w:trPr>
          <w:trHeight w:val="413" w:hRule="exact"/>
          <w:jc w:val="center"/>
        </w:trPr>
        <w:tc>
          <w:tcPr>
            <w:tcW w:w="410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Cs w:val="21"/>
              </w:rPr>
            </w:pP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信道</w:t>
            </w:r>
            <w:r>
              <w:rPr>
                <w:rFonts w:ascii="Times New Roman" w:hAnsi="Times New Roman" w:eastAsia="宋体" w:cs="Times New Roman"/>
                <w:szCs w:val="21"/>
              </w:rPr>
              <w:t xml:space="preserve"> 2</w:t>
            </w:r>
            <w:r>
              <w:rPr>
                <w:rFonts w:hint="eastAsia" w:ascii="Times New Roman" w:hAnsi="Times New Roman" w:eastAsia="宋体" w:cs="Times New Roman"/>
                <w:szCs w:val="21"/>
              </w:rPr>
              <w:t>：</w:t>
            </w:r>
            <w:r>
              <w:rPr>
                <w:rFonts w:ascii="Times New Roman" w:hAnsi="Times New Roman" w:eastAsia="宋体" w:cs="Times New Roman"/>
                <w:szCs w:val="21"/>
              </w:rPr>
              <w:t>5.80GHz</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频率容限</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200ppm</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占用带宽</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5MHz</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EIRP</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10dBm</w:t>
            </w:r>
          </w:p>
        </w:tc>
      </w:tr>
      <w:tr>
        <w:tblPrEx>
          <w:tblLayout w:type="fixed"/>
          <w:tblCellMar>
            <w:top w:w="0" w:type="dxa"/>
            <w:left w:w="0" w:type="dxa"/>
            <w:bottom w:w="0" w:type="dxa"/>
            <w:right w:w="0" w:type="dxa"/>
          </w:tblCellMar>
        </w:tblPrEx>
        <w:trPr>
          <w:trHeight w:val="508" w:hRule="exact"/>
          <w:jc w:val="center"/>
        </w:trPr>
        <w:tc>
          <w:tcPr>
            <w:tcW w:w="1359" w:type="dxa"/>
            <w:vMerge w:val="restar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杂散发射</w:t>
            </w:r>
          </w:p>
        </w:tc>
        <w:tc>
          <w:tcPr>
            <w:tcW w:w="274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30MHz-1000MHz</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-36dBm/100kHz</w:t>
            </w:r>
          </w:p>
        </w:tc>
      </w:tr>
      <w:tr>
        <w:tblPrEx>
          <w:tblLayout w:type="fixed"/>
          <w:tblCellMar>
            <w:top w:w="0" w:type="dxa"/>
            <w:left w:w="0" w:type="dxa"/>
            <w:bottom w:w="0" w:type="dxa"/>
            <w:right w:w="0" w:type="dxa"/>
          </w:tblCellMar>
        </w:tblPrEx>
        <w:trPr>
          <w:trHeight w:val="508"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Cs w:val="21"/>
              </w:rPr>
            </w:pPr>
          </w:p>
        </w:tc>
        <w:tc>
          <w:tcPr>
            <w:tcW w:w="274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2400MHz-2483.5MHz</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-40dBm/1MHz</w:t>
            </w:r>
          </w:p>
        </w:tc>
      </w:tr>
      <w:tr>
        <w:tblPrEx>
          <w:tblLayout w:type="fixed"/>
          <w:tblCellMar>
            <w:top w:w="0" w:type="dxa"/>
            <w:left w:w="0" w:type="dxa"/>
            <w:bottom w:w="0" w:type="dxa"/>
            <w:right w:w="0" w:type="dxa"/>
          </w:tblCellMar>
        </w:tblPrEx>
        <w:trPr>
          <w:trHeight w:val="508"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Cs w:val="21"/>
              </w:rPr>
            </w:pPr>
          </w:p>
        </w:tc>
        <w:tc>
          <w:tcPr>
            <w:tcW w:w="274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3400MHz-3500MHz</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-40dBm/1MHz</w:t>
            </w:r>
          </w:p>
        </w:tc>
      </w:tr>
      <w:tr>
        <w:tblPrEx>
          <w:tblLayout w:type="fixed"/>
          <w:tblCellMar>
            <w:top w:w="0" w:type="dxa"/>
            <w:left w:w="0" w:type="dxa"/>
            <w:bottom w:w="0" w:type="dxa"/>
            <w:right w:w="0" w:type="dxa"/>
          </w:tblCellMar>
        </w:tblPrEx>
        <w:trPr>
          <w:trHeight w:val="508"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Cs w:val="21"/>
              </w:rPr>
            </w:pPr>
          </w:p>
        </w:tc>
        <w:tc>
          <w:tcPr>
            <w:tcW w:w="274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5725MHz-5850MHz</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-33dBm/100kHz</w:t>
            </w:r>
          </w:p>
        </w:tc>
      </w:tr>
      <w:tr>
        <w:tblPrEx>
          <w:tblLayout w:type="fixed"/>
          <w:tblCellMar>
            <w:top w:w="0" w:type="dxa"/>
            <w:left w:w="0" w:type="dxa"/>
            <w:bottom w:w="0" w:type="dxa"/>
            <w:right w:w="0" w:type="dxa"/>
          </w:tblCellMar>
        </w:tblPrEx>
        <w:trPr>
          <w:trHeight w:val="508"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Cs w:val="21"/>
              </w:rPr>
            </w:pPr>
          </w:p>
        </w:tc>
        <w:tc>
          <w:tcPr>
            <w:tcW w:w="274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其他</w:t>
            </w:r>
            <w:r>
              <w:rPr>
                <w:rFonts w:ascii="Times New Roman" w:hAnsi="Times New Roman" w:eastAsia="宋体" w:cs="Times New Roman"/>
                <w:szCs w:val="21"/>
              </w:rPr>
              <w:t xml:space="preserve"> 1GHz-20GHz</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-30dBm/1MHz</w:t>
            </w:r>
          </w:p>
        </w:tc>
      </w:tr>
      <w:tr>
        <w:tblPrEx>
          <w:tblLayout w:type="fixed"/>
          <w:tblCellMar>
            <w:top w:w="0" w:type="dxa"/>
            <w:left w:w="0" w:type="dxa"/>
            <w:bottom w:w="0" w:type="dxa"/>
            <w:right w:w="0" w:type="dxa"/>
          </w:tblCellMar>
        </w:tblPrEx>
        <w:trPr>
          <w:trHeight w:val="39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邻道功率泄露比</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-30dB</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天线极化</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线极化或右旋圆极化</w:t>
            </w:r>
          </w:p>
        </w:tc>
      </w:tr>
      <w:tr>
        <w:tblPrEx>
          <w:tblLayout w:type="fixed"/>
          <w:tblCellMar>
            <w:top w:w="0" w:type="dxa"/>
            <w:left w:w="0" w:type="dxa"/>
            <w:bottom w:w="0" w:type="dxa"/>
            <w:right w:w="0" w:type="dxa"/>
          </w:tblCellMar>
        </w:tblPrEx>
        <w:trPr>
          <w:trHeight w:val="508" w:hRule="exact"/>
          <w:jc w:val="center"/>
        </w:trPr>
        <w:tc>
          <w:tcPr>
            <w:tcW w:w="1359" w:type="dxa"/>
            <w:vMerge w:val="restar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天线方向性</w:t>
            </w:r>
          </w:p>
        </w:tc>
        <w:tc>
          <w:tcPr>
            <w:tcW w:w="274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水平</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全向</w:t>
            </w:r>
          </w:p>
        </w:tc>
      </w:tr>
      <w:tr>
        <w:tblPrEx>
          <w:tblLayout w:type="fixed"/>
          <w:tblCellMar>
            <w:top w:w="0" w:type="dxa"/>
            <w:left w:w="0" w:type="dxa"/>
            <w:bottom w:w="0" w:type="dxa"/>
            <w:right w:w="0" w:type="dxa"/>
          </w:tblCellMar>
        </w:tblPrEx>
        <w:trPr>
          <w:trHeight w:val="508" w:hRule="exact"/>
          <w:jc w:val="center"/>
        </w:trPr>
        <w:tc>
          <w:tcPr>
            <w:tcW w:w="1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Cs w:val="21"/>
              </w:rPr>
            </w:pPr>
          </w:p>
        </w:tc>
        <w:tc>
          <w:tcPr>
            <w:tcW w:w="274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垂直</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全向</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调制方式</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ASK</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调制系数</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0.7~0.9</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编码方式</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FM0</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位速率</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512kbit/s</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位时钟精度</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±100×10</w:t>
            </w:r>
            <w:r>
              <w:rPr>
                <w:rFonts w:ascii="Times New Roman" w:hAnsi="Times New Roman" w:eastAsia="宋体" w:cs="Times New Roman"/>
                <w:position w:val="7"/>
                <w:szCs w:val="21"/>
              </w:rPr>
              <w:t>-6</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唤醒方式</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 xml:space="preserve">14k </w:t>
            </w:r>
            <w:r>
              <w:rPr>
                <w:rFonts w:hint="eastAsia" w:ascii="Times New Roman" w:hAnsi="Times New Roman" w:eastAsia="宋体" w:cs="Times New Roman"/>
                <w:szCs w:val="21"/>
              </w:rPr>
              <w:t>方波唤醒或者正常通信</w:t>
            </w:r>
            <w:r>
              <w:rPr>
                <w:rFonts w:ascii="Times New Roman" w:hAnsi="Times New Roman" w:eastAsia="宋体" w:cs="Times New Roman"/>
                <w:szCs w:val="21"/>
              </w:rPr>
              <w:t xml:space="preserve"> </w:t>
            </w:r>
            <w:r>
              <w:rPr>
                <w:rFonts w:hint="eastAsia" w:ascii="Times New Roman" w:hAnsi="Times New Roman" w:eastAsia="宋体" w:cs="Times New Roman"/>
                <w:szCs w:val="21"/>
              </w:rPr>
              <w:t>帧信号唤醒</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唤醒灵敏度</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w:t>
            </w:r>
            <w:r>
              <w:rPr>
                <w:rFonts w:ascii="Times New Roman" w:hAnsi="Times New Roman" w:eastAsia="宋体" w:cs="Times New Roman"/>
                <w:b/>
                <w:bCs/>
                <w:szCs w:val="21"/>
              </w:rPr>
              <w:t>-</w:t>
            </w:r>
            <w:r>
              <w:rPr>
                <w:rFonts w:hint="eastAsia" w:ascii="Times New Roman" w:hAnsi="Times New Roman" w:eastAsia="宋体" w:cs="Times New Roman"/>
                <w:b/>
                <w:bCs/>
                <w:szCs w:val="21"/>
                <w:lang w:val="en-US" w:eastAsia="zh-CN"/>
              </w:rPr>
              <w:t>50</w:t>
            </w:r>
            <w:r>
              <w:rPr>
                <w:rFonts w:ascii="Times New Roman" w:hAnsi="Times New Roman" w:eastAsia="宋体" w:cs="Times New Roman"/>
                <w:b/>
                <w:bCs/>
                <w:szCs w:val="21"/>
              </w:rPr>
              <w:t>dBm</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接收灵敏度</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w:t>
            </w:r>
            <w:r>
              <w:rPr>
                <w:rFonts w:ascii="Times New Roman" w:hAnsi="Times New Roman" w:eastAsia="宋体" w:cs="Times New Roman"/>
                <w:b/>
                <w:bCs/>
                <w:szCs w:val="21"/>
              </w:rPr>
              <w:t>-</w:t>
            </w:r>
            <w:r>
              <w:rPr>
                <w:rFonts w:hint="eastAsia" w:ascii="Times New Roman" w:hAnsi="Times New Roman" w:eastAsia="宋体" w:cs="Times New Roman"/>
                <w:b/>
                <w:bCs/>
                <w:szCs w:val="21"/>
                <w:lang w:val="en-US" w:eastAsia="zh-CN"/>
              </w:rPr>
              <w:t>65</w:t>
            </w:r>
            <w:r>
              <w:rPr>
                <w:rFonts w:ascii="Times New Roman" w:hAnsi="Times New Roman" w:eastAsia="宋体" w:cs="Times New Roman"/>
                <w:b/>
                <w:bCs/>
                <w:szCs w:val="21"/>
              </w:rPr>
              <w:t>dBm</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接收带宽</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5.825GHz-5.845GHz</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BER</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10×10</w:t>
            </w:r>
            <w:r>
              <w:rPr>
                <w:rFonts w:ascii="Times New Roman" w:hAnsi="Times New Roman" w:eastAsia="宋体" w:cs="Times New Roman"/>
                <w:position w:val="7"/>
                <w:szCs w:val="21"/>
              </w:rPr>
              <w:t>-6</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前导码</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 xml:space="preserve">16 </w:t>
            </w:r>
            <w:r>
              <w:rPr>
                <w:rFonts w:hint="eastAsia" w:ascii="Times New Roman" w:hAnsi="Times New Roman" w:eastAsia="宋体" w:cs="Times New Roman"/>
                <w:szCs w:val="21"/>
              </w:rPr>
              <w:t>位“</w:t>
            </w:r>
            <w:r>
              <w:rPr>
                <w:rFonts w:ascii="Times New Roman" w:hAnsi="Times New Roman" w:eastAsia="宋体" w:cs="Times New Roman"/>
                <w:szCs w:val="21"/>
              </w:rPr>
              <w:t>1</w:t>
            </w:r>
            <w:r>
              <w:rPr>
                <w:rFonts w:hint="eastAsia" w:ascii="Times New Roman" w:hAnsi="Times New Roman" w:eastAsia="宋体" w:cs="Times New Roman"/>
                <w:szCs w:val="21"/>
              </w:rPr>
              <w:t>”加</w:t>
            </w:r>
            <w:r>
              <w:rPr>
                <w:rFonts w:ascii="Times New Roman" w:hAnsi="Times New Roman" w:eastAsia="宋体" w:cs="Times New Roman"/>
                <w:szCs w:val="21"/>
              </w:rPr>
              <w:t xml:space="preserve"> 16 </w:t>
            </w:r>
            <w:r>
              <w:rPr>
                <w:rFonts w:hint="eastAsia" w:ascii="Times New Roman" w:hAnsi="Times New Roman" w:eastAsia="宋体" w:cs="Times New Roman"/>
                <w:szCs w:val="21"/>
              </w:rPr>
              <w:t>位“</w:t>
            </w:r>
            <w:r>
              <w:rPr>
                <w:rFonts w:ascii="Times New Roman" w:hAnsi="Times New Roman" w:eastAsia="宋体" w:cs="Times New Roman"/>
                <w:szCs w:val="21"/>
              </w:rPr>
              <w:t>0</w:t>
            </w:r>
            <w:r>
              <w:rPr>
                <w:rFonts w:hint="eastAsia" w:ascii="Times New Roman" w:hAnsi="Times New Roman" w:eastAsia="宋体" w:cs="Times New Roman"/>
                <w:szCs w:val="21"/>
              </w:rPr>
              <w:t>”</w:t>
            </w:r>
          </w:p>
        </w:tc>
      </w:tr>
      <w:tr>
        <w:tblPrEx>
          <w:tblLayout w:type="fixed"/>
          <w:tblCellMar>
            <w:top w:w="0" w:type="dxa"/>
            <w:left w:w="0" w:type="dxa"/>
            <w:bottom w:w="0" w:type="dxa"/>
            <w:right w:w="0" w:type="dxa"/>
          </w:tblCellMar>
        </w:tblPrEx>
        <w:trPr>
          <w:trHeight w:val="508" w:hRule="exact"/>
          <w:jc w:val="center"/>
        </w:trPr>
        <w:tc>
          <w:tcPr>
            <w:tcW w:w="4108"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后导码</w:t>
            </w:r>
          </w:p>
        </w:tc>
        <w:tc>
          <w:tcPr>
            <w:tcW w:w="50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最多</w:t>
            </w:r>
            <w:r>
              <w:rPr>
                <w:rFonts w:ascii="Times New Roman" w:hAnsi="Times New Roman" w:eastAsia="宋体" w:cs="Times New Roman"/>
                <w:szCs w:val="21"/>
              </w:rPr>
              <w:t xml:space="preserve"> 8 </w:t>
            </w:r>
            <w:r>
              <w:rPr>
                <w:rFonts w:hint="eastAsia" w:ascii="Times New Roman" w:hAnsi="Times New Roman" w:eastAsia="宋体" w:cs="Times New Roman"/>
                <w:szCs w:val="21"/>
              </w:rPr>
              <w:t>位</w:t>
            </w:r>
          </w:p>
        </w:tc>
      </w:tr>
    </w:tbl>
    <w:p>
      <w:pPr>
        <w:rPr>
          <w:rFonts w:ascii="Times New Roman" w:hAnsi="Times New Roman" w:eastAsia="宋体" w:cs="Times New Roman"/>
          <w:szCs w:val="21"/>
        </w:rPr>
      </w:pPr>
    </w:p>
    <w:p>
      <w:pPr>
        <w:ind w:firstLine="480"/>
        <w:jc w:val="center"/>
        <w:rPr>
          <w:rFonts w:ascii="Times New Roman" w:hAnsi="Times New Roman" w:eastAsia="宋体" w:cs="Times New Roman"/>
          <w:szCs w:val="21"/>
        </w:rPr>
      </w:pPr>
    </w:p>
    <w:p>
      <w:pPr>
        <w:ind w:firstLine="480"/>
        <w:jc w:val="center"/>
        <w:rPr>
          <w:rFonts w:ascii="Times New Roman" w:hAnsi="Times New Roman" w:eastAsia="宋体" w:cs="Times New Roman"/>
          <w:szCs w:val="21"/>
        </w:rPr>
      </w:pPr>
    </w:p>
    <w:p>
      <w:pPr>
        <w:ind w:firstLine="480"/>
        <w:jc w:val="center"/>
        <w:rPr>
          <w:rFonts w:ascii="Times New Roman" w:hAnsi="Times New Roman" w:eastAsia="宋体" w:cs="Times New Roman"/>
          <w:szCs w:val="21"/>
        </w:rPr>
      </w:pPr>
      <w:r>
        <w:rPr>
          <w:rFonts w:ascii="Times New Roman" w:hAnsi="Times New Roman" w:eastAsia="宋体" w:cs="Times New Roman"/>
          <w:szCs w:val="21"/>
        </w:rPr>
        <w:t>5.8GHz</w:t>
      </w:r>
      <w:r>
        <w:rPr>
          <w:rFonts w:hint="eastAsia" w:ascii="Times New Roman" w:hAnsi="Times New Roman" w:eastAsia="宋体" w:cs="Times New Roman"/>
          <w:szCs w:val="21"/>
        </w:rPr>
        <w:t>C</w:t>
      </w:r>
      <w:r>
        <w:rPr>
          <w:rFonts w:ascii="Times New Roman" w:hAnsi="Times New Roman" w:eastAsia="宋体" w:cs="Times New Roman"/>
          <w:szCs w:val="21"/>
        </w:rPr>
        <w:t>PC</w:t>
      </w:r>
      <w:r>
        <w:rPr>
          <w:rFonts w:hint="eastAsia" w:ascii="Times New Roman" w:hAnsi="Times New Roman" w:eastAsia="宋体" w:cs="Times New Roman"/>
          <w:szCs w:val="21"/>
        </w:rPr>
        <w:t>卡13.56MHz物理层参数表</w:t>
      </w:r>
    </w:p>
    <w:tbl>
      <w:tblPr>
        <w:tblStyle w:val="11"/>
        <w:tblW w:w="9174" w:type="dxa"/>
        <w:jc w:val="center"/>
        <w:tblInd w:w="0" w:type="dxa"/>
        <w:tblLayout w:type="fixed"/>
        <w:tblCellMar>
          <w:top w:w="15" w:type="dxa"/>
          <w:left w:w="15" w:type="dxa"/>
          <w:bottom w:w="15" w:type="dxa"/>
          <w:right w:w="15" w:type="dxa"/>
        </w:tblCellMar>
      </w:tblPr>
      <w:tblGrid>
        <w:gridCol w:w="2560"/>
        <w:gridCol w:w="6614"/>
      </w:tblGrid>
      <w:tr>
        <w:tblPrEx>
          <w:tblLayout w:type="fixed"/>
          <w:tblCellMar>
            <w:top w:w="15" w:type="dxa"/>
            <w:left w:w="15" w:type="dxa"/>
            <w:bottom w:w="15" w:type="dxa"/>
            <w:right w:w="15" w:type="dxa"/>
          </w:tblCellMar>
        </w:tblPrEx>
        <w:trPr>
          <w:trHeight w:val="510" w:hRule="atLeast"/>
          <w:jc w:val="center"/>
        </w:trPr>
        <w:tc>
          <w:tcPr>
            <w:tcW w:w="2560" w:type="dxa"/>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参数</w:t>
            </w:r>
          </w:p>
        </w:tc>
        <w:tc>
          <w:tcPr>
            <w:tcW w:w="6614" w:type="dxa"/>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规格</w:t>
            </w:r>
          </w:p>
        </w:tc>
      </w:tr>
      <w:tr>
        <w:tblPrEx>
          <w:tblLayout w:type="fixed"/>
          <w:tblCellMar>
            <w:top w:w="15" w:type="dxa"/>
            <w:left w:w="15" w:type="dxa"/>
            <w:bottom w:w="15" w:type="dxa"/>
            <w:right w:w="15" w:type="dxa"/>
          </w:tblCellMar>
        </w:tblPrEx>
        <w:trPr>
          <w:trHeight w:val="51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物理层参数协议</w:t>
            </w:r>
          </w:p>
        </w:tc>
        <w:tc>
          <w:tcPr>
            <w:tcW w:w="66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符合ISO/IEC 14443 TYPE-A</w:t>
            </w:r>
          </w:p>
        </w:tc>
      </w:tr>
      <w:tr>
        <w:tblPrEx>
          <w:tblLayout w:type="fixed"/>
          <w:tblCellMar>
            <w:top w:w="15" w:type="dxa"/>
            <w:left w:w="15" w:type="dxa"/>
            <w:bottom w:w="15" w:type="dxa"/>
            <w:right w:w="15" w:type="dxa"/>
          </w:tblCellMar>
        </w:tblPrEx>
        <w:trPr>
          <w:trHeight w:val="51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协议层</w:t>
            </w:r>
          </w:p>
        </w:tc>
        <w:tc>
          <w:tcPr>
            <w:tcW w:w="66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符合国标14443A协议要求</w:t>
            </w:r>
          </w:p>
        </w:tc>
      </w:tr>
      <w:tr>
        <w:tblPrEx>
          <w:tblLayout w:type="fixed"/>
          <w:tblCellMar>
            <w:top w:w="15" w:type="dxa"/>
            <w:left w:w="15" w:type="dxa"/>
            <w:bottom w:w="15" w:type="dxa"/>
            <w:right w:w="15" w:type="dxa"/>
          </w:tblCellMar>
        </w:tblPrEx>
        <w:trPr>
          <w:trHeight w:val="51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读写距离</w:t>
            </w:r>
          </w:p>
        </w:tc>
        <w:tc>
          <w:tcPr>
            <w:tcW w:w="66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5~10cm</w:t>
            </w:r>
          </w:p>
        </w:tc>
      </w:tr>
    </w:tbl>
    <w:p>
      <w:pPr>
        <w:spacing w:after="120"/>
        <w:rPr>
          <w:rFonts w:ascii="Times New Roman" w:hAnsi="Times New Roman" w:eastAsia="宋体" w:cs="宋体"/>
          <w:szCs w:val="21"/>
        </w:rPr>
      </w:pPr>
    </w:p>
    <w:p>
      <w:pPr>
        <w:ind w:firstLine="480"/>
        <w:jc w:val="center"/>
        <w:rPr>
          <w:rFonts w:ascii="Times New Roman" w:hAnsi="Times New Roman" w:eastAsia="宋体" w:cs="Times New Roman"/>
          <w:szCs w:val="21"/>
        </w:rPr>
      </w:pPr>
      <w:r>
        <w:rPr>
          <w:rFonts w:hint="eastAsia" w:ascii="Times New Roman" w:hAnsi="Times New Roman" w:eastAsia="宋体" w:cs="Times New Roman"/>
          <w:szCs w:val="21"/>
        </w:rPr>
        <w:t>5.8GHzCPC卡应用及电气参数表</w:t>
      </w:r>
    </w:p>
    <w:tbl>
      <w:tblPr>
        <w:tblStyle w:val="11"/>
        <w:tblW w:w="9174" w:type="dxa"/>
        <w:jc w:val="center"/>
        <w:tblInd w:w="0" w:type="dxa"/>
        <w:tblLayout w:type="fixed"/>
        <w:tblCellMar>
          <w:top w:w="15" w:type="dxa"/>
          <w:left w:w="15" w:type="dxa"/>
          <w:bottom w:w="15" w:type="dxa"/>
          <w:right w:w="15" w:type="dxa"/>
        </w:tblCellMar>
      </w:tblPr>
      <w:tblGrid>
        <w:gridCol w:w="1950"/>
        <w:gridCol w:w="7224"/>
      </w:tblGrid>
      <w:tr>
        <w:tblPrEx>
          <w:tblLayout w:type="fixed"/>
          <w:tblCellMar>
            <w:top w:w="15" w:type="dxa"/>
            <w:left w:w="15" w:type="dxa"/>
            <w:bottom w:w="15" w:type="dxa"/>
            <w:right w:w="15" w:type="dxa"/>
          </w:tblCellMar>
        </w:tblPrEx>
        <w:trPr>
          <w:trHeight w:val="510" w:hRule="atLeast"/>
          <w:jc w:val="center"/>
        </w:trPr>
        <w:tc>
          <w:tcPr>
            <w:tcW w:w="1950" w:type="dxa"/>
            <w:tcBorders>
              <w:top w:val="single" w:color="auto" w:sz="4" w:space="0"/>
              <w:left w:val="single" w:color="auto"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参 数</w:t>
            </w:r>
          </w:p>
        </w:tc>
        <w:tc>
          <w:tcPr>
            <w:tcW w:w="7224" w:type="dxa"/>
            <w:tcBorders>
              <w:top w:val="single" w:color="auto" w:sz="4" w:space="0"/>
              <w:left w:val="single" w:color="000000" w:sz="4" w:space="0"/>
              <w:bottom w:val="single" w:color="000000" w:sz="4" w:space="0"/>
              <w:right w:val="single" w:color="auto"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规格</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外观尺寸</w:t>
            </w:r>
          </w:p>
        </w:tc>
        <w:tc>
          <w:tcPr>
            <w:tcW w:w="7224" w:type="dxa"/>
            <w:tcBorders>
              <w:top w:val="single" w:color="auto" w:sz="4" w:space="0"/>
              <w:left w:val="single" w:color="000000" w:sz="4" w:space="0"/>
              <w:bottom w:val="single" w:color="000000"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长</w:t>
            </w:r>
            <w:r>
              <w:rPr>
                <w:rFonts w:ascii="Times New Roman" w:hAnsi="Times New Roman" w:eastAsia="宋体" w:cs="Times New Roman"/>
                <w:szCs w:val="21"/>
              </w:rPr>
              <w:t>85.5</w:t>
            </w:r>
            <w:r>
              <w:rPr>
                <w:rFonts w:hint="eastAsia" w:ascii="Times New Roman" w:hAnsi="Times New Roman" w:eastAsia="宋体" w:cs="Times New Roman"/>
                <w:szCs w:val="21"/>
              </w:rPr>
              <w:t>mm×宽54mm×厚5mm</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典型交易时间</w:t>
            </w:r>
          </w:p>
        </w:tc>
        <w:tc>
          <w:tcPr>
            <w:tcW w:w="7224" w:type="dxa"/>
            <w:tcBorders>
              <w:top w:val="single" w:color="auto" w:sz="4" w:space="0"/>
              <w:left w:val="single" w:color="000000" w:sz="4" w:space="0"/>
              <w:bottom w:val="single" w:color="000000" w:sz="4" w:space="0"/>
              <w:right w:val="single" w:color="auto"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&lt;50ms</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出入口读写</w:t>
            </w:r>
          </w:p>
        </w:tc>
        <w:tc>
          <w:tcPr>
            <w:tcW w:w="7224"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支持刷入口无电报警，出口无电状态下能够读出入口信息和</w:t>
            </w:r>
            <w:r>
              <w:rPr>
                <w:rFonts w:hint="eastAsia" w:ascii="Times New Roman" w:hAnsi="Times New Roman" w:eastAsia="宋体" w:cs="Times New Roman"/>
                <w:szCs w:val="21"/>
              </w:rPr>
              <w:t>过站</w:t>
            </w:r>
            <w:r>
              <w:rPr>
                <w:rFonts w:ascii="Times New Roman" w:hAnsi="Times New Roman" w:eastAsia="宋体" w:cs="Times New Roman"/>
                <w:szCs w:val="21"/>
              </w:rPr>
              <w:t>信息。</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MTBF</w:t>
            </w:r>
          </w:p>
        </w:tc>
        <w:tc>
          <w:tcPr>
            <w:tcW w:w="7224"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＞45000h</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电池容量</w:t>
            </w:r>
          </w:p>
        </w:tc>
        <w:tc>
          <w:tcPr>
            <w:tcW w:w="7224"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eastAsia="宋体" w:cs="Times New Roman"/>
                <w:szCs w:val="21"/>
                <w:highlight w:val="none"/>
              </w:rPr>
            </w:pPr>
            <w:r>
              <w:rPr>
                <w:rFonts w:ascii="Times New Roman" w:hAnsi="Times New Roman" w:eastAsia="宋体" w:cs="Times New Roman"/>
                <w:szCs w:val="21"/>
                <w:highlight w:val="none"/>
              </w:rPr>
              <w:t>8</w:t>
            </w:r>
            <w:r>
              <w:rPr>
                <w:rFonts w:hint="eastAsia" w:cs="Times New Roman"/>
                <w:szCs w:val="21"/>
                <w:highlight w:val="none"/>
                <w:lang w:val="en-US" w:eastAsia="zh-CN"/>
              </w:rPr>
              <w:t>6</w:t>
            </w:r>
            <w:r>
              <w:rPr>
                <w:rFonts w:ascii="Times New Roman" w:hAnsi="Times New Roman" w:eastAsia="宋体" w:cs="Times New Roman"/>
                <w:szCs w:val="21"/>
                <w:highlight w:val="none"/>
              </w:rPr>
              <w:t>0mAh</w:t>
            </w:r>
            <w:r>
              <w:rPr>
                <w:rFonts w:hint="eastAsia" w:cs="Times New Roman"/>
                <w:szCs w:val="21"/>
                <w:highlight w:val="none"/>
                <w:lang w:val="en-US" w:eastAsia="zh-CN"/>
              </w:rPr>
              <w:t>~</w:t>
            </w:r>
            <w:r>
              <w:rPr>
                <w:rFonts w:ascii="Times New Roman" w:hAnsi="Times New Roman" w:eastAsia="宋体" w:cs="Times New Roman"/>
                <w:szCs w:val="21"/>
                <w:highlight w:val="none"/>
              </w:rPr>
              <w:t>880mAh</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使用寿命</w:t>
            </w:r>
          </w:p>
        </w:tc>
        <w:tc>
          <w:tcPr>
            <w:tcW w:w="7224"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大于</w:t>
            </w:r>
            <w:r>
              <w:rPr>
                <w:rFonts w:ascii="Times New Roman" w:hAnsi="Times New Roman" w:eastAsia="宋体" w:cs="Times New Roman"/>
                <w:szCs w:val="21"/>
              </w:rPr>
              <w:t>5年</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电池安全</w:t>
            </w:r>
          </w:p>
        </w:tc>
        <w:tc>
          <w:tcPr>
            <w:tcW w:w="7224"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通过UL1642和UN38.3认证</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与RSU之间的DSRC协议</w:t>
            </w:r>
          </w:p>
        </w:tc>
        <w:tc>
          <w:tcPr>
            <w:tcW w:w="7224"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符合</w:t>
            </w:r>
            <w:r>
              <w:rPr>
                <w:rFonts w:hint="eastAsia" w:ascii="Times New Roman" w:hAnsi="Times New Roman" w:eastAsia="宋体" w:cs="Times New Roman"/>
                <w:szCs w:val="21"/>
              </w:rPr>
              <w:t>GB/T20851.2、GB/T20851.3及满足</w:t>
            </w:r>
            <w:r>
              <w:rPr>
                <w:rFonts w:ascii="Times New Roman" w:hAnsi="Times New Roman" w:eastAsia="宋体" w:cs="Times New Roman"/>
                <w:szCs w:val="21"/>
              </w:rPr>
              <w:t>《</w:t>
            </w:r>
            <w:r>
              <w:rPr>
                <w:rFonts w:hint="eastAsia" w:ascii="Times New Roman" w:hAnsi="Times New Roman" w:eastAsia="宋体" w:cs="Times New Roman"/>
                <w:szCs w:val="21"/>
              </w:rPr>
              <w:t>高速公路复合通行卡（CPC）技术要求</w:t>
            </w:r>
            <w:r>
              <w:rPr>
                <w:rFonts w:ascii="Times New Roman" w:hAnsi="Times New Roman" w:eastAsia="宋体" w:cs="Times New Roman"/>
                <w:szCs w:val="21"/>
              </w:rPr>
              <w:t>》相关规定要求</w:t>
            </w:r>
          </w:p>
        </w:tc>
      </w:tr>
      <w:tr>
        <w:tblPrEx>
          <w:tblLayout w:type="fixed"/>
          <w:tblCellMar>
            <w:top w:w="15" w:type="dxa"/>
            <w:left w:w="15" w:type="dxa"/>
            <w:bottom w:w="15" w:type="dxa"/>
            <w:right w:w="15" w:type="dxa"/>
          </w:tblCellMar>
        </w:tblPrEx>
        <w:trPr>
          <w:trHeight w:val="510" w:hRule="atLeast"/>
          <w:jc w:val="center"/>
        </w:trPr>
        <w:tc>
          <w:tcPr>
            <w:tcW w:w="1950" w:type="dxa"/>
            <w:tcBorders>
              <w:top w:val="single" w:color="000000" w:sz="4" w:space="0"/>
              <w:left w:val="single" w:color="auto" w:sz="4" w:space="0"/>
              <w:bottom w:val="single" w:color="auto"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与</w:t>
            </w:r>
            <w:r>
              <w:rPr>
                <w:rFonts w:hint="eastAsia" w:ascii="Times New Roman" w:hAnsi="Times New Roman" w:eastAsia="宋体" w:cs="Times New Roman"/>
                <w:szCs w:val="21"/>
              </w:rPr>
              <w:t>IC</w:t>
            </w:r>
            <w:r>
              <w:rPr>
                <w:rFonts w:ascii="Times New Roman" w:hAnsi="Times New Roman" w:eastAsia="宋体" w:cs="Times New Roman"/>
                <w:szCs w:val="21"/>
              </w:rPr>
              <w:t>读写器的协议</w:t>
            </w:r>
          </w:p>
        </w:tc>
        <w:tc>
          <w:tcPr>
            <w:tcW w:w="7224" w:type="dxa"/>
            <w:tcBorders>
              <w:top w:val="single" w:color="000000" w:sz="4" w:space="0"/>
              <w:left w:val="single" w:color="000000" w:sz="4" w:space="0"/>
              <w:bottom w:val="single" w:color="auto" w:sz="4" w:space="0"/>
              <w:right w:val="single" w:color="auto"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符合</w:t>
            </w:r>
            <w:r>
              <w:rPr>
                <w:rFonts w:hint="eastAsia" w:ascii="Times New Roman" w:hAnsi="Times New Roman" w:eastAsia="宋体" w:cs="Times New Roman"/>
                <w:szCs w:val="21"/>
              </w:rPr>
              <w:t>ISO/IEC 14443 TYPE-A标准及</w:t>
            </w:r>
            <w:r>
              <w:rPr>
                <w:rFonts w:ascii="Times New Roman" w:hAnsi="Times New Roman" w:eastAsia="宋体" w:cs="Times New Roman"/>
                <w:szCs w:val="21"/>
              </w:rPr>
              <w:t>《</w:t>
            </w:r>
            <w:r>
              <w:rPr>
                <w:rFonts w:hint="eastAsia" w:ascii="Times New Roman" w:hAnsi="Times New Roman" w:eastAsia="宋体" w:cs="Times New Roman"/>
                <w:szCs w:val="21"/>
              </w:rPr>
              <w:t>高速公路复合通行卡（CPC）技术要求</w:t>
            </w:r>
            <w:r>
              <w:rPr>
                <w:rFonts w:ascii="Times New Roman" w:hAnsi="Times New Roman" w:eastAsia="宋体" w:cs="Times New Roman"/>
                <w:szCs w:val="21"/>
              </w:rPr>
              <w:t>》相关规定要求</w:t>
            </w:r>
          </w:p>
        </w:tc>
      </w:tr>
    </w:tbl>
    <w:p>
      <w:pPr>
        <w:spacing w:after="120"/>
        <w:rPr>
          <w:rFonts w:ascii="Times New Roman" w:hAnsi="Times New Roman" w:eastAsia="宋体" w:cs="宋体"/>
          <w:szCs w:val="21"/>
        </w:rPr>
      </w:pPr>
    </w:p>
    <w:p>
      <w:pPr>
        <w:ind w:firstLine="480"/>
        <w:jc w:val="center"/>
        <w:rPr>
          <w:rFonts w:ascii="Times New Roman" w:hAnsi="Times New Roman" w:eastAsia="宋体" w:cs="Times New Roman"/>
          <w:szCs w:val="21"/>
        </w:rPr>
      </w:pPr>
      <w:r>
        <w:rPr>
          <w:rFonts w:hint="eastAsia" w:ascii="Times New Roman" w:hAnsi="Times New Roman" w:eastAsia="宋体" w:cs="Times New Roman"/>
          <w:szCs w:val="21"/>
        </w:rPr>
        <w:t>5.8GHzCPC卡信息存储及应用更新特性表</w:t>
      </w:r>
    </w:p>
    <w:tbl>
      <w:tblPr>
        <w:tblStyle w:val="11"/>
        <w:tblW w:w="9174" w:type="dxa"/>
        <w:jc w:val="center"/>
        <w:tblInd w:w="0" w:type="dxa"/>
        <w:tblLayout w:type="fixed"/>
        <w:tblCellMar>
          <w:top w:w="15" w:type="dxa"/>
          <w:left w:w="15" w:type="dxa"/>
          <w:bottom w:w="15" w:type="dxa"/>
          <w:right w:w="15" w:type="dxa"/>
        </w:tblCellMar>
      </w:tblPr>
      <w:tblGrid>
        <w:gridCol w:w="2560"/>
        <w:gridCol w:w="6614"/>
      </w:tblGrid>
      <w:tr>
        <w:tblPrEx>
          <w:tblLayout w:type="fixed"/>
          <w:tblCellMar>
            <w:top w:w="15" w:type="dxa"/>
            <w:left w:w="15" w:type="dxa"/>
            <w:bottom w:w="15" w:type="dxa"/>
            <w:right w:w="15" w:type="dxa"/>
          </w:tblCellMar>
        </w:tblPrEx>
        <w:trPr>
          <w:trHeight w:val="510" w:hRule="atLeast"/>
          <w:jc w:val="center"/>
        </w:trPr>
        <w:tc>
          <w:tcPr>
            <w:tcW w:w="2560" w:type="dxa"/>
            <w:tcBorders>
              <w:top w:val="single" w:color="000000" w:sz="4" w:space="0"/>
              <w:left w:val="single" w:color="000000"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参 数</w:t>
            </w:r>
          </w:p>
        </w:tc>
        <w:tc>
          <w:tcPr>
            <w:tcW w:w="6614" w:type="dxa"/>
            <w:tcBorders>
              <w:top w:val="single" w:color="000000" w:sz="4" w:space="0"/>
              <w:left w:val="single" w:color="000000"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规格</w:t>
            </w:r>
          </w:p>
        </w:tc>
      </w:tr>
      <w:tr>
        <w:tblPrEx>
          <w:tblLayout w:type="fixed"/>
          <w:tblCellMar>
            <w:top w:w="15" w:type="dxa"/>
            <w:left w:w="15" w:type="dxa"/>
            <w:bottom w:w="15" w:type="dxa"/>
            <w:right w:w="15" w:type="dxa"/>
          </w:tblCellMar>
        </w:tblPrEx>
        <w:trPr>
          <w:trHeight w:val="51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数据信息存储方式</w:t>
            </w:r>
          </w:p>
        </w:tc>
        <w:tc>
          <w:tcPr>
            <w:tcW w:w="66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数据存储采用数据块的方式，寻址采用目录树和文件的形式，符合</w:t>
            </w:r>
            <w:r>
              <w:rPr>
                <w:rFonts w:ascii="Times New Roman" w:hAnsi="Times New Roman" w:eastAsia="宋体" w:cs="Times New Roman"/>
                <w:szCs w:val="21"/>
              </w:rPr>
              <w:t>《收费公路联网收费多义性路径识别技术要求》相关规定要求</w:t>
            </w:r>
          </w:p>
        </w:tc>
      </w:tr>
      <w:tr>
        <w:tblPrEx>
          <w:tblLayout w:type="fixed"/>
          <w:tblCellMar>
            <w:top w:w="15" w:type="dxa"/>
            <w:left w:w="15" w:type="dxa"/>
            <w:bottom w:w="15" w:type="dxa"/>
            <w:right w:w="15" w:type="dxa"/>
          </w:tblCellMar>
        </w:tblPrEx>
        <w:trPr>
          <w:trHeight w:val="51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应用信息存储空间</w:t>
            </w:r>
          </w:p>
        </w:tc>
        <w:tc>
          <w:tcPr>
            <w:tcW w:w="66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rPr>
            </w:pPr>
            <w:r>
              <w:rPr>
                <w:rFonts w:hint="eastAsia" w:ascii="Times New Roman" w:hAnsi="Times New Roman" w:eastAsia="宋体" w:cs="Times New Roman"/>
                <w:b/>
                <w:bCs/>
                <w:szCs w:val="21"/>
              </w:rPr>
              <w:t>大于4K</w:t>
            </w:r>
          </w:p>
        </w:tc>
      </w:tr>
      <w:tr>
        <w:tblPrEx>
          <w:tblLayout w:type="fixed"/>
          <w:tblCellMar>
            <w:top w:w="15" w:type="dxa"/>
            <w:left w:w="15" w:type="dxa"/>
            <w:bottom w:w="15" w:type="dxa"/>
            <w:right w:w="15" w:type="dxa"/>
          </w:tblCellMar>
        </w:tblPrEx>
        <w:trPr>
          <w:trHeight w:val="51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应用更新方式</w:t>
            </w:r>
          </w:p>
        </w:tc>
        <w:tc>
          <w:tcPr>
            <w:tcW w:w="661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支持13.56MHz或5.8GHz通信方式</w:t>
            </w:r>
          </w:p>
        </w:tc>
      </w:tr>
    </w:tbl>
    <w:p>
      <w:pPr>
        <w:jc w:val="both"/>
        <w:rPr>
          <w:rFonts w:hint="eastAsia" w:ascii="Times New Roman" w:hAnsi="Times New Roman" w:eastAsia="宋体" w:cs="Times New Roman"/>
          <w:szCs w:val="21"/>
        </w:rPr>
      </w:pPr>
    </w:p>
    <w:p>
      <w:pPr>
        <w:ind w:firstLine="480"/>
        <w:jc w:val="center"/>
        <w:rPr>
          <w:rFonts w:hint="eastAsia" w:ascii="Times New Roman" w:hAnsi="Times New Roman" w:eastAsia="宋体" w:cs="Times New Roman"/>
          <w:szCs w:val="21"/>
        </w:rPr>
      </w:pPr>
    </w:p>
    <w:p>
      <w:pPr>
        <w:ind w:firstLine="480"/>
        <w:jc w:val="center"/>
        <w:rPr>
          <w:rFonts w:ascii="Times New Roman" w:hAnsi="Times New Roman" w:eastAsia="宋体" w:cs="Times New Roman"/>
          <w:szCs w:val="21"/>
        </w:rPr>
      </w:pPr>
      <w:r>
        <w:rPr>
          <w:rFonts w:hint="eastAsia" w:ascii="Times New Roman" w:hAnsi="Times New Roman" w:eastAsia="宋体" w:cs="Times New Roman"/>
          <w:szCs w:val="21"/>
        </w:rPr>
        <w:t>5.8GHzCPC卡唤醒参数表</w:t>
      </w:r>
    </w:p>
    <w:tbl>
      <w:tblPr>
        <w:tblStyle w:val="11"/>
        <w:tblW w:w="9174" w:type="dxa"/>
        <w:jc w:val="center"/>
        <w:tblInd w:w="0" w:type="dxa"/>
        <w:tblLayout w:type="fixed"/>
        <w:tblCellMar>
          <w:top w:w="15" w:type="dxa"/>
          <w:left w:w="15" w:type="dxa"/>
          <w:bottom w:w="15" w:type="dxa"/>
          <w:right w:w="15" w:type="dxa"/>
        </w:tblCellMar>
      </w:tblPr>
      <w:tblGrid>
        <w:gridCol w:w="2435"/>
        <w:gridCol w:w="6739"/>
      </w:tblGrid>
      <w:tr>
        <w:tblPrEx>
          <w:tblLayout w:type="fixed"/>
          <w:tblCellMar>
            <w:top w:w="15" w:type="dxa"/>
            <w:left w:w="15" w:type="dxa"/>
            <w:bottom w:w="15" w:type="dxa"/>
            <w:right w:w="15" w:type="dxa"/>
          </w:tblCellMar>
        </w:tblPrEx>
        <w:trPr>
          <w:trHeight w:val="51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参 数</w:t>
            </w:r>
          </w:p>
        </w:tc>
        <w:tc>
          <w:tcPr>
            <w:tcW w:w="6739" w:type="dxa"/>
            <w:tcBorders>
              <w:top w:val="single" w:color="000000" w:sz="4" w:space="0"/>
              <w:left w:val="single" w:color="000000"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规格</w:t>
            </w:r>
          </w:p>
        </w:tc>
      </w:tr>
      <w:tr>
        <w:tblPrEx>
          <w:tblLayout w:type="fixed"/>
          <w:tblCellMar>
            <w:top w:w="15" w:type="dxa"/>
            <w:left w:w="15" w:type="dxa"/>
            <w:bottom w:w="15" w:type="dxa"/>
            <w:right w:w="15" w:type="dxa"/>
          </w:tblCellMar>
        </w:tblPrEx>
        <w:trPr>
          <w:trHeight w:val="510" w:hRule="atLeast"/>
          <w:jc w:val="center"/>
        </w:trPr>
        <w:tc>
          <w:tcPr>
            <w:tcW w:w="24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唤醒方式</w:t>
            </w:r>
          </w:p>
        </w:tc>
        <w:tc>
          <w:tcPr>
            <w:tcW w:w="67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微波唤醒（</w:t>
            </w:r>
            <w:r>
              <w:rPr>
                <w:rFonts w:hint="eastAsia" w:ascii="Times New Roman" w:hAnsi="Times New Roman" w:eastAsia="宋体" w:cs="Times New Roman"/>
                <w:szCs w:val="21"/>
              </w:rPr>
              <w:t>定期周期唤醒可选</w:t>
            </w:r>
            <w:r>
              <w:rPr>
                <w:rFonts w:ascii="Times New Roman" w:hAnsi="Times New Roman" w:eastAsia="宋体" w:cs="Times New Roman"/>
                <w:szCs w:val="21"/>
              </w:rPr>
              <w:t>）</w:t>
            </w:r>
          </w:p>
        </w:tc>
      </w:tr>
      <w:tr>
        <w:tblPrEx>
          <w:tblLayout w:type="fixed"/>
          <w:tblCellMar>
            <w:top w:w="15" w:type="dxa"/>
            <w:left w:w="15" w:type="dxa"/>
            <w:bottom w:w="15" w:type="dxa"/>
            <w:right w:w="15" w:type="dxa"/>
          </w:tblCellMar>
        </w:tblPrEx>
        <w:trPr>
          <w:trHeight w:val="510" w:hRule="atLeast"/>
          <w:jc w:val="center"/>
        </w:trPr>
        <w:tc>
          <w:tcPr>
            <w:tcW w:w="24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唤醒灵敏度</w:t>
            </w:r>
          </w:p>
        </w:tc>
        <w:tc>
          <w:tcPr>
            <w:tcW w:w="67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ascii="Times New Roman" w:hAnsi="Times New Roman" w:eastAsia="宋体" w:cs="Times New Roman"/>
                <w:szCs w:val="21"/>
              </w:rPr>
              <w:t>0dBm</w:t>
            </w:r>
          </w:p>
        </w:tc>
      </w:tr>
      <w:tr>
        <w:tblPrEx>
          <w:tblLayout w:type="fixed"/>
          <w:tblCellMar>
            <w:top w:w="15" w:type="dxa"/>
            <w:left w:w="15" w:type="dxa"/>
            <w:bottom w:w="15" w:type="dxa"/>
            <w:right w:w="15" w:type="dxa"/>
          </w:tblCellMar>
        </w:tblPrEx>
        <w:trPr>
          <w:trHeight w:val="510" w:hRule="atLeast"/>
          <w:jc w:val="center"/>
        </w:trPr>
        <w:tc>
          <w:tcPr>
            <w:tcW w:w="24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唤醒方向性</w:t>
            </w:r>
          </w:p>
        </w:tc>
        <w:tc>
          <w:tcPr>
            <w:tcW w:w="67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360°全向</w:t>
            </w:r>
          </w:p>
        </w:tc>
      </w:tr>
    </w:tbl>
    <w:p>
      <w:pPr>
        <w:ind w:firstLine="480"/>
        <w:jc w:val="center"/>
        <w:rPr>
          <w:rFonts w:hint="eastAsia" w:ascii="Times New Roman" w:hAnsi="Times New Roman" w:eastAsia="宋体" w:cs="Times New Roman"/>
          <w:szCs w:val="21"/>
        </w:rPr>
      </w:pPr>
    </w:p>
    <w:p>
      <w:pPr>
        <w:ind w:firstLine="480"/>
        <w:jc w:val="center"/>
        <w:rPr>
          <w:rFonts w:ascii="Times New Roman" w:hAnsi="Times New Roman" w:eastAsia="宋体" w:cs="Times New Roman"/>
          <w:szCs w:val="21"/>
        </w:rPr>
      </w:pPr>
      <w:r>
        <w:rPr>
          <w:rFonts w:hint="eastAsia" w:ascii="Times New Roman" w:hAnsi="Times New Roman" w:eastAsia="宋体" w:cs="Times New Roman"/>
          <w:szCs w:val="21"/>
        </w:rPr>
        <w:t>5.8GHzCPC卡安全特性表</w:t>
      </w:r>
    </w:p>
    <w:tbl>
      <w:tblPr>
        <w:tblStyle w:val="11"/>
        <w:tblW w:w="9174" w:type="dxa"/>
        <w:jc w:val="center"/>
        <w:tblInd w:w="0" w:type="dxa"/>
        <w:tblLayout w:type="fixed"/>
        <w:tblCellMar>
          <w:top w:w="15" w:type="dxa"/>
          <w:left w:w="15" w:type="dxa"/>
          <w:bottom w:w="15" w:type="dxa"/>
          <w:right w:w="15" w:type="dxa"/>
        </w:tblCellMar>
      </w:tblPr>
      <w:tblGrid>
        <w:gridCol w:w="2437"/>
        <w:gridCol w:w="6737"/>
      </w:tblGrid>
      <w:tr>
        <w:tblPrEx>
          <w:tblLayout w:type="fixed"/>
          <w:tblCellMar>
            <w:top w:w="15" w:type="dxa"/>
            <w:left w:w="15" w:type="dxa"/>
            <w:bottom w:w="15" w:type="dxa"/>
            <w:right w:w="15" w:type="dxa"/>
          </w:tblCellMar>
        </w:tblPrEx>
        <w:trPr>
          <w:trHeight w:val="510" w:hRule="atLeast"/>
          <w:jc w:val="center"/>
        </w:trPr>
        <w:tc>
          <w:tcPr>
            <w:tcW w:w="2437" w:type="dxa"/>
            <w:tcBorders>
              <w:top w:val="single" w:color="000000" w:sz="4" w:space="0"/>
              <w:left w:val="single" w:color="000000"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参 数</w:t>
            </w:r>
          </w:p>
        </w:tc>
        <w:tc>
          <w:tcPr>
            <w:tcW w:w="6737" w:type="dxa"/>
            <w:tcBorders>
              <w:top w:val="single" w:color="000000" w:sz="4" w:space="0"/>
              <w:left w:val="single" w:color="000000"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规格</w:t>
            </w:r>
          </w:p>
        </w:tc>
      </w:tr>
      <w:tr>
        <w:tblPrEx>
          <w:tblLayout w:type="fixed"/>
          <w:tblCellMar>
            <w:top w:w="15" w:type="dxa"/>
            <w:left w:w="15" w:type="dxa"/>
            <w:bottom w:w="15" w:type="dxa"/>
            <w:right w:w="15" w:type="dxa"/>
          </w:tblCellMar>
        </w:tblPrEx>
        <w:trPr>
          <w:trHeight w:val="510" w:hRule="atLeast"/>
          <w:jc w:val="center"/>
        </w:trPr>
        <w:tc>
          <w:tcPr>
            <w:tcW w:w="24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加密等级</w:t>
            </w:r>
          </w:p>
        </w:tc>
        <w:tc>
          <w:tcPr>
            <w:tcW w:w="67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国密2级</w:t>
            </w:r>
          </w:p>
        </w:tc>
      </w:tr>
      <w:tr>
        <w:tblPrEx>
          <w:tblLayout w:type="fixed"/>
          <w:tblCellMar>
            <w:top w:w="15" w:type="dxa"/>
            <w:left w:w="15" w:type="dxa"/>
            <w:bottom w:w="15" w:type="dxa"/>
            <w:right w:w="15" w:type="dxa"/>
          </w:tblCellMar>
        </w:tblPrEx>
        <w:trPr>
          <w:trHeight w:val="510" w:hRule="atLeast"/>
          <w:jc w:val="center"/>
        </w:trPr>
        <w:tc>
          <w:tcPr>
            <w:tcW w:w="24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加密算法</w:t>
            </w:r>
          </w:p>
        </w:tc>
        <w:tc>
          <w:tcPr>
            <w:tcW w:w="67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SM4国产对称密码算法、DES</w:t>
            </w:r>
          </w:p>
        </w:tc>
      </w:tr>
      <w:tr>
        <w:tblPrEx>
          <w:tblLayout w:type="fixed"/>
          <w:tblCellMar>
            <w:top w:w="15" w:type="dxa"/>
            <w:left w:w="15" w:type="dxa"/>
            <w:bottom w:w="15" w:type="dxa"/>
            <w:right w:w="15" w:type="dxa"/>
          </w:tblCellMar>
        </w:tblPrEx>
        <w:trPr>
          <w:trHeight w:val="510" w:hRule="atLeast"/>
          <w:jc w:val="center"/>
        </w:trPr>
        <w:tc>
          <w:tcPr>
            <w:tcW w:w="24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出入口认证</w:t>
            </w:r>
          </w:p>
        </w:tc>
        <w:tc>
          <w:tcPr>
            <w:tcW w:w="673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内部认证和外部认证</w:t>
            </w:r>
          </w:p>
        </w:tc>
      </w:tr>
    </w:tbl>
    <w:p>
      <w:pPr>
        <w:spacing w:after="120"/>
        <w:rPr>
          <w:rFonts w:ascii="Times New Roman" w:hAnsi="Times New Roman" w:eastAsia="宋体" w:cs="宋体"/>
          <w:szCs w:val="21"/>
        </w:rPr>
      </w:pPr>
    </w:p>
    <w:p>
      <w:pPr>
        <w:ind w:firstLine="480"/>
        <w:jc w:val="center"/>
        <w:rPr>
          <w:rFonts w:ascii="Times New Roman" w:hAnsi="Times New Roman" w:eastAsia="宋体" w:cs="Times New Roman"/>
          <w:szCs w:val="21"/>
        </w:rPr>
      </w:pPr>
      <w:r>
        <w:rPr>
          <w:rFonts w:hint="eastAsia" w:ascii="Times New Roman" w:hAnsi="Times New Roman" w:eastAsia="宋体" w:cs="Times New Roman"/>
          <w:szCs w:val="21"/>
        </w:rPr>
        <w:t>5.8GHzCPC卡环境参数表</w:t>
      </w:r>
    </w:p>
    <w:tbl>
      <w:tblPr>
        <w:tblStyle w:val="11"/>
        <w:tblW w:w="9174" w:type="dxa"/>
        <w:jc w:val="center"/>
        <w:tblInd w:w="0" w:type="dxa"/>
        <w:tblLayout w:type="fixed"/>
        <w:tblCellMar>
          <w:top w:w="15" w:type="dxa"/>
          <w:left w:w="15" w:type="dxa"/>
          <w:bottom w:w="15" w:type="dxa"/>
          <w:right w:w="15" w:type="dxa"/>
        </w:tblCellMar>
      </w:tblPr>
      <w:tblGrid>
        <w:gridCol w:w="2389"/>
        <w:gridCol w:w="6785"/>
      </w:tblGrid>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参 数</w:t>
            </w:r>
          </w:p>
        </w:tc>
        <w:tc>
          <w:tcPr>
            <w:tcW w:w="6785" w:type="dxa"/>
            <w:tcBorders>
              <w:top w:val="single" w:color="000000" w:sz="4" w:space="0"/>
              <w:left w:val="single" w:color="000000" w:sz="4" w:space="0"/>
              <w:bottom w:val="single" w:color="000000" w:sz="4" w:space="0"/>
              <w:right w:val="single" w:color="000000" w:sz="4" w:space="0"/>
            </w:tcBorders>
            <w:shd w:val="clear" w:color="000000" w:fill="D7D7D7"/>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规格</w:t>
            </w:r>
          </w:p>
        </w:tc>
      </w:tr>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工作温度</w:t>
            </w:r>
          </w:p>
        </w:tc>
        <w:tc>
          <w:tcPr>
            <w:tcW w:w="67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-25℃～+</w:t>
            </w:r>
            <w:r>
              <w:rPr>
                <w:rFonts w:hint="eastAsia" w:cs="Times New Roman"/>
                <w:b/>
                <w:bCs/>
                <w:szCs w:val="21"/>
                <w:highlight w:val="none"/>
                <w:lang w:val="en-US" w:eastAsia="zh-CN"/>
              </w:rPr>
              <w:t>7</w:t>
            </w:r>
            <w:r>
              <w:rPr>
                <w:rFonts w:hint="eastAsia" w:ascii="Times New Roman" w:hAnsi="Times New Roman" w:eastAsia="宋体" w:cs="Times New Roman"/>
                <w:b/>
                <w:bCs/>
                <w:szCs w:val="21"/>
                <w:highlight w:val="none"/>
              </w:rPr>
              <w:t>5℃</w:t>
            </w:r>
          </w:p>
        </w:tc>
      </w:tr>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存储温度</w:t>
            </w:r>
          </w:p>
        </w:tc>
        <w:tc>
          <w:tcPr>
            <w:tcW w:w="67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-40℃～+</w:t>
            </w:r>
            <w:r>
              <w:rPr>
                <w:rFonts w:hint="eastAsia" w:cs="Times New Roman"/>
                <w:b/>
                <w:bCs/>
                <w:szCs w:val="21"/>
                <w:highlight w:val="none"/>
                <w:lang w:val="en-US" w:eastAsia="zh-CN"/>
              </w:rPr>
              <w:t>7</w:t>
            </w:r>
            <w:r>
              <w:rPr>
                <w:rFonts w:ascii="Times New Roman" w:hAnsi="Times New Roman" w:eastAsia="宋体" w:cs="Times New Roman"/>
                <w:b/>
                <w:bCs/>
                <w:szCs w:val="21"/>
                <w:highlight w:val="none"/>
              </w:rPr>
              <w:t>5℃</w:t>
            </w:r>
          </w:p>
        </w:tc>
      </w:tr>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相对工作湿度</w:t>
            </w:r>
          </w:p>
        </w:tc>
        <w:tc>
          <w:tcPr>
            <w:tcW w:w="67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5%~100%</w:t>
            </w:r>
          </w:p>
        </w:tc>
      </w:tr>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静电</w:t>
            </w:r>
          </w:p>
        </w:tc>
        <w:tc>
          <w:tcPr>
            <w:tcW w:w="67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≥8kV</w:t>
            </w:r>
          </w:p>
        </w:tc>
      </w:tr>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振动</w:t>
            </w:r>
          </w:p>
        </w:tc>
        <w:tc>
          <w:tcPr>
            <w:tcW w:w="67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符合GB/T 2423.13</w:t>
            </w:r>
          </w:p>
        </w:tc>
      </w:tr>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冲击</w:t>
            </w:r>
          </w:p>
        </w:tc>
        <w:tc>
          <w:tcPr>
            <w:tcW w:w="67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符合GB/T 2423.</w:t>
            </w:r>
            <w:r>
              <w:rPr>
                <w:rFonts w:hint="eastAsia" w:ascii="Times New Roman" w:hAnsi="Times New Roman" w:eastAsia="宋体" w:cs="Times New Roman"/>
                <w:szCs w:val="21"/>
              </w:rPr>
              <w:t>5</w:t>
            </w:r>
            <w:r>
              <w:rPr>
                <w:rFonts w:ascii="Times New Roman" w:hAnsi="Times New Roman" w:eastAsia="宋体" w:cs="Times New Roman"/>
                <w:szCs w:val="21"/>
              </w:rPr>
              <w:t>试验Eb和导则</w:t>
            </w:r>
          </w:p>
        </w:tc>
      </w:tr>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防护等级</w:t>
            </w:r>
          </w:p>
        </w:tc>
        <w:tc>
          <w:tcPr>
            <w:tcW w:w="67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hint="eastAsia" w:ascii="Times New Roman" w:hAnsi="Times New Roman" w:eastAsia="宋体" w:cs="Times New Roman"/>
                <w:szCs w:val="21"/>
              </w:rPr>
              <w:t>IP65</w:t>
            </w:r>
          </w:p>
        </w:tc>
      </w:tr>
      <w:tr>
        <w:tblPrEx>
          <w:tblLayout w:type="fixed"/>
          <w:tblCellMar>
            <w:top w:w="15" w:type="dxa"/>
            <w:left w:w="15" w:type="dxa"/>
            <w:bottom w:w="15" w:type="dxa"/>
            <w:right w:w="15" w:type="dxa"/>
          </w:tblCellMar>
        </w:tblPrEx>
        <w:trPr>
          <w:trHeight w:val="509" w:hRule="atLeast"/>
          <w:jc w:val="center"/>
        </w:trPr>
        <w:tc>
          <w:tcPr>
            <w:tcW w:w="238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防紫外线</w:t>
            </w:r>
          </w:p>
        </w:tc>
        <w:tc>
          <w:tcPr>
            <w:tcW w:w="67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防紫外线老化</w:t>
            </w:r>
          </w:p>
        </w:tc>
      </w:tr>
    </w:tbl>
    <w:p/>
    <w:p>
      <w:pPr>
        <w:pStyle w:val="5"/>
        <w:numPr>
          <w:ilvl w:val="0"/>
          <w:numId w:val="3"/>
        </w:numPr>
        <w:spacing w:before="0" w:after="0"/>
        <w:ind w:firstLine="0"/>
        <w:jc w:val="left"/>
        <w:rPr>
          <w:rFonts w:hint="eastAsia"/>
          <w:b/>
          <w:bCs/>
          <w:sz w:val="28"/>
          <w:szCs w:val="28"/>
          <w:highlight w:val="none"/>
          <w:lang w:val="en-US" w:eastAsia="zh-CN"/>
        </w:rPr>
      </w:pPr>
      <w:r>
        <w:rPr>
          <w:rFonts w:hint="eastAsia"/>
          <w:b/>
          <w:bCs/>
          <w:sz w:val="28"/>
          <w:szCs w:val="28"/>
          <w:highlight w:val="none"/>
          <w:lang w:val="en-US" w:eastAsia="zh-CN"/>
        </w:rPr>
        <w:t>质量保证期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pPr>
      <w:r>
        <w:rPr>
          <w:rFonts w:hint="eastAsia"/>
          <w:b w:val="0"/>
          <w:bCs w:val="0"/>
          <w:sz w:val="24"/>
          <w:szCs w:val="24"/>
          <w:highlight w:val="none"/>
          <w:lang w:val="en-US" w:eastAsia="zh-CN"/>
        </w:rPr>
        <w:t>自交货日起5年为质保期，在此期间发生的所有一切非人为故障由中标单位免费维修或更换。</w:t>
      </w:r>
    </w:p>
    <w:p>
      <w:pPr>
        <w:pStyle w:val="5"/>
        <w:numPr>
          <w:ilvl w:val="0"/>
          <w:numId w:val="3"/>
        </w:numPr>
        <w:spacing w:before="0" w:after="0"/>
        <w:ind w:firstLine="0"/>
        <w:jc w:val="left"/>
        <w:rPr>
          <w:rFonts w:hint="eastAsia"/>
          <w:b/>
          <w:bCs/>
          <w:sz w:val="28"/>
          <w:szCs w:val="28"/>
          <w:highlight w:val="none"/>
          <w:lang w:val="en-US" w:eastAsia="zh-CN"/>
        </w:rPr>
      </w:pPr>
      <w:r>
        <w:rPr>
          <w:rFonts w:hint="eastAsia"/>
          <w:b/>
          <w:bCs/>
          <w:sz w:val="28"/>
          <w:szCs w:val="28"/>
          <w:highlight w:val="none"/>
          <w:lang w:val="en-US" w:eastAsia="zh-CN"/>
        </w:rPr>
        <w:t>坏卡处理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pPr>
      <w:r>
        <w:rPr>
          <w:rFonts w:hint="eastAsia"/>
          <w:b w:val="0"/>
          <w:bCs w:val="0"/>
          <w:sz w:val="24"/>
          <w:szCs w:val="24"/>
          <w:highlight w:val="none"/>
          <w:lang w:val="en-US" w:eastAsia="zh-CN"/>
        </w:rPr>
        <w:t>CPC卡投入使用后处理流通状态，将流转到省内外多个路段。按照《收费公路联网收费运营和服务规程》，各省中心会建立本省坏卡上交机制，收费公路经营管理单位所收集的坏卡按累计量或者按周期及时上交至所属省中心，以确保坏卡在质保期内及时维修或置换。要求中标单位在质保期内收到属于本批卡产生的坏卡，应按约定进行维修或置换。</w:t>
      </w:r>
    </w:p>
    <w:p>
      <w:pPr>
        <w:pStyle w:val="5"/>
        <w:numPr>
          <w:ilvl w:val="0"/>
          <w:numId w:val="3"/>
        </w:numPr>
        <w:spacing w:before="0" w:after="0"/>
        <w:ind w:firstLine="0"/>
        <w:jc w:val="left"/>
        <w:rPr>
          <w:rFonts w:hint="eastAsia"/>
          <w:b/>
          <w:bCs/>
          <w:sz w:val="28"/>
          <w:szCs w:val="28"/>
          <w:highlight w:val="none"/>
          <w:lang w:val="en-US" w:eastAsia="zh-CN"/>
        </w:rPr>
      </w:pPr>
      <w:r>
        <w:rPr>
          <w:rFonts w:hint="eastAsia"/>
          <w:b/>
          <w:bCs/>
          <w:sz w:val="28"/>
          <w:szCs w:val="28"/>
          <w:highlight w:val="none"/>
          <w:lang w:val="en-US" w:eastAsia="zh-CN"/>
        </w:rPr>
        <w:t>相关工作界面</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pPr>
      <w:r>
        <w:rPr>
          <w:rFonts w:hint="eastAsia"/>
          <w:b w:val="0"/>
          <w:bCs w:val="0"/>
          <w:sz w:val="24"/>
          <w:szCs w:val="24"/>
          <w:highlight w:val="none"/>
          <w:lang w:val="en-US" w:eastAsia="zh-CN"/>
        </w:rPr>
        <w:t>CPC卡必须通过有资质的检测机构按《高速公路ETC门架系统及关键设备检测规程》（交通运输部2019年第59号公告）测试认证合格，达到联网收费的要求为准。生产完成后送至广东联合电子服务股份有限公司（以下简称联合电服），由联合电服完成卡片的初始化发行和入库后，再调拨到招标人使用。</w:t>
      </w:r>
    </w:p>
    <w:p>
      <w:pPr>
        <w:pStyle w:val="5"/>
        <w:numPr>
          <w:ilvl w:val="0"/>
          <w:numId w:val="3"/>
        </w:numPr>
        <w:spacing w:before="0" w:after="0"/>
        <w:ind w:firstLine="0"/>
        <w:jc w:val="left"/>
        <w:rPr>
          <w:rFonts w:hint="eastAsia"/>
          <w:b/>
          <w:bCs/>
          <w:sz w:val="28"/>
          <w:szCs w:val="28"/>
          <w:highlight w:val="none"/>
          <w:lang w:val="en-US" w:eastAsia="zh-CN"/>
        </w:rPr>
      </w:pPr>
      <w:r>
        <w:rPr>
          <w:rFonts w:hint="eastAsia"/>
          <w:b/>
          <w:bCs/>
          <w:sz w:val="28"/>
          <w:szCs w:val="28"/>
          <w:highlight w:val="none"/>
          <w:lang w:val="en-US" w:eastAsia="zh-CN"/>
        </w:rPr>
        <w:t>项目特点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pPr>
      <w:r>
        <w:rPr>
          <w:rFonts w:hint="eastAsia"/>
          <w:b w:val="0"/>
          <w:bCs w:val="0"/>
          <w:sz w:val="24"/>
          <w:szCs w:val="24"/>
          <w:highlight w:val="none"/>
          <w:lang w:val="en-US" w:eastAsia="zh-CN"/>
        </w:rPr>
        <w:t>本采购项目中，卡片生产前需向联合电服提交卡号及卡片入库申请，生产完成后由其对卡片进行初始化、入库及调拨等环节。所以有计划、及时和有效的沟通是本采购项目是否能高效完成的保证。</w:t>
      </w:r>
    </w:p>
    <w:p>
      <w:pPr>
        <w:pStyle w:val="5"/>
        <w:numPr>
          <w:ilvl w:val="0"/>
          <w:numId w:val="3"/>
        </w:numPr>
        <w:spacing w:before="0" w:after="0"/>
        <w:ind w:firstLine="0"/>
        <w:jc w:val="left"/>
        <w:rPr>
          <w:rFonts w:hint="eastAsia"/>
          <w:b/>
          <w:bCs/>
          <w:sz w:val="28"/>
          <w:szCs w:val="28"/>
          <w:highlight w:val="none"/>
          <w:lang w:val="en-US" w:eastAsia="zh-CN"/>
        </w:rPr>
      </w:pPr>
      <w:r>
        <w:rPr>
          <w:rFonts w:hint="eastAsia"/>
          <w:b/>
          <w:bCs/>
          <w:sz w:val="28"/>
          <w:szCs w:val="28"/>
          <w:highlight w:val="none"/>
          <w:lang w:val="en-US" w:eastAsia="zh-CN"/>
        </w:rPr>
        <w:t>采购部署</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sectPr>
          <w:headerReference r:id="rId3" w:type="default"/>
          <w:footerReference r:id="rId4" w:type="default"/>
          <w:pgSz w:w="11906" w:h="16838"/>
          <w:pgMar w:top="1247" w:right="1361" w:bottom="1247" w:left="1361" w:header="851" w:footer="992" w:gutter="0"/>
          <w:pgBorders>
            <w:top w:val="none" w:color="auto" w:sz="0" w:space="0"/>
            <w:left w:val="none" w:color="auto" w:sz="0" w:space="0"/>
            <w:bottom w:val="none" w:color="auto" w:sz="0" w:space="0"/>
            <w:right w:val="none" w:color="auto" w:sz="0" w:space="0"/>
          </w:pgBorders>
          <w:pgNumType w:fmt="decimal" w:start="1"/>
          <w:cols w:space="720" w:num="1"/>
          <w:docGrid w:type="lines" w:linePitch="312" w:charSpace="0"/>
        </w:sectPr>
      </w:pPr>
      <w:r>
        <w:rPr>
          <w:rFonts w:hint="eastAsia"/>
          <w:b w:val="0"/>
          <w:bCs w:val="0"/>
          <w:sz w:val="24"/>
          <w:szCs w:val="24"/>
          <w:highlight w:val="none"/>
          <w:lang w:val="en-US" w:eastAsia="zh-CN"/>
        </w:rPr>
        <w:t>根据《收费公路联网收费运营和服务规程》及《交通运输部办公厅关于印发收费公路联网收费运营和服务规则（2020）补充规定》相关要求及流程，分为申请号段、生产、发货、发行、装箱、入库、调拨等步骤完成。</w:t>
      </w:r>
    </w:p>
    <w:p>
      <w:pPr>
        <w:autoSpaceDE w:val="0"/>
        <w:autoSpaceDN w:val="0"/>
        <w:adjustRightInd w:val="0"/>
        <w:spacing w:before="50"/>
        <w:rPr>
          <w:rFonts w:hint="eastAsia" w:ascii="宋体" w:hAnsi="宋体" w:cs="宋体"/>
          <w:b/>
          <w:sz w:val="30"/>
          <w:szCs w:val="30"/>
          <w:highlight w:val="none"/>
          <w:lang w:val="en-US" w:eastAsia="zh-CN"/>
        </w:rPr>
      </w:pPr>
      <w:bookmarkStart w:id="2" w:name="_Toc31379"/>
      <w:bookmarkStart w:id="3" w:name="_Toc14194"/>
      <w:r>
        <w:rPr>
          <w:rFonts w:hint="eastAsia" w:ascii="宋体" w:hAnsi="宋体" w:cs="宋体"/>
          <w:b/>
          <w:sz w:val="30"/>
          <w:szCs w:val="30"/>
          <w:highlight w:val="none"/>
          <w:lang w:val="en-US" w:eastAsia="zh-CN"/>
        </w:rPr>
        <w:t>附件4  评标办法(双信封的合理低价法)</w:t>
      </w:r>
      <w:bookmarkEnd w:id="2"/>
      <w:bookmarkEnd w:id="3"/>
      <w:bookmarkStart w:id="16" w:name="_GoBack"/>
      <w:bookmarkEnd w:id="16"/>
    </w:p>
    <w:p>
      <w:pPr>
        <w:spacing w:line="440" w:lineRule="exact"/>
        <w:jc w:val="center"/>
        <w:rPr>
          <w:rFonts w:eastAsia="黑体"/>
          <w:color w:val="auto"/>
          <w:sz w:val="32"/>
          <w:szCs w:val="32"/>
          <w:highlight w:val="none"/>
        </w:rPr>
      </w:pPr>
      <w:r>
        <w:rPr>
          <w:rFonts w:eastAsia="黑体"/>
          <w:color w:val="auto"/>
          <w:sz w:val="32"/>
          <w:szCs w:val="32"/>
          <w:highlight w:val="none"/>
        </w:rPr>
        <w:t>评标办法前附表</w:t>
      </w:r>
    </w:p>
    <w:tbl>
      <w:tblPr>
        <w:tblStyle w:val="11"/>
        <w:tblW w:w="9695" w:type="dxa"/>
        <w:jc w:val="center"/>
        <w:tblInd w:w="-2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5"/>
        <w:gridCol w:w="891"/>
        <w:gridCol w:w="7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8" w:hRule="atLeast"/>
          <w:tblHeader/>
          <w:jc w:val="center"/>
        </w:trPr>
        <w:tc>
          <w:tcPr>
            <w:tcW w:w="1866"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b/>
                <w:color w:val="000000"/>
                <w:szCs w:val="21"/>
                <w:highlight w:val="none"/>
              </w:rPr>
            </w:pPr>
            <w:r>
              <w:rPr>
                <w:rFonts w:ascii="宋体" w:hAnsi="宋体"/>
                <w:b/>
                <w:color w:val="000000"/>
                <w:szCs w:val="21"/>
                <w:highlight w:val="none"/>
              </w:rPr>
              <w:t>条款号</w:t>
            </w:r>
          </w:p>
        </w:tc>
        <w:tc>
          <w:tcPr>
            <w:tcW w:w="7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b/>
                <w:color w:val="000000"/>
                <w:szCs w:val="21"/>
                <w:highlight w:val="none"/>
              </w:rPr>
            </w:pPr>
            <w:r>
              <w:rPr>
                <w:rFonts w:ascii="宋体" w:hAnsi="宋体"/>
                <w:b/>
                <w:color w:val="000000"/>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宋体" w:hAnsi="宋体"/>
                <w:color w:val="000000"/>
                <w:szCs w:val="21"/>
                <w:highlight w:val="none"/>
              </w:rPr>
            </w:pPr>
            <w:r>
              <w:rPr>
                <w:rFonts w:hint="eastAsia" w:ascii="宋体" w:hAnsi="宋体"/>
                <w:color w:val="000000"/>
                <w:szCs w:val="21"/>
                <w:highlight w:val="none"/>
              </w:rPr>
              <w:t>1</w:t>
            </w:r>
          </w:p>
        </w:tc>
        <w:tc>
          <w:tcPr>
            <w:tcW w:w="89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宋体" w:hAnsi="宋体"/>
                <w:color w:val="000000"/>
                <w:szCs w:val="21"/>
                <w:highlight w:val="none"/>
              </w:rPr>
            </w:pPr>
            <w:r>
              <w:rPr>
                <w:rFonts w:hint="eastAsia" w:ascii="宋体" w:hAnsi="宋体"/>
                <w:color w:val="000000"/>
                <w:szCs w:val="21"/>
                <w:highlight w:val="none"/>
              </w:rPr>
              <w:t>评标办法</w:t>
            </w:r>
          </w:p>
        </w:tc>
        <w:tc>
          <w:tcPr>
            <w:tcW w:w="7829"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hAnsi="宋体"/>
                <w:color w:val="000000"/>
                <w:szCs w:val="21"/>
                <w:highlight w:val="none"/>
              </w:rPr>
            </w:pPr>
            <w:r>
              <w:rPr>
                <w:rFonts w:hint="eastAsia"/>
                <w:i w:val="0"/>
                <w:iCs w:val="0"/>
                <w:highlight w:val="none"/>
                <w:lang w:val="en-US" w:eastAsia="zh-CN"/>
              </w:rPr>
              <w:t>评标价得分</w:t>
            </w:r>
            <w:r>
              <w:rPr>
                <w:rFonts w:hint="eastAsia" w:hAnsi="宋体"/>
                <w:color w:val="000000"/>
                <w:szCs w:val="21"/>
                <w:highlight w:val="none"/>
              </w:rPr>
              <w:t>相等时，评标委员会依次按照以下优先顺序推荐中标候选人：</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315" w:firstLineChars="150"/>
              <w:textAlignment w:val="auto"/>
              <w:outlineLvl w:val="9"/>
              <w:rPr>
                <w:rFonts w:hint="eastAsia" w:hAnsi="宋体"/>
                <w:color w:val="000000"/>
                <w:szCs w:val="21"/>
                <w:highlight w:val="none"/>
              </w:rPr>
            </w:pPr>
            <w:r>
              <w:rPr>
                <w:rFonts w:hint="eastAsia" w:hAnsi="宋体"/>
                <w:color w:val="000000"/>
                <w:szCs w:val="21"/>
                <w:highlight w:val="none"/>
              </w:rPr>
              <w:t>（1）以投标人企业最新年度</w:t>
            </w:r>
            <w:r>
              <w:rPr>
                <w:rFonts w:hint="eastAsia" w:hAnsi="宋体"/>
                <w:b/>
                <w:bCs/>
                <w:color w:val="000000"/>
                <w:szCs w:val="21"/>
                <w:highlight w:val="none"/>
                <w:lang w:eastAsia="zh-CN"/>
              </w:rPr>
              <w:t>（</w:t>
            </w:r>
            <w:r>
              <w:rPr>
                <w:rFonts w:hint="eastAsia" w:hAnsi="宋体"/>
                <w:b/>
                <w:bCs/>
                <w:color w:val="000000"/>
                <w:szCs w:val="21"/>
                <w:highlight w:val="none"/>
                <w:lang w:val="en-US" w:eastAsia="zh-CN"/>
              </w:rPr>
              <w:t>2022年财务报表为准</w:t>
            </w:r>
            <w:r>
              <w:rPr>
                <w:rFonts w:hint="eastAsia" w:hAnsi="宋体"/>
                <w:b/>
                <w:bCs/>
                <w:color w:val="000000"/>
                <w:szCs w:val="21"/>
                <w:highlight w:val="none"/>
                <w:lang w:eastAsia="zh-CN"/>
              </w:rPr>
              <w:t>）</w:t>
            </w:r>
            <w:r>
              <w:rPr>
                <w:rFonts w:hint="eastAsia" w:hAnsi="宋体"/>
                <w:color w:val="000000"/>
                <w:szCs w:val="21"/>
                <w:highlight w:val="none"/>
              </w:rPr>
              <w:t>净资产较高的优先；</w:t>
            </w:r>
          </w:p>
          <w:p>
            <w:pPr>
              <w:keepNext w:val="0"/>
              <w:keepLines w:val="0"/>
              <w:pageBreakBefore w:val="0"/>
              <w:widowControl w:val="0"/>
              <w:kinsoku/>
              <w:wordWrap/>
              <w:overflowPunct/>
              <w:topLinePunct w:val="0"/>
              <w:autoSpaceDE/>
              <w:autoSpaceDN/>
              <w:bidi w:val="0"/>
              <w:spacing w:line="440" w:lineRule="exact"/>
              <w:ind w:firstLine="315" w:firstLineChars="150"/>
              <w:textAlignment w:val="auto"/>
              <w:outlineLvl w:val="9"/>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）由评标委员会视投标人情况综合比较，投票确定其名次。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30"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2.1.1</w:t>
            </w:r>
          </w:p>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2.1.</w:t>
            </w:r>
            <w:r>
              <w:rPr>
                <w:rFonts w:hint="eastAsia" w:ascii="宋体" w:hAnsi="宋体"/>
                <w:color w:val="000000"/>
                <w:szCs w:val="21"/>
                <w:highlight w:val="none"/>
                <w:lang w:val="en-US" w:eastAsia="zh-CN"/>
              </w:rPr>
              <w:t>3</w:t>
            </w:r>
          </w:p>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p>
        </w:tc>
        <w:tc>
          <w:tcPr>
            <w:tcW w:w="89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textAlignment w:val="auto"/>
              <w:outlineLvl w:val="9"/>
              <w:rPr>
                <w:rFonts w:hint="eastAsia"/>
              </w:rPr>
            </w:pPr>
            <w:r>
              <w:rPr>
                <w:rFonts w:hint="eastAsia"/>
              </w:rPr>
              <w:t>第一个信封（商务及技术文件）评审标准</w:t>
            </w:r>
          </w:p>
          <w:p>
            <w:pPr>
              <w:keepNext w:val="0"/>
              <w:keepLines w:val="0"/>
              <w:pageBreakBefore w:val="0"/>
              <w:widowControl w:val="0"/>
              <w:numPr>
                <w:ilvl w:val="0"/>
                <w:numId w:val="5"/>
              </w:numPr>
              <w:kinsoku/>
              <w:wordWrap/>
              <w:overflowPunct/>
              <w:topLinePunct w:val="0"/>
              <w:autoSpaceDE/>
              <w:autoSpaceDN/>
              <w:bidi w:val="0"/>
              <w:spacing w:line="440" w:lineRule="exact"/>
              <w:ind w:firstLine="420" w:firstLineChars="200"/>
              <w:textAlignment w:val="auto"/>
              <w:outlineLvl w:val="9"/>
            </w:pPr>
            <w:r>
              <w:t>投标文件按照招标文件规定的格式、内容填写，字迹清晰可辨：</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pPr>
            <w:r>
              <w:t>a.投标函按招标文件规定填报了</w:t>
            </w:r>
            <w:r>
              <w:rPr>
                <w:rFonts w:hint="eastAsia"/>
              </w:rPr>
              <w:t>项目名称、补遗书编号（如有）、</w:t>
            </w:r>
            <w:r>
              <w:rPr>
                <w:rFonts w:hint="eastAsia"/>
                <w:lang w:val="en-US" w:eastAsia="zh-CN"/>
              </w:rPr>
              <w:t>合同</w:t>
            </w:r>
            <w:r>
              <w:t>期</w:t>
            </w:r>
            <w:r>
              <w:rPr>
                <w:rFonts w:hint="eastAsia"/>
              </w:rPr>
              <w:t>、</w:t>
            </w:r>
            <w:r>
              <w:rPr>
                <w:rFonts w:hint="eastAsia"/>
                <w:lang w:val="en-US" w:eastAsia="zh-CN"/>
              </w:rPr>
              <w:t>供货期及质量</w:t>
            </w:r>
            <w:r>
              <w:rPr>
                <w:rFonts w:hint="eastAsia"/>
              </w:rPr>
              <w:t>目标</w:t>
            </w:r>
            <w:r>
              <w:t>；</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pPr>
            <w:r>
              <w:t>b.投标函附录的所有数据均符合招标文件规定；</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rPr>
                <w:rFonts w:hint="eastAsia"/>
              </w:rPr>
            </w:pPr>
            <w:r>
              <w:rPr>
                <w:rFonts w:hint="eastAsia"/>
              </w:rPr>
              <w:t>c</w:t>
            </w:r>
            <w:r>
              <w:t>.</w:t>
            </w:r>
            <w:r>
              <w:rPr>
                <w:rFonts w:hint="eastAsia"/>
              </w:rPr>
              <w:t>投标文件（第一个信封）组成齐全完整，</w:t>
            </w:r>
            <w:r>
              <w:rPr>
                <w:rFonts w:hint="eastAsia"/>
                <w:lang w:val="en-US" w:eastAsia="zh-CN"/>
              </w:rPr>
              <w:t>正、副本</w:t>
            </w:r>
            <w:r>
              <w:rPr>
                <w:rFonts w:hint="eastAsia"/>
              </w:rPr>
              <w:t>份数符合规定，内容均按规定填写。</w:t>
            </w:r>
          </w:p>
          <w:p>
            <w:pPr>
              <w:keepNext w:val="0"/>
              <w:keepLines w:val="0"/>
              <w:pageBreakBefore w:val="0"/>
              <w:widowControl w:val="0"/>
              <w:kinsoku/>
              <w:wordWrap/>
              <w:overflowPunct/>
              <w:topLinePunct w:val="0"/>
              <w:autoSpaceDE/>
              <w:autoSpaceDN/>
              <w:bidi w:val="0"/>
              <w:spacing w:line="440" w:lineRule="exact"/>
              <w:ind w:left="-2" w:leftChars="-1" w:firstLine="420" w:firstLineChars="200"/>
              <w:textAlignment w:val="auto"/>
              <w:outlineLvl w:val="9"/>
              <w:rPr>
                <w:rFonts w:hint="eastAsia"/>
              </w:rPr>
            </w:pPr>
            <w:r>
              <w:t>(2) 投标文件上法定代表人或其授权代理人的签字、投标人的单位章盖章齐全，符合招标文件</w:t>
            </w:r>
            <w:r>
              <w:rPr>
                <w:rFonts w:hint="eastAsia"/>
              </w:rPr>
              <w:t>的</w:t>
            </w:r>
            <w:r>
              <w:t>规定。</w:t>
            </w:r>
          </w:p>
          <w:p>
            <w:pPr>
              <w:keepNext w:val="0"/>
              <w:keepLines w:val="0"/>
              <w:pageBreakBefore w:val="0"/>
              <w:widowControl w:val="0"/>
              <w:kinsoku/>
              <w:wordWrap/>
              <w:overflowPunct/>
              <w:topLinePunct w:val="0"/>
              <w:autoSpaceDE/>
              <w:autoSpaceDN/>
              <w:bidi w:val="0"/>
              <w:spacing w:line="440" w:lineRule="exact"/>
              <w:textAlignment w:val="auto"/>
              <w:outlineLvl w:val="9"/>
            </w:pPr>
            <w:r>
              <w:rPr>
                <w:rFonts w:hint="eastAsia"/>
              </w:rPr>
              <w:t xml:space="preserve">    </w:t>
            </w:r>
            <w:r>
              <w:t>(</w:t>
            </w:r>
            <w:r>
              <w:rPr>
                <w:rFonts w:hint="eastAsia"/>
                <w:lang w:val="en-US" w:eastAsia="zh-CN"/>
              </w:rPr>
              <w:t>3</w:t>
            </w:r>
            <w:r>
              <w:t>)</w:t>
            </w:r>
            <w:r>
              <w:rPr>
                <w:rFonts w:hint="eastAsia"/>
                <w:lang w:val="en-US" w:eastAsia="zh-CN"/>
              </w:rPr>
              <w:t xml:space="preserve"> </w:t>
            </w:r>
            <w:r>
              <w:t>投标人按照招标文件的规定提供了投标</w:t>
            </w:r>
            <w:r>
              <w:rPr>
                <w:rFonts w:hint="eastAsia"/>
                <w:lang w:val="en-US" w:eastAsia="zh-CN"/>
              </w:rPr>
              <w:t>保证金</w:t>
            </w:r>
            <w:r>
              <w:t>：</w:t>
            </w:r>
          </w:p>
          <w:p>
            <w:pPr>
              <w:keepNext w:val="0"/>
              <w:keepLines w:val="0"/>
              <w:pageBreakBefore w:val="0"/>
              <w:widowControl w:val="0"/>
              <w:kinsoku/>
              <w:wordWrap/>
              <w:overflowPunct/>
              <w:topLinePunct w:val="0"/>
              <w:autoSpaceDE/>
              <w:autoSpaceDN/>
              <w:bidi w:val="0"/>
              <w:spacing w:line="440" w:lineRule="exact"/>
              <w:ind w:firstLine="445" w:firstLineChars="212"/>
              <w:textAlignment w:val="auto"/>
              <w:outlineLvl w:val="9"/>
            </w:pPr>
            <w:r>
              <w:t>a.投标担保金额符合招标文件规定的金额</w:t>
            </w:r>
            <w:r>
              <w:rPr>
                <w:rFonts w:hint="eastAsia"/>
              </w:rPr>
              <w:t>,且投标保证金有效期不少于投标有效期</w:t>
            </w:r>
            <w:r>
              <w:t>；</w:t>
            </w:r>
          </w:p>
          <w:p>
            <w:pPr>
              <w:keepNext w:val="0"/>
              <w:keepLines w:val="0"/>
              <w:pageBreakBefore w:val="0"/>
              <w:widowControl w:val="0"/>
              <w:kinsoku/>
              <w:wordWrap/>
              <w:overflowPunct/>
              <w:topLinePunct w:val="0"/>
              <w:autoSpaceDE/>
              <w:autoSpaceDN/>
              <w:bidi w:val="0"/>
              <w:spacing w:line="440" w:lineRule="exact"/>
              <w:ind w:firstLine="445" w:firstLineChars="212"/>
              <w:textAlignment w:val="auto"/>
              <w:outlineLvl w:val="9"/>
              <w:rPr>
                <w:rFonts w:hint="eastAsia"/>
              </w:rPr>
            </w:pPr>
            <w:r>
              <w:t>b.</w:t>
            </w:r>
            <w:r>
              <w:rPr>
                <w:rFonts w:hint="eastAsia"/>
              </w:rPr>
              <w:t xml:space="preserve"> 若</w:t>
            </w:r>
            <w:r>
              <w:t>投标担保金</w:t>
            </w:r>
            <w:r>
              <w:rPr>
                <w:rFonts w:hint="eastAsia"/>
              </w:rPr>
              <w:t>采用现金或支票形式提交，投标人应在投标人须知</w:t>
            </w:r>
            <w:r>
              <w:rPr>
                <w:rFonts w:hint="eastAsia"/>
                <w:lang w:val="en-US" w:eastAsia="zh-CN"/>
              </w:rPr>
              <w:t>3.</w:t>
            </w:r>
            <w:r>
              <w:rPr>
                <w:rFonts w:hint="eastAsia"/>
              </w:rPr>
              <w:t>4.1款规定的时间，将投标保证金由投标人的基本账户一次性汇入（或开给）招标人指定账户；</w:t>
            </w:r>
          </w:p>
          <w:p>
            <w:pPr>
              <w:keepNext w:val="0"/>
              <w:keepLines w:val="0"/>
              <w:pageBreakBefore w:val="0"/>
              <w:widowControl w:val="0"/>
              <w:kinsoku/>
              <w:wordWrap/>
              <w:overflowPunct/>
              <w:topLinePunct w:val="0"/>
              <w:autoSpaceDE/>
              <w:autoSpaceDN/>
              <w:bidi w:val="0"/>
              <w:spacing w:line="440" w:lineRule="exact"/>
              <w:ind w:firstLine="445" w:firstLineChars="212"/>
              <w:textAlignment w:val="auto"/>
              <w:outlineLvl w:val="9"/>
            </w:pPr>
            <w:r>
              <w:t>c.若投标担保金采用银行保函</w:t>
            </w:r>
            <w:r>
              <w:rPr>
                <w:rFonts w:hint="eastAsia"/>
              </w:rPr>
              <w:t>形式提交</w:t>
            </w:r>
            <w:r>
              <w:t>，银行保函的格式、开具保函的银行均满足招标文件要求，且银行保函原件在</w:t>
            </w:r>
            <w:r>
              <w:rPr>
                <w:rFonts w:hint="eastAsia"/>
              </w:rPr>
              <w:t>递交</w:t>
            </w:r>
            <w:r>
              <w:t>投标文件</w:t>
            </w:r>
            <w:r>
              <w:rPr>
                <w:rFonts w:hint="eastAsia"/>
              </w:rPr>
              <w:t>时单独密封递交，其复印件装订在投标文件中</w:t>
            </w:r>
            <w:r>
              <w:t>。</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rPr>
                <w:rFonts w:hint="eastAsia"/>
              </w:rPr>
            </w:pPr>
            <w:r>
              <w:rPr>
                <w:rFonts w:hint="eastAsia"/>
              </w:rPr>
              <w:t>(</w:t>
            </w:r>
            <w:r>
              <w:rPr>
                <w:rFonts w:hint="eastAsia"/>
                <w:lang w:val="en-US" w:eastAsia="zh-CN"/>
              </w:rPr>
              <w:t>4</w:t>
            </w:r>
            <w:r>
              <w:rPr>
                <w:rFonts w:hint="eastAsia"/>
              </w:rPr>
              <w:t>)</w:t>
            </w:r>
            <w:r>
              <w:rPr>
                <w:rFonts w:hint="eastAsia"/>
                <w:lang w:val="en-US" w:eastAsia="zh-CN"/>
              </w:rPr>
              <w:t xml:space="preserve"> </w:t>
            </w:r>
            <w:r>
              <w:rPr>
                <w:rFonts w:hint="eastAsia"/>
              </w:rPr>
              <w:t>投标人法定代表人授权委托代理人签署投标文件的，须提交授权委托书，且授权人和被授权人均在授权委托书上签名，未使用印章、签名章或其他电子制版签名。</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rPr>
                <w:rFonts w:hint="eastAsia"/>
              </w:rPr>
            </w:pPr>
            <w:r>
              <w:rPr>
                <w:rFonts w:hint="eastAsia"/>
              </w:rPr>
              <w:t>(</w:t>
            </w:r>
            <w:r>
              <w:rPr>
                <w:rFonts w:hint="eastAsia"/>
                <w:lang w:val="en-US" w:eastAsia="zh-CN"/>
              </w:rPr>
              <w:t>5</w:t>
            </w:r>
            <w:r>
              <w:rPr>
                <w:rFonts w:hint="eastAsia"/>
              </w:rPr>
              <w:t>)</w:t>
            </w:r>
            <w:r>
              <w:rPr>
                <w:rFonts w:hint="eastAsia"/>
                <w:lang w:val="en-US" w:eastAsia="zh-CN"/>
              </w:rPr>
              <w:t xml:space="preserve"> </w:t>
            </w:r>
            <w:r>
              <w:rPr>
                <w:rFonts w:hint="eastAsia"/>
              </w:rPr>
              <w:t>投标人法定代表人若亲自签署投标文件的，提供了法定代表人身份证明，且法定代表人在法定代表人身份证明上签名，未使用印章、签名章或其他电子制版签名。</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pPr>
            <w:r>
              <w:t>(</w:t>
            </w:r>
            <w:r>
              <w:rPr>
                <w:rFonts w:hint="eastAsia"/>
                <w:lang w:val="en-US" w:eastAsia="zh-CN"/>
              </w:rPr>
              <w:t>6</w:t>
            </w:r>
            <w:r>
              <w:t>)</w:t>
            </w:r>
            <w:r>
              <w:rPr>
                <w:rFonts w:hint="eastAsia"/>
                <w:lang w:val="en-US" w:eastAsia="zh-CN"/>
              </w:rPr>
              <w:t xml:space="preserve"> </w:t>
            </w:r>
            <w:r>
              <w:rPr>
                <w:rFonts w:hint="eastAsia"/>
              </w:rPr>
              <w:t>本项目不允许转</w:t>
            </w:r>
            <w:r>
              <w:rPr>
                <w:rFonts w:hint="eastAsia"/>
                <w:lang w:val="en-US" w:eastAsia="zh-CN"/>
              </w:rPr>
              <w:t>包</w:t>
            </w:r>
            <w:r>
              <w:rPr>
                <w:rFonts w:hint="eastAsia"/>
              </w:rPr>
              <w:t>或分包。</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rPr>
                <w:rFonts w:hint="eastAsia"/>
              </w:rPr>
            </w:pPr>
            <w:r>
              <w:t>(</w:t>
            </w:r>
            <w:r>
              <w:rPr>
                <w:rFonts w:hint="eastAsia"/>
                <w:lang w:val="en-US" w:eastAsia="zh-CN"/>
              </w:rPr>
              <w:t>7</w:t>
            </w:r>
            <w:r>
              <w:t>)</w:t>
            </w:r>
            <w:r>
              <w:rPr>
                <w:rFonts w:hint="eastAsia"/>
                <w:lang w:val="en-US" w:eastAsia="zh-CN"/>
              </w:rPr>
              <w:t xml:space="preserve"> </w:t>
            </w:r>
            <w:r>
              <w:rPr>
                <w:rFonts w:hint="eastAsia"/>
              </w:rPr>
              <w:t>同一标段的同一投标人没有提交两个以上不同的投标文件，但招标文件要求提交备选投标的除外。</w:t>
            </w:r>
          </w:p>
          <w:p>
            <w:pPr>
              <w:keepNext w:val="0"/>
              <w:keepLines w:val="0"/>
              <w:pageBreakBefore w:val="0"/>
              <w:widowControl w:val="0"/>
              <w:kinsoku/>
              <w:wordWrap/>
              <w:overflowPunct/>
              <w:topLinePunct w:val="0"/>
              <w:autoSpaceDE/>
              <w:autoSpaceDN/>
              <w:bidi w:val="0"/>
              <w:spacing w:line="440" w:lineRule="exact"/>
              <w:ind w:firstLine="315" w:firstLineChars="150"/>
              <w:textAlignment w:val="auto"/>
              <w:outlineLvl w:val="9"/>
              <w:rPr>
                <w:rFonts w:hint="eastAsia"/>
              </w:rPr>
            </w:pPr>
            <w:r>
              <w:rPr>
                <w:rFonts w:hint="eastAsia"/>
              </w:rPr>
              <w:t>（</w:t>
            </w:r>
            <w:r>
              <w:rPr>
                <w:rFonts w:hint="eastAsia"/>
                <w:lang w:val="en-US" w:eastAsia="zh-CN"/>
              </w:rPr>
              <w:t>8</w:t>
            </w:r>
            <w:r>
              <w:rPr>
                <w:rFonts w:hint="eastAsia"/>
              </w:rPr>
              <w:t>）投标文件第一个信封（商务及技术文件）不得出现有关投标报价的内容。</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pPr>
            <w:r>
              <w:t>(</w:t>
            </w:r>
            <w:r>
              <w:rPr>
                <w:rFonts w:hint="eastAsia"/>
                <w:lang w:val="en-US" w:eastAsia="zh-CN"/>
              </w:rPr>
              <w:t>9</w:t>
            </w:r>
            <w:r>
              <w:t>)</w:t>
            </w:r>
            <w:r>
              <w:rPr>
                <w:rFonts w:hint="eastAsia"/>
                <w:lang w:val="en-US" w:eastAsia="zh-CN"/>
              </w:rPr>
              <w:t xml:space="preserve"> </w:t>
            </w:r>
            <w:r>
              <w:t>投标文件载明的</w:t>
            </w:r>
            <w:r>
              <w:rPr>
                <w:rFonts w:hint="eastAsia"/>
                <w:lang w:val="en-US" w:eastAsia="zh-CN"/>
              </w:rPr>
              <w:t>供货</w:t>
            </w:r>
            <w:r>
              <w:t>期限未超过招标文件规定的时限</w:t>
            </w:r>
            <w:r>
              <w:rPr>
                <w:rFonts w:hint="eastAsia"/>
              </w:rPr>
              <w:t>。</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rPr>
                <w:rFonts w:hint="eastAsia"/>
              </w:rPr>
            </w:pPr>
            <w:r>
              <w:t>(</w:t>
            </w:r>
            <w:r>
              <w:rPr>
                <w:rFonts w:hint="eastAsia"/>
              </w:rPr>
              <w:t>1</w:t>
            </w:r>
            <w:r>
              <w:rPr>
                <w:rFonts w:hint="eastAsia"/>
                <w:lang w:val="en-US" w:eastAsia="zh-CN"/>
              </w:rPr>
              <w:t>0</w:t>
            </w:r>
            <w:r>
              <w:t>)</w:t>
            </w:r>
            <w:r>
              <w:rPr>
                <w:rFonts w:hint="eastAsia"/>
                <w:lang w:val="en-US" w:eastAsia="zh-CN"/>
              </w:rPr>
              <w:t xml:space="preserve"> </w:t>
            </w:r>
            <w:r>
              <w:rPr>
                <w:rFonts w:hint="eastAsia"/>
              </w:rPr>
              <w:t>投标文件对招标文件的实质性要求和条件作出响应</w:t>
            </w:r>
            <w:r>
              <w:rPr>
                <w:rFonts w:hint="eastAsia"/>
                <w:lang w:eastAsia="zh-CN"/>
              </w:rPr>
              <w:t>，</w:t>
            </w:r>
            <w:r>
              <w:rPr>
                <w:rFonts w:hint="eastAsia"/>
                <w:lang w:val="en-US" w:eastAsia="zh-CN"/>
              </w:rPr>
              <w:t>且完全响应“第五章  合同条款”的相关要求</w:t>
            </w:r>
            <w:r>
              <w:rPr>
                <w:rFonts w:hint="eastAsia"/>
              </w:rPr>
              <w:t>。</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pPr>
            <w:r>
              <w:t>(1</w:t>
            </w:r>
            <w:r>
              <w:rPr>
                <w:rFonts w:hint="eastAsia"/>
                <w:lang w:val="en-US" w:eastAsia="zh-CN"/>
              </w:rPr>
              <w:t>1</w:t>
            </w:r>
            <w:r>
              <w:t>)</w:t>
            </w:r>
            <w:r>
              <w:rPr>
                <w:rFonts w:hint="eastAsia"/>
                <w:lang w:val="en-US" w:eastAsia="zh-CN"/>
              </w:rPr>
              <w:t xml:space="preserve"> </w:t>
            </w:r>
            <w:r>
              <w:t>权利义务符合招标文件规定：</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pPr>
            <w:r>
              <w:t>a.投标人应接受招标文件规定的风险划分原则，未提出新的风险划分办法；</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pPr>
            <w:r>
              <w:t>b.投标人未增加发包人的责任范围，或减少投标人义务；</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pPr>
            <w:r>
              <w:t>c.投标人未提出不同的验收、计量、支付办法；</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pPr>
            <w:r>
              <w:t>d.投标人对合同纠纷、事故处理办法未提出异议；</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pPr>
            <w:r>
              <w:t>e.投标人在投标活动中无欺诈行为；</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9"/>
              <w:rPr>
                <w:rFonts w:hint="eastAsia"/>
                <w:lang w:eastAsia="zh-CN"/>
              </w:rPr>
            </w:pPr>
            <w:r>
              <w:t>f.投标人未对合同条款有重要保留</w:t>
            </w:r>
            <w:r>
              <w:rPr>
                <w:rFonts w:hint="eastAsia"/>
                <w:lang w:eastAsia="zh-CN"/>
              </w:rPr>
              <w:t>。</w:t>
            </w:r>
          </w:p>
          <w:p>
            <w:pPr>
              <w:keepNext w:val="0"/>
              <w:keepLines w:val="0"/>
              <w:pageBreakBefore w:val="0"/>
              <w:widowControl w:val="0"/>
              <w:numPr>
                <w:ilvl w:val="0"/>
                <w:numId w:val="6"/>
              </w:numPr>
              <w:kinsoku/>
              <w:wordWrap/>
              <w:overflowPunct/>
              <w:topLinePunct w:val="0"/>
              <w:autoSpaceDE/>
              <w:autoSpaceDN/>
              <w:bidi w:val="0"/>
              <w:spacing w:line="440" w:lineRule="exact"/>
              <w:ind w:firstLine="420" w:firstLineChars="200"/>
              <w:textAlignment w:val="auto"/>
              <w:outlineLvl w:val="9"/>
              <w:rPr>
                <w:rFonts w:hint="eastAsia"/>
              </w:rPr>
            </w:pPr>
            <w:r>
              <w:rPr>
                <w:rFonts w:hint="eastAsia"/>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23"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2.1.1</w:t>
            </w:r>
          </w:p>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yellow"/>
              </w:rPr>
            </w:pPr>
            <w:r>
              <w:rPr>
                <w:rFonts w:ascii="宋体" w:hAnsi="宋体"/>
                <w:color w:val="000000"/>
                <w:szCs w:val="21"/>
                <w:highlight w:val="none"/>
              </w:rPr>
              <w:t>2.1.</w:t>
            </w:r>
            <w:r>
              <w:rPr>
                <w:rFonts w:hint="eastAsia" w:ascii="宋体" w:hAnsi="宋体"/>
                <w:color w:val="000000"/>
                <w:szCs w:val="21"/>
                <w:highlight w:val="none"/>
                <w:lang w:val="en-US" w:eastAsia="zh-CN"/>
              </w:rPr>
              <w:t>3</w:t>
            </w:r>
          </w:p>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p>
        </w:tc>
        <w:tc>
          <w:tcPr>
            <w:tcW w:w="89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left"/>
              <w:textAlignment w:val="auto"/>
              <w:outlineLvl w:val="9"/>
              <w:rPr>
                <w:rFonts w:hint="eastAsia"/>
              </w:rPr>
            </w:pPr>
            <w:r>
              <w:rPr>
                <w:rFonts w:hint="eastAsia"/>
              </w:rPr>
              <w:t>第二</w:t>
            </w:r>
            <w:r>
              <w:rPr>
                <w:rFonts w:hint="eastAsia"/>
                <w:lang w:val="en-US" w:eastAsia="zh-CN"/>
              </w:rPr>
              <w:t>个</w:t>
            </w:r>
            <w:r>
              <w:rPr>
                <w:rFonts w:hint="eastAsia"/>
              </w:rPr>
              <w:t>信封（报价文件）评审标准：</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rPr>
                <w:rFonts w:hint="eastAsia"/>
              </w:rPr>
            </w:pPr>
            <w:r>
              <w:rPr>
                <w:rFonts w:hint="eastAsia"/>
              </w:rPr>
              <w:t>（1）</w:t>
            </w:r>
            <w:r>
              <w:t>投标文件按照招标文件规定的格式、内容填写，字迹清晰可辨：</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pPr>
            <w:r>
              <w:t>a.投标函按招标文件规定填报了</w:t>
            </w:r>
            <w:r>
              <w:rPr>
                <w:rFonts w:hint="eastAsia"/>
              </w:rPr>
              <w:t>项目名称、补遗书编号（如有）、投标价（包括大写金额和小写金额）</w:t>
            </w:r>
            <w:r>
              <w:t>；</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rPr>
                <w:rFonts w:hint="eastAsia"/>
              </w:rPr>
            </w:pPr>
            <w:r>
              <w:rPr>
                <w:rFonts w:hint="eastAsia"/>
                <w:lang w:val="en-US" w:eastAsia="zh-CN"/>
              </w:rPr>
              <w:t>b</w:t>
            </w:r>
            <w:r>
              <w:t>.已标价</w:t>
            </w:r>
            <w:r>
              <w:rPr>
                <w:rFonts w:hint="eastAsia"/>
                <w:lang w:eastAsia="zh-CN"/>
              </w:rPr>
              <w:t>供货量清单</w:t>
            </w:r>
            <w:r>
              <w:rPr>
                <w:rFonts w:hint="eastAsia"/>
              </w:rPr>
              <w:t>及清单</w:t>
            </w:r>
            <w:r>
              <w:t>说明文字与招标文件规定一致，</w:t>
            </w:r>
            <w:r>
              <w:rPr>
                <w:rFonts w:hint="eastAsia"/>
              </w:rPr>
              <w:t>未</w:t>
            </w:r>
            <w:r>
              <w:t>进行修改和删减；</w:t>
            </w:r>
          </w:p>
          <w:p>
            <w:pPr>
              <w:keepNext w:val="0"/>
              <w:keepLines w:val="0"/>
              <w:pageBreakBefore w:val="0"/>
              <w:widowControl w:val="0"/>
              <w:kinsoku/>
              <w:wordWrap/>
              <w:overflowPunct/>
              <w:topLinePunct w:val="0"/>
              <w:autoSpaceDE/>
              <w:autoSpaceDN/>
              <w:bidi w:val="0"/>
              <w:spacing w:line="440" w:lineRule="exact"/>
              <w:ind w:firstLine="0"/>
              <w:textAlignment w:val="auto"/>
              <w:outlineLvl w:val="9"/>
              <w:rPr>
                <w:rFonts w:hint="eastAsia"/>
              </w:rPr>
            </w:pPr>
            <w:r>
              <w:rPr>
                <w:rFonts w:hint="eastAsia"/>
                <w:lang w:val="en-US" w:eastAsia="zh-CN"/>
              </w:rPr>
              <w:t xml:space="preserve">    c</w:t>
            </w:r>
            <w:r>
              <w:t>.</w:t>
            </w:r>
            <w:r>
              <w:rPr>
                <w:rFonts w:hint="eastAsia"/>
              </w:rPr>
              <w:t>投标文件（第</w:t>
            </w:r>
            <w:r>
              <w:rPr>
                <w:rFonts w:hint="eastAsia"/>
                <w:lang w:val="en-US" w:eastAsia="zh-CN"/>
              </w:rPr>
              <w:t>二</w:t>
            </w:r>
            <w:r>
              <w:rPr>
                <w:rFonts w:hint="eastAsia"/>
              </w:rPr>
              <w:t>个信封）组成齐全完整，</w:t>
            </w:r>
            <w:r>
              <w:rPr>
                <w:rFonts w:hint="default"/>
                <w:lang w:val="en-US" w:eastAsia="zh-CN"/>
              </w:rPr>
              <w:t>正、副本</w:t>
            </w:r>
            <w:r>
              <w:rPr>
                <w:rFonts w:hint="eastAsia"/>
              </w:rPr>
              <w:t>份数符合规定，内容均按规定填写。</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rPr>
                <w:rFonts w:hint="eastAsia"/>
              </w:rPr>
            </w:pPr>
            <w:r>
              <w:rPr>
                <w:rFonts w:hint="eastAsia"/>
              </w:rPr>
              <w:t>（2）</w:t>
            </w:r>
            <w:r>
              <w:t>投标文件上法定代表人或其授权代理人的签字、投标人的单位章盖章齐全，符合招标文件</w:t>
            </w:r>
            <w:r>
              <w:rPr>
                <w:rFonts w:hint="eastAsia"/>
              </w:rPr>
              <w:t>的</w:t>
            </w:r>
            <w:r>
              <w:t>规定</w:t>
            </w:r>
            <w:r>
              <w:rPr>
                <w:rFonts w:hint="eastAsia"/>
              </w:rPr>
              <w:t>；</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rPr>
                <w:rFonts w:hint="eastAsia"/>
                <w:highlight w:val="none"/>
              </w:rPr>
            </w:pPr>
            <w:r>
              <w:rPr>
                <w:rFonts w:hint="eastAsia"/>
                <w:highlight w:val="none"/>
              </w:rPr>
              <w:t>（3）</w:t>
            </w:r>
            <w:r>
              <w:rPr>
                <w:rFonts w:hint="default"/>
                <w:highlight w:val="none"/>
              </w:rPr>
              <w:t>投标报价中的报价未超过招标文件设定的最高投标限价</w:t>
            </w:r>
            <w:r>
              <w:rPr>
                <w:rFonts w:hint="eastAsia"/>
                <w:highlight w:val="none"/>
              </w:rPr>
              <w:t>。</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rPr>
                <w:rFonts w:hint="default"/>
                <w:lang w:eastAsia="zh-CN"/>
              </w:rPr>
            </w:pPr>
            <w:r>
              <w:rPr>
                <w:rFonts w:hint="default"/>
                <w:lang w:eastAsia="zh-CN"/>
              </w:rPr>
              <w:t>（4）投标报价中报价的大写金额能够确定具体数值。</w:t>
            </w:r>
          </w:p>
          <w:p>
            <w:pPr>
              <w:keepNext w:val="0"/>
              <w:keepLines w:val="0"/>
              <w:pageBreakBefore w:val="0"/>
              <w:widowControl w:val="0"/>
              <w:kinsoku/>
              <w:wordWrap/>
              <w:overflowPunct/>
              <w:topLinePunct w:val="0"/>
              <w:autoSpaceDE/>
              <w:autoSpaceDN/>
              <w:bidi w:val="0"/>
              <w:spacing w:line="440" w:lineRule="exact"/>
              <w:ind w:firstLine="390"/>
              <w:textAlignment w:val="auto"/>
              <w:outlineLvl w:val="9"/>
              <w:rPr>
                <w:rFonts w:hint="default"/>
                <w:lang w:eastAsia="zh-CN"/>
              </w:rPr>
            </w:pPr>
            <w:r>
              <w:rPr>
                <w:rFonts w:hint="default"/>
                <w:lang w:eastAsia="zh-CN"/>
              </w:rPr>
              <w:t>（5）投标人须对本项目提供独立的投标报价，同一标段的同一投标人仅可提交一个投标报价，但招标文件要求提交备选投标的除外。</w:t>
            </w:r>
          </w:p>
          <w:p>
            <w:pPr>
              <w:spacing w:line="440" w:lineRule="exact"/>
              <w:ind w:firstLine="390"/>
              <w:rPr>
                <w:rFonts w:hint="eastAsia"/>
                <w:lang w:val="en-US" w:eastAsia="zh-CN"/>
              </w:rPr>
            </w:pPr>
            <w:r>
              <w:rPr>
                <w:rFonts w:hint="default"/>
                <w:lang w:eastAsia="zh-CN"/>
              </w:rPr>
              <w:t>（6）</w:t>
            </w:r>
            <w:r>
              <w:rPr>
                <w:rFonts w:hint="eastAsia" w:ascii="宋体" w:hAnsi="宋体"/>
                <w:color w:val="000000"/>
                <w:szCs w:val="21"/>
              </w:rPr>
              <w:t>投标文件正、副本份数符合招标文件第二章“投标人须知”第3.7.4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2.1.2</w:t>
            </w:r>
          </w:p>
        </w:tc>
        <w:tc>
          <w:tcPr>
            <w:tcW w:w="89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资格评审标准</w:t>
            </w:r>
          </w:p>
        </w:tc>
        <w:tc>
          <w:tcPr>
            <w:tcW w:w="78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lang w:val="en-US" w:eastAsia="zh-CN"/>
              </w:rPr>
            </w:pPr>
            <w:r>
              <w:rPr>
                <w:rFonts w:hint="eastAsia"/>
                <w:lang w:val="en-US"/>
              </w:rPr>
              <w:t>（1）</w:t>
            </w:r>
            <w:r>
              <w:rPr>
                <w:rFonts w:hint="default"/>
                <w:lang w:val="en-US"/>
              </w:rPr>
              <w:t>投标人具备有效的</w:t>
            </w:r>
            <w:r>
              <w:rPr>
                <w:rFonts w:hint="eastAsia"/>
                <w:lang w:val="en-US"/>
              </w:rPr>
              <w:t>营业执照</w:t>
            </w:r>
            <w:r>
              <w:rPr>
                <w:rFonts w:hint="default"/>
                <w:lang w:val="en-US"/>
              </w:rPr>
              <w:t>和</w:t>
            </w:r>
            <w:r>
              <w:rPr>
                <w:rFonts w:hint="eastAsia"/>
                <w:lang w:val="en-US"/>
              </w:rPr>
              <w:t>基本账户开户许可证（如企业所在地已取消企业银行账户许可而无法提供开户许可证的，则需附上开户银行出具的“基本存款账户信息”或“人民银行账户管理系统查询的基本账户信息截图”）</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highlight w:val="none"/>
                <w:lang w:val="en-US"/>
              </w:rPr>
            </w:pPr>
            <w:r>
              <w:rPr>
                <w:rFonts w:hint="eastAsia"/>
                <w:highlight w:val="none"/>
                <w:lang w:val="en-US"/>
              </w:rPr>
              <w:t>（2）投标人的资质</w:t>
            </w:r>
            <w:r>
              <w:rPr>
                <w:rFonts w:hint="eastAsia"/>
                <w:highlight w:val="none"/>
                <w:lang w:val="en-US" w:eastAsia="zh-CN"/>
              </w:rPr>
              <w:t>状况</w:t>
            </w:r>
            <w:r>
              <w:rPr>
                <w:rFonts w:hint="eastAsia"/>
                <w:highlight w:val="none"/>
                <w:lang w:val="en-US"/>
              </w:rPr>
              <w:t>符合规定</w:t>
            </w:r>
            <w:r>
              <w:rPr>
                <w:rFonts w:hint="eastAsia"/>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200"/>
              <w:textAlignment w:val="auto"/>
              <w:outlineLvl w:val="9"/>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投标人的财务状况符合</w:t>
            </w:r>
            <w:r>
              <w:rPr>
                <w:rFonts w:hint="eastAsia" w:ascii="Times New Roman" w:hAnsi="Times New Roman" w:eastAsia="宋体" w:cs="Times New Roman"/>
                <w:kern w:val="2"/>
                <w:sz w:val="21"/>
                <w:szCs w:val="24"/>
                <w:highlight w:val="none"/>
                <w:lang w:val="en-US" w:eastAsia="zh-CN" w:bidi="ar-SA"/>
              </w:rPr>
              <w:t>规定；</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200"/>
              <w:textAlignment w:val="auto"/>
              <w:outlineLvl w:val="9"/>
              <w:rPr>
                <w:rFonts w:ascii="Times New Roman" w:hAnsi="Times New Roman" w:eastAsia="宋体" w:cs="Times New Roman"/>
                <w:kern w:val="2"/>
                <w:sz w:val="21"/>
                <w:szCs w:val="24"/>
                <w:highlight w:val="none"/>
                <w:lang w:val="en-US" w:eastAsia="zh-CN" w:bidi="ar-SA"/>
              </w:rPr>
            </w:pPr>
            <w:r>
              <w:rPr>
                <w:rFonts w:ascii="Times New Roman" w:hAnsi="Times New Roman" w:eastAsia="宋体" w:cs="Times New Roman"/>
                <w:kern w:val="2"/>
                <w:sz w:val="21"/>
                <w:szCs w:val="24"/>
                <w:highlight w:val="none"/>
                <w:lang w:val="en-US" w:eastAsia="zh-CN" w:bidi="ar-SA"/>
              </w:rPr>
              <w:t>投标人的</w:t>
            </w:r>
            <w:r>
              <w:rPr>
                <w:rFonts w:hint="eastAsia" w:ascii="Times New Roman" w:hAnsi="Times New Roman" w:cs="Times New Roman"/>
                <w:kern w:val="2"/>
                <w:sz w:val="21"/>
                <w:szCs w:val="24"/>
                <w:highlight w:val="none"/>
                <w:lang w:val="en-US" w:eastAsia="zh-CN" w:bidi="ar-SA"/>
              </w:rPr>
              <w:t>业绩</w:t>
            </w:r>
            <w:r>
              <w:rPr>
                <w:rFonts w:ascii="Times New Roman" w:hAnsi="Times New Roman" w:eastAsia="宋体" w:cs="Times New Roman"/>
                <w:kern w:val="2"/>
                <w:sz w:val="21"/>
                <w:szCs w:val="24"/>
                <w:highlight w:val="none"/>
                <w:lang w:val="en-US" w:eastAsia="zh-CN" w:bidi="ar-SA"/>
              </w:rPr>
              <w:t>状况符合</w:t>
            </w:r>
            <w:r>
              <w:rPr>
                <w:rFonts w:hint="eastAsia" w:ascii="Times New Roman" w:hAnsi="Times New Roman" w:eastAsia="宋体" w:cs="Times New Roman"/>
                <w:kern w:val="2"/>
                <w:sz w:val="21"/>
                <w:szCs w:val="24"/>
                <w:highlight w:val="none"/>
                <w:lang w:val="en-US" w:eastAsia="zh-CN" w:bidi="ar-SA"/>
              </w:rPr>
              <w:t>规定</w:t>
            </w:r>
            <w:r>
              <w:rPr>
                <w:rFonts w:hint="eastAsia" w:cs="Times New Roman"/>
                <w:kern w:val="2"/>
                <w:sz w:val="21"/>
                <w:szCs w:val="24"/>
                <w:highlight w:val="none"/>
                <w:lang w:val="en-US" w:eastAsia="zh-CN" w:bidi="ar-SA"/>
              </w:rPr>
              <w:t>；</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200"/>
              <w:textAlignment w:val="auto"/>
              <w:outlineLvl w:val="9"/>
              <w:rPr>
                <w:highlight w:val="none"/>
              </w:rPr>
            </w:pPr>
            <w:r>
              <w:rPr>
                <w:rFonts w:ascii="Times New Roman" w:hAnsi="Times New Roman" w:eastAsia="宋体" w:cs="Times New Roman"/>
                <w:kern w:val="2"/>
                <w:sz w:val="21"/>
                <w:szCs w:val="24"/>
                <w:highlight w:val="none"/>
                <w:lang w:val="en-US" w:eastAsia="zh-CN" w:bidi="ar-SA"/>
              </w:rPr>
              <w:t>投标人的信誉状</w:t>
            </w:r>
            <w:r>
              <w:rPr>
                <w:highlight w:val="none"/>
              </w:rPr>
              <w:t>况符合</w:t>
            </w:r>
            <w:r>
              <w:rPr>
                <w:rFonts w:hint="eastAsia"/>
                <w:highlight w:val="none"/>
                <w:lang w:val="en-US"/>
              </w:rPr>
              <w:t>规定</w:t>
            </w:r>
            <w:r>
              <w:rPr>
                <w:rFonts w:hint="eastAsia"/>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200"/>
              <w:textAlignment w:val="auto"/>
              <w:outlineLvl w:val="9"/>
              <w:rPr>
                <w:highlight w:val="none"/>
              </w:rPr>
            </w:pPr>
            <w:r>
              <w:rPr>
                <w:highlight w:val="none"/>
              </w:rPr>
              <w:t>投标人的</w:t>
            </w:r>
            <w:r>
              <w:rPr>
                <w:rFonts w:hint="eastAsia"/>
                <w:highlight w:val="none"/>
                <w:lang w:val="en-US" w:eastAsia="zh-CN"/>
              </w:rPr>
              <w:t>投标实物参数</w:t>
            </w:r>
            <w:r>
              <w:rPr>
                <w:highlight w:val="none"/>
              </w:rPr>
              <w:t>符合</w:t>
            </w:r>
            <w:r>
              <w:rPr>
                <w:rFonts w:hint="eastAsia"/>
                <w:highlight w:val="none"/>
                <w:lang w:val="en-US"/>
              </w:rPr>
              <w:t>规定</w:t>
            </w:r>
            <w:r>
              <w:rPr>
                <w:rFonts w:hint="eastAsia"/>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rPr>
            </w:pPr>
            <w:r>
              <w:rPr>
                <w:rFonts w:ascii="宋体" w:hAnsi="宋体"/>
                <w:color w:val="000000"/>
                <w:szCs w:val="21"/>
                <w:highlight w:val="none"/>
              </w:rPr>
              <w:t>不存在第二章“投标人须知”第1.4.3项</w:t>
            </w:r>
            <w:r>
              <w:rPr>
                <w:rFonts w:hint="eastAsia" w:ascii="宋体" w:hAnsi="宋体"/>
                <w:color w:val="000000"/>
                <w:szCs w:val="21"/>
                <w:highlight w:val="none"/>
              </w:rPr>
              <w:t>或第1.4.4项</w:t>
            </w:r>
            <w:r>
              <w:rPr>
                <w:rFonts w:ascii="宋体" w:hAnsi="宋体"/>
                <w:color w:val="000000"/>
                <w:szCs w:val="21"/>
                <w:highlight w:val="none"/>
              </w:rPr>
              <w:t>规定的任何一种情形</w:t>
            </w:r>
            <w:r>
              <w:rPr>
                <w:rFonts w:hint="eastAsia" w:ascii="宋体" w:hAnsi="宋体"/>
                <w:color w:val="000000"/>
                <w:szCs w:val="21"/>
                <w:highlight w:val="none"/>
              </w:rPr>
              <w:t>。</w:t>
            </w:r>
            <w:r>
              <w:rPr>
                <w:rFonts w:ascii="宋体" w:hAnsi="宋体"/>
                <w:color w:val="000000"/>
                <w:szCs w:val="21"/>
                <w:highlight w:val="none"/>
              </w:rPr>
              <w:t xml:space="preserve"> </w:t>
            </w: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3"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2.2.1</w:t>
            </w:r>
          </w:p>
        </w:tc>
        <w:tc>
          <w:tcPr>
            <w:tcW w:w="89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分值构成(总分100分)</w:t>
            </w:r>
          </w:p>
        </w:tc>
        <w:tc>
          <w:tcPr>
            <w:tcW w:w="7829" w:type="dxa"/>
            <w:tcBorders>
              <w:top w:val="single" w:color="auto" w:sz="4" w:space="0"/>
              <w:left w:val="single" w:color="auto" w:sz="4" w:space="0"/>
              <w:bottom w:val="single" w:color="auto" w:sz="4" w:space="0"/>
              <w:right w:val="single" w:color="auto" w:sz="4" w:space="0"/>
            </w:tcBorders>
            <w:vAlign w:val="center"/>
          </w:tcPr>
          <w:p>
            <w:pPr>
              <w:pStyle w:val="5"/>
              <w:spacing w:line="440" w:lineRule="exact"/>
              <w:ind w:left="0" w:leftChars="0" w:firstLine="0" w:firstLineChars="0"/>
              <w:rPr>
                <w:rFonts w:hint="default" w:cs="Times New Roman"/>
                <w:b/>
                <w:bCs/>
                <w:kern w:val="2"/>
                <w:szCs w:val="22"/>
                <w:highlight w:val="yellow"/>
                <w:lang w:val="en-US" w:eastAsia="zh-CN"/>
              </w:rPr>
            </w:pPr>
            <w:r>
              <w:rPr>
                <w:rFonts w:hint="eastAsia" w:ascii="Times New Roman" w:hAnsi="Times New Roman" w:eastAsia="宋体" w:cs="Times New Roman"/>
                <w:b/>
                <w:bCs/>
                <w:kern w:val="2"/>
                <w:szCs w:val="22"/>
                <w:highlight w:val="none"/>
                <w:lang w:val="en-US" w:eastAsia="zh-CN"/>
              </w:rPr>
              <w:t>评标价：</w:t>
            </w:r>
            <w:r>
              <w:rPr>
                <w:rFonts w:hint="eastAsia" w:ascii="Times New Roman" w:hAnsi="Times New Roman" w:eastAsia="宋体" w:cs="Times New Roman"/>
                <w:b/>
                <w:bCs/>
                <w:kern w:val="2"/>
                <w:szCs w:val="22"/>
                <w:highlight w:val="none"/>
                <w:u w:val="none"/>
                <w:lang w:val="en-US" w:eastAsia="zh-CN"/>
              </w:rPr>
              <w:t xml:space="preserve"> </w:t>
            </w:r>
            <w:r>
              <w:rPr>
                <w:rFonts w:hint="eastAsia" w:cs="Times New Roman"/>
                <w:b/>
                <w:bCs/>
                <w:kern w:val="2"/>
                <w:szCs w:val="22"/>
                <w:highlight w:val="none"/>
                <w:u w:val="none"/>
                <w:lang w:val="en-US" w:eastAsia="zh-CN"/>
              </w:rPr>
              <w:t>100</w:t>
            </w:r>
            <w:r>
              <w:rPr>
                <w:rFonts w:hint="eastAsia" w:ascii="Times New Roman" w:hAnsi="Times New Roman" w:eastAsia="宋体" w:cs="Times New Roman"/>
                <w:b/>
                <w:bCs/>
                <w:kern w:val="2"/>
                <w:szCs w:val="22"/>
                <w:highlight w:val="none"/>
                <w:u w:val="none"/>
                <w:lang w:val="en-US" w:eastAsia="zh-CN"/>
              </w:rPr>
              <w:t xml:space="preserve"> </w:t>
            </w:r>
            <w:r>
              <w:rPr>
                <w:rFonts w:hint="eastAsia" w:ascii="Times New Roman" w:hAnsi="Times New Roman" w:eastAsia="宋体" w:cs="Times New Roman"/>
                <w:b/>
                <w:bCs/>
                <w:kern w:val="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ascii="宋体" w:hAnsi="宋体"/>
                <w:color w:val="000000"/>
                <w:szCs w:val="21"/>
                <w:highlight w:val="none"/>
              </w:rPr>
            </w:pPr>
            <w:r>
              <w:rPr>
                <w:rFonts w:ascii="宋体" w:hAnsi="宋体"/>
                <w:color w:val="000000"/>
                <w:szCs w:val="21"/>
                <w:highlight w:val="none"/>
              </w:rPr>
              <w:t>2.2.</w:t>
            </w:r>
            <w:r>
              <w:rPr>
                <w:rFonts w:hint="eastAsia" w:ascii="宋体" w:hAnsi="宋体"/>
                <w:color w:val="000000"/>
                <w:szCs w:val="21"/>
                <w:highlight w:val="none"/>
                <w:lang w:val="en-US" w:eastAsia="zh-CN"/>
              </w:rPr>
              <w:t>2</w:t>
            </w:r>
          </w:p>
        </w:tc>
        <w:tc>
          <w:tcPr>
            <w:tcW w:w="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宋体" w:hAnsi="宋体"/>
                <w:color w:val="000000"/>
                <w:szCs w:val="21"/>
                <w:highlight w:val="none"/>
                <w:lang w:val="en-US" w:eastAsia="zh-CN"/>
              </w:rPr>
            </w:pPr>
            <w:r>
              <w:rPr>
                <w:rFonts w:hint="eastAsia" w:ascii="宋体" w:hAnsi="宋体"/>
                <w:b/>
                <w:bCs/>
                <w:kern w:val="0"/>
                <w:highlight w:val="none"/>
                <w:lang w:val="en-US" w:eastAsia="zh-CN"/>
              </w:rPr>
              <w:t>评标基准价计算方法</w:t>
            </w:r>
          </w:p>
        </w:tc>
        <w:tc>
          <w:tcPr>
            <w:tcW w:w="7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b/>
                <w:color w:val="000000"/>
                <w:szCs w:val="21"/>
                <w:highlight w:val="none"/>
              </w:rPr>
            </w:pPr>
            <w:r>
              <w:rPr>
                <w:rFonts w:hint="eastAsia" w:ascii="宋体" w:hAnsi="宋体"/>
                <w:b/>
                <w:color w:val="000000"/>
                <w:szCs w:val="21"/>
                <w:highlight w:val="none"/>
              </w:rPr>
              <w:t>评标基准价的计算：</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b/>
                <w:color w:val="000000"/>
                <w:szCs w:val="21"/>
                <w:highlight w:val="none"/>
              </w:rPr>
            </w:pPr>
            <w:r>
              <w:rPr>
                <w:rFonts w:hint="eastAsia" w:ascii="宋体" w:hAnsi="宋体"/>
                <w:b/>
                <w:color w:val="000000"/>
                <w:szCs w:val="21"/>
                <w:highlight w:val="none"/>
              </w:rPr>
              <w:t>在开标现场，招标人将当场计算并宣布评标基准价。</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b/>
                <w:color w:val="000000"/>
                <w:szCs w:val="21"/>
                <w:highlight w:val="none"/>
              </w:rPr>
            </w:pPr>
            <w:r>
              <w:rPr>
                <w:rFonts w:hint="eastAsia" w:ascii="宋体" w:hAnsi="宋体"/>
                <w:b/>
                <w:color w:val="000000"/>
                <w:szCs w:val="21"/>
                <w:highlight w:val="none"/>
              </w:rPr>
              <w:t>(1) 评标价的确定：</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投标人评标价＝报价函文字报价</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b/>
                <w:color w:val="000000"/>
                <w:kern w:val="0"/>
                <w:szCs w:val="21"/>
                <w:highlight w:val="none"/>
              </w:rPr>
            </w:pPr>
            <w:r>
              <w:rPr>
                <w:rFonts w:hint="eastAsia" w:ascii="宋体" w:hAnsi="宋体"/>
                <w:b/>
                <w:color w:val="000000"/>
                <w:kern w:val="0"/>
                <w:szCs w:val="21"/>
                <w:highlight w:val="none"/>
              </w:rPr>
              <w:t>(2) 最高评标限价的确定</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color w:val="000000"/>
                <w:kern w:val="0"/>
                <w:szCs w:val="21"/>
                <w:highlight w:val="none"/>
              </w:rPr>
            </w:pPr>
            <w:r>
              <w:rPr>
                <w:rFonts w:hint="eastAsia" w:ascii="宋体" w:hAnsi="宋体"/>
                <w:color w:val="000000"/>
                <w:kern w:val="0"/>
                <w:szCs w:val="21"/>
                <w:highlight w:val="none"/>
              </w:rPr>
              <w:t>招标人在文件的基础上，根据本招标文件规定的条件和标准，</w:t>
            </w:r>
            <w:r>
              <w:rPr>
                <w:rFonts w:hint="eastAsia" w:ascii="宋体" w:hAnsi="宋体"/>
                <w:color w:val="000000"/>
                <w:kern w:val="0"/>
                <w:szCs w:val="21"/>
                <w:highlight w:val="none"/>
                <w:lang w:val="en-US" w:eastAsia="zh-CN"/>
              </w:rPr>
              <w:t>确定了</w:t>
            </w:r>
            <w:r>
              <w:rPr>
                <w:rFonts w:hint="eastAsia" w:ascii="宋体" w:hAnsi="宋体"/>
                <w:color w:val="000000"/>
                <w:kern w:val="0"/>
                <w:szCs w:val="21"/>
                <w:highlight w:val="none"/>
              </w:rPr>
              <w:t>最高投标限价。</w:t>
            </w:r>
          </w:p>
          <w:tbl>
            <w:tblPr>
              <w:tblStyle w:val="11"/>
              <w:tblW w:w="7000" w:type="dxa"/>
              <w:jc w:val="center"/>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1363"/>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099" w:type="dxa"/>
                  <w:vMerge w:val="restart"/>
                  <w:vAlign w:val="center"/>
                </w:tcPr>
                <w:p>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b/>
                      <w:bCs/>
                      <w:kern w:val="0"/>
                      <w:szCs w:val="21"/>
                      <w:highlight w:val="none"/>
                      <w:lang w:val="en-US"/>
                    </w:rPr>
                  </w:pPr>
                  <w:r>
                    <w:rPr>
                      <w:rFonts w:hint="eastAsia" w:ascii="宋体" w:hAnsi="宋体" w:eastAsia="宋体" w:cs="宋体"/>
                      <w:b/>
                      <w:bCs/>
                      <w:i w:val="0"/>
                      <w:color w:val="auto"/>
                      <w:sz w:val="21"/>
                      <w:szCs w:val="21"/>
                      <w:highlight w:val="none"/>
                      <w:u w:val="none"/>
                      <w:lang w:val="en-US" w:eastAsia="zh-CN"/>
                    </w:rPr>
                    <w:t>最高投标限价（元）</w:t>
                  </w:r>
                </w:p>
              </w:tc>
              <w:tc>
                <w:tcPr>
                  <w:tcW w:w="1363"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b/>
                      <w:bCs/>
                      <w:kern w:val="0"/>
                      <w:szCs w:val="21"/>
                      <w:highlight w:val="none"/>
                    </w:rPr>
                  </w:pPr>
                  <w:r>
                    <w:rPr>
                      <w:rFonts w:hint="eastAsia" w:ascii="宋体" w:hAnsi="宋体"/>
                      <w:b/>
                      <w:bCs/>
                      <w:kern w:val="0"/>
                      <w:szCs w:val="21"/>
                      <w:highlight w:val="none"/>
                    </w:rPr>
                    <w:t>大写</w:t>
                  </w:r>
                </w:p>
              </w:tc>
              <w:tc>
                <w:tcPr>
                  <w:tcW w:w="3538"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b/>
                      <w:bCs/>
                      <w:kern w:val="0"/>
                      <w:szCs w:val="21"/>
                      <w:highlight w:val="none"/>
                    </w:rPr>
                  </w:pPr>
                  <w:r>
                    <w:rPr>
                      <w:rFonts w:hint="eastAsia" w:ascii="宋体" w:hAnsi="宋体"/>
                      <w:b/>
                      <w:bCs/>
                      <w:kern w:val="0"/>
                      <w:szCs w:val="21"/>
                      <w:highlight w:val="none"/>
                    </w:rPr>
                    <w:fldChar w:fldCharType="begin"/>
                  </w:r>
                  <w:r>
                    <w:rPr>
                      <w:rFonts w:hint="eastAsia" w:ascii="宋体" w:hAnsi="宋体"/>
                      <w:b/>
                      <w:bCs/>
                      <w:kern w:val="0"/>
                      <w:szCs w:val="21"/>
                      <w:highlight w:val="none"/>
                    </w:rPr>
                    <w:instrText xml:space="preserve"> = 4368000 \* CHINESENUM4 \* MERGEFORMAT </w:instrText>
                  </w:r>
                  <w:r>
                    <w:rPr>
                      <w:rFonts w:hint="eastAsia" w:ascii="宋体" w:hAnsi="宋体"/>
                      <w:b/>
                      <w:bCs/>
                      <w:kern w:val="0"/>
                      <w:szCs w:val="21"/>
                      <w:highlight w:val="none"/>
                    </w:rPr>
                    <w:fldChar w:fldCharType="separate"/>
                  </w:r>
                  <w:r>
                    <w:rPr>
                      <w:rFonts w:hint="eastAsia" w:ascii="宋体" w:hAnsi="宋体"/>
                      <w:b/>
                      <w:bCs/>
                      <w:kern w:val="0"/>
                      <w:szCs w:val="21"/>
                      <w:highlight w:val="none"/>
                    </w:rPr>
                    <w:fldChar w:fldCharType="begin"/>
                  </w:r>
                  <w:r>
                    <w:rPr>
                      <w:rFonts w:hint="eastAsia" w:ascii="宋体" w:hAnsi="宋体"/>
                      <w:b/>
                      <w:bCs/>
                      <w:kern w:val="0"/>
                      <w:szCs w:val="21"/>
                      <w:highlight w:val="none"/>
                    </w:rPr>
                    <w:instrText xml:space="preserve"> = 3931200 \* CHINESENUM2 \* MERGEFORMAT </w:instrText>
                  </w:r>
                  <w:r>
                    <w:rPr>
                      <w:rFonts w:hint="eastAsia" w:ascii="宋体" w:hAnsi="宋体"/>
                      <w:b/>
                      <w:bCs/>
                      <w:kern w:val="0"/>
                      <w:szCs w:val="21"/>
                      <w:highlight w:val="none"/>
                    </w:rPr>
                    <w:fldChar w:fldCharType="separate"/>
                  </w:r>
                  <w:r>
                    <w:rPr>
                      <w:b/>
                      <w:bCs/>
                    </w:rPr>
                    <w:t>叁佰玖拾叁万壹仟贰佰</w:t>
                  </w:r>
                  <w:r>
                    <w:rPr>
                      <w:rFonts w:hint="eastAsia" w:ascii="宋体" w:hAnsi="宋体"/>
                      <w:b/>
                      <w:bCs/>
                      <w:kern w:val="0"/>
                      <w:szCs w:val="21"/>
                      <w:highlight w:val="none"/>
                    </w:rPr>
                    <w:fldChar w:fldCharType="end"/>
                  </w:r>
                  <w:r>
                    <w:rPr>
                      <w:b/>
                      <w:bCs/>
                    </w:rPr>
                    <w:t>元整</w:t>
                  </w:r>
                  <w:r>
                    <w:rPr>
                      <w:rFonts w:hint="eastAsia" w:ascii="宋体" w:hAnsi="宋体"/>
                      <w:b/>
                      <w:bCs/>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2099" w:type="dxa"/>
                  <w:vMerge w:val="continue"/>
                  <w:vAlign w:val="center"/>
                </w:tcPr>
                <w:p>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b/>
                      <w:bCs/>
                      <w:kern w:val="0"/>
                      <w:szCs w:val="21"/>
                      <w:highlight w:val="none"/>
                    </w:rPr>
                  </w:pPr>
                </w:p>
              </w:tc>
              <w:tc>
                <w:tcPr>
                  <w:tcW w:w="1363"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b/>
                      <w:bCs/>
                      <w:kern w:val="0"/>
                      <w:szCs w:val="21"/>
                      <w:highlight w:val="none"/>
                    </w:rPr>
                  </w:pPr>
                  <w:r>
                    <w:rPr>
                      <w:rFonts w:hint="eastAsia" w:ascii="宋体" w:hAnsi="宋体"/>
                      <w:b/>
                      <w:bCs/>
                      <w:kern w:val="0"/>
                      <w:szCs w:val="21"/>
                      <w:highlight w:val="none"/>
                    </w:rPr>
                    <w:t>小写</w:t>
                  </w:r>
                </w:p>
              </w:tc>
              <w:tc>
                <w:tcPr>
                  <w:tcW w:w="3538"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outlineLvl w:val="9"/>
                    <w:rPr>
                      <w:rFonts w:hint="eastAsia" w:ascii="宋体" w:hAnsi="宋体" w:eastAsia="宋体"/>
                      <w:b/>
                      <w:bCs/>
                      <w:kern w:val="0"/>
                      <w:szCs w:val="21"/>
                      <w:highlight w:val="none"/>
                      <w:lang w:val="en-US" w:eastAsia="zh-CN"/>
                    </w:rPr>
                  </w:pPr>
                  <w:r>
                    <w:rPr>
                      <w:rFonts w:hint="eastAsia" w:ascii="宋体" w:hAnsi="宋体"/>
                      <w:b/>
                      <w:bCs/>
                      <w:kern w:val="0"/>
                      <w:szCs w:val="21"/>
                      <w:highlight w:val="none"/>
                      <w:lang w:val="en-US" w:eastAsia="zh-CN"/>
                    </w:rPr>
                    <w:t>3931200</w:t>
                  </w:r>
                </w:p>
              </w:tc>
            </w:tr>
          </w:tbl>
          <w:p>
            <w:pPr>
              <w:pStyle w:val="5"/>
              <w:keepNext w:val="0"/>
              <w:keepLines w:val="0"/>
              <w:pageBreakBefore w:val="0"/>
              <w:widowControl w:val="0"/>
              <w:kinsoku/>
              <w:wordWrap/>
              <w:overflowPunct/>
              <w:topLinePunct w:val="0"/>
              <w:autoSpaceDE/>
              <w:autoSpaceDN/>
              <w:bidi w:val="0"/>
              <w:spacing w:line="380" w:lineRule="exact"/>
              <w:ind w:left="0" w:leftChars="0" w:firstLine="420" w:firstLineChars="200"/>
              <w:textAlignment w:val="auto"/>
              <w:outlineLvl w:val="9"/>
              <w:rPr>
                <w:rFonts w:hint="eastAsia" w:ascii="Times New Roman" w:hAnsi="Times New Roman"/>
                <w:b/>
                <w:bCs/>
                <w:kern w:val="2"/>
                <w:sz w:val="21"/>
                <w:szCs w:val="24"/>
                <w:highlight w:val="none"/>
                <w:lang w:val="en-US" w:eastAsia="zh-CN"/>
              </w:rPr>
            </w:pPr>
            <w:r>
              <w:rPr>
                <w:rFonts w:hint="eastAsia" w:ascii="宋体" w:hAnsi="宋体"/>
                <w:b/>
                <w:snapToGrid w:val="0"/>
                <w:color w:val="000000"/>
                <w:szCs w:val="21"/>
                <w:highlight w:val="none"/>
              </w:rPr>
              <w:t>投标人报价不能超过</w:t>
            </w:r>
            <w:r>
              <w:rPr>
                <w:rFonts w:hint="eastAsia" w:ascii="宋体" w:hAnsi="宋体"/>
                <w:b/>
                <w:snapToGrid w:val="0"/>
                <w:color w:val="000000"/>
                <w:szCs w:val="21"/>
                <w:highlight w:val="none"/>
                <w:lang w:val="en-US" w:eastAsia="zh-CN"/>
              </w:rPr>
              <w:t>标段</w:t>
            </w:r>
            <w:r>
              <w:rPr>
                <w:rFonts w:hint="eastAsia" w:ascii="宋体" w:hAnsi="宋体"/>
                <w:b/>
                <w:color w:val="000000"/>
                <w:kern w:val="0"/>
                <w:szCs w:val="21"/>
                <w:highlight w:val="none"/>
              </w:rPr>
              <w:t>最高投标限价</w:t>
            </w:r>
            <w:r>
              <w:rPr>
                <w:rFonts w:hint="eastAsia" w:ascii="宋体" w:hAnsi="宋体"/>
                <w:b/>
                <w:color w:val="000000"/>
                <w:kern w:val="0"/>
                <w:szCs w:val="21"/>
                <w:highlight w:val="none"/>
                <w:lang w:val="en-US" w:eastAsia="zh-CN"/>
              </w:rPr>
              <w:t>，</w:t>
            </w:r>
            <w:r>
              <w:rPr>
                <w:rFonts w:hint="eastAsia" w:ascii="宋体" w:hAnsi="宋体"/>
                <w:b/>
                <w:snapToGrid w:val="0"/>
                <w:color w:val="000000"/>
                <w:szCs w:val="21"/>
                <w:highlight w:val="none"/>
              </w:rPr>
              <w:t>否则按否决其投标处理。</w:t>
            </w:r>
          </w:p>
          <w:p>
            <w:pPr>
              <w:keepNext w:val="0"/>
              <w:keepLines w:val="0"/>
              <w:pageBreakBefore w:val="0"/>
              <w:widowControl w:val="0"/>
              <w:kinsoku/>
              <w:wordWrap/>
              <w:overflowPunct/>
              <w:topLinePunct w:val="0"/>
              <w:autoSpaceDE/>
              <w:autoSpaceDN/>
              <w:bidi w:val="0"/>
              <w:spacing w:line="380" w:lineRule="exact"/>
              <w:ind w:firstLine="411" w:firstLineChars="196"/>
              <w:textAlignment w:val="auto"/>
              <w:outlineLvl w:val="9"/>
              <w:rPr>
                <w:rFonts w:hint="eastAsia" w:ascii="宋体" w:hAnsi="宋体"/>
                <w:color w:val="000000"/>
                <w:kern w:val="0"/>
                <w:szCs w:val="21"/>
                <w:highlight w:val="none"/>
              </w:rPr>
            </w:pPr>
            <w:r>
              <w:rPr>
                <w:rFonts w:hint="eastAsia" w:ascii="宋体" w:hAnsi="宋体"/>
                <w:color w:val="000000"/>
                <w:kern w:val="0"/>
                <w:szCs w:val="21"/>
                <w:highlight w:val="none"/>
              </w:rPr>
              <w:t>最高投标限价下浮率在开标前在开标现场采取摇珠方式确定。</w:t>
            </w:r>
          </w:p>
          <w:p>
            <w:pPr>
              <w:keepNext w:val="0"/>
              <w:keepLines w:val="0"/>
              <w:pageBreakBefore w:val="0"/>
              <w:widowControl w:val="0"/>
              <w:kinsoku/>
              <w:wordWrap/>
              <w:overflowPunct/>
              <w:topLinePunct w:val="0"/>
              <w:autoSpaceDE/>
              <w:autoSpaceDN/>
              <w:bidi w:val="0"/>
              <w:spacing w:line="380" w:lineRule="exact"/>
              <w:ind w:firstLine="411" w:firstLineChars="196"/>
              <w:textAlignment w:val="auto"/>
              <w:outlineLvl w:val="9"/>
              <w:rPr>
                <w:rFonts w:hint="eastAsia" w:ascii="宋体" w:hAnsi="宋体"/>
                <w:snapToGrid w:val="0"/>
                <w:color w:val="000000"/>
                <w:szCs w:val="21"/>
                <w:highlight w:val="none"/>
              </w:rPr>
            </w:pPr>
            <w:r>
              <w:rPr>
                <w:rFonts w:hint="eastAsia" w:ascii="宋体" w:hAnsi="宋体"/>
                <w:snapToGrid w:val="0"/>
                <w:color w:val="000000"/>
                <w:szCs w:val="21"/>
                <w:highlight w:val="none"/>
              </w:rPr>
              <w:t>摇珠操作办法如下：在下浮率</w:t>
            </w:r>
            <w:r>
              <w:rPr>
                <w:rFonts w:hint="eastAsia" w:ascii="宋体" w:hAnsi="宋体"/>
                <w:snapToGrid w:val="0"/>
                <w:color w:val="000000"/>
                <w:szCs w:val="21"/>
                <w:highlight w:val="none"/>
                <w:lang w:val="en-US" w:eastAsia="zh-CN"/>
              </w:rPr>
              <w:t>摇珠</w:t>
            </w:r>
            <w:r>
              <w:rPr>
                <w:rFonts w:hint="eastAsia" w:ascii="宋体" w:hAnsi="宋体"/>
                <w:snapToGrid w:val="0"/>
                <w:color w:val="000000"/>
                <w:szCs w:val="21"/>
                <w:highlight w:val="none"/>
              </w:rPr>
              <w:t>范围内，以0.1%为一档次增序确定摇珠号码，一共31个球</w:t>
            </w:r>
            <w:r>
              <w:rPr>
                <w:rFonts w:hint="eastAsia" w:ascii="宋体" w:hAnsi="宋体"/>
                <w:b/>
                <w:bCs/>
                <w:snapToGrid w:val="0"/>
                <w:color w:val="000000"/>
                <w:szCs w:val="21"/>
                <w:highlight w:val="none"/>
              </w:rPr>
              <w:t>，</w:t>
            </w:r>
            <w:r>
              <w:rPr>
                <w:rFonts w:hint="eastAsia" w:ascii="宋体" w:hAnsi="宋体"/>
                <w:snapToGrid w:val="0"/>
                <w:color w:val="000000"/>
                <w:szCs w:val="21"/>
                <w:highlight w:val="none"/>
              </w:rPr>
              <w:t>连续依次摇取三个球</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lang w:val="en-US" w:eastAsia="zh-CN"/>
              </w:rPr>
              <w:t>摇出的球不放回</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rPr>
              <w:t>，摇出号码对应的下浮率平均值即为本</w:t>
            </w:r>
            <w:r>
              <w:rPr>
                <w:rFonts w:hint="eastAsia" w:ascii="宋体" w:hAnsi="宋体"/>
                <w:snapToGrid w:val="0"/>
                <w:color w:val="000000"/>
                <w:szCs w:val="21"/>
                <w:highlight w:val="none"/>
                <w:lang w:val="en-US" w:eastAsia="zh-CN"/>
              </w:rPr>
              <w:t>标段</w:t>
            </w:r>
            <w:r>
              <w:rPr>
                <w:rFonts w:hint="eastAsia" w:ascii="宋体" w:hAnsi="宋体"/>
                <w:snapToGrid w:val="0"/>
                <w:color w:val="000000"/>
                <w:szCs w:val="21"/>
                <w:highlight w:val="none"/>
              </w:rPr>
              <w:t>的下浮率。</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snapToGrid w:val="0"/>
                <w:color w:val="000000"/>
                <w:szCs w:val="21"/>
                <w:highlight w:val="none"/>
              </w:rPr>
            </w:pPr>
            <w:r>
              <w:rPr>
                <w:rFonts w:hint="eastAsia" w:ascii="宋体" w:hAnsi="宋体"/>
                <w:b/>
                <w:snapToGrid w:val="0"/>
                <w:color w:val="000000"/>
                <w:szCs w:val="21"/>
                <w:highlight w:val="none"/>
              </w:rPr>
              <w:t>（注：下浮率范围控制在</w:t>
            </w:r>
            <w:r>
              <w:rPr>
                <w:rFonts w:hint="eastAsia" w:ascii="宋体" w:hAnsi="宋体"/>
                <w:b/>
                <w:snapToGrid w:val="0"/>
                <w:color w:val="000000"/>
                <w:szCs w:val="21"/>
                <w:highlight w:val="none"/>
                <w:u w:val="single"/>
              </w:rPr>
              <w:t xml:space="preserve"> 3 %～ 6 %</w:t>
            </w:r>
            <w:r>
              <w:rPr>
                <w:rFonts w:hint="eastAsia" w:ascii="宋体" w:hAnsi="宋体"/>
                <w:b/>
                <w:snapToGrid w:val="0"/>
                <w:color w:val="000000"/>
                <w:szCs w:val="21"/>
                <w:highlight w:val="none"/>
              </w:rPr>
              <w:t>浮动区间，摇出三个下浮率的平均值四舍五入精确到</w:t>
            </w:r>
            <w:r>
              <w:rPr>
                <w:rFonts w:ascii="宋体" w:hAnsi="宋体"/>
                <w:b/>
                <w:snapToGrid w:val="0"/>
                <w:color w:val="000000"/>
                <w:szCs w:val="21"/>
                <w:highlight w:val="none"/>
              </w:rPr>
              <w:t>0.001</w:t>
            </w:r>
            <w:r>
              <w:rPr>
                <w:rFonts w:hint="eastAsia" w:ascii="宋体" w:hAnsi="宋体"/>
                <w:b/>
                <w:snapToGrid w:val="0"/>
                <w:color w:val="000000"/>
                <w:szCs w:val="21"/>
                <w:highlight w:val="none"/>
              </w:rPr>
              <w:t>％）</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b/>
                <w:color w:val="000000"/>
                <w:kern w:val="0"/>
                <w:szCs w:val="21"/>
                <w:highlight w:val="none"/>
              </w:rPr>
            </w:pPr>
            <w:r>
              <w:rPr>
                <w:rFonts w:hint="eastAsia" w:ascii="宋体" w:hAnsi="宋体"/>
                <w:b/>
                <w:color w:val="000000"/>
                <w:kern w:val="0"/>
                <w:szCs w:val="21"/>
                <w:highlight w:val="none"/>
              </w:rPr>
              <w:t>最高评标限价＝最高投标限价×（1-下浮率）</w:t>
            </w:r>
          </w:p>
          <w:p>
            <w:pPr>
              <w:keepNext w:val="0"/>
              <w:keepLines w:val="0"/>
              <w:pageBreakBefore w:val="0"/>
              <w:widowControl w:val="0"/>
              <w:kinsoku/>
              <w:wordWrap/>
              <w:overflowPunct/>
              <w:topLinePunct w:val="0"/>
              <w:autoSpaceDE/>
              <w:autoSpaceDN/>
              <w:bidi w:val="0"/>
              <w:snapToGrid w:val="0"/>
              <w:spacing w:line="380" w:lineRule="exact"/>
              <w:textAlignment w:val="auto"/>
              <w:outlineLvl w:val="9"/>
              <w:rPr>
                <w:rFonts w:hint="eastAsia" w:ascii="宋体" w:hAnsi="宋体"/>
                <w:b/>
                <w:snapToGrid w:val="0"/>
                <w:color w:val="000000"/>
                <w:szCs w:val="21"/>
                <w:highlight w:val="none"/>
              </w:rPr>
            </w:pPr>
            <w:r>
              <w:rPr>
                <w:rFonts w:hint="eastAsia" w:ascii="宋体" w:hAnsi="宋体"/>
                <w:b/>
                <w:snapToGrid w:val="0"/>
                <w:color w:val="000000"/>
                <w:szCs w:val="21"/>
                <w:highlight w:val="none"/>
              </w:rPr>
              <w:t>（3）有效评标价的范围：</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snapToGrid w:val="0"/>
                <w:color w:val="000000"/>
                <w:szCs w:val="21"/>
                <w:highlight w:val="none"/>
              </w:rPr>
            </w:pPr>
            <w:r>
              <w:rPr>
                <w:rFonts w:hint="eastAsia" w:ascii="宋体" w:hAnsi="宋体"/>
                <w:snapToGrid w:val="0"/>
                <w:color w:val="000000"/>
                <w:szCs w:val="21"/>
                <w:highlight w:val="none"/>
              </w:rPr>
              <w:t>有效评标价的范围：不大于最高评标限价的评标价为有效评标价。</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snapToGrid w:val="0"/>
                <w:color w:val="000000"/>
                <w:szCs w:val="21"/>
                <w:highlight w:val="none"/>
              </w:rPr>
            </w:pPr>
            <w:r>
              <w:rPr>
                <w:rFonts w:hint="eastAsia" w:ascii="宋体" w:hAnsi="宋体"/>
                <w:snapToGrid w:val="0"/>
                <w:color w:val="000000"/>
                <w:szCs w:val="21"/>
                <w:highlight w:val="none"/>
              </w:rPr>
              <w:t>若大于最高评标限价的评标价，将否决其投标。</w:t>
            </w:r>
          </w:p>
          <w:p>
            <w:pPr>
              <w:keepNext w:val="0"/>
              <w:keepLines w:val="0"/>
              <w:pageBreakBefore w:val="0"/>
              <w:widowControl w:val="0"/>
              <w:kinsoku/>
              <w:wordWrap/>
              <w:overflowPunct/>
              <w:topLinePunct w:val="0"/>
              <w:autoSpaceDE/>
              <w:autoSpaceDN/>
              <w:bidi w:val="0"/>
              <w:snapToGrid w:val="0"/>
              <w:spacing w:line="380" w:lineRule="exact"/>
              <w:textAlignment w:val="auto"/>
              <w:outlineLvl w:val="9"/>
              <w:rPr>
                <w:rFonts w:hint="eastAsia" w:ascii="宋体" w:hAnsi="宋体"/>
                <w:b/>
                <w:snapToGrid w:val="0"/>
                <w:color w:val="000000"/>
                <w:szCs w:val="21"/>
                <w:highlight w:val="none"/>
              </w:rPr>
            </w:pPr>
            <w:r>
              <w:rPr>
                <w:rFonts w:hint="eastAsia" w:ascii="宋体" w:hAnsi="宋体"/>
                <w:b/>
                <w:snapToGrid w:val="0"/>
                <w:color w:val="000000"/>
                <w:szCs w:val="21"/>
                <w:highlight w:val="none"/>
              </w:rPr>
              <w:t>（4）</w:t>
            </w:r>
            <w:r>
              <w:rPr>
                <w:rFonts w:ascii="宋体" w:hAnsi="宋体"/>
                <w:b/>
                <w:snapToGrid w:val="0"/>
                <w:color w:val="000000"/>
                <w:szCs w:val="21"/>
                <w:highlight w:val="none"/>
              </w:rPr>
              <w:t>评标基准价的确定</w:t>
            </w:r>
            <w:r>
              <w:rPr>
                <w:rFonts w:hint="eastAsia" w:ascii="宋体" w:hAnsi="宋体"/>
                <w:b/>
                <w:snapToGrid w:val="0"/>
                <w:color w:val="000000"/>
                <w:szCs w:val="21"/>
                <w:highlight w:val="none"/>
              </w:rPr>
              <w:t>：</w:t>
            </w:r>
          </w:p>
          <w:p>
            <w:pPr>
              <w:keepNext w:val="0"/>
              <w:keepLines w:val="0"/>
              <w:pageBreakBefore w:val="0"/>
              <w:widowControl w:val="0"/>
              <w:kinsoku/>
              <w:wordWrap/>
              <w:overflowPunct/>
              <w:topLinePunct w:val="0"/>
              <w:autoSpaceDE/>
              <w:autoSpaceDN/>
              <w:bidi w:val="0"/>
              <w:snapToGrid w:val="0"/>
              <w:spacing w:line="380" w:lineRule="exact"/>
              <w:ind w:firstLine="420" w:firstLineChars="200"/>
              <w:textAlignment w:val="auto"/>
              <w:outlineLvl w:val="9"/>
              <w:rPr>
                <w:rFonts w:hint="eastAsia" w:ascii="宋体" w:hAnsi="宋体"/>
                <w:b/>
                <w:snapToGrid w:val="0"/>
                <w:color w:val="000000"/>
                <w:szCs w:val="21"/>
                <w:highlight w:val="none"/>
              </w:rPr>
            </w:pPr>
            <w:r>
              <w:rPr>
                <w:rFonts w:hint="eastAsia" w:ascii="宋体" w:hAnsi="宋体"/>
                <w:b/>
                <w:snapToGrid w:val="0"/>
                <w:color w:val="000000"/>
                <w:szCs w:val="21"/>
                <w:highlight w:val="none"/>
              </w:rPr>
              <w:t>评标基准价=</w:t>
            </w:r>
            <w:r>
              <w:rPr>
                <w:rFonts w:hint="eastAsia" w:ascii="宋体" w:hAnsi="宋体"/>
                <w:b/>
                <w:color w:val="000000"/>
                <w:kern w:val="0"/>
                <w:szCs w:val="21"/>
                <w:highlight w:val="none"/>
              </w:rPr>
              <w:t>最高评标限价</w:t>
            </w:r>
            <w:r>
              <w:rPr>
                <w:rFonts w:hint="eastAsia" w:ascii="宋体" w:hAnsi="宋体"/>
                <w:b/>
                <w:snapToGrid w:val="0"/>
                <w:color w:val="000000"/>
                <w:szCs w:val="21"/>
                <w:highlight w:val="none"/>
              </w:rPr>
              <w:t>×0.98。</w:t>
            </w:r>
          </w:p>
          <w:p>
            <w:pPr>
              <w:keepNext w:val="0"/>
              <w:keepLines w:val="0"/>
              <w:pageBreakBefore w:val="0"/>
              <w:widowControl w:val="0"/>
              <w:kinsoku/>
              <w:wordWrap/>
              <w:overflowPunct/>
              <w:topLinePunct w:val="0"/>
              <w:autoSpaceDE/>
              <w:autoSpaceDN/>
              <w:bidi w:val="0"/>
              <w:spacing w:line="380" w:lineRule="exact"/>
              <w:ind w:firstLine="420" w:firstLineChars="200"/>
              <w:textAlignment w:val="auto"/>
              <w:outlineLvl w:val="9"/>
              <w:rPr>
                <w:rFonts w:hint="eastAsia" w:ascii="宋体" w:hAnsi="宋体"/>
                <w:color w:val="000000"/>
                <w:szCs w:val="21"/>
                <w:highlight w:val="none"/>
              </w:rPr>
            </w:pPr>
            <w:r>
              <w:rPr>
                <w:rFonts w:hint="eastAsia" w:ascii="宋体" w:hAnsi="宋体"/>
                <w:snapToGrid w:val="0"/>
                <w:color w:val="000000"/>
                <w:szCs w:val="21"/>
                <w:highlight w:val="none"/>
              </w:rPr>
              <w:t>备注：</w:t>
            </w:r>
            <w:r>
              <w:rPr>
                <w:rFonts w:hint="eastAsia" w:ascii="宋体" w:hAnsi="宋体"/>
                <w:color w:val="000000"/>
                <w:kern w:val="0"/>
                <w:szCs w:val="21"/>
                <w:highlight w:val="none"/>
              </w:rPr>
              <w:t>最高评标限价</w:t>
            </w:r>
            <w:r>
              <w:rPr>
                <w:rFonts w:hint="eastAsia" w:ascii="宋体" w:hAnsi="宋体"/>
                <w:color w:val="000000"/>
                <w:szCs w:val="21"/>
                <w:highlight w:val="none"/>
              </w:rPr>
              <w:t>、评标基准价D四舍五入精确至个位整数元。</w:t>
            </w:r>
          </w:p>
          <w:p>
            <w:pPr>
              <w:keepNext w:val="0"/>
              <w:keepLines w:val="0"/>
              <w:pageBreakBefore w:val="0"/>
              <w:widowControl w:val="0"/>
              <w:kinsoku/>
              <w:wordWrap/>
              <w:overflowPunct/>
              <w:topLinePunct w:val="0"/>
              <w:bidi w:val="0"/>
              <w:spacing w:line="440" w:lineRule="exact"/>
              <w:ind w:firstLine="420" w:firstLineChars="200"/>
              <w:textAlignment w:val="auto"/>
              <w:rPr>
                <w:rFonts w:hint="default"/>
                <w:highlight w:val="none"/>
                <w:lang w:val="en-US" w:eastAsia="zh-CN"/>
              </w:rPr>
            </w:pPr>
            <w:r>
              <w:rPr>
                <w:rFonts w:hint="eastAsia" w:ascii="宋体" w:hAnsi="宋体"/>
                <w:b/>
                <w:color w:val="00000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5"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highlight w:val="none"/>
                <w:lang w:eastAsia="zh-CN"/>
              </w:rPr>
            </w:pPr>
            <w:r>
              <w:rPr>
                <w:rFonts w:hint="eastAsia" w:ascii="宋体" w:hAnsi="宋体"/>
                <w:b/>
                <w:bCs/>
                <w:color w:val="000000"/>
                <w:szCs w:val="21"/>
                <w:highlight w:val="none"/>
              </w:rPr>
              <w:t>2.2.</w:t>
            </w:r>
            <w:r>
              <w:rPr>
                <w:rFonts w:hint="eastAsia" w:ascii="宋体" w:hAnsi="宋体"/>
                <w:b/>
                <w:bCs/>
                <w:color w:val="000000"/>
                <w:szCs w:val="21"/>
                <w:highlight w:val="none"/>
                <w:lang w:val="en-US" w:eastAsia="zh-CN"/>
              </w:rPr>
              <w:t>3</w:t>
            </w:r>
          </w:p>
        </w:tc>
        <w:tc>
          <w:tcPr>
            <w:tcW w:w="891" w:type="dxa"/>
            <w:tcBorders>
              <w:top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snapToGrid/>
              <w:spacing w:before="0" w:beforeLines="0" w:line="440" w:lineRule="exact"/>
              <w:ind w:left="0" w:leftChars="0" w:firstLine="0" w:firstLineChars="0"/>
              <w:jc w:val="center"/>
              <w:textAlignment w:val="auto"/>
              <w:rPr>
                <w:rFonts w:hint="eastAsia" w:ascii="宋体" w:hAnsi="宋体"/>
                <w:highlight w:val="none"/>
              </w:rPr>
            </w:pPr>
            <w:r>
              <w:rPr>
                <w:rFonts w:hint="eastAsia" w:ascii="宋体" w:hAnsi="宋体"/>
                <w:highlight w:val="none"/>
              </w:rPr>
              <w:t>评标价的偏差率计算公式</w:t>
            </w:r>
          </w:p>
        </w:tc>
        <w:tc>
          <w:tcPr>
            <w:tcW w:w="782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bidi w:val="0"/>
              <w:spacing w:line="440" w:lineRule="exact"/>
              <w:ind w:left="0" w:leftChars="0" w:firstLine="420" w:firstLineChars="200"/>
              <w:jc w:val="left"/>
              <w:textAlignment w:val="auto"/>
              <w:rPr>
                <w:rFonts w:hint="eastAsia" w:ascii="宋体" w:hAnsi="宋体"/>
                <w:highlight w:val="none"/>
              </w:rPr>
            </w:pPr>
            <w:r>
              <w:rPr>
                <w:rFonts w:hint="eastAsia" w:ascii="宋体" w:hAnsi="宋体"/>
                <w:highlight w:val="none"/>
              </w:rPr>
              <w:t>偏差率=100% ×(投标人评标价－评标基准价)/评标基准价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45"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440" w:lineRule="exact"/>
              <w:jc w:val="center"/>
              <w:textAlignment w:val="auto"/>
              <w:rPr>
                <w:rFonts w:hint="eastAsia" w:ascii="宋体" w:hAnsi="宋体"/>
                <w:b/>
                <w:bCs/>
                <w:color w:val="000000"/>
                <w:szCs w:val="21"/>
                <w:highlight w:val="none"/>
              </w:rPr>
            </w:pPr>
            <w:r>
              <w:rPr>
                <w:rFonts w:hint="eastAsia" w:ascii="宋体" w:hAnsi="宋体"/>
                <w:b/>
                <w:bCs/>
                <w:color w:val="000000"/>
                <w:szCs w:val="21"/>
                <w:highlight w:val="none"/>
              </w:rPr>
              <w:t>2.2.4（</w:t>
            </w: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w:t>
            </w:r>
          </w:p>
        </w:tc>
        <w:tc>
          <w:tcPr>
            <w:tcW w:w="891" w:type="dxa"/>
            <w:tcBorders>
              <w:top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snapToGrid/>
              <w:spacing w:before="0" w:beforeLines="0" w:line="440" w:lineRule="exact"/>
              <w:ind w:left="0" w:leftChars="0" w:firstLine="0" w:firstLineChars="0"/>
              <w:jc w:val="center"/>
              <w:textAlignment w:val="auto"/>
              <w:rPr>
                <w:rFonts w:hint="eastAsia" w:ascii="宋体" w:hAnsi="宋体"/>
                <w:b/>
                <w:bCs/>
                <w:color w:val="000000"/>
                <w:szCs w:val="21"/>
                <w:highlight w:val="none"/>
                <w:lang w:val="en-US" w:eastAsia="zh-CN"/>
              </w:rPr>
            </w:pPr>
            <w:r>
              <w:rPr>
                <w:rFonts w:hint="eastAsia" w:ascii="宋体" w:hAnsi="宋体"/>
                <w:b/>
                <w:bCs/>
                <w:color w:val="000000"/>
                <w:szCs w:val="21"/>
                <w:highlight w:val="none"/>
              </w:rPr>
              <w:t>评标价</w:t>
            </w:r>
          </w:p>
        </w:tc>
        <w:tc>
          <w:tcPr>
            <w:tcW w:w="782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bidi w:val="0"/>
              <w:spacing w:line="380" w:lineRule="exact"/>
              <w:ind w:left="0" w:leftChars="0"/>
              <w:textAlignment w:val="auto"/>
              <w:rPr>
                <w:rFonts w:hint="eastAsia" w:ascii="宋体" w:hAnsi="宋体"/>
                <w:b/>
                <w:color w:val="000000"/>
                <w:highlight w:val="none"/>
                <w:lang w:val="en-US" w:eastAsia="zh-CN"/>
              </w:rPr>
            </w:pPr>
            <w:r>
              <w:rPr>
                <w:rFonts w:hint="eastAsia" w:ascii="宋体" w:hAnsi="宋体"/>
                <w:b/>
                <w:color w:val="000000"/>
                <w:highlight w:val="none"/>
                <w:lang w:val="en-US" w:eastAsia="zh-CN"/>
              </w:rPr>
              <w:t>满分：100分；</w:t>
            </w:r>
          </w:p>
          <w:p>
            <w:pPr>
              <w:pStyle w:val="5"/>
              <w:keepNext w:val="0"/>
              <w:keepLines w:val="0"/>
              <w:pageBreakBefore w:val="0"/>
              <w:widowControl w:val="0"/>
              <w:kinsoku/>
              <w:wordWrap/>
              <w:overflowPunct/>
              <w:topLinePunct w:val="0"/>
              <w:bidi w:val="0"/>
              <w:spacing w:line="380" w:lineRule="exact"/>
              <w:textAlignment w:val="auto"/>
              <w:rPr>
                <w:rFonts w:hint="eastAsia" w:ascii="宋体" w:hAnsi="宋体"/>
                <w:b/>
                <w:color w:val="000000"/>
                <w:highlight w:val="none"/>
              </w:rPr>
            </w:pPr>
            <w:r>
              <w:rPr>
                <w:rFonts w:hint="eastAsia" w:ascii="宋体" w:hAnsi="宋体"/>
                <w:b/>
                <w:color w:val="000000"/>
                <w:highlight w:val="none"/>
              </w:rPr>
              <w:t>评标价得分计算公式示例：</w:t>
            </w:r>
          </w:p>
          <w:p>
            <w:pPr>
              <w:pStyle w:val="5"/>
              <w:keepNext w:val="0"/>
              <w:keepLines w:val="0"/>
              <w:pageBreakBefore w:val="0"/>
              <w:widowControl w:val="0"/>
              <w:kinsoku/>
              <w:wordWrap/>
              <w:overflowPunct/>
              <w:topLinePunct w:val="0"/>
              <w:bidi w:val="0"/>
              <w:spacing w:line="380" w:lineRule="exact"/>
              <w:ind w:left="0" w:leftChars="0"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当报价人的</w:t>
            </w:r>
            <w:r>
              <w:rPr>
                <w:rFonts w:hint="eastAsia" w:ascii="宋体" w:hAnsi="宋体"/>
                <w:b/>
                <w:bCs/>
                <w:sz w:val="21"/>
                <w:szCs w:val="21"/>
                <w:highlight w:val="none"/>
                <w:lang w:val="en-US" w:eastAsia="zh-CN"/>
              </w:rPr>
              <w:t>评标价</w:t>
            </w:r>
            <w:r>
              <w:rPr>
                <w:rFonts w:hint="eastAsia" w:ascii="宋体" w:hAnsi="宋体"/>
                <w:sz w:val="21"/>
                <w:szCs w:val="21"/>
                <w:highlight w:val="none"/>
                <w:lang w:val="en-US" w:eastAsia="zh-CN"/>
              </w:rPr>
              <w:t>等于D时得满分，每高于D一个百分点扣3分，每低于D一个百分点扣1分，中间值按比例内插。用公式表示如下：</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Cs w:val="21"/>
                <w:highlight w:val="none"/>
              </w:rPr>
            </w:pPr>
            <w:r>
              <w:rPr>
                <w:rFonts w:hint="eastAsia" w:ascii="宋体" w:hAnsi="宋体" w:eastAsia="宋体" w:cs="宋体"/>
                <w:position w:val="-24"/>
                <w:szCs w:val="21"/>
                <w:highlight w:val="none"/>
              </w:rPr>
              <w:object>
                <v:shape id="_x0000_i1025" o:spt="75" type="#_x0000_t75" style="height:38.9pt;width:156.55pt;" o:ole="t" filled="f" o:preferrelative="t" stroked="f" coordsize="21600,21600">
                  <v:path/>
                  <v:fill on="f" alignshape="1" focussize="0,0"/>
                  <v:stroke on="f"/>
                  <v:imagedata r:id="rId7" o:title=""/>
                  <o:lock v:ext="edit" aspectratio="t"/>
                  <w10:wrap type="none"/>
                  <w10:anchorlock/>
                </v:shape>
                <o:OLEObject Type="Embed" ProgID="Equation.3" ShapeID="_x0000_i1025" DrawAspect="Content" ObjectID="_1468075725" r:id="rId6">
                  <o:LockedField>false</o:LockedField>
                </o:OLEObject>
              </w:object>
            </w:r>
          </w:p>
          <w:p>
            <w:pPr>
              <w:pStyle w:val="5"/>
              <w:keepNext w:val="0"/>
              <w:keepLines w:val="0"/>
              <w:pageBreakBefore w:val="0"/>
              <w:widowControl w:val="0"/>
              <w:kinsoku/>
              <w:wordWrap/>
              <w:overflowPunct/>
              <w:topLinePunct w:val="0"/>
              <w:bidi w:val="0"/>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式中：</w:t>
            </w:r>
            <w:r>
              <w:rPr>
                <w:rFonts w:hint="eastAsia" w:ascii="宋体" w:hAnsi="宋体" w:eastAsia="宋体" w:cs="宋体"/>
                <w:sz w:val="21"/>
                <w:szCs w:val="21"/>
                <w:highlight w:val="none"/>
              </w:rPr>
              <w:object>
                <v:shape id="_x0000_i1026" o:spt="75" type="#_x0000_t75" style="height:18pt;width:13pt;" o:ole="t" filled="f" o:preferrelative="t" stroked="f" coordsize="21600,21600">
                  <v:path/>
                  <v:fill on="f" alignshape="1"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的评标价</w:t>
            </w:r>
            <w:r>
              <w:rPr>
                <w:rFonts w:hint="eastAsia" w:ascii="宋体" w:hAnsi="宋体" w:eastAsia="宋体" w:cs="宋体"/>
                <w:sz w:val="21"/>
                <w:szCs w:val="21"/>
                <w:highlight w:val="none"/>
              </w:rPr>
              <w:t>得分（精确到小数点后</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位）；</w:t>
            </w:r>
          </w:p>
          <w:p>
            <w:pPr>
              <w:pStyle w:val="5"/>
              <w:keepNext w:val="0"/>
              <w:keepLines w:val="0"/>
              <w:pageBreakBefore w:val="0"/>
              <w:widowControl w:val="0"/>
              <w:kinsoku/>
              <w:wordWrap/>
              <w:overflowPunct/>
              <w:topLinePunct w:val="0"/>
              <w:bidi w:val="0"/>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7" o:spt="75" type="#_x0000_t75" style="height:13pt;width:13pt;" o:ole="t" filled="f" stroked="f" coordsize="21600,21600">
                  <v:path/>
                  <v:fill on="f" alignshape="1"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所占的百分比权重分值，F=</w:t>
            </w:r>
            <w:r>
              <w:rPr>
                <w:rFonts w:hint="eastAsia" w:ascii="宋体" w:hAnsi="宋体" w:cs="宋体"/>
                <w:sz w:val="21"/>
                <w:szCs w:val="21"/>
                <w:highlight w:val="none"/>
                <w:lang w:val="en-US" w:eastAsia="zh-CN"/>
              </w:rPr>
              <w:t>100</w:t>
            </w:r>
            <w:r>
              <w:rPr>
                <w:rFonts w:hint="eastAsia" w:ascii="宋体" w:hAnsi="宋体" w:eastAsia="宋体" w:cs="宋体"/>
                <w:sz w:val="21"/>
                <w:szCs w:val="21"/>
                <w:highlight w:val="none"/>
              </w:rPr>
              <w:t>；</w:t>
            </w:r>
          </w:p>
          <w:p>
            <w:pPr>
              <w:pStyle w:val="5"/>
              <w:keepNext w:val="0"/>
              <w:keepLines w:val="0"/>
              <w:pageBreakBefore w:val="0"/>
              <w:widowControl w:val="0"/>
              <w:kinsoku/>
              <w:wordWrap/>
              <w:overflowPunct/>
              <w:topLinePunct w:val="0"/>
              <w:bidi w:val="0"/>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8"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报价人</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评标价</w:t>
            </w:r>
            <w:r>
              <w:rPr>
                <w:rFonts w:hint="eastAsia" w:ascii="宋体" w:hAnsi="宋体" w:eastAsia="宋体" w:cs="宋体"/>
                <w:sz w:val="21"/>
                <w:szCs w:val="21"/>
                <w:highlight w:val="none"/>
              </w:rPr>
              <w:t>；</w:t>
            </w:r>
          </w:p>
          <w:p>
            <w:pPr>
              <w:pStyle w:val="5"/>
              <w:keepNext w:val="0"/>
              <w:keepLines w:val="0"/>
              <w:pageBreakBefore w:val="0"/>
              <w:widowControl w:val="0"/>
              <w:kinsoku/>
              <w:wordWrap/>
              <w:overflowPunct/>
              <w:topLinePunct w:val="0"/>
              <w:bidi w:val="0"/>
              <w:spacing w:line="380" w:lineRule="exact"/>
              <w:textAlignment w:val="auto"/>
              <w:rPr>
                <w:rFonts w:hint="eastAsia" w:ascii="宋体" w:hAnsi="宋体" w:eastAsia="宋体" w:cs="宋体"/>
                <w:sz w:val="21"/>
                <w:szCs w:val="21"/>
                <w:highlight w:val="none"/>
              </w:rPr>
            </w:pPr>
            <w:r>
              <w:rPr>
                <w:rFonts w:hint="eastAsia" w:ascii="宋体" w:hAnsi="宋体" w:eastAsia="宋体" w:cs="宋体"/>
                <w:position w:val="-4"/>
                <w:sz w:val="21"/>
                <w:szCs w:val="21"/>
                <w:highlight w:val="none"/>
              </w:rPr>
              <w:object>
                <v:shape id="_x0000_i1029"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29" DrawAspect="Content" ObjectID="_1468075729" r:id="rId14">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评标基准价</w:t>
            </w:r>
            <w:r>
              <w:rPr>
                <w:rFonts w:hint="eastAsia" w:ascii="宋体" w:hAnsi="宋体" w:eastAsia="宋体" w:cs="宋体"/>
                <w:sz w:val="21"/>
                <w:szCs w:val="21"/>
                <w:highlight w:val="none"/>
              </w:rPr>
              <w:t>。</w:t>
            </w:r>
          </w:p>
          <w:p>
            <w:pPr>
              <w:pStyle w:val="5"/>
              <w:keepNext w:val="0"/>
              <w:keepLines w:val="0"/>
              <w:pageBreakBefore w:val="0"/>
              <w:widowControl w:val="0"/>
              <w:kinsoku/>
              <w:wordWrap/>
              <w:overflowPunct/>
              <w:topLinePunct w:val="0"/>
              <w:bidi w:val="0"/>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0"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30" DrawAspect="Content" ObjectID="_1468075730" r:id="rId16">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1"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31" DrawAspect="Content" ObjectID="_1468075731" r:id="rId17">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2" o:spt="75" type="#_x0000_t75" style="height:13pt;width:12pt;" o:ole="t" filled="f" stroked="f" coordsize="21600,21600">
                  <v:path/>
                  <v:fill on="f" alignshape="1" focussize="0,0"/>
                  <v:stroke on="f"/>
                  <v:imagedata r:id="rId19" o:title=""/>
                  <o:lock v:ext="edit" aspectratio="t"/>
                  <w10:wrap type="none"/>
                  <w10:anchorlock/>
                </v:shape>
                <o:OLEObject Type="Embed" ProgID="Equation.3" ShapeID="_x0000_i1032" DrawAspect="Content" ObjectID="_1468075732" r:id="rId18">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3"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33" DrawAspect="Content" ObjectID="_1468075733" r:id="rId20">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4"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34" DrawAspect="Content" ObjectID="_1468075734" r:id="rId21">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5" o:spt="75" type="#_x0000_t75" style="height:13pt;width:12pt;" o:ole="t" filled="f" stroked="f" coordsize="21600,21600">
                  <v:path/>
                  <v:fill on="f" alignshape="1" focussize="0,0"/>
                  <v:stroke on="f"/>
                  <v:imagedata r:id="rId19" o:title=""/>
                  <o:lock v:ext="edit" aspectratio="t"/>
                  <w10:wrap type="none"/>
                  <w10:anchorlock/>
                </v:shape>
                <o:OLEObject Type="Embed" ProgID="Equation.3" ShapeID="_x0000_i1035" DrawAspect="Content" ObjectID="_1468075735" r:id="rId22">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p>
          <w:p>
            <w:pPr>
              <w:pStyle w:val="5"/>
              <w:keepNext w:val="0"/>
              <w:keepLines w:val="0"/>
              <w:pageBreakBefore w:val="0"/>
              <w:widowControl w:val="0"/>
              <w:kinsoku/>
              <w:wordWrap/>
              <w:overflowPunct/>
              <w:topLinePunct w:val="0"/>
              <w:bidi w:val="0"/>
              <w:spacing w:line="380" w:lineRule="exact"/>
              <w:ind w:left="420" w:leftChars="200"/>
              <w:textAlignment w:val="auto"/>
              <w:rPr>
                <w:rFonts w:hint="eastAsia"/>
                <w:b/>
                <w:bCs/>
                <w:highlight w:val="none"/>
                <w:lang w:val="en-US" w:eastAsia="zh-CN"/>
              </w:rPr>
            </w:pPr>
            <w:r>
              <w:rPr>
                <w:rFonts w:hint="eastAsia" w:ascii="宋体" w:hAnsi="宋体"/>
                <w:b/>
                <w:color w:val="000000"/>
                <w:highlight w:val="none"/>
              </w:rPr>
              <w:t>注：评标价得分分值计算保留小数点后</w:t>
            </w:r>
            <w:r>
              <w:rPr>
                <w:rFonts w:hint="eastAsia" w:ascii="宋体" w:hAnsi="宋体"/>
                <w:b/>
                <w:color w:val="000000"/>
                <w:highlight w:val="none"/>
                <w:lang w:val="en-US" w:eastAsia="zh-CN"/>
              </w:rPr>
              <w:t>四</w:t>
            </w:r>
            <w:r>
              <w:rPr>
                <w:rFonts w:hint="eastAsia" w:ascii="宋体" w:hAnsi="宋体"/>
                <w:b/>
                <w:color w:val="000000"/>
                <w:highlight w:val="none"/>
              </w:rPr>
              <w:t>位，小数点后第</w:t>
            </w:r>
            <w:r>
              <w:rPr>
                <w:rFonts w:hint="eastAsia" w:ascii="宋体" w:hAnsi="宋体"/>
                <w:b/>
                <w:color w:val="000000"/>
                <w:highlight w:val="none"/>
                <w:lang w:val="en-US" w:eastAsia="zh-CN"/>
              </w:rPr>
              <w:t>五</w:t>
            </w:r>
            <w:r>
              <w:rPr>
                <w:rFonts w:hint="eastAsia" w:ascii="宋体" w:hAnsi="宋体"/>
                <w:b/>
                <w:color w:val="000000"/>
                <w:highlight w:val="none"/>
              </w:rPr>
              <w:t>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2" w:hRule="atLeast"/>
          <w:jc w:val="center"/>
        </w:trPr>
        <w:tc>
          <w:tcPr>
            <w:tcW w:w="975"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440" w:lineRule="exact"/>
              <w:jc w:val="center"/>
              <w:textAlignment w:val="auto"/>
              <w:rPr>
                <w:rFonts w:hint="eastAsia" w:ascii="宋体" w:hAnsi="宋体"/>
                <w:b/>
                <w:bCs/>
                <w:color w:val="000000"/>
                <w:szCs w:val="21"/>
                <w:highlight w:val="none"/>
              </w:rPr>
            </w:pPr>
            <w:r>
              <w:rPr>
                <w:rFonts w:hint="eastAsia" w:ascii="宋体" w:hAnsi="宋体"/>
                <w:b/>
                <w:bCs/>
                <w:color w:val="000000"/>
                <w:szCs w:val="21"/>
                <w:highlight w:val="none"/>
              </w:rPr>
              <w:t>2.2.4（</w:t>
            </w:r>
            <w:r>
              <w:rPr>
                <w:rFonts w:hint="eastAsia" w:ascii="宋体" w:hAnsi="宋体"/>
                <w:b/>
                <w:bCs/>
                <w:color w:val="000000"/>
                <w:szCs w:val="21"/>
                <w:highlight w:val="none"/>
                <w:lang w:val="en-US" w:eastAsia="zh-CN"/>
              </w:rPr>
              <w:t>2</w:t>
            </w:r>
            <w:r>
              <w:rPr>
                <w:rFonts w:hint="eastAsia" w:ascii="宋体" w:hAnsi="宋体"/>
                <w:b/>
                <w:bCs/>
                <w:color w:val="000000"/>
                <w:szCs w:val="21"/>
                <w:highlight w:val="none"/>
              </w:rPr>
              <w:t>）</w:t>
            </w:r>
          </w:p>
        </w:tc>
        <w:tc>
          <w:tcPr>
            <w:tcW w:w="891" w:type="dxa"/>
            <w:tcBorders>
              <w:top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snapToGrid/>
              <w:spacing w:before="0" w:beforeLines="0" w:line="440" w:lineRule="exact"/>
              <w:ind w:left="0" w:leftChars="0" w:firstLine="0" w:firstLineChars="0"/>
              <w:jc w:val="center"/>
              <w:textAlignment w:val="auto"/>
              <w:rPr>
                <w:rFonts w:hint="eastAsia" w:ascii="宋体" w:hAnsi="宋体"/>
                <w:b/>
                <w:bCs/>
                <w:color w:val="000000"/>
                <w:szCs w:val="21"/>
                <w:highlight w:val="none"/>
              </w:rPr>
            </w:pPr>
            <w:r>
              <w:rPr>
                <w:rFonts w:hint="eastAsia" w:ascii="宋体" w:hAnsi="宋体"/>
                <w:b/>
                <w:bCs/>
                <w:color w:val="000000"/>
                <w:szCs w:val="21"/>
                <w:highlight w:val="none"/>
                <w:lang w:val="en-US" w:eastAsia="zh-CN"/>
              </w:rPr>
              <w:t>其他因素：</w:t>
            </w:r>
          </w:p>
        </w:tc>
        <w:tc>
          <w:tcPr>
            <w:tcW w:w="782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bidi w:val="0"/>
              <w:spacing w:line="380" w:lineRule="exact"/>
              <w:ind w:left="420" w:leftChars="200"/>
              <w:textAlignment w:val="auto"/>
              <w:rPr>
                <w:rFonts w:hint="eastAsia" w:ascii="宋体" w:hAnsi="宋体"/>
                <w:b/>
                <w:color w:val="000000"/>
                <w:highlight w:val="none"/>
              </w:rPr>
            </w:pPr>
            <w:r>
              <w:rPr>
                <w:rFonts w:hint="eastAsia"/>
                <w:highlight w:val="none"/>
                <w:lang w:val="en-US" w:eastAsia="zh-CN"/>
              </w:rPr>
              <w:t>/</w:t>
            </w:r>
          </w:p>
        </w:tc>
      </w:tr>
    </w:tbl>
    <w:p>
      <w:pPr>
        <w:pStyle w:val="5"/>
        <w:ind w:left="0" w:leftChars="0" w:firstLine="0" w:firstLineChars="0"/>
        <w:rPr>
          <w:rFonts w:hint="eastAsia" w:eastAsia="黑体"/>
          <w:color w:val="auto"/>
          <w:sz w:val="32"/>
          <w:szCs w:val="32"/>
          <w:highlight w:val="none"/>
          <w:u w:val="single"/>
          <w:lang w:val="en-US" w:eastAsia="zh-CN"/>
        </w:rPr>
      </w:pPr>
    </w:p>
    <w:p>
      <w:pPr>
        <w:rPr>
          <w:rFonts w:hint="eastAsia" w:ascii="宋体" w:hAnsi="宋体"/>
          <w:color w:val="000000"/>
          <w:szCs w:val="21"/>
        </w:rPr>
      </w:pPr>
    </w:p>
    <w:p>
      <w:pPr>
        <w:jc w:val="right"/>
        <w:rPr>
          <w:rFonts w:hint="eastAsia" w:ascii="宋体" w:hAnsi="宋体"/>
          <w:highlight w:val="none"/>
        </w:rPr>
      </w:pPr>
      <w:r>
        <w:rPr>
          <w:rFonts w:hint="eastAsia" w:ascii="宋体" w:hAnsi="宋体"/>
          <w:highlight w:val="none"/>
        </w:rPr>
        <w:t>续上表</w:t>
      </w:r>
    </w:p>
    <w:tbl>
      <w:tblPr>
        <w:tblStyle w:val="11"/>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8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95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textAlignment w:val="auto"/>
              <w:outlineLvl w:val="9"/>
              <w:rPr>
                <w:rFonts w:ascii="宋体" w:hAnsi="宋体"/>
                <w:b/>
                <w:bCs/>
                <w:sz w:val="32"/>
                <w:szCs w:val="32"/>
                <w:highlight w:val="none"/>
              </w:rPr>
            </w:pPr>
            <w:r>
              <w:rPr>
                <w:rFonts w:hint="eastAsia" w:ascii="宋体" w:hAnsi="宋体"/>
                <w:b/>
                <w:bCs/>
                <w:sz w:val="32"/>
                <w:szCs w:val="32"/>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textAlignment w:val="auto"/>
              <w:outlineLvl w:val="9"/>
              <w:rPr>
                <w:rFonts w:ascii="宋体" w:hAnsi="宋体"/>
                <w:b/>
                <w:bCs/>
                <w:szCs w:val="21"/>
                <w:highlight w:val="none"/>
              </w:rPr>
            </w:pPr>
            <w:r>
              <w:rPr>
                <w:rFonts w:hint="eastAsia" w:ascii="宋体" w:hAnsi="宋体"/>
                <w:b/>
                <w:bCs/>
                <w:highlight w:val="none"/>
              </w:rPr>
              <w:t>条款号</w:t>
            </w:r>
          </w:p>
        </w:tc>
        <w:tc>
          <w:tcPr>
            <w:tcW w:w="854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textAlignment w:val="auto"/>
              <w:outlineLvl w:val="9"/>
              <w:rPr>
                <w:rFonts w:ascii="宋体" w:hAnsi="宋体"/>
                <w:b/>
                <w:bCs/>
                <w:szCs w:val="21"/>
                <w:highlight w:val="none"/>
              </w:rPr>
            </w:pPr>
            <w:r>
              <w:rPr>
                <w:rFonts w:hint="eastAsia" w:ascii="宋体" w:hAnsi="宋体"/>
                <w:b/>
                <w:bCs/>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textAlignment w:val="auto"/>
              <w:outlineLvl w:val="9"/>
              <w:rPr>
                <w:rFonts w:ascii="宋体" w:hAnsi="宋体"/>
                <w:b/>
                <w:bCs/>
                <w:i w:val="0"/>
                <w:iCs w:val="0"/>
                <w:szCs w:val="21"/>
                <w:highlight w:val="none"/>
              </w:rPr>
            </w:pPr>
            <w:r>
              <w:rPr>
                <w:rFonts w:hint="eastAsia" w:ascii="宋体" w:hAnsi="宋体"/>
                <w:b/>
                <w:bCs/>
                <w:i w:val="0"/>
                <w:iCs w:val="0"/>
                <w:highlight w:val="none"/>
              </w:rPr>
              <w:t>1</w:t>
            </w:r>
          </w:p>
        </w:tc>
        <w:tc>
          <w:tcPr>
            <w:tcW w:w="854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ind w:firstLine="420" w:firstLineChars="200"/>
              <w:textAlignment w:val="auto"/>
              <w:outlineLvl w:val="9"/>
              <w:rPr>
                <w:i w:val="0"/>
                <w:iCs w:val="0"/>
                <w:highlight w:val="none"/>
              </w:rPr>
            </w:pPr>
            <w:r>
              <w:rPr>
                <w:rFonts w:hint="eastAsia"/>
                <w:i w:val="0"/>
                <w:iCs w:val="0"/>
                <w:highlight w:val="none"/>
              </w:rPr>
              <w:t>将评标办法范本原文第1条“评标方法”改为“评标方法及评标组织”，并且原文内容修改如下：</w:t>
            </w:r>
          </w:p>
          <w:p>
            <w:pPr>
              <w:keepNext w:val="0"/>
              <w:keepLines w:val="0"/>
              <w:pageBreakBefore w:val="0"/>
              <w:kinsoku/>
              <w:wordWrap/>
              <w:overflowPunct/>
              <w:topLinePunct w:val="0"/>
              <w:autoSpaceDE/>
              <w:autoSpaceDN/>
              <w:bidi w:val="0"/>
              <w:spacing w:line="400" w:lineRule="exact"/>
              <w:textAlignment w:val="auto"/>
              <w:outlineLvl w:val="9"/>
              <w:rPr>
                <w:rFonts w:hint="eastAsia"/>
                <w:i w:val="0"/>
                <w:iCs w:val="0"/>
                <w:highlight w:val="none"/>
              </w:rPr>
            </w:pPr>
            <w:r>
              <w:rPr>
                <w:rFonts w:hint="eastAsia"/>
                <w:i w:val="0"/>
                <w:iCs w:val="0"/>
                <w:highlight w:val="none"/>
              </w:rPr>
              <w:t>1.1评标方法</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i w:val="0"/>
                <w:iCs w:val="0"/>
                <w:highlight w:val="none"/>
              </w:rPr>
            </w:pPr>
            <w:r>
              <w:rPr>
                <w:rFonts w:hint="eastAsia"/>
                <w:i w:val="0"/>
                <w:iCs w:val="0"/>
                <w:highlight w:val="none"/>
              </w:rPr>
              <w:t>本次评标采用双信封的</w:t>
            </w:r>
            <w:r>
              <w:rPr>
                <w:rFonts w:hint="eastAsia"/>
                <w:i w:val="0"/>
                <w:iCs w:val="0"/>
                <w:highlight w:val="none"/>
                <w:lang w:val="en-US" w:eastAsia="zh-CN"/>
              </w:rPr>
              <w:t>合理低价法</w:t>
            </w:r>
            <w:r>
              <w:rPr>
                <w:rFonts w:hint="eastAsia"/>
                <w:i w:val="0"/>
                <w:iCs w:val="0"/>
                <w:highlight w:val="none"/>
              </w:rPr>
              <w:t>。评标委员会对满足招标文件实质性要求的投标文件，按照本章第 2.2 款规定对通过</w:t>
            </w:r>
            <w:r>
              <w:rPr>
                <w:rFonts w:hint="eastAsia"/>
                <w:i w:val="0"/>
                <w:iCs w:val="0"/>
                <w:highlight w:val="none"/>
                <w:lang w:val="en-US" w:eastAsia="zh-CN"/>
              </w:rPr>
              <w:t>第一信封</w:t>
            </w:r>
            <w:r>
              <w:rPr>
                <w:rFonts w:hint="eastAsia"/>
                <w:i w:val="0"/>
                <w:iCs w:val="0"/>
                <w:highlight w:val="none"/>
              </w:rPr>
              <w:t>评审的投标人的</w:t>
            </w:r>
            <w:r>
              <w:rPr>
                <w:rFonts w:hint="eastAsia"/>
                <w:i w:val="0"/>
                <w:iCs w:val="0"/>
                <w:highlight w:val="none"/>
                <w:lang w:val="en-US" w:eastAsia="zh-CN"/>
              </w:rPr>
              <w:t>报价</w:t>
            </w:r>
            <w:r>
              <w:rPr>
                <w:rFonts w:hint="eastAsia"/>
                <w:i w:val="0"/>
                <w:iCs w:val="0"/>
                <w:highlight w:val="none"/>
              </w:rPr>
              <w:t>进行</w:t>
            </w:r>
            <w:r>
              <w:rPr>
                <w:rFonts w:hint="eastAsia"/>
                <w:i w:val="0"/>
                <w:iCs w:val="0"/>
                <w:highlight w:val="none"/>
                <w:lang w:val="en-US" w:eastAsia="zh-CN"/>
              </w:rPr>
              <w:t>评</w:t>
            </w:r>
            <w:r>
              <w:rPr>
                <w:rFonts w:hint="eastAsia"/>
                <w:i w:val="0"/>
                <w:iCs w:val="0"/>
                <w:highlight w:val="none"/>
              </w:rPr>
              <w:t>分，按照</w:t>
            </w:r>
            <w:r>
              <w:rPr>
                <w:rFonts w:hint="eastAsia"/>
                <w:i w:val="0"/>
                <w:iCs w:val="0"/>
                <w:highlight w:val="none"/>
                <w:lang w:val="en-US" w:eastAsia="zh-CN"/>
              </w:rPr>
              <w:t>评标价得分</w:t>
            </w:r>
            <w:r>
              <w:rPr>
                <w:rFonts w:hint="eastAsia"/>
                <w:i w:val="0"/>
                <w:iCs w:val="0"/>
                <w:highlight w:val="none"/>
              </w:rPr>
              <w:t>由</w:t>
            </w:r>
            <w:r>
              <w:rPr>
                <w:rFonts w:hint="eastAsia"/>
                <w:i w:val="0"/>
                <w:iCs w:val="0"/>
                <w:highlight w:val="none"/>
                <w:lang w:val="en-US" w:eastAsia="zh-CN"/>
              </w:rPr>
              <w:t>高到低</w:t>
            </w:r>
            <w:r>
              <w:rPr>
                <w:rFonts w:hint="eastAsia"/>
                <w:i w:val="0"/>
                <w:iCs w:val="0"/>
                <w:highlight w:val="none"/>
              </w:rPr>
              <w:t>的顺序推荐中标候选人的评标方法。</w:t>
            </w:r>
            <w:r>
              <w:rPr>
                <w:rFonts w:hint="eastAsia"/>
                <w:i w:val="0"/>
                <w:iCs w:val="0"/>
                <w:highlight w:val="none"/>
                <w:lang w:val="en-US" w:eastAsia="zh-CN"/>
              </w:rPr>
              <w:t>评标价得分</w:t>
            </w:r>
            <w:r>
              <w:rPr>
                <w:rFonts w:hint="eastAsia"/>
                <w:i w:val="0"/>
                <w:iCs w:val="0"/>
                <w:highlight w:val="none"/>
              </w:rPr>
              <w:t>相等时，评标委员会应按照评标办法前附表规定的优先次序推荐中标候选人或确定中标人。</w:t>
            </w:r>
          </w:p>
          <w:p>
            <w:pPr>
              <w:keepNext w:val="0"/>
              <w:keepLines w:val="0"/>
              <w:pageBreakBefore w:val="0"/>
              <w:kinsoku/>
              <w:wordWrap/>
              <w:overflowPunct/>
              <w:topLinePunct w:val="0"/>
              <w:autoSpaceDE/>
              <w:autoSpaceDN/>
              <w:bidi w:val="0"/>
              <w:spacing w:line="400" w:lineRule="exact"/>
              <w:textAlignment w:val="auto"/>
              <w:outlineLvl w:val="9"/>
              <w:rPr>
                <w:rFonts w:hint="eastAsia"/>
                <w:i w:val="0"/>
                <w:iCs w:val="0"/>
                <w:highlight w:val="none"/>
              </w:rPr>
            </w:pPr>
            <w:r>
              <w:rPr>
                <w:rFonts w:hint="eastAsia"/>
                <w:i w:val="0"/>
                <w:iCs w:val="0"/>
                <w:highlight w:val="none"/>
              </w:rPr>
              <w:t>1.2评标组织</w:t>
            </w:r>
          </w:p>
          <w:p>
            <w:pPr>
              <w:keepNext w:val="0"/>
              <w:keepLines w:val="0"/>
              <w:pageBreakBefore w:val="0"/>
              <w:kinsoku/>
              <w:wordWrap/>
              <w:overflowPunct/>
              <w:topLinePunct w:val="0"/>
              <w:autoSpaceDE/>
              <w:autoSpaceDN/>
              <w:bidi w:val="0"/>
              <w:spacing w:line="400" w:lineRule="exact"/>
              <w:textAlignment w:val="auto"/>
              <w:outlineLvl w:val="9"/>
              <w:rPr>
                <w:rFonts w:hint="eastAsia"/>
                <w:i w:val="0"/>
                <w:iCs w:val="0"/>
                <w:highlight w:val="none"/>
              </w:rPr>
            </w:pPr>
            <w:r>
              <w:rPr>
                <w:rFonts w:hint="eastAsia"/>
                <w:i w:val="0"/>
                <w:iCs w:val="0"/>
                <w:highlight w:val="none"/>
              </w:rPr>
              <w:t>1.2.1协助工作组</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i w:val="0"/>
                <w:iCs w:val="0"/>
                <w:highlight w:val="none"/>
              </w:rPr>
            </w:pPr>
            <w:r>
              <w:rPr>
                <w:rFonts w:hint="eastAsia"/>
                <w:i w:val="0"/>
                <w:iCs w:val="0"/>
                <w:highlight w:val="none"/>
              </w:rPr>
              <w:t>招标人可在评标工作开始前成立协助工作组，选派熟悉招标工作、政治素质高的人员组成，协助评标委员会工作。协助工作组人员的具体数量由招标人视评标工作量确定。</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ascii="宋体" w:hAnsi="宋体"/>
                <w:i w:val="0"/>
                <w:iCs w:val="0"/>
                <w:kern w:val="0"/>
                <w:highlight w:val="none"/>
              </w:rPr>
            </w:pPr>
            <w:r>
              <w:rPr>
                <w:rFonts w:hint="eastAsia" w:ascii="宋体" w:hAnsi="宋体"/>
                <w:i w:val="0"/>
                <w:iCs w:val="0"/>
                <w:kern w:val="0"/>
                <w:highlight w:val="none"/>
              </w:rPr>
              <w:t>招标人可以协助评标委员会开展下列工作并提供相关信息：</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ascii="宋体" w:hAnsi="宋体"/>
                <w:i w:val="0"/>
                <w:iCs w:val="0"/>
                <w:highlight w:val="none"/>
              </w:rPr>
            </w:pPr>
            <w:r>
              <w:rPr>
                <w:rFonts w:hint="eastAsia" w:ascii="宋体" w:hAnsi="宋体"/>
                <w:i w:val="0"/>
                <w:iCs w:val="0"/>
                <w:highlight w:val="none"/>
              </w:rPr>
              <w:t>（1）根据招标文件，编制评标使用的相应表格；</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ascii="宋体" w:hAnsi="宋体"/>
                <w:i w:val="0"/>
                <w:iCs w:val="0"/>
                <w:highlight w:val="none"/>
              </w:rPr>
            </w:pPr>
            <w:r>
              <w:rPr>
                <w:rFonts w:hint="eastAsia" w:ascii="宋体" w:hAnsi="宋体"/>
                <w:i w:val="0"/>
                <w:iCs w:val="0"/>
                <w:highlight w:val="none"/>
              </w:rPr>
              <w:t>（2）对投标报价进行算术性校核（如采用固化清单，本步骤省略）；</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ascii="宋体" w:hAnsi="宋体"/>
                <w:i w:val="0"/>
                <w:iCs w:val="0"/>
                <w:highlight w:val="none"/>
              </w:rPr>
            </w:pPr>
            <w:r>
              <w:rPr>
                <w:rFonts w:hint="eastAsia" w:ascii="宋体" w:hAnsi="宋体"/>
                <w:i w:val="0"/>
                <w:iCs w:val="0"/>
                <w:highlight w:val="none"/>
              </w:rPr>
              <w:t>（3）以评标标准和方法为依据，列出投标文件相对于招标文件的所有偏差，并进行归类汇总；</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ascii="宋体" w:hAnsi="宋体"/>
                <w:i w:val="0"/>
                <w:iCs w:val="0"/>
                <w:highlight w:val="none"/>
              </w:rPr>
            </w:pPr>
            <w:r>
              <w:rPr>
                <w:rFonts w:hint="eastAsia" w:ascii="宋体" w:hAnsi="宋体"/>
                <w:i w:val="0"/>
                <w:iCs w:val="0"/>
                <w:highlight w:val="none"/>
              </w:rPr>
              <w:t>（4）对投标人的</w:t>
            </w:r>
            <w:r>
              <w:rPr>
                <w:rFonts w:hint="eastAsia" w:ascii="宋体" w:hAnsi="宋体"/>
                <w:i w:val="0"/>
                <w:iCs w:val="0"/>
                <w:highlight w:val="none"/>
                <w:lang w:val="en-US" w:eastAsia="zh-CN"/>
              </w:rPr>
              <w:t>资质、财务、业绩、信誉、投标实物等</w:t>
            </w:r>
            <w:r>
              <w:rPr>
                <w:rFonts w:hint="eastAsia"/>
                <w:i w:val="0"/>
                <w:iCs w:val="0"/>
                <w:highlight w:val="none"/>
                <w:lang w:val="en-US" w:eastAsia="zh-CN"/>
              </w:rPr>
              <w:t>情况</w:t>
            </w:r>
            <w:r>
              <w:rPr>
                <w:rFonts w:hint="eastAsia" w:ascii="宋体" w:hAnsi="宋体"/>
                <w:i w:val="0"/>
                <w:iCs w:val="0"/>
                <w:highlight w:val="none"/>
              </w:rPr>
              <w:t>进行核实。</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ascii="宋体" w:hAnsi="宋体"/>
                <w:i w:val="0"/>
                <w:iCs w:val="0"/>
                <w:highlight w:val="none"/>
              </w:rPr>
            </w:pPr>
            <w:r>
              <w:rPr>
                <w:rFonts w:hint="eastAsia" w:ascii="宋体" w:hAnsi="宋体"/>
                <w:i w:val="0"/>
                <w:iCs w:val="0"/>
                <w:highlight w:val="none"/>
              </w:rPr>
              <w:t>招标人不得对投标文件作出任何评价，不得故意遗漏或者片面摘录，不得在评标委员会对所有偏差定性之前透露存有偏差的投标人名称。</w:t>
            </w:r>
          </w:p>
          <w:p>
            <w:pPr>
              <w:keepNext w:val="0"/>
              <w:keepLines w:val="0"/>
              <w:pageBreakBefore w:val="0"/>
              <w:kinsoku/>
              <w:wordWrap/>
              <w:overflowPunct/>
              <w:topLinePunct w:val="0"/>
              <w:autoSpaceDE/>
              <w:autoSpaceDN/>
              <w:bidi w:val="0"/>
              <w:spacing w:line="400" w:lineRule="exact"/>
              <w:textAlignment w:val="auto"/>
              <w:outlineLvl w:val="9"/>
              <w:rPr>
                <w:rFonts w:hint="eastAsia"/>
                <w:i w:val="0"/>
                <w:iCs w:val="0"/>
                <w:highlight w:val="none"/>
              </w:rPr>
            </w:pPr>
            <w:r>
              <w:rPr>
                <w:rFonts w:hint="eastAsia"/>
                <w:i w:val="0"/>
                <w:iCs w:val="0"/>
                <w:highlight w:val="none"/>
              </w:rPr>
              <w:t>1.2.2评标委员会</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hint="eastAsia"/>
                <w:i w:val="0"/>
                <w:iCs w:val="0"/>
                <w:highlight w:val="none"/>
              </w:rPr>
            </w:pPr>
            <w:r>
              <w:rPr>
                <w:rFonts w:hint="eastAsia"/>
                <w:i w:val="0"/>
                <w:iCs w:val="0"/>
                <w:highlight w:val="none"/>
              </w:rPr>
              <w:t xml:space="preserve">评标委员会由招标人按国家、广东省等有关规定依法组建。评标委员会的主要工作内容包括： </w:t>
            </w:r>
          </w:p>
          <w:p>
            <w:pPr>
              <w:keepNext w:val="0"/>
              <w:keepLines w:val="0"/>
              <w:pageBreakBefore w:val="0"/>
              <w:kinsoku/>
              <w:wordWrap/>
              <w:overflowPunct/>
              <w:topLinePunct w:val="0"/>
              <w:autoSpaceDE/>
              <w:autoSpaceDN/>
              <w:bidi w:val="0"/>
              <w:spacing w:line="400" w:lineRule="exact"/>
              <w:ind w:firstLine="323" w:firstLineChars="154"/>
              <w:textAlignment w:val="auto"/>
              <w:outlineLvl w:val="9"/>
              <w:rPr>
                <w:rFonts w:hint="eastAsia" w:ascii="Times New Roman" w:hAnsi="Times New Roman" w:eastAsia="宋体" w:cs="Times New Roman"/>
                <w:i w:val="0"/>
                <w:iCs w:val="0"/>
                <w:highlight w:val="none"/>
              </w:rPr>
            </w:pPr>
            <w:r>
              <w:rPr>
                <w:rFonts w:hint="eastAsia" w:ascii="Times New Roman" w:hAnsi="Times New Roman" w:eastAsia="宋体" w:cs="Times New Roman"/>
                <w:i w:val="0"/>
                <w:iCs w:val="0"/>
                <w:highlight w:val="none"/>
              </w:rPr>
              <w:t>（1）评标委员会开始评标工作之前，首先听取招标人、协助工作组关于</w:t>
            </w:r>
            <w:r>
              <w:rPr>
                <w:rFonts w:hint="eastAsia" w:ascii="Times New Roman" w:hAnsi="Times New Roman" w:eastAsia="宋体" w:cs="Times New Roman"/>
                <w:i w:val="0"/>
                <w:iCs w:val="0"/>
                <w:highlight w:val="none"/>
                <w:lang w:eastAsia="zh-CN"/>
              </w:rPr>
              <w:t>项目</w:t>
            </w:r>
            <w:r>
              <w:rPr>
                <w:rFonts w:hint="eastAsia" w:ascii="Times New Roman" w:hAnsi="Times New Roman" w:eastAsia="宋体" w:cs="Times New Roman"/>
                <w:i w:val="0"/>
                <w:iCs w:val="0"/>
                <w:highlight w:val="none"/>
              </w:rPr>
              <w:t>情况和辅助工作的说明，并认真研读招标文件，获取评标所需的重要信息和数据；</w:t>
            </w:r>
          </w:p>
          <w:p>
            <w:pPr>
              <w:keepNext w:val="0"/>
              <w:keepLines w:val="0"/>
              <w:pageBreakBefore w:val="0"/>
              <w:kinsoku/>
              <w:wordWrap/>
              <w:overflowPunct/>
              <w:topLinePunct w:val="0"/>
              <w:autoSpaceDE/>
              <w:autoSpaceDN/>
              <w:bidi w:val="0"/>
              <w:spacing w:line="400" w:lineRule="exact"/>
              <w:ind w:firstLine="323" w:firstLineChars="154"/>
              <w:textAlignment w:val="auto"/>
              <w:outlineLvl w:val="9"/>
              <w:rPr>
                <w:rFonts w:hint="eastAsia" w:ascii="Times New Roman" w:hAnsi="Times New Roman" w:eastAsia="宋体" w:cs="Times New Roman"/>
                <w:i w:val="0"/>
                <w:iCs w:val="0"/>
                <w:highlight w:val="none"/>
              </w:rPr>
            </w:pPr>
            <w:r>
              <w:rPr>
                <w:rFonts w:hint="eastAsia" w:ascii="Times New Roman" w:hAnsi="Times New Roman" w:eastAsia="宋体" w:cs="Times New Roman"/>
                <w:i w:val="0"/>
                <w:iCs w:val="0"/>
                <w:highlight w:val="none"/>
              </w:rPr>
              <w:t>（2）对协助工作组提供的评标工作用表和评标内容进行认真核对；</w:t>
            </w:r>
          </w:p>
          <w:p>
            <w:pPr>
              <w:keepNext w:val="0"/>
              <w:keepLines w:val="0"/>
              <w:pageBreakBefore w:val="0"/>
              <w:kinsoku/>
              <w:wordWrap/>
              <w:overflowPunct/>
              <w:topLinePunct w:val="0"/>
              <w:autoSpaceDE/>
              <w:autoSpaceDN/>
              <w:bidi w:val="0"/>
              <w:spacing w:line="400" w:lineRule="exact"/>
              <w:ind w:firstLine="323" w:firstLineChars="154"/>
              <w:textAlignment w:val="auto"/>
              <w:outlineLvl w:val="9"/>
              <w:rPr>
                <w:rFonts w:hint="eastAsia" w:ascii="Times New Roman" w:hAnsi="Times New Roman" w:eastAsia="宋体" w:cs="Times New Roman"/>
                <w:i w:val="0"/>
                <w:iCs w:val="0"/>
                <w:highlight w:val="none"/>
              </w:rPr>
            </w:pPr>
            <w:r>
              <w:rPr>
                <w:rFonts w:hint="eastAsia" w:ascii="Times New Roman" w:hAnsi="Times New Roman" w:eastAsia="宋体" w:cs="Times New Roman"/>
                <w:i w:val="0"/>
                <w:iCs w:val="0"/>
                <w:highlight w:val="none"/>
              </w:rPr>
              <w:t>（3）按照以下1.3 款程序进行各项评审工作。</w:t>
            </w:r>
          </w:p>
          <w:p>
            <w:pPr>
              <w:keepNext w:val="0"/>
              <w:keepLines w:val="0"/>
              <w:pageBreakBefore w:val="0"/>
              <w:kinsoku/>
              <w:wordWrap/>
              <w:overflowPunct/>
              <w:topLinePunct w:val="0"/>
              <w:autoSpaceDE/>
              <w:autoSpaceDN/>
              <w:bidi w:val="0"/>
              <w:spacing w:line="400" w:lineRule="exact"/>
              <w:textAlignment w:val="auto"/>
              <w:outlineLvl w:val="9"/>
              <w:rPr>
                <w:rFonts w:hint="eastAsia" w:ascii="Times New Roman" w:hAnsi="Times New Roman" w:eastAsia="宋体" w:cs="Times New Roman"/>
                <w:i w:val="0"/>
                <w:iCs w:val="0"/>
                <w:highlight w:val="none"/>
              </w:rPr>
            </w:pPr>
            <w:r>
              <w:rPr>
                <w:rFonts w:hint="eastAsia" w:ascii="Times New Roman" w:hAnsi="Times New Roman" w:eastAsia="宋体" w:cs="Times New Roman"/>
                <w:i w:val="0"/>
                <w:iCs w:val="0"/>
                <w:highlight w:val="none"/>
              </w:rPr>
              <w:t>1.3 评审工作程序</w:t>
            </w:r>
          </w:p>
          <w:p>
            <w:pPr>
              <w:keepNext w:val="0"/>
              <w:keepLines w:val="0"/>
              <w:pageBreakBefore w:val="0"/>
              <w:numPr>
                <w:ilvl w:val="0"/>
                <w:numId w:val="0"/>
              </w:numPr>
              <w:kinsoku/>
              <w:wordWrap/>
              <w:overflowPunct/>
              <w:topLinePunct w:val="0"/>
              <w:autoSpaceDE/>
              <w:autoSpaceDN/>
              <w:bidi w:val="0"/>
              <w:spacing w:line="400" w:lineRule="exact"/>
              <w:ind w:firstLine="630" w:firstLineChars="300"/>
              <w:textAlignment w:val="auto"/>
              <w:outlineLvl w:val="9"/>
              <w:rPr>
                <w:i w:val="0"/>
                <w:iCs w:val="0"/>
                <w:highlight w:val="none"/>
              </w:rPr>
            </w:pPr>
            <w:r>
              <w:rPr>
                <w:i w:val="0"/>
                <w:iCs w:val="0"/>
                <w:highlight w:val="none"/>
              </w:rPr>
              <w:t>第一个信封（商务及技术文件）</w:t>
            </w:r>
            <w:r>
              <w:rPr>
                <w:rFonts w:hint="eastAsia"/>
                <w:i w:val="0"/>
                <w:iCs w:val="0"/>
                <w:highlight w:val="none"/>
              </w:rPr>
              <w:t>评审</w:t>
            </w:r>
            <w:r>
              <w:rPr>
                <w:rFonts w:hint="eastAsia"/>
                <w:i w:val="0"/>
                <w:iCs w:val="0"/>
                <w:highlight w:val="none"/>
                <w:lang w:eastAsia="zh-CN"/>
              </w:rPr>
              <w:t>：</w:t>
            </w:r>
            <w:r>
              <w:rPr>
                <w:i w:val="0"/>
                <w:iCs w:val="0"/>
                <w:highlight w:val="none"/>
              </w:rPr>
              <w:t>包括形式评审与响应性评审、资格评审（适用于未进行资格预审）；</w:t>
            </w:r>
          </w:p>
          <w:p>
            <w:pPr>
              <w:keepNext w:val="0"/>
              <w:keepLines w:val="0"/>
              <w:pageBreakBefore w:val="0"/>
              <w:numPr>
                <w:ilvl w:val="0"/>
                <w:numId w:val="0"/>
              </w:numPr>
              <w:kinsoku/>
              <w:wordWrap/>
              <w:overflowPunct/>
              <w:topLinePunct w:val="0"/>
              <w:autoSpaceDE/>
              <w:autoSpaceDN/>
              <w:bidi w:val="0"/>
              <w:spacing w:line="400" w:lineRule="exact"/>
              <w:ind w:firstLine="420" w:firstLineChars="200"/>
              <w:textAlignment w:val="auto"/>
              <w:outlineLvl w:val="9"/>
              <w:rPr>
                <w:i w:val="0"/>
                <w:iCs w:val="0"/>
                <w:highlight w:val="none"/>
              </w:rPr>
            </w:pPr>
            <w:r>
              <w:rPr>
                <w:i w:val="0"/>
                <w:iCs w:val="0"/>
                <w:highlight w:val="none"/>
              </w:rPr>
              <w:t xml:space="preserve"> （二）第二个信封（报价文件）：</w:t>
            </w:r>
          </w:p>
          <w:p>
            <w:pPr>
              <w:keepNext w:val="0"/>
              <w:keepLines w:val="0"/>
              <w:pageBreakBefore w:val="0"/>
              <w:numPr>
                <w:ilvl w:val="0"/>
                <w:numId w:val="0"/>
              </w:numPr>
              <w:kinsoku/>
              <w:wordWrap/>
              <w:overflowPunct/>
              <w:topLinePunct w:val="0"/>
              <w:autoSpaceDE/>
              <w:autoSpaceDN/>
              <w:bidi w:val="0"/>
              <w:spacing w:line="400" w:lineRule="exact"/>
              <w:ind w:firstLine="420" w:firstLineChars="200"/>
              <w:textAlignment w:val="auto"/>
              <w:outlineLvl w:val="9"/>
              <w:rPr>
                <w:i w:val="0"/>
                <w:iCs w:val="0"/>
                <w:highlight w:val="none"/>
              </w:rPr>
            </w:pPr>
            <w:r>
              <w:rPr>
                <w:i w:val="0"/>
                <w:iCs w:val="0"/>
                <w:highlight w:val="none"/>
              </w:rPr>
              <w:t xml:space="preserve"> 1、初步评审：</w:t>
            </w:r>
          </w:p>
          <w:p>
            <w:pPr>
              <w:keepNext w:val="0"/>
              <w:keepLines w:val="0"/>
              <w:pageBreakBefore w:val="0"/>
              <w:numPr>
                <w:ilvl w:val="0"/>
                <w:numId w:val="0"/>
              </w:numPr>
              <w:kinsoku/>
              <w:wordWrap/>
              <w:overflowPunct/>
              <w:topLinePunct w:val="0"/>
              <w:autoSpaceDE/>
              <w:autoSpaceDN/>
              <w:bidi w:val="0"/>
              <w:spacing w:line="400" w:lineRule="exact"/>
              <w:ind w:firstLine="420" w:firstLineChars="200"/>
              <w:textAlignment w:val="auto"/>
              <w:outlineLvl w:val="9"/>
              <w:rPr>
                <w:i w:val="0"/>
                <w:iCs w:val="0"/>
                <w:highlight w:val="none"/>
              </w:rPr>
            </w:pPr>
            <w:r>
              <w:rPr>
                <w:i w:val="0"/>
                <w:iCs w:val="0"/>
                <w:highlight w:val="none"/>
              </w:rPr>
              <w:t xml:space="preserve"> （1）只有对投标文件第一个信封通过详细评审的投标人的报价文件才能继续参加第二个信封报价文件的形式评审与响应性评审。</w:t>
            </w:r>
            <w:r>
              <w:rPr>
                <w:rFonts w:hint="eastAsia"/>
                <w:highlight w:val="none"/>
              </w:rPr>
              <w:t>对第一个信封不通过初步评审的投标人的第二信封直接退回，不再开启内层信封。</w:t>
            </w:r>
          </w:p>
          <w:p>
            <w:pPr>
              <w:keepNext w:val="0"/>
              <w:keepLines w:val="0"/>
              <w:pageBreakBefore w:val="0"/>
              <w:numPr>
                <w:ilvl w:val="0"/>
                <w:numId w:val="8"/>
              </w:numPr>
              <w:kinsoku/>
              <w:wordWrap/>
              <w:overflowPunct/>
              <w:topLinePunct w:val="0"/>
              <w:autoSpaceDE/>
              <w:autoSpaceDN/>
              <w:bidi w:val="0"/>
              <w:spacing w:line="400" w:lineRule="exact"/>
              <w:ind w:firstLine="420" w:firstLineChars="200"/>
              <w:textAlignment w:val="auto"/>
              <w:outlineLvl w:val="9"/>
              <w:rPr>
                <w:i w:val="0"/>
                <w:iCs w:val="0"/>
                <w:highlight w:val="none"/>
              </w:rPr>
            </w:pPr>
            <w:r>
              <w:rPr>
                <w:i w:val="0"/>
                <w:iCs w:val="0"/>
                <w:highlight w:val="none"/>
              </w:rPr>
              <w:t>报价算术性修正（如采用固化工程量清单，本步骤省略）；</w:t>
            </w:r>
          </w:p>
          <w:p>
            <w:pPr>
              <w:keepNext w:val="0"/>
              <w:keepLines w:val="0"/>
              <w:pageBreakBefore w:val="0"/>
              <w:numPr>
                <w:ilvl w:val="0"/>
                <w:numId w:val="9"/>
              </w:numPr>
              <w:kinsoku/>
              <w:wordWrap/>
              <w:overflowPunct/>
              <w:topLinePunct w:val="0"/>
              <w:autoSpaceDE/>
              <w:autoSpaceDN/>
              <w:bidi w:val="0"/>
              <w:spacing w:line="400" w:lineRule="exact"/>
              <w:ind w:firstLine="630" w:firstLineChars="300"/>
              <w:textAlignment w:val="auto"/>
              <w:outlineLvl w:val="9"/>
              <w:rPr>
                <w:i w:val="0"/>
                <w:iCs w:val="0"/>
                <w:highlight w:val="none"/>
              </w:rPr>
            </w:pPr>
            <w:r>
              <w:rPr>
                <w:i w:val="0"/>
                <w:iCs w:val="0"/>
                <w:highlight w:val="none"/>
              </w:rPr>
              <w:t>详细评审：计算评标价</w:t>
            </w:r>
            <w:r>
              <w:rPr>
                <w:rFonts w:hint="eastAsia"/>
                <w:i w:val="0"/>
                <w:iCs w:val="0"/>
                <w:highlight w:val="none"/>
                <w:lang w:val="en-US" w:eastAsia="zh-CN"/>
              </w:rPr>
              <w:t>得分</w:t>
            </w:r>
            <w:r>
              <w:rPr>
                <w:i w:val="0"/>
                <w:iCs w:val="0"/>
                <w:highlight w:val="none"/>
              </w:rPr>
              <w:t xml:space="preserve">。 </w:t>
            </w:r>
          </w:p>
          <w:p>
            <w:pPr>
              <w:keepNext w:val="0"/>
              <w:keepLines w:val="0"/>
              <w:pageBreakBefore w:val="0"/>
              <w:numPr>
                <w:ilvl w:val="0"/>
                <w:numId w:val="10"/>
              </w:numPr>
              <w:kinsoku/>
              <w:wordWrap/>
              <w:overflowPunct/>
              <w:topLinePunct w:val="0"/>
              <w:autoSpaceDE/>
              <w:autoSpaceDN/>
              <w:bidi w:val="0"/>
              <w:spacing w:line="400" w:lineRule="exact"/>
              <w:ind w:firstLine="420" w:firstLineChars="200"/>
              <w:textAlignment w:val="auto"/>
              <w:outlineLvl w:val="9"/>
              <w:rPr>
                <w:i w:val="0"/>
                <w:iCs w:val="0"/>
                <w:highlight w:val="none"/>
              </w:rPr>
            </w:pPr>
            <w:r>
              <w:rPr>
                <w:i w:val="0"/>
                <w:iCs w:val="0"/>
                <w:highlight w:val="none"/>
              </w:rPr>
              <w:t xml:space="preserve">投标文件相关信息的核查。 </w:t>
            </w:r>
          </w:p>
          <w:p>
            <w:pPr>
              <w:keepNext w:val="0"/>
              <w:keepLines w:val="0"/>
              <w:pageBreakBefore w:val="0"/>
              <w:numPr>
                <w:ilvl w:val="0"/>
                <w:numId w:val="10"/>
              </w:numPr>
              <w:kinsoku/>
              <w:wordWrap/>
              <w:overflowPunct/>
              <w:topLinePunct w:val="0"/>
              <w:autoSpaceDE/>
              <w:autoSpaceDN/>
              <w:bidi w:val="0"/>
              <w:spacing w:line="400" w:lineRule="exact"/>
              <w:ind w:firstLine="420" w:firstLineChars="200"/>
              <w:textAlignment w:val="auto"/>
              <w:outlineLvl w:val="9"/>
              <w:rPr>
                <w:i w:val="0"/>
                <w:iCs w:val="0"/>
                <w:highlight w:val="none"/>
              </w:rPr>
            </w:pPr>
            <w:r>
              <w:rPr>
                <w:i w:val="0"/>
                <w:iCs w:val="0"/>
                <w:highlight w:val="none"/>
              </w:rPr>
              <w:t xml:space="preserve">投标文件的澄清和说明(如有) </w:t>
            </w:r>
            <w:r>
              <w:rPr>
                <w:rFonts w:hint="eastAsia"/>
                <w:i w:val="0"/>
                <w:iCs w:val="0"/>
                <w:highlight w:val="none"/>
                <w:lang w:eastAsia="zh-CN"/>
              </w:rPr>
              <w:t>。</w:t>
            </w:r>
          </w:p>
          <w:p>
            <w:pPr>
              <w:keepNext w:val="0"/>
              <w:keepLines w:val="0"/>
              <w:pageBreakBefore w:val="0"/>
              <w:numPr>
                <w:ilvl w:val="0"/>
                <w:numId w:val="10"/>
              </w:numPr>
              <w:kinsoku/>
              <w:wordWrap/>
              <w:overflowPunct/>
              <w:topLinePunct w:val="0"/>
              <w:autoSpaceDE/>
              <w:autoSpaceDN/>
              <w:bidi w:val="0"/>
              <w:spacing w:line="400" w:lineRule="exact"/>
              <w:ind w:firstLine="420" w:firstLineChars="200"/>
              <w:textAlignment w:val="auto"/>
              <w:outlineLvl w:val="9"/>
              <w:rPr>
                <w:i w:val="0"/>
                <w:iCs w:val="0"/>
                <w:highlight w:val="none"/>
              </w:rPr>
            </w:pPr>
            <w:r>
              <w:rPr>
                <w:rFonts w:hint="eastAsia" w:ascii="Times New Roman" w:hAnsi="Times New Roman" w:eastAsia="宋体" w:cs="Times New Roman"/>
                <w:highlight w:val="none"/>
              </w:rPr>
              <w:t>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b/>
                <w:bCs/>
                <w:highlight w:val="none"/>
                <w:lang w:val="en-US" w:eastAsia="zh-CN"/>
              </w:rPr>
            </w:pPr>
            <w:r>
              <w:rPr>
                <w:rFonts w:hint="eastAsia" w:ascii="宋体" w:hAnsi="宋体"/>
                <w:b/>
                <w:bCs/>
                <w:highlight w:val="none"/>
                <w:lang w:val="en-US" w:eastAsia="zh-CN"/>
              </w:rPr>
              <w:t>3.5</w:t>
            </w:r>
          </w:p>
        </w:tc>
        <w:tc>
          <w:tcPr>
            <w:tcW w:w="8544" w:type="dxa"/>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val="0"/>
                <w:bCs w:val="0"/>
                <w:szCs w:val="21"/>
                <w:highlight w:val="none"/>
              </w:rPr>
            </w:pPr>
            <w:r>
              <w:rPr>
                <w:rFonts w:ascii="宋体" w:hAnsi="宋体"/>
                <w:b w:val="0"/>
                <w:bCs w:val="0"/>
                <w:szCs w:val="21"/>
                <w:highlight w:val="none"/>
              </w:rPr>
              <w:t>3.</w:t>
            </w:r>
            <w:r>
              <w:rPr>
                <w:rFonts w:hint="eastAsia" w:ascii="宋体" w:hAnsi="宋体"/>
                <w:b w:val="0"/>
                <w:bCs w:val="0"/>
                <w:szCs w:val="21"/>
                <w:highlight w:val="none"/>
                <w:lang w:eastAsia="zh-CN"/>
              </w:rPr>
              <w:t>5</w:t>
            </w:r>
            <w:r>
              <w:rPr>
                <w:rFonts w:ascii="宋体" w:hAnsi="宋体"/>
                <w:b w:val="0"/>
                <w:bCs w:val="0"/>
                <w:szCs w:val="21"/>
                <w:highlight w:val="none"/>
              </w:rPr>
              <w:t>.2项（2）目末增加以下条款：</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val="0"/>
                <w:bCs w:val="0"/>
                <w:szCs w:val="21"/>
                <w:highlight w:val="none"/>
              </w:rPr>
            </w:pPr>
            <w:r>
              <w:rPr>
                <w:rFonts w:ascii="宋体" w:hAnsi="宋体"/>
                <w:b w:val="0"/>
                <w:bCs w:val="0"/>
                <w:szCs w:val="21"/>
                <w:highlight w:val="none"/>
              </w:rPr>
              <w:t xml:space="preserve"> g.当一家以上投标人评标价相同时，若各投标人工程量清单细目单价也相同，视为串标（一个标段仅一工作细目报价的除外）。</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val="0"/>
                <w:bCs w:val="0"/>
                <w:szCs w:val="21"/>
                <w:highlight w:val="none"/>
              </w:rPr>
            </w:pPr>
            <w:r>
              <w:rPr>
                <w:rFonts w:ascii="宋体" w:hAnsi="宋体"/>
                <w:b w:val="0"/>
                <w:bCs w:val="0"/>
                <w:szCs w:val="21"/>
                <w:highlight w:val="none"/>
              </w:rPr>
              <w:t xml:space="preserve"> h.广东省实施《中华人民共和国招标投标法》办法第十六条规定的情形。</w:t>
            </w:r>
          </w:p>
          <w:p>
            <w:pPr>
              <w:keepNext w:val="0"/>
              <w:keepLines w:val="0"/>
              <w:pageBreakBefore w:val="0"/>
              <w:kinsoku/>
              <w:wordWrap/>
              <w:overflowPunct/>
              <w:topLinePunct w:val="0"/>
              <w:autoSpaceDE/>
              <w:autoSpaceDN/>
              <w:bidi w:val="0"/>
              <w:spacing w:line="400" w:lineRule="exact"/>
              <w:textAlignment w:val="auto"/>
              <w:outlineLvl w:val="9"/>
              <w:rPr>
                <w:rFonts w:ascii="宋体" w:hAnsi="宋体"/>
                <w:b w:val="0"/>
                <w:bCs w:val="0"/>
                <w:szCs w:val="21"/>
                <w:highlight w:val="none"/>
              </w:rPr>
            </w:pPr>
            <w:r>
              <w:rPr>
                <w:rFonts w:ascii="宋体" w:hAnsi="宋体"/>
                <w:b w:val="0"/>
                <w:bCs w:val="0"/>
                <w:szCs w:val="21"/>
                <w:highlight w:val="none"/>
              </w:rPr>
              <w:t>增加3.</w:t>
            </w:r>
            <w:r>
              <w:rPr>
                <w:rFonts w:hint="eastAsia" w:ascii="宋体" w:hAnsi="宋体"/>
                <w:b w:val="0"/>
                <w:bCs w:val="0"/>
                <w:szCs w:val="21"/>
                <w:highlight w:val="none"/>
                <w:lang w:eastAsia="zh-CN"/>
              </w:rPr>
              <w:t>5</w:t>
            </w:r>
            <w:r>
              <w:rPr>
                <w:rFonts w:ascii="宋体" w:hAnsi="宋体"/>
                <w:b w:val="0"/>
                <w:bCs w:val="0"/>
                <w:szCs w:val="21"/>
                <w:highlight w:val="none"/>
              </w:rPr>
              <w:t>.3项：</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bCs/>
                <w:szCs w:val="21"/>
                <w:highlight w:val="none"/>
              </w:rPr>
            </w:pPr>
            <w:r>
              <w:rPr>
                <w:rFonts w:ascii="宋体" w:hAnsi="宋体"/>
                <w:b w:val="0"/>
                <w:bCs w:val="0"/>
                <w:szCs w:val="21"/>
                <w:highlight w:val="none"/>
              </w:rPr>
              <w:t xml:space="preserve"> 3.</w:t>
            </w:r>
            <w:r>
              <w:rPr>
                <w:rFonts w:hint="eastAsia" w:ascii="宋体" w:hAnsi="宋体"/>
                <w:b w:val="0"/>
                <w:bCs w:val="0"/>
                <w:szCs w:val="21"/>
                <w:highlight w:val="none"/>
                <w:lang w:eastAsia="zh-CN"/>
              </w:rPr>
              <w:t>5</w:t>
            </w:r>
            <w:r>
              <w:rPr>
                <w:rFonts w:ascii="宋体" w:hAnsi="宋体"/>
                <w:b w:val="0"/>
                <w:bCs w:val="0"/>
                <w:szCs w:val="21"/>
                <w:highlight w:val="none"/>
              </w:rPr>
              <w:t>.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b/>
                <w:bCs/>
                <w:highlight w:val="none"/>
                <w:lang w:val="en-US" w:eastAsia="zh-CN"/>
              </w:rPr>
            </w:pPr>
            <w:r>
              <w:rPr>
                <w:rFonts w:hint="eastAsia" w:ascii="宋体" w:hAnsi="宋体"/>
                <w:b/>
                <w:bCs/>
                <w:highlight w:val="none"/>
                <w:lang w:val="en-US" w:eastAsia="zh-CN"/>
              </w:rPr>
              <w:t>3.8</w:t>
            </w:r>
          </w:p>
        </w:tc>
        <w:tc>
          <w:tcPr>
            <w:tcW w:w="8544" w:type="dxa"/>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val="0"/>
                <w:bCs w:val="0"/>
                <w:szCs w:val="21"/>
                <w:highlight w:val="none"/>
              </w:rPr>
            </w:pPr>
            <w:r>
              <w:rPr>
                <w:rFonts w:ascii="宋体" w:hAnsi="宋体"/>
                <w:b w:val="0"/>
                <w:bCs w:val="0"/>
                <w:szCs w:val="21"/>
                <w:highlight w:val="none"/>
              </w:rPr>
              <w:t>增加 3.</w:t>
            </w:r>
            <w:r>
              <w:rPr>
                <w:rFonts w:hint="eastAsia" w:ascii="宋体" w:hAnsi="宋体"/>
                <w:b w:val="0"/>
                <w:bCs w:val="0"/>
                <w:szCs w:val="21"/>
                <w:highlight w:val="none"/>
                <w:lang w:eastAsia="zh-CN"/>
              </w:rPr>
              <w:t>8</w:t>
            </w:r>
            <w:r>
              <w:rPr>
                <w:rFonts w:ascii="宋体" w:hAnsi="宋体"/>
                <w:b w:val="0"/>
                <w:bCs w:val="0"/>
                <w:szCs w:val="21"/>
                <w:highlight w:val="none"/>
              </w:rPr>
              <w:t>.3-3.</w:t>
            </w:r>
            <w:r>
              <w:rPr>
                <w:rFonts w:hint="eastAsia" w:ascii="宋体" w:hAnsi="宋体"/>
                <w:b w:val="0"/>
                <w:bCs w:val="0"/>
                <w:szCs w:val="21"/>
                <w:highlight w:val="none"/>
                <w:lang w:eastAsia="zh-CN"/>
              </w:rPr>
              <w:t>8</w:t>
            </w:r>
            <w:r>
              <w:rPr>
                <w:rFonts w:ascii="宋体" w:hAnsi="宋体"/>
                <w:b w:val="0"/>
                <w:bCs w:val="0"/>
                <w:szCs w:val="21"/>
                <w:highlight w:val="none"/>
              </w:rPr>
              <w:t>.</w:t>
            </w:r>
            <w:r>
              <w:rPr>
                <w:rFonts w:hint="eastAsia" w:ascii="宋体" w:hAnsi="宋体"/>
                <w:b w:val="0"/>
                <w:bCs w:val="0"/>
                <w:szCs w:val="21"/>
                <w:highlight w:val="none"/>
                <w:lang w:val="en-US" w:eastAsia="zh-CN"/>
              </w:rPr>
              <w:t>6</w:t>
            </w:r>
            <w:r>
              <w:rPr>
                <w:rFonts w:ascii="宋体" w:hAnsi="宋体"/>
                <w:b w:val="0"/>
                <w:bCs w:val="0"/>
                <w:szCs w:val="21"/>
                <w:highlight w:val="none"/>
              </w:rPr>
              <w:t xml:space="preserve"> 项：</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val="0"/>
                <w:bCs w:val="0"/>
                <w:szCs w:val="21"/>
                <w:highlight w:val="none"/>
              </w:rPr>
            </w:pPr>
            <w:r>
              <w:rPr>
                <w:rFonts w:ascii="宋体" w:hAnsi="宋体"/>
                <w:b w:val="0"/>
                <w:bCs w:val="0"/>
                <w:szCs w:val="21"/>
                <w:highlight w:val="none"/>
              </w:rPr>
              <w:t xml:space="preserve"> 3.</w:t>
            </w:r>
            <w:r>
              <w:rPr>
                <w:rFonts w:hint="eastAsia" w:ascii="宋体" w:hAnsi="宋体"/>
                <w:b w:val="0"/>
                <w:bCs w:val="0"/>
                <w:szCs w:val="21"/>
                <w:highlight w:val="none"/>
                <w:lang w:eastAsia="zh-CN"/>
              </w:rPr>
              <w:t>8</w:t>
            </w:r>
            <w:r>
              <w:rPr>
                <w:rFonts w:ascii="宋体" w:hAnsi="宋体"/>
                <w:b w:val="0"/>
                <w:bCs w:val="0"/>
                <w:szCs w:val="21"/>
                <w:highlight w:val="none"/>
              </w:rPr>
              <w:t>.</w:t>
            </w:r>
            <w:r>
              <w:rPr>
                <w:rFonts w:hint="eastAsia" w:ascii="宋体" w:hAnsi="宋体"/>
                <w:b w:val="0"/>
                <w:bCs w:val="0"/>
                <w:szCs w:val="21"/>
                <w:highlight w:val="none"/>
                <w:lang w:val="en-US" w:eastAsia="zh-CN"/>
              </w:rPr>
              <w:t>3</w:t>
            </w:r>
            <w:r>
              <w:rPr>
                <w:rFonts w:ascii="宋体" w:hAnsi="宋体"/>
                <w:b w:val="0"/>
                <w:bCs w:val="0"/>
                <w:szCs w:val="21"/>
                <w:highlight w:val="none"/>
              </w:rPr>
              <w:t xml:space="preserve"> 通过第一个信封商务及技术文件评审的投标人少于3个的，评标委员会应否决全部投标。</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val="0"/>
                <w:bCs w:val="0"/>
                <w:szCs w:val="21"/>
                <w:highlight w:val="none"/>
              </w:rPr>
            </w:pPr>
            <w:r>
              <w:rPr>
                <w:rFonts w:ascii="宋体" w:hAnsi="宋体"/>
                <w:b w:val="0"/>
                <w:bCs w:val="0"/>
                <w:szCs w:val="21"/>
                <w:highlight w:val="none"/>
              </w:rPr>
              <w:t xml:space="preserve"> 3.</w:t>
            </w:r>
            <w:r>
              <w:rPr>
                <w:rFonts w:hint="eastAsia" w:ascii="宋体" w:hAnsi="宋体"/>
                <w:b w:val="0"/>
                <w:bCs w:val="0"/>
                <w:szCs w:val="21"/>
                <w:highlight w:val="none"/>
                <w:lang w:eastAsia="zh-CN"/>
              </w:rPr>
              <w:t>8</w:t>
            </w:r>
            <w:r>
              <w:rPr>
                <w:rFonts w:ascii="宋体" w:hAnsi="宋体"/>
                <w:b w:val="0"/>
                <w:bCs w:val="0"/>
                <w:szCs w:val="21"/>
                <w:highlight w:val="none"/>
              </w:rPr>
              <w:t>.</w:t>
            </w:r>
            <w:r>
              <w:rPr>
                <w:rFonts w:hint="eastAsia" w:ascii="宋体" w:hAnsi="宋体"/>
                <w:b w:val="0"/>
                <w:bCs w:val="0"/>
                <w:szCs w:val="21"/>
                <w:highlight w:val="none"/>
                <w:lang w:val="en-US" w:eastAsia="zh-CN"/>
              </w:rPr>
              <w:t>4</w:t>
            </w:r>
            <w:r>
              <w:rPr>
                <w:rFonts w:ascii="宋体" w:hAnsi="宋体"/>
                <w:b w:val="0"/>
                <w:bCs w:val="0"/>
                <w:szCs w:val="21"/>
                <w:highlight w:val="none"/>
              </w:rPr>
              <w:t xml:space="preserve"> 通过第一个信封商务及技术文件评审的投标人在3 个及以上的，招标人应当按照招标文件规定的程序进行第二个信封报价文件开标；在对报价文件进行评审后，有效投标不足 3 个的，评标委员会可以否决全部投标。未否决全部投标的，评标委员会应当在评标报告中阐明理由并推荐中标候选人。 </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val="0"/>
                <w:bCs w:val="0"/>
                <w:szCs w:val="21"/>
                <w:highlight w:val="none"/>
              </w:rPr>
            </w:pPr>
            <w:r>
              <w:rPr>
                <w:rFonts w:ascii="宋体" w:hAnsi="宋体"/>
                <w:b w:val="0"/>
                <w:bCs w:val="0"/>
                <w:szCs w:val="21"/>
                <w:highlight w:val="none"/>
              </w:rPr>
              <w:t>3.</w:t>
            </w:r>
            <w:r>
              <w:rPr>
                <w:rFonts w:hint="eastAsia" w:ascii="宋体" w:hAnsi="宋体"/>
                <w:b w:val="0"/>
                <w:bCs w:val="0"/>
                <w:szCs w:val="21"/>
                <w:highlight w:val="none"/>
                <w:lang w:eastAsia="zh-CN"/>
              </w:rPr>
              <w:t>8</w:t>
            </w:r>
            <w:r>
              <w:rPr>
                <w:rFonts w:ascii="宋体" w:hAnsi="宋体"/>
                <w:b w:val="0"/>
                <w:bCs w:val="0"/>
                <w:szCs w:val="21"/>
                <w:highlight w:val="none"/>
              </w:rPr>
              <w:t>.</w:t>
            </w:r>
            <w:r>
              <w:rPr>
                <w:rFonts w:hint="eastAsia" w:ascii="宋体" w:hAnsi="宋体"/>
                <w:b w:val="0"/>
                <w:bCs w:val="0"/>
                <w:szCs w:val="21"/>
                <w:highlight w:val="none"/>
                <w:lang w:val="en-US" w:eastAsia="zh-CN"/>
              </w:rPr>
              <w:t>5</w:t>
            </w:r>
            <w:r>
              <w:rPr>
                <w:rFonts w:ascii="宋体" w:hAnsi="宋体"/>
                <w:b w:val="0"/>
                <w:bCs w:val="0"/>
                <w:szCs w:val="21"/>
                <w:highlight w:val="none"/>
              </w:rPr>
              <w:t xml:space="preserve"> 如果发生无法确定推荐中标候选人的其他意外情况，评标委员会可建议招标人重新招标。 </w:t>
            </w:r>
          </w:p>
          <w:p>
            <w:pPr>
              <w:keepNext w:val="0"/>
              <w:keepLines w:val="0"/>
              <w:pageBreakBefore w:val="0"/>
              <w:kinsoku/>
              <w:wordWrap/>
              <w:overflowPunct/>
              <w:topLinePunct w:val="0"/>
              <w:autoSpaceDE/>
              <w:autoSpaceDN/>
              <w:bidi w:val="0"/>
              <w:spacing w:line="400" w:lineRule="exact"/>
              <w:ind w:firstLine="420" w:firstLineChars="200"/>
              <w:textAlignment w:val="auto"/>
              <w:outlineLvl w:val="9"/>
              <w:rPr>
                <w:rFonts w:ascii="宋体" w:hAnsi="宋体"/>
                <w:b/>
                <w:bCs/>
                <w:szCs w:val="21"/>
                <w:highlight w:val="none"/>
              </w:rPr>
            </w:pPr>
            <w:r>
              <w:rPr>
                <w:rFonts w:ascii="宋体" w:hAnsi="宋体"/>
                <w:b/>
                <w:bCs/>
                <w:szCs w:val="21"/>
                <w:highlight w:val="none"/>
              </w:rPr>
              <w:t>3.</w:t>
            </w:r>
            <w:r>
              <w:rPr>
                <w:rFonts w:hint="eastAsia" w:ascii="宋体" w:hAnsi="宋体"/>
                <w:b/>
                <w:bCs/>
                <w:szCs w:val="21"/>
                <w:highlight w:val="none"/>
                <w:lang w:eastAsia="zh-CN"/>
              </w:rPr>
              <w:t>8</w:t>
            </w:r>
            <w:r>
              <w:rPr>
                <w:rFonts w:ascii="宋体" w:hAnsi="宋体"/>
                <w:b/>
                <w:bCs/>
                <w:szCs w:val="21"/>
                <w:highlight w:val="none"/>
              </w:rPr>
              <w:t>.</w:t>
            </w:r>
            <w:r>
              <w:rPr>
                <w:rFonts w:hint="eastAsia" w:ascii="宋体" w:hAnsi="宋体"/>
                <w:b/>
                <w:bCs/>
                <w:szCs w:val="21"/>
                <w:highlight w:val="none"/>
                <w:lang w:val="en-US" w:eastAsia="zh-CN"/>
              </w:rPr>
              <w:t>6</w:t>
            </w:r>
            <w:r>
              <w:rPr>
                <w:rFonts w:ascii="宋体" w:hAnsi="宋体"/>
                <w:b/>
                <w:bCs/>
                <w:szCs w:val="21"/>
                <w:highlight w:val="none"/>
              </w:rPr>
              <w:t xml:space="preserve"> 本招标文件规定的否决投标条款包含在以下条款：</w:t>
            </w:r>
          </w:p>
          <w:p>
            <w:pPr>
              <w:keepNext w:val="0"/>
              <w:keepLines w:val="0"/>
              <w:pageBreakBefore w:val="0"/>
              <w:numPr>
                <w:ilvl w:val="0"/>
                <w:numId w:val="11"/>
              </w:numPr>
              <w:kinsoku/>
              <w:wordWrap/>
              <w:overflowPunct/>
              <w:topLinePunct w:val="0"/>
              <w:autoSpaceDE/>
              <w:autoSpaceDN/>
              <w:bidi w:val="0"/>
              <w:spacing w:line="400" w:lineRule="exact"/>
              <w:ind w:firstLine="420" w:firstLineChars="200"/>
              <w:textAlignment w:val="auto"/>
              <w:outlineLvl w:val="9"/>
              <w:rPr>
                <w:rFonts w:ascii="宋体" w:hAnsi="宋体"/>
                <w:b/>
                <w:bCs/>
                <w:szCs w:val="21"/>
                <w:highlight w:val="none"/>
              </w:rPr>
            </w:pPr>
            <w:r>
              <w:rPr>
                <w:rFonts w:ascii="宋体" w:hAnsi="宋体"/>
                <w:b/>
                <w:bCs/>
                <w:szCs w:val="21"/>
                <w:highlight w:val="none"/>
              </w:rPr>
              <w:t xml:space="preserve">招标公告第 3 点 投标人资格要求； </w:t>
            </w:r>
          </w:p>
          <w:p>
            <w:pPr>
              <w:keepNext w:val="0"/>
              <w:keepLines w:val="0"/>
              <w:pageBreakBefore w:val="0"/>
              <w:numPr>
                <w:ilvl w:val="0"/>
                <w:numId w:val="11"/>
              </w:numPr>
              <w:kinsoku/>
              <w:wordWrap/>
              <w:overflowPunct/>
              <w:topLinePunct w:val="0"/>
              <w:autoSpaceDE/>
              <w:autoSpaceDN/>
              <w:bidi w:val="0"/>
              <w:spacing w:line="400" w:lineRule="exact"/>
              <w:ind w:firstLine="420" w:firstLineChars="200"/>
              <w:textAlignment w:val="auto"/>
              <w:outlineLvl w:val="9"/>
              <w:rPr>
                <w:rFonts w:ascii="宋体" w:hAnsi="宋体"/>
                <w:b/>
                <w:bCs/>
                <w:szCs w:val="21"/>
                <w:highlight w:val="none"/>
              </w:rPr>
            </w:pPr>
            <w:r>
              <w:rPr>
                <w:rFonts w:ascii="宋体" w:hAnsi="宋体"/>
                <w:b/>
                <w:bCs/>
                <w:szCs w:val="21"/>
                <w:highlight w:val="none"/>
              </w:rPr>
              <w:t>投标人须知 1.4.3 项、1.4.4 项、1.11.1 项、1.12.2 项、3.4.2 项；</w:t>
            </w:r>
          </w:p>
          <w:p>
            <w:pPr>
              <w:keepNext w:val="0"/>
              <w:keepLines w:val="0"/>
              <w:pageBreakBefore w:val="0"/>
              <w:numPr>
                <w:ilvl w:val="0"/>
                <w:numId w:val="11"/>
              </w:numPr>
              <w:kinsoku/>
              <w:wordWrap/>
              <w:overflowPunct/>
              <w:topLinePunct w:val="0"/>
              <w:autoSpaceDE/>
              <w:autoSpaceDN/>
              <w:bidi w:val="0"/>
              <w:spacing w:line="400" w:lineRule="exact"/>
              <w:ind w:firstLine="420" w:firstLineChars="200"/>
              <w:textAlignment w:val="auto"/>
              <w:outlineLvl w:val="9"/>
              <w:rPr>
                <w:rFonts w:ascii="宋体" w:hAnsi="宋体"/>
                <w:b/>
                <w:bCs/>
                <w:szCs w:val="21"/>
                <w:highlight w:val="none"/>
              </w:rPr>
            </w:pPr>
            <w:r>
              <w:rPr>
                <w:rFonts w:ascii="宋体" w:hAnsi="宋体"/>
                <w:b/>
                <w:bCs/>
                <w:szCs w:val="21"/>
                <w:highlight w:val="none"/>
              </w:rPr>
              <w:t>本评标办法的否决条款。</w:t>
            </w:r>
          </w:p>
        </w:tc>
      </w:tr>
    </w:tbl>
    <w:p>
      <w:pPr>
        <w:widowControl/>
        <w:spacing w:line="360" w:lineRule="auto"/>
        <w:rPr>
          <w:rFonts w:hint="eastAsia" w:ascii="宋体" w:hAnsi="宋体" w:cs="黑体"/>
          <w:b/>
          <w:bCs/>
          <w:kern w:val="0"/>
          <w:sz w:val="28"/>
          <w:szCs w:val="28"/>
          <w:highlight w:val="none"/>
        </w:rPr>
      </w:pPr>
    </w:p>
    <w:p>
      <w:pPr>
        <w:widowControl/>
        <w:spacing w:line="360" w:lineRule="auto"/>
        <w:rPr>
          <w:rFonts w:hint="eastAsia" w:ascii="宋体" w:hAnsi="宋体" w:cs="黑体"/>
          <w:b/>
          <w:bCs/>
          <w:kern w:val="0"/>
          <w:sz w:val="28"/>
          <w:szCs w:val="28"/>
          <w:highlight w:val="none"/>
        </w:rPr>
      </w:pPr>
    </w:p>
    <w:p>
      <w:pPr>
        <w:widowControl/>
        <w:spacing w:line="360" w:lineRule="auto"/>
        <w:rPr>
          <w:rFonts w:hint="eastAsia" w:ascii="宋体" w:hAnsi="宋体" w:cs="黑体"/>
          <w:b/>
          <w:bCs/>
          <w:kern w:val="0"/>
          <w:sz w:val="28"/>
          <w:szCs w:val="28"/>
          <w:highlight w:val="none"/>
        </w:rPr>
      </w:pPr>
    </w:p>
    <w:p>
      <w:pPr>
        <w:pStyle w:val="2"/>
        <w:rPr>
          <w:rFonts w:hint="eastAsia" w:ascii="宋体" w:hAnsi="宋体" w:cs="黑体"/>
          <w:b/>
          <w:bCs/>
          <w:kern w:val="0"/>
          <w:sz w:val="28"/>
          <w:szCs w:val="28"/>
          <w:highlight w:val="none"/>
        </w:rPr>
      </w:pPr>
    </w:p>
    <w:p>
      <w:pPr>
        <w:pStyle w:val="3"/>
        <w:rPr>
          <w:rFonts w:hint="eastAsia"/>
        </w:rPr>
      </w:pPr>
    </w:p>
    <w:p>
      <w:pPr>
        <w:widowControl/>
        <w:spacing w:line="360" w:lineRule="auto"/>
        <w:rPr>
          <w:rFonts w:hint="eastAsia" w:ascii="宋体" w:hAnsi="宋体" w:cs="黑体"/>
          <w:b/>
          <w:bCs/>
          <w:kern w:val="0"/>
          <w:sz w:val="28"/>
          <w:szCs w:val="28"/>
          <w:highlight w:val="none"/>
        </w:rPr>
      </w:pPr>
      <w:r>
        <w:rPr>
          <w:rFonts w:hint="eastAsia" w:ascii="宋体" w:hAnsi="宋体" w:cs="黑体"/>
          <w:b/>
          <w:bCs/>
          <w:kern w:val="0"/>
          <w:sz w:val="28"/>
          <w:szCs w:val="28"/>
          <w:highlight w:val="none"/>
        </w:rPr>
        <w:t>1、评标方法</w:t>
      </w:r>
    </w:p>
    <w:p>
      <w:pPr>
        <w:autoSpaceDE w:val="0"/>
        <w:autoSpaceDN w:val="0"/>
        <w:adjustRightInd w:val="0"/>
        <w:spacing w:line="360" w:lineRule="auto"/>
        <w:ind w:firstLine="420" w:firstLineChars="200"/>
        <w:jc w:val="left"/>
        <w:rPr>
          <w:rFonts w:hint="eastAsia"/>
        </w:rPr>
      </w:pPr>
      <w:r>
        <w:rPr>
          <w:rFonts w:hint="eastAsia" w:ascii="宋体" w:hAnsi="宋体"/>
          <w:kern w:val="0"/>
          <w:highlight w:val="none"/>
        </w:rPr>
        <w:t>本次评标采用</w:t>
      </w:r>
      <w:r>
        <w:rPr>
          <w:rFonts w:hint="eastAsia" w:ascii="宋体" w:hAnsi="宋体"/>
          <w:kern w:val="0"/>
          <w:highlight w:val="none"/>
          <w:lang w:val="en-US" w:eastAsia="zh-CN"/>
        </w:rPr>
        <w:t>合理低价法</w:t>
      </w:r>
      <w:r>
        <w:rPr>
          <w:rFonts w:hint="eastAsia" w:ascii="宋体" w:hAnsi="宋体"/>
          <w:kern w:val="0"/>
          <w:highlight w:val="none"/>
        </w:rPr>
        <w:t>。评标委员会对满足招标文件实质性要求的投标文件，按照本章第</w:t>
      </w:r>
      <w:r>
        <w:rPr>
          <w:rFonts w:hint="eastAsia" w:ascii="宋体" w:hAnsi="宋体" w:cs="Calibri"/>
          <w:kern w:val="0"/>
          <w:highlight w:val="none"/>
        </w:rPr>
        <w:t xml:space="preserve">2.2 </w:t>
      </w:r>
      <w:r>
        <w:rPr>
          <w:rFonts w:hint="eastAsia" w:ascii="宋体" w:hAnsi="宋体"/>
          <w:kern w:val="0"/>
          <w:highlight w:val="non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widowControl/>
        <w:spacing w:line="360" w:lineRule="auto"/>
        <w:rPr>
          <w:rFonts w:hint="eastAsia" w:ascii="宋体" w:hAnsi="宋体" w:cs="黑体"/>
          <w:b/>
          <w:bCs/>
          <w:kern w:val="0"/>
          <w:sz w:val="28"/>
          <w:szCs w:val="28"/>
          <w:highlight w:val="none"/>
        </w:rPr>
      </w:pPr>
      <w:r>
        <w:rPr>
          <w:rFonts w:hint="eastAsia" w:ascii="宋体" w:hAnsi="宋体" w:cs="黑体"/>
          <w:b/>
          <w:bCs/>
          <w:kern w:val="0"/>
          <w:sz w:val="28"/>
          <w:szCs w:val="28"/>
          <w:highlight w:val="none"/>
        </w:rPr>
        <w:t>2、评审标准</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2.1 初步评审标准</w:t>
      </w:r>
    </w:p>
    <w:p>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highlight w:val="none"/>
        </w:rPr>
        <w:t>2.1.1 形式评审标准：见评标办法前附表。</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2.1.2 资格评审标准：</w:t>
      </w:r>
      <w:r>
        <w:rPr>
          <w:rFonts w:hint="eastAsia" w:ascii="宋体" w:hAnsi="宋体"/>
          <w:highlight w:val="none"/>
        </w:rPr>
        <w:t>见评标办法前附表（适用于未进行资格预审的）。</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rPr>
        <w:t>2.1.3 响应性评审标准：见评标办法前附表。</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2.2 分值构成与评分标准</w:t>
      </w:r>
    </w:p>
    <w:p>
      <w:pPr>
        <w:autoSpaceDE w:val="0"/>
        <w:autoSpaceDN w:val="0"/>
        <w:adjustRightInd w:val="0"/>
        <w:spacing w:line="360" w:lineRule="auto"/>
        <w:ind w:firstLine="420" w:firstLineChars="200"/>
        <w:jc w:val="left"/>
        <w:rPr>
          <w:rFonts w:hint="eastAsia" w:ascii="宋体" w:hAnsi="宋体" w:cs="黑体"/>
          <w:kern w:val="0"/>
          <w:szCs w:val="21"/>
          <w:highlight w:val="none"/>
        </w:rPr>
      </w:pPr>
      <w:r>
        <w:rPr>
          <w:rFonts w:hint="eastAsia" w:ascii="宋体" w:hAnsi="宋体" w:cs="Calibri"/>
          <w:kern w:val="0"/>
          <w:highlight w:val="none"/>
        </w:rPr>
        <w:t xml:space="preserve">2.2.1 </w:t>
      </w:r>
      <w:r>
        <w:rPr>
          <w:rFonts w:hint="eastAsia" w:ascii="宋体" w:hAnsi="宋体" w:cs="黑体"/>
          <w:kern w:val="0"/>
          <w:highlight w:val="none"/>
        </w:rPr>
        <w:t>分值构成</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lang w:val="en-US" w:eastAsia="zh-CN"/>
        </w:rPr>
        <w:t xml:space="preserve">  评标价</w:t>
      </w:r>
      <w:r>
        <w:rPr>
          <w:rFonts w:hint="eastAsia" w:ascii="宋体" w:hAnsi="宋体"/>
          <w:kern w:val="0"/>
          <w:highlight w:val="none"/>
        </w:rPr>
        <w:t>：见评标办法前附表；</w:t>
      </w:r>
    </w:p>
    <w:p>
      <w:pPr>
        <w:autoSpaceDE w:val="0"/>
        <w:autoSpaceDN w:val="0"/>
        <w:adjustRightInd w:val="0"/>
        <w:spacing w:beforeLines="0" w:afterLines="0" w:line="360" w:lineRule="auto"/>
        <w:ind w:firstLine="420" w:firstLineChars="200"/>
        <w:jc w:val="left"/>
        <w:rPr>
          <w:rFonts w:hint="eastAsia" w:ascii="宋体" w:hAnsi="宋体"/>
          <w:kern w:val="0"/>
          <w:highlight w:val="none"/>
          <w:lang w:val="en-US" w:eastAsia="zh-CN"/>
        </w:rPr>
      </w:pPr>
      <w:r>
        <w:rPr>
          <w:rFonts w:hint="eastAsia" w:ascii="宋体" w:hAnsi="宋体"/>
          <w:kern w:val="0"/>
          <w:highlight w:val="none"/>
        </w:rPr>
        <w:t>2.2.2</w:t>
      </w:r>
      <w:r>
        <w:rPr>
          <w:rFonts w:hint="eastAsia" w:ascii="宋体" w:hAnsi="宋体"/>
          <w:kern w:val="0"/>
          <w:highlight w:val="none"/>
          <w:lang w:val="en-US" w:eastAsia="zh-CN"/>
        </w:rPr>
        <w:t>评标基准价</w:t>
      </w:r>
    </w:p>
    <w:p>
      <w:pPr>
        <w:pStyle w:val="4"/>
        <w:spacing w:beforeLines="0" w:afterLines="0" w:line="360" w:lineRule="auto"/>
        <w:rPr>
          <w:rFonts w:hint="eastAsia" w:ascii="宋体" w:hAnsi="宋体"/>
          <w:kern w:val="0"/>
          <w:highlight w:val="none"/>
        </w:rPr>
      </w:pPr>
      <w:r>
        <w:rPr>
          <w:rFonts w:hint="eastAsia" w:ascii="宋体" w:hAnsi="宋体"/>
          <w:kern w:val="0"/>
          <w:highlight w:val="none"/>
          <w:lang w:val="en-US" w:eastAsia="zh-CN"/>
        </w:rPr>
        <w:t xml:space="preserve">  评标基准价计算方法：</w:t>
      </w:r>
      <w:r>
        <w:rPr>
          <w:rFonts w:hint="eastAsia" w:ascii="宋体" w:hAnsi="宋体"/>
          <w:kern w:val="0"/>
          <w:highlight w:val="none"/>
        </w:rPr>
        <w:t>见评标办法前附表；</w:t>
      </w:r>
    </w:p>
    <w:p>
      <w:pPr>
        <w:autoSpaceDE w:val="0"/>
        <w:autoSpaceDN w:val="0"/>
        <w:adjustRightInd w:val="0"/>
        <w:spacing w:beforeLines="0" w:afterLines="0" w:line="360" w:lineRule="auto"/>
        <w:ind w:firstLine="420" w:firstLineChars="200"/>
        <w:jc w:val="left"/>
        <w:rPr>
          <w:rFonts w:hint="eastAsia" w:ascii="宋体" w:hAnsi="宋体"/>
          <w:kern w:val="0"/>
          <w:highlight w:val="none"/>
          <w:lang w:val="en-US" w:eastAsia="zh-CN"/>
        </w:rPr>
      </w:pPr>
      <w:r>
        <w:rPr>
          <w:rFonts w:hint="eastAsia" w:ascii="宋体" w:hAnsi="宋体"/>
          <w:kern w:val="0"/>
          <w:highlight w:val="none"/>
        </w:rPr>
        <w:t>2.2.</w:t>
      </w:r>
      <w:r>
        <w:rPr>
          <w:rFonts w:hint="eastAsia" w:ascii="宋体" w:hAnsi="宋体"/>
          <w:kern w:val="0"/>
          <w:highlight w:val="none"/>
          <w:lang w:val="en-US" w:eastAsia="zh-CN"/>
        </w:rPr>
        <w:t>3评标价的偏差率计算</w:t>
      </w:r>
    </w:p>
    <w:p>
      <w:pPr>
        <w:pStyle w:val="4"/>
        <w:spacing w:beforeLines="0" w:afterLines="0" w:line="360" w:lineRule="auto"/>
        <w:rPr>
          <w:rFonts w:hint="eastAsia"/>
        </w:rPr>
      </w:pPr>
      <w:r>
        <w:rPr>
          <w:rFonts w:hint="eastAsia" w:ascii="宋体" w:hAnsi="宋体"/>
          <w:kern w:val="0"/>
          <w:highlight w:val="none"/>
          <w:lang w:val="en-US" w:eastAsia="zh-CN"/>
        </w:rPr>
        <w:t xml:space="preserve">  评标价的偏差率计算公式：见评标办法前附表。</w:t>
      </w:r>
    </w:p>
    <w:p>
      <w:pPr>
        <w:autoSpaceDE w:val="0"/>
        <w:autoSpaceDN w:val="0"/>
        <w:adjustRightInd w:val="0"/>
        <w:spacing w:line="360" w:lineRule="auto"/>
        <w:ind w:firstLine="420" w:firstLineChars="200"/>
        <w:jc w:val="left"/>
        <w:rPr>
          <w:rFonts w:hint="eastAsia" w:ascii="宋体" w:hAnsi="宋体" w:cs="黑体"/>
          <w:kern w:val="0"/>
          <w:szCs w:val="21"/>
          <w:highlight w:val="none"/>
        </w:rPr>
      </w:pPr>
      <w:r>
        <w:rPr>
          <w:rFonts w:hint="eastAsia" w:ascii="宋体" w:hAnsi="宋体" w:cs="Calibri"/>
          <w:kern w:val="0"/>
          <w:highlight w:val="none"/>
        </w:rPr>
        <w:t>2.2.</w:t>
      </w:r>
      <w:r>
        <w:rPr>
          <w:rFonts w:hint="eastAsia" w:ascii="宋体" w:hAnsi="宋体" w:cs="Calibri"/>
          <w:kern w:val="0"/>
          <w:highlight w:val="none"/>
          <w:lang w:val="en-US" w:eastAsia="zh-CN"/>
        </w:rPr>
        <w:t>4</w:t>
      </w:r>
      <w:r>
        <w:rPr>
          <w:rFonts w:hint="eastAsia" w:ascii="宋体" w:hAnsi="宋体" w:cs="Calibri"/>
          <w:kern w:val="0"/>
          <w:highlight w:val="none"/>
        </w:rPr>
        <w:t xml:space="preserve"> </w:t>
      </w:r>
      <w:r>
        <w:rPr>
          <w:rFonts w:hint="eastAsia" w:ascii="宋体" w:hAnsi="宋体" w:cs="Calibri"/>
          <w:kern w:val="0"/>
          <w:highlight w:val="none"/>
          <w:lang w:val="en-US" w:eastAsia="zh-CN"/>
        </w:rPr>
        <w:t>评分标准</w:t>
      </w:r>
    </w:p>
    <w:p>
      <w:pPr>
        <w:autoSpaceDE w:val="0"/>
        <w:autoSpaceDN w:val="0"/>
        <w:adjustRightInd w:val="0"/>
        <w:spacing w:line="360" w:lineRule="auto"/>
        <w:ind w:firstLine="420" w:firstLineChars="200"/>
        <w:jc w:val="left"/>
        <w:rPr>
          <w:rFonts w:hint="eastAsia" w:ascii="宋体" w:hAnsi="宋体"/>
          <w:kern w:val="0"/>
          <w:highlight w:val="none"/>
        </w:rPr>
      </w:pPr>
      <w:r>
        <w:rPr>
          <w:rFonts w:hint="eastAsia" w:ascii="宋体" w:hAnsi="宋体"/>
          <w:kern w:val="0"/>
          <w:highlight w:val="none"/>
          <w:lang w:val="en-US" w:eastAsia="zh-CN"/>
        </w:rPr>
        <w:t xml:space="preserve">  评标价评分标准</w:t>
      </w:r>
      <w:r>
        <w:rPr>
          <w:rFonts w:hint="eastAsia" w:ascii="宋体" w:hAnsi="宋体"/>
          <w:kern w:val="0"/>
          <w:highlight w:val="none"/>
        </w:rPr>
        <w:t>：见评标办法前附表；</w:t>
      </w:r>
    </w:p>
    <w:p>
      <w:pPr>
        <w:widowControl/>
        <w:spacing w:line="360" w:lineRule="auto"/>
        <w:rPr>
          <w:rFonts w:hint="eastAsia" w:ascii="宋体" w:hAnsi="宋体" w:cs="黑体"/>
          <w:b/>
          <w:bCs/>
          <w:kern w:val="0"/>
          <w:sz w:val="28"/>
          <w:szCs w:val="28"/>
          <w:highlight w:val="none"/>
        </w:rPr>
      </w:pPr>
      <w:r>
        <w:rPr>
          <w:rFonts w:hint="eastAsia" w:ascii="宋体" w:hAnsi="宋体" w:cs="黑体"/>
          <w:b/>
          <w:bCs/>
          <w:kern w:val="0"/>
          <w:sz w:val="28"/>
          <w:szCs w:val="28"/>
          <w:highlight w:val="none"/>
        </w:rPr>
        <w:t>3、评标程序</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3.1 第一个信封评审</w:t>
      </w:r>
    </w:p>
    <w:p>
      <w:pPr>
        <w:autoSpaceDE w:val="0"/>
        <w:autoSpaceDN w:val="0"/>
        <w:adjustRightInd w:val="0"/>
        <w:spacing w:line="360" w:lineRule="auto"/>
        <w:ind w:firstLine="420" w:firstLineChars="200"/>
        <w:jc w:val="left"/>
        <w:rPr>
          <w:rFonts w:hint="eastAsia"/>
        </w:rPr>
      </w:pPr>
      <w:r>
        <w:rPr>
          <w:rFonts w:hint="eastAsia" w:ascii="宋体" w:hAnsi="宋体" w:cs="Calibri"/>
          <w:kern w:val="0"/>
          <w:highlight w:val="none"/>
        </w:rPr>
        <w:t xml:space="preserve">3.1.1 </w:t>
      </w:r>
      <w:r>
        <w:rPr>
          <w:rFonts w:hint="eastAsia" w:ascii="宋体" w:hAnsi="宋体"/>
          <w:kern w:val="0"/>
          <w:highlight w:val="none"/>
        </w:rPr>
        <w:t>评标委员会可以要求投标人提交招标文件规定的有关证明和证件的原件，以便核验。评标委员会依据本章第</w:t>
      </w:r>
      <w:r>
        <w:rPr>
          <w:rFonts w:hint="eastAsia" w:ascii="宋体" w:hAnsi="宋体" w:cs="Calibri"/>
          <w:kern w:val="0"/>
          <w:highlight w:val="none"/>
        </w:rPr>
        <w:t>2.1</w:t>
      </w:r>
      <w:r>
        <w:rPr>
          <w:rFonts w:hint="eastAsia" w:ascii="宋体" w:hAnsi="宋体"/>
          <w:kern w:val="0"/>
          <w:highlight w:val="none"/>
        </w:rPr>
        <w:t>款规定的标准对投标文件第一个信封（商务及技术文件）进行评审。有一项不符合评审标准的，评标委员会应否决其投标。</w:t>
      </w: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 xml:space="preserve"> 第二个信封开标</w:t>
      </w:r>
    </w:p>
    <w:p>
      <w:pPr>
        <w:keepNext w:val="0"/>
        <w:keepLines w:val="0"/>
        <w:pageBreakBefore w:val="0"/>
        <w:numPr>
          <w:ilvl w:val="0"/>
          <w:numId w:val="0"/>
        </w:numPr>
        <w:kinsoku/>
        <w:wordWrap/>
        <w:overflowPunct/>
        <w:topLinePunct w:val="0"/>
        <w:autoSpaceDE/>
        <w:autoSpaceDN/>
        <w:bidi w:val="0"/>
        <w:spacing w:line="400" w:lineRule="exact"/>
        <w:ind w:firstLine="420" w:firstLineChars="200"/>
        <w:textAlignment w:val="auto"/>
        <w:outlineLvl w:val="9"/>
        <w:rPr>
          <w:i w:val="0"/>
          <w:iCs w:val="0"/>
          <w:highlight w:val="none"/>
        </w:rPr>
      </w:pPr>
      <w:r>
        <w:rPr>
          <w:rFonts w:hint="eastAsia" w:ascii="宋体" w:hAnsi="宋体"/>
          <w:color w:val="auto"/>
          <w:kern w:val="0"/>
          <w:highlight w:val="none"/>
        </w:rPr>
        <w:t>第一个信封（商务及技术文件）评审结束后，招标人将按照第二章“投标人须知”第5.1款规定的时间和地点对通过投标文件第一个信封（商务及技术文件）评审的投标文件第二个信封（报价文件）进行开标。</w:t>
      </w:r>
      <w:r>
        <w:rPr>
          <w:rFonts w:hint="eastAsia"/>
          <w:highlight w:val="none"/>
        </w:rPr>
        <w:t>对第一个信封不通过初步评审的投标人的第二信封直接退回，不再开启内层信封。</w:t>
      </w:r>
    </w:p>
    <w:p>
      <w:pPr>
        <w:overflowPunct/>
        <w:autoSpaceDE w:val="0"/>
        <w:autoSpaceDN w:val="0"/>
        <w:adjustRightInd w:val="0"/>
        <w:spacing w:line="360" w:lineRule="auto"/>
        <w:ind w:firstLine="420" w:firstLineChars="200"/>
        <w:jc w:val="left"/>
        <w:rPr>
          <w:rFonts w:hint="eastAsia" w:ascii="宋体" w:hAnsi="宋体"/>
          <w:color w:val="auto"/>
          <w:kern w:val="0"/>
          <w:highlight w:val="none"/>
        </w:rPr>
      </w:pPr>
    </w:p>
    <w:p>
      <w:pPr>
        <w:autoSpaceDE w:val="0"/>
        <w:autoSpaceDN w:val="0"/>
        <w:adjustRightInd w:val="0"/>
        <w:spacing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 xml:space="preserve"> 第二个信封初步评审</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3</w:t>
      </w:r>
      <w:r>
        <w:rPr>
          <w:rFonts w:hint="eastAsia"/>
        </w:rPr>
        <w:t>.1 评标委员会依据本章第2.1.1项、第2.1.3项规定的评审标准对投标文件第二个信封（报价文件）进行初步评审。有一项不符合评审标准的，评标委员会应否决其投标。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3</w:t>
      </w:r>
      <w:r>
        <w:rPr>
          <w:rFonts w:hint="eastAsia"/>
        </w:rPr>
        <w:t>.2</w:t>
      </w:r>
      <w:r>
        <w:rPr>
          <w:rFonts w:hint="eastAsia" w:ascii="Times New Roman" w:hAnsi="Times New Roman" w:eastAsia="宋体" w:cs="Times New Roman"/>
          <w:kern w:val="2"/>
          <w:sz w:val="18"/>
          <w:szCs w:val="18"/>
          <w:vertAlign w:val="superscript"/>
          <w:lang w:val="en-US" w:eastAsia="zh-CN" w:bidi="ar-SA"/>
        </w:rPr>
        <w:t xml:space="preserve"> </w:t>
      </w:r>
      <w:r>
        <w:rPr>
          <w:rFonts w:hint="eastAsia"/>
        </w:rPr>
        <w:t>投标报价有算术错误的，评标委员会按以下原则对投标报价进行修正，修正的价格经投标人书面确认后具有约束力。投标人不接受修正价格的，评标委员会应否决其投标。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（1）投标文件中的大写金额与小写金额不一致的，以大写金额为准；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（2）总价金额与依据单价计算出的结果不一致的，以单价金额为准修正总价，但单价金额小数点有明显错误的除外；</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（3）当单价与数量相乘不等于合价时，以单价计算为准，如果单价有明显的小数点位置差错，应以标出的合价为准，同时对单价予以修正；</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（4）当各子目的合价累计不等于总价时，应以各子目合价累计数为准，修正总价。</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3</w:t>
      </w:r>
      <w:r>
        <w:rPr>
          <w:rFonts w:hint="eastAsia"/>
        </w:rPr>
        <w:t>.3工程量清单中的投标报价有其他错误的，评标委员会按以下原则对投标报价进行修正，修正的价格经投标人书面确认后具有约束力。投标人不接受修正价格的，评标委员会应否决其投标。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w:t>
      </w:r>
      <w:r>
        <w:rPr>
          <w:rFonts w:hint="eastAsia"/>
          <w:lang w:val="en-US" w:eastAsia="zh-CN"/>
        </w:rPr>
        <w:t>1</w:t>
      </w:r>
      <w:r>
        <w:rPr>
          <w:rFonts w:hint="eastAsia"/>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w:t>
      </w:r>
      <w:r>
        <w:rPr>
          <w:rFonts w:hint="eastAsia"/>
          <w:lang w:val="en-US" w:eastAsia="zh-CN"/>
        </w:rPr>
        <w:t>2</w:t>
      </w:r>
      <w:r>
        <w:rPr>
          <w:rFonts w:hint="eastAsia"/>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w:t>
      </w:r>
      <w:r>
        <w:rPr>
          <w:rFonts w:hint="eastAsia"/>
          <w:lang w:val="en-US" w:eastAsia="zh-CN"/>
        </w:rPr>
        <w:t>3</w:t>
      </w:r>
      <w:r>
        <w:rPr>
          <w:rFonts w:hint="eastAsia"/>
        </w:rPr>
        <w:t>）当单价与数量的乘积与合价(金额)虽然一致，但投标人修改了该子目的工程数量，则其合价按招标人给定的工程数量乘以投标人所报单价予以修正。</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3</w:t>
      </w:r>
      <w:r>
        <w:rPr>
          <w:rFonts w:hint="eastAsia"/>
        </w:rPr>
        <w:t>.4修正后的最终投标报价若超过最高投标限价(如有)，评标委员会应否决其投标。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黑体"/>
          <w:b/>
          <w:bCs/>
          <w:kern w:val="0"/>
          <w:sz w:val="24"/>
          <w:szCs w:val="24"/>
          <w:highlight w:val="none"/>
          <w:lang w:val="en-US" w:eastAsia="zh-CN" w:bidi="ar-SA"/>
        </w:rPr>
      </w:pPr>
      <w:bookmarkStart w:id="4" w:name="_Toc47691082"/>
      <w:bookmarkStart w:id="5" w:name="_Toc47693594"/>
      <w:r>
        <w:rPr>
          <w:rFonts w:hint="eastAsia" w:ascii="宋体" w:hAnsi="宋体" w:eastAsia="宋体" w:cs="黑体"/>
          <w:b/>
          <w:bCs/>
          <w:kern w:val="0"/>
          <w:sz w:val="24"/>
          <w:szCs w:val="24"/>
          <w:highlight w:val="none"/>
          <w:lang w:val="en-US" w:eastAsia="zh-CN" w:bidi="ar-SA"/>
        </w:rPr>
        <w:t>3.</w:t>
      </w:r>
      <w:r>
        <w:rPr>
          <w:rFonts w:hint="eastAsia" w:ascii="宋体" w:hAnsi="宋体" w:cs="黑体"/>
          <w:b/>
          <w:bCs/>
          <w:kern w:val="0"/>
          <w:sz w:val="24"/>
          <w:szCs w:val="24"/>
          <w:highlight w:val="none"/>
          <w:lang w:val="en-US" w:eastAsia="zh-CN" w:bidi="ar-SA"/>
        </w:rPr>
        <w:t>4</w:t>
      </w:r>
      <w:r>
        <w:rPr>
          <w:rFonts w:hint="eastAsia" w:ascii="宋体" w:hAnsi="宋体" w:eastAsia="宋体" w:cs="黑体"/>
          <w:b/>
          <w:bCs/>
          <w:kern w:val="0"/>
          <w:sz w:val="24"/>
          <w:szCs w:val="24"/>
          <w:highlight w:val="none"/>
          <w:lang w:val="en-US" w:eastAsia="zh-CN" w:bidi="ar-SA"/>
        </w:rPr>
        <w:t>第二个信封详细评审</w:t>
      </w:r>
      <w:bookmarkEnd w:id="4"/>
      <w:bookmarkEnd w:id="5"/>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eastAsia="宋体"/>
          <w:lang w:val="en-US" w:eastAsia="zh-CN"/>
        </w:rPr>
      </w:pPr>
      <w:r>
        <w:rPr>
          <w:rFonts w:hint="eastAsia"/>
        </w:rPr>
        <w:t>3.</w:t>
      </w:r>
      <w:r>
        <w:rPr>
          <w:rFonts w:hint="eastAsia"/>
          <w:lang w:val="en-US" w:eastAsia="zh-CN"/>
        </w:rPr>
        <w:t>4</w:t>
      </w:r>
      <w:r>
        <w:rPr>
          <w:rFonts w:hint="eastAsia"/>
        </w:rPr>
        <w:t>.1评标委员会按本章第2.2款规定的量化因素和标准进行</w:t>
      </w:r>
      <w:r>
        <w:rPr>
          <w:rFonts w:hint="eastAsia"/>
          <w:lang w:val="en-US" w:eastAsia="zh-CN"/>
        </w:rPr>
        <w:t>报价评分</w:t>
      </w:r>
      <w:r>
        <w:rPr>
          <w:rFonts w:hint="eastAsia"/>
        </w:rPr>
        <w:t>，计算出评标价</w:t>
      </w:r>
      <w:r>
        <w:rPr>
          <w:rFonts w:hint="eastAsia"/>
          <w:lang w:val="en-US" w:eastAsia="zh-CN"/>
        </w:rPr>
        <w:t>得分</w:t>
      </w:r>
      <w:r>
        <w:rPr>
          <w:rFonts w:hint="eastAsia"/>
        </w:rPr>
        <w:t>，并编制</w:t>
      </w:r>
      <w:r>
        <w:rPr>
          <w:rFonts w:hint="eastAsia"/>
          <w:lang w:val="en-US" w:eastAsia="zh-CN"/>
        </w:rPr>
        <w:t>评标价得分计算表。</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黑体"/>
          <w:b/>
          <w:bCs/>
          <w:kern w:val="0"/>
          <w:sz w:val="24"/>
          <w:szCs w:val="24"/>
          <w:highlight w:val="none"/>
          <w:lang w:val="en-US" w:eastAsia="zh-CN" w:bidi="ar-SA"/>
        </w:rPr>
      </w:pPr>
      <w:bookmarkStart w:id="6" w:name="_Toc47691083"/>
      <w:bookmarkStart w:id="7" w:name="_Toc47693595"/>
      <w:r>
        <w:rPr>
          <w:rFonts w:hint="eastAsia" w:ascii="宋体" w:hAnsi="宋体" w:eastAsia="宋体" w:cs="黑体"/>
          <w:b/>
          <w:bCs/>
          <w:kern w:val="0"/>
          <w:sz w:val="24"/>
          <w:szCs w:val="24"/>
          <w:highlight w:val="none"/>
          <w:lang w:val="en-US" w:eastAsia="zh-CN" w:bidi="ar-SA"/>
        </w:rPr>
        <w:t>3.</w:t>
      </w:r>
      <w:r>
        <w:rPr>
          <w:rFonts w:hint="eastAsia" w:ascii="宋体" w:hAnsi="宋体" w:cs="黑体"/>
          <w:b/>
          <w:bCs/>
          <w:kern w:val="0"/>
          <w:sz w:val="24"/>
          <w:szCs w:val="24"/>
          <w:highlight w:val="none"/>
          <w:lang w:val="en-US" w:eastAsia="zh-CN" w:bidi="ar-SA"/>
        </w:rPr>
        <w:t>5</w:t>
      </w:r>
      <w:r>
        <w:rPr>
          <w:rFonts w:hint="eastAsia" w:ascii="宋体" w:hAnsi="宋体" w:eastAsia="宋体" w:cs="黑体"/>
          <w:b/>
          <w:bCs/>
          <w:kern w:val="0"/>
          <w:sz w:val="24"/>
          <w:szCs w:val="24"/>
          <w:highlight w:val="none"/>
          <w:lang w:val="en-US" w:eastAsia="zh-CN" w:bidi="ar-SA"/>
        </w:rPr>
        <w:t>投标文件相关信息的核查</w:t>
      </w:r>
      <w:bookmarkEnd w:id="6"/>
      <w:bookmarkEnd w:id="7"/>
    </w:p>
    <w:p>
      <w:pPr>
        <w:pStyle w:val="4"/>
        <w:autoSpaceDE/>
        <w:autoSpaceDN/>
        <w:adjustRightInd/>
        <w:spacing w:line="360" w:lineRule="auto"/>
        <w:ind w:firstLine="420" w:firstLineChars="200"/>
        <w:jc w:val="both"/>
        <w:outlineLvl w:val="9"/>
        <w:rPr>
          <w:rFonts w:hint="eastAsia"/>
          <w:lang w:val="en-US" w:eastAsia="zh-CN"/>
        </w:rPr>
      </w:pPr>
      <w:r>
        <w:rPr>
          <w:rFonts w:hint="eastAsia" w:ascii="Times New Roman" w:hAnsi="Times New Roman"/>
          <w:kern w:val="2"/>
          <w:szCs w:val="24"/>
          <w:highlight w:val="none"/>
        </w:rPr>
        <w:t>3.</w:t>
      </w:r>
      <w:r>
        <w:rPr>
          <w:rFonts w:hint="eastAsia" w:ascii="Times New Roman" w:hAnsi="Times New Roman"/>
          <w:kern w:val="2"/>
          <w:szCs w:val="24"/>
          <w:highlight w:val="none"/>
          <w:lang w:val="en-US" w:eastAsia="zh-CN"/>
        </w:rPr>
        <w:t>5</w:t>
      </w:r>
      <w:r>
        <w:rPr>
          <w:rFonts w:hint="eastAsia" w:ascii="Times New Roman" w:hAnsi="Times New Roman"/>
          <w:kern w:val="2"/>
          <w:szCs w:val="24"/>
          <w:highlight w:val="none"/>
        </w:rPr>
        <w:t>.1 在评标过程中，评标委员会应对投标人的资质、</w:t>
      </w:r>
      <w:r>
        <w:rPr>
          <w:rFonts w:hint="eastAsia"/>
          <w:kern w:val="2"/>
          <w:szCs w:val="24"/>
          <w:highlight w:val="none"/>
          <w:lang w:val="en-US" w:eastAsia="zh-CN"/>
        </w:rPr>
        <w:t>财务、</w:t>
      </w:r>
      <w:r>
        <w:rPr>
          <w:rFonts w:hint="eastAsia" w:ascii="Times New Roman" w:hAnsi="Times New Roman"/>
          <w:kern w:val="2"/>
          <w:szCs w:val="24"/>
          <w:highlight w:val="none"/>
        </w:rPr>
        <w:t>业绩、</w:t>
      </w:r>
      <w:r>
        <w:rPr>
          <w:rFonts w:hint="eastAsia"/>
          <w:kern w:val="2"/>
          <w:szCs w:val="24"/>
          <w:highlight w:val="none"/>
          <w:lang w:val="en-US" w:eastAsia="zh-CN"/>
        </w:rPr>
        <w:t>信誉</w:t>
      </w:r>
      <w:r>
        <w:rPr>
          <w:rFonts w:hint="eastAsia" w:ascii="Times New Roman" w:hAnsi="Times New Roman"/>
          <w:kern w:val="2"/>
          <w:szCs w:val="24"/>
          <w:highlight w:val="none"/>
        </w:rPr>
        <w:t>、</w:t>
      </w:r>
      <w:r>
        <w:rPr>
          <w:rFonts w:hint="eastAsia"/>
          <w:kern w:val="2"/>
          <w:szCs w:val="24"/>
          <w:highlight w:val="none"/>
          <w:lang w:val="en-US" w:eastAsia="zh-CN"/>
        </w:rPr>
        <w:t>投标实物</w:t>
      </w:r>
      <w:r>
        <w:rPr>
          <w:rFonts w:hint="eastAsia" w:ascii="Times New Roman" w:hAnsi="Times New Roman"/>
          <w:kern w:val="2"/>
          <w:szCs w:val="24"/>
          <w:highlight w:val="none"/>
        </w:rPr>
        <w:t>等信息进行核实。若投标文件载明的信息使得投标人的资格条件不符合招标文件规定的，评标委员会应否决其投标。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5</w:t>
      </w:r>
      <w:r>
        <w:rPr>
          <w:rFonts w:hint="eastAsia"/>
        </w:rPr>
        <w:t>.</w:t>
      </w:r>
      <w:r>
        <w:rPr>
          <w:rFonts w:hint="eastAsia"/>
          <w:lang w:val="en-US" w:eastAsia="zh-CN"/>
        </w:rPr>
        <w:t>2</w:t>
      </w:r>
      <w:r>
        <w:rPr>
          <w:rFonts w:hint="eastAsia"/>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（1）有下列情形之一的，属于投标人相互串通投标：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a.投标人之间协商投标报价等投标文件的实质性内容；</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b.投标人之间约定中标人；</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c.投标人之间约定部分投标人放弃投标或中标；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d.属于同一集团、协会、商会等组织成员的投标人按照该组织要求协同投标；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e.投标人之间为谋取中标或排斥特定投标人而采取的其他联合行动。</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（2）有下列情形之一的，视为投标人相互串通投标：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a.不同投标人的投标文件由同一单位或个人编制；</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b.不同投标人委托同一单位或个人办理投标事宜；</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c.不同投标人的投标文件载明的项目管理成员为同一人；</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d.不同投标人的投标文件异常一致或投标报价呈规律性差异；</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e.不同投标人的投标文件相互混装；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f.不同投标人的投标保证金从同一单位或个人的账户转出。</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（3）有下列情形之一的，属于招标人与投标人串通投标：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a.招标人在开标前开启投标文件并将有关信息泄露给其他投标人;</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b.招标人直接或间接向投标人泄露标底、评标委员会成员等信息；</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c.招标人明示或暗示投标人压低或抬高投标报价；</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d.招标人授意投标人撤换、修改投标文件；</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e.招标人明示或暗示投标人为特定投标人中标提供方便；</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f.招标人与投标人为谋求特定投标人中标而采取的其他串通行为。</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（4）投标人有下列情形之一的，属于弄虚作假的行为：</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a.使用通过受让或租借等方式获取的资格、资质证书投标；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b.使用伪造、变造的许可证件；</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c.提供虚假的财务状况或业绩；</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d.提供虚假的项目负责人或主要技术人员简历、劳动关系证明；</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e.提供虚假的信用状况；</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f.其他弄虚作假的行为。</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黑体"/>
          <w:b/>
          <w:bCs/>
          <w:kern w:val="0"/>
          <w:sz w:val="24"/>
          <w:szCs w:val="24"/>
          <w:highlight w:val="none"/>
          <w:lang w:val="en-US" w:eastAsia="zh-CN" w:bidi="ar-SA"/>
        </w:rPr>
      </w:pPr>
      <w:bookmarkStart w:id="8" w:name="_Toc235615670"/>
      <w:bookmarkStart w:id="9" w:name="_Toc235615952"/>
      <w:bookmarkStart w:id="10" w:name="_Toc47691084"/>
      <w:bookmarkStart w:id="11" w:name="_Toc47693596"/>
      <w:r>
        <w:rPr>
          <w:rFonts w:hint="eastAsia" w:ascii="宋体" w:hAnsi="宋体" w:eastAsia="宋体" w:cs="黑体"/>
          <w:b/>
          <w:bCs/>
          <w:kern w:val="0"/>
          <w:sz w:val="24"/>
          <w:szCs w:val="24"/>
          <w:highlight w:val="none"/>
          <w:lang w:val="en-US" w:eastAsia="zh-CN" w:bidi="ar-SA"/>
        </w:rPr>
        <w:t>3</w:t>
      </w:r>
      <w:r>
        <w:rPr>
          <w:rFonts w:hint="eastAsia" w:ascii="宋体" w:hAnsi="宋体" w:cs="黑体"/>
          <w:b/>
          <w:bCs/>
          <w:kern w:val="0"/>
          <w:sz w:val="24"/>
          <w:szCs w:val="24"/>
          <w:highlight w:val="none"/>
          <w:lang w:val="en-US" w:eastAsia="zh-CN" w:bidi="ar-SA"/>
        </w:rPr>
        <w:t>.6</w:t>
      </w:r>
      <w:r>
        <w:rPr>
          <w:rFonts w:hint="eastAsia" w:ascii="宋体" w:hAnsi="宋体" w:eastAsia="宋体" w:cs="黑体"/>
          <w:b/>
          <w:bCs/>
          <w:kern w:val="0"/>
          <w:sz w:val="24"/>
          <w:szCs w:val="24"/>
          <w:highlight w:val="none"/>
          <w:lang w:val="en-US" w:eastAsia="zh-CN" w:bidi="ar-SA"/>
        </w:rPr>
        <w:t>投标文件的澄清和</w:t>
      </w:r>
      <w:bookmarkEnd w:id="8"/>
      <w:bookmarkEnd w:id="9"/>
      <w:r>
        <w:rPr>
          <w:rFonts w:hint="eastAsia" w:ascii="宋体" w:hAnsi="宋体" w:eastAsia="宋体" w:cs="黑体"/>
          <w:b/>
          <w:bCs/>
          <w:kern w:val="0"/>
          <w:sz w:val="24"/>
          <w:szCs w:val="24"/>
          <w:highlight w:val="none"/>
          <w:lang w:val="en-US" w:eastAsia="zh-CN" w:bidi="ar-SA"/>
        </w:rPr>
        <w:t>说明</w:t>
      </w:r>
      <w:bookmarkEnd w:id="10"/>
      <w:bookmarkEnd w:id="11"/>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6</w:t>
      </w:r>
      <w:r>
        <w:rPr>
          <w:rFonts w:hint="eastAsia"/>
        </w:rPr>
        <w:t>.1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6</w:t>
      </w:r>
      <w:r>
        <w:rPr>
          <w:rFonts w:hint="eastAsia"/>
        </w:rPr>
        <w:t>.2 澄清和说明不得超出投标文件的范围或改变投标文件的实质性内容（算术性错误的修正除外）。投标人的书面澄清、说明属于投标文件的组成部分。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6</w:t>
      </w:r>
      <w:r>
        <w:rPr>
          <w:rFonts w:hint="eastAsia"/>
        </w:rPr>
        <w:t>.3 评标委员会不得暗示或诱导投标人作出澄清、说明，对投标人提交的澄清、说明有疑问的，可以要求投标人进一步澄清或说明，直至满足评标委员会的要求。</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6</w:t>
      </w:r>
      <w:r>
        <w:rPr>
          <w:rFonts w:hint="eastAsia"/>
        </w:rPr>
        <w:t>.4 凡超出招标文件规定的或给发包人带来未曾要求的利益的变化、偏差或其他因素在评标时不予考虑。</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黑体"/>
          <w:b/>
          <w:bCs/>
          <w:kern w:val="0"/>
          <w:sz w:val="24"/>
          <w:szCs w:val="24"/>
          <w:highlight w:val="none"/>
          <w:lang w:val="en-US" w:eastAsia="zh-CN" w:bidi="ar-SA"/>
        </w:rPr>
      </w:pPr>
      <w:bookmarkStart w:id="12" w:name="_Toc47691085"/>
      <w:bookmarkStart w:id="13" w:name="_Toc47693597"/>
      <w:r>
        <w:rPr>
          <w:rFonts w:hint="eastAsia" w:ascii="宋体" w:hAnsi="宋体" w:eastAsia="宋体" w:cs="黑体"/>
          <w:b/>
          <w:bCs/>
          <w:kern w:val="0"/>
          <w:sz w:val="24"/>
          <w:szCs w:val="24"/>
          <w:highlight w:val="none"/>
          <w:lang w:val="en-US" w:eastAsia="zh-CN" w:bidi="ar-SA"/>
        </w:rPr>
        <w:t>3.</w:t>
      </w:r>
      <w:r>
        <w:rPr>
          <w:rFonts w:hint="eastAsia" w:ascii="宋体" w:hAnsi="宋体" w:cs="黑体"/>
          <w:b/>
          <w:bCs/>
          <w:kern w:val="0"/>
          <w:sz w:val="24"/>
          <w:szCs w:val="24"/>
          <w:highlight w:val="none"/>
          <w:lang w:val="en-US" w:eastAsia="zh-CN" w:bidi="ar-SA"/>
        </w:rPr>
        <w:t>7</w:t>
      </w:r>
      <w:r>
        <w:rPr>
          <w:rFonts w:hint="eastAsia" w:ascii="宋体" w:hAnsi="宋体" w:eastAsia="宋体" w:cs="黑体"/>
          <w:b/>
          <w:bCs/>
          <w:kern w:val="0"/>
          <w:sz w:val="24"/>
          <w:szCs w:val="24"/>
          <w:highlight w:val="none"/>
          <w:lang w:val="en-US" w:eastAsia="zh-CN" w:bidi="ar-SA"/>
        </w:rPr>
        <w:t>不得否决投标的情形</w:t>
      </w:r>
      <w:bookmarkEnd w:id="12"/>
      <w:bookmarkEnd w:id="13"/>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投标文件存在第二章“投标人须知”第1.12.3项所列情形的，均视为细微偏差，评标委员会不得否决投标人的投标，应按照第二章“投标人须知”第1.12.4项规定的原则处理。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黑体"/>
          <w:b/>
          <w:bCs/>
          <w:kern w:val="0"/>
          <w:sz w:val="24"/>
          <w:szCs w:val="24"/>
          <w:highlight w:val="none"/>
          <w:lang w:val="en-US" w:eastAsia="zh-CN" w:bidi="ar-SA"/>
        </w:rPr>
      </w:pPr>
      <w:bookmarkStart w:id="14" w:name="_Toc47693598"/>
      <w:bookmarkStart w:id="15" w:name="_Toc47691086"/>
      <w:r>
        <w:rPr>
          <w:rFonts w:hint="eastAsia" w:ascii="宋体" w:hAnsi="宋体" w:eastAsia="宋体" w:cs="黑体"/>
          <w:b/>
          <w:bCs/>
          <w:kern w:val="0"/>
          <w:sz w:val="24"/>
          <w:szCs w:val="24"/>
          <w:highlight w:val="none"/>
          <w:lang w:val="en-US" w:eastAsia="zh-CN" w:bidi="ar-SA"/>
        </w:rPr>
        <w:t>3.</w:t>
      </w:r>
      <w:r>
        <w:rPr>
          <w:rFonts w:hint="eastAsia" w:ascii="宋体" w:hAnsi="宋体" w:cs="黑体"/>
          <w:b/>
          <w:bCs/>
          <w:kern w:val="0"/>
          <w:sz w:val="24"/>
          <w:szCs w:val="24"/>
          <w:highlight w:val="none"/>
          <w:lang w:val="en-US" w:eastAsia="zh-CN" w:bidi="ar-SA"/>
        </w:rPr>
        <w:t>8</w:t>
      </w:r>
      <w:r>
        <w:rPr>
          <w:rFonts w:hint="eastAsia" w:ascii="宋体" w:hAnsi="宋体" w:eastAsia="宋体" w:cs="黑体"/>
          <w:b/>
          <w:bCs/>
          <w:kern w:val="0"/>
          <w:sz w:val="24"/>
          <w:szCs w:val="24"/>
          <w:highlight w:val="none"/>
          <w:lang w:val="en-US" w:eastAsia="zh-CN" w:bidi="ar-SA"/>
        </w:rPr>
        <w:t>评标结果</w:t>
      </w:r>
      <w:bookmarkEnd w:id="14"/>
      <w:bookmarkEnd w:id="15"/>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8</w:t>
      </w:r>
      <w:r>
        <w:rPr>
          <w:rFonts w:hint="eastAsia"/>
        </w:rPr>
        <w:t>.1 除第二章“投标人须知”前附表授权直接确定中标人外，评标委员会按照得分由高到低的顺序推荐中标候选人，并标明排序。</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w:t>
      </w:r>
      <w:r>
        <w:rPr>
          <w:rFonts w:hint="eastAsia"/>
          <w:lang w:val="en-US" w:eastAsia="zh-CN"/>
        </w:rPr>
        <w:t>8</w:t>
      </w:r>
      <w:r>
        <w:rPr>
          <w:rFonts w:hint="eastAsia"/>
        </w:rPr>
        <w:t>.2 评标委员会完成评标后，应向招标人提交书面评标报告。</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7A"/>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7A"/>
    <w:family w:val="auto"/>
    <w:pitch w:val="default"/>
    <w:sig w:usb0="00000287" w:usb1="080F0000" w:usb2="00000000" w:usb3="00000000" w:csb0="0004009F" w:csb1="DFD70000"/>
  </w:font>
  <w:font w:name="方正宋三简体">
    <w:altName w:val="宋体"/>
    <w:panose1 w:val="020106010300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7A"/>
    <w:family w:val="roma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Noto Sans Mono CJK JP Regular">
    <w:altName w:val="Arial"/>
    <w:panose1 w:val="00000000000000000000"/>
    <w:charset w:val="00"/>
    <w:family w:val="swiss"/>
    <w:pitch w:val="default"/>
    <w:sig w:usb0="00000000" w:usb1="00000000" w:usb2="00000000" w:usb3="00000000" w:csb0="00000001" w:csb1="00000000"/>
  </w:font>
  <w:font w:name="Comic Sans MS">
    <w:panose1 w:val="030F0702030302020204"/>
    <w:charset w:val="00"/>
    <w:family w:val="script"/>
    <w:pitch w:val="default"/>
    <w:sig w:usb0="00000287" w:usb1="00000013" w:usb2="00000000" w:usb3="00000000" w:csb0="2000009F" w:csb1="00000000"/>
  </w:font>
  <w:font w:name="Noto Sans CJK JP Regular">
    <w:altName w:val="Arial"/>
    <w:panose1 w:val="00000000000000000000"/>
    <w:charset w:val="00"/>
    <w:family w:val="swiss"/>
    <w:pitch w:val="default"/>
    <w:sig w:usb0="00000000" w:usb1="00000000" w:usb2="00000000" w:usb3="00000000" w:csb0="00000001" w:csb1="00000000"/>
  </w:font>
  <w:font w:name="MingLiU">
    <w:altName w:val="PMingLiU-ExtB"/>
    <w:panose1 w:val="02020509000000000000"/>
    <w:charset w:val="78"/>
    <w:family w:val="modern"/>
    <w:pitch w:val="default"/>
    <w:sig w:usb0="00000000" w:usb1="00000000" w:usb2="00000016" w:usb3="00000000" w:csb0="00100001" w:csb1="00000000"/>
  </w:font>
  <w:font w:name="创艺简老宋">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font-weight : 400">
    <w:altName w:val="Times New Roman"/>
    <w:panose1 w:val="00000000000000000000"/>
    <w:charset w:val="00"/>
    <w:family w:val="auto"/>
    <w:pitch w:val="default"/>
    <w:sig w:usb0="00000000" w:usb1="00000000" w:usb2="00000000"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SimSun-Identity-H">
    <w:altName w:val="MS Gothic"/>
    <w:panose1 w:val="00000000000000000000"/>
    <w:charset w:val="80"/>
    <w:family w:val="auto"/>
    <w:pitch w:val="default"/>
    <w:sig w:usb0="00000000" w:usb1="00000000" w:usb2="00000010" w:usb3="00000000" w:csb0="00020000" w:csb1="00000000"/>
  </w:font>
  <w:font w:name="仿宋">
    <w:panose1 w:val="02010609060101010101"/>
    <w:charset w:val="86"/>
    <w:family w:val="auto"/>
    <w:pitch w:val="default"/>
    <w:sig w:usb0="800002BF" w:usb1="38CF7CFA" w:usb2="00000016" w:usb3="00000000" w:csb0="00040001" w:csb1="00000000"/>
  </w:font>
  <w:font w:name="Calibri-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B99C2"/>
    <w:multiLevelType w:val="singleLevel"/>
    <w:tmpl w:val="F23B99C2"/>
    <w:lvl w:ilvl="0" w:tentative="0">
      <w:start w:val="1"/>
      <w:numFmt w:val="decimal"/>
      <w:suff w:val="nothing"/>
      <w:lvlText w:val="%1、"/>
      <w:lvlJc w:val="left"/>
    </w:lvl>
  </w:abstractNum>
  <w:abstractNum w:abstractNumId="1">
    <w:nsid w:val="2367EFD1"/>
    <w:multiLevelType w:val="singleLevel"/>
    <w:tmpl w:val="2367EFD1"/>
    <w:lvl w:ilvl="0" w:tentative="0">
      <w:start w:val="1"/>
      <w:numFmt w:val="decimal"/>
      <w:suff w:val="space"/>
      <w:lvlText w:val="(%1)"/>
      <w:lvlJc w:val="left"/>
    </w:lvl>
  </w:abstractNum>
  <w:abstractNum w:abstractNumId="2">
    <w:nsid w:val="2F338EAC"/>
    <w:multiLevelType w:val="singleLevel"/>
    <w:tmpl w:val="2F338EAC"/>
    <w:lvl w:ilvl="0" w:tentative="0">
      <w:start w:val="1"/>
      <w:numFmt w:val="decimal"/>
      <w:suff w:val="nothing"/>
      <w:lvlText w:val="%1、"/>
      <w:lvlJc w:val="left"/>
    </w:lvl>
  </w:abstractNum>
  <w:abstractNum w:abstractNumId="3">
    <w:nsid w:val="4D085A16"/>
    <w:multiLevelType w:val="singleLevel"/>
    <w:tmpl w:val="4D085A16"/>
    <w:lvl w:ilvl="0" w:tentative="0">
      <w:start w:val="1"/>
      <w:numFmt w:val="chineseCounting"/>
      <w:suff w:val="nothing"/>
      <w:lvlText w:val="%1、"/>
      <w:lvlJc w:val="left"/>
      <w:rPr>
        <w:rFonts w:hint="eastAsia"/>
      </w:rPr>
    </w:lvl>
  </w:abstractNum>
  <w:abstractNum w:abstractNumId="4">
    <w:nsid w:val="64DB3A88"/>
    <w:multiLevelType w:val="singleLevel"/>
    <w:tmpl w:val="64DB3A88"/>
    <w:lvl w:ilvl="0" w:tentative="0">
      <w:start w:val="12"/>
      <w:numFmt w:val="decimal"/>
      <w:suff w:val="nothing"/>
      <w:lvlText w:val="(%1)"/>
      <w:lvlJc w:val="left"/>
    </w:lvl>
  </w:abstractNum>
  <w:abstractNum w:abstractNumId="5">
    <w:nsid w:val="64DC1AA0"/>
    <w:multiLevelType w:val="singleLevel"/>
    <w:tmpl w:val="64DC1AA0"/>
    <w:lvl w:ilvl="0" w:tentative="0">
      <w:start w:val="2"/>
      <w:numFmt w:val="decimal"/>
      <w:suff w:val="nothing"/>
      <w:lvlText w:val="（%1）"/>
      <w:lvlJc w:val="left"/>
    </w:lvl>
  </w:abstractNum>
  <w:abstractNum w:abstractNumId="6">
    <w:nsid w:val="64DC1ABD"/>
    <w:multiLevelType w:val="singleLevel"/>
    <w:tmpl w:val="64DC1ABD"/>
    <w:lvl w:ilvl="0" w:tentative="0">
      <w:start w:val="2"/>
      <w:numFmt w:val="decimal"/>
      <w:suff w:val="nothing"/>
      <w:lvlText w:val="%1、"/>
      <w:lvlJc w:val="left"/>
    </w:lvl>
  </w:abstractNum>
  <w:abstractNum w:abstractNumId="7">
    <w:nsid w:val="64DC1ACC"/>
    <w:multiLevelType w:val="singleLevel"/>
    <w:tmpl w:val="64DC1ACC"/>
    <w:lvl w:ilvl="0" w:tentative="0">
      <w:start w:val="3"/>
      <w:numFmt w:val="chineseCounting"/>
      <w:suff w:val="nothing"/>
      <w:lvlText w:val="（%1）"/>
      <w:lvlJc w:val="left"/>
    </w:lvl>
  </w:abstractNum>
  <w:abstractNum w:abstractNumId="8">
    <w:nsid w:val="64DC2B02"/>
    <w:multiLevelType w:val="singleLevel"/>
    <w:tmpl w:val="64DC2B02"/>
    <w:lvl w:ilvl="0" w:tentative="0">
      <w:start w:val="1"/>
      <w:numFmt w:val="decimal"/>
      <w:suff w:val="nothing"/>
      <w:lvlText w:val="（%1）"/>
      <w:lvlJc w:val="left"/>
    </w:lvl>
  </w:abstractNum>
  <w:abstractNum w:abstractNumId="9">
    <w:nsid w:val="6B5E0747"/>
    <w:multiLevelType w:val="singleLevel"/>
    <w:tmpl w:val="6B5E0747"/>
    <w:lvl w:ilvl="0" w:tentative="0">
      <w:start w:val="3"/>
      <w:numFmt w:val="decimal"/>
      <w:suff w:val="nothing"/>
      <w:lvlText w:val="（%1）"/>
      <w:lvlJc w:val="left"/>
    </w:lvl>
  </w:abstractNum>
  <w:abstractNum w:abstractNumId="10">
    <w:nsid w:val="75A635A7"/>
    <w:multiLevelType w:val="multilevel"/>
    <w:tmpl w:val="75A635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9"/>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54CAC"/>
    <w:rsid w:val="1E8076C2"/>
    <w:rsid w:val="434B2A4D"/>
    <w:rsid w:val="60FC71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after="120"/>
    </w:pPr>
    <w:rPr>
      <w:rFonts w:ascii="Times New Roman" w:hAnsi="Times New Roman" w:eastAsia="宋体" w:cs="Times New Roman"/>
    </w:rPr>
  </w:style>
  <w:style w:type="paragraph" w:styleId="3">
    <w:name w:val="Body Text First Indent"/>
    <w:basedOn w:val="2"/>
    <w:uiPriority w:val="0"/>
    <w:pPr>
      <w:widowControl w:val="0"/>
      <w:spacing w:line="312" w:lineRule="auto"/>
      <w:ind w:firstLine="420"/>
      <w:jc w:val="both"/>
    </w:pPr>
    <w:rPr>
      <w:rFonts w:ascii="Calibri" w:hAnsi="Calibri"/>
      <w:kern w:val="2"/>
      <w:szCs w:val="24"/>
    </w:rPr>
  </w:style>
  <w:style w:type="paragraph" w:styleId="4">
    <w:name w:val="Normal Indent"/>
    <w:basedOn w:val="1"/>
    <w:next w:val="1"/>
    <w:uiPriority w:val="0"/>
    <w:pPr>
      <w:ind w:firstLine="420" w:firstLineChars="200"/>
    </w:pPr>
    <w:rPr>
      <w:rFonts w:ascii="Times New Roman" w:hAnsi="Times New Roman" w:eastAsia="宋体" w:cs="Times New Roman"/>
    </w:rPr>
  </w:style>
  <w:style w:type="paragraph" w:styleId="5">
    <w:name w:val="Body Text Indent"/>
    <w:basedOn w:val="1"/>
    <w:uiPriority w:val="0"/>
    <w:pPr>
      <w:spacing w:after="120"/>
      <w:ind w:left="420" w:leftChars="200"/>
    </w:pPr>
    <w:rPr>
      <w:rFonts w:ascii="Times New Roman" w:hAnsi="Times New Roman" w:eastAsia="宋体" w:cs="Times New Roman"/>
    </w:rPr>
  </w:style>
  <w:style w:type="paragraph" w:styleId="6">
    <w:name w:val="Plain Text"/>
    <w:basedOn w:val="1"/>
    <w:uiPriority w:val="0"/>
    <w:rPr>
      <w:rFonts w:ascii="宋体" w:hAnsi="Courier New" w:eastAsia="宋体" w:cs="Times New Roman"/>
      <w:szCs w:val="20"/>
    </w:rPr>
  </w:style>
  <w:style w:type="paragraph" w:styleId="7">
    <w:name w:val="footer"/>
    <w:basedOn w:val="1"/>
    <w:next w:val="8"/>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header"/>
    <w:basedOn w:val="1"/>
    <w:uiPriority w:val="0"/>
    <w:pP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胡笛</cp:lastModifiedBy>
  <dcterms:modified xsi:type="dcterms:W3CDTF">2023-10-31T09:16:48Z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