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600" w:line="360" w:lineRule="auto"/>
        <w:jc w:val="center"/>
        <w:rPr>
          <w:rFonts w:ascii="宋体" w:hAnsi="宋体"/>
          <w:b/>
          <w:bCs/>
          <w:spacing w:val="-20"/>
          <w:sz w:val="56"/>
          <w:szCs w:val="56"/>
          <w:highlight w:val="none"/>
        </w:rPr>
      </w:pPr>
      <w:r>
        <w:rPr>
          <w:rFonts w:hint="eastAsia" w:ascii="宋体" w:hAnsi="宋体"/>
          <w:b/>
          <w:bCs/>
          <w:spacing w:val="-20"/>
          <w:sz w:val="56"/>
          <w:szCs w:val="56"/>
          <w:highlight w:val="none"/>
        </w:rPr>
        <w:t>恩平工业园大槐片区（塘冲）基础设施建设项目设计施工总承包</w:t>
      </w:r>
    </w:p>
    <w:p>
      <w:pPr>
        <w:spacing w:beforeLines="600" w:line="360" w:lineRule="auto"/>
        <w:jc w:val="center"/>
        <w:rPr>
          <w:rFonts w:ascii="宋体" w:hAnsi="宋体"/>
          <w:b/>
          <w:bCs/>
          <w:spacing w:val="-20"/>
          <w:sz w:val="56"/>
          <w:szCs w:val="56"/>
          <w:highlight w:val="none"/>
        </w:rPr>
      </w:pPr>
      <w:r>
        <w:rPr>
          <w:rFonts w:hint="eastAsia" w:ascii="宋体" w:hAnsi="宋体"/>
          <w:b/>
          <w:bCs/>
          <w:spacing w:val="-20"/>
          <w:sz w:val="56"/>
          <w:szCs w:val="56"/>
          <w:highlight w:val="none"/>
        </w:rPr>
        <w:t>招标文件</w:t>
      </w:r>
    </w:p>
    <w:p>
      <w:pPr>
        <w:spacing w:line="320" w:lineRule="exact"/>
        <w:jc w:val="center"/>
        <w:rPr>
          <w:rFonts w:ascii="黑体" w:hAnsi="宋体" w:eastAsia="黑体"/>
          <w:sz w:val="36"/>
          <w:szCs w:val="36"/>
          <w:highlight w:val="none"/>
        </w:rPr>
      </w:pPr>
    </w:p>
    <w:p>
      <w:pPr>
        <w:jc w:val="center"/>
        <w:rPr>
          <w:rFonts w:ascii="宋体" w:hAnsi="宋体"/>
          <w:spacing w:val="-20"/>
          <w:sz w:val="44"/>
          <w:szCs w:val="44"/>
          <w:highlight w:val="none"/>
        </w:rPr>
      </w:pPr>
    </w:p>
    <w:p>
      <w:pPr>
        <w:jc w:val="center"/>
        <w:rPr>
          <w:rFonts w:ascii="宋体" w:hAnsi="宋体"/>
          <w:sz w:val="84"/>
          <w:szCs w:val="84"/>
          <w:highlight w:val="none"/>
        </w:rPr>
      </w:pPr>
    </w:p>
    <w:p>
      <w:pPr>
        <w:rPr>
          <w:rFonts w:ascii="宋体" w:hAnsi="宋体"/>
          <w:sz w:val="36"/>
          <w:szCs w:val="36"/>
          <w:highlight w:val="none"/>
        </w:rPr>
      </w:pPr>
    </w:p>
    <w:p>
      <w:pPr>
        <w:rPr>
          <w:rFonts w:ascii="宋体" w:hAnsi="宋体"/>
          <w:sz w:val="36"/>
          <w:szCs w:val="36"/>
          <w:highlight w:val="none"/>
        </w:rPr>
      </w:pPr>
    </w:p>
    <w:p>
      <w:pPr>
        <w:rPr>
          <w:rFonts w:ascii="宋体" w:hAnsi="宋体"/>
          <w:sz w:val="36"/>
          <w:szCs w:val="36"/>
          <w:highlight w:val="none"/>
        </w:rPr>
      </w:pP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建 设 单 位：</w:t>
      </w:r>
      <w:r>
        <w:rPr>
          <w:rFonts w:hint="eastAsia" w:ascii="宋体" w:hAnsi="宋体"/>
          <w:sz w:val="28"/>
          <w:szCs w:val="28"/>
          <w:highlight w:val="none"/>
          <w:u w:val="single"/>
        </w:rPr>
        <w:t xml:space="preserve">恩平市产业园区开发建设有限公司 </w:t>
      </w:r>
      <w:r>
        <w:rPr>
          <w:rFonts w:hint="eastAsia" w:ascii="宋体" w:hAnsi="宋体"/>
          <w:sz w:val="28"/>
          <w:szCs w:val="28"/>
          <w:highlight w:val="none"/>
        </w:rPr>
        <w:t>（盖单位章）</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招 标 代 理：</w:t>
      </w:r>
      <w:r>
        <w:rPr>
          <w:rFonts w:hint="eastAsia" w:ascii="宋体" w:hAnsi="宋体"/>
          <w:sz w:val="28"/>
          <w:szCs w:val="28"/>
          <w:highlight w:val="none"/>
          <w:u w:val="single"/>
        </w:rPr>
        <w:t xml:space="preserve">广东省机电设备招标中心有限公司 </w:t>
      </w:r>
      <w:r>
        <w:rPr>
          <w:rFonts w:hint="eastAsia" w:ascii="宋体" w:hAnsi="宋体"/>
          <w:sz w:val="28"/>
          <w:szCs w:val="28"/>
          <w:highlight w:val="none"/>
        </w:rPr>
        <w:t>（盖单位章）</w:t>
      </w:r>
    </w:p>
    <w:p>
      <w:pPr>
        <w:snapToGrid w:val="0"/>
        <w:ind w:firstLine="608" w:firstLineChars="200"/>
        <w:rPr>
          <w:rFonts w:ascii="宋体" w:hAnsi="宋体"/>
          <w:spacing w:val="12"/>
          <w:kern w:val="0"/>
          <w:sz w:val="28"/>
          <w:szCs w:val="28"/>
          <w:highlight w:val="none"/>
        </w:rPr>
      </w:pPr>
    </w:p>
    <w:p>
      <w:pPr>
        <w:snapToGrid w:val="0"/>
        <w:ind w:firstLine="608" w:firstLineChars="200"/>
        <w:rPr>
          <w:rFonts w:ascii="宋体" w:hAnsi="宋体"/>
          <w:spacing w:val="12"/>
          <w:kern w:val="0"/>
          <w:sz w:val="28"/>
          <w:szCs w:val="28"/>
          <w:highlight w:val="none"/>
        </w:rPr>
      </w:pPr>
    </w:p>
    <w:p>
      <w:pPr>
        <w:snapToGrid w:val="0"/>
        <w:rPr>
          <w:rFonts w:ascii="宋体" w:hAnsi="宋体"/>
          <w:spacing w:val="12"/>
          <w:kern w:val="0"/>
          <w:sz w:val="28"/>
          <w:szCs w:val="28"/>
          <w:highlight w:val="none"/>
        </w:rPr>
      </w:pPr>
    </w:p>
    <w:p>
      <w:pPr>
        <w:jc w:val="center"/>
        <w:rPr>
          <w:rFonts w:ascii="宋体" w:hAnsi="宋体"/>
          <w:spacing w:val="12"/>
          <w:kern w:val="0"/>
          <w:sz w:val="30"/>
          <w:szCs w:val="30"/>
          <w:highlight w:val="none"/>
        </w:rPr>
      </w:pPr>
      <w:r>
        <w:rPr>
          <w:rFonts w:hint="eastAsia" w:ascii="宋体" w:hAnsi="宋体"/>
          <w:spacing w:val="12"/>
          <w:kern w:val="0"/>
          <w:sz w:val="30"/>
          <w:szCs w:val="30"/>
          <w:highlight w:val="none"/>
        </w:rPr>
        <w:t>日  期：2023年  月</w:t>
      </w:r>
    </w:p>
    <w:p>
      <w:pPr>
        <w:pStyle w:val="2"/>
        <w:spacing w:after="240"/>
        <w:jc w:val="center"/>
        <w:rPr>
          <w:highlight w:val="none"/>
        </w:rPr>
        <w:sectPr>
          <w:footerReference r:id="rId3" w:type="default"/>
          <w:pgSz w:w="11906" w:h="16838"/>
          <w:pgMar w:top="1418" w:right="1134" w:bottom="1418" w:left="1134" w:header="851" w:footer="992" w:gutter="0"/>
          <w:pgNumType w:start="1"/>
          <w:cols w:space="0" w:num="1"/>
          <w:docGrid w:type="lines" w:linePitch="312" w:charSpace="0"/>
        </w:sectPr>
      </w:pPr>
      <w:bookmarkStart w:id="0" w:name="_Toc15148"/>
    </w:p>
    <w:p>
      <w:pPr>
        <w:pStyle w:val="2"/>
        <w:spacing w:after="240"/>
        <w:jc w:val="center"/>
        <w:rPr>
          <w:highlight w:val="none"/>
        </w:rPr>
      </w:pPr>
      <w:bookmarkStart w:id="1" w:name="_Toc6782"/>
      <w:bookmarkStart w:id="2" w:name="_Toc13948"/>
      <w:r>
        <w:rPr>
          <w:rFonts w:hint="eastAsia"/>
          <w:highlight w:val="none"/>
        </w:rPr>
        <w:t>投标文件否决性条款摘要</w:t>
      </w:r>
      <w:bookmarkEnd w:id="0"/>
      <w:bookmarkEnd w:id="1"/>
      <w:bookmarkEnd w:id="2"/>
    </w:p>
    <w:p>
      <w:pPr>
        <w:spacing w:line="440" w:lineRule="exact"/>
        <w:ind w:right="-197" w:firstLine="482" w:firstLineChars="200"/>
        <w:rPr>
          <w:rFonts w:ascii="宋体"/>
          <w:b/>
          <w:sz w:val="24"/>
          <w:highlight w:val="none"/>
        </w:rPr>
      </w:pPr>
      <w:r>
        <w:rPr>
          <w:rFonts w:hint="eastAsia" w:ascii="宋体" w:hAnsi="宋体"/>
          <w:b/>
          <w:sz w:val="24"/>
          <w:highlight w:val="none"/>
        </w:rPr>
        <w:t>重要提示：</w:t>
      </w:r>
      <w:r>
        <w:rPr>
          <w:rFonts w:hint="eastAsia" w:ascii="宋体" w:hAnsi="宋体"/>
          <w:sz w:val="24"/>
          <w:highlight w:val="none"/>
        </w:rPr>
        <w:t>本摘要是本招标文件</w:t>
      </w:r>
      <w:r>
        <w:rPr>
          <w:rFonts w:ascii="宋体" w:hAnsi="宋体"/>
          <w:sz w:val="24"/>
          <w:highlight w:val="none"/>
        </w:rPr>
        <w:t>(</w:t>
      </w:r>
      <w:r>
        <w:rPr>
          <w:rFonts w:hint="eastAsia" w:ascii="宋体" w:hAnsi="宋体"/>
          <w:sz w:val="24"/>
          <w:highlight w:val="none"/>
        </w:rPr>
        <w:t>含招标文件的澄清、修改、补充文件等</w:t>
      </w:r>
      <w:r>
        <w:rPr>
          <w:rFonts w:ascii="宋体" w:hAnsi="宋体"/>
          <w:sz w:val="24"/>
          <w:highlight w:val="none"/>
        </w:rPr>
        <w:t>)</w:t>
      </w:r>
      <w:r>
        <w:rPr>
          <w:rFonts w:hint="eastAsia" w:ascii="宋体" w:hAnsi="宋体"/>
          <w:sz w:val="24"/>
          <w:highlight w:val="none"/>
        </w:rPr>
        <w:t>中涉及的所有否决性条款的集中列示，包括：招标文件规定的在开标会上当场宣布投标文件不予受理或为无效投标的情形，初步评审、详细评审阶段发现重大偏差的情形。</w:t>
      </w:r>
      <w:r>
        <w:rPr>
          <w:rFonts w:hint="eastAsia" w:ascii="宋体" w:hAnsi="宋体"/>
          <w:b/>
          <w:sz w:val="24"/>
          <w:highlight w:val="none"/>
        </w:rPr>
        <w:t>除出现本摘要集中列示的否决性条款规定的情形以外，投标文件出现的其他任何情形均不得作否决处理。招标文件中有关否决性条款的阐述与本摘要所列内容不一致的，以本摘要列示的内容为准</w:t>
      </w:r>
      <w:r>
        <w:rPr>
          <w:rFonts w:hint="eastAsia" w:ascii="宋体" w:hAnsi="宋体"/>
          <w:sz w:val="24"/>
          <w:highlight w:val="none"/>
        </w:rPr>
        <w:t>。</w:t>
      </w:r>
    </w:p>
    <w:p>
      <w:pPr>
        <w:spacing w:line="440" w:lineRule="exact"/>
        <w:ind w:right="-197" w:firstLine="480" w:firstLineChars="200"/>
        <w:rPr>
          <w:rFonts w:ascii="宋体"/>
          <w:sz w:val="24"/>
          <w:highlight w:val="none"/>
        </w:rPr>
      </w:pPr>
      <w:r>
        <w:rPr>
          <w:rFonts w:hint="eastAsia" w:ascii="宋体" w:hAnsi="宋体"/>
          <w:sz w:val="24"/>
          <w:highlight w:val="none"/>
        </w:rPr>
        <w:t>如招标人通过招标文件的澄清、修改、补充文件予以增加否决性条款的，招标人应当重新编写本摘要内容，将新增否决性条款列入本摘要，并发布新的完整的《投标文件否决性条款摘要》。否则，增加的否决性条款无效。</w:t>
      </w:r>
    </w:p>
    <w:p>
      <w:pPr>
        <w:spacing w:line="440" w:lineRule="exact"/>
        <w:ind w:right="-197" w:firstLine="480" w:firstLineChars="200"/>
        <w:rPr>
          <w:rFonts w:ascii="宋体"/>
          <w:sz w:val="24"/>
          <w:highlight w:val="none"/>
        </w:rPr>
      </w:pPr>
      <w:r>
        <w:rPr>
          <w:rFonts w:hint="eastAsia" w:ascii="宋体" w:hAnsi="宋体"/>
          <w:sz w:val="24"/>
          <w:highlight w:val="none"/>
        </w:rPr>
        <w:t>评标委员会应将在初步评审阶段和详细评审阶段发现的投标文件中的重大偏差情况列入评标报告中的“否决投标情况说明”，对该投标文件作否决处理。</w:t>
      </w:r>
    </w:p>
    <w:p>
      <w:pPr>
        <w:spacing w:line="440" w:lineRule="exact"/>
        <w:ind w:right="-197" w:firstLine="482" w:firstLineChars="200"/>
        <w:rPr>
          <w:rFonts w:ascii="宋体" w:hAnsi="宋体"/>
          <w:b/>
          <w:sz w:val="24"/>
          <w:highlight w:val="none"/>
        </w:rPr>
      </w:pPr>
      <w:r>
        <w:rPr>
          <w:rFonts w:hint="eastAsia" w:ascii="宋体" w:hAnsi="宋体"/>
          <w:b/>
          <w:sz w:val="24"/>
          <w:highlight w:val="none"/>
        </w:rPr>
        <w:t>一、在开标会上，判定投标文件不予受理或为无效投标的情形（由招标人负责判定）：</w:t>
      </w:r>
      <w:r>
        <w:rPr>
          <w:rFonts w:ascii="宋体" w:hAnsi="宋体"/>
          <w:b/>
          <w:sz w:val="24"/>
          <w:highlight w:val="none"/>
        </w:rPr>
        <w:t xml:space="preserve"> </w:t>
      </w:r>
    </w:p>
    <w:p>
      <w:pPr>
        <w:spacing w:line="440" w:lineRule="exact"/>
        <w:ind w:right="-197" w:firstLine="480" w:firstLineChars="200"/>
        <w:rPr>
          <w:rFonts w:ascii="宋体"/>
          <w:sz w:val="24"/>
          <w:highlight w:val="none"/>
        </w:rPr>
      </w:pPr>
      <w:r>
        <w:rPr>
          <w:rFonts w:hint="eastAsia" w:ascii="宋体" w:hAnsi="宋体"/>
          <w:sz w:val="24"/>
          <w:highlight w:val="none"/>
        </w:rPr>
        <w:t>（一）判定投标文件不予受理的情形：</w:t>
      </w:r>
    </w:p>
    <w:p>
      <w:pPr>
        <w:tabs>
          <w:tab w:val="left" w:pos="1080"/>
        </w:tabs>
        <w:spacing w:line="440" w:lineRule="exact"/>
        <w:ind w:right="-197"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、投标文件在投标截止时间以后送达或者未送达指定地点；</w:t>
      </w:r>
    </w:p>
    <w:p>
      <w:pPr>
        <w:tabs>
          <w:tab w:val="left" w:pos="1080"/>
        </w:tabs>
        <w:spacing w:line="400" w:lineRule="exact"/>
        <w:ind w:right="-198"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、不同投标人的投标文件由同一投标人送达或者分发的；</w:t>
      </w:r>
    </w:p>
    <w:p>
      <w:pPr>
        <w:tabs>
          <w:tab w:val="left" w:pos="1080"/>
        </w:tabs>
        <w:spacing w:line="440" w:lineRule="exact"/>
        <w:ind w:right="-197"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、投标人无正当理由放弃中标或者在投标截止后撤销投标文件，造成招标人重新招标的，招标人可以禁止该投标人再次投标该项目。</w:t>
      </w:r>
    </w:p>
    <w:p>
      <w:pPr>
        <w:tabs>
          <w:tab w:val="left" w:pos="1080"/>
        </w:tabs>
        <w:spacing w:line="440" w:lineRule="exact"/>
        <w:ind w:right="-197"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、投标文件未按要求密封、标记的；</w:t>
      </w:r>
    </w:p>
    <w:p>
      <w:pPr>
        <w:pStyle w:val="9"/>
        <w:spacing w:line="440" w:lineRule="exact"/>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、不提交投标保证金的（采用银行转账的，以广州公共资源交易中心数字交易平台查询为准）；</w:t>
      </w:r>
    </w:p>
    <w:p>
      <w:pPr>
        <w:tabs>
          <w:tab w:val="left" w:pos="1080"/>
        </w:tabs>
        <w:spacing w:line="440" w:lineRule="exact"/>
        <w:ind w:right="-197" w:firstLine="480" w:firstLineChars="200"/>
        <w:rPr>
          <w:rFonts w:ascii="宋体" w:hAnsi="宋体" w:cs="Arial"/>
          <w:sz w:val="24"/>
          <w:highlight w:val="none"/>
        </w:rPr>
      </w:pPr>
      <w:r>
        <w:rPr>
          <w:rFonts w:ascii="宋体" w:hAnsi="宋体" w:cs="Arial"/>
          <w:sz w:val="24"/>
          <w:highlight w:val="none"/>
        </w:rPr>
        <w:t>6</w:t>
      </w:r>
      <w:r>
        <w:rPr>
          <w:rFonts w:hint="eastAsia" w:ascii="宋体" w:hAnsi="宋体" w:cs="Arial"/>
          <w:sz w:val="24"/>
          <w:highlight w:val="none"/>
        </w:rPr>
        <w:t>、投标人（含联合体各方）未被列入“江门市建筑业企业信用管理信息系统”C级或以上信用等级。</w:t>
      </w:r>
    </w:p>
    <w:p>
      <w:pPr>
        <w:spacing w:line="440" w:lineRule="exact"/>
        <w:ind w:right="-197" w:firstLine="480" w:firstLineChars="200"/>
        <w:rPr>
          <w:rFonts w:ascii="宋体"/>
          <w:sz w:val="24"/>
          <w:highlight w:val="none"/>
        </w:rPr>
      </w:pPr>
      <w:r>
        <w:rPr>
          <w:rFonts w:hint="eastAsia" w:ascii="宋体" w:hAnsi="宋体"/>
          <w:sz w:val="24"/>
          <w:highlight w:val="none"/>
        </w:rPr>
        <w:t>（二）宣布投标文件为无效投标的情形：</w:t>
      </w:r>
    </w:p>
    <w:p>
      <w:pPr>
        <w:tabs>
          <w:tab w:val="left" w:pos="1080"/>
        </w:tabs>
        <w:spacing w:line="440" w:lineRule="exact"/>
        <w:ind w:right="-198" w:firstLine="480" w:firstLineChars="200"/>
        <w:rPr>
          <w:rFonts w:ascii="宋体"/>
          <w:sz w:val="24"/>
          <w:highlight w:val="none"/>
        </w:rPr>
      </w:pPr>
      <w:r>
        <w:rPr>
          <w:rFonts w:hint="eastAsia" w:ascii="宋体" w:hAnsi="宋体"/>
          <w:sz w:val="24"/>
          <w:highlight w:val="none"/>
        </w:rPr>
        <w:t>1、投标文件的装订不符合要求；</w:t>
      </w:r>
    </w:p>
    <w:p>
      <w:pPr>
        <w:tabs>
          <w:tab w:val="left" w:pos="1080"/>
        </w:tabs>
        <w:spacing w:line="440" w:lineRule="exact"/>
        <w:ind w:right="-198" w:firstLine="480" w:firstLineChars="200"/>
        <w:rPr>
          <w:rFonts w:ascii="宋体"/>
          <w:sz w:val="24"/>
          <w:highlight w:val="none"/>
        </w:rPr>
      </w:pPr>
      <w:r>
        <w:rPr>
          <w:rFonts w:hint="eastAsia" w:ascii="宋体" w:hAnsi="宋体"/>
          <w:sz w:val="24"/>
          <w:highlight w:val="none"/>
        </w:rPr>
        <w:t>2、投标文件的份数不满足要求；</w:t>
      </w:r>
    </w:p>
    <w:p>
      <w:pPr>
        <w:tabs>
          <w:tab w:val="left" w:pos="1080"/>
        </w:tabs>
        <w:spacing w:line="440" w:lineRule="exact"/>
        <w:ind w:right="-198" w:firstLine="480" w:firstLineChars="200"/>
        <w:rPr>
          <w:rFonts w:ascii="宋体" w:hAnsi="宋体"/>
          <w:sz w:val="24"/>
          <w:highlight w:val="none"/>
        </w:rPr>
      </w:pPr>
      <w:r>
        <w:rPr>
          <w:rFonts w:hint="eastAsia" w:ascii="宋体" w:hAnsi="宋体"/>
          <w:sz w:val="24"/>
          <w:highlight w:val="none"/>
        </w:rPr>
        <w:t>3、缺投标函的，或未在投标函上填写投标报价或投标文件中投标函以汉字形式（大写金额）记载的投标报价高于</w:t>
      </w:r>
      <w:r>
        <w:rPr>
          <w:rFonts w:hint="eastAsia" w:ascii="宋体" w:hAnsi="宋体"/>
          <w:sz w:val="24"/>
          <w:highlight w:val="none"/>
          <w:lang w:eastAsia="zh-CN"/>
        </w:rPr>
        <w:t>最高限价</w:t>
      </w:r>
      <w:r>
        <w:rPr>
          <w:rFonts w:hint="eastAsia" w:ascii="宋体" w:hAnsi="宋体"/>
          <w:sz w:val="24"/>
          <w:highlight w:val="none"/>
        </w:rPr>
        <w:t>。</w:t>
      </w:r>
    </w:p>
    <w:p>
      <w:pPr>
        <w:spacing w:line="440" w:lineRule="exact"/>
        <w:ind w:right="-198" w:firstLine="482" w:firstLineChars="200"/>
        <w:rPr>
          <w:rFonts w:ascii="宋体"/>
          <w:b/>
          <w:sz w:val="24"/>
          <w:highlight w:val="none"/>
          <w:u w:val="single"/>
        </w:rPr>
      </w:pPr>
      <w:r>
        <w:rPr>
          <w:rFonts w:hint="eastAsia" w:ascii="宋体" w:hAnsi="宋体"/>
          <w:b/>
          <w:sz w:val="24"/>
          <w:highlight w:val="none"/>
        </w:rPr>
        <w:t>注：投标文件出现上述情形在开标会上被宣布为无效投标后，不再经评标委员会确认，亦不进入评标程序，该投标文件不予退回。</w:t>
      </w:r>
    </w:p>
    <w:p>
      <w:pPr>
        <w:tabs>
          <w:tab w:val="left" w:pos="1080"/>
        </w:tabs>
        <w:spacing w:line="440" w:lineRule="exact"/>
        <w:ind w:right="-198" w:firstLine="480" w:firstLineChars="200"/>
        <w:rPr>
          <w:rFonts w:ascii="宋体" w:hAnsi="宋体"/>
          <w:sz w:val="24"/>
          <w:highlight w:val="none"/>
        </w:rPr>
        <w:sectPr>
          <w:footerReference r:id="rId4" w:type="default"/>
          <w:pgSz w:w="11906" w:h="16838"/>
          <w:pgMar w:top="1418" w:right="1134" w:bottom="1418" w:left="1134" w:header="851" w:footer="992" w:gutter="0"/>
          <w:pgNumType w:start="1"/>
          <w:cols w:space="0" w:num="1"/>
          <w:docGrid w:type="lines" w:linePitch="312" w:charSpace="0"/>
        </w:sectPr>
      </w:pPr>
    </w:p>
    <w:p>
      <w:pPr>
        <w:spacing w:line="440" w:lineRule="exact"/>
        <w:ind w:right="-197" w:firstLine="482" w:firstLineChars="200"/>
        <w:rPr>
          <w:rFonts w:ascii="宋体" w:hAnsi="宋体"/>
          <w:b/>
          <w:sz w:val="24"/>
          <w:highlight w:val="none"/>
        </w:rPr>
      </w:pPr>
      <w:r>
        <w:rPr>
          <w:rFonts w:hint="eastAsia" w:ascii="宋体" w:hAnsi="宋体"/>
          <w:b/>
          <w:sz w:val="24"/>
          <w:highlight w:val="none"/>
        </w:rPr>
        <w:t>二、初步评审阶段和详细评审阶段有下列情形之一的，评标委员会应当否决其投标：</w:t>
      </w:r>
      <w:r>
        <w:rPr>
          <w:rFonts w:ascii="宋体" w:hAnsi="宋体"/>
          <w:b/>
          <w:sz w:val="24"/>
          <w:highlight w:val="none"/>
        </w:rPr>
        <w:t xml:space="preserve"> </w:t>
      </w:r>
    </w:p>
    <w:p>
      <w:pPr>
        <w:tabs>
          <w:tab w:val="left" w:pos="1080"/>
        </w:tabs>
        <w:spacing w:line="440" w:lineRule="exact"/>
        <w:ind w:right="-197"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、有第二章“投标人须知”第1.4.3项规定的任何一种情形的；</w:t>
      </w:r>
    </w:p>
    <w:p>
      <w:pPr>
        <w:tabs>
          <w:tab w:val="left" w:pos="1080"/>
        </w:tabs>
        <w:spacing w:line="400" w:lineRule="exact"/>
        <w:ind w:right="-197"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、投标人有以他人的名义投标、串通投标、弄虚作假或有其他违法行为的；包含但不仅限于以下行为：</w:t>
      </w:r>
    </w:p>
    <w:p>
      <w:pPr>
        <w:tabs>
          <w:tab w:val="left" w:pos="1080"/>
        </w:tabs>
        <w:spacing w:line="440" w:lineRule="exact"/>
        <w:ind w:right="-197" w:firstLine="480" w:firstLineChars="200"/>
        <w:rPr>
          <w:rFonts w:ascii="宋体"/>
          <w:b/>
          <w:sz w:val="24"/>
          <w:highlight w:val="none"/>
        </w:rPr>
      </w:pPr>
      <w:r>
        <w:rPr>
          <w:rFonts w:hint="eastAsia" w:ascii="宋体" w:hAnsi="宋体"/>
          <w:sz w:val="24"/>
          <w:highlight w:val="none"/>
        </w:rPr>
        <w:t>2.1不同投标人编制的投标文件的实质性内容存在两处以上细节错误一致；</w:t>
      </w:r>
    </w:p>
    <w:p>
      <w:pPr>
        <w:tabs>
          <w:tab w:val="left" w:pos="1080"/>
        </w:tabs>
        <w:spacing w:line="440" w:lineRule="exact"/>
        <w:ind w:right="-197" w:firstLine="480" w:firstLineChars="200"/>
        <w:rPr>
          <w:rFonts w:ascii="宋体" w:hAnsi="宋体"/>
          <w:sz w:val="24"/>
          <w:highlight w:val="none"/>
        </w:rPr>
      </w:pPr>
      <w:r>
        <w:rPr>
          <w:rFonts w:hint="eastAsia" w:ascii="宋体" w:hAnsi="宋体"/>
          <w:sz w:val="24"/>
          <w:highlight w:val="none"/>
        </w:rPr>
        <w:t>3、不按评标委员会要求澄清、说明或补正的；</w:t>
      </w:r>
    </w:p>
    <w:p>
      <w:pPr>
        <w:tabs>
          <w:tab w:val="left" w:pos="1080"/>
        </w:tabs>
        <w:spacing w:line="440" w:lineRule="exact"/>
        <w:ind w:right="-197"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、在形式评审、资格评审（适用于资格后审的）、响应性评审中，评标委员会认定投标人的投标文件不符合评标办法前附表中规定的任何一项评审标准的；</w:t>
      </w:r>
    </w:p>
    <w:p>
      <w:pPr>
        <w:tabs>
          <w:tab w:val="left" w:pos="1080"/>
        </w:tabs>
        <w:spacing w:line="440" w:lineRule="exact"/>
        <w:ind w:right="-197" w:firstLine="480" w:firstLineChars="200"/>
        <w:rPr>
          <w:rFonts w:ascii="宋体" w:hAnsi="宋体"/>
          <w:sz w:val="24"/>
          <w:highlight w:val="none"/>
        </w:rPr>
      </w:pPr>
      <w:r>
        <w:rPr>
          <w:rFonts w:hint="eastAsia" w:ascii="宋体" w:hAnsi="宋体"/>
          <w:sz w:val="24"/>
          <w:highlight w:val="none"/>
        </w:rPr>
        <w:t>5、未按要求在开标时提供有关资料的；</w:t>
      </w:r>
    </w:p>
    <w:p>
      <w:pPr>
        <w:tabs>
          <w:tab w:val="left" w:pos="1080"/>
        </w:tabs>
        <w:spacing w:line="440" w:lineRule="exact"/>
        <w:ind w:right="-197" w:firstLine="480" w:firstLineChars="200"/>
        <w:rPr>
          <w:rFonts w:ascii="宋体" w:hAnsi="宋体"/>
          <w:sz w:val="24"/>
          <w:highlight w:val="none"/>
        </w:rPr>
      </w:pPr>
      <w:r>
        <w:rPr>
          <w:rFonts w:hint="eastAsia" w:ascii="宋体" w:hAnsi="宋体"/>
          <w:sz w:val="24"/>
          <w:highlight w:val="none"/>
        </w:rPr>
        <w:t>6、评标委员会认定投标人以低于成本报价竞标的；</w:t>
      </w:r>
    </w:p>
    <w:p>
      <w:pPr>
        <w:tabs>
          <w:tab w:val="left" w:pos="1080"/>
        </w:tabs>
        <w:spacing w:line="440" w:lineRule="exact"/>
        <w:ind w:right="-197" w:firstLine="480" w:firstLineChars="200"/>
        <w:rPr>
          <w:rFonts w:ascii="宋体" w:hAnsi="宋体"/>
          <w:sz w:val="24"/>
          <w:highlight w:val="none"/>
        </w:rPr>
      </w:pPr>
      <w:r>
        <w:rPr>
          <w:rFonts w:hint="eastAsia" w:ascii="宋体" w:hAnsi="宋体"/>
          <w:sz w:val="24"/>
          <w:highlight w:val="none"/>
        </w:rPr>
        <w:t>7、投标报价高于招标文件设定的</w:t>
      </w:r>
      <w:r>
        <w:rPr>
          <w:rFonts w:hint="eastAsia" w:ascii="宋体" w:hAnsi="宋体"/>
          <w:sz w:val="24"/>
          <w:highlight w:val="none"/>
          <w:lang w:eastAsia="zh-CN"/>
        </w:rPr>
        <w:t>最高限价</w:t>
      </w:r>
      <w:r>
        <w:rPr>
          <w:rFonts w:hint="eastAsia" w:ascii="宋体" w:hAnsi="宋体"/>
          <w:sz w:val="24"/>
          <w:highlight w:val="none"/>
        </w:rPr>
        <w:t>的；</w:t>
      </w:r>
    </w:p>
    <w:p>
      <w:pPr>
        <w:tabs>
          <w:tab w:val="left" w:pos="1080"/>
        </w:tabs>
        <w:spacing w:line="440" w:lineRule="exact"/>
        <w:ind w:right="-197" w:firstLine="480" w:firstLineChars="200"/>
        <w:rPr>
          <w:rFonts w:ascii="宋体" w:hAnsi="宋体"/>
          <w:sz w:val="24"/>
          <w:highlight w:val="none"/>
        </w:rPr>
      </w:pPr>
      <w:r>
        <w:rPr>
          <w:rFonts w:hint="eastAsia" w:ascii="宋体" w:hAnsi="宋体"/>
          <w:sz w:val="24"/>
          <w:highlight w:val="none"/>
        </w:rPr>
        <w:t>8、投标文件中拟投入本项目的工程总承包项目经理、施工负责人信息核查不符合要求的；</w:t>
      </w:r>
    </w:p>
    <w:p>
      <w:pPr>
        <w:tabs>
          <w:tab w:val="left" w:pos="1080"/>
        </w:tabs>
        <w:spacing w:line="440" w:lineRule="exact"/>
        <w:ind w:right="-197" w:firstLine="480" w:firstLineChars="200"/>
        <w:rPr>
          <w:rFonts w:ascii="宋体" w:hAnsi="宋体"/>
          <w:sz w:val="24"/>
          <w:highlight w:val="none"/>
        </w:rPr>
      </w:pPr>
      <w:r>
        <w:rPr>
          <w:rFonts w:ascii="宋体" w:hAnsi="宋体"/>
          <w:sz w:val="24"/>
          <w:highlight w:val="none"/>
        </w:rPr>
        <w:t>9</w:t>
      </w:r>
      <w:r>
        <w:rPr>
          <w:rFonts w:hint="eastAsia" w:ascii="宋体" w:hAnsi="宋体"/>
          <w:sz w:val="24"/>
          <w:highlight w:val="none"/>
        </w:rPr>
        <w:t xml:space="preserve">、投标文件未加盖单位公章、未有法定代表人或者被授权人签名（或签章），未按招标文件要求进行签名或签章；  </w:t>
      </w:r>
    </w:p>
    <w:p>
      <w:pPr>
        <w:tabs>
          <w:tab w:val="left" w:pos="1080"/>
        </w:tabs>
        <w:spacing w:line="440" w:lineRule="exact"/>
        <w:ind w:right="-197"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、投标人没有对招标文件的要求和条件作出相应的说明；</w:t>
      </w:r>
    </w:p>
    <w:p>
      <w:pPr>
        <w:tabs>
          <w:tab w:val="left" w:pos="1080"/>
        </w:tabs>
        <w:spacing w:line="440" w:lineRule="exact"/>
        <w:ind w:right="-197" w:firstLine="480" w:firstLineChars="200"/>
        <w:rPr>
          <w:rFonts w:ascii="宋体"/>
          <w:sz w:val="24"/>
          <w:highlight w:val="none"/>
        </w:rPr>
      </w:pPr>
      <w:r>
        <w:rPr>
          <w:rFonts w:hint="eastAsia" w:ascii="宋体" w:hAnsi="宋体"/>
          <w:sz w:val="24"/>
          <w:highlight w:val="none"/>
        </w:rPr>
        <w:t>1</w:t>
      </w:r>
      <w:r>
        <w:rPr>
          <w:rFonts w:ascii="宋体" w:hAnsi="宋体"/>
          <w:sz w:val="24"/>
          <w:highlight w:val="none"/>
        </w:rPr>
        <w:t>1</w:t>
      </w:r>
      <w:r>
        <w:rPr>
          <w:rFonts w:hint="eastAsia" w:ascii="宋体" w:hAnsi="宋体"/>
          <w:sz w:val="24"/>
          <w:highlight w:val="none"/>
        </w:rPr>
        <w:t>、评标委员会要求澄清、说明、补正，投标人拒不进行澄清、说明、补正的；或评标委员会根据评标办法对投标文件的计算错误进行修正后，投标人不接受修正后的投标报价的；</w:t>
      </w:r>
    </w:p>
    <w:p>
      <w:pPr>
        <w:tabs>
          <w:tab w:val="left" w:pos="1080"/>
        </w:tabs>
        <w:spacing w:line="440" w:lineRule="exact"/>
        <w:ind w:right="-197" w:firstLine="480" w:firstLineChars="200"/>
        <w:rPr>
          <w:rFonts w:ascii="宋体"/>
          <w:sz w:val="24"/>
          <w:highlight w:val="none"/>
        </w:rPr>
      </w:pPr>
      <w:r>
        <w:rPr>
          <w:rFonts w:hint="eastAsia" w:ascii="宋体" w:hAnsi="宋体"/>
          <w:sz w:val="24"/>
          <w:highlight w:val="none"/>
        </w:rPr>
        <w:t>1</w:t>
      </w:r>
      <w:r>
        <w:rPr>
          <w:rFonts w:ascii="宋体" w:hAnsi="宋体"/>
          <w:sz w:val="24"/>
          <w:highlight w:val="none"/>
        </w:rPr>
        <w:t>2</w:t>
      </w:r>
      <w:r>
        <w:rPr>
          <w:rFonts w:hint="eastAsia" w:ascii="宋体" w:hAnsi="宋体"/>
          <w:sz w:val="24"/>
          <w:highlight w:val="none"/>
        </w:rPr>
        <w:t>、投标人递交两份或多份内容不同的投标文件的（投标文件另有规定除外）；</w:t>
      </w:r>
    </w:p>
    <w:p>
      <w:pPr>
        <w:tabs>
          <w:tab w:val="left" w:pos="1080"/>
        </w:tabs>
        <w:spacing w:line="440" w:lineRule="exact"/>
        <w:ind w:right="-197"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3</w:t>
      </w:r>
      <w:r>
        <w:rPr>
          <w:rFonts w:hint="eastAsia" w:ascii="宋体" w:hAnsi="宋体"/>
          <w:sz w:val="24"/>
          <w:highlight w:val="none"/>
        </w:rPr>
        <w:t>、</w:t>
      </w:r>
      <w:r>
        <w:rPr>
          <w:rFonts w:hint="eastAsia"/>
          <w:bCs/>
          <w:sz w:val="24"/>
          <w:highlight w:val="none"/>
        </w:rPr>
        <w:t>投标人</w:t>
      </w:r>
      <w:r>
        <w:rPr>
          <w:rFonts w:hint="eastAsia" w:ascii="宋体" w:hAnsi="宋体"/>
          <w:sz w:val="24"/>
          <w:highlight w:val="none"/>
        </w:rPr>
        <w:t>未在投标文件中按招标文件要求作出</w:t>
      </w:r>
      <w:r>
        <w:rPr>
          <w:rFonts w:hint="eastAsia"/>
          <w:bCs/>
          <w:sz w:val="24"/>
          <w:highlight w:val="none"/>
        </w:rPr>
        <w:t>诚信承诺或未在诚信承诺书</w:t>
      </w:r>
      <w:r>
        <w:rPr>
          <w:rFonts w:hint="eastAsia" w:ascii="宋体" w:hAnsi="宋体"/>
          <w:sz w:val="24"/>
          <w:highlight w:val="none"/>
        </w:rPr>
        <w:t>加盖单位公章的；</w:t>
      </w:r>
    </w:p>
    <w:p>
      <w:pPr>
        <w:tabs>
          <w:tab w:val="left" w:pos="1080"/>
        </w:tabs>
        <w:spacing w:line="400" w:lineRule="exact"/>
        <w:ind w:right="-197"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4</w:t>
      </w:r>
      <w:r>
        <w:rPr>
          <w:rFonts w:hint="eastAsia" w:ascii="宋体" w:hAnsi="宋体"/>
          <w:sz w:val="24"/>
          <w:highlight w:val="none"/>
        </w:rPr>
        <w:t>、有明显抄袭行为；</w:t>
      </w:r>
    </w:p>
    <w:p>
      <w:pPr>
        <w:tabs>
          <w:tab w:val="left" w:pos="1080"/>
        </w:tabs>
        <w:spacing w:line="400" w:lineRule="exact"/>
        <w:ind w:right="-197"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5</w:t>
      </w:r>
      <w:r>
        <w:rPr>
          <w:rFonts w:hint="eastAsia" w:ascii="宋体" w:hAnsi="宋体"/>
          <w:sz w:val="24"/>
          <w:highlight w:val="none"/>
        </w:rPr>
        <w:t>、侵犯他人著作权和特许权；</w:t>
      </w:r>
    </w:p>
    <w:p>
      <w:pPr>
        <w:tabs>
          <w:tab w:val="left" w:pos="1080"/>
        </w:tabs>
        <w:spacing w:line="400" w:lineRule="exact"/>
        <w:ind w:right="-197"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6</w:t>
      </w:r>
      <w:r>
        <w:rPr>
          <w:rFonts w:hint="eastAsia" w:ascii="宋体" w:hAnsi="宋体"/>
          <w:sz w:val="24"/>
          <w:highlight w:val="none"/>
        </w:rPr>
        <w:t>、投标人的投标报价不按招标人给定的报价进行报价的</w:t>
      </w:r>
      <w:r>
        <w:rPr>
          <w:rFonts w:hint="eastAsia" w:ascii="宋体" w:hAnsi="宋体" w:cs="宋体"/>
          <w:sz w:val="24"/>
          <w:highlight w:val="none"/>
        </w:rPr>
        <w:t>或未填写的</w:t>
      </w:r>
      <w:r>
        <w:rPr>
          <w:rFonts w:hint="eastAsia" w:ascii="宋体" w:hAnsi="宋体"/>
          <w:sz w:val="24"/>
          <w:highlight w:val="none"/>
        </w:rPr>
        <w:t>；</w:t>
      </w:r>
    </w:p>
    <w:p>
      <w:pPr>
        <w:tabs>
          <w:tab w:val="left" w:pos="1080"/>
        </w:tabs>
        <w:spacing w:line="400" w:lineRule="exact"/>
        <w:ind w:right="-197"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7</w:t>
      </w:r>
      <w:r>
        <w:rPr>
          <w:rFonts w:hint="eastAsia" w:ascii="宋体" w:hAnsi="宋体"/>
          <w:sz w:val="24"/>
          <w:highlight w:val="none"/>
        </w:rPr>
        <w:t>、以联合体形式投标的，未向招标人提交共同投标协议；</w:t>
      </w:r>
    </w:p>
    <w:p>
      <w:pPr>
        <w:tabs>
          <w:tab w:val="left" w:pos="1080"/>
        </w:tabs>
        <w:spacing w:line="400" w:lineRule="exact"/>
        <w:ind w:right="-197"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8</w:t>
      </w:r>
      <w:r>
        <w:rPr>
          <w:rFonts w:hint="eastAsia" w:ascii="宋体" w:hAnsi="宋体"/>
          <w:sz w:val="24"/>
          <w:highlight w:val="none"/>
        </w:rPr>
        <w:t>、</w:t>
      </w:r>
      <w:r>
        <w:rPr>
          <w:rFonts w:hint="eastAsia" w:ascii="宋体" w:hAnsi="宋体" w:cs="宋体"/>
          <w:sz w:val="24"/>
          <w:highlight w:val="none"/>
        </w:rPr>
        <w:t>未按招标文件要求的格式填写；</w:t>
      </w:r>
    </w:p>
    <w:p>
      <w:pPr>
        <w:tabs>
          <w:tab w:val="left" w:pos="1080"/>
        </w:tabs>
        <w:spacing w:line="400" w:lineRule="exact"/>
        <w:ind w:right="-197" w:firstLine="480" w:firstLineChars="200"/>
        <w:rPr>
          <w:rFonts w:ascii="宋体" w:hAnsi="宋体"/>
          <w:sz w:val="24"/>
          <w:highlight w:val="none"/>
        </w:rPr>
      </w:pPr>
      <w:r>
        <w:rPr>
          <w:rFonts w:ascii="宋体" w:hAnsi="宋体"/>
          <w:sz w:val="24"/>
          <w:highlight w:val="none"/>
        </w:rPr>
        <w:t>19</w:t>
      </w:r>
      <w:r>
        <w:rPr>
          <w:rFonts w:hint="eastAsia" w:ascii="宋体" w:hAnsi="宋体"/>
          <w:sz w:val="24"/>
          <w:highlight w:val="none"/>
        </w:rPr>
        <w:t>、没有按招标文件要求进行承诺的；</w:t>
      </w:r>
    </w:p>
    <w:p>
      <w:pPr>
        <w:tabs>
          <w:tab w:val="left" w:pos="1080"/>
        </w:tabs>
        <w:spacing w:line="440" w:lineRule="exact"/>
        <w:ind w:right="-197" w:firstLine="480" w:firstLineChars="200"/>
        <w:rPr>
          <w:sz w:val="24"/>
          <w:highlight w:val="none"/>
        </w:rPr>
      </w:pPr>
      <w:r>
        <w:rPr>
          <w:rFonts w:hint="eastAsia" w:ascii="宋体" w:hAnsi="宋体"/>
          <w:sz w:val="24"/>
          <w:highlight w:val="none"/>
        </w:rPr>
        <w:t>2</w:t>
      </w:r>
      <w:r>
        <w:rPr>
          <w:rFonts w:ascii="宋体" w:hAnsi="宋体"/>
          <w:sz w:val="24"/>
          <w:highlight w:val="none"/>
        </w:rPr>
        <w:t>0</w:t>
      </w:r>
      <w:r>
        <w:rPr>
          <w:rFonts w:hint="eastAsia"/>
          <w:sz w:val="24"/>
          <w:highlight w:val="none"/>
        </w:rPr>
        <w:t>、法律、法规、规章规定的其他情形；</w:t>
      </w:r>
    </w:p>
    <w:p>
      <w:pPr>
        <w:tabs>
          <w:tab w:val="left" w:pos="1080"/>
        </w:tabs>
        <w:spacing w:line="440" w:lineRule="exact"/>
        <w:ind w:right="-197" w:firstLine="480" w:firstLineChars="200"/>
        <w:rPr>
          <w:sz w:val="24"/>
          <w:highlight w:val="none"/>
        </w:rPr>
        <w:sectPr>
          <w:footerReference r:id="rId5" w:type="default"/>
          <w:pgSz w:w="11906" w:h="16838"/>
          <w:pgMar w:top="1418" w:right="1134" w:bottom="1418" w:left="1134" w:header="851" w:footer="992" w:gutter="0"/>
          <w:cols w:space="0" w:num="1"/>
          <w:docGrid w:type="lines" w:linePitch="312" w:charSpace="0"/>
        </w:sect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w:t>
      </w:r>
      <w:r>
        <w:rPr>
          <w:rFonts w:hint="eastAsia"/>
          <w:sz w:val="24"/>
          <w:highlight w:val="none"/>
        </w:rPr>
        <w:t>省外建设工程企业未在投标文件中提供进粤企业信息登记（网上公开信息打印件）。</w:t>
      </w:r>
    </w:p>
    <w:p>
      <w:pPr>
        <w:tabs>
          <w:tab w:val="left" w:pos="1080"/>
        </w:tabs>
        <w:spacing w:line="440" w:lineRule="exact"/>
        <w:ind w:right="-197" w:firstLine="480" w:firstLineChars="200"/>
        <w:rPr>
          <w:sz w:val="24"/>
          <w:highlight w:val="none"/>
        </w:rPr>
      </w:pPr>
    </w:p>
    <w:p>
      <w:pPr>
        <w:pStyle w:val="2"/>
        <w:spacing w:line="400" w:lineRule="exact"/>
        <w:jc w:val="center"/>
        <w:rPr>
          <w:highlight w:val="none"/>
        </w:rPr>
      </w:pPr>
      <w:bookmarkStart w:id="3" w:name="_Toc5218"/>
      <w:bookmarkStart w:id="4" w:name="_Toc247527532"/>
      <w:bookmarkStart w:id="5" w:name="_Toc144974478"/>
      <w:bookmarkStart w:id="6" w:name="_Toc300834926"/>
      <w:bookmarkStart w:id="7" w:name="_Toc2299"/>
      <w:bookmarkStart w:id="8" w:name="_Toc487562604"/>
      <w:bookmarkStart w:id="9" w:name="_Toc13726"/>
      <w:bookmarkStart w:id="10" w:name="_Toc8655"/>
      <w:bookmarkStart w:id="11" w:name="_Toc10100"/>
      <w:bookmarkStart w:id="12" w:name="_Toc152042286"/>
      <w:r>
        <w:rPr>
          <w:rFonts w:hint="eastAsia"/>
          <w:highlight w:val="none"/>
        </w:rPr>
        <w:t>目     录</w:t>
      </w:r>
      <w:bookmarkEnd w:id="3"/>
      <w:bookmarkEnd w:id="4"/>
      <w:bookmarkEnd w:id="5"/>
      <w:bookmarkEnd w:id="6"/>
      <w:bookmarkEnd w:id="7"/>
      <w:bookmarkEnd w:id="8"/>
      <w:bookmarkEnd w:id="9"/>
      <w:bookmarkEnd w:id="10"/>
      <w:bookmarkEnd w:id="11"/>
      <w:bookmarkEnd w:id="12"/>
    </w:p>
    <w:p>
      <w:pPr>
        <w:pStyle w:val="15"/>
        <w:tabs>
          <w:tab w:val="right" w:leader="dot" w:pos="9638"/>
        </w:tabs>
        <w:rPr>
          <w:highlight w:val="none"/>
        </w:rPr>
      </w:pPr>
      <w:bookmarkStart w:id="13" w:name="_Toc247513932"/>
      <w:bookmarkStart w:id="14" w:name="_Toc247527533"/>
      <w:bookmarkStart w:id="15" w:name="_Toc144974479"/>
      <w:bookmarkStart w:id="16" w:name="_Toc152045511"/>
      <w:bookmarkStart w:id="17" w:name="_Toc152042287"/>
      <w:r>
        <w:rPr>
          <w:caps w:val="0"/>
          <w:sz w:val="24"/>
          <w:szCs w:val="24"/>
          <w:highlight w:val="none"/>
        </w:rPr>
        <w:fldChar w:fldCharType="begin"/>
      </w:r>
      <w:r>
        <w:rPr>
          <w:caps w:val="0"/>
          <w:sz w:val="24"/>
          <w:szCs w:val="24"/>
          <w:highlight w:val="none"/>
        </w:rPr>
        <w:instrText xml:space="preserve"> TOC \o "1-3" \h \z \u </w:instrText>
      </w:r>
      <w:r>
        <w:rPr>
          <w:caps w:val="0"/>
          <w:sz w:val="24"/>
          <w:szCs w:val="24"/>
          <w:highlight w:val="none"/>
        </w:rPr>
        <w:fldChar w:fldCharType="separate"/>
      </w:r>
      <w:r>
        <w:rPr>
          <w:highlight w:val="none"/>
        </w:rPr>
        <w:fldChar w:fldCharType="begin"/>
      </w:r>
      <w:r>
        <w:rPr>
          <w:highlight w:val="none"/>
        </w:rPr>
        <w:instrText xml:space="preserve"> HYPERLINK \l "_Toc13948" </w:instrText>
      </w:r>
      <w:r>
        <w:rPr>
          <w:highlight w:val="none"/>
        </w:rPr>
        <w:fldChar w:fldCharType="separate"/>
      </w:r>
      <w:r>
        <w:rPr>
          <w:rFonts w:hint="eastAsia"/>
          <w:highlight w:val="none"/>
        </w:rPr>
        <w:t>投标文件否决性条款摘要</w:t>
      </w:r>
      <w:r>
        <w:rPr>
          <w:highlight w:val="none"/>
        </w:rPr>
        <w:tab/>
      </w:r>
      <w:r>
        <w:rPr>
          <w:highlight w:val="none"/>
        </w:rPr>
        <w:fldChar w:fldCharType="begin"/>
      </w:r>
      <w:r>
        <w:rPr>
          <w:highlight w:val="none"/>
        </w:rPr>
        <w:instrText xml:space="preserve"> PAGEREF _Toc13948 \h </w:instrText>
      </w:r>
      <w:r>
        <w:rPr>
          <w:highlight w:val="none"/>
        </w:rPr>
        <w:fldChar w:fldCharType="separate"/>
      </w:r>
      <w:r>
        <w:rPr>
          <w:highlight w:val="none"/>
        </w:rPr>
        <w:t>1</w:t>
      </w:r>
      <w:r>
        <w:rPr>
          <w:highlight w:val="none"/>
        </w:rPr>
        <w:fldChar w:fldCharType="end"/>
      </w:r>
      <w:r>
        <w:rPr>
          <w:highlight w:val="none"/>
        </w:rPr>
        <w:fldChar w:fldCharType="end"/>
      </w:r>
    </w:p>
    <w:p>
      <w:pPr>
        <w:pStyle w:val="15"/>
        <w:tabs>
          <w:tab w:val="right" w:leader="dot" w:pos="9638"/>
        </w:tabs>
        <w:rPr>
          <w:highlight w:val="none"/>
        </w:rPr>
      </w:pPr>
      <w:r>
        <w:rPr>
          <w:highlight w:val="none"/>
        </w:rPr>
        <w:fldChar w:fldCharType="begin"/>
      </w:r>
      <w:r>
        <w:rPr>
          <w:highlight w:val="none"/>
        </w:rPr>
        <w:instrText xml:space="preserve"> HYPERLINK \l "_Toc8655" </w:instrText>
      </w:r>
      <w:r>
        <w:rPr>
          <w:highlight w:val="none"/>
        </w:rPr>
        <w:fldChar w:fldCharType="separate"/>
      </w:r>
      <w:r>
        <w:rPr>
          <w:rFonts w:hint="eastAsia"/>
          <w:highlight w:val="none"/>
        </w:rPr>
        <w:t>目     录</w:t>
      </w:r>
      <w:r>
        <w:rPr>
          <w:highlight w:val="none"/>
        </w:rPr>
        <w:tab/>
      </w:r>
      <w:r>
        <w:rPr>
          <w:highlight w:val="none"/>
        </w:rPr>
        <w:fldChar w:fldCharType="begin"/>
      </w:r>
      <w:r>
        <w:rPr>
          <w:highlight w:val="none"/>
        </w:rPr>
        <w:instrText xml:space="preserve"> PAGEREF _Toc8655 \h </w:instrText>
      </w:r>
      <w:r>
        <w:rPr>
          <w:highlight w:val="none"/>
        </w:rPr>
        <w:fldChar w:fldCharType="separate"/>
      </w:r>
      <w:r>
        <w:rPr>
          <w:highlight w:val="none"/>
        </w:rPr>
        <w:t>1</w:t>
      </w:r>
      <w:r>
        <w:rPr>
          <w:highlight w:val="none"/>
        </w:rPr>
        <w:fldChar w:fldCharType="end"/>
      </w:r>
      <w:r>
        <w:rPr>
          <w:highlight w:val="none"/>
        </w:rPr>
        <w:fldChar w:fldCharType="end"/>
      </w:r>
    </w:p>
    <w:p>
      <w:pPr>
        <w:pStyle w:val="15"/>
        <w:tabs>
          <w:tab w:val="right" w:leader="dot" w:pos="9638"/>
        </w:tabs>
        <w:rPr>
          <w:highlight w:val="none"/>
        </w:rPr>
      </w:pPr>
      <w:r>
        <w:rPr>
          <w:highlight w:val="none"/>
        </w:rPr>
        <w:fldChar w:fldCharType="begin"/>
      </w:r>
      <w:r>
        <w:rPr>
          <w:highlight w:val="none"/>
        </w:rPr>
        <w:instrText xml:space="preserve"> HYPERLINK \l "_Toc8994" </w:instrText>
      </w:r>
      <w:r>
        <w:rPr>
          <w:highlight w:val="none"/>
        </w:rPr>
        <w:fldChar w:fldCharType="separate"/>
      </w:r>
      <w:r>
        <w:rPr>
          <w:rFonts w:hint="eastAsia"/>
          <w:kern w:val="44"/>
          <w:szCs w:val="44"/>
          <w:highlight w:val="none"/>
        </w:rPr>
        <w:t>第一章 招标公告</w:t>
      </w:r>
      <w:r>
        <w:rPr>
          <w:highlight w:val="none"/>
        </w:rPr>
        <w:tab/>
      </w:r>
      <w:r>
        <w:rPr>
          <w:highlight w:val="none"/>
        </w:rPr>
        <w:fldChar w:fldCharType="begin"/>
      </w:r>
      <w:r>
        <w:rPr>
          <w:highlight w:val="none"/>
        </w:rPr>
        <w:instrText xml:space="preserve"> PAGEREF _Toc8994 \h </w:instrText>
      </w:r>
      <w:r>
        <w:rPr>
          <w:highlight w:val="none"/>
        </w:rPr>
        <w:fldChar w:fldCharType="separate"/>
      </w:r>
      <w:r>
        <w:rPr>
          <w:highlight w:val="none"/>
        </w:rPr>
        <w:t>2</w:t>
      </w:r>
      <w:r>
        <w:rPr>
          <w:highlight w:val="none"/>
        </w:rPr>
        <w:fldChar w:fldCharType="end"/>
      </w:r>
      <w:r>
        <w:rPr>
          <w:highlight w:val="none"/>
        </w:rPr>
        <w:fldChar w:fldCharType="end"/>
      </w:r>
    </w:p>
    <w:p>
      <w:pPr>
        <w:pStyle w:val="15"/>
        <w:tabs>
          <w:tab w:val="right" w:leader="dot" w:pos="9638"/>
        </w:tabs>
        <w:rPr>
          <w:highlight w:val="none"/>
        </w:rPr>
      </w:pPr>
      <w:r>
        <w:rPr>
          <w:highlight w:val="none"/>
        </w:rPr>
        <w:fldChar w:fldCharType="begin"/>
      </w:r>
      <w:r>
        <w:rPr>
          <w:highlight w:val="none"/>
        </w:rPr>
        <w:instrText xml:space="preserve"> HYPERLINK \l "_Toc2429" </w:instrText>
      </w:r>
      <w:r>
        <w:rPr>
          <w:highlight w:val="none"/>
        </w:rPr>
        <w:fldChar w:fldCharType="separate"/>
      </w:r>
      <w:r>
        <w:rPr>
          <w:rFonts w:hint="eastAsia"/>
          <w:kern w:val="44"/>
          <w:szCs w:val="44"/>
          <w:highlight w:val="none"/>
        </w:rPr>
        <w:t>第二章 投标人须知</w:t>
      </w:r>
      <w:r>
        <w:rPr>
          <w:highlight w:val="none"/>
        </w:rPr>
        <w:tab/>
      </w:r>
      <w:r>
        <w:rPr>
          <w:highlight w:val="none"/>
        </w:rPr>
        <w:fldChar w:fldCharType="begin"/>
      </w:r>
      <w:r>
        <w:rPr>
          <w:highlight w:val="none"/>
        </w:rPr>
        <w:instrText xml:space="preserve"> PAGEREF _Toc2429 \h </w:instrText>
      </w:r>
      <w:r>
        <w:rPr>
          <w:highlight w:val="none"/>
        </w:rPr>
        <w:fldChar w:fldCharType="separate"/>
      </w:r>
      <w:r>
        <w:rPr>
          <w:highlight w:val="none"/>
        </w:rPr>
        <w:t>6</w:t>
      </w:r>
      <w:r>
        <w:rPr>
          <w:highlight w:val="none"/>
        </w:rPr>
        <w:fldChar w:fldCharType="end"/>
      </w:r>
      <w:r>
        <w:rPr>
          <w:highlight w:val="none"/>
        </w:rPr>
        <w:fldChar w:fldCharType="end"/>
      </w:r>
    </w:p>
    <w:p>
      <w:pPr>
        <w:pStyle w:val="15"/>
        <w:tabs>
          <w:tab w:val="right" w:leader="dot" w:pos="9638"/>
        </w:tabs>
        <w:rPr>
          <w:highlight w:val="none"/>
        </w:rPr>
      </w:pPr>
      <w:r>
        <w:rPr>
          <w:highlight w:val="none"/>
        </w:rPr>
        <w:fldChar w:fldCharType="begin"/>
      </w:r>
      <w:r>
        <w:rPr>
          <w:highlight w:val="none"/>
        </w:rPr>
        <w:instrText xml:space="preserve"> HYPERLINK \l "_Toc8845" </w:instrText>
      </w:r>
      <w:r>
        <w:rPr>
          <w:highlight w:val="none"/>
        </w:rPr>
        <w:fldChar w:fldCharType="separate"/>
      </w:r>
      <w:r>
        <w:rPr>
          <w:rFonts w:hint="eastAsia"/>
          <w:highlight w:val="none"/>
        </w:rPr>
        <w:t>第三章 评标办</w:t>
      </w:r>
      <w:bookmarkStart w:id="18" w:name="_Hlt149055863"/>
      <w:bookmarkStart w:id="19" w:name="_Hlt149033086"/>
      <w:bookmarkStart w:id="20" w:name="_Hlt149057634"/>
      <w:bookmarkStart w:id="21" w:name="_Hlt149033087"/>
      <w:r>
        <w:rPr>
          <w:rFonts w:hint="eastAsia"/>
          <w:highlight w:val="none"/>
        </w:rPr>
        <w:t>法</w:t>
      </w:r>
      <w:bookmarkEnd w:id="18"/>
      <w:bookmarkEnd w:id="19"/>
      <w:bookmarkEnd w:id="20"/>
      <w:bookmarkEnd w:id="21"/>
      <w:r>
        <w:rPr>
          <w:rFonts w:hint="eastAsia"/>
          <w:highlight w:val="none"/>
        </w:rPr>
        <w:t>（综合评估法）</w:t>
      </w:r>
      <w:r>
        <w:rPr>
          <w:highlight w:val="none"/>
        </w:rPr>
        <w:tab/>
      </w:r>
      <w:r>
        <w:rPr>
          <w:highlight w:val="none"/>
        </w:rPr>
        <w:fldChar w:fldCharType="begin"/>
      </w:r>
      <w:r>
        <w:rPr>
          <w:highlight w:val="none"/>
        </w:rPr>
        <w:instrText xml:space="preserve"> PAGEREF _Toc8845 \h </w:instrText>
      </w:r>
      <w:r>
        <w:rPr>
          <w:highlight w:val="none"/>
        </w:rPr>
        <w:fldChar w:fldCharType="separate"/>
      </w:r>
      <w:r>
        <w:rPr>
          <w:highlight w:val="none"/>
        </w:rPr>
        <w:t>33</w:t>
      </w:r>
      <w:r>
        <w:rPr>
          <w:highlight w:val="none"/>
        </w:rPr>
        <w:fldChar w:fldCharType="end"/>
      </w:r>
      <w:r>
        <w:rPr>
          <w:highlight w:val="none"/>
        </w:rPr>
        <w:fldChar w:fldCharType="end"/>
      </w:r>
    </w:p>
    <w:p>
      <w:pPr>
        <w:pStyle w:val="15"/>
        <w:tabs>
          <w:tab w:val="right" w:leader="dot" w:pos="9638"/>
        </w:tabs>
        <w:rPr>
          <w:highlight w:val="none"/>
        </w:rPr>
      </w:pPr>
      <w:r>
        <w:rPr>
          <w:highlight w:val="none"/>
        </w:rPr>
        <w:fldChar w:fldCharType="begin"/>
      </w:r>
      <w:r>
        <w:rPr>
          <w:highlight w:val="none"/>
        </w:rPr>
        <w:instrText xml:space="preserve"> HYPERLINK \l "_Toc9262" </w:instrText>
      </w:r>
      <w:r>
        <w:rPr>
          <w:highlight w:val="none"/>
        </w:rPr>
        <w:fldChar w:fldCharType="separate"/>
      </w:r>
      <w:r>
        <w:rPr>
          <w:highlight w:val="none"/>
        </w:rPr>
        <w:t>第四章 合同条款及格式</w:t>
      </w:r>
      <w:r>
        <w:rPr>
          <w:highlight w:val="none"/>
        </w:rPr>
        <w:tab/>
      </w:r>
      <w:r>
        <w:rPr>
          <w:highlight w:val="none"/>
        </w:rPr>
        <w:fldChar w:fldCharType="begin"/>
      </w:r>
      <w:r>
        <w:rPr>
          <w:highlight w:val="none"/>
        </w:rPr>
        <w:instrText xml:space="preserve"> PAGEREF _Toc9262 \h </w:instrText>
      </w:r>
      <w:r>
        <w:rPr>
          <w:highlight w:val="none"/>
        </w:rPr>
        <w:fldChar w:fldCharType="separate"/>
      </w:r>
      <w:r>
        <w:rPr>
          <w:highlight w:val="none"/>
        </w:rPr>
        <w:t>43</w:t>
      </w:r>
      <w:r>
        <w:rPr>
          <w:highlight w:val="none"/>
        </w:rPr>
        <w:fldChar w:fldCharType="end"/>
      </w:r>
      <w:r>
        <w:rPr>
          <w:highlight w:val="none"/>
        </w:rPr>
        <w:fldChar w:fldCharType="end"/>
      </w:r>
    </w:p>
    <w:p>
      <w:pPr>
        <w:pStyle w:val="15"/>
        <w:tabs>
          <w:tab w:val="right" w:leader="dot" w:pos="9638"/>
        </w:tabs>
        <w:rPr>
          <w:highlight w:val="none"/>
        </w:rPr>
      </w:pPr>
      <w:r>
        <w:rPr>
          <w:highlight w:val="none"/>
        </w:rPr>
        <w:fldChar w:fldCharType="begin"/>
      </w:r>
      <w:r>
        <w:rPr>
          <w:highlight w:val="none"/>
        </w:rPr>
        <w:instrText xml:space="preserve"> HYPERLINK \l "_Toc7693" </w:instrText>
      </w:r>
      <w:r>
        <w:rPr>
          <w:highlight w:val="none"/>
        </w:rPr>
        <w:fldChar w:fldCharType="separate"/>
      </w:r>
      <w:r>
        <w:rPr>
          <w:rFonts w:hint="eastAsia"/>
          <w:highlight w:val="none"/>
        </w:rPr>
        <w:t>第五章 招标人</w:t>
      </w:r>
      <w:bookmarkStart w:id="22" w:name="_Hlt149039271"/>
      <w:r>
        <w:rPr>
          <w:rFonts w:hint="eastAsia"/>
          <w:highlight w:val="none"/>
        </w:rPr>
        <w:t>提</w:t>
      </w:r>
      <w:bookmarkEnd w:id="22"/>
      <w:bookmarkStart w:id="23" w:name="_Hlt149038883"/>
      <w:r>
        <w:rPr>
          <w:rFonts w:hint="eastAsia"/>
          <w:highlight w:val="none"/>
        </w:rPr>
        <w:t>供</w:t>
      </w:r>
      <w:bookmarkEnd w:id="23"/>
      <w:r>
        <w:rPr>
          <w:rFonts w:hint="eastAsia"/>
          <w:highlight w:val="none"/>
        </w:rPr>
        <w:t>的资料（另册）</w:t>
      </w:r>
      <w:r>
        <w:rPr>
          <w:highlight w:val="none"/>
        </w:rPr>
        <w:tab/>
      </w:r>
      <w:r>
        <w:rPr>
          <w:highlight w:val="none"/>
        </w:rPr>
        <w:fldChar w:fldCharType="begin"/>
      </w:r>
      <w:r>
        <w:rPr>
          <w:highlight w:val="none"/>
        </w:rPr>
        <w:instrText xml:space="preserve"> PAGEREF _Toc7693 \h </w:instrText>
      </w:r>
      <w:r>
        <w:rPr>
          <w:highlight w:val="none"/>
        </w:rPr>
        <w:fldChar w:fldCharType="separate"/>
      </w:r>
      <w:r>
        <w:rPr>
          <w:highlight w:val="none"/>
        </w:rPr>
        <w:t>95</w:t>
      </w:r>
      <w:r>
        <w:rPr>
          <w:highlight w:val="none"/>
        </w:rPr>
        <w:fldChar w:fldCharType="end"/>
      </w:r>
      <w:r>
        <w:rPr>
          <w:highlight w:val="none"/>
        </w:rPr>
        <w:fldChar w:fldCharType="end"/>
      </w:r>
    </w:p>
    <w:p>
      <w:pPr>
        <w:pStyle w:val="15"/>
        <w:tabs>
          <w:tab w:val="right" w:leader="dot" w:pos="9638"/>
        </w:tabs>
        <w:rPr>
          <w:sz w:val="24"/>
          <w:szCs w:val="24"/>
          <w:highlight w:val="none"/>
        </w:rPr>
      </w:pPr>
      <w:r>
        <w:rPr>
          <w:highlight w:val="none"/>
        </w:rPr>
        <w:fldChar w:fldCharType="begin"/>
      </w:r>
      <w:r>
        <w:rPr>
          <w:highlight w:val="none"/>
        </w:rPr>
        <w:instrText xml:space="preserve"> HYPERLINK \l "_Toc5342" </w:instrText>
      </w:r>
      <w:r>
        <w:rPr>
          <w:highlight w:val="none"/>
        </w:rPr>
        <w:fldChar w:fldCharType="separate"/>
      </w:r>
      <w:r>
        <w:rPr>
          <w:rFonts w:hint="eastAsia"/>
          <w:highlight w:val="none"/>
        </w:rPr>
        <w:t>第六章 投标文件格式</w:t>
      </w:r>
      <w:r>
        <w:rPr>
          <w:highlight w:val="none"/>
        </w:rPr>
        <w:tab/>
      </w:r>
      <w:r>
        <w:rPr>
          <w:highlight w:val="none"/>
        </w:rPr>
        <w:fldChar w:fldCharType="begin"/>
      </w:r>
      <w:r>
        <w:rPr>
          <w:highlight w:val="none"/>
        </w:rPr>
        <w:instrText xml:space="preserve"> PAGEREF _Toc5342 \h </w:instrText>
      </w:r>
      <w:r>
        <w:rPr>
          <w:highlight w:val="none"/>
        </w:rPr>
        <w:fldChar w:fldCharType="separate"/>
      </w:r>
      <w:r>
        <w:rPr>
          <w:highlight w:val="none"/>
        </w:rPr>
        <w:t>98</w:t>
      </w:r>
      <w:r>
        <w:rPr>
          <w:highlight w:val="none"/>
        </w:rPr>
        <w:fldChar w:fldCharType="end"/>
      </w:r>
      <w:r>
        <w:rPr>
          <w:highlight w:val="none"/>
        </w:rPr>
        <w:fldChar w:fldCharType="end"/>
      </w:r>
      <w:r>
        <w:rPr>
          <w:szCs w:val="24"/>
          <w:highlight w:val="none"/>
        </w:rPr>
        <w:fldChar w:fldCharType="end"/>
      </w:r>
    </w:p>
    <w:p>
      <w:pPr>
        <w:rPr>
          <w:highlight w:val="none"/>
        </w:rPr>
        <w:sectPr>
          <w:footerReference r:id="rId6" w:type="default"/>
          <w:pgSz w:w="11906" w:h="16838"/>
          <w:pgMar w:top="1418" w:right="1134" w:bottom="1418" w:left="1134" w:header="851" w:footer="992" w:gutter="0"/>
          <w:pgNumType w:start="1"/>
          <w:cols w:space="0" w:num="1"/>
          <w:docGrid w:type="lines" w:linePitch="312" w:charSpace="0"/>
        </w:sectPr>
      </w:pPr>
    </w:p>
    <w:bookmarkEnd w:id="13"/>
    <w:bookmarkEnd w:id="14"/>
    <w:p>
      <w:pPr>
        <w:spacing w:line="480" w:lineRule="exact"/>
        <w:jc w:val="center"/>
        <w:outlineLvl w:val="0"/>
        <w:rPr>
          <w:highlight w:val="none"/>
        </w:rPr>
      </w:pPr>
      <w:bookmarkStart w:id="24" w:name="_Toc8994"/>
      <w:bookmarkStart w:id="25" w:name="_Toc247527534"/>
      <w:bookmarkStart w:id="26" w:name="_Toc23116"/>
      <w:bookmarkStart w:id="27" w:name="_Toc247513933"/>
      <w:r>
        <w:rPr>
          <w:rFonts w:hint="eastAsia"/>
          <w:b/>
          <w:bCs/>
          <w:kern w:val="44"/>
          <w:sz w:val="44"/>
          <w:szCs w:val="44"/>
          <w:highlight w:val="none"/>
        </w:rPr>
        <w:t>第一章 招标公告</w:t>
      </w:r>
      <w:bookmarkEnd w:id="15"/>
      <w:bookmarkEnd w:id="16"/>
      <w:bookmarkEnd w:id="17"/>
      <w:bookmarkEnd w:id="24"/>
      <w:bookmarkEnd w:id="25"/>
      <w:bookmarkEnd w:id="26"/>
      <w:bookmarkEnd w:id="27"/>
    </w:p>
    <w:p>
      <w:pPr>
        <w:spacing w:line="380" w:lineRule="exact"/>
        <w:jc w:val="center"/>
        <w:rPr>
          <w:rFonts w:eastAsia="黑体"/>
          <w:sz w:val="28"/>
          <w:szCs w:val="28"/>
          <w:highlight w:val="none"/>
        </w:rPr>
      </w:pPr>
      <w:r>
        <w:rPr>
          <w:rFonts w:hint="eastAsia" w:ascii="黑体" w:hAnsi="黑体" w:eastAsia="黑体"/>
          <w:sz w:val="28"/>
          <w:szCs w:val="28"/>
          <w:highlight w:val="none"/>
          <w:u w:val="single"/>
        </w:rPr>
        <w:t>恩平工业园大槐片区（塘冲）基础设施建设项目设计施工总承包</w:t>
      </w:r>
      <w:r>
        <w:rPr>
          <w:rFonts w:eastAsia="黑体"/>
          <w:sz w:val="28"/>
          <w:szCs w:val="28"/>
          <w:highlight w:val="none"/>
        </w:rPr>
        <w:t>招标公告</w:t>
      </w:r>
    </w:p>
    <w:p>
      <w:pPr>
        <w:pStyle w:val="3"/>
        <w:spacing w:line="380" w:lineRule="exact"/>
        <w:rPr>
          <w:highlight w:val="none"/>
        </w:rPr>
      </w:pPr>
      <w:bookmarkStart w:id="28" w:name="_Toc152045512"/>
      <w:bookmarkStart w:id="29" w:name="_Toc487131325"/>
      <w:bookmarkStart w:id="30" w:name="_Toc247527535"/>
      <w:bookmarkStart w:id="31" w:name="_Toc144974480"/>
      <w:bookmarkStart w:id="32" w:name="_Toc18543"/>
      <w:bookmarkStart w:id="33" w:name="_Toc6707"/>
      <w:bookmarkStart w:id="34" w:name="_Toc247513934"/>
      <w:bookmarkStart w:id="35" w:name="_Toc152042288"/>
      <w:bookmarkStart w:id="36" w:name="_Toc487202457"/>
      <w:bookmarkStart w:id="37" w:name="_Toc7283"/>
      <w:bookmarkStart w:id="38" w:name="_Toc8545"/>
      <w:bookmarkStart w:id="39" w:name="_Toc457376300"/>
      <w:bookmarkStart w:id="40" w:name="_Toc4654"/>
      <w:r>
        <w:rPr>
          <w:highlight w:val="none"/>
        </w:rPr>
        <w:t>1. 招标条件</w:t>
      </w:r>
      <w:bookmarkEnd w:id="28"/>
      <w:bookmarkEnd w:id="29"/>
      <w:bookmarkEnd w:id="30"/>
      <w:bookmarkEnd w:id="31"/>
      <w:bookmarkEnd w:id="32"/>
      <w:bookmarkEnd w:id="33"/>
      <w:bookmarkEnd w:id="34"/>
      <w:bookmarkEnd w:id="35"/>
      <w:bookmarkEnd w:id="36"/>
      <w:bookmarkEnd w:id="37"/>
      <w:bookmarkEnd w:id="38"/>
      <w:bookmarkEnd w:id="39"/>
      <w:bookmarkEnd w:id="40"/>
    </w:p>
    <w:p>
      <w:pPr>
        <w:spacing w:line="380" w:lineRule="exact"/>
        <w:ind w:firstLine="420" w:firstLineChars="200"/>
        <w:rPr>
          <w:szCs w:val="21"/>
          <w:highlight w:val="none"/>
        </w:rPr>
      </w:pPr>
      <w:r>
        <w:rPr>
          <w:szCs w:val="21"/>
          <w:highlight w:val="none"/>
        </w:rPr>
        <w:t>本招标项目</w:t>
      </w:r>
      <w:r>
        <w:rPr>
          <w:rFonts w:hint="eastAsia" w:ascii="宋体" w:hAnsi="宋体"/>
          <w:szCs w:val="21"/>
          <w:highlight w:val="none"/>
          <w:u w:val="single"/>
        </w:rPr>
        <w:t>恩平工业园大槐片区（塘冲）基础设施建设项目设计施工总承包</w:t>
      </w:r>
      <w:r>
        <w:rPr>
          <w:szCs w:val="21"/>
          <w:highlight w:val="none"/>
        </w:rPr>
        <w:t>已由</w:t>
      </w:r>
      <w:r>
        <w:rPr>
          <w:rFonts w:hint="eastAsia"/>
          <w:szCs w:val="21"/>
          <w:highlight w:val="none"/>
          <w:u w:val="single"/>
        </w:rPr>
        <w:t xml:space="preserve"> 恩平市发展和改革局 </w:t>
      </w:r>
      <w:r>
        <w:rPr>
          <w:rFonts w:hint="eastAsia" w:ascii="宋体" w:hAnsi="宋体"/>
          <w:highlight w:val="none"/>
        </w:rPr>
        <w:t>以</w:t>
      </w:r>
      <w:r>
        <w:rPr>
          <w:rFonts w:ascii="宋体" w:hAnsi="宋体" w:cs="宋体"/>
          <w:sz w:val="24"/>
          <w:highlight w:val="none"/>
        </w:rPr>
        <w:t>：</w:t>
      </w:r>
      <w:r>
        <w:rPr>
          <w:rFonts w:hint="eastAsia" w:ascii="宋体" w:hAnsi="宋体"/>
          <w:highlight w:val="none"/>
          <w:u w:val="single"/>
        </w:rPr>
        <w:t>恩发改投</w:t>
      </w:r>
      <w:r>
        <w:rPr>
          <w:rFonts w:hint="eastAsia" w:ascii="宋体" w:hAnsi="宋体" w:cs="宋体"/>
          <w:highlight w:val="none"/>
          <w:u w:val="single"/>
        </w:rPr>
        <w:t>[2023]61号和</w:t>
      </w:r>
      <w:r>
        <w:rPr>
          <w:rFonts w:hint="eastAsia" w:ascii="宋体" w:hAnsi="宋体"/>
          <w:highlight w:val="none"/>
          <w:u w:val="single"/>
        </w:rPr>
        <w:t>恩发改投</w:t>
      </w:r>
      <w:r>
        <w:rPr>
          <w:rFonts w:hint="eastAsia" w:ascii="宋体" w:hAnsi="宋体" w:cs="宋体"/>
          <w:highlight w:val="none"/>
          <w:u w:val="single"/>
        </w:rPr>
        <w:t>[2023]152号</w:t>
      </w:r>
      <w:r>
        <w:rPr>
          <w:szCs w:val="21"/>
          <w:highlight w:val="none"/>
        </w:rPr>
        <w:t>批准建设</w:t>
      </w:r>
      <w:r>
        <w:rPr>
          <w:rFonts w:hint="eastAsia"/>
          <w:szCs w:val="21"/>
          <w:highlight w:val="none"/>
        </w:rPr>
        <w:t>，投资项目统一代码为：</w:t>
      </w:r>
      <w:r>
        <w:rPr>
          <w:rFonts w:hint="eastAsia"/>
          <w:szCs w:val="21"/>
          <w:highlight w:val="none"/>
          <w:u w:val="single"/>
        </w:rPr>
        <w:t>2304-440785-04-01-301956</w:t>
      </w:r>
      <w:r>
        <w:rPr>
          <w:rFonts w:hint="eastAsia"/>
          <w:szCs w:val="21"/>
          <w:highlight w:val="none"/>
        </w:rPr>
        <w:t>，招标人为</w:t>
      </w:r>
      <w:r>
        <w:rPr>
          <w:rFonts w:hint="eastAsia"/>
          <w:szCs w:val="21"/>
          <w:highlight w:val="none"/>
          <w:u w:val="single"/>
        </w:rPr>
        <w:t>恩平市产业园区开发建设有限公司</w:t>
      </w:r>
      <w:r>
        <w:rPr>
          <w:szCs w:val="21"/>
          <w:highlight w:val="none"/>
        </w:rPr>
        <w:t>，建设资金来</w:t>
      </w:r>
      <w:r>
        <w:rPr>
          <w:rFonts w:hint="eastAsia"/>
          <w:szCs w:val="21"/>
          <w:highlight w:val="none"/>
        </w:rPr>
        <w:t>自</w:t>
      </w:r>
      <w:r>
        <w:rPr>
          <w:rFonts w:hint="eastAsia"/>
          <w:szCs w:val="21"/>
          <w:highlight w:val="none"/>
          <w:u w:val="single"/>
        </w:rPr>
        <w:t>通过统筹各级财政资金和申请发行新债券资金解决</w:t>
      </w:r>
      <w:r>
        <w:rPr>
          <w:rFonts w:hint="eastAsia"/>
          <w:szCs w:val="21"/>
          <w:highlight w:val="none"/>
        </w:rPr>
        <w:t>。</w:t>
      </w:r>
      <w:r>
        <w:rPr>
          <w:szCs w:val="21"/>
          <w:highlight w:val="none"/>
        </w:rPr>
        <w:t>项目已具备招标条件，现对该项目的</w:t>
      </w:r>
      <w:r>
        <w:rPr>
          <w:rFonts w:hint="eastAsia"/>
          <w:szCs w:val="21"/>
          <w:highlight w:val="none"/>
          <w:u w:val="single"/>
        </w:rPr>
        <w:t>设计施工总承包</w:t>
      </w:r>
      <w:r>
        <w:rPr>
          <w:szCs w:val="21"/>
          <w:highlight w:val="none"/>
        </w:rPr>
        <w:t>进行公开招标。</w:t>
      </w:r>
    </w:p>
    <w:p>
      <w:pPr>
        <w:pStyle w:val="3"/>
        <w:spacing w:line="380" w:lineRule="exact"/>
        <w:rPr>
          <w:highlight w:val="none"/>
        </w:rPr>
      </w:pPr>
      <w:bookmarkStart w:id="41" w:name="_Toc13112"/>
      <w:bookmarkStart w:id="42" w:name="_Toc487202458"/>
      <w:bookmarkStart w:id="43" w:name="_Toc247513935"/>
      <w:bookmarkStart w:id="44" w:name="_Toc247527536"/>
      <w:bookmarkStart w:id="45" w:name="_Toc13585"/>
      <w:bookmarkStart w:id="46" w:name="_Toc152045513"/>
      <w:bookmarkStart w:id="47" w:name="_Toc487131326"/>
      <w:bookmarkStart w:id="48" w:name="_Toc24958"/>
      <w:bookmarkStart w:id="49" w:name="_Toc19813"/>
      <w:bookmarkStart w:id="50" w:name="_Toc457376301"/>
      <w:bookmarkStart w:id="51" w:name="_Toc144974481"/>
      <w:bookmarkStart w:id="52" w:name="_Toc152042289"/>
      <w:bookmarkStart w:id="53" w:name="_Toc30091"/>
      <w:r>
        <w:rPr>
          <w:highlight w:val="none"/>
        </w:rPr>
        <w:t>2. 项目概况与招标范围</w:t>
      </w:r>
      <w:bookmarkEnd w:id="41"/>
      <w:bookmarkEnd w:id="42"/>
      <w:bookmarkEnd w:id="43"/>
      <w:bookmarkEnd w:id="44"/>
      <w:bookmarkEnd w:id="45"/>
      <w:bookmarkEnd w:id="46"/>
      <w:bookmarkEnd w:id="47"/>
      <w:bookmarkEnd w:id="48"/>
      <w:bookmarkEnd w:id="49"/>
      <w:bookmarkEnd w:id="50"/>
      <w:bookmarkEnd w:id="51"/>
      <w:bookmarkEnd w:id="52"/>
      <w:bookmarkEnd w:id="53"/>
    </w:p>
    <w:p>
      <w:pPr>
        <w:spacing w:line="380" w:lineRule="exact"/>
        <w:ind w:firstLine="420" w:firstLineChars="200"/>
        <w:rPr>
          <w:szCs w:val="21"/>
          <w:highlight w:val="none"/>
        </w:rPr>
      </w:pPr>
      <w:r>
        <w:rPr>
          <w:rFonts w:hint="eastAsia"/>
          <w:szCs w:val="21"/>
          <w:highlight w:val="none"/>
        </w:rPr>
        <w:t>2.1建设地点：</w:t>
      </w:r>
      <w:r>
        <w:rPr>
          <w:rFonts w:hint="eastAsia" w:ascii="宋体" w:hAnsi="宋体"/>
          <w:szCs w:val="21"/>
          <w:highlight w:val="none"/>
          <w:u w:val="single"/>
        </w:rPr>
        <w:t>本工程场地位于广东恩平工业园大槐片区</w:t>
      </w:r>
      <w:r>
        <w:rPr>
          <w:rFonts w:hint="eastAsia"/>
          <w:szCs w:val="21"/>
          <w:highlight w:val="none"/>
        </w:rPr>
        <w:t>。</w:t>
      </w:r>
    </w:p>
    <w:p>
      <w:pPr>
        <w:spacing w:line="380" w:lineRule="exact"/>
        <w:ind w:firstLine="420" w:firstLineChars="200"/>
        <w:rPr>
          <w:szCs w:val="21"/>
          <w:highlight w:val="none"/>
        </w:rPr>
      </w:pPr>
      <w:r>
        <w:rPr>
          <w:rFonts w:hint="eastAsia"/>
          <w:szCs w:val="21"/>
          <w:highlight w:val="none"/>
        </w:rPr>
        <w:t>2.2建设规模：</w:t>
      </w:r>
      <w:r>
        <w:rPr>
          <w:rFonts w:hint="eastAsia" w:ascii="宋体" w:hAnsi="宋体"/>
          <w:szCs w:val="21"/>
          <w:highlight w:val="none"/>
          <w:u w:val="single"/>
        </w:rPr>
        <w:t>恩平工业园大槐片区（塘冲）基础设施建设项目，路线总长2458.4米，涉及5条道路，其中工业二部（A路）长207.589米，工业三路（B路）长为277.498米，工业四路（C路）长228.594米，工业五路（D路）总长为758.433米，槐东二路（E路）长为986.245米。均采用相同技术标准，路基宽度均为24米，道路等级为城市次干路，设计速度均按30 km/h，路面结构为水泥混凝土路面。主要内容包括：道路工程、桥涵工程、给排水工程、交通（监控）工程、电气工程、管线综合工程等</w:t>
      </w:r>
      <w:r>
        <w:rPr>
          <w:rFonts w:hint="eastAsia"/>
          <w:szCs w:val="21"/>
          <w:highlight w:val="none"/>
        </w:rPr>
        <w:t>。</w:t>
      </w:r>
    </w:p>
    <w:p>
      <w:pPr>
        <w:spacing w:line="380" w:lineRule="exact"/>
        <w:ind w:firstLine="420" w:firstLineChars="200"/>
        <w:rPr>
          <w:strike/>
          <w:szCs w:val="21"/>
          <w:highlight w:val="none"/>
        </w:rPr>
      </w:pPr>
      <w:r>
        <w:rPr>
          <w:rFonts w:hint="eastAsia"/>
          <w:szCs w:val="21"/>
          <w:highlight w:val="none"/>
        </w:rPr>
        <w:t>2.3项目</w:t>
      </w:r>
      <w:r>
        <w:rPr>
          <w:rFonts w:hint="eastAsia"/>
          <w:szCs w:val="21"/>
          <w:highlight w:val="none"/>
          <w:lang w:val="en-US" w:eastAsia="zh-CN"/>
        </w:rPr>
        <w:t>概算</w:t>
      </w:r>
      <w:r>
        <w:rPr>
          <w:rFonts w:hint="eastAsia"/>
          <w:szCs w:val="21"/>
          <w:highlight w:val="none"/>
        </w:rPr>
        <w:t>总投资约</w:t>
      </w:r>
      <w:r>
        <w:rPr>
          <w:rFonts w:hint="eastAsia" w:ascii="宋体" w:hAnsi="宋体"/>
          <w:szCs w:val="21"/>
          <w:highlight w:val="none"/>
          <w:u w:val="single"/>
        </w:rPr>
        <w:t>8946.97万元，</w:t>
      </w:r>
      <w:r>
        <w:rPr>
          <w:rFonts w:hint="eastAsia"/>
          <w:szCs w:val="21"/>
          <w:highlight w:val="none"/>
        </w:rPr>
        <w:t>其中</w:t>
      </w:r>
      <w:r>
        <w:rPr>
          <w:rFonts w:hint="eastAsia" w:ascii="宋体" w:hAnsi="宋体"/>
          <w:szCs w:val="21"/>
          <w:highlight w:val="none"/>
          <w:u w:val="single"/>
        </w:rPr>
        <w:t>建筑安装工程费用7370.45万元</w:t>
      </w:r>
      <w:r>
        <w:rPr>
          <w:rFonts w:hint="eastAsia"/>
          <w:szCs w:val="21"/>
          <w:highlight w:val="none"/>
          <w:u w:val="single"/>
        </w:rPr>
        <w:t>，设计费用约145.03万元。</w:t>
      </w:r>
    </w:p>
    <w:p>
      <w:pPr>
        <w:spacing w:line="380" w:lineRule="exact"/>
        <w:ind w:firstLine="420" w:firstLineChars="200"/>
        <w:rPr>
          <w:szCs w:val="21"/>
          <w:highlight w:val="none"/>
        </w:rPr>
      </w:pPr>
      <w:r>
        <w:rPr>
          <w:rFonts w:hint="eastAsia"/>
          <w:szCs w:val="21"/>
          <w:highlight w:val="none"/>
        </w:rPr>
        <w:t>2.4</w:t>
      </w:r>
      <w:r>
        <w:rPr>
          <w:szCs w:val="21"/>
          <w:highlight w:val="none"/>
        </w:rPr>
        <w:t>总工期</w:t>
      </w:r>
      <w:r>
        <w:rPr>
          <w:rFonts w:hint="eastAsia"/>
          <w:szCs w:val="21"/>
          <w:highlight w:val="none"/>
        </w:rPr>
        <w:t>：</w:t>
      </w:r>
      <w:r>
        <w:rPr>
          <w:rFonts w:hint="eastAsia"/>
          <w:szCs w:val="21"/>
          <w:highlight w:val="none"/>
          <w:u w:val="single"/>
        </w:rPr>
        <w:t xml:space="preserve"> 190 </w:t>
      </w:r>
      <w:r>
        <w:rPr>
          <w:rFonts w:hint="eastAsia"/>
          <w:szCs w:val="21"/>
          <w:highlight w:val="none"/>
        </w:rPr>
        <w:t>日历天</w:t>
      </w:r>
      <w:r>
        <w:rPr>
          <w:rFonts w:hint="eastAsia" w:ascii="宋体" w:hAnsi="宋体"/>
          <w:szCs w:val="21"/>
          <w:highlight w:val="none"/>
        </w:rPr>
        <w:t>（</w:t>
      </w:r>
      <w:r>
        <w:rPr>
          <w:rFonts w:ascii="宋体" w:hAnsi="宋体"/>
          <w:szCs w:val="21"/>
          <w:highlight w:val="none"/>
        </w:rPr>
        <w:t>总工期</w:t>
      </w:r>
      <w:r>
        <w:rPr>
          <w:rFonts w:hint="eastAsia" w:ascii="宋体" w:hAnsi="宋体"/>
          <w:szCs w:val="21"/>
          <w:highlight w:val="none"/>
        </w:rPr>
        <w:t>含设计</w:t>
      </w:r>
      <w:r>
        <w:rPr>
          <w:rFonts w:hint="eastAsia"/>
          <w:szCs w:val="21"/>
          <w:highlight w:val="none"/>
          <w:u w:val="single"/>
        </w:rPr>
        <w:t xml:space="preserve"> 60 </w:t>
      </w:r>
      <w:r>
        <w:rPr>
          <w:rFonts w:hint="eastAsia" w:ascii="宋体" w:hAnsi="宋体"/>
          <w:szCs w:val="21"/>
          <w:highlight w:val="none"/>
        </w:rPr>
        <w:t>日历天，施工期为</w:t>
      </w:r>
      <w:r>
        <w:rPr>
          <w:rFonts w:hint="eastAsia"/>
          <w:szCs w:val="21"/>
          <w:highlight w:val="none"/>
          <w:u w:val="single"/>
        </w:rPr>
        <w:t xml:space="preserve"> 130 </w:t>
      </w:r>
      <w:r>
        <w:rPr>
          <w:rFonts w:hint="eastAsia" w:ascii="宋体" w:hAnsi="宋体"/>
          <w:szCs w:val="21"/>
          <w:highlight w:val="none"/>
        </w:rPr>
        <w:t>日历天）。</w:t>
      </w:r>
    </w:p>
    <w:p>
      <w:pPr>
        <w:spacing w:line="380" w:lineRule="exact"/>
        <w:ind w:firstLine="420" w:firstLineChars="200"/>
        <w:rPr>
          <w:szCs w:val="21"/>
          <w:highlight w:val="none"/>
        </w:rPr>
      </w:pPr>
      <w:r>
        <w:rPr>
          <w:rFonts w:hint="eastAsia"/>
          <w:szCs w:val="21"/>
          <w:highlight w:val="none"/>
        </w:rPr>
        <w:t>2.5招标范围：包括但不限于以下内容：完成本项目的设计（施工图设计、施工配合、现场服务等相关服务</w:t>
      </w:r>
      <w:r>
        <w:rPr>
          <w:rFonts w:hint="eastAsia"/>
          <w:szCs w:val="21"/>
          <w:highlight w:val="none"/>
          <w:lang w:eastAsia="zh-CN"/>
        </w:rPr>
        <w:t>、</w:t>
      </w:r>
      <w:r>
        <w:rPr>
          <w:rFonts w:hint="eastAsia"/>
          <w:color w:val="auto"/>
          <w:szCs w:val="21"/>
          <w:highlight w:val="none"/>
          <w:lang w:eastAsia="zh-CN"/>
        </w:rPr>
        <w:t>施工图预结算编制</w:t>
      </w:r>
      <w:r>
        <w:rPr>
          <w:rFonts w:hint="eastAsia"/>
          <w:szCs w:val="21"/>
          <w:highlight w:val="none"/>
        </w:rPr>
        <w:t>）、</w:t>
      </w:r>
      <w:r>
        <w:rPr>
          <w:rFonts w:hint="eastAsia"/>
          <w:color w:val="auto"/>
          <w:szCs w:val="21"/>
          <w:highlight w:val="none"/>
        </w:rPr>
        <w:t>施工（工程施工范围包括</w:t>
      </w:r>
      <w:r>
        <w:rPr>
          <w:color w:val="auto"/>
          <w:szCs w:val="21"/>
          <w:highlight w:val="none"/>
        </w:rPr>
        <w:t>工程图纸设计范围内的所有工程内容</w:t>
      </w:r>
      <w:r>
        <w:rPr>
          <w:rFonts w:hint="eastAsia"/>
          <w:color w:val="auto"/>
          <w:szCs w:val="21"/>
          <w:highlight w:val="none"/>
        </w:rPr>
        <w:t>）、工程竣工验收一次性通过验收（合格），工程保修期内的缺陷修复和保修等</w:t>
      </w:r>
      <w:r>
        <w:rPr>
          <w:rFonts w:hint="eastAsia"/>
          <w:color w:val="auto"/>
          <w:szCs w:val="21"/>
          <w:highlight w:val="none"/>
          <w:lang w:eastAsia="zh-CN"/>
        </w:rPr>
        <w:t>全过程服务</w:t>
      </w:r>
      <w:r>
        <w:rPr>
          <w:rFonts w:hint="eastAsia"/>
          <w:color w:val="auto"/>
          <w:szCs w:val="21"/>
          <w:highlight w:val="none"/>
        </w:rPr>
        <w:t>。</w:t>
      </w:r>
    </w:p>
    <w:p>
      <w:pPr>
        <w:spacing w:line="380" w:lineRule="exact"/>
        <w:ind w:firstLine="420" w:firstLineChars="200"/>
        <w:rPr>
          <w:szCs w:val="21"/>
          <w:highlight w:val="none"/>
        </w:rPr>
      </w:pPr>
      <w:r>
        <w:rPr>
          <w:rFonts w:hint="eastAsia"/>
          <w:szCs w:val="21"/>
          <w:highlight w:val="none"/>
        </w:rPr>
        <w:t>2.7招标内容：施工图设计、施工一体化招标</w:t>
      </w:r>
    </w:p>
    <w:p>
      <w:pPr>
        <w:spacing w:line="380" w:lineRule="exact"/>
        <w:ind w:firstLine="420" w:firstLineChars="200"/>
        <w:rPr>
          <w:rFonts w:ascii="宋体" w:hAnsi="宋体" w:cs="宋体"/>
          <w:sz w:val="24"/>
          <w:highlight w:val="none"/>
        </w:rPr>
      </w:pPr>
      <w:r>
        <w:rPr>
          <w:rFonts w:hint="eastAsia"/>
          <w:szCs w:val="21"/>
          <w:highlight w:val="none"/>
        </w:rPr>
        <w:t>2.8工程质量要求：（1）</w:t>
      </w:r>
      <w:r>
        <w:rPr>
          <w:rFonts w:hint="eastAsia" w:ascii="宋体" w:hAnsi="宋体" w:cs="宋体"/>
          <w:szCs w:val="21"/>
          <w:highlight w:val="none"/>
        </w:rPr>
        <w:t>设计要求的质量标准：达到国家、省或行业现行的工程设计准则和相关规范要求，满足招标人的功能需求，并通过招标人及有关部门或专业机构的审查。</w:t>
      </w:r>
      <w:r>
        <w:rPr>
          <w:rFonts w:hint="eastAsia"/>
          <w:szCs w:val="21"/>
          <w:highlight w:val="none"/>
        </w:rPr>
        <w:t>（</w:t>
      </w:r>
      <w:r>
        <w:rPr>
          <w:szCs w:val="21"/>
          <w:highlight w:val="none"/>
        </w:rPr>
        <w:t>2</w:t>
      </w:r>
      <w:r>
        <w:rPr>
          <w:rFonts w:hint="eastAsia"/>
          <w:szCs w:val="21"/>
          <w:highlight w:val="none"/>
        </w:rPr>
        <w:t>）施工质量要求：符合现行国家有关施工验收规范的要求，一次性通过验收合格。</w:t>
      </w:r>
    </w:p>
    <w:p>
      <w:pPr>
        <w:pStyle w:val="3"/>
        <w:spacing w:line="380" w:lineRule="exact"/>
        <w:rPr>
          <w:highlight w:val="none"/>
        </w:rPr>
      </w:pPr>
      <w:bookmarkStart w:id="54" w:name="_Toc457376302"/>
      <w:bookmarkStart w:id="55" w:name="_Toc15947"/>
      <w:bookmarkStart w:id="56" w:name="_Toc152042290"/>
      <w:bookmarkStart w:id="57" w:name="_Toc247513936"/>
      <w:bookmarkStart w:id="58" w:name="_Toc247527537"/>
      <w:bookmarkStart w:id="59" w:name="_Toc144974482"/>
      <w:bookmarkStart w:id="60" w:name="_Toc487131327"/>
      <w:bookmarkStart w:id="61" w:name="_Toc487202459"/>
      <w:bookmarkStart w:id="62" w:name="_Toc20661"/>
      <w:bookmarkStart w:id="63" w:name="_Toc152045514"/>
      <w:bookmarkStart w:id="64" w:name="_Toc28621"/>
      <w:bookmarkStart w:id="65" w:name="_Toc1279"/>
      <w:bookmarkStart w:id="66" w:name="_Toc13086"/>
      <w:r>
        <w:rPr>
          <w:highlight w:val="none"/>
        </w:rPr>
        <w:t>3. 投标人资格要求</w:t>
      </w:r>
      <w:bookmarkEnd w:id="54"/>
      <w:bookmarkEnd w:id="55"/>
      <w:bookmarkEnd w:id="56"/>
      <w:bookmarkEnd w:id="57"/>
      <w:bookmarkEnd w:id="58"/>
      <w:bookmarkEnd w:id="59"/>
      <w:bookmarkEnd w:id="60"/>
      <w:bookmarkEnd w:id="61"/>
      <w:bookmarkEnd w:id="62"/>
      <w:bookmarkEnd w:id="63"/>
      <w:bookmarkEnd w:id="64"/>
      <w:bookmarkEnd w:id="65"/>
      <w:bookmarkEnd w:id="66"/>
    </w:p>
    <w:p>
      <w:pPr>
        <w:spacing w:line="380" w:lineRule="exact"/>
        <w:ind w:firstLine="420" w:firstLineChars="200"/>
        <w:rPr>
          <w:rFonts w:ascii="宋体" w:hAnsi="宋体"/>
          <w:bCs/>
          <w:szCs w:val="21"/>
          <w:highlight w:val="none"/>
        </w:rPr>
      </w:pPr>
      <w:bookmarkStart w:id="67" w:name="_Toc487202460"/>
      <w:bookmarkStart w:id="68" w:name="_Toc457376303"/>
      <w:bookmarkStart w:id="69" w:name="_Toc28227"/>
      <w:bookmarkStart w:id="70" w:name="_Toc4065"/>
      <w:bookmarkStart w:id="71" w:name="_Toc487131328"/>
      <w:bookmarkStart w:id="72" w:name="_Toc152045515"/>
      <w:bookmarkStart w:id="73" w:name="_Toc247513937"/>
      <w:bookmarkStart w:id="74" w:name="_Toc144974483"/>
      <w:bookmarkStart w:id="75" w:name="_Toc152042291"/>
      <w:bookmarkStart w:id="76" w:name="_Toc247527538"/>
      <w:r>
        <w:rPr>
          <w:rFonts w:hint="eastAsia" w:ascii="宋体" w:hAnsi="宋体"/>
          <w:bCs/>
          <w:szCs w:val="21"/>
          <w:highlight w:val="none"/>
        </w:rPr>
        <w:t xml:space="preserve">3.1 </w:t>
      </w:r>
      <w:r>
        <w:rPr>
          <w:bCs/>
          <w:szCs w:val="21"/>
          <w:highlight w:val="none"/>
        </w:rPr>
        <w:t>本次</w:t>
      </w:r>
      <w:r>
        <w:rPr>
          <w:rFonts w:ascii="宋体" w:hAnsi="宋体"/>
          <w:bCs/>
          <w:szCs w:val="21"/>
          <w:highlight w:val="none"/>
        </w:rPr>
        <w:t>招标</w:t>
      </w:r>
      <w:r>
        <w:rPr>
          <w:rFonts w:hint="eastAsia" w:ascii="宋体" w:hAnsi="宋体"/>
          <w:szCs w:val="21"/>
          <w:highlight w:val="none"/>
          <w:u w:val="single"/>
        </w:rPr>
        <w:t xml:space="preserve">恩平工业园大槐片区（塘冲）基础设施建设项目设计施工总承包 </w:t>
      </w:r>
      <w:r>
        <w:rPr>
          <w:rFonts w:ascii="宋体" w:hAnsi="宋体"/>
          <w:bCs/>
          <w:szCs w:val="21"/>
          <w:highlight w:val="none"/>
        </w:rPr>
        <w:t>要求</w:t>
      </w:r>
      <w:r>
        <w:rPr>
          <w:bCs/>
          <w:szCs w:val="21"/>
          <w:highlight w:val="none"/>
        </w:rPr>
        <w:t>投标人</w:t>
      </w:r>
      <w:r>
        <w:rPr>
          <w:rFonts w:hint="eastAsia" w:ascii="宋体" w:hAnsi="宋体"/>
          <w:bCs/>
          <w:szCs w:val="21"/>
          <w:highlight w:val="none"/>
        </w:rPr>
        <w:t>须具备建设行政主管部门核发的资质：</w:t>
      </w:r>
    </w:p>
    <w:p>
      <w:pPr>
        <w:spacing w:line="380" w:lineRule="exact"/>
        <w:ind w:firstLine="420" w:firstLineChars="200"/>
        <w:rPr>
          <w:rFonts w:ascii="宋体" w:hAnsi="宋体"/>
          <w:bCs/>
          <w:szCs w:val="21"/>
          <w:highlight w:val="none"/>
        </w:rPr>
      </w:pPr>
      <w:r>
        <w:rPr>
          <w:rFonts w:hint="eastAsia"/>
          <w:highlight w:val="none"/>
        </w:rPr>
        <w:t>（1）设计资质</w:t>
      </w:r>
      <w:r>
        <w:rPr>
          <w:rFonts w:hint="eastAsia" w:ascii="宋体" w:hAnsi="宋体"/>
          <w:bCs/>
          <w:szCs w:val="21"/>
          <w:highlight w:val="none"/>
        </w:rPr>
        <w:t>：</w:t>
      </w:r>
      <w:r>
        <w:rPr>
          <w:rFonts w:hint="eastAsia" w:ascii="宋体" w:cs="宋体"/>
          <w:kern w:val="0"/>
          <w:szCs w:val="21"/>
          <w:highlight w:val="none"/>
        </w:rPr>
        <w:t>须具备建设行政主管部门颁发有效的工程设计综合甲级资质；或工程设计市政行业乙级（或以上）资质；或同时具备工程设计市政行业（燃气工程、轨道交通工程除外）乙级（或以上）资质和工程设计市政行业（燃气工程专业）乙级（或以上）资质；或同时具备工程设计市政行业（道路工程）专业乙级（或以上）资质和工程设计市政行业（燃气工程）专业乙级（或以上）资质和工程设计市政行业（排水工程）专业乙级（或以上）资质和工程设计市政行业（给水工程）专业丙级（或以上）资质</w:t>
      </w:r>
      <w:r>
        <w:rPr>
          <w:rFonts w:hint="eastAsia" w:ascii="宋体" w:hAnsi="宋体" w:cs="宋体"/>
          <w:szCs w:val="21"/>
          <w:highlight w:val="none"/>
        </w:rPr>
        <w:t>；</w:t>
      </w:r>
      <w:r>
        <w:rPr>
          <w:rFonts w:hint="eastAsia" w:ascii="宋体" w:hAnsi="宋体"/>
          <w:bCs/>
          <w:szCs w:val="21"/>
          <w:highlight w:val="none"/>
        </w:rPr>
        <w:t xml:space="preserve"> </w:t>
      </w:r>
    </w:p>
    <w:p>
      <w:pPr>
        <w:spacing w:line="380" w:lineRule="exact"/>
        <w:ind w:firstLine="420" w:firstLineChars="200"/>
        <w:rPr>
          <w:rFonts w:ascii="宋体" w:hAnsi="宋体"/>
          <w:szCs w:val="21"/>
          <w:highlight w:val="none"/>
        </w:rPr>
      </w:pPr>
      <w:r>
        <w:rPr>
          <w:rFonts w:hint="eastAsia" w:ascii="宋体" w:hAnsi="宋体"/>
          <w:bCs/>
          <w:szCs w:val="21"/>
          <w:highlight w:val="none"/>
        </w:rPr>
        <w:t>（</w:t>
      </w:r>
      <w:r>
        <w:rPr>
          <w:rFonts w:ascii="宋体" w:hAnsi="宋体"/>
          <w:bCs/>
          <w:szCs w:val="21"/>
          <w:highlight w:val="none"/>
        </w:rPr>
        <w:t>2</w:t>
      </w:r>
      <w:r>
        <w:rPr>
          <w:rFonts w:hint="eastAsia" w:ascii="宋体" w:hAnsi="宋体"/>
          <w:bCs/>
          <w:szCs w:val="21"/>
          <w:highlight w:val="none"/>
        </w:rPr>
        <w:t>）施工资质：须具备行业主管部门核发的市政公用工程施工总承包一级（或以上）资质，持有有效的建设行政主管部门颁发的安全生产许可证</w:t>
      </w:r>
      <w:r>
        <w:rPr>
          <w:rFonts w:hint="eastAsia" w:ascii="宋体" w:hAnsi="宋体"/>
          <w:szCs w:val="21"/>
          <w:highlight w:val="none"/>
        </w:rPr>
        <w:t>。</w:t>
      </w:r>
    </w:p>
    <w:p>
      <w:pPr>
        <w:spacing w:line="380" w:lineRule="exact"/>
        <w:ind w:firstLine="422" w:firstLineChars="200"/>
        <w:rPr>
          <w:rFonts w:ascii="宋体" w:hAnsi="宋体"/>
          <w:b/>
          <w:szCs w:val="21"/>
          <w:highlight w:val="none"/>
        </w:rPr>
      </w:pPr>
      <w:r>
        <w:rPr>
          <w:rFonts w:hint="eastAsia" w:ascii="宋体" w:hAnsi="宋体"/>
          <w:b/>
          <w:szCs w:val="21"/>
          <w:highlight w:val="none"/>
        </w:rPr>
        <w:t>投标人的企业资质按照《住房和城乡建设部办公厅关于建设工程企业资质统一延续有关事项的通知》（建办市函〔2021〕510号）执行。</w:t>
      </w:r>
    </w:p>
    <w:p>
      <w:pPr>
        <w:spacing w:line="380" w:lineRule="exact"/>
        <w:ind w:firstLine="420" w:firstLineChars="200"/>
        <w:rPr>
          <w:bCs/>
          <w:szCs w:val="21"/>
          <w:highlight w:val="none"/>
        </w:rPr>
      </w:pPr>
      <w:r>
        <w:rPr>
          <w:rFonts w:hint="eastAsia" w:ascii="宋体" w:hAnsi="宋体"/>
          <w:bCs/>
          <w:szCs w:val="21"/>
          <w:highlight w:val="none"/>
        </w:rPr>
        <w:t xml:space="preserve">3.2 </w:t>
      </w:r>
      <w:r>
        <w:rPr>
          <w:rFonts w:hint="eastAsia"/>
          <w:bCs/>
          <w:szCs w:val="21"/>
          <w:highlight w:val="none"/>
        </w:rPr>
        <w:t>投标人拟派人员要求：</w:t>
      </w:r>
    </w:p>
    <w:p>
      <w:pPr>
        <w:spacing w:line="380" w:lineRule="exact"/>
        <w:ind w:firstLine="420" w:firstLineChars="200"/>
        <w:rPr>
          <w:rFonts w:ascii="宋体" w:hAnsi="宋体"/>
          <w:bCs/>
          <w:szCs w:val="21"/>
          <w:highlight w:val="none"/>
        </w:rPr>
      </w:pPr>
      <w:r>
        <w:rPr>
          <w:rFonts w:hint="eastAsia" w:ascii="宋体" w:hAnsi="宋体"/>
          <w:bCs/>
          <w:szCs w:val="21"/>
          <w:highlight w:val="none"/>
        </w:rPr>
        <w:t>3.2.1</w:t>
      </w:r>
      <w:r>
        <w:rPr>
          <w:rFonts w:hint="eastAsia" w:ascii="宋体" w:hAnsi="宋体"/>
          <w:b/>
          <w:szCs w:val="21"/>
          <w:highlight w:val="none"/>
        </w:rPr>
        <w:t>工程总承包</w:t>
      </w:r>
      <w:r>
        <w:rPr>
          <w:rFonts w:hint="eastAsia"/>
          <w:b/>
          <w:szCs w:val="21"/>
          <w:highlight w:val="none"/>
        </w:rPr>
        <w:t>项目经理</w:t>
      </w:r>
      <w:r>
        <w:rPr>
          <w:rFonts w:hint="eastAsia" w:ascii="宋体" w:hAnsi="宋体"/>
          <w:b/>
          <w:szCs w:val="21"/>
          <w:highlight w:val="none"/>
        </w:rPr>
        <w:t>的资格要求</w:t>
      </w:r>
      <w:r>
        <w:rPr>
          <w:rFonts w:hint="eastAsia" w:ascii="宋体" w:hAnsi="宋体"/>
          <w:bCs/>
          <w:szCs w:val="21"/>
          <w:highlight w:val="none"/>
        </w:rPr>
        <w:t>：</w:t>
      </w:r>
      <w:r>
        <w:rPr>
          <w:rFonts w:hint="eastAsia" w:ascii="宋体" w:hAnsi="宋体"/>
          <w:bCs/>
          <w:szCs w:val="21"/>
          <w:highlight w:val="none"/>
          <w:u w:val="single"/>
        </w:rPr>
        <w:t>具备相应工程建设类注册执业资格，包括市政类注册工程师、</w:t>
      </w:r>
      <w:r>
        <w:rPr>
          <w:rFonts w:hint="eastAsia" w:ascii="宋体" w:hAnsi="宋体"/>
          <w:bCs/>
          <w:szCs w:val="21"/>
          <w:highlight w:val="none"/>
          <w:u w:val="single"/>
          <w:lang w:val="en-US" w:eastAsia="zh-CN"/>
        </w:rPr>
        <w:t>或</w:t>
      </w:r>
      <w:r>
        <w:rPr>
          <w:rFonts w:hint="eastAsia" w:ascii="宋体" w:hAnsi="宋体"/>
          <w:bCs/>
          <w:szCs w:val="21"/>
          <w:highlight w:val="none"/>
          <w:u w:val="single"/>
        </w:rPr>
        <w:t>市政公用工程一级注册建造师、或市政公用工程注册监理工程师、或未实施注册执业资格的须取得市政公用工程专业高级工程师（或以上）职称资格，且不得同时在两个或者两个以上工程项目担任工程总承包项目经理、施工项目负责人。（注：工程总承包项目经理可以由设计负责人或施工负责人同时担任，但设计负责人和施工负责人不得为同一人）</w:t>
      </w:r>
      <w:r>
        <w:rPr>
          <w:rFonts w:hint="eastAsia" w:ascii="宋体" w:hAnsi="宋体"/>
          <w:bCs/>
          <w:szCs w:val="21"/>
          <w:highlight w:val="none"/>
        </w:rPr>
        <w:t>。</w:t>
      </w:r>
    </w:p>
    <w:p>
      <w:pPr>
        <w:spacing w:line="380" w:lineRule="exact"/>
        <w:ind w:firstLine="420" w:firstLineChars="200"/>
        <w:rPr>
          <w:bCs/>
          <w:szCs w:val="21"/>
          <w:highlight w:val="none"/>
        </w:rPr>
      </w:pPr>
      <w:r>
        <w:rPr>
          <w:rFonts w:hint="eastAsia" w:ascii="宋体" w:hAnsi="宋体"/>
          <w:bCs/>
          <w:szCs w:val="21"/>
          <w:highlight w:val="none"/>
        </w:rPr>
        <w:t>3.2.2</w:t>
      </w:r>
      <w:r>
        <w:rPr>
          <w:rFonts w:hint="eastAsia" w:ascii="宋体" w:hAnsi="宋体"/>
          <w:b/>
          <w:szCs w:val="21"/>
          <w:highlight w:val="none"/>
        </w:rPr>
        <w:t>施工负责人的资格要求：</w:t>
      </w:r>
      <w:r>
        <w:rPr>
          <w:rFonts w:hint="eastAsia"/>
          <w:bCs/>
          <w:szCs w:val="21"/>
          <w:highlight w:val="none"/>
        </w:rPr>
        <w:t>具备市政公用工程一级注册建造师资格，同时具备有效的安全生产考核合格证书，且未担任其他在建工程的项目负责人（或施工负责人）。</w:t>
      </w:r>
    </w:p>
    <w:p>
      <w:pPr>
        <w:spacing w:line="360" w:lineRule="auto"/>
        <w:ind w:firstLine="420" w:firstLineChars="200"/>
        <w:outlineLvl w:val="2"/>
        <w:rPr>
          <w:rFonts w:hint="eastAsia"/>
          <w:bCs/>
          <w:szCs w:val="21"/>
          <w:highlight w:val="none"/>
        </w:rPr>
      </w:pPr>
      <w:r>
        <w:rPr>
          <w:rFonts w:hint="eastAsia" w:ascii="宋体" w:hAnsi="宋体"/>
          <w:bCs/>
          <w:szCs w:val="21"/>
          <w:highlight w:val="none"/>
        </w:rPr>
        <w:t>3.2.3</w:t>
      </w:r>
      <w:r>
        <w:rPr>
          <w:b/>
          <w:szCs w:val="21"/>
          <w:highlight w:val="none"/>
        </w:rPr>
        <w:t>设计负责人</w:t>
      </w:r>
      <w:r>
        <w:rPr>
          <w:rFonts w:hint="eastAsia"/>
          <w:b/>
          <w:szCs w:val="21"/>
          <w:highlight w:val="none"/>
        </w:rPr>
        <w:t>的资格要求</w:t>
      </w:r>
      <w:r>
        <w:rPr>
          <w:rFonts w:hint="eastAsia"/>
          <w:szCs w:val="21"/>
          <w:highlight w:val="none"/>
        </w:rPr>
        <w:t>：</w:t>
      </w:r>
      <w:bookmarkStart w:id="1330" w:name="_GoBack"/>
      <w:r>
        <w:rPr>
          <w:rFonts w:hint="eastAsia"/>
          <w:bCs/>
          <w:szCs w:val="21"/>
          <w:highlight w:val="none"/>
        </w:rPr>
        <w:t>具备注册土木工程师（道路工程），或道路专业或与本专业相近（指路桥专业、道桥专业、市政专业等）的高级工程师职称或以上资格。</w:t>
      </w:r>
    </w:p>
    <w:bookmarkEnd w:id="1330"/>
    <w:p>
      <w:pPr>
        <w:spacing w:line="380" w:lineRule="exact"/>
        <w:ind w:firstLine="420" w:firstLineChars="200"/>
        <w:rPr>
          <w:rFonts w:ascii="宋体" w:hAnsi="宋体"/>
          <w:b/>
          <w:szCs w:val="21"/>
          <w:highlight w:val="none"/>
        </w:rPr>
      </w:pPr>
      <w:r>
        <w:rPr>
          <w:rFonts w:hint="eastAsia" w:ascii="宋体" w:hAnsi="宋体"/>
          <w:bCs/>
          <w:szCs w:val="21"/>
          <w:highlight w:val="none"/>
        </w:rPr>
        <w:t>3.2.4工程总承包项目经理可以由设计负责人或施工负责人同时担任，但设计负责人和施工负责人不得为同一人。</w:t>
      </w:r>
      <w:r>
        <w:rPr>
          <w:rFonts w:hint="eastAsia" w:ascii="宋体" w:hAnsi="宋体"/>
          <w:b/>
          <w:szCs w:val="21"/>
          <w:highlight w:val="none"/>
        </w:rPr>
        <w:t>拟派人员提供一级建造师注册证书的，按照《住房和城乡建设部办公厅关于全面实行一级建造师电子注册证书的通知》（建办市〔2021〕40 号）执行</w:t>
      </w:r>
      <w:r>
        <w:rPr>
          <w:rFonts w:hint="eastAsia"/>
          <w:b/>
          <w:szCs w:val="21"/>
          <w:highlight w:val="none"/>
        </w:rPr>
        <w:t>和《全国注册建筑师管理委员会关于开展使用一级注册建筑师电子注册证书工作的通知》（注建[2021]2号）执行。</w:t>
      </w:r>
    </w:p>
    <w:p>
      <w:pPr>
        <w:spacing w:line="380" w:lineRule="exact"/>
        <w:ind w:firstLine="420" w:firstLineChars="200"/>
        <w:rPr>
          <w:bCs/>
          <w:szCs w:val="21"/>
          <w:highlight w:val="none"/>
        </w:rPr>
      </w:pPr>
      <w:r>
        <w:rPr>
          <w:rFonts w:hint="eastAsia" w:ascii="宋体" w:hAnsi="宋体"/>
          <w:bCs/>
          <w:szCs w:val="21"/>
          <w:highlight w:val="none"/>
        </w:rPr>
        <w:t>3.3</w:t>
      </w:r>
      <w:r>
        <w:rPr>
          <w:rFonts w:hint="eastAsia"/>
          <w:bCs/>
          <w:szCs w:val="21"/>
          <w:highlight w:val="none"/>
        </w:rPr>
        <w:t>本次招标</w:t>
      </w:r>
      <w:r>
        <w:rPr>
          <w:rFonts w:hint="eastAsia" w:ascii="宋体" w:hAnsi="宋体"/>
          <w:szCs w:val="21"/>
          <w:highlight w:val="none"/>
          <w:u w:val="single"/>
        </w:rPr>
        <w:t>恩平工业园大槐片区（塘冲）基础设施建设项目设计施工总承包</w:t>
      </w:r>
      <w:r>
        <w:rPr>
          <w:rFonts w:hint="eastAsia"/>
          <w:bCs/>
          <w:szCs w:val="21"/>
          <w:highlight w:val="none"/>
        </w:rPr>
        <w:t>接受联合体投标；联合体投标的，应满足下列要求：（1）</w:t>
      </w:r>
      <w:r>
        <w:rPr>
          <w:bCs/>
          <w:szCs w:val="21"/>
          <w:highlight w:val="none"/>
        </w:rPr>
        <w:t>联合体成员家数应不超过2家</w:t>
      </w:r>
      <w:r>
        <w:rPr>
          <w:rFonts w:hint="eastAsia"/>
          <w:bCs/>
          <w:szCs w:val="21"/>
          <w:highlight w:val="none"/>
        </w:rPr>
        <w:t>。（2）联合体牵头人必须为设计方；（3）</w:t>
      </w:r>
      <w:r>
        <w:rPr>
          <w:bCs/>
          <w:szCs w:val="21"/>
          <w:highlight w:val="none"/>
        </w:rPr>
        <w:t>联合体各方应签订联合体投标协议书，明确联合体牵头人和各方权利义务。</w:t>
      </w:r>
      <w:r>
        <w:rPr>
          <w:rFonts w:hint="eastAsia"/>
          <w:bCs/>
          <w:szCs w:val="21"/>
          <w:highlight w:val="none"/>
        </w:rPr>
        <w:t>（4）联合体各方不得再以自己名义或加入其他联合体在本工程投标。</w:t>
      </w:r>
    </w:p>
    <w:p>
      <w:pPr>
        <w:spacing w:line="380" w:lineRule="exact"/>
        <w:ind w:firstLine="420" w:firstLineChars="200"/>
        <w:rPr>
          <w:highlight w:val="none"/>
        </w:rPr>
      </w:pPr>
      <w:r>
        <w:rPr>
          <w:rFonts w:hint="eastAsia" w:ascii="宋体" w:hAnsi="宋体"/>
          <w:bCs/>
          <w:szCs w:val="21"/>
          <w:highlight w:val="none"/>
        </w:rPr>
        <w:t>3.4</w:t>
      </w:r>
      <w:r>
        <w:rPr>
          <w:rFonts w:hint="eastAsia"/>
          <w:bCs/>
          <w:szCs w:val="21"/>
          <w:highlight w:val="none"/>
        </w:rPr>
        <w:t>根据《广东省住房和城乡建设厅关于取消省外建筑企业和人员进粵信息备案有关工作的通以备审查知》(粵建市[2015]52 号)、《关于调整省外建筑企业在“进粤企业和人员诚信信息登记平台”信息登记相关工作的通知》和江门市住房城乡建设局发布的《关于调整省外建筑企业信息进粤登记有关查验工作的通知》要求，省外建筑企业需在“进粵企业和人员诚信信息登记平台”录入相关信息并通过数据规范检查，并在投标文件中提供企业基本信息(网上公开信息打印件)以备审查。（如为联合体，指联合体各方)。</w:t>
      </w:r>
    </w:p>
    <w:p>
      <w:pPr>
        <w:spacing w:line="380" w:lineRule="exact"/>
        <w:ind w:firstLine="420" w:firstLineChars="200"/>
        <w:rPr>
          <w:bCs/>
          <w:szCs w:val="21"/>
          <w:highlight w:val="none"/>
        </w:rPr>
      </w:pPr>
      <w:r>
        <w:rPr>
          <w:rFonts w:hint="eastAsia" w:ascii="宋体" w:hAnsi="宋体"/>
          <w:bCs/>
          <w:szCs w:val="21"/>
          <w:highlight w:val="none"/>
        </w:rPr>
        <w:t>3.5</w:t>
      </w:r>
      <w:r>
        <w:rPr>
          <w:bCs/>
          <w:szCs w:val="21"/>
          <w:highlight w:val="none"/>
        </w:rPr>
        <w:t>资质审查方式：</w:t>
      </w:r>
      <w:r>
        <w:rPr>
          <w:bCs/>
          <w:szCs w:val="21"/>
          <w:highlight w:val="none"/>
          <w:u w:val="single"/>
        </w:rPr>
        <w:t>资格后审</w:t>
      </w:r>
      <w:r>
        <w:rPr>
          <w:bCs/>
          <w:szCs w:val="21"/>
          <w:highlight w:val="none"/>
        </w:rPr>
        <w:t xml:space="preserve">。 </w:t>
      </w:r>
    </w:p>
    <w:p>
      <w:pPr>
        <w:spacing w:line="380" w:lineRule="exact"/>
        <w:ind w:firstLine="420" w:firstLineChars="200"/>
        <w:rPr>
          <w:rFonts w:ascii="Arial" w:hAnsi="Arial" w:cs="Arial"/>
          <w:kern w:val="0"/>
          <w:szCs w:val="21"/>
          <w:highlight w:val="none"/>
        </w:rPr>
      </w:pPr>
      <w:r>
        <w:rPr>
          <w:rFonts w:hint="eastAsia" w:ascii="宋体" w:hAnsi="宋体"/>
          <w:bCs/>
          <w:szCs w:val="21"/>
          <w:highlight w:val="none"/>
        </w:rPr>
        <w:t>3.6</w:t>
      </w:r>
      <w:r>
        <w:rPr>
          <w:rFonts w:hint="eastAsia" w:ascii="Arial" w:hAnsi="Arial" w:cs="Arial"/>
          <w:kern w:val="0"/>
          <w:szCs w:val="21"/>
          <w:highlight w:val="none"/>
        </w:rPr>
        <w:t>根据《江门市住房和城乡建设局关于江门市建筑业企业信用管理办法》的相关规定，投标人（含联合体各方）须是被列入“江门市建筑业企业信用管理信息系统”</w:t>
      </w:r>
      <w:r>
        <w:rPr>
          <w:rFonts w:ascii="Arial" w:hAnsi="Arial" w:cs="Arial"/>
          <w:kern w:val="0"/>
          <w:szCs w:val="21"/>
          <w:highlight w:val="none"/>
        </w:rPr>
        <w:t>信用等级为C级</w:t>
      </w:r>
      <w:r>
        <w:rPr>
          <w:rFonts w:hint="eastAsia" w:ascii="Arial" w:hAnsi="Arial" w:cs="Arial"/>
          <w:kern w:val="0"/>
          <w:szCs w:val="21"/>
          <w:highlight w:val="none"/>
        </w:rPr>
        <w:t>或以上</w:t>
      </w:r>
      <w:r>
        <w:rPr>
          <w:rFonts w:ascii="Arial" w:hAnsi="Arial" w:cs="Arial"/>
          <w:kern w:val="0"/>
          <w:szCs w:val="21"/>
          <w:highlight w:val="none"/>
        </w:rPr>
        <w:t>的</w:t>
      </w:r>
      <w:r>
        <w:rPr>
          <w:rFonts w:hint="eastAsia" w:ascii="Arial" w:hAnsi="Arial" w:cs="Arial"/>
          <w:kern w:val="0"/>
          <w:szCs w:val="21"/>
          <w:highlight w:val="none"/>
        </w:rPr>
        <w:t>企业。</w:t>
      </w:r>
    </w:p>
    <w:p>
      <w:pPr>
        <w:spacing w:line="380" w:lineRule="exact"/>
        <w:ind w:firstLine="420" w:firstLineChars="200"/>
        <w:rPr>
          <w:rFonts w:ascii="Arial" w:hAnsi="Arial" w:cs="Arial"/>
          <w:kern w:val="0"/>
          <w:szCs w:val="21"/>
          <w:highlight w:val="none"/>
        </w:rPr>
      </w:pPr>
      <w:r>
        <w:rPr>
          <w:rFonts w:hint="eastAsia" w:ascii="宋体" w:hAnsi="宋体"/>
          <w:bCs/>
          <w:szCs w:val="21"/>
          <w:highlight w:val="none"/>
        </w:rPr>
        <w:t>3.7</w:t>
      </w:r>
      <w:r>
        <w:rPr>
          <w:rFonts w:hint="eastAsia" w:ascii="Arial" w:hAnsi="Arial" w:cs="Arial"/>
          <w:kern w:val="0"/>
          <w:szCs w:val="21"/>
          <w:highlight w:val="none"/>
        </w:rPr>
        <w:t>投标人不属于信用中国“重点领域严重失信主体名单”栏目中的“失信被执行人”或“拖欠农民工工资失信联合惩戒对象名单”（网址：www.creditchina.gov.cn/xinyongfuwu/?navPage=4）。</w:t>
      </w:r>
    </w:p>
    <w:p>
      <w:pPr>
        <w:spacing w:line="380" w:lineRule="exact"/>
        <w:ind w:firstLine="420" w:firstLineChars="200"/>
        <w:rPr>
          <w:rFonts w:ascii="Arial" w:hAnsi="Arial" w:cs="Arial"/>
          <w:kern w:val="0"/>
          <w:szCs w:val="21"/>
          <w:highlight w:val="none"/>
        </w:rPr>
      </w:pPr>
      <w:r>
        <w:rPr>
          <w:rFonts w:hint="eastAsia" w:ascii="宋体" w:hAnsi="宋体"/>
          <w:bCs/>
          <w:szCs w:val="21"/>
          <w:highlight w:val="none"/>
        </w:rPr>
        <w:t>3.8</w:t>
      </w:r>
      <w:r>
        <w:rPr>
          <w:rFonts w:hint="eastAsia" w:ascii="Arial" w:hAnsi="Arial" w:cs="Arial"/>
          <w:kern w:val="0"/>
          <w:szCs w:val="21"/>
          <w:highlight w:val="none"/>
        </w:rPr>
        <w:t>根据《广东省住房和城乡建设厅关于印发香港工程咨询企业和专业人士在粤港澳大湾区内地城市开业执业试点管理暂行办法的通知》（粤建规范[2020]1 号）文件要求，应允许取得香港工程建设咨询从业资格且按《方案》要求在我省备案的企业和执业资格的专业人士参与该项目招投标活动。</w:t>
      </w:r>
    </w:p>
    <w:p>
      <w:pPr>
        <w:pStyle w:val="3"/>
        <w:spacing w:line="380" w:lineRule="exact"/>
        <w:rPr>
          <w:highlight w:val="none"/>
        </w:rPr>
      </w:pPr>
      <w:bookmarkStart w:id="77" w:name="_Toc13244"/>
      <w:bookmarkStart w:id="78" w:name="_Toc25504"/>
      <w:bookmarkStart w:id="79" w:name="_Toc3377"/>
      <w:r>
        <w:rPr>
          <w:highlight w:val="none"/>
        </w:rPr>
        <w:t xml:space="preserve">4. </w:t>
      </w:r>
      <w:bookmarkEnd w:id="67"/>
      <w:bookmarkEnd w:id="68"/>
      <w:bookmarkEnd w:id="69"/>
      <w:bookmarkEnd w:id="70"/>
      <w:bookmarkEnd w:id="71"/>
      <w:r>
        <w:rPr>
          <w:rFonts w:hint="eastAsia"/>
          <w:highlight w:val="none"/>
        </w:rPr>
        <w:t>获取招标文件</w:t>
      </w:r>
      <w:bookmarkEnd w:id="77"/>
      <w:bookmarkEnd w:id="78"/>
      <w:bookmarkEnd w:id="79"/>
    </w:p>
    <w:bookmarkEnd w:id="72"/>
    <w:bookmarkEnd w:id="73"/>
    <w:bookmarkEnd w:id="74"/>
    <w:bookmarkEnd w:id="75"/>
    <w:bookmarkEnd w:id="76"/>
    <w:p>
      <w:pPr>
        <w:spacing w:line="360" w:lineRule="auto"/>
        <w:ind w:firstLine="420" w:firstLineChars="200"/>
        <w:rPr>
          <w:szCs w:val="21"/>
          <w:highlight w:val="none"/>
        </w:rPr>
      </w:pPr>
      <w:bookmarkStart w:id="80" w:name="_Toc487131330"/>
      <w:bookmarkStart w:id="81" w:name="_Toc487202462"/>
      <w:bookmarkStart w:id="82" w:name="_Toc152045516"/>
      <w:bookmarkStart w:id="83" w:name="_Toc247513938"/>
      <w:bookmarkStart w:id="84" w:name="_Toc457376305"/>
      <w:bookmarkStart w:id="85" w:name="_Toc152042292"/>
      <w:bookmarkStart w:id="86" w:name="_Toc2389"/>
      <w:bookmarkStart w:id="87" w:name="_Toc12659"/>
      <w:bookmarkStart w:id="88" w:name="_Toc469605906"/>
      <w:bookmarkStart w:id="89" w:name="_Toc247527539"/>
      <w:bookmarkStart w:id="90" w:name="_Toc31701"/>
      <w:bookmarkStart w:id="91" w:name="_Toc144974484"/>
      <w:r>
        <w:rPr>
          <w:rFonts w:hint="eastAsia"/>
          <w:szCs w:val="21"/>
          <w:highlight w:val="none"/>
        </w:rPr>
        <w:t>4.1本项目采用网上投标申请方式(网上投标登记、纸质投标)，不接受现场投标登记（网上投标登记操作流程详见广州公共资源交易中心网站发布的最新版操作指引）。凡有意参加投标者，</w:t>
      </w:r>
      <w:r>
        <w:rPr>
          <w:szCs w:val="21"/>
          <w:highlight w:val="none"/>
          <w:u w:val="single"/>
        </w:rPr>
        <w:t>2023</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rPr>
        <w:t>分至</w:t>
      </w:r>
      <w:r>
        <w:rPr>
          <w:szCs w:val="21"/>
          <w:highlight w:val="none"/>
          <w:u w:val="single"/>
        </w:rPr>
        <w:t>2023</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rPr>
        <w:t>分(北京时间，下同)，投标人须在广州公共资源交易中心网站自行完成网上登记环节，免费获取招标文件。</w:t>
      </w:r>
    </w:p>
    <w:p>
      <w:pPr>
        <w:spacing w:line="360" w:lineRule="auto"/>
        <w:ind w:firstLine="420" w:firstLineChars="200"/>
        <w:rPr>
          <w:szCs w:val="21"/>
          <w:highlight w:val="none"/>
        </w:rPr>
      </w:pPr>
      <w:r>
        <w:rPr>
          <w:rFonts w:hint="eastAsia"/>
          <w:szCs w:val="21"/>
          <w:highlight w:val="none"/>
        </w:rPr>
        <w:t>4.2投标登记单位少于3家时，招标人将重新组织招标。</w:t>
      </w:r>
    </w:p>
    <w:p>
      <w:pPr>
        <w:pStyle w:val="3"/>
        <w:spacing w:line="380" w:lineRule="exact"/>
        <w:rPr>
          <w:rFonts w:ascii="Times New Roman" w:hAnsi="Times New Roman" w:eastAsia="宋体"/>
          <w:b w:val="0"/>
          <w:bCs w:val="0"/>
          <w:sz w:val="21"/>
          <w:szCs w:val="21"/>
          <w:highlight w:val="none"/>
        </w:rPr>
      </w:pPr>
      <w:bookmarkStart w:id="92" w:name="_Toc14525"/>
      <w:bookmarkStart w:id="93" w:name="_Toc441"/>
      <w:r>
        <w:rPr>
          <w:rFonts w:hint="eastAsia" w:ascii="Times New Roman" w:hAnsi="Times New Roman" w:eastAsia="宋体"/>
          <w:b w:val="0"/>
          <w:bCs w:val="0"/>
          <w:sz w:val="21"/>
          <w:szCs w:val="21"/>
          <w:highlight w:val="none"/>
        </w:rPr>
        <w:t>注：尚未在广州公共资源交易中心已办理企业信息登记的投标人，应在投标登记前办理好企业信息登记，办理方法请浏览广州公共资源交易中心网站服务指南栏目。</w:t>
      </w:r>
      <w:bookmarkEnd w:id="92"/>
      <w:bookmarkEnd w:id="93"/>
    </w:p>
    <w:p>
      <w:pPr>
        <w:pStyle w:val="3"/>
        <w:spacing w:line="380" w:lineRule="exact"/>
        <w:rPr>
          <w:highlight w:val="none"/>
        </w:rPr>
      </w:pPr>
      <w:bookmarkStart w:id="94" w:name="_Toc28583"/>
      <w:bookmarkStart w:id="95" w:name="_Toc11189"/>
      <w:r>
        <w:rPr>
          <w:highlight w:val="none"/>
        </w:rPr>
        <w:t>5. 投标文件的递交</w:t>
      </w:r>
      <w:bookmarkEnd w:id="80"/>
      <w:bookmarkEnd w:id="81"/>
      <w:bookmarkEnd w:id="82"/>
      <w:bookmarkEnd w:id="83"/>
      <w:bookmarkEnd w:id="84"/>
      <w:bookmarkEnd w:id="85"/>
      <w:bookmarkEnd w:id="86"/>
      <w:bookmarkEnd w:id="87"/>
      <w:bookmarkEnd w:id="88"/>
      <w:bookmarkEnd w:id="89"/>
      <w:bookmarkEnd w:id="90"/>
      <w:bookmarkEnd w:id="91"/>
      <w:bookmarkEnd w:id="94"/>
      <w:bookmarkEnd w:id="95"/>
    </w:p>
    <w:p>
      <w:pPr>
        <w:spacing w:line="380" w:lineRule="exact"/>
        <w:ind w:firstLine="420" w:firstLineChars="200"/>
        <w:rPr>
          <w:rFonts w:ascii="Arial" w:hAnsi="Arial" w:cs="Arial"/>
          <w:szCs w:val="21"/>
          <w:highlight w:val="none"/>
        </w:rPr>
      </w:pPr>
      <w:r>
        <w:rPr>
          <w:szCs w:val="21"/>
          <w:highlight w:val="none"/>
        </w:rPr>
        <w:t>5.1</w:t>
      </w:r>
      <w:r>
        <w:rPr>
          <w:rFonts w:hint="eastAsia"/>
          <w:szCs w:val="21"/>
          <w:highlight w:val="none"/>
        </w:rPr>
        <w:t xml:space="preserve"> </w:t>
      </w:r>
      <w:r>
        <w:rPr>
          <w:szCs w:val="21"/>
          <w:highlight w:val="none"/>
        </w:rPr>
        <w:t>投标文件递交的截止时间（投标截止时间，下同）为</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rPr>
        <w:t>分</w:t>
      </w:r>
      <w:r>
        <w:rPr>
          <w:szCs w:val="21"/>
          <w:highlight w:val="none"/>
        </w:rPr>
        <w:t>，地点为</w:t>
      </w:r>
      <w:r>
        <w:rPr>
          <w:rFonts w:hint="eastAsia" w:ascii="Arial" w:hAnsi="Arial" w:cs="Arial"/>
          <w:szCs w:val="21"/>
          <w:highlight w:val="none"/>
        </w:rPr>
        <w:t>广州公共资源交易中心（广东省广州市天河区天润路 333 号），开标室具体以交标当天大屏幕显示的开标室为准。</w:t>
      </w:r>
    </w:p>
    <w:p>
      <w:pPr>
        <w:tabs>
          <w:tab w:val="left" w:pos="360"/>
        </w:tabs>
        <w:spacing w:line="380" w:lineRule="exact"/>
        <w:ind w:firstLine="420" w:firstLineChars="200"/>
        <w:rPr>
          <w:szCs w:val="21"/>
          <w:highlight w:val="none"/>
        </w:rPr>
      </w:pPr>
      <w:r>
        <w:rPr>
          <w:szCs w:val="21"/>
          <w:highlight w:val="none"/>
        </w:rPr>
        <w:t>5.2 逾期送达的或者未送达指定地点的投标文件，招标人不予受理。</w:t>
      </w:r>
    </w:p>
    <w:p>
      <w:pPr>
        <w:pStyle w:val="3"/>
        <w:spacing w:line="380" w:lineRule="exact"/>
        <w:rPr>
          <w:highlight w:val="none"/>
        </w:rPr>
      </w:pPr>
      <w:bookmarkStart w:id="96" w:name="_Toc19001"/>
      <w:bookmarkStart w:id="97" w:name="_Toc487202463"/>
      <w:bookmarkStart w:id="98" w:name="_Toc487131331"/>
      <w:bookmarkStart w:id="99" w:name="_Toc469605907"/>
      <w:bookmarkStart w:id="100" w:name="_Toc18578"/>
      <w:bookmarkStart w:id="101" w:name="_Toc23749"/>
      <w:bookmarkStart w:id="102" w:name="_Toc31478"/>
      <w:bookmarkStart w:id="103" w:name="_Toc457376306"/>
      <w:bookmarkStart w:id="104" w:name="_Toc19064"/>
      <w:r>
        <w:rPr>
          <w:highlight w:val="none"/>
        </w:rPr>
        <w:t>6</w:t>
      </w:r>
      <w:r>
        <w:rPr>
          <w:rFonts w:hint="eastAsia"/>
          <w:highlight w:val="none"/>
        </w:rPr>
        <w:t>. 其他要求</w:t>
      </w:r>
      <w:bookmarkEnd w:id="96"/>
      <w:bookmarkEnd w:id="97"/>
      <w:bookmarkEnd w:id="98"/>
      <w:bookmarkEnd w:id="99"/>
      <w:bookmarkEnd w:id="100"/>
      <w:bookmarkEnd w:id="101"/>
      <w:bookmarkEnd w:id="102"/>
      <w:bookmarkEnd w:id="103"/>
      <w:bookmarkEnd w:id="104"/>
    </w:p>
    <w:p>
      <w:pPr>
        <w:widowControl/>
        <w:shd w:val="clear" w:color="auto" w:fill="FFFFFF"/>
        <w:spacing w:line="380" w:lineRule="exact"/>
        <w:ind w:firstLine="480"/>
        <w:jc w:val="left"/>
        <w:rPr>
          <w:rFonts w:ascii="Arial" w:hAnsi="Arial" w:cs="Arial"/>
          <w:kern w:val="0"/>
          <w:szCs w:val="21"/>
          <w:highlight w:val="none"/>
        </w:rPr>
      </w:pPr>
      <w:bookmarkStart w:id="105" w:name="_Hlk45812182"/>
      <w:bookmarkStart w:id="106" w:name="_Toc457376308"/>
      <w:bookmarkStart w:id="107" w:name="_Toc247513939"/>
      <w:bookmarkStart w:id="108" w:name="_Toc247527540"/>
      <w:bookmarkStart w:id="109" w:name="_Toc157499355"/>
      <w:bookmarkStart w:id="110" w:name="_Toc469605908"/>
      <w:r>
        <w:rPr>
          <w:rFonts w:hint="eastAsia" w:ascii="Arial" w:hAnsi="Arial" w:cs="Arial"/>
          <w:kern w:val="0"/>
          <w:szCs w:val="21"/>
          <w:highlight w:val="none"/>
        </w:rPr>
        <w:t>投标保证金允许使用保证保险形式。</w:t>
      </w:r>
    </w:p>
    <w:p>
      <w:pPr>
        <w:widowControl/>
        <w:shd w:val="clear" w:color="auto" w:fill="FFFFFF"/>
        <w:spacing w:line="380" w:lineRule="exact"/>
        <w:ind w:firstLine="480"/>
        <w:jc w:val="left"/>
        <w:rPr>
          <w:rFonts w:ascii="Arial" w:hAnsi="Arial" w:cs="Arial"/>
          <w:kern w:val="0"/>
          <w:szCs w:val="21"/>
          <w:highlight w:val="none"/>
        </w:rPr>
      </w:pPr>
      <w:r>
        <w:rPr>
          <w:rFonts w:hint="eastAsia" w:ascii="Arial" w:hAnsi="Arial" w:cs="Arial"/>
          <w:kern w:val="0"/>
          <w:szCs w:val="21"/>
          <w:highlight w:val="none"/>
        </w:rPr>
        <w:t>政府投资项目禁止使用带资承包方式进行建设。</w:t>
      </w:r>
    </w:p>
    <w:p>
      <w:pPr>
        <w:widowControl/>
        <w:shd w:val="clear" w:color="auto" w:fill="FFFFFF"/>
        <w:spacing w:line="380" w:lineRule="exact"/>
        <w:ind w:firstLine="480"/>
        <w:jc w:val="left"/>
        <w:rPr>
          <w:rFonts w:ascii="Arial" w:hAnsi="Arial" w:cs="Arial"/>
          <w:kern w:val="0"/>
          <w:szCs w:val="21"/>
          <w:highlight w:val="none"/>
        </w:rPr>
      </w:pPr>
      <w:r>
        <w:rPr>
          <w:rFonts w:hint="eastAsia" w:ascii="Arial" w:hAnsi="Arial" w:cs="Arial"/>
          <w:kern w:val="0"/>
          <w:szCs w:val="21"/>
          <w:highlight w:val="none"/>
        </w:rPr>
        <w:t>中标人应为本项目购买安全生产责任险。</w:t>
      </w:r>
      <w:bookmarkEnd w:id="105"/>
    </w:p>
    <w:p>
      <w:pPr>
        <w:widowControl/>
        <w:shd w:val="clear" w:color="auto" w:fill="FFFFFF"/>
        <w:spacing w:line="380" w:lineRule="exact"/>
        <w:ind w:firstLine="480"/>
        <w:jc w:val="left"/>
        <w:rPr>
          <w:rFonts w:ascii="Arial" w:hAnsi="Arial" w:cs="Arial"/>
          <w:kern w:val="0"/>
          <w:szCs w:val="21"/>
          <w:highlight w:val="none"/>
        </w:rPr>
      </w:pPr>
      <w:r>
        <w:rPr>
          <w:rFonts w:hint="eastAsia" w:ascii="Arial" w:hAnsi="Arial" w:cs="Arial"/>
          <w:kern w:val="0"/>
          <w:szCs w:val="21"/>
          <w:highlight w:val="none"/>
        </w:rPr>
        <w:t>关于履约担保及工程款支付担保应当按第二章“投标人须知”前附表第7.4.1款执行</w:t>
      </w:r>
    </w:p>
    <w:p>
      <w:pPr>
        <w:pStyle w:val="3"/>
        <w:spacing w:line="380" w:lineRule="exact"/>
        <w:rPr>
          <w:highlight w:val="none"/>
        </w:rPr>
      </w:pPr>
      <w:bookmarkStart w:id="111" w:name="_Toc28018"/>
      <w:bookmarkStart w:id="112" w:name="_Toc10846"/>
      <w:bookmarkStart w:id="113" w:name="_Toc21607"/>
      <w:bookmarkStart w:id="114" w:name="_Toc5851"/>
      <w:bookmarkStart w:id="115" w:name="_Toc487131332"/>
      <w:bookmarkStart w:id="116" w:name="_Toc487202464"/>
      <w:bookmarkStart w:id="117" w:name="_Toc16312"/>
      <w:r>
        <w:rPr>
          <w:highlight w:val="none"/>
        </w:rPr>
        <w:t>7</w:t>
      </w:r>
      <w:r>
        <w:rPr>
          <w:rFonts w:hint="eastAsia"/>
          <w:highlight w:val="none"/>
        </w:rPr>
        <w:t>. 发布公告的媒介</w:t>
      </w:r>
      <w:bookmarkEnd w:id="106"/>
      <w:bookmarkEnd w:id="107"/>
      <w:bookmarkEnd w:id="108"/>
      <w:bookmarkEnd w:id="109"/>
      <w:bookmarkEnd w:id="110"/>
      <w:bookmarkEnd w:id="111"/>
      <w:bookmarkEnd w:id="112"/>
      <w:bookmarkEnd w:id="113"/>
      <w:bookmarkEnd w:id="114"/>
      <w:bookmarkEnd w:id="115"/>
      <w:bookmarkEnd w:id="116"/>
      <w:bookmarkEnd w:id="117"/>
    </w:p>
    <w:p>
      <w:pPr>
        <w:spacing w:line="380" w:lineRule="exact"/>
        <w:ind w:firstLine="420" w:firstLineChars="200"/>
        <w:rPr>
          <w:szCs w:val="21"/>
          <w:highlight w:val="none"/>
        </w:rPr>
      </w:pPr>
      <w:r>
        <w:rPr>
          <w:rFonts w:hint="eastAsia"/>
          <w:szCs w:val="21"/>
          <w:highlight w:val="none"/>
        </w:rPr>
        <w:t>本次招标公告同时在</w:t>
      </w:r>
      <w:r>
        <w:rPr>
          <w:rFonts w:hint="eastAsia"/>
          <w:highlight w:val="none"/>
        </w:rPr>
        <w:t>广东省招标投标监管网、广州公共资源交易中心网站上发布</w:t>
      </w:r>
      <w:r>
        <w:rPr>
          <w:rFonts w:hint="eastAsia"/>
          <w:szCs w:val="21"/>
          <w:highlight w:val="none"/>
        </w:rPr>
        <w:t>。</w:t>
      </w:r>
      <w:r>
        <w:rPr>
          <w:rFonts w:hint="eastAsia"/>
          <w:highlight w:val="none"/>
        </w:rPr>
        <w:t>招标公告内容以广东省招标投标监管网为准。</w:t>
      </w:r>
    </w:p>
    <w:p>
      <w:pPr>
        <w:pStyle w:val="3"/>
        <w:spacing w:line="380" w:lineRule="exact"/>
        <w:rPr>
          <w:highlight w:val="none"/>
        </w:rPr>
      </w:pPr>
      <w:bookmarkStart w:id="118" w:name="_Toc247527541"/>
      <w:bookmarkStart w:id="119" w:name="_Toc4971"/>
      <w:bookmarkStart w:id="120" w:name="_Toc144974485"/>
      <w:bookmarkStart w:id="121" w:name="_Toc152042293"/>
      <w:bookmarkStart w:id="122" w:name="_Toc457376309"/>
      <w:bookmarkStart w:id="123" w:name="_Toc152045517"/>
      <w:bookmarkStart w:id="124" w:name="_Toc487202465"/>
      <w:bookmarkStart w:id="125" w:name="_Toc247513940"/>
      <w:bookmarkStart w:id="126" w:name="_Toc1404"/>
      <w:bookmarkStart w:id="127" w:name="_Toc487131333"/>
      <w:bookmarkStart w:id="128" w:name="_Toc26437"/>
      <w:bookmarkStart w:id="129" w:name="_Toc26899"/>
      <w:bookmarkStart w:id="130" w:name="_Toc14536"/>
      <w:r>
        <w:rPr>
          <w:highlight w:val="none"/>
        </w:rPr>
        <w:t>8. 联系方式</w:t>
      </w:r>
      <w:bookmarkEnd w:id="118"/>
      <w:bookmarkEnd w:id="119"/>
      <w:bookmarkEnd w:id="120"/>
      <w:bookmarkEnd w:id="121"/>
      <w:bookmarkEnd w:id="122"/>
      <w:bookmarkEnd w:id="123"/>
      <w:bookmarkEnd w:id="124"/>
      <w:bookmarkEnd w:id="125"/>
      <w:bookmarkEnd w:id="126"/>
      <w:bookmarkEnd w:id="127"/>
      <w:bookmarkEnd w:id="128"/>
      <w:bookmarkEnd w:id="129"/>
      <w:bookmarkEnd w:id="130"/>
    </w:p>
    <w:p>
      <w:pPr>
        <w:spacing w:line="360" w:lineRule="auto"/>
        <w:rPr>
          <w:highlight w:val="none"/>
        </w:rPr>
      </w:pPr>
      <w:r>
        <w:rPr>
          <w:rFonts w:ascii="宋体" w:hAnsi="宋体"/>
          <w:szCs w:val="21"/>
          <w:highlight w:val="none"/>
        </w:rPr>
        <w:t>招</w:t>
      </w:r>
      <w:r>
        <w:rPr>
          <w:rFonts w:hint="eastAsia"/>
          <w:highlight w:val="none"/>
        </w:rPr>
        <w:t xml:space="preserve">标人：恩平市产业园区开发建设有限公司 </w:t>
      </w:r>
    </w:p>
    <w:p>
      <w:pPr>
        <w:spacing w:line="360" w:lineRule="auto"/>
        <w:rPr>
          <w:highlight w:val="none"/>
        </w:rPr>
      </w:pPr>
      <w:r>
        <w:rPr>
          <w:rFonts w:hint="eastAsia"/>
          <w:highlight w:val="none"/>
        </w:rPr>
        <w:t xml:space="preserve">联系人：冯先生 </w:t>
      </w:r>
    </w:p>
    <w:p>
      <w:pPr>
        <w:spacing w:line="360" w:lineRule="auto"/>
        <w:rPr>
          <w:highlight w:val="none"/>
        </w:rPr>
      </w:pPr>
      <w:r>
        <w:rPr>
          <w:rFonts w:hint="eastAsia"/>
          <w:highlight w:val="none"/>
        </w:rPr>
        <w:t>电 话：0750-7821396</w:t>
      </w:r>
    </w:p>
    <w:p>
      <w:pPr>
        <w:spacing w:line="360" w:lineRule="auto"/>
        <w:ind w:left="7875" w:hanging="7875" w:hangingChars="3750"/>
        <w:rPr>
          <w:rFonts w:ascii="宋体" w:hAnsi="宋体"/>
          <w:szCs w:val="21"/>
          <w:highlight w:val="none"/>
        </w:rPr>
      </w:pPr>
      <w:r>
        <w:rPr>
          <w:rFonts w:hint="eastAsia" w:ascii="宋体" w:hAnsi="宋体"/>
          <w:szCs w:val="21"/>
          <w:highlight w:val="none"/>
        </w:rPr>
        <w:t>招标代理机构：广东省机电设备招标中心有限公司</w:t>
      </w:r>
      <w:r>
        <w:rPr>
          <w:rFonts w:hint="eastAsia"/>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p>
    <w:p>
      <w:pPr>
        <w:spacing w:line="360" w:lineRule="auto"/>
        <w:ind w:left="630" w:hanging="630" w:hangingChars="300"/>
        <w:rPr>
          <w:rFonts w:ascii="宋体" w:hAnsi="宋体"/>
          <w:szCs w:val="21"/>
          <w:highlight w:val="none"/>
          <w:shd w:val="clear" w:color="auto" w:fill="FFFFFF"/>
        </w:rPr>
      </w:pPr>
      <w:r>
        <w:rPr>
          <w:rFonts w:hint="eastAsia" w:ascii="宋体" w:hAnsi="宋体"/>
          <w:szCs w:val="21"/>
          <w:highlight w:val="none"/>
          <w:shd w:val="clear" w:color="auto" w:fill="FFFFFF"/>
        </w:rPr>
        <w:t xml:space="preserve">联系人：秦工     </w:t>
      </w:r>
    </w:p>
    <w:p>
      <w:pPr>
        <w:spacing w:line="360" w:lineRule="auto"/>
        <w:rPr>
          <w:rFonts w:ascii="宋体" w:hAnsi="宋体"/>
          <w:szCs w:val="21"/>
          <w:highlight w:val="none"/>
        </w:rPr>
      </w:pPr>
      <w:r>
        <w:rPr>
          <w:rFonts w:hint="eastAsia" w:ascii="宋体" w:hAnsi="宋体"/>
          <w:szCs w:val="21"/>
          <w:highlight w:val="none"/>
          <w:shd w:val="clear" w:color="auto" w:fill="FFFFFF"/>
        </w:rPr>
        <w:t>电话：18838102335</w:t>
      </w:r>
    </w:p>
    <w:p>
      <w:pPr>
        <w:spacing w:line="360" w:lineRule="auto"/>
        <w:ind w:left="7875" w:hanging="7875" w:hangingChars="3750"/>
        <w:rPr>
          <w:rFonts w:ascii="宋体" w:hAnsi="宋体"/>
          <w:szCs w:val="21"/>
          <w:highlight w:val="none"/>
        </w:rPr>
      </w:pPr>
      <w:r>
        <w:rPr>
          <w:rFonts w:hint="eastAsia" w:ascii="宋体" w:hAnsi="宋体"/>
          <w:szCs w:val="21"/>
          <w:highlight w:val="none"/>
        </w:rPr>
        <w:t>监督部门：</w:t>
      </w:r>
      <w:r>
        <w:rPr>
          <w:highlight w:val="none"/>
        </w:rPr>
        <w:t>恩平市住房和城乡建设局</w:t>
      </w:r>
    </w:p>
    <w:p>
      <w:pPr>
        <w:spacing w:line="360" w:lineRule="auto"/>
        <w:ind w:left="7875" w:hanging="7875" w:hangingChars="3750"/>
        <w:rPr>
          <w:rFonts w:ascii="宋体" w:hAnsi="宋体"/>
          <w:szCs w:val="21"/>
          <w:highlight w:val="none"/>
        </w:rPr>
      </w:pPr>
      <w:r>
        <w:rPr>
          <w:rFonts w:hint="eastAsia" w:ascii="宋体" w:hAnsi="宋体"/>
          <w:szCs w:val="21"/>
          <w:highlight w:val="none"/>
        </w:rPr>
        <w:t>电话：</w:t>
      </w:r>
      <w:r>
        <w:rPr>
          <w:highlight w:val="none"/>
        </w:rPr>
        <w:t>0750-7729986</w:t>
      </w:r>
    </w:p>
    <w:p>
      <w:pPr>
        <w:tabs>
          <w:tab w:val="left" w:pos="8580"/>
        </w:tabs>
        <w:spacing w:line="380" w:lineRule="exact"/>
        <w:rPr>
          <w:rFonts w:ascii="宋体" w:hAnsi="宋体"/>
          <w:szCs w:val="21"/>
          <w:highlight w:val="none"/>
        </w:rPr>
      </w:pPr>
    </w:p>
    <w:p>
      <w:pPr>
        <w:jc w:val="center"/>
        <w:outlineLvl w:val="0"/>
        <w:rPr>
          <w:b/>
          <w:bCs/>
          <w:kern w:val="44"/>
          <w:sz w:val="44"/>
          <w:szCs w:val="44"/>
          <w:highlight w:val="none"/>
        </w:rPr>
      </w:pPr>
      <w:bookmarkStart w:id="131" w:name="_Toc152042303"/>
      <w:bookmarkStart w:id="132" w:name="_Toc152045527"/>
      <w:bookmarkStart w:id="133" w:name="_Toc247527551"/>
      <w:bookmarkStart w:id="134" w:name="_Toc144974495"/>
      <w:bookmarkStart w:id="135" w:name="_Toc25574"/>
      <w:bookmarkStart w:id="136" w:name="_Toc247513950"/>
    </w:p>
    <w:p>
      <w:pPr>
        <w:jc w:val="center"/>
        <w:outlineLvl w:val="0"/>
        <w:rPr>
          <w:b/>
          <w:bCs/>
          <w:kern w:val="44"/>
          <w:sz w:val="44"/>
          <w:szCs w:val="44"/>
          <w:highlight w:val="none"/>
        </w:rPr>
      </w:pPr>
    </w:p>
    <w:p>
      <w:pPr>
        <w:jc w:val="center"/>
        <w:outlineLvl w:val="0"/>
        <w:rPr>
          <w:b/>
          <w:bCs/>
          <w:kern w:val="44"/>
          <w:sz w:val="44"/>
          <w:szCs w:val="44"/>
          <w:highlight w:val="none"/>
        </w:rPr>
      </w:pPr>
    </w:p>
    <w:p>
      <w:pPr>
        <w:jc w:val="left"/>
        <w:rPr>
          <w:b/>
          <w:bCs/>
          <w:kern w:val="44"/>
          <w:sz w:val="44"/>
          <w:szCs w:val="44"/>
          <w:highlight w:val="none"/>
        </w:rPr>
      </w:pPr>
      <w:r>
        <w:rPr>
          <w:rFonts w:hint="eastAsia"/>
          <w:kern w:val="44"/>
          <w:sz w:val="24"/>
          <w:highlight w:val="none"/>
        </w:rPr>
        <w:t>附件：</w:t>
      </w:r>
    </w:p>
    <w:p>
      <w:pPr>
        <w:jc w:val="center"/>
        <w:rPr>
          <w:b/>
          <w:sz w:val="32"/>
          <w:szCs w:val="32"/>
          <w:highlight w:val="none"/>
        </w:rPr>
      </w:pPr>
      <w:r>
        <w:rPr>
          <w:rFonts w:hint="eastAsia" w:ascii="黑体" w:hAnsi="黑体" w:eastAsia="黑体"/>
          <w:b/>
          <w:sz w:val="28"/>
          <w:szCs w:val="28"/>
          <w:highlight w:val="none"/>
        </w:rPr>
        <w:t>联合体协议书（参考格式）（如有）</w:t>
      </w:r>
    </w:p>
    <w:p>
      <w:pPr>
        <w:jc w:val="center"/>
        <w:rPr>
          <w:b/>
          <w:sz w:val="32"/>
          <w:szCs w:val="32"/>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（所有成员单位名称）自愿组成联合体，共同参加 （项目名称）投标。</w:t>
      </w:r>
    </w:p>
    <w:p>
      <w:pPr>
        <w:spacing w:line="360" w:lineRule="auto"/>
        <w:rPr>
          <w:rFonts w:ascii="宋体" w:hAnsi="宋体"/>
          <w:sz w:val="24"/>
          <w:highlight w:val="none"/>
        </w:rPr>
      </w:pPr>
      <w:r>
        <w:rPr>
          <w:rFonts w:hint="eastAsia" w:ascii="宋体" w:hAnsi="宋体"/>
          <w:sz w:val="24"/>
          <w:highlight w:val="none"/>
        </w:rPr>
        <w:t>现就联合体投标事宜订立如下协议。</w:t>
      </w:r>
    </w:p>
    <w:p>
      <w:pPr>
        <w:spacing w:line="360" w:lineRule="auto"/>
        <w:ind w:firstLine="240" w:firstLineChars="100"/>
        <w:rPr>
          <w:rFonts w:ascii="宋体" w:hAnsi="宋体"/>
          <w:sz w:val="24"/>
          <w:highlight w:val="none"/>
        </w:rPr>
      </w:pPr>
      <w:r>
        <w:rPr>
          <w:rFonts w:hint="eastAsia" w:ascii="宋体" w:hAnsi="宋体"/>
          <w:sz w:val="24"/>
          <w:highlight w:val="none"/>
        </w:rPr>
        <w:t>1、 （某成员单位名称）为联合体牵头人。</w:t>
      </w:r>
    </w:p>
    <w:p>
      <w:pPr>
        <w:spacing w:line="360" w:lineRule="auto"/>
        <w:ind w:firstLine="240" w:firstLineChars="100"/>
        <w:rPr>
          <w:rFonts w:ascii="宋体" w:hAnsi="宋体"/>
          <w:sz w:val="24"/>
          <w:highlight w:val="none"/>
        </w:rPr>
      </w:pPr>
      <w:r>
        <w:rPr>
          <w:rFonts w:hint="eastAsia" w:ascii="宋体" w:hAnsi="宋体"/>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240" w:firstLineChars="100"/>
        <w:rPr>
          <w:rFonts w:ascii="宋体" w:hAnsi="宋体"/>
          <w:sz w:val="24"/>
          <w:highlight w:val="none"/>
        </w:rPr>
      </w:pPr>
      <w:r>
        <w:rPr>
          <w:rFonts w:hint="eastAsia" w:ascii="宋体" w:hAnsi="宋体"/>
          <w:sz w:val="24"/>
          <w:highlight w:val="none"/>
        </w:rPr>
        <w:t>3、联合体将严格按照招标文件的各项要求，递交投标文件，履行合同，并对外承担连带责任。</w:t>
      </w:r>
    </w:p>
    <w:p>
      <w:pPr>
        <w:pStyle w:val="11"/>
        <w:tabs>
          <w:tab w:val="left" w:pos="5062"/>
          <w:tab w:val="left" w:pos="7216"/>
          <w:tab w:val="left" w:pos="8371"/>
        </w:tabs>
        <w:spacing w:before="170"/>
        <w:ind w:firstLine="240" w:firstLineChars="100"/>
        <w:rPr>
          <w:rFonts w:ascii="宋体" w:hAnsi="宋体"/>
          <w:sz w:val="24"/>
          <w:highlight w:val="none"/>
        </w:rPr>
      </w:pPr>
      <w:r>
        <w:rPr>
          <w:rFonts w:hint="eastAsia" w:ascii="宋体" w:hAnsi="宋体"/>
          <w:sz w:val="24"/>
          <w:highlight w:val="none"/>
        </w:rPr>
        <w:t>4、联合体各成员单位内部的职责分工如下：</w:t>
      </w:r>
      <w:r>
        <w:rPr>
          <w:highlight w:val="none"/>
          <w:u w:val="single"/>
        </w:rPr>
        <w:t>（某成员单位名称）</w:t>
      </w:r>
      <w:r>
        <w:rPr>
          <w:highlight w:val="none"/>
          <w:u w:val="single"/>
        </w:rPr>
        <w:tab/>
      </w:r>
      <w:r>
        <w:rPr>
          <w:highlight w:val="none"/>
        </w:rPr>
        <w:t>负责</w:t>
      </w:r>
      <w:r>
        <w:rPr>
          <w:highlight w:val="none"/>
          <w:u w:val="single"/>
        </w:rPr>
        <w:t xml:space="preserve"> </w:t>
      </w:r>
      <w:r>
        <w:rPr>
          <w:highlight w:val="none"/>
          <w:u w:val="single"/>
        </w:rPr>
        <w:tab/>
      </w:r>
      <w:r>
        <w:rPr>
          <w:highlight w:val="none"/>
        </w:rPr>
        <w:t>的工作，（</w:t>
      </w:r>
      <w:r>
        <w:rPr>
          <w:highlight w:val="none"/>
          <w:u w:val="single"/>
        </w:rPr>
        <w:t>某成员单位名称）</w:t>
      </w:r>
      <w:r>
        <w:rPr>
          <w:highlight w:val="none"/>
        </w:rPr>
        <w:t>负责</w:t>
      </w:r>
      <w:r>
        <w:rPr>
          <w:highlight w:val="none"/>
          <w:u w:val="single"/>
        </w:rPr>
        <w:t xml:space="preserve"> </w:t>
      </w:r>
      <w:r>
        <w:rPr>
          <w:highlight w:val="none"/>
          <w:u w:val="single"/>
        </w:rPr>
        <w:tab/>
      </w:r>
      <w:r>
        <w:rPr>
          <w:highlight w:val="none"/>
        </w:rPr>
        <w:t>的工作</w:t>
      </w:r>
      <w:r>
        <w:rPr>
          <w:rFonts w:hint="eastAsia" w:ascii="宋体" w:hAnsi="宋体"/>
          <w:sz w:val="24"/>
          <w:highlight w:val="none"/>
        </w:rPr>
        <w:t>。</w:t>
      </w:r>
    </w:p>
    <w:p>
      <w:pPr>
        <w:spacing w:line="360" w:lineRule="auto"/>
        <w:ind w:firstLine="240" w:firstLineChars="100"/>
        <w:rPr>
          <w:rFonts w:ascii="宋体" w:hAnsi="宋体"/>
          <w:sz w:val="24"/>
          <w:highlight w:val="none"/>
        </w:rPr>
      </w:pPr>
      <w:r>
        <w:rPr>
          <w:rFonts w:hint="eastAsia" w:ascii="宋体" w:hAnsi="宋体"/>
          <w:sz w:val="24"/>
          <w:highlight w:val="none"/>
        </w:rPr>
        <w:t>5、本协议书自签署之日起生效，合同履行完毕后自动失效。</w:t>
      </w:r>
    </w:p>
    <w:p>
      <w:pPr>
        <w:spacing w:line="360" w:lineRule="auto"/>
        <w:ind w:firstLine="240" w:firstLineChars="100"/>
        <w:rPr>
          <w:rFonts w:ascii="宋体" w:hAnsi="宋体"/>
          <w:sz w:val="24"/>
          <w:highlight w:val="none"/>
        </w:rPr>
      </w:pPr>
      <w:r>
        <w:rPr>
          <w:rFonts w:hint="eastAsia" w:ascii="宋体" w:hAnsi="宋体"/>
          <w:sz w:val="24"/>
          <w:highlight w:val="none"/>
        </w:rPr>
        <w:t>6、本协议书一式</w:t>
      </w:r>
      <w:r>
        <w:rPr>
          <w:highlight w:val="none"/>
          <w:u w:val="single"/>
        </w:rPr>
        <w:t>　　    　　</w:t>
      </w:r>
      <w:r>
        <w:rPr>
          <w:rFonts w:hint="eastAsia" w:ascii="宋体" w:hAnsi="宋体"/>
          <w:sz w:val="24"/>
          <w:highlight w:val="none"/>
        </w:rPr>
        <w:t>份，联合体成员和招标人各执一份。</w:t>
      </w:r>
    </w:p>
    <w:p>
      <w:pPr>
        <w:spacing w:line="360" w:lineRule="auto"/>
        <w:ind w:firstLine="240" w:firstLineChars="100"/>
        <w:rPr>
          <w:rFonts w:ascii="宋体" w:hAnsi="宋体"/>
          <w:sz w:val="24"/>
          <w:highlight w:val="none"/>
        </w:rPr>
      </w:pPr>
    </w:p>
    <w:p>
      <w:pPr>
        <w:spacing w:line="360" w:lineRule="auto"/>
        <w:ind w:firstLine="240" w:firstLineChars="100"/>
        <w:rPr>
          <w:rFonts w:ascii="宋体" w:hAnsi="宋体"/>
          <w:sz w:val="24"/>
          <w:highlight w:val="none"/>
        </w:rPr>
      </w:pPr>
      <w:r>
        <w:rPr>
          <w:rFonts w:hint="eastAsia" w:ascii="宋体" w:hAnsi="宋体"/>
          <w:sz w:val="24"/>
          <w:highlight w:val="none"/>
        </w:rPr>
        <w:t>注：本协议书由委托代理人签字的，应附法定代表人签字的授权委托书。</w:t>
      </w:r>
    </w:p>
    <w:p>
      <w:pPr>
        <w:spacing w:line="360" w:lineRule="auto"/>
        <w:ind w:firstLine="240" w:firstLineChars="100"/>
        <w:rPr>
          <w:rFonts w:ascii="宋体" w:hAnsi="宋体"/>
          <w:sz w:val="24"/>
          <w:highlight w:val="none"/>
        </w:rPr>
      </w:pPr>
    </w:p>
    <w:p>
      <w:pPr>
        <w:spacing w:line="360" w:lineRule="auto"/>
        <w:ind w:firstLine="240" w:firstLineChars="100"/>
        <w:jc w:val="right"/>
        <w:rPr>
          <w:rFonts w:ascii="宋体" w:hAnsi="宋体"/>
          <w:sz w:val="24"/>
          <w:highlight w:val="none"/>
        </w:rPr>
      </w:pPr>
      <w:r>
        <w:rPr>
          <w:rFonts w:hint="eastAsia" w:ascii="宋体" w:hAnsi="宋体"/>
          <w:sz w:val="24"/>
          <w:highlight w:val="none"/>
        </w:rPr>
        <w:t>牵头人名称：</w:t>
      </w:r>
      <w:r>
        <w:rPr>
          <w:highlight w:val="none"/>
          <w:u w:val="single"/>
        </w:rPr>
        <w:t xml:space="preserve">　    　    </w:t>
      </w:r>
      <w:r>
        <w:rPr>
          <w:rFonts w:hint="eastAsia" w:ascii="宋体" w:hAnsi="宋体"/>
          <w:sz w:val="24"/>
          <w:highlight w:val="none"/>
        </w:rPr>
        <w:t>（盖单位公章）</w:t>
      </w:r>
    </w:p>
    <w:p>
      <w:pPr>
        <w:spacing w:line="360" w:lineRule="auto"/>
        <w:ind w:firstLine="240" w:firstLineChars="100"/>
        <w:jc w:val="right"/>
        <w:rPr>
          <w:rFonts w:ascii="宋体" w:hAnsi="宋体"/>
          <w:sz w:val="24"/>
          <w:highlight w:val="none"/>
        </w:rPr>
      </w:pPr>
      <w:r>
        <w:rPr>
          <w:rFonts w:hint="eastAsia" w:ascii="宋体" w:hAnsi="宋体"/>
          <w:sz w:val="24"/>
          <w:highlight w:val="none"/>
        </w:rPr>
        <w:t xml:space="preserve">法定代表人或其委托代理人： </w:t>
      </w:r>
      <w:r>
        <w:rPr>
          <w:highlight w:val="none"/>
          <w:u w:val="single"/>
        </w:rPr>
        <w:t xml:space="preserve">　    　    </w:t>
      </w:r>
      <w:r>
        <w:rPr>
          <w:rFonts w:hint="eastAsia" w:ascii="宋体" w:hAnsi="宋体"/>
          <w:sz w:val="24"/>
          <w:highlight w:val="none"/>
        </w:rPr>
        <w:t>（签字或印章）</w:t>
      </w:r>
    </w:p>
    <w:p>
      <w:pPr>
        <w:spacing w:line="360" w:lineRule="auto"/>
        <w:ind w:firstLine="240" w:firstLineChars="100"/>
        <w:jc w:val="right"/>
        <w:rPr>
          <w:rFonts w:ascii="宋体" w:hAnsi="宋体"/>
          <w:sz w:val="24"/>
          <w:highlight w:val="none"/>
        </w:rPr>
      </w:pPr>
    </w:p>
    <w:p>
      <w:pPr>
        <w:spacing w:line="360" w:lineRule="auto"/>
        <w:ind w:firstLine="240" w:firstLineChars="100"/>
        <w:jc w:val="right"/>
        <w:rPr>
          <w:rFonts w:ascii="宋体" w:hAnsi="宋体"/>
          <w:sz w:val="24"/>
          <w:highlight w:val="none"/>
        </w:rPr>
      </w:pPr>
      <w:r>
        <w:rPr>
          <w:rFonts w:hint="eastAsia" w:ascii="宋体" w:hAnsi="宋体"/>
          <w:sz w:val="24"/>
          <w:highlight w:val="none"/>
        </w:rPr>
        <w:t xml:space="preserve">成员一名称： </w:t>
      </w:r>
      <w:r>
        <w:rPr>
          <w:highlight w:val="none"/>
          <w:u w:val="single"/>
        </w:rPr>
        <w:t xml:space="preserve">　    　    </w:t>
      </w:r>
      <w:r>
        <w:rPr>
          <w:rFonts w:hint="eastAsia" w:ascii="宋体" w:hAnsi="宋体"/>
          <w:sz w:val="24"/>
          <w:highlight w:val="none"/>
        </w:rPr>
        <w:t>（盖单位公章）</w:t>
      </w:r>
    </w:p>
    <w:p>
      <w:pPr>
        <w:spacing w:line="360" w:lineRule="auto"/>
        <w:ind w:firstLine="240" w:firstLineChars="100"/>
        <w:jc w:val="right"/>
        <w:rPr>
          <w:rFonts w:ascii="宋体" w:hAnsi="宋体"/>
          <w:sz w:val="24"/>
          <w:highlight w:val="none"/>
        </w:rPr>
      </w:pPr>
      <w:r>
        <w:rPr>
          <w:rFonts w:hint="eastAsia" w:ascii="宋体" w:hAnsi="宋体"/>
          <w:sz w:val="24"/>
          <w:highlight w:val="none"/>
        </w:rPr>
        <w:t>法定代表人或其委托代理人：</w:t>
      </w:r>
      <w:r>
        <w:rPr>
          <w:highlight w:val="none"/>
          <w:u w:val="single"/>
        </w:rPr>
        <w:t xml:space="preserve">　    　    </w:t>
      </w:r>
      <w:r>
        <w:rPr>
          <w:rFonts w:hint="eastAsia" w:ascii="宋体" w:hAnsi="宋体"/>
          <w:sz w:val="24"/>
          <w:highlight w:val="none"/>
        </w:rPr>
        <w:t>（签字或印章）</w:t>
      </w:r>
    </w:p>
    <w:p>
      <w:pPr>
        <w:spacing w:line="360" w:lineRule="auto"/>
        <w:ind w:firstLine="240" w:firstLineChars="100"/>
        <w:jc w:val="right"/>
        <w:rPr>
          <w:rFonts w:ascii="宋体" w:hAnsi="宋体"/>
          <w:sz w:val="24"/>
          <w:highlight w:val="none"/>
        </w:rPr>
      </w:pPr>
    </w:p>
    <w:p>
      <w:pPr>
        <w:spacing w:line="360" w:lineRule="auto"/>
        <w:ind w:firstLine="210" w:firstLineChars="100"/>
        <w:jc w:val="right"/>
        <w:rPr>
          <w:rFonts w:ascii="宋体" w:hAnsi="宋体"/>
          <w:sz w:val="24"/>
          <w:highlight w:val="none"/>
        </w:rPr>
      </w:pPr>
      <w:r>
        <w:rPr>
          <w:highlight w:val="none"/>
          <w:u w:val="single"/>
        </w:rPr>
        <w:t xml:space="preserve">    　  </w:t>
      </w:r>
      <w:r>
        <w:rPr>
          <w:rFonts w:hint="eastAsia" w:ascii="宋体" w:hAnsi="宋体"/>
          <w:sz w:val="24"/>
          <w:highlight w:val="none"/>
        </w:rPr>
        <w:t xml:space="preserve">年 </w:t>
      </w:r>
      <w:r>
        <w:rPr>
          <w:highlight w:val="none"/>
          <w:u w:val="single"/>
        </w:rPr>
        <w:t xml:space="preserve">    　  </w:t>
      </w:r>
      <w:r>
        <w:rPr>
          <w:rFonts w:hint="eastAsia" w:ascii="宋体" w:hAnsi="宋体"/>
          <w:sz w:val="24"/>
          <w:highlight w:val="none"/>
        </w:rPr>
        <w:t>月</w:t>
      </w:r>
      <w:r>
        <w:rPr>
          <w:highlight w:val="none"/>
          <w:u w:val="single"/>
        </w:rPr>
        <w:t xml:space="preserve">    　  </w:t>
      </w:r>
      <w:r>
        <w:rPr>
          <w:rFonts w:hint="eastAsia" w:ascii="宋体" w:hAnsi="宋体"/>
          <w:sz w:val="24"/>
          <w:highlight w:val="none"/>
        </w:rPr>
        <w:t xml:space="preserve"> 日</w:t>
      </w:r>
    </w:p>
    <w:p>
      <w:pPr>
        <w:spacing w:line="360" w:lineRule="auto"/>
        <w:ind w:firstLine="240" w:firstLineChars="100"/>
        <w:jc w:val="right"/>
        <w:rPr>
          <w:rFonts w:ascii="宋体" w:hAnsi="宋体"/>
          <w:sz w:val="24"/>
          <w:highlight w:val="none"/>
        </w:rPr>
      </w:pPr>
    </w:p>
    <w:p>
      <w:pPr>
        <w:spacing w:line="360" w:lineRule="auto"/>
        <w:ind w:firstLine="240" w:firstLineChars="100"/>
        <w:jc w:val="right"/>
        <w:rPr>
          <w:rFonts w:ascii="宋体" w:hAnsi="宋体"/>
          <w:sz w:val="24"/>
          <w:highlight w:val="none"/>
        </w:rPr>
      </w:pPr>
      <w:r>
        <w:rPr>
          <w:rFonts w:hint="eastAsia" w:ascii="宋体" w:hAnsi="宋体"/>
          <w:sz w:val="24"/>
          <w:highlight w:val="none"/>
        </w:rPr>
        <w:t>注：格式仅供参考，但相关内容不得背离招标文件约定的实质性内容</w:t>
      </w:r>
    </w:p>
    <w:p>
      <w:pPr>
        <w:jc w:val="center"/>
        <w:outlineLvl w:val="0"/>
        <w:rPr>
          <w:b/>
          <w:bCs/>
          <w:kern w:val="44"/>
          <w:sz w:val="44"/>
          <w:szCs w:val="44"/>
          <w:highlight w:val="none"/>
        </w:rPr>
      </w:pPr>
    </w:p>
    <w:p>
      <w:pPr>
        <w:jc w:val="center"/>
        <w:outlineLvl w:val="0"/>
        <w:rPr>
          <w:b/>
          <w:bCs/>
          <w:kern w:val="44"/>
          <w:sz w:val="44"/>
          <w:szCs w:val="44"/>
          <w:highlight w:val="none"/>
        </w:rPr>
      </w:pPr>
    </w:p>
    <w:p>
      <w:pPr>
        <w:jc w:val="center"/>
        <w:outlineLvl w:val="0"/>
        <w:rPr>
          <w:b/>
          <w:bCs/>
          <w:kern w:val="44"/>
          <w:sz w:val="44"/>
          <w:szCs w:val="44"/>
          <w:highlight w:val="none"/>
        </w:rPr>
      </w:pPr>
    </w:p>
    <w:p>
      <w:pPr>
        <w:jc w:val="center"/>
        <w:outlineLvl w:val="0"/>
        <w:rPr>
          <w:b/>
          <w:bCs/>
          <w:kern w:val="44"/>
          <w:sz w:val="44"/>
          <w:szCs w:val="44"/>
          <w:highlight w:val="none"/>
        </w:rPr>
      </w:pPr>
    </w:p>
    <w:p>
      <w:pPr>
        <w:jc w:val="center"/>
        <w:outlineLvl w:val="0"/>
        <w:rPr>
          <w:b/>
          <w:bCs/>
          <w:kern w:val="44"/>
          <w:sz w:val="44"/>
          <w:szCs w:val="44"/>
          <w:highlight w:val="none"/>
        </w:rPr>
      </w:pPr>
      <w:bookmarkStart w:id="137" w:name="_Toc2429"/>
      <w:r>
        <w:rPr>
          <w:rFonts w:hint="eastAsia"/>
          <w:b/>
          <w:bCs/>
          <w:kern w:val="44"/>
          <w:sz w:val="44"/>
          <w:szCs w:val="44"/>
          <w:highlight w:val="none"/>
        </w:rPr>
        <w:t>第二章 投标人须知</w:t>
      </w:r>
      <w:bookmarkEnd w:id="131"/>
      <w:bookmarkEnd w:id="132"/>
      <w:bookmarkEnd w:id="133"/>
      <w:bookmarkEnd w:id="134"/>
      <w:bookmarkEnd w:id="135"/>
      <w:bookmarkEnd w:id="136"/>
      <w:bookmarkEnd w:id="137"/>
    </w:p>
    <w:tbl>
      <w:tblPr>
        <w:tblStyle w:val="16"/>
        <w:tblpPr w:leftFromText="180" w:rightFromText="180" w:vertAnchor="text" w:horzAnchor="page" w:tblpX="1062"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856"/>
        <w:gridCol w:w="64"/>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65" w:type="dxa"/>
            <w:vAlign w:val="center"/>
          </w:tcPr>
          <w:p>
            <w:pPr>
              <w:spacing w:line="440" w:lineRule="exact"/>
              <w:jc w:val="center"/>
              <w:rPr>
                <w:b/>
                <w:szCs w:val="21"/>
                <w:highlight w:val="none"/>
              </w:rPr>
            </w:pPr>
            <w:bookmarkStart w:id="138" w:name="_Toc487562617"/>
            <w:bookmarkStart w:id="139" w:name="_Toc487202467"/>
            <w:bookmarkStart w:id="140" w:name="_Toc247527552"/>
            <w:bookmarkStart w:id="141" w:name="_Toc17618"/>
            <w:bookmarkStart w:id="142" w:name="_Toc11747"/>
            <w:bookmarkStart w:id="143" w:name="_Toc144974496"/>
            <w:bookmarkStart w:id="144" w:name="_Toc24011"/>
            <w:bookmarkStart w:id="145" w:name="_Toc28971"/>
            <w:bookmarkStart w:id="146" w:name="_Toc247513951"/>
            <w:bookmarkStart w:id="147" w:name="_Toc152042304"/>
            <w:bookmarkStart w:id="148" w:name="_Toc152045528"/>
            <w:r>
              <w:rPr>
                <w:b/>
                <w:szCs w:val="21"/>
                <w:highlight w:val="none"/>
              </w:rPr>
              <w:t>条款号</w:t>
            </w:r>
          </w:p>
        </w:tc>
        <w:tc>
          <w:tcPr>
            <w:tcW w:w="1920" w:type="dxa"/>
            <w:gridSpan w:val="2"/>
            <w:vAlign w:val="center"/>
          </w:tcPr>
          <w:p>
            <w:pPr>
              <w:spacing w:line="440" w:lineRule="exact"/>
              <w:jc w:val="center"/>
              <w:rPr>
                <w:b/>
                <w:szCs w:val="21"/>
                <w:highlight w:val="none"/>
              </w:rPr>
            </w:pPr>
            <w:r>
              <w:rPr>
                <w:b/>
                <w:szCs w:val="21"/>
                <w:highlight w:val="none"/>
              </w:rPr>
              <w:t>条  款  名  称</w:t>
            </w:r>
          </w:p>
        </w:tc>
        <w:tc>
          <w:tcPr>
            <w:tcW w:w="6662" w:type="dxa"/>
            <w:vAlign w:val="center"/>
          </w:tcPr>
          <w:p>
            <w:pPr>
              <w:spacing w:line="440" w:lineRule="exact"/>
              <w:jc w:val="center"/>
              <w:rPr>
                <w:b/>
                <w:szCs w:val="21"/>
                <w:highlight w:val="none"/>
              </w:rPr>
            </w:pPr>
            <w:r>
              <w:rPr>
                <w:b/>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165" w:type="dxa"/>
            <w:vAlign w:val="center"/>
          </w:tcPr>
          <w:p>
            <w:pPr>
              <w:spacing w:line="440" w:lineRule="exact"/>
              <w:jc w:val="center"/>
              <w:rPr>
                <w:szCs w:val="21"/>
                <w:highlight w:val="none"/>
              </w:rPr>
            </w:pPr>
            <w:r>
              <w:rPr>
                <w:szCs w:val="21"/>
                <w:highlight w:val="none"/>
              </w:rPr>
              <w:t>1.1.2</w:t>
            </w:r>
          </w:p>
        </w:tc>
        <w:tc>
          <w:tcPr>
            <w:tcW w:w="1920" w:type="dxa"/>
            <w:gridSpan w:val="2"/>
            <w:vAlign w:val="center"/>
          </w:tcPr>
          <w:p>
            <w:pPr>
              <w:spacing w:line="440" w:lineRule="exact"/>
              <w:jc w:val="center"/>
              <w:rPr>
                <w:szCs w:val="21"/>
                <w:highlight w:val="none"/>
              </w:rPr>
            </w:pPr>
            <w:r>
              <w:rPr>
                <w:szCs w:val="21"/>
                <w:highlight w:val="none"/>
              </w:rPr>
              <w:t>招标人</w:t>
            </w:r>
          </w:p>
        </w:tc>
        <w:tc>
          <w:tcPr>
            <w:tcW w:w="6662" w:type="dxa"/>
            <w:vAlign w:val="center"/>
          </w:tcPr>
          <w:p>
            <w:pPr>
              <w:spacing w:line="360" w:lineRule="auto"/>
              <w:rPr>
                <w:rFonts w:ascii="宋体" w:hAnsi="宋体" w:cs="宋体"/>
                <w:szCs w:val="21"/>
                <w:highlight w:val="none"/>
              </w:rPr>
            </w:pPr>
            <w:r>
              <w:rPr>
                <w:rFonts w:hint="eastAsia" w:ascii="宋体" w:hAnsi="宋体" w:cs="宋体"/>
                <w:szCs w:val="21"/>
                <w:highlight w:val="none"/>
              </w:rPr>
              <w:t>名称：</w:t>
            </w:r>
            <w:r>
              <w:rPr>
                <w:rFonts w:hint="eastAsia" w:ascii="宋体" w:hAnsi="宋体" w:cs="宋体"/>
                <w:kern w:val="0"/>
                <w:szCs w:val="21"/>
                <w:highlight w:val="none"/>
              </w:rPr>
              <w:t>恩平市产业园区开发建设有限公司</w:t>
            </w:r>
          </w:p>
          <w:p>
            <w:pPr>
              <w:spacing w:line="360" w:lineRule="auto"/>
              <w:rPr>
                <w:rFonts w:ascii="宋体" w:hAnsi="宋体" w:cs="宋体"/>
                <w:kern w:val="0"/>
                <w:szCs w:val="21"/>
                <w:highlight w:val="none"/>
              </w:rPr>
            </w:pPr>
            <w:r>
              <w:rPr>
                <w:rFonts w:hint="eastAsia" w:ascii="宋体" w:hAnsi="宋体" w:cs="宋体"/>
                <w:szCs w:val="21"/>
                <w:highlight w:val="none"/>
              </w:rPr>
              <w:t>地址</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恩平市东君西路33号</w:t>
            </w:r>
          </w:p>
          <w:p>
            <w:pPr>
              <w:spacing w:line="360" w:lineRule="auto"/>
              <w:rPr>
                <w:rFonts w:ascii="宋体" w:hAnsi="宋体" w:cs="宋体"/>
                <w:kern w:val="0"/>
                <w:szCs w:val="21"/>
                <w:highlight w:val="none"/>
              </w:rPr>
            </w:pPr>
            <w:r>
              <w:rPr>
                <w:rFonts w:hint="eastAsia" w:ascii="宋体" w:hAnsi="宋体" w:cs="宋体"/>
                <w:kern w:val="0"/>
                <w:szCs w:val="21"/>
                <w:highlight w:val="none"/>
              </w:rPr>
              <w:t>联系人：</w:t>
            </w:r>
            <w:r>
              <w:rPr>
                <w:rFonts w:hint="eastAsia"/>
                <w:highlight w:val="none"/>
              </w:rPr>
              <w:t>冯先生</w:t>
            </w:r>
          </w:p>
          <w:p>
            <w:pPr>
              <w:spacing w:line="360" w:lineRule="auto"/>
              <w:rPr>
                <w:rFonts w:ascii="宋体" w:hAnsi="宋体"/>
                <w:szCs w:val="21"/>
                <w:highlight w:val="none"/>
              </w:rPr>
            </w:pPr>
            <w:r>
              <w:rPr>
                <w:rFonts w:hint="eastAsia" w:ascii="宋体" w:hAnsi="宋体" w:cs="宋体"/>
                <w:kern w:val="0"/>
                <w:szCs w:val="21"/>
                <w:highlight w:val="none"/>
              </w:rPr>
              <w:t>电话：</w:t>
            </w:r>
            <w:r>
              <w:rPr>
                <w:rFonts w:hint="eastAsia"/>
                <w:highlight w:val="none"/>
              </w:rPr>
              <w:t>0750-7821396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165" w:type="dxa"/>
            <w:vAlign w:val="center"/>
          </w:tcPr>
          <w:p>
            <w:pPr>
              <w:spacing w:line="440" w:lineRule="exact"/>
              <w:jc w:val="center"/>
              <w:rPr>
                <w:szCs w:val="21"/>
                <w:highlight w:val="none"/>
              </w:rPr>
            </w:pPr>
            <w:r>
              <w:rPr>
                <w:szCs w:val="21"/>
                <w:highlight w:val="none"/>
              </w:rPr>
              <w:t>1.1.3</w:t>
            </w:r>
          </w:p>
        </w:tc>
        <w:tc>
          <w:tcPr>
            <w:tcW w:w="1920" w:type="dxa"/>
            <w:gridSpan w:val="2"/>
            <w:vAlign w:val="center"/>
          </w:tcPr>
          <w:p>
            <w:pPr>
              <w:spacing w:line="440" w:lineRule="exact"/>
              <w:jc w:val="center"/>
              <w:rPr>
                <w:szCs w:val="21"/>
                <w:highlight w:val="none"/>
              </w:rPr>
            </w:pPr>
            <w:r>
              <w:rPr>
                <w:szCs w:val="21"/>
                <w:highlight w:val="none"/>
              </w:rPr>
              <w:t>招标代理机构</w:t>
            </w:r>
          </w:p>
        </w:tc>
        <w:tc>
          <w:tcPr>
            <w:tcW w:w="6662" w:type="dxa"/>
            <w:vAlign w:val="center"/>
          </w:tcPr>
          <w:p>
            <w:pPr>
              <w:spacing w:line="360" w:lineRule="auto"/>
              <w:ind w:left="630" w:hanging="630" w:hangingChars="300"/>
              <w:rPr>
                <w:rFonts w:ascii="宋体" w:hAnsi="宋体" w:cs="宋体"/>
                <w:szCs w:val="21"/>
                <w:highlight w:val="none"/>
                <w:shd w:val="clear" w:color="auto" w:fill="FFFFFF"/>
              </w:rPr>
            </w:pPr>
            <w:r>
              <w:rPr>
                <w:rFonts w:hint="eastAsia" w:ascii="宋体" w:hAnsi="宋体" w:cs="宋体"/>
                <w:szCs w:val="21"/>
                <w:highlight w:val="none"/>
                <w:shd w:val="clear" w:color="auto" w:fill="FFFFFF"/>
              </w:rPr>
              <w:t>名称：广东省机电设备招标中心有限公司</w:t>
            </w:r>
          </w:p>
          <w:p>
            <w:pPr>
              <w:spacing w:line="360" w:lineRule="auto"/>
              <w:ind w:left="630" w:hanging="630" w:hangingChars="300"/>
              <w:rPr>
                <w:rFonts w:ascii="宋体" w:hAnsi="宋体" w:cs="宋体"/>
                <w:szCs w:val="21"/>
                <w:highlight w:val="none"/>
                <w:shd w:val="clear" w:color="auto" w:fill="FFFFFF"/>
              </w:rPr>
            </w:pPr>
            <w:r>
              <w:rPr>
                <w:rFonts w:hint="eastAsia" w:ascii="宋体" w:hAnsi="宋体" w:cs="宋体"/>
                <w:szCs w:val="21"/>
                <w:highlight w:val="none"/>
                <w:shd w:val="clear" w:color="auto" w:fill="FFFFFF"/>
              </w:rPr>
              <w:t>地址：广东省广州市东风中路515号东照大厦5楼</w:t>
            </w:r>
          </w:p>
          <w:p>
            <w:pPr>
              <w:spacing w:line="360" w:lineRule="auto"/>
              <w:ind w:left="630" w:hanging="630" w:hangingChars="300"/>
              <w:rPr>
                <w:rFonts w:ascii="宋体" w:hAnsi="宋体" w:cs="宋体"/>
                <w:szCs w:val="21"/>
                <w:highlight w:val="none"/>
                <w:shd w:val="clear" w:color="auto" w:fill="FFFFFF"/>
              </w:rPr>
            </w:pPr>
            <w:r>
              <w:rPr>
                <w:rFonts w:hint="eastAsia" w:ascii="宋体" w:hAnsi="宋体" w:cs="宋体"/>
                <w:szCs w:val="21"/>
                <w:highlight w:val="none"/>
                <w:shd w:val="clear" w:color="auto" w:fill="FFFFFF"/>
              </w:rPr>
              <w:t>联系人：秦工</w:t>
            </w:r>
          </w:p>
          <w:p>
            <w:pPr>
              <w:spacing w:line="360" w:lineRule="auto"/>
              <w:ind w:left="630" w:hanging="630" w:hangingChars="300"/>
              <w:rPr>
                <w:szCs w:val="21"/>
                <w:highlight w:val="none"/>
              </w:rPr>
            </w:pPr>
            <w:r>
              <w:rPr>
                <w:rFonts w:hint="eastAsia" w:ascii="宋体" w:hAnsi="宋体" w:cs="宋体"/>
                <w:szCs w:val="21"/>
                <w:highlight w:val="none"/>
                <w:shd w:val="clear" w:color="auto" w:fill="FFFFFF"/>
              </w:rPr>
              <w:t>电话：18838102335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65" w:type="dxa"/>
            <w:vAlign w:val="center"/>
          </w:tcPr>
          <w:p>
            <w:pPr>
              <w:spacing w:line="440" w:lineRule="exact"/>
              <w:jc w:val="center"/>
              <w:rPr>
                <w:szCs w:val="21"/>
                <w:highlight w:val="none"/>
              </w:rPr>
            </w:pPr>
            <w:r>
              <w:rPr>
                <w:szCs w:val="21"/>
                <w:highlight w:val="none"/>
              </w:rPr>
              <w:t>1.1.4</w:t>
            </w:r>
          </w:p>
        </w:tc>
        <w:tc>
          <w:tcPr>
            <w:tcW w:w="1920" w:type="dxa"/>
            <w:gridSpan w:val="2"/>
            <w:vAlign w:val="center"/>
          </w:tcPr>
          <w:p>
            <w:pPr>
              <w:spacing w:line="440" w:lineRule="exact"/>
              <w:jc w:val="center"/>
              <w:rPr>
                <w:szCs w:val="21"/>
                <w:highlight w:val="none"/>
              </w:rPr>
            </w:pPr>
            <w:r>
              <w:rPr>
                <w:szCs w:val="21"/>
                <w:highlight w:val="none"/>
              </w:rPr>
              <w:t>项目名称</w:t>
            </w:r>
          </w:p>
        </w:tc>
        <w:tc>
          <w:tcPr>
            <w:tcW w:w="6662" w:type="dxa"/>
            <w:vAlign w:val="center"/>
          </w:tcPr>
          <w:p>
            <w:pPr>
              <w:spacing w:line="360" w:lineRule="auto"/>
              <w:rPr>
                <w:szCs w:val="21"/>
                <w:highlight w:val="none"/>
              </w:rPr>
            </w:pPr>
            <w:r>
              <w:rPr>
                <w:rFonts w:hint="eastAsia" w:ascii="宋体" w:hAnsi="宋体" w:cs="宋体"/>
                <w:szCs w:val="21"/>
                <w:highlight w:val="none"/>
                <w:shd w:val="clear" w:color="auto" w:fill="FFFFFF"/>
              </w:rPr>
              <w:t>恩平工业园大槐片区（塘冲）基础设施建设项目设计施工总承包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65" w:type="dxa"/>
            <w:vAlign w:val="center"/>
          </w:tcPr>
          <w:p>
            <w:pPr>
              <w:spacing w:line="440" w:lineRule="exact"/>
              <w:jc w:val="center"/>
              <w:rPr>
                <w:szCs w:val="21"/>
                <w:highlight w:val="none"/>
              </w:rPr>
            </w:pPr>
            <w:r>
              <w:rPr>
                <w:szCs w:val="21"/>
                <w:highlight w:val="none"/>
              </w:rPr>
              <w:t>1.1.5</w:t>
            </w:r>
          </w:p>
        </w:tc>
        <w:tc>
          <w:tcPr>
            <w:tcW w:w="1920" w:type="dxa"/>
            <w:gridSpan w:val="2"/>
            <w:vAlign w:val="center"/>
          </w:tcPr>
          <w:p>
            <w:pPr>
              <w:spacing w:line="440" w:lineRule="exact"/>
              <w:jc w:val="center"/>
              <w:rPr>
                <w:szCs w:val="21"/>
                <w:highlight w:val="none"/>
              </w:rPr>
            </w:pPr>
            <w:r>
              <w:rPr>
                <w:szCs w:val="21"/>
                <w:highlight w:val="none"/>
              </w:rPr>
              <w:t>建设地点</w:t>
            </w:r>
          </w:p>
        </w:tc>
        <w:tc>
          <w:tcPr>
            <w:tcW w:w="6662" w:type="dxa"/>
            <w:vAlign w:val="center"/>
          </w:tcPr>
          <w:p>
            <w:pPr>
              <w:spacing w:line="360" w:lineRule="auto"/>
              <w:rPr>
                <w:szCs w:val="21"/>
                <w:highlight w:val="none"/>
              </w:rPr>
            </w:pPr>
            <w:r>
              <w:rPr>
                <w:rFonts w:hint="eastAsia" w:ascii="宋体" w:hAnsi="宋体" w:cs="宋体"/>
                <w:szCs w:val="21"/>
                <w:highlight w:val="none"/>
                <w:shd w:val="clear" w:color="auto" w:fill="FFFFFF"/>
              </w:rPr>
              <w:t>广东</w:t>
            </w:r>
            <w:r>
              <w:rPr>
                <w:rFonts w:hint="eastAsia" w:ascii="宋体" w:hAnsi="宋体" w:cs="宋体"/>
                <w:szCs w:val="21"/>
                <w:highlight w:val="none"/>
                <w:shd w:val="clear" w:color="auto" w:fill="FFFFFF"/>
                <w:lang w:val="en-US" w:eastAsia="zh-CN"/>
              </w:rPr>
              <w:t>省</w:t>
            </w:r>
            <w:r>
              <w:rPr>
                <w:rFonts w:hint="eastAsia" w:ascii="宋体" w:hAnsi="宋体" w:cs="宋体"/>
                <w:szCs w:val="21"/>
                <w:highlight w:val="none"/>
                <w:shd w:val="clear" w:color="auto" w:fill="FFFFFF"/>
              </w:rPr>
              <w:t>恩平工业园</w:t>
            </w:r>
            <w:r>
              <w:rPr>
                <w:rFonts w:hint="eastAsia" w:ascii="宋体" w:hAnsi="宋体" w:cs="宋体"/>
                <w:szCs w:val="21"/>
                <w:highlight w:val="none"/>
              </w:rPr>
              <w:t>大槐片区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65" w:type="dxa"/>
            <w:vAlign w:val="center"/>
          </w:tcPr>
          <w:p>
            <w:pPr>
              <w:spacing w:line="440" w:lineRule="exact"/>
              <w:jc w:val="center"/>
              <w:rPr>
                <w:szCs w:val="21"/>
                <w:highlight w:val="none"/>
              </w:rPr>
            </w:pPr>
            <w:r>
              <w:rPr>
                <w:szCs w:val="21"/>
                <w:highlight w:val="none"/>
              </w:rPr>
              <w:t>1.2.1</w:t>
            </w:r>
          </w:p>
        </w:tc>
        <w:tc>
          <w:tcPr>
            <w:tcW w:w="1920" w:type="dxa"/>
            <w:gridSpan w:val="2"/>
            <w:vAlign w:val="center"/>
          </w:tcPr>
          <w:p>
            <w:pPr>
              <w:spacing w:line="440" w:lineRule="exact"/>
              <w:jc w:val="center"/>
              <w:rPr>
                <w:szCs w:val="21"/>
                <w:highlight w:val="none"/>
              </w:rPr>
            </w:pPr>
            <w:r>
              <w:rPr>
                <w:szCs w:val="21"/>
                <w:highlight w:val="none"/>
              </w:rPr>
              <w:t>资金来源</w:t>
            </w:r>
            <w:r>
              <w:rPr>
                <w:rFonts w:hint="eastAsia"/>
                <w:szCs w:val="21"/>
                <w:highlight w:val="none"/>
              </w:rPr>
              <w:t>及比例</w:t>
            </w:r>
          </w:p>
        </w:tc>
        <w:tc>
          <w:tcPr>
            <w:tcW w:w="6662" w:type="dxa"/>
            <w:vAlign w:val="center"/>
          </w:tcPr>
          <w:p>
            <w:pPr>
              <w:spacing w:line="360" w:lineRule="auto"/>
              <w:rPr>
                <w:szCs w:val="21"/>
                <w:highlight w:val="none"/>
              </w:rPr>
            </w:pPr>
            <w:r>
              <w:rPr>
                <w:rFonts w:hint="eastAsia" w:ascii="宋体" w:hAnsi="宋体" w:cs="宋体"/>
                <w:szCs w:val="21"/>
                <w:highlight w:val="none"/>
              </w:rPr>
              <w:t>通过统筹各级财政资金和申请发行新债券资金解决，100%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65" w:type="dxa"/>
            <w:vAlign w:val="center"/>
          </w:tcPr>
          <w:p>
            <w:pPr>
              <w:spacing w:line="440" w:lineRule="exact"/>
              <w:jc w:val="center"/>
              <w:rPr>
                <w:szCs w:val="21"/>
                <w:highlight w:val="none"/>
              </w:rPr>
            </w:pPr>
            <w:r>
              <w:rPr>
                <w:szCs w:val="21"/>
                <w:highlight w:val="none"/>
              </w:rPr>
              <w:t>1.2.</w:t>
            </w:r>
            <w:r>
              <w:rPr>
                <w:rFonts w:hint="eastAsia"/>
                <w:szCs w:val="21"/>
                <w:highlight w:val="none"/>
              </w:rPr>
              <w:t>2</w:t>
            </w:r>
          </w:p>
        </w:tc>
        <w:tc>
          <w:tcPr>
            <w:tcW w:w="1920" w:type="dxa"/>
            <w:gridSpan w:val="2"/>
            <w:vAlign w:val="center"/>
          </w:tcPr>
          <w:p>
            <w:pPr>
              <w:spacing w:line="440" w:lineRule="exact"/>
              <w:jc w:val="center"/>
              <w:rPr>
                <w:szCs w:val="21"/>
                <w:highlight w:val="none"/>
              </w:rPr>
            </w:pPr>
            <w:r>
              <w:rPr>
                <w:rFonts w:hint="eastAsia"/>
                <w:szCs w:val="21"/>
                <w:highlight w:val="none"/>
              </w:rPr>
              <w:t>资金</w:t>
            </w:r>
            <w:r>
              <w:rPr>
                <w:szCs w:val="21"/>
                <w:highlight w:val="none"/>
              </w:rPr>
              <w:t>落实情况</w:t>
            </w:r>
          </w:p>
        </w:tc>
        <w:tc>
          <w:tcPr>
            <w:tcW w:w="6662" w:type="dxa"/>
            <w:vAlign w:val="center"/>
          </w:tcPr>
          <w:p>
            <w:pPr>
              <w:spacing w:line="360" w:lineRule="auto"/>
              <w:rPr>
                <w:szCs w:val="21"/>
                <w:highlight w:val="none"/>
              </w:rPr>
            </w:pPr>
            <w:r>
              <w:rPr>
                <w:rFonts w:hint="eastAsia" w:ascii="宋体" w:hAnsi="宋体" w:cs="宋体"/>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65" w:type="dxa"/>
            <w:vAlign w:val="center"/>
          </w:tcPr>
          <w:p>
            <w:pPr>
              <w:spacing w:line="440" w:lineRule="exact"/>
              <w:jc w:val="center"/>
              <w:rPr>
                <w:szCs w:val="21"/>
                <w:highlight w:val="none"/>
              </w:rPr>
            </w:pPr>
            <w:r>
              <w:rPr>
                <w:szCs w:val="21"/>
                <w:highlight w:val="none"/>
              </w:rPr>
              <w:t>1.</w:t>
            </w:r>
            <w:r>
              <w:rPr>
                <w:rFonts w:hint="eastAsia"/>
                <w:szCs w:val="21"/>
                <w:highlight w:val="none"/>
              </w:rPr>
              <w:t>3</w:t>
            </w:r>
            <w:r>
              <w:rPr>
                <w:szCs w:val="21"/>
                <w:highlight w:val="none"/>
              </w:rPr>
              <w:t>.1</w:t>
            </w:r>
          </w:p>
        </w:tc>
        <w:tc>
          <w:tcPr>
            <w:tcW w:w="1920" w:type="dxa"/>
            <w:gridSpan w:val="2"/>
            <w:vAlign w:val="center"/>
          </w:tcPr>
          <w:p>
            <w:pPr>
              <w:spacing w:line="440" w:lineRule="exact"/>
              <w:jc w:val="center"/>
              <w:rPr>
                <w:szCs w:val="21"/>
                <w:highlight w:val="none"/>
              </w:rPr>
            </w:pPr>
            <w:r>
              <w:rPr>
                <w:szCs w:val="21"/>
                <w:highlight w:val="none"/>
              </w:rPr>
              <w:t>招标范围</w:t>
            </w:r>
          </w:p>
        </w:tc>
        <w:tc>
          <w:tcPr>
            <w:tcW w:w="6662" w:type="dxa"/>
            <w:vAlign w:val="center"/>
          </w:tcPr>
          <w:p>
            <w:pPr>
              <w:rPr>
                <w:szCs w:val="21"/>
                <w:highlight w:val="none"/>
              </w:rPr>
            </w:pPr>
            <w:r>
              <w:rPr>
                <w:rFonts w:hint="eastAsia"/>
                <w:szCs w:val="21"/>
                <w:highlight w:val="none"/>
              </w:rPr>
              <w:t>本次招标范围为设计施工总承包招标，包括但不限于以下内容：完成本项目的设计（施工图设计、施工配合、现场服务等相关服务</w:t>
            </w:r>
            <w:r>
              <w:rPr>
                <w:rFonts w:hint="eastAsia"/>
                <w:szCs w:val="21"/>
                <w:highlight w:val="none"/>
                <w:lang w:eastAsia="zh-CN"/>
              </w:rPr>
              <w:t>、</w:t>
            </w:r>
            <w:r>
              <w:rPr>
                <w:rFonts w:hint="eastAsia"/>
                <w:color w:val="auto"/>
                <w:szCs w:val="21"/>
                <w:highlight w:val="none"/>
                <w:lang w:eastAsia="zh-CN"/>
              </w:rPr>
              <w:t>施工图预结算编制</w:t>
            </w:r>
            <w:r>
              <w:rPr>
                <w:rFonts w:hint="eastAsia"/>
                <w:szCs w:val="21"/>
                <w:highlight w:val="none"/>
              </w:rPr>
              <w:t>）、</w:t>
            </w:r>
            <w:r>
              <w:rPr>
                <w:rFonts w:hint="eastAsia"/>
                <w:color w:val="auto"/>
                <w:szCs w:val="21"/>
                <w:highlight w:val="none"/>
              </w:rPr>
              <w:t>施工（工程施工范围包括</w:t>
            </w:r>
            <w:r>
              <w:rPr>
                <w:color w:val="auto"/>
                <w:szCs w:val="21"/>
                <w:highlight w:val="none"/>
              </w:rPr>
              <w:t>工程图纸设计范围内的所有工程内容</w:t>
            </w:r>
            <w:r>
              <w:rPr>
                <w:rFonts w:hint="eastAsia"/>
                <w:color w:val="auto"/>
                <w:szCs w:val="21"/>
                <w:highlight w:val="none"/>
              </w:rPr>
              <w:t>）、工程竣工验收一次性通过验收（合格），工程保修期内的缺陷修复和保修等</w:t>
            </w:r>
            <w:r>
              <w:rPr>
                <w:rFonts w:hint="eastAsia"/>
                <w:color w:val="auto"/>
                <w:szCs w:val="21"/>
                <w:highlight w:val="none"/>
                <w:lang w:eastAsia="zh-CN"/>
              </w:rPr>
              <w:t>全过程服务</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65" w:type="dxa"/>
            <w:vAlign w:val="center"/>
          </w:tcPr>
          <w:p>
            <w:pPr>
              <w:spacing w:line="440" w:lineRule="exact"/>
              <w:jc w:val="center"/>
              <w:rPr>
                <w:szCs w:val="21"/>
                <w:highlight w:val="none"/>
              </w:rPr>
            </w:pPr>
            <w:r>
              <w:rPr>
                <w:szCs w:val="21"/>
                <w:highlight w:val="none"/>
              </w:rPr>
              <w:t>1.3.2</w:t>
            </w:r>
          </w:p>
        </w:tc>
        <w:tc>
          <w:tcPr>
            <w:tcW w:w="1920" w:type="dxa"/>
            <w:gridSpan w:val="2"/>
            <w:vAlign w:val="center"/>
          </w:tcPr>
          <w:p>
            <w:pPr>
              <w:spacing w:line="440" w:lineRule="exact"/>
              <w:jc w:val="center"/>
              <w:rPr>
                <w:szCs w:val="21"/>
                <w:highlight w:val="none"/>
              </w:rPr>
            </w:pPr>
            <w:r>
              <w:rPr>
                <w:szCs w:val="21"/>
                <w:highlight w:val="none"/>
              </w:rPr>
              <w:t>工期</w:t>
            </w:r>
          </w:p>
        </w:tc>
        <w:tc>
          <w:tcPr>
            <w:tcW w:w="6662" w:type="dxa"/>
            <w:vAlign w:val="center"/>
          </w:tcPr>
          <w:p>
            <w:pPr>
              <w:spacing w:line="380" w:lineRule="exact"/>
              <w:rPr>
                <w:szCs w:val="21"/>
                <w:highlight w:val="none"/>
              </w:rPr>
            </w:pPr>
            <w:r>
              <w:rPr>
                <w:rFonts w:hint="eastAsia" w:ascii="宋体" w:hAnsi="宋体" w:cs="宋体"/>
                <w:szCs w:val="21"/>
                <w:highlight w:val="none"/>
              </w:rPr>
              <w:t>总工期：</w:t>
            </w:r>
            <w:r>
              <w:rPr>
                <w:rFonts w:hint="eastAsia"/>
                <w:szCs w:val="21"/>
                <w:highlight w:val="none"/>
                <w:u w:val="single"/>
              </w:rPr>
              <w:t xml:space="preserve"> 190 </w:t>
            </w:r>
            <w:r>
              <w:rPr>
                <w:rFonts w:hint="eastAsia"/>
                <w:szCs w:val="21"/>
                <w:highlight w:val="none"/>
              </w:rPr>
              <w:t>日历天</w:t>
            </w:r>
            <w:r>
              <w:rPr>
                <w:rFonts w:hint="eastAsia" w:ascii="宋体" w:hAnsi="宋体"/>
                <w:szCs w:val="21"/>
                <w:highlight w:val="none"/>
              </w:rPr>
              <w:t>（</w:t>
            </w:r>
            <w:r>
              <w:rPr>
                <w:rFonts w:ascii="宋体" w:hAnsi="宋体"/>
                <w:szCs w:val="21"/>
                <w:highlight w:val="none"/>
              </w:rPr>
              <w:t>总工期</w:t>
            </w:r>
            <w:r>
              <w:rPr>
                <w:rFonts w:hint="eastAsia" w:ascii="宋体" w:hAnsi="宋体"/>
                <w:szCs w:val="21"/>
                <w:highlight w:val="none"/>
              </w:rPr>
              <w:t>含设计</w:t>
            </w:r>
            <w:r>
              <w:rPr>
                <w:rFonts w:hint="eastAsia"/>
                <w:szCs w:val="21"/>
                <w:highlight w:val="none"/>
                <w:u w:val="single"/>
              </w:rPr>
              <w:t xml:space="preserve"> 60 </w:t>
            </w:r>
            <w:r>
              <w:rPr>
                <w:rFonts w:hint="eastAsia" w:ascii="宋体" w:hAnsi="宋体"/>
                <w:szCs w:val="21"/>
                <w:highlight w:val="none"/>
              </w:rPr>
              <w:t>日历天，施工期为</w:t>
            </w:r>
            <w:r>
              <w:rPr>
                <w:rFonts w:hint="eastAsia"/>
                <w:szCs w:val="21"/>
                <w:highlight w:val="none"/>
                <w:u w:val="single"/>
              </w:rPr>
              <w:t xml:space="preserve"> 130 </w:t>
            </w:r>
            <w:r>
              <w:rPr>
                <w:rFonts w:hint="eastAsia" w:ascii="宋体" w:hAnsi="宋体"/>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65" w:type="dxa"/>
            <w:vAlign w:val="center"/>
          </w:tcPr>
          <w:p>
            <w:pPr>
              <w:spacing w:line="440" w:lineRule="exact"/>
              <w:jc w:val="center"/>
              <w:rPr>
                <w:szCs w:val="21"/>
                <w:highlight w:val="none"/>
              </w:rPr>
            </w:pPr>
            <w:r>
              <w:rPr>
                <w:szCs w:val="21"/>
                <w:highlight w:val="none"/>
              </w:rPr>
              <w:t>1.3.3</w:t>
            </w:r>
          </w:p>
        </w:tc>
        <w:tc>
          <w:tcPr>
            <w:tcW w:w="1920" w:type="dxa"/>
            <w:gridSpan w:val="2"/>
            <w:vAlign w:val="center"/>
          </w:tcPr>
          <w:p>
            <w:pPr>
              <w:spacing w:line="440" w:lineRule="exact"/>
              <w:jc w:val="center"/>
              <w:rPr>
                <w:szCs w:val="21"/>
                <w:highlight w:val="none"/>
              </w:rPr>
            </w:pPr>
            <w:r>
              <w:rPr>
                <w:szCs w:val="21"/>
                <w:highlight w:val="none"/>
              </w:rPr>
              <w:t>质量</w:t>
            </w:r>
            <w:r>
              <w:rPr>
                <w:rFonts w:hint="eastAsia"/>
                <w:szCs w:val="21"/>
                <w:highlight w:val="none"/>
              </w:rPr>
              <w:t>标准</w:t>
            </w:r>
          </w:p>
        </w:tc>
        <w:tc>
          <w:tcPr>
            <w:tcW w:w="6662" w:type="dxa"/>
            <w:vAlign w:val="center"/>
          </w:tcPr>
          <w:p>
            <w:pPr>
              <w:spacing w:line="380" w:lineRule="exact"/>
              <w:rPr>
                <w:szCs w:val="21"/>
                <w:highlight w:val="none"/>
              </w:rPr>
            </w:pPr>
            <w:r>
              <w:rPr>
                <w:rFonts w:hint="eastAsia"/>
                <w:szCs w:val="21"/>
                <w:highlight w:val="none"/>
              </w:rPr>
              <w:t>（1）</w:t>
            </w:r>
            <w:r>
              <w:rPr>
                <w:rFonts w:hint="eastAsia" w:ascii="宋体" w:hAnsi="宋体" w:cs="宋体"/>
                <w:szCs w:val="21"/>
                <w:highlight w:val="none"/>
              </w:rPr>
              <w:t>设计要求的质量标准：达到国家、省或行业现行的工程设计准则和相关规范要求，满足招标人的功能需求，并通过招标人及有关部门或专业机构的审查。</w:t>
            </w:r>
            <w:r>
              <w:rPr>
                <w:rFonts w:hint="eastAsia"/>
                <w:szCs w:val="21"/>
                <w:highlight w:val="none"/>
              </w:rPr>
              <w:t>（</w:t>
            </w:r>
            <w:r>
              <w:rPr>
                <w:szCs w:val="21"/>
                <w:highlight w:val="none"/>
              </w:rPr>
              <w:t>2</w:t>
            </w:r>
            <w:r>
              <w:rPr>
                <w:rFonts w:hint="eastAsia"/>
                <w:szCs w:val="21"/>
                <w:highlight w:val="none"/>
              </w:rPr>
              <w:t>）施工质量要求：符合现行国家有关施工验收规范的要求，一次性通过验收合格。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165" w:type="dxa"/>
            <w:vAlign w:val="center"/>
          </w:tcPr>
          <w:p>
            <w:pPr>
              <w:spacing w:line="440" w:lineRule="exact"/>
              <w:jc w:val="center"/>
              <w:rPr>
                <w:szCs w:val="21"/>
                <w:highlight w:val="none"/>
              </w:rPr>
            </w:pPr>
            <w:r>
              <w:rPr>
                <w:szCs w:val="21"/>
                <w:highlight w:val="none"/>
              </w:rPr>
              <w:t>1.4.1</w:t>
            </w:r>
          </w:p>
        </w:tc>
        <w:tc>
          <w:tcPr>
            <w:tcW w:w="1920" w:type="dxa"/>
            <w:gridSpan w:val="2"/>
            <w:vAlign w:val="center"/>
          </w:tcPr>
          <w:p>
            <w:pPr>
              <w:spacing w:line="440" w:lineRule="exact"/>
              <w:jc w:val="center"/>
              <w:rPr>
                <w:szCs w:val="21"/>
                <w:highlight w:val="none"/>
              </w:rPr>
            </w:pPr>
            <w:r>
              <w:rPr>
                <w:szCs w:val="21"/>
                <w:highlight w:val="none"/>
              </w:rPr>
              <w:t>投标人资质条件、能力和信誉</w:t>
            </w:r>
          </w:p>
        </w:tc>
        <w:tc>
          <w:tcPr>
            <w:tcW w:w="6662" w:type="dxa"/>
            <w:vAlign w:val="center"/>
          </w:tcPr>
          <w:p>
            <w:pPr>
              <w:spacing w:line="380" w:lineRule="exact"/>
              <w:rPr>
                <w:rFonts w:ascii="宋体" w:hAnsi="宋体"/>
                <w:bCs/>
                <w:szCs w:val="21"/>
                <w:highlight w:val="none"/>
              </w:rPr>
            </w:pPr>
            <w:r>
              <w:rPr>
                <w:b/>
                <w:szCs w:val="21"/>
                <w:highlight w:val="none"/>
              </w:rPr>
              <w:t>资质条件</w:t>
            </w:r>
            <w:r>
              <w:rPr>
                <w:rFonts w:ascii="宋体" w:hAnsi="宋体"/>
                <w:bCs/>
                <w:szCs w:val="21"/>
                <w:highlight w:val="none"/>
              </w:rPr>
              <w:t>：</w:t>
            </w:r>
          </w:p>
          <w:p>
            <w:pPr>
              <w:spacing w:line="400" w:lineRule="exact"/>
              <w:ind w:firstLine="420" w:firstLineChars="200"/>
              <w:jc w:val="left"/>
              <w:rPr>
                <w:highlight w:val="none"/>
              </w:rPr>
            </w:pPr>
            <w:r>
              <w:rPr>
                <w:rFonts w:hint="eastAsia"/>
                <w:highlight w:val="none"/>
              </w:rPr>
              <w:t>本次招标要求投标人须同时具备主管部门核发的以下资质：</w:t>
            </w:r>
          </w:p>
          <w:p>
            <w:pPr>
              <w:spacing w:line="380" w:lineRule="exact"/>
              <w:rPr>
                <w:highlight w:val="none"/>
              </w:rPr>
            </w:pPr>
            <w:r>
              <w:rPr>
                <w:rFonts w:hint="eastAsia"/>
                <w:highlight w:val="none"/>
              </w:rPr>
              <w:t>（1）</w:t>
            </w:r>
            <w:r>
              <w:rPr>
                <w:rFonts w:hint="eastAsia"/>
                <w:b/>
                <w:bCs/>
                <w:highlight w:val="none"/>
              </w:rPr>
              <w:t>设计资质：</w:t>
            </w:r>
            <w:r>
              <w:rPr>
                <w:rFonts w:hint="eastAsia" w:ascii="宋体" w:cs="宋体"/>
                <w:kern w:val="0"/>
                <w:szCs w:val="21"/>
                <w:highlight w:val="none"/>
              </w:rPr>
              <w:t>须具备建设行政主管部门颁发有效的工程设计综合甲级资质；或工程设计市政行业乙级（或以上）资质；或同时具备工程设计市政行业（燃气工程、轨道交通工程除外）乙级（或以上）资质和工程设计市政行业（燃气工程专业）乙级（或以上）资质；或同时具备工程设计市政行业（道路工程）专业乙级（或以上）资质和工程设计市政行业（燃气工程）专业乙级（或以上）资质和工程设计市政行业（排水工程）专业乙级（或以上）资质和工程设计市政行业（给水工程）专业丙级（或以上）资质</w:t>
            </w:r>
            <w:r>
              <w:rPr>
                <w:rFonts w:hint="eastAsia" w:ascii="宋体" w:hAnsi="宋体" w:cs="宋体"/>
                <w:szCs w:val="21"/>
                <w:highlight w:val="none"/>
              </w:rPr>
              <w:t>；</w:t>
            </w:r>
            <w:r>
              <w:rPr>
                <w:rFonts w:hint="eastAsia" w:ascii="宋体" w:hAnsi="宋体"/>
                <w:bCs/>
                <w:szCs w:val="21"/>
                <w:highlight w:val="none"/>
              </w:rPr>
              <w:t xml:space="preserve"> </w:t>
            </w:r>
            <w:r>
              <w:rPr>
                <w:rFonts w:hint="eastAsia"/>
                <w:highlight w:val="none"/>
              </w:rPr>
              <w:t xml:space="preserve"> </w:t>
            </w:r>
          </w:p>
          <w:p>
            <w:pPr>
              <w:spacing w:line="400" w:lineRule="exact"/>
              <w:rPr>
                <w:rFonts w:ascii="宋体" w:hAnsi="宋体"/>
                <w:b/>
                <w:bCs/>
                <w:szCs w:val="21"/>
                <w:highlight w:val="none"/>
              </w:rPr>
            </w:pPr>
            <w:r>
              <w:rPr>
                <w:rFonts w:hint="eastAsia"/>
                <w:highlight w:val="none"/>
              </w:rPr>
              <w:t>（</w:t>
            </w:r>
            <w:r>
              <w:rPr>
                <w:highlight w:val="none"/>
              </w:rPr>
              <w:t>2</w:t>
            </w:r>
            <w:r>
              <w:rPr>
                <w:rFonts w:hint="eastAsia"/>
                <w:highlight w:val="none"/>
              </w:rPr>
              <w:t>）</w:t>
            </w:r>
            <w:r>
              <w:rPr>
                <w:rFonts w:hint="eastAsia"/>
                <w:b/>
                <w:bCs/>
                <w:highlight w:val="none"/>
              </w:rPr>
              <w:t>施工资质：</w:t>
            </w:r>
            <w:r>
              <w:rPr>
                <w:rFonts w:hint="eastAsia" w:ascii="宋体" w:hAnsi="宋体"/>
                <w:bCs/>
                <w:szCs w:val="21"/>
                <w:highlight w:val="none"/>
              </w:rPr>
              <w:t>须具备行业主管部门核发的市政公用工程施工总承包一级（或以上）资质，持有有效的建设行政主管部门颁发的安全生产许可证</w:t>
            </w:r>
            <w:r>
              <w:rPr>
                <w:rFonts w:hint="eastAsia" w:ascii="宋体" w:hAnsi="宋体"/>
                <w:szCs w:val="21"/>
                <w:highlight w:val="none"/>
              </w:rPr>
              <w:t>。</w:t>
            </w:r>
            <w:r>
              <w:rPr>
                <w:rFonts w:hint="eastAsia" w:ascii="宋体" w:hAnsi="宋体"/>
                <w:b/>
                <w:bCs/>
                <w:szCs w:val="21"/>
                <w:highlight w:val="none"/>
              </w:rPr>
              <w:t>（投标人的企业资质按照《住房和城乡建设部办公厅关于建设工程企业资质统一延续有关事项的通知》（建办市函〔2021〕510 号）执行。）</w:t>
            </w:r>
          </w:p>
          <w:p>
            <w:pPr>
              <w:spacing w:line="380" w:lineRule="exact"/>
              <w:rPr>
                <w:rFonts w:ascii="宋体" w:hAnsi="宋体"/>
                <w:bCs/>
                <w:szCs w:val="21"/>
                <w:highlight w:val="none"/>
              </w:rPr>
            </w:pPr>
            <w:r>
              <w:rPr>
                <w:rFonts w:ascii="宋体" w:hAnsi="宋体"/>
                <w:b/>
                <w:bCs/>
                <w:szCs w:val="21"/>
                <w:highlight w:val="none"/>
              </w:rPr>
              <w:t>财务要求</w:t>
            </w:r>
            <w:r>
              <w:rPr>
                <w:rFonts w:hint="eastAsia" w:ascii="宋体" w:hAnsi="宋体"/>
                <w:b/>
                <w:bCs/>
                <w:szCs w:val="21"/>
                <w:highlight w:val="none"/>
              </w:rPr>
              <w:t>：</w:t>
            </w:r>
            <w:r>
              <w:rPr>
                <w:rFonts w:hint="eastAsia" w:ascii="宋体" w:hAnsi="宋体"/>
                <w:szCs w:val="21"/>
                <w:highlight w:val="none"/>
              </w:rPr>
              <w:t>无</w:t>
            </w:r>
            <w:r>
              <w:rPr>
                <w:rFonts w:hint="eastAsia"/>
                <w:bCs/>
                <w:szCs w:val="21"/>
                <w:highlight w:val="none"/>
              </w:rPr>
              <w:t>。</w:t>
            </w:r>
          </w:p>
          <w:p>
            <w:pPr>
              <w:spacing w:line="380" w:lineRule="exact"/>
              <w:rPr>
                <w:szCs w:val="21"/>
                <w:highlight w:val="none"/>
              </w:rPr>
            </w:pPr>
            <w:r>
              <w:rPr>
                <w:rFonts w:hint="eastAsia" w:ascii="宋体" w:hAnsi="宋体"/>
                <w:b/>
                <w:bCs/>
                <w:szCs w:val="21"/>
                <w:highlight w:val="none"/>
              </w:rPr>
              <w:t>设计</w:t>
            </w:r>
            <w:r>
              <w:rPr>
                <w:rFonts w:ascii="宋体" w:hAnsi="宋体"/>
                <w:b/>
                <w:bCs/>
                <w:szCs w:val="21"/>
                <w:highlight w:val="none"/>
              </w:rPr>
              <w:t>业绩要求</w:t>
            </w:r>
            <w:r>
              <w:rPr>
                <w:rFonts w:ascii="宋体" w:hAnsi="宋体"/>
                <w:szCs w:val="21"/>
                <w:highlight w:val="none"/>
              </w:rPr>
              <w:t>：</w:t>
            </w:r>
            <w:r>
              <w:rPr>
                <w:rFonts w:hint="eastAsia" w:ascii="宋体" w:hAnsi="宋体"/>
                <w:bCs/>
                <w:szCs w:val="21"/>
                <w:highlight w:val="none"/>
              </w:rPr>
              <w:t>无。</w:t>
            </w:r>
          </w:p>
          <w:p>
            <w:pPr>
              <w:spacing w:line="380" w:lineRule="exact"/>
              <w:rPr>
                <w:rFonts w:ascii="宋体" w:hAnsi="宋体"/>
                <w:szCs w:val="21"/>
                <w:highlight w:val="none"/>
              </w:rPr>
            </w:pPr>
            <w:r>
              <w:rPr>
                <w:rFonts w:hint="eastAsia" w:ascii="宋体" w:hAnsi="宋体"/>
                <w:b/>
                <w:bCs/>
                <w:szCs w:val="21"/>
                <w:highlight w:val="none"/>
              </w:rPr>
              <w:t>施工</w:t>
            </w:r>
            <w:r>
              <w:rPr>
                <w:rFonts w:ascii="宋体" w:hAnsi="宋体"/>
                <w:b/>
                <w:bCs/>
                <w:szCs w:val="21"/>
                <w:highlight w:val="none"/>
              </w:rPr>
              <w:t>业绩要求</w:t>
            </w:r>
            <w:r>
              <w:rPr>
                <w:rFonts w:ascii="宋体" w:hAnsi="宋体"/>
                <w:szCs w:val="21"/>
                <w:highlight w:val="none"/>
              </w:rPr>
              <w:t>：</w:t>
            </w:r>
            <w:r>
              <w:rPr>
                <w:rFonts w:hint="eastAsia" w:ascii="宋体" w:hAnsi="宋体"/>
                <w:szCs w:val="21"/>
                <w:highlight w:val="none"/>
              </w:rPr>
              <w:t>无。</w:t>
            </w:r>
          </w:p>
          <w:p>
            <w:pPr>
              <w:spacing w:line="380" w:lineRule="exact"/>
              <w:rPr>
                <w:rFonts w:ascii="宋体" w:hAnsi="宋体"/>
                <w:bCs/>
                <w:szCs w:val="21"/>
                <w:highlight w:val="none"/>
              </w:rPr>
            </w:pPr>
            <w:r>
              <w:rPr>
                <w:rFonts w:ascii="宋体" w:hAnsi="宋体"/>
                <w:b/>
                <w:bCs/>
                <w:szCs w:val="21"/>
                <w:highlight w:val="none"/>
              </w:rPr>
              <w:t>信誉要求</w:t>
            </w:r>
            <w:r>
              <w:rPr>
                <w:rFonts w:ascii="宋体" w:hAnsi="宋体"/>
                <w:bCs/>
                <w:szCs w:val="21"/>
                <w:highlight w:val="none"/>
              </w:rPr>
              <w:t>：</w:t>
            </w:r>
            <w:r>
              <w:rPr>
                <w:rFonts w:hint="eastAsia" w:ascii="宋体" w:hAnsi="宋体"/>
                <w:bCs/>
                <w:szCs w:val="21"/>
                <w:highlight w:val="none"/>
              </w:rPr>
              <w:t>无。</w:t>
            </w:r>
          </w:p>
          <w:p>
            <w:pPr>
              <w:spacing w:line="380" w:lineRule="exact"/>
              <w:ind w:firstLine="422" w:firstLineChars="200"/>
              <w:rPr>
                <w:highlight w:val="none"/>
              </w:rPr>
            </w:pPr>
            <w:r>
              <w:rPr>
                <w:rFonts w:hint="eastAsia"/>
                <w:b/>
                <w:szCs w:val="21"/>
                <w:highlight w:val="none"/>
              </w:rPr>
              <w:t>工程总承包项目经理：</w:t>
            </w:r>
            <w:r>
              <w:rPr>
                <w:rFonts w:hint="eastAsia" w:ascii="宋体" w:hAnsi="宋体"/>
                <w:bCs/>
                <w:szCs w:val="21"/>
                <w:highlight w:val="none"/>
              </w:rPr>
              <w:t>具备相应工程建设类注册执业资格，包括市政类注册工程师、</w:t>
            </w:r>
            <w:r>
              <w:rPr>
                <w:rFonts w:hint="eastAsia" w:ascii="宋体" w:hAnsi="宋体"/>
                <w:bCs/>
                <w:szCs w:val="21"/>
                <w:highlight w:val="none"/>
                <w:u w:val="none"/>
                <w:lang w:val="en-US" w:eastAsia="zh-CN"/>
              </w:rPr>
              <w:t>或</w:t>
            </w:r>
            <w:r>
              <w:rPr>
                <w:rFonts w:hint="eastAsia" w:ascii="宋体" w:hAnsi="宋体"/>
                <w:bCs/>
                <w:szCs w:val="21"/>
                <w:highlight w:val="none"/>
                <w:u w:val="none"/>
              </w:rPr>
              <w:t>市政</w:t>
            </w:r>
            <w:r>
              <w:rPr>
                <w:rFonts w:hint="eastAsia" w:ascii="宋体" w:hAnsi="宋体"/>
                <w:bCs/>
                <w:szCs w:val="21"/>
                <w:highlight w:val="none"/>
              </w:rPr>
              <w:t>公用工程一级注册建造师、或市政公用工程注册监理工程师、或未实施注册执业资格的须取得市政公用工程专业高级工程师（或以上）职称资格，且不得同时在两个或者两个以上工程项目担任工程总承包项目经理、施工项目负责人。</w:t>
            </w:r>
            <w:r>
              <w:rPr>
                <w:rFonts w:hint="eastAsia" w:ascii="宋体" w:hAnsi="宋体"/>
                <w:b/>
                <w:szCs w:val="21"/>
                <w:highlight w:val="none"/>
              </w:rPr>
              <w:t>（注：工程总承包项目经理可以由设计负责人或施工负责人同时担任，但设计负责人和施工负责人不得为同一人）</w:t>
            </w:r>
            <w:r>
              <w:rPr>
                <w:rFonts w:hint="eastAsia" w:ascii="宋体" w:hAnsi="宋体"/>
                <w:bCs/>
                <w:szCs w:val="21"/>
                <w:highlight w:val="none"/>
              </w:rPr>
              <w:t>。须提供在投标单位（或其分支机构）2023年</w:t>
            </w:r>
            <w:r>
              <w:rPr>
                <w:rFonts w:hint="eastAsia" w:ascii="宋体" w:hAnsi="宋体"/>
                <w:bCs/>
                <w:szCs w:val="21"/>
                <w:highlight w:val="none"/>
                <w:u w:val="single"/>
              </w:rPr>
              <w:t>8</w:t>
            </w:r>
            <w:r>
              <w:rPr>
                <w:rFonts w:hint="eastAsia" w:ascii="宋体" w:hAnsi="宋体"/>
                <w:bCs/>
                <w:szCs w:val="21"/>
                <w:highlight w:val="none"/>
              </w:rPr>
              <w:t>月至2023年</w:t>
            </w:r>
            <w:r>
              <w:rPr>
                <w:rFonts w:hint="eastAsia" w:ascii="宋体" w:hAnsi="宋体"/>
                <w:bCs/>
                <w:szCs w:val="21"/>
                <w:highlight w:val="none"/>
                <w:u w:val="single"/>
              </w:rPr>
              <w:t xml:space="preserve"> 10 </w:t>
            </w:r>
            <w:r>
              <w:rPr>
                <w:rFonts w:hint="eastAsia" w:ascii="宋体" w:hAnsi="宋体"/>
                <w:bCs/>
                <w:szCs w:val="21"/>
                <w:highlight w:val="none"/>
              </w:rPr>
              <w:t>月缴纳养老保险证明的复印件。</w:t>
            </w:r>
          </w:p>
          <w:p>
            <w:pPr>
              <w:spacing w:line="380" w:lineRule="exact"/>
              <w:ind w:firstLine="422" w:firstLineChars="200"/>
              <w:rPr>
                <w:rFonts w:ascii="宋体" w:hAnsi="宋体"/>
                <w:highlight w:val="none"/>
              </w:rPr>
            </w:pPr>
            <w:r>
              <w:rPr>
                <w:rFonts w:hint="eastAsia" w:ascii="宋体" w:hAnsi="宋体"/>
                <w:b/>
                <w:szCs w:val="21"/>
                <w:highlight w:val="none"/>
              </w:rPr>
              <w:t>施工负责人的资格要求：</w:t>
            </w:r>
            <w:r>
              <w:rPr>
                <w:rFonts w:hint="eastAsia" w:ascii="宋体" w:hAnsi="宋体"/>
                <w:bCs/>
                <w:szCs w:val="21"/>
                <w:highlight w:val="none"/>
              </w:rPr>
              <w:t>具备市政公用工程一级注册建造师资格，同时具备有效的安全生产考核合格证书，且未担任其他在建工程的项目负责人（或施工负责人）。须提供在投标单位（或其分支机构）2023年</w:t>
            </w:r>
            <w:r>
              <w:rPr>
                <w:rFonts w:hint="eastAsia" w:ascii="宋体" w:hAnsi="宋体"/>
                <w:bCs/>
                <w:szCs w:val="21"/>
                <w:highlight w:val="none"/>
                <w:u w:val="single"/>
              </w:rPr>
              <w:t>8</w:t>
            </w:r>
            <w:r>
              <w:rPr>
                <w:rFonts w:hint="eastAsia" w:ascii="宋体" w:hAnsi="宋体"/>
                <w:bCs/>
                <w:szCs w:val="21"/>
                <w:highlight w:val="none"/>
              </w:rPr>
              <w:t>月至2023年</w:t>
            </w:r>
            <w:r>
              <w:rPr>
                <w:rFonts w:hint="eastAsia" w:ascii="宋体" w:hAnsi="宋体"/>
                <w:bCs/>
                <w:szCs w:val="21"/>
                <w:highlight w:val="none"/>
                <w:u w:val="single"/>
              </w:rPr>
              <w:t xml:space="preserve"> 10 </w:t>
            </w:r>
            <w:r>
              <w:rPr>
                <w:rFonts w:hint="eastAsia" w:ascii="宋体" w:hAnsi="宋体"/>
                <w:bCs/>
                <w:szCs w:val="21"/>
                <w:highlight w:val="none"/>
              </w:rPr>
              <w:t>月缴纳养老保险证明的复印件。</w:t>
            </w:r>
          </w:p>
          <w:p>
            <w:pPr>
              <w:spacing w:line="360" w:lineRule="auto"/>
              <w:ind w:firstLine="422" w:firstLineChars="200"/>
              <w:outlineLvl w:val="2"/>
              <w:rPr>
                <w:rFonts w:ascii="宋体" w:hAnsi="宋体"/>
                <w:bCs/>
                <w:szCs w:val="21"/>
                <w:highlight w:val="none"/>
              </w:rPr>
            </w:pPr>
            <w:r>
              <w:rPr>
                <w:rFonts w:hint="eastAsia"/>
                <w:b/>
                <w:szCs w:val="21"/>
                <w:highlight w:val="none"/>
              </w:rPr>
              <w:t>设计负责人的资格要求</w:t>
            </w:r>
            <w:r>
              <w:rPr>
                <w:rFonts w:hint="eastAsia"/>
                <w:szCs w:val="21"/>
                <w:highlight w:val="none"/>
              </w:rPr>
              <w:t>：</w:t>
            </w:r>
            <w:r>
              <w:rPr>
                <w:rFonts w:hint="eastAsia" w:ascii="宋体" w:hAnsi="宋体"/>
                <w:bCs/>
                <w:szCs w:val="21"/>
                <w:highlight w:val="none"/>
              </w:rPr>
              <w:t>具备注册土木工程师（道路工程），或道路专业或与本专业相近（指路桥专业、道桥专业、市政专业等）的高级工程师职称或以上资格。须提供在投标单位（或其分支机构）2023年</w:t>
            </w:r>
            <w:r>
              <w:rPr>
                <w:rFonts w:hint="eastAsia" w:ascii="宋体" w:hAnsi="宋体"/>
                <w:bCs/>
                <w:szCs w:val="21"/>
                <w:highlight w:val="none"/>
                <w:u w:val="single"/>
              </w:rPr>
              <w:t>8</w:t>
            </w:r>
            <w:r>
              <w:rPr>
                <w:rFonts w:hint="eastAsia" w:ascii="宋体" w:hAnsi="宋体"/>
                <w:bCs/>
                <w:szCs w:val="21"/>
                <w:highlight w:val="none"/>
              </w:rPr>
              <w:t>月至2023年</w:t>
            </w:r>
            <w:r>
              <w:rPr>
                <w:rFonts w:hint="eastAsia" w:ascii="宋体" w:hAnsi="宋体"/>
                <w:bCs/>
                <w:szCs w:val="21"/>
                <w:highlight w:val="none"/>
                <w:u w:val="single"/>
              </w:rPr>
              <w:t xml:space="preserve"> 10 </w:t>
            </w:r>
            <w:r>
              <w:rPr>
                <w:rFonts w:hint="eastAsia" w:ascii="宋体" w:hAnsi="宋体"/>
                <w:bCs/>
                <w:szCs w:val="21"/>
                <w:highlight w:val="none"/>
              </w:rPr>
              <w:t>月缴纳养老保险证明的复印件。</w:t>
            </w:r>
          </w:p>
          <w:p>
            <w:pPr>
              <w:spacing w:line="380" w:lineRule="exact"/>
              <w:ind w:firstLine="422" w:firstLineChars="200"/>
              <w:rPr>
                <w:rFonts w:ascii="宋体" w:hAnsi="宋体"/>
                <w:b/>
                <w:szCs w:val="21"/>
                <w:highlight w:val="none"/>
              </w:rPr>
            </w:pPr>
            <w:r>
              <w:rPr>
                <w:rFonts w:hint="eastAsia" w:ascii="宋体" w:hAnsi="宋体"/>
                <w:b/>
                <w:szCs w:val="21"/>
                <w:highlight w:val="none"/>
              </w:rPr>
              <w:t>（拟派人员提供一级建造师注册证书的，按照《住房和城乡建设部办公厅关于全面实行一级建造师电子注册证书的通知》（建办市〔2021〕40号）和《全国注册建筑师管理委员会关于开展使用一级注册建筑师电子注册证书工作的通知》（注建[2021]2 号）执行。）</w:t>
            </w:r>
          </w:p>
          <w:p>
            <w:pPr>
              <w:spacing w:line="380" w:lineRule="exact"/>
              <w:rPr>
                <w:szCs w:val="21"/>
                <w:highlight w:val="none"/>
              </w:rPr>
            </w:pPr>
            <w:r>
              <w:rPr>
                <w:rFonts w:hint="eastAsia"/>
                <w:b/>
                <w:bCs/>
                <w:szCs w:val="21"/>
                <w:highlight w:val="none"/>
              </w:rPr>
              <w:t>诚信要求：</w:t>
            </w:r>
            <w:r>
              <w:rPr>
                <w:rFonts w:hint="eastAsia"/>
                <w:szCs w:val="21"/>
                <w:highlight w:val="none"/>
              </w:rPr>
              <w:t>1.根据《江门市住房和城乡建设局关于江门市建筑业企业信用管理办法》的相关规定，投标人（包括联合体所有成员）须是被列入“江门市建筑业企业信用管理信息系统”信用等级为 C 级或以上的企业。2.投标人不属于信用中国“重点领域严重失信主体名单”栏目中的“失信被执行人”或“拖欠农民工工资失信联合惩戒对象名单”（网址：www.creditchina.gov.cn/xinyongfuwu/?navPage=4），在投标文件中提供相关查询网页截图。</w:t>
            </w:r>
          </w:p>
          <w:p>
            <w:pPr>
              <w:spacing w:line="380" w:lineRule="exact"/>
              <w:rPr>
                <w:b/>
                <w:bCs/>
                <w:szCs w:val="21"/>
                <w:highlight w:val="none"/>
              </w:rPr>
            </w:pPr>
            <w:r>
              <w:rPr>
                <w:rFonts w:hint="eastAsia"/>
                <w:b/>
                <w:bCs/>
                <w:szCs w:val="21"/>
                <w:highlight w:val="none"/>
              </w:rPr>
              <w:t>其他要求：</w:t>
            </w:r>
          </w:p>
          <w:p>
            <w:pPr>
              <w:spacing w:line="380" w:lineRule="exact"/>
              <w:rPr>
                <w:szCs w:val="21"/>
                <w:highlight w:val="none"/>
              </w:rPr>
            </w:pPr>
            <w:r>
              <w:rPr>
                <w:rFonts w:hint="eastAsia"/>
                <w:szCs w:val="21"/>
                <w:highlight w:val="none"/>
              </w:rPr>
              <w:t>1.根据《广东省住房和城乡建设厅关于取消省外建筑企业和人员进粵信息备案有关工作的通以备审查知》(粵建市[2015]52 号)、《关于调整省外建筑企业在“进粤企业和人员诚信信息登记平台”信息登记相关工作的通知》和江门市住房城乡建设局发布的《关于调整省外建筑企业信息进粤登记有关查验工作的通知》要求，省外建筑企业需在“进粵企业和人员诚信信息登记平台”录入相关信息并通过数据规范检查，并在投标文件中提供企业基本信息(网上公开信息打印件)以备审查。（如为联合体，指联合体各方)。</w:t>
            </w:r>
          </w:p>
          <w:p>
            <w:pPr>
              <w:spacing w:line="380" w:lineRule="exact"/>
              <w:rPr>
                <w:szCs w:val="21"/>
                <w:highlight w:val="none"/>
              </w:rPr>
            </w:pPr>
            <w:r>
              <w:rPr>
                <w:rFonts w:hint="eastAsia"/>
                <w:szCs w:val="21"/>
                <w:highlight w:val="none"/>
              </w:rPr>
              <w:t>2.根据《广东省住房和城乡建设厅关于印发香港工程咨询企业和专业</w:t>
            </w:r>
          </w:p>
          <w:p>
            <w:pPr>
              <w:spacing w:line="380" w:lineRule="exact"/>
              <w:rPr>
                <w:szCs w:val="21"/>
                <w:highlight w:val="none"/>
              </w:rPr>
            </w:pPr>
            <w:r>
              <w:rPr>
                <w:rFonts w:hint="eastAsia"/>
                <w:szCs w:val="21"/>
                <w:highlight w:val="none"/>
              </w:rPr>
              <w:t>人士在粤港澳大湾区内地城市开业执业试点管理暂行办法的通知》（粤</w:t>
            </w:r>
          </w:p>
          <w:p>
            <w:pPr>
              <w:spacing w:line="380" w:lineRule="exact"/>
              <w:rPr>
                <w:szCs w:val="21"/>
                <w:highlight w:val="none"/>
              </w:rPr>
            </w:pPr>
            <w:r>
              <w:rPr>
                <w:rFonts w:hint="eastAsia"/>
                <w:szCs w:val="21"/>
                <w:highlight w:val="none"/>
              </w:rPr>
              <w:t>建规范[2020]1 号）文件要求，应允许取得香港工程建设咨询从业资格</w:t>
            </w:r>
          </w:p>
          <w:p>
            <w:pPr>
              <w:spacing w:line="380" w:lineRule="exact"/>
              <w:rPr>
                <w:szCs w:val="21"/>
                <w:highlight w:val="none"/>
              </w:rPr>
            </w:pPr>
            <w:r>
              <w:rPr>
                <w:rFonts w:hint="eastAsia"/>
                <w:szCs w:val="21"/>
                <w:highlight w:val="none"/>
              </w:rPr>
              <w:t>且按《方案》要求在我省备案的企业和执业资格的专业人士参与该项</w:t>
            </w:r>
          </w:p>
          <w:p>
            <w:pPr>
              <w:spacing w:line="380" w:lineRule="exact"/>
              <w:rPr>
                <w:szCs w:val="21"/>
                <w:highlight w:val="none"/>
              </w:rPr>
            </w:pPr>
            <w:r>
              <w:rPr>
                <w:rFonts w:hint="eastAsia"/>
                <w:szCs w:val="21"/>
                <w:highlight w:val="none"/>
              </w:rPr>
              <w:t>目招投标活动。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1165" w:type="dxa"/>
            <w:vAlign w:val="center"/>
          </w:tcPr>
          <w:p>
            <w:pPr>
              <w:spacing w:line="440" w:lineRule="exact"/>
              <w:jc w:val="center"/>
              <w:rPr>
                <w:szCs w:val="21"/>
                <w:highlight w:val="none"/>
              </w:rPr>
            </w:pPr>
            <w:r>
              <w:rPr>
                <w:szCs w:val="21"/>
                <w:highlight w:val="none"/>
              </w:rPr>
              <w:t>1.4.2</w:t>
            </w:r>
          </w:p>
        </w:tc>
        <w:tc>
          <w:tcPr>
            <w:tcW w:w="1920" w:type="dxa"/>
            <w:gridSpan w:val="2"/>
            <w:vAlign w:val="center"/>
          </w:tcPr>
          <w:p>
            <w:pPr>
              <w:spacing w:line="440" w:lineRule="exact"/>
              <w:jc w:val="center"/>
              <w:rPr>
                <w:szCs w:val="21"/>
                <w:highlight w:val="none"/>
              </w:rPr>
            </w:pPr>
            <w:r>
              <w:rPr>
                <w:szCs w:val="21"/>
                <w:highlight w:val="none"/>
              </w:rPr>
              <w:t>是否接受联合体</w:t>
            </w:r>
            <w:r>
              <w:rPr>
                <w:rFonts w:hint="eastAsia"/>
                <w:szCs w:val="21"/>
                <w:highlight w:val="none"/>
              </w:rPr>
              <w:t xml:space="preserve"> </w:t>
            </w:r>
            <w:r>
              <w:rPr>
                <w:szCs w:val="21"/>
                <w:highlight w:val="none"/>
              </w:rPr>
              <w:t>投标</w:t>
            </w:r>
          </w:p>
        </w:tc>
        <w:tc>
          <w:tcPr>
            <w:tcW w:w="6662" w:type="dxa"/>
            <w:vAlign w:val="center"/>
          </w:tcPr>
          <w:p>
            <w:pPr>
              <w:pStyle w:val="10"/>
              <w:topLinePunct/>
              <w:spacing w:line="400" w:lineRule="exact"/>
              <w:rPr>
                <w:rFonts w:ascii="Times New Roman"/>
                <w:sz w:val="21"/>
                <w:szCs w:val="21"/>
                <w:highlight w:val="none"/>
              </w:rPr>
            </w:pPr>
            <w:r>
              <w:rPr>
                <w:rFonts w:ascii="Times New Roman"/>
                <w:sz w:val="32"/>
                <w:szCs w:val="32"/>
                <w:highlight w:val="none"/>
              </w:rPr>
              <w:t>□</w:t>
            </w:r>
            <w:r>
              <w:rPr>
                <w:rFonts w:hint="eastAsia" w:ascii="Times New Roman"/>
                <w:sz w:val="21"/>
                <w:szCs w:val="21"/>
                <w:highlight w:val="none"/>
              </w:rPr>
              <w:t>不接受</w:t>
            </w:r>
          </w:p>
          <w:p>
            <w:pPr>
              <w:spacing w:line="400" w:lineRule="exact"/>
              <w:rPr>
                <w:bCs/>
                <w:szCs w:val="21"/>
                <w:highlight w:val="none"/>
              </w:rPr>
            </w:pPr>
            <w:r>
              <w:rPr>
                <w:rFonts w:hint="eastAsia"/>
                <w:sz w:val="32"/>
                <w:szCs w:val="32"/>
                <w:highlight w:val="none"/>
              </w:rPr>
              <w:t>☑</w:t>
            </w:r>
            <w:r>
              <w:rPr>
                <w:rFonts w:hint="eastAsia"/>
                <w:szCs w:val="21"/>
                <w:highlight w:val="none"/>
              </w:rPr>
              <w:t>接</w:t>
            </w:r>
            <w:r>
              <w:rPr>
                <w:rFonts w:hint="eastAsia"/>
                <w:bCs/>
                <w:szCs w:val="21"/>
                <w:highlight w:val="none"/>
              </w:rPr>
              <w:t>受，应满足下列要求：</w:t>
            </w:r>
          </w:p>
          <w:p>
            <w:pPr>
              <w:spacing w:line="400" w:lineRule="exact"/>
              <w:rPr>
                <w:bCs/>
                <w:szCs w:val="21"/>
                <w:highlight w:val="none"/>
              </w:rPr>
            </w:pPr>
            <w:r>
              <w:rPr>
                <w:rFonts w:hint="eastAsia"/>
                <w:bCs/>
                <w:szCs w:val="21"/>
                <w:highlight w:val="none"/>
              </w:rPr>
              <w:t>（1）</w:t>
            </w:r>
            <w:r>
              <w:rPr>
                <w:bCs/>
                <w:szCs w:val="21"/>
                <w:highlight w:val="none"/>
              </w:rPr>
              <w:t>联合体成员家数应不超过2家</w:t>
            </w:r>
            <w:r>
              <w:rPr>
                <w:rFonts w:hint="eastAsia"/>
                <w:bCs/>
                <w:szCs w:val="21"/>
                <w:highlight w:val="none"/>
              </w:rPr>
              <w:t>。（2）联合体牵头人必须为设计方；（3）</w:t>
            </w:r>
            <w:r>
              <w:rPr>
                <w:bCs/>
                <w:szCs w:val="21"/>
                <w:highlight w:val="none"/>
              </w:rPr>
              <w:t>联合体各方应签订联合体投标协议书，明确联合体牵头人和各方权利义务。</w:t>
            </w:r>
            <w:r>
              <w:rPr>
                <w:rFonts w:hint="eastAsia"/>
                <w:bCs/>
                <w:szCs w:val="21"/>
                <w:highlight w:val="none"/>
              </w:rPr>
              <w:t>（4）联合体各方不得再以自己名义或加入其他联合体在本工程投标。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rFonts w:hint="eastAsia"/>
                <w:szCs w:val="21"/>
                <w:highlight w:val="none"/>
              </w:rPr>
              <w:t>1.5</w:t>
            </w:r>
          </w:p>
        </w:tc>
        <w:tc>
          <w:tcPr>
            <w:tcW w:w="1920" w:type="dxa"/>
            <w:gridSpan w:val="2"/>
            <w:vAlign w:val="center"/>
          </w:tcPr>
          <w:p>
            <w:pPr>
              <w:spacing w:line="440" w:lineRule="exact"/>
              <w:jc w:val="center"/>
              <w:rPr>
                <w:szCs w:val="21"/>
                <w:highlight w:val="none"/>
              </w:rPr>
            </w:pPr>
            <w:r>
              <w:rPr>
                <w:rFonts w:hint="eastAsia"/>
                <w:szCs w:val="21"/>
                <w:highlight w:val="none"/>
              </w:rPr>
              <w:t>费用承担和设计成果补偿</w:t>
            </w:r>
          </w:p>
        </w:tc>
        <w:tc>
          <w:tcPr>
            <w:tcW w:w="6662" w:type="dxa"/>
            <w:vAlign w:val="center"/>
          </w:tcPr>
          <w:p>
            <w:pPr>
              <w:spacing w:line="440" w:lineRule="exact"/>
              <w:rPr>
                <w:szCs w:val="21"/>
                <w:highlight w:val="none"/>
              </w:rPr>
            </w:pPr>
            <w:r>
              <w:rPr>
                <w:rFonts w:hint="eastAsia"/>
                <w:sz w:val="32"/>
                <w:szCs w:val="32"/>
                <w:highlight w:val="none"/>
              </w:rPr>
              <w:t>☑</w:t>
            </w:r>
            <w:r>
              <w:rPr>
                <w:rFonts w:hint="eastAsia"/>
                <w:szCs w:val="21"/>
                <w:highlight w:val="none"/>
              </w:rPr>
              <w:t>不补偿</w:t>
            </w:r>
          </w:p>
          <w:p>
            <w:pPr>
              <w:spacing w:line="440" w:lineRule="exact"/>
              <w:rPr>
                <w:sz w:val="32"/>
                <w:szCs w:val="32"/>
                <w:highlight w:val="none"/>
              </w:rPr>
            </w:pPr>
            <w:r>
              <w:rPr>
                <w:sz w:val="32"/>
                <w:szCs w:val="32"/>
                <w:highlight w:val="none"/>
              </w:rPr>
              <w:t>□</w:t>
            </w:r>
            <w:r>
              <w:rPr>
                <w:rFonts w:hint="eastAsia"/>
                <w:szCs w:val="21"/>
                <w:highlight w:val="none"/>
              </w:rPr>
              <w:t>补偿，补偿标准：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szCs w:val="21"/>
                <w:highlight w:val="none"/>
              </w:rPr>
              <w:t>1.</w:t>
            </w:r>
            <w:r>
              <w:rPr>
                <w:rFonts w:hint="eastAsia"/>
                <w:szCs w:val="21"/>
                <w:highlight w:val="none"/>
              </w:rPr>
              <w:t>9</w:t>
            </w:r>
            <w:r>
              <w:rPr>
                <w:szCs w:val="21"/>
                <w:highlight w:val="none"/>
              </w:rPr>
              <w:t>.1</w:t>
            </w:r>
          </w:p>
        </w:tc>
        <w:tc>
          <w:tcPr>
            <w:tcW w:w="1920" w:type="dxa"/>
            <w:gridSpan w:val="2"/>
            <w:vAlign w:val="center"/>
          </w:tcPr>
          <w:p>
            <w:pPr>
              <w:spacing w:line="440" w:lineRule="exact"/>
              <w:jc w:val="center"/>
              <w:rPr>
                <w:szCs w:val="21"/>
                <w:highlight w:val="none"/>
              </w:rPr>
            </w:pPr>
            <w:r>
              <w:rPr>
                <w:szCs w:val="21"/>
                <w:highlight w:val="none"/>
              </w:rPr>
              <w:t>踏勘</w:t>
            </w:r>
          </w:p>
        </w:tc>
        <w:tc>
          <w:tcPr>
            <w:tcW w:w="6662" w:type="dxa"/>
            <w:vAlign w:val="center"/>
          </w:tcPr>
          <w:p>
            <w:pPr>
              <w:spacing w:beforeLines="100" w:line="360" w:lineRule="auto"/>
              <w:rPr>
                <w:rFonts w:ascii="宋体" w:hAnsi="宋体"/>
                <w:b/>
                <w:sz w:val="24"/>
                <w:highlight w:val="none"/>
              </w:rPr>
            </w:pPr>
            <w:bookmarkStart w:id="149" w:name="_Toc21417"/>
            <w:bookmarkStart w:id="150" w:name="_Toc518382847"/>
            <w:r>
              <w:rPr>
                <w:rFonts w:hint="eastAsia"/>
                <w:sz w:val="32"/>
                <w:szCs w:val="32"/>
                <w:highlight w:val="none"/>
              </w:rPr>
              <w:t>☑</w:t>
            </w:r>
            <w:r>
              <w:rPr>
                <w:rFonts w:hint="eastAsia"/>
                <w:szCs w:val="21"/>
                <w:highlight w:val="none"/>
              </w:rPr>
              <w:t>不组织：</w:t>
            </w:r>
            <w:bookmarkEnd w:id="149"/>
            <w:bookmarkEnd w:id="150"/>
          </w:p>
          <w:p>
            <w:pPr>
              <w:spacing w:line="420" w:lineRule="exact"/>
              <w:rPr>
                <w:szCs w:val="21"/>
                <w:highlight w:val="none"/>
              </w:rPr>
            </w:pPr>
            <w:r>
              <w:rPr>
                <w:sz w:val="32"/>
                <w:szCs w:val="32"/>
                <w:highlight w:val="none"/>
              </w:rPr>
              <w:t>□</w:t>
            </w:r>
            <w:r>
              <w:rPr>
                <w:rFonts w:hint="eastAsia"/>
                <w:szCs w:val="21"/>
                <w:highlight w:val="none"/>
              </w:rPr>
              <w:t>组织，</w:t>
            </w:r>
            <w:r>
              <w:rPr>
                <w:szCs w:val="21"/>
                <w:highlight w:val="none"/>
              </w:rPr>
              <w:t>踏勘时间</w:t>
            </w:r>
            <w:r>
              <w:rPr>
                <w:rFonts w:hint="eastAsia"/>
                <w:szCs w:val="21"/>
                <w:highlight w:val="none"/>
              </w:rPr>
              <w:t>：</w:t>
            </w:r>
          </w:p>
          <w:p>
            <w:pPr>
              <w:spacing w:line="420" w:lineRule="exact"/>
              <w:ind w:firstLine="840" w:firstLineChars="400"/>
              <w:rPr>
                <w:szCs w:val="21"/>
                <w:highlight w:val="none"/>
              </w:rPr>
            </w:pPr>
            <w:r>
              <w:rPr>
                <w:rFonts w:hint="eastAsia"/>
                <w:szCs w:val="21"/>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165" w:type="dxa"/>
            <w:vAlign w:val="center"/>
          </w:tcPr>
          <w:p>
            <w:pPr>
              <w:spacing w:line="440" w:lineRule="exact"/>
              <w:jc w:val="center"/>
              <w:rPr>
                <w:szCs w:val="21"/>
                <w:highlight w:val="none"/>
              </w:rPr>
            </w:pPr>
            <w:r>
              <w:rPr>
                <w:szCs w:val="21"/>
                <w:highlight w:val="none"/>
              </w:rPr>
              <w:t>1.10.1</w:t>
            </w:r>
          </w:p>
        </w:tc>
        <w:tc>
          <w:tcPr>
            <w:tcW w:w="1920" w:type="dxa"/>
            <w:gridSpan w:val="2"/>
            <w:vAlign w:val="center"/>
          </w:tcPr>
          <w:p>
            <w:pPr>
              <w:spacing w:line="440" w:lineRule="exact"/>
              <w:jc w:val="center"/>
              <w:rPr>
                <w:szCs w:val="21"/>
                <w:highlight w:val="none"/>
              </w:rPr>
            </w:pPr>
            <w:r>
              <w:rPr>
                <w:szCs w:val="21"/>
                <w:highlight w:val="none"/>
              </w:rPr>
              <w:t>投标预备会</w:t>
            </w:r>
          </w:p>
        </w:tc>
        <w:tc>
          <w:tcPr>
            <w:tcW w:w="6662" w:type="dxa"/>
            <w:vAlign w:val="center"/>
          </w:tcPr>
          <w:p>
            <w:pPr>
              <w:pStyle w:val="10"/>
              <w:topLinePunct/>
              <w:spacing w:line="420" w:lineRule="exact"/>
              <w:rPr>
                <w:rFonts w:ascii="Times New Roman"/>
                <w:sz w:val="21"/>
                <w:szCs w:val="21"/>
                <w:highlight w:val="none"/>
              </w:rPr>
            </w:pPr>
            <w:r>
              <w:rPr>
                <w:rFonts w:hint="eastAsia" w:ascii="Times New Roman"/>
                <w:sz w:val="32"/>
                <w:szCs w:val="32"/>
                <w:highlight w:val="none"/>
              </w:rPr>
              <w:t>☑</w:t>
            </w:r>
            <w:r>
              <w:rPr>
                <w:rFonts w:hint="eastAsia" w:ascii="Times New Roman"/>
                <w:sz w:val="21"/>
                <w:szCs w:val="21"/>
                <w:highlight w:val="none"/>
              </w:rPr>
              <w:t>不</w:t>
            </w:r>
            <w:r>
              <w:rPr>
                <w:rFonts w:ascii="Times New Roman"/>
                <w:sz w:val="21"/>
                <w:szCs w:val="21"/>
                <w:highlight w:val="none"/>
              </w:rPr>
              <w:t>召开</w:t>
            </w:r>
          </w:p>
          <w:p>
            <w:pPr>
              <w:spacing w:line="420" w:lineRule="exact"/>
              <w:rPr>
                <w:szCs w:val="21"/>
                <w:highlight w:val="none"/>
              </w:rPr>
            </w:pPr>
            <w:r>
              <w:rPr>
                <w:sz w:val="32"/>
                <w:szCs w:val="32"/>
                <w:highlight w:val="none"/>
              </w:rPr>
              <w:t>□</w:t>
            </w:r>
            <w:r>
              <w:rPr>
                <w:szCs w:val="21"/>
                <w:highlight w:val="none"/>
              </w:rPr>
              <w:t>召开</w:t>
            </w:r>
            <w:r>
              <w:rPr>
                <w:rFonts w:hint="eastAsia"/>
                <w:szCs w:val="21"/>
                <w:highlight w:val="none"/>
              </w:rPr>
              <w:t>，</w:t>
            </w:r>
            <w:r>
              <w:rPr>
                <w:szCs w:val="21"/>
                <w:highlight w:val="none"/>
              </w:rPr>
              <w:t>召开时间：</w:t>
            </w:r>
          </w:p>
          <w:p>
            <w:pPr>
              <w:spacing w:line="420" w:lineRule="exact"/>
              <w:ind w:firstLine="840" w:firstLineChars="400"/>
              <w:rPr>
                <w:szCs w:val="21"/>
                <w:highlight w:val="none"/>
              </w:rPr>
            </w:pPr>
            <w:r>
              <w:rPr>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szCs w:val="21"/>
                <w:highlight w:val="none"/>
              </w:rPr>
              <w:t>1.10.2</w:t>
            </w:r>
          </w:p>
        </w:tc>
        <w:tc>
          <w:tcPr>
            <w:tcW w:w="1920" w:type="dxa"/>
            <w:gridSpan w:val="2"/>
            <w:vAlign w:val="center"/>
          </w:tcPr>
          <w:p>
            <w:pPr>
              <w:spacing w:line="440" w:lineRule="exact"/>
              <w:jc w:val="center"/>
              <w:rPr>
                <w:szCs w:val="21"/>
                <w:highlight w:val="none"/>
              </w:rPr>
            </w:pPr>
            <w:r>
              <w:rPr>
                <w:szCs w:val="21"/>
                <w:highlight w:val="none"/>
              </w:rPr>
              <w:t>投标人提出问题的截止时间</w:t>
            </w:r>
          </w:p>
        </w:tc>
        <w:tc>
          <w:tcPr>
            <w:tcW w:w="6662" w:type="dxa"/>
            <w:vAlign w:val="center"/>
          </w:tcPr>
          <w:p>
            <w:pPr>
              <w:spacing w:line="440" w:lineRule="exact"/>
              <w:rPr>
                <w:szCs w:val="21"/>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日。在投标人提出问题（质疑、异议）的截止时间后，招标人不再受理投标人提出的问题（质疑、异议）</w:t>
            </w:r>
            <w:r>
              <w:rPr>
                <w:rFonts w:hint="eastAsia" w:ascii="宋体" w:hAnsi="宋体"/>
                <w:szCs w:val="21"/>
                <w:highlight w:val="none"/>
              </w:rPr>
              <w:t>（以</w:t>
            </w:r>
            <w:r>
              <w:rPr>
                <w:rFonts w:hint="eastAsia"/>
                <w:highlight w:val="none"/>
              </w:rPr>
              <w:t>广东省招标投标监管网</w:t>
            </w:r>
            <w:r>
              <w:rPr>
                <w:rFonts w:hint="eastAsia" w:ascii="宋体" w:hAnsi="宋体"/>
                <w:szCs w:val="21"/>
                <w:highlight w:val="none"/>
              </w:rPr>
              <w:t>发布的招标公告为准）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vAlign w:val="center"/>
          </w:tcPr>
          <w:p>
            <w:pPr>
              <w:spacing w:line="440" w:lineRule="exact"/>
              <w:jc w:val="center"/>
              <w:rPr>
                <w:szCs w:val="21"/>
                <w:highlight w:val="none"/>
              </w:rPr>
            </w:pPr>
            <w:r>
              <w:rPr>
                <w:szCs w:val="21"/>
                <w:highlight w:val="none"/>
              </w:rPr>
              <w:t>1.10.3</w:t>
            </w:r>
          </w:p>
        </w:tc>
        <w:tc>
          <w:tcPr>
            <w:tcW w:w="1920" w:type="dxa"/>
            <w:gridSpan w:val="2"/>
            <w:vAlign w:val="center"/>
          </w:tcPr>
          <w:p>
            <w:pPr>
              <w:spacing w:line="440" w:lineRule="exact"/>
              <w:jc w:val="center"/>
              <w:rPr>
                <w:szCs w:val="21"/>
                <w:highlight w:val="none"/>
              </w:rPr>
            </w:pPr>
            <w:r>
              <w:rPr>
                <w:szCs w:val="21"/>
                <w:highlight w:val="none"/>
              </w:rPr>
              <w:t>招标人书面澄清的时间</w:t>
            </w:r>
          </w:p>
        </w:tc>
        <w:tc>
          <w:tcPr>
            <w:tcW w:w="6662" w:type="dxa"/>
            <w:vAlign w:val="center"/>
          </w:tcPr>
          <w:p>
            <w:pPr>
              <w:spacing w:line="440" w:lineRule="exact"/>
              <w:rPr>
                <w:szCs w:val="21"/>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日前</w:t>
            </w:r>
            <w:r>
              <w:rPr>
                <w:rFonts w:hint="eastAsia" w:ascii="宋体" w:hAnsi="宋体"/>
                <w:szCs w:val="21"/>
                <w:highlight w:val="none"/>
              </w:rPr>
              <w:t>（以</w:t>
            </w:r>
            <w:r>
              <w:rPr>
                <w:rFonts w:hint="eastAsia"/>
                <w:highlight w:val="none"/>
              </w:rPr>
              <w:t>广东省招标投标监管网</w:t>
            </w:r>
            <w:r>
              <w:rPr>
                <w:rFonts w:hint="eastAsia" w:ascii="宋体" w:hAnsi="宋体"/>
                <w:szCs w:val="21"/>
                <w:highlight w:val="none"/>
              </w:rPr>
              <w:t>发布的招标公告为准）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vAlign w:val="center"/>
          </w:tcPr>
          <w:p>
            <w:pPr>
              <w:spacing w:line="440" w:lineRule="exact"/>
              <w:jc w:val="center"/>
              <w:rPr>
                <w:szCs w:val="21"/>
                <w:highlight w:val="none"/>
              </w:rPr>
            </w:pPr>
            <w:r>
              <w:rPr>
                <w:rFonts w:hint="eastAsia"/>
                <w:szCs w:val="21"/>
                <w:highlight w:val="none"/>
              </w:rPr>
              <w:t>1.11.1</w:t>
            </w:r>
          </w:p>
        </w:tc>
        <w:tc>
          <w:tcPr>
            <w:tcW w:w="1920" w:type="dxa"/>
            <w:gridSpan w:val="2"/>
            <w:vAlign w:val="center"/>
          </w:tcPr>
          <w:p>
            <w:pPr>
              <w:spacing w:line="440" w:lineRule="exact"/>
              <w:jc w:val="center"/>
              <w:rPr>
                <w:szCs w:val="21"/>
                <w:highlight w:val="none"/>
              </w:rPr>
            </w:pPr>
            <w:r>
              <w:rPr>
                <w:rFonts w:hint="eastAsia"/>
                <w:szCs w:val="21"/>
                <w:highlight w:val="none"/>
              </w:rPr>
              <w:t>招标人规定由分包人承担的工作</w:t>
            </w:r>
          </w:p>
        </w:tc>
        <w:tc>
          <w:tcPr>
            <w:tcW w:w="6662" w:type="dxa"/>
            <w:vAlign w:val="center"/>
          </w:tcPr>
          <w:p>
            <w:pPr>
              <w:spacing w:line="440" w:lineRule="exact"/>
              <w:rPr>
                <w:szCs w:val="21"/>
                <w:highlight w:val="none"/>
              </w:rPr>
            </w:pPr>
            <w:r>
              <w:rPr>
                <w:rFonts w:hint="eastAsia"/>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szCs w:val="21"/>
                <w:highlight w:val="none"/>
              </w:rPr>
              <w:t>1.1</w:t>
            </w:r>
            <w:r>
              <w:rPr>
                <w:rFonts w:hint="eastAsia"/>
                <w:szCs w:val="21"/>
                <w:highlight w:val="none"/>
              </w:rPr>
              <w:t>1.2</w:t>
            </w:r>
          </w:p>
        </w:tc>
        <w:tc>
          <w:tcPr>
            <w:tcW w:w="1920" w:type="dxa"/>
            <w:gridSpan w:val="2"/>
            <w:vAlign w:val="center"/>
          </w:tcPr>
          <w:p>
            <w:pPr>
              <w:spacing w:line="440" w:lineRule="exact"/>
              <w:jc w:val="center"/>
              <w:rPr>
                <w:szCs w:val="21"/>
                <w:highlight w:val="none"/>
              </w:rPr>
            </w:pPr>
            <w:r>
              <w:rPr>
                <w:rFonts w:hint="eastAsia"/>
                <w:szCs w:val="21"/>
                <w:highlight w:val="none"/>
              </w:rPr>
              <w:t>投标人拟</w:t>
            </w:r>
            <w:r>
              <w:rPr>
                <w:szCs w:val="21"/>
                <w:highlight w:val="none"/>
              </w:rPr>
              <w:t>分包</w:t>
            </w:r>
            <w:r>
              <w:rPr>
                <w:rFonts w:hint="eastAsia"/>
                <w:szCs w:val="21"/>
                <w:highlight w:val="none"/>
              </w:rPr>
              <w:t>的工作</w:t>
            </w:r>
          </w:p>
        </w:tc>
        <w:tc>
          <w:tcPr>
            <w:tcW w:w="6662" w:type="dxa"/>
            <w:vAlign w:val="center"/>
          </w:tcPr>
          <w:p>
            <w:pPr>
              <w:spacing w:line="360" w:lineRule="exact"/>
              <w:rPr>
                <w:highlight w:val="none"/>
              </w:rPr>
            </w:pPr>
            <w:r>
              <w:rPr>
                <w:rFonts w:hint="eastAsia"/>
                <w:highlight w:val="none"/>
              </w:rPr>
              <w:t>□不允许</w:t>
            </w:r>
          </w:p>
          <w:p>
            <w:pPr>
              <w:spacing w:line="360" w:lineRule="exact"/>
              <w:rPr>
                <w:highlight w:val="none"/>
              </w:rPr>
            </w:pPr>
            <w:r>
              <w:rPr>
                <w:rFonts w:hint="eastAsia"/>
                <w:sz w:val="32"/>
                <w:szCs w:val="32"/>
                <w:highlight w:val="none"/>
              </w:rPr>
              <w:t>☑</w:t>
            </w:r>
            <w:r>
              <w:rPr>
                <w:rFonts w:hint="eastAsia"/>
                <w:highlight w:val="none"/>
              </w:rPr>
              <w:t>允许，分包内容要求：</w:t>
            </w:r>
            <w:r>
              <w:rPr>
                <w:rFonts w:hint="eastAsia" w:ascii="宋体" w:hAnsi="宋体"/>
                <w:szCs w:val="21"/>
                <w:highlight w:val="none"/>
              </w:rPr>
              <w:t>对于非主体、非关键性工程，需经招标人审核批准后分包给具有相应资质和能力的专业单位实施。</w:t>
            </w:r>
          </w:p>
          <w:p>
            <w:pPr>
              <w:spacing w:line="360" w:lineRule="exact"/>
              <w:rPr>
                <w:highlight w:val="none"/>
              </w:rPr>
            </w:pPr>
            <w:r>
              <w:rPr>
                <w:rFonts w:hint="eastAsia"/>
                <w:highlight w:val="none"/>
              </w:rPr>
              <w:t>分包金额要求：/</w:t>
            </w:r>
          </w:p>
          <w:p>
            <w:pPr>
              <w:spacing w:line="440" w:lineRule="exact"/>
              <w:rPr>
                <w:highlight w:val="none"/>
              </w:rPr>
            </w:pPr>
            <w:r>
              <w:rPr>
                <w:rFonts w:hint="eastAsia"/>
                <w:highlight w:val="none"/>
              </w:rPr>
              <w:t>接受分包的第三人资质要求：/</w:t>
            </w:r>
          </w:p>
          <w:p>
            <w:pPr>
              <w:spacing w:line="440" w:lineRule="exact"/>
              <w:rPr>
                <w:highlight w:val="none"/>
              </w:rPr>
            </w:pPr>
            <w:r>
              <w:rPr>
                <w:rFonts w:hint="eastAsia"/>
                <w:highlight w:val="none"/>
              </w:rPr>
              <w:t>其他要求：按《房屋建筑和市政基础设施工程施工分包管理办法》执行。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rFonts w:hint="eastAsia"/>
                <w:szCs w:val="21"/>
                <w:highlight w:val="none"/>
              </w:rPr>
              <w:t>1.12</w:t>
            </w:r>
          </w:p>
        </w:tc>
        <w:tc>
          <w:tcPr>
            <w:tcW w:w="1920" w:type="dxa"/>
            <w:gridSpan w:val="2"/>
            <w:vAlign w:val="center"/>
          </w:tcPr>
          <w:p>
            <w:pPr>
              <w:spacing w:line="440" w:lineRule="exact"/>
              <w:jc w:val="center"/>
              <w:rPr>
                <w:szCs w:val="21"/>
                <w:highlight w:val="none"/>
              </w:rPr>
            </w:pPr>
            <w:r>
              <w:rPr>
                <w:rFonts w:hint="eastAsia"/>
                <w:szCs w:val="21"/>
                <w:highlight w:val="none"/>
              </w:rPr>
              <w:t>偏离</w:t>
            </w:r>
          </w:p>
        </w:tc>
        <w:tc>
          <w:tcPr>
            <w:tcW w:w="6662" w:type="dxa"/>
            <w:vAlign w:val="center"/>
          </w:tcPr>
          <w:p>
            <w:pPr>
              <w:pStyle w:val="10"/>
              <w:topLinePunct/>
              <w:spacing w:line="400" w:lineRule="exact"/>
              <w:rPr>
                <w:rFonts w:ascii="Times New Roman"/>
                <w:sz w:val="21"/>
                <w:szCs w:val="21"/>
                <w:highlight w:val="none"/>
              </w:rPr>
            </w:pPr>
            <w:r>
              <w:rPr>
                <w:rFonts w:hint="eastAsia"/>
                <w:sz w:val="32"/>
                <w:szCs w:val="32"/>
                <w:highlight w:val="none"/>
              </w:rPr>
              <w:t>☑</w:t>
            </w:r>
            <w:r>
              <w:rPr>
                <w:rFonts w:hint="eastAsia" w:ascii="Times New Roman"/>
                <w:sz w:val="21"/>
                <w:szCs w:val="21"/>
                <w:highlight w:val="none"/>
              </w:rPr>
              <w:t>不允许</w:t>
            </w:r>
          </w:p>
          <w:p>
            <w:pPr>
              <w:pStyle w:val="10"/>
              <w:topLinePunct/>
              <w:spacing w:line="400" w:lineRule="exact"/>
              <w:rPr>
                <w:rFonts w:ascii="Times New Roman"/>
                <w:sz w:val="21"/>
                <w:szCs w:val="21"/>
                <w:highlight w:val="none"/>
              </w:rPr>
            </w:pPr>
            <w:r>
              <w:rPr>
                <w:rFonts w:ascii="Times New Roman"/>
                <w:sz w:val="32"/>
                <w:szCs w:val="32"/>
                <w:highlight w:val="none"/>
              </w:rPr>
              <w:t>□</w:t>
            </w:r>
            <w:r>
              <w:rPr>
                <w:rFonts w:hint="eastAsia"/>
                <w:sz w:val="21"/>
                <w:szCs w:val="21"/>
                <w:highlight w:val="none"/>
              </w:rPr>
              <w:t>允许，允许偏离的内容、偏离范围和幅度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szCs w:val="21"/>
                <w:highlight w:val="none"/>
              </w:rPr>
              <w:t>2.1</w:t>
            </w:r>
          </w:p>
        </w:tc>
        <w:tc>
          <w:tcPr>
            <w:tcW w:w="1920" w:type="dxa"/>
            <w:gridSpan w:val="2"/>
            <w:vAlign w:val="center"/>
          </w:tcPr>
          <w:p>
            <w:pPr>
              <w:spacing w:line="440" w:lineRule="exact"/>
              <w:jc w:val="center"/>
              <w:rPr>
                <w:szCs w:val="21"/>
                <w:highlight w:val="none"/>
              </w:rPr>
            </w:pPr>
            <w:r>
              <w:rPr>
                <w:szCs w:val="21"/>
                <w:highlight w:val="none"/>
              </w:rPr>
              <w:t>构成招标文件的其他</w:t>
            </w:r>
            <w:r>
              <w:rPr>
                <w:rFonts w:hint="eastAsia"/>
                <w:szCs w:val="21"/>
                <w:highlight w:val="none"/>
              </w:rPr>
              <w:t>资</w:t>
            </w:r>
            <w:r>
              <w:rPr>
                <w:szCs w:val="21"/>
                <w:highlight w:val="none"/>
              </w:rPr>
              <w:t>料</w:t>
            </w:r>
          </w:p>
        </w:tc>
        <w:tc>
          <w:tcPr>
            <w:tcW w:w="6662" w:type="dxa"/>
            <w:vAlign w:val="center"/>
          </w:tcPr>
          <w:p>
            <w:pPr>
              <w:spacing w:line="440" w:lineRule="exact"/>
              <w:rPr>
                <w:szCs w:val="21"/>
                <w:highlight w:val="none"/>
              </w:rPr>
            </w:pPr>
            <w:r>
              <w:rPr>
                <w:rFonts w:hint="eastAsia"/>
                <w:szCs w:val="21"/>
                <w:highlight w:val="none"/>
              </w:rPr>
              <w:t>初步设计文件、补充通知、答疑文件等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vAlign w:val="center"/>
          </w:tcPr>
          <w:p>
            <w:pPr>
              <w:spacing w:line="440" w:lineRule="exact"/>
              <w:jc w:val="center"/>
              <w:rPr>
                <w:szCs w:val="21"/>
                <w:highlight w:val="none"/>
              </w:rPr>
            </w:pPr>
            <w:r>
              <w:rPr>
                <w:szCs w:val="21"/>
                <w:highlight w:val="none"/>
              </w:rPr>
              <w:t>2.2.1</w:t>
            </w:r>
          </w:p>
        </w:tc>
        <w:tc>
          <w:tcPr>
            <w:tcW w:w="1920" w:type="dxa"/>
            <w:gridSpan w:val="2"/>
            <w:vAlign w:val="center"/>
          </w:tcPr>
          <w:p>
            <w:pPr>
              <w:spacing w:line="440" w:lineRule="exact"/>
              <w:jc w:val="center"/>
              <w:rPr>
                <w:szCs w:val="21"/>
                <w:highlight w:val="none"/>
              </w:rPr>
            </w:pPr>
            <w:r>
              <w:rPr>
                <w:szCs w:val="21"/>
                <w:highlight w:val="none"/>
              </w:rPr>
              <w:t>投标人要求澄清招标文件的截止时间</w:t>
            </w:r>
          </w:p>
        </w:tc>
        <w:tc>
          <w:tcPr>
            <w:tcW w:w="6662" w:type="dxa"/>
            <w:vAlign w:val="center"/>
          </w:tcPr>
          <w:p>
            <w:pPr>
              <w:spacing w:line="440" w:lineRule="exact"/>
              <w:rPr>
                <w:szCs w:val="21"/>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r>
              <w:rPr>
                <w:rFonts w:hint="eastAsia" w:ascii="宋体" w:hAnsi="宋体"/>
                <w:szCs w:val="21"/>
                <w:highlight w:val="none"/>
              </w:rPr>
              <w:t>（以</w:t>
            </w:r>
            <w:r>
              <w:rPr>
                <w:rFonts w:hint="eastAsia"/>
                <w:highlight w:val="none"/>
              </w:rPr>
              <w:t>广东省招标投标监管网</w:t>
            </w:r>
            <w:r>
              <w:rPr>
                <w:rFonts w:hint="eastAsia" w:ascii="宋体" w:hAnsi="宋体"/>
                <w:szCs w:val="21"/>
                <w:highlight w:val="none"/>
              </w:rPr>
              <w:t>发布的招标公告为准）</w:t>
            </w:r>
            <w:r>
              <w:rPr>
                <w:rFonts w:hint="eastAsia" w:ascii="宋体" w:hAnsi="宋体"/>
                <w:highlight w:val="none"/>
              </w:rPr>
              <w:t>。在投标人要求澄清招标文件的截止时间后，招标人不再受理投标人要求澄清的要求。以网上发布的招标公告中的时间为准。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vAlign w:val="center"/>
          </w:tcPr>
          <w:p>
            <w:pPr>
              <w:spacing w:line="440" w:lineRule="exact"/>
              <w:jc w:val="center"/>
              <w:rPr>
                <w:szCs w:val="21"/>
                <w:highlight w:val="none"/>
              </w:rPr>
            </w:pPr>
            <w:r>
              <w:rPr>
                <w:szCs w:val="21"/>
                <w:highlight w:val="none"/>
              </w:rPr>
              <w:t>2.2.2</w:t>
            </w:r>
          </w:p>
        </w:tc>
        <w:tc>
          <w:tcPr>
            <w:tcW w:w="1920" w:type="dxa"/>
            <w:gridSpan w:val="2"/>
            <w:vAlign w:val="center"/>
          </w:tcPr>
          <w:p>
            <w:pPr>
              <w:spacing w:line="440" w:lineRule="exact"/>
              <w:jc w:val="center"/>
              <w:rPr>
                <w:szCs w:val="21"/>
                <w:highlight w:val="none"/>
              </w:rPr>
            </w:pPr>
            <w:r>
              <w:rPr>
                <w:szCs w:val="21"/>
                <w:highlight w:val="none"/>
              </w:rPr>
              <w:t>投标截止时间</w:t>
            </w:r>
          </w:p>
        </w:tc>
        <w:tc>
          <w:tcPr>
            <w:tcW w:w="6662" w:type="dxa"/>
            <w:vAlign w:val="center"/>
          </w:tcPr>
          <w:p>
            <w:pPr>
              <w:spacing w:line="440" w:lineRule="exact"/>
              <w:rPr>
                <w:rFonts w:ascii="宋体" w:hAnsi="宋体"/>
                <w:szCs w:val="21"/>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rPr>
              <w:t>分</w:t>
            </w:r>
            <w:r>
              <w:rPr>
                <w:rFonts w:hint="eastAsia" w:ascii="宋体" w:hAnsi="宋体"/>
                <w:szCs w:val="21"/>
                <w:highlight w:val="none"/>
              </w:rPr>
              <w:t>（以</w:t>
            </w:r>
            <w:r>
              <w:rPr>
                <w:rFonts w:hint="eastAsia"/>
                <w:highlight w:val="none"/>
              </w:rPr>
              <w:t>广东省招标投标监管网</w:t>
            </w:r>
            <w:r>
              <w:rPr>
                <w:rFonts w:hint="eastAsia" w:ascii="宋体" w:hAnsi="宋体"/>
                <w:szCs w:val="21"/>
                <w:highlight w:val="none"/>
              </w:rPr>
              <w:t>发布的招标公告为准）</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vAlign w:val="center"/>
          </w:tcPr>
          <w:p>
            <w:pPr>
              <w:spacing w:line="440" w:lineRule="exact"/>
              <w:jc w:val="center"/>
              <w:rPr>
                <w:szCs w:val="21"/>
                <w:highlight w:val="none"/>
              </w:rPr>
            </w:pPr>
            <w:r>
              <w:rPr>
                <w:szCs w:val="21"/>
                <w:highlight w:val="none"/>
              </w:rPr>
              <w:t>2.2.3</w:t>
            </w:r>
          </w:p>
        </w:tc>
        <w:tc>
          <w:tcPr>
            <w:tcW w:w="1920" w:type="dxa"/>
            <w:gridSpan w:val="2"/>
            <w:vAlign w:val="center"/>
          </w:tcPr>
          <w:p>
            <w:pPr>
              <w:spacing w:line="440" w:lineRule="exact"/>
              <w:jc w:val="center"/>
              <w:rPr>
                <w:szCs w:val="21"/>
                <w:highlight w:val="none"/>
              </w:rPr>
            </w:pPr>
            <w:r>
              <w:rPr>
                <w:szCs w:val="21"/>
                <w:highlight w:val="none"/>
              </w:rPr>
              <w:t>投标人确认收到招标文件澄清的时间</w:t>
            </w:r>
          </w:p>
        </w:tc>
        <w:tc>
          <w:tcPr>
            <w:tcW w:w="6662" w:type="dxa"/>
            <w:vAlign w:val="center"/>
          </w:tcPr>
          <w:p>
            <w:pPr>
              <w:spacing w:line="440" w:lineRule="exact"/>
              <w:rPr>
                <w:rFonts w:ascii="宋体" w:hAnsi="宋体"/>
                <w:szCs w:val="21"/>
                <w:highlight w:val="none"/>
              </w:rPr>
            </w:pPr>
            <w:r>
              <w:rPr>
                <w:rFonts w:hint="eastAsia" w:ascii="宋体" w:hAnsi="宋体"/>
                <w:szCs w:val="21"/>
                <w:highlight w:val="none"/>
              </w:rPr>
              <w:t>以招标人在交易平台发出澄清的文件时间为准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rFonts w:hint="eastAsia"/>
                <w:szCs w:val="21"/>
                <w:highlight w:val="none"/>
              </w:rPr>
              <w:t>2.2.4</w:t>
            </w:r>
          </w:p>
        </w:tc>
        <w:tc>
          <w:tcPr>
            <w:tcW w:w="1920" w:type="dxa"/>
            <w:gridSpan w:val="2"/>
            <w:vAlign w:val="center"/>
          </w:tcPr>
          <w:p>
            <w:pPr>
              <w:spacing w:line="440" w:lineRule="exact"/>
              <w:jc w:val="center"/>
              <w:rPr>
                <w:szCs w:val="21"/>
                <w:highlight w:val="none"/>
              </w:rPr>
            </w:pPr>
            <w:r>
              <w:rPr>
                <w:rFonts w:hint="eastAsia"/>
                <w:szCs w:val="21"/>
                <w:highlight w:val="none"/>
              </w:rPr>
              <w:t>投标人对招标文件提出异议的时间</w:t>
            </w:r>
          </w:p>
        </w:tc>
        <w:tc>
          <w:tcPr>
            <w:tcW w:w="6662" w:type="dxa"/>
            <w:vAlign w:val="center"/>
          </w:tcPr>
          <w:p>
            <w:pPr>
              <w:spacing w:line="440" w:lineRule="exact"/>
              <w:rPr>
                <w:rFonts w:ascii="宋体" w:hAnsi="宋体"/>
                <w:szCs w:val="21"/>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日前，</w:t>
            </w:r>
            <w:r>
              <w:rPr>
                <w:rFonts w:hint="eastAsia" w:ascii="宋体" w:hAnsi="宋体"/>
                <w:szCs w:val="21"/>
                <w:highlight w:val="none"/>
              </w:rPr>
              <w:t>在此时间后提出对招标文件有异议的不予受理。</w:t>
            </w:r>
            <w:r>
              <w:rPr>
                <w:rFonts w:hint="eastAsia"/>
                <w:szCs w:val="21"/>
                <w:highlight w:val="none"/>
              </w:rPr>
              <w:t>（详以</w:t>
            </w:r>
            <w:r>
              <w:rPr>
                <w:rFonts w:hint="eastAsia"/>
                <w:highlight w:val="none"/>
              </w:rPr>
              <w:t>广东省招标投标监管网</w:t>
            </w:r>
            <w:r>
              <w:rPr>
                <w:rFonts w:hint="eastAsia" w:ascii="宋体" w:hAnsi="宋体"/>
                <w:szCs w:val="21"/>
                <w:highlight w:val="none"/>
              </w:rPr>
              <w:t>发布的招标公告</w:t>
            </w:r>
            <w:r>
              <w:rPr>
                <w:rFonts w:hint="eastAsia"/>
                <w:szCs w:val="21"/>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szCs w:val="21"/>
                <w:highlight w:val="none"/>
              </w:rPr>
              <w:t>2.3.2</w:t>
            </w:r>
          </w:p>
        </w:tc>
        <w:tc>
          <w:tcPr>
            <w:tcW w:w="1920" w:type="dxa"/>
            <w:gridSpan w:val="2"/>
            <w:vAlign w:val="center"/>
          </w:tcPr>
          <w:p>
            <w:pPr>
              <w:spacing w:line="440" w:lineRule="exact"/>
              <w:jc w:val="center"/>
              <w:rPr>
                <w:szCs w:val="21"/>
                <w:highlight w:val="none"/>
              </w:rPr>
            </w:pPr>
            <w:r>
              <w:rPr>
                <w:szCs w:val="21"/>
                <w:highlight w:val="none"/>
              </w:rPr>
              <w:t>投标人确认收到招标文件修改的时间</w:t>
            </w:r>
          </w:p>
        </w:tc>
        <w:tc>
          <w:tcPr>
            <w:tcW w:w="6662" w:type="dxa"/>
            <w:vAlign w:val="center"/>
          </w:tcPr>
          <w:p>
            <w:pPr>
              <w:spacing w:line="440" w:lineRule="exact"/>
              <w:rPr>
                <w:rFonts w:ascii="宋体" w:hAnsi="宋体"/>
                <w:szCs w:val="21"/>
                <w:highlight w:val="none"/>
              </w:rPr>
            </w:pPr>
            <w:r>
              <w:rPr>
                <w:rFonts w:hint="eastAsia" w:ascii="宋体" w:hAnsi="宋体"/>
                <w:szCs w:val="21"/>
                <w:highlight w:val="none"/>
              </w:rPr>
              <w:t>以招标人在交易平台发出修改文件的时间为准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szCs w:val="21"/>
                <w:highlight w:val="none"/>
              </w:rPr>
              <w:t>3.1</w:t>
            </w:r>
            <w:r>
              <w:rPr>
                <w:rFonts w:hint="eastAsia"/>
                <w:szCs w:val="21"/>
                <w:highlight w:val="none"/>
              </w:rPr>
              <w:t>.1</w:t>
            </w:r>
          </w:p>
        </w:tc>
        <w:tc>
          <w:tcPr>
            <w:tcW w:w="1920" w:type="dxa"/>
            <w:gridSpan w:val="2"/>
            <w:vAlign w:val="center"/>
          </w:tcPr>
          <w:p>
            <w:pPr>
              <w:spacing w:line="440" w:lineRule="exact"/>
              <w:jc w:val="center"/>
              <w:rPr>
                <w:szCs w:val="21"/>
                <w:highlight w:val="none"/>
              </w:rPr>
            </w:pPr>
            <w:r>
              <w:rPr>
                <w:szCs w:val="21"/>
                <w:highlight w:val="none"/>
              </w:rPr>
              <w:t>构成投标文件的</w:t>
            </w:r>
            <w:r>
              <w:rPr>
                <w:rFonts w:hint="eastAsia"/>
                <w:szCs w:val="21"/>
                <w:highlight w:val="none"/>
              </w:rPr>
              <w:t>资</w:t>
            </w:r>
            <w:r>
              <w:rPr>
                <w:szCs w:val="21"/>
                <w:highlight w:val="none"/>
              </w:rPr>
              <w:t>料</w:t>
            </w:r>
          </w:p>
        </w:tc>
        <w:tc>
          <w:tcPr>
            <w:tcW w:w="6662" w:type="dxa"/>
            <w:vAlign w:val="center"/>
          </w:tcPr>
          <w:p>
            <w:pPr>
              <w:spacing w:line="360" w:lineRule="auto"/>
              <w:ind w:firstLine="422" w:firstLineChars="200"/>
              <w:rPr>
                <w:b/>
                <w:bCs/>
                <w:highlight w:val="none"/>
              </w:rPr>
            </w:pPr>
            <w:r>
              <w:rPr>
                <w:rFonts w:hint="eastAsia"/>
                <w:b/>
                <w:bCs/>
                <w:highlight w:val="none"/>
              </w:rPr>
              <w:t>须知正文第 3.1.1 投标文件的组成修改为：</w:t>
            </w:r>
          </w:p>
          <w:p>
            <w:pPr>
              <w:spacing w:line="360" w:lineRule="auto"/>
              <w:ind w:firstLine="422" w:firstLineChars="200"/>
              <w:rPr>
                <w:highlight w:val="none"/>
              </w:rPr>
            </w:pPr>
            <w:r>
              <w:rPr>
                <w:rFonts w:hint="eastAsia"/>
                <w:b/>
                <w:bCs/>
                <w:highlight w:val="none"/>
              </w:rPr>
              <w:t>本项目投标文件中内容由资格审查商务投标文件、技术部分投标文件和标书附件计算机文件（电子光盘）组成。</w:t>
            </w:r>
            <w:r>
              <w:rPr>
                <w:rFonts w:hint="eastAsia"/>
                <w:highlight w:val="none"/>
              </w:rPr>
              <w:t>其中：</w:t>
            </w:r>
          </w:p>
          <w:p>
            <w:pPr>
              <w:spacing w:line="360" w:lineRule="auto"/>
              <w:ind w:firstLine="422" w:firstLineChars="200"/>
              <w:rPr>
                <w:b/>
                <w:bCs/>
                <w:highlight w:val="none"/>
              </w:rPr>
            </w:pPr>
            <w:r>
              <w:rPr>
                <w:rFonts w:hint="eastAsia"/>
                <w:b/>
                <w:bCs/>
                <w:highlight w:val="none"/>
              </w:rPr>
              <w:t>第一册：资格审查商务投标文件</w:t>
            </w:r>
          </w:p>
          <w:p>
            <w:pPr>
              <w:spacing w:line="360" w:lineRule="auto"/>
              <w:ind w:firstLine="420" w:firstLineChars="200"/>
              <w:rPr>
                <w:highlight w:val="none"/>
              </w:rPr>
            </w:pPr>
            <w:r>
              <w:rPr>
                <w:rFonts w:hint="eastAsia"/>
                <w:highlight w:val="none"/>
              </w:rPr>
              <w:t>（1）投标函及投标函附录；</w:t>
            </w:r>
          </w:p>
          <w:p>
            <w:pPr>
              <w:spacing w:line="360" w:lineRule="auto"/>
              <w:ind w:firstLine="420" w:firstLineChars="200"/>
              <w:rPr>
                <w:highlight w:val="none"/>
              </w:rPr>
            </w:pPr>
            <w:r>
              <w:rPr>
                <w:rFonts w:hint="eastAsia"/>
                <w:highlight w:val="none"/>
              </w:rPr>
              <w:t>（2）法定代表人身份证明或授权委托书；</w:t>
            </w:r>
          </w:p>
          <w:p>
            <w:pPr>
              <w:spacing w:line="360" w:lineRule="auto"/>
              <w:ind w:firstLine="420" w:firstLineChars="200"/>
              <w:rPr>
                <w:highlight w:val="none"/>
              </w:rPr>
            </w:pPr>
            <w:r>
              <w:rPr>
                <w:rFonts w:hint="eastAsia"/>
                <w:highlight w:val="none"/>
              </w:rPr>
              <w:t>（3）联合体协议书（如有）；</w:t>
            </w:r>
          </w:p>
          <w:p>
            <w:pPr>
              <w:spacing w:line="360" w:lineRule="auto"/>
              <w:ind w:firstLine="420" w:firstLineChars="200"/>
              <w:rPr>
                <w:highlight w:val="none"/>
              </w:rPr>
            </w:pPr>
            <w:r>
              <w:rPr>
                <w:rFonts w:hint="eastAsia"/>
                <w:highlight w:val="none"/>
              </w:rPr>
              <w:t>（4）投标保证金（注：联合体投标的由</w:t>
            </w:r>
            <w:r>
              <w:rPr>
                <w:rFonts w:hint="eastAsia"/>
                <w:szCs w:val="21"/>
                <w:highlight w:val="none"/>
              </w:rPr>
              <w:t>任意一方</w:t>
            </w:r>
            <w:r>
              <w:rPr>
                <w:rFonts w:hint="eastAsia"/>
                <w:highlight w:val="none"/>
              </w:rPr>
              <w:t>提供，附投标保证金的递交证明文件）；</w:t>
            </w:r>
          </w:p>
          <w:p>
            <w:pPr>
              <w:spacing w:line="360" w:lineRule="auto"/>
              <w:ind w:firstLine="420" w:firstLineChars="200"/>
              <w:rPr>
                <w:highlight w:val="none"/>
              </w:rPr>
            </w:pPr>
            <w:r>
              <w:rPr>
                <w:rFonts w:hint="eastAsia"/>
                <w:highlight w:val="none"/>
              </w:rPr>
              <w:t>（5）工程承诺书参考格式</w:t>
            </w:r>
          </w:p>
          <w:p>
            <w:pPr>
              <w:spacing w:line="360" w:lineRule="auto"/>
              <w:ind w:firstLine="420" w:firstLineChars="200"/>
              <w:rPr>
                <w:highlight w:val="none"/>
              </w:rPr>
            </w:pPr>
            <w:r>
              <w:rPr>
                <w:rFonts w:hint="eastAsia"/>
                <w:highlight w:val="none"/>
              </w:rPr>
              <w:t>（6）投标人诚信承诺书参考格式</w:t>
            </w:r>
          </w:p>
          <w:p>
            <w:pPr>
              <w:spacing w:line="360" w:lineRule="auto"/>
              <w:ind w:firstLine="420" w:firstLineChars="200"/>
              <w:rPr>
                <w:highlight w:val="none"/>
              </w:rPr>
            </w:pPr>
            <w:r>
              <w:rPr>
                <w:rFonts w:hint="eastAsia"/>
                <w:highlight w:val="none"/>
              </w:rPr>
              <w:t>（7）资格审查资料；</w:t>
            </w:r>
          </w:p>
          <w:p>
            <w:pPr>
              <w:spacing w:line="360" w:lineRule="auto"/>
              <w:ind w:firstLine="420" w:firstLineChars="200"/>
              <w:rPr>
                <w:highlight w:val="none"/>
              </w:rPr>
            </w:pPr>
            <w:r>
              <w:rPr>
                <w:rFonts w:hint="eastAsia"/>
                <w:highlight w:val="none"/>
              </w:rPr>
              <w:t>（8）其他资信或信誉资料</w:t>
            </w:r>
          </w:p>
          <w:p>
            <w:pPr>
              <w:spacing w:line="360" w:lineRule="auto"/>
              <w:ind w:firstLine="420" w:firstLineChars="200"/>
              <w:rPr>
                <w:highlight w:val="none"/>
              </w:rPr>
            </w:pPr>
            <w:r>
              <w:rPr>
                <w:rFonts w:hint="eastAsia"/>
                <w:highlight w:val="none"/>
              </w:rPr>
              <w:t>（9）投标人认为有必要提供的其他资料。</w:t>
            </w:r>
          </w:p>
          <w:p>
            <w:pPr>
              <w:spacing w:line="360" w:lineRule="auto"/>
              <w:rPr>
                <w:highlight w:val="none"/>
              </w:rPr>
            </w:pPr>
            <w:r>
              <w:rPr>
                <w:rFonts w:hint="eastAsia"/>
                <w:highlight w:val="none"/>
              </w:rPr>
              <w:t>注：投标人须知前附表规定接受联合体投标的，上述第（6）项、第（7）项、第（8）项、第（9）项的表格和资料应包括联合体各方相关情况。</w:t>
            </w:r>
          </w:p>
          <w:p>
            <w:pPr>
              <w:spacing w:line="360" w:lineRule="auto"/>
              <w:ind w:firstLine="422" w:firstLineChars="200"/>
              <w:rPr>
                <w:b/>
                <w:bCs/>
                <w:highlight w:val="none"/>
              </w:rPr>
            </w:pPr>
            <w:r>
              <w:rPr>
                <w:rFonts w:hint="eastAsia"/>
                <w:b/>
                <w:bCs/>
                <w:highlight w:val="none"/>
              </w:rPr>
              <w:t>第二册：技术部分投标文件</w:t>
            </w:r>
          </w:p>
          <w:p>
            <w:pPr>
              <w:spacing w:line="360" w:lineRule="auto"/>
              <w:ind w:firstLine="422" w:firstLineChars="200"/>
              <w:rPr>
                <w:b/>
                <w:bCs/>
                <w:highlight w:val="none"/>
              </w:rPr>
            </w:pPr>
            <w:r>
              <w:rPr>
                <w:rFonts w:hint="eastAsia"/>
                <w:b/>
                <w:bCs/>
                <w:highlight w:val="none"/>
              </w:rPr>
              <w:t>技术部分的封面：</w:t>
            </w:r>
            <w:r>
              <w:rPr>
                <w:rFonts w:hint="eastAsia"/>
                <w:highlight w:val="none"/>
              </w:rPr>
              <w:t>写明项目名称、编制年月，用 A3(297mm×420mm)规格编排装订成册。技术标评审不采用“暗标”形式，具体按以下要求并结合第六章投标文件格式组成和编制。</w:t>
            </w:r>
          </w:p>
          <w:p>
            <w:pPr>
              <w:spacing w:line="360" w:lineRule="auto"/>
              <w:ind w:firstLine="420" w:firstLineChars="200"/>
              <w:rPr>
                <w:highlight w:val="none"/>
              </w:rPr>
            </w:pPr>
            <w:r>
              <w:rPr>
                <w:rFonts w:hint="eastAsia"/>
                <w:highlight w:val="none"/>
              </w:rPr>
              <w:t>（1）施工组织设计</w:t>
            </w:r>
          </w:p>
          <w:p>
            <w:pPr>
              <w:spacing w:line="360" w:lineRule="auto"/>
              <w:ind w:firstLine="420" w:firstLineChars="200"/>
              <w:rPr>
                <w:highlight w:val="none"/>
              </w:rPr>
            </w:pPr>
            <w:r>
              <w:rPr>
                <w:rFonts w:hint="eastAsia"/>
                <w:highlight w:val="none"/>
              </w:rPr>
              <w:t>（2）设计部分资料</w:t>
            </w:r>
          </w:p>
          <w:p>
            <w:pPr>
              <w:spacing w:line="360" w:lineRule="auto"/>
              <w:rPr>
                <w:highlight w:val="none"/>
              </w:rPr>
            </w:pPr>
            <w:r>
              <w:rPr>
                <w:rFonts w:hint="eastAsia"/>
                <w:highlight w:val="none"/>
              </w:rPr>
              <w:t>注：以上资料由投标人自行编制。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rFonts w:hint="eastAsia"/>
                <w:highlight w:val="none"/>
              </w:rPr>
              <w:t>3.2.4</w:t>
            </w:r>
          </w:p>
        </w:tc>
        <w:tc>
          <w:tcPr>
            <w:tcW w:w="1920" w:type="dxa"/>
            <w:gridSpan w:val="2"/>
            <w:vAlign w:val="center"/>
          </w:tcPr>
          <w:p>
            <w:pPr>
              <w:spacing w:line="440" w:lineRule="exact"/>
              <w:jc w:val="center"/>
              <w:rPr>
                <w:rFonts w:hint="eastAsia" w:eastAsia="宋体"/>
                <w:szCs w:val="21"/>
                <w:highlight w:val="none"/>
                <w:lang w:eastAsia="zh-CN"/>
              </w:rPr>
            </w:pPr>
            <w:r>
              <w:rPr>
                <w:rFonts w:hint="eastAsia"/>
                <w:szCs w:val="21"/>
                <w:highlight w:val="none"/>
                <w:lang w:eastAsia="zh-CN"/>
              </w:rPr>
              <w:t>最高限价</w:t>
            </w:r>
          </w:p>
        </w:tc>
        <w:tc>
          <w:tcPr>
            <w:tcW w:w="6662" w:type="dxa"/>
            <w:vAlign w:val="center"/>
          </w:tcPr>
          <w:p>
            <w:pPr>
              <w:spacing w:line="400" w:lineRule="exact"/>
              <w:rPr>
                <w:rFonts w:ascii="宋体" w:hAnsi="宋体"/>
                <w:szCs w:val="21"/>
                <w:highlight w:val="none"/>
              </w:rPr>
            </w:pPr>
            <w:r>
              <w:rPr>
                <w:rFonts w:hint="eastAsia" w:ascii="宋体" w:hAnsi="宋体"/>
                <w:szCs w:val="21"/>
                <w:highlight w:val="none"/>
                <w:lang w:eastAsia="zh-CN"/>
              </w:rPr>
              <w:t>最高限价</w:t>
            </w:r>
            <w:r>
              <w:rPr>
                <w:rFonts w:hint="eastAsia" w:ascii="宋体" w:hAnsi="宋体"/>
                <w:szCs w:val="21"/>
                <w:highlight w:val="none"/>
              </w:rPr>
              <w:t>为</w:t>
            </w:r>
            <w:r>
              <w:rPr>
                <w:rFonts w:hint="eastAsia"/>
                <w:szCs w:val="21"/>
                <w:highlight w:val="none"/>
              </w:rPr>
              <w:t xml:space="preserve"> 7515.49</w:t>
            </w:r>
            <w:r>
              <w:rPr>
                <w:rFonts w:hint="eastAsia" w:ascii="宋体" w:hAnsi="宋体"/>
                <w:szCs w:val="21"/>
                <w:highlight w:val="none"/>
              </w:rPr>
              <w:t>万元，其中：</w:t>
            </w:r>
          </w:p>
          <w:p>
            <w:pPr>
              <w:spacing w:line="400" w:lineRule="exact"/>
              <w:rPr>
                <w:rFonts w:ascii="宋体" w:hAnsi="宋体"/>
                <w:szCs w:val="21"/>
                <w:highlight w:val="none"/>
              </w:rPr>
            </w:pPr>
            <w:r>
              <w:rPr>
                <w:rFonts w:hint="eastAsia" w:ascii="宋体" w:hAnsi="宋体"/>
                <w:szCs w:val="21"/>
                <w:highlight w:val="none"/>
              </w:rPr>
              <w:t>设计部分</w:t>
            </w:r>
            <w:r>
              <w:rPr>
                <w:rFonts w:hint="eastAsia" w:ascii="宋体" w:hAnsi="宋体"/>
                <w:szCs w:val="21"/>
                <w:highlight w:val="none"/>
                <w:lang w:eastAsia="zh-CN"/>
              </w:rPr>
              <w:t>最高限价</w:t>
            </w:r>
            <w:r>
              <w:rPr>
                <w:rFonts w:hint="eastAsia" w:ascii="宋体" w:hAnsi="宋体"/>
                <w:szCs w:val="21"/>
                <w:highlight w:val="none"/>
              </w:rPr>
              <w:t>为</w:t>
            </w:r>
            <w:r>
              <w:rPr>
                <w:rFonts w:hint="eastAsia"/>
                <w:szCs w:val="21"/>
                <w:highlight w:val="none"/>
              </w:rPr>
              <w:t xml:space="preserve"> 145.03</w:t>
            </w:r>
            <w:r>
              <w:rPr>
                <w:rFonts w:hint="eastAsia" w:ascii="宋体" w:hAnsi="宋体"/>
                <w:szCs w:val="21"/>
                <w:highlight w:val="none"/>
              </w:rPr>
              <w:t>万元，</w:t>
            </w:r>
          </w:p>
          <w:p>
            <w:pPr>
              <w:spacing w:line="400" w:lineRule="exact"/>
              <w:rPr>
                <w:rFonts w:ascii="宋体" w:hAnsi="宋体"/>
                <w:szCs w:val="21"/>
                <w:highlight w:val="none"/>
              </w:rPr>
            </w:pPr>
            <w:r>
              <w:rPr>
                <w:rFonts w:hint="eastAsia" w:ascii="宋体" w:hAnsi="宋体"/>
                <w:szCs w:val="21"/>
                <w:highlight w:val="none"/>
              </w:rPr>
              <w:t>施工建安部分</w:t>
            </w:r>
            <w:r>
              <w:rPr>
                <w:rFonts w:hint="eastAsia" w:ascii="宋体" w:hAnsi="宋体"/>
                <w:szCs w:val="21"/>
                <w:highlight w:val="none"/>
                <w:lang w:eastAsia="zh-CN"/>
              </w:rPr>
              <w:t>最高限价</w:t>
            </w:r>
            <w:r>
              <w:rPr>
                <w:rFonts w:hint="eastAsia" w:ascii="宋体" w:hAnsi="宋体"/>
                <w:szCs w:val="21"/>
                <w:highlight w:val="none"/>
              </w:rPr>
              <w:t>为7370.46万元。</w:t>
            </w:r>
          </w:p>
          <w:p>
            <w:pPr>
              <w:spacing w:line="400" w:lineRule="exact"/>
              <w:rPr>
                <w:szCs w:val="21"/>
                <w:highlight w:val="none"/>
              </w:rPr>
            </w:pPr>
            <w:r>
              <w:rPr>
                <w:rFonts w:hint="eastAsia" w:ascii="宋体" w:hAnsi="宋体"/>
                <w:szCs w:val="21"/>
                <w:highlight w:val="none"/>
              </w:rPr>
              <w:t>（注：投标报价不得高于</w:t>
            </w:r>
            <w:r>
              <w:rPr>
                <w:rFonts w:hint="eastAsia" w:ascii="宋体" w:hAnsi="宋体"/>
                <w:szCs w:val="21"/>
                <w:highlight w:val="none"/>
                <w:lang w:eastAsia="zh-CN"/>
              </w:rPr>
              <w:t>最高限价</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65" w:type="dxa"/>
            <w:vAlign w:val="center"/>
          </w:tcPr>
          <w:p>
            <w:pPr>
              <w:spacing w:line="440" w:lineRule="exact"/>
              <w:jc w:val="center"/>
              <w:rPr>
                <w:highlight w:val="none"/>
              </w:rPr>
            </w:pPr>
            <w:r>
              <w:rPr>
                <w:rFonts w:hint="eastAsia"/>
                <w:highlight w:val="none"/>
              </w:rPr>
              <w:t>3.2.5</w:t>
            </w:r>
          </w:p>
        </w:tc>
        <w:tc>
          <w:tcPr>
            <w:tcW w:w="1920" w:type="dxa"/>
            <w:gridSpan w:val="2"/>
            <w:vAlign w:val="center"/>
          </w:tcPr>
          <w:p>
            <w:pPr>
              <w:spacing w:line="380" w:lineRule="exact"/>
              <w:jc w:val="center"/>
              <w:rPr>
                <w:szCs w:val="21"/>
                <w:highlight w:val="none"/>
              </w:rPr>
            </w:pPr>
            <w:r>
              <w:rPr>
                <w:rFonts w:hint="eastAsia"/>
                <w:szCs w:val="21"/>
                <w:highlight w:val="none"/>
              </w:rPr>
              <w:t>投标报价的其他要求及说明</w:t>
            </w:r>
          </w:p>
        </w:tc>
        <w:tc>
          <w:tcPr>
            <w:tcW w:w="6662" w:type="dxa"/>
            <w:vAlign w:val="center"/>
          </w:tcPr>
          <w:p>
            <w:pPr>
              <w:spacing w:line="400" w:lineRule="exact"/>
              <w:ind w:right="34" w:rightChars="16" w:firstLine="420" w:firstLineChars="200"/>
              <w:rPr>
                <w:szCs w:val="21"/>
                <w:highlight w:val="none"/>
              </w:rPr>
            </w:pPr>
            <w:r>
              <w:rPr>
                <w:rFonts w:hint="eastAsia"/>
                <w:szCs w:val="21"/>
                <w:highlight w:val="none"/>
              </w:rPr>
              <w:t>1、本工程建安费、设计费投标报价采用下浮率报价方式，即投标人只需报一个下浮率（下浮率保留小数后两位）。合同暂定价为工程建安费投标报价=工程建安费</w:t>
            </w:r>
            <w:r>
              <w:rPr>
                <w:rFonts w:hint="eastAsia"/>
                <w:szCs w:val="21"/>
                <w:highlight w:val="none"/>
                <w:lang w:eastAsia="zh-CN"/>
              </w:rPr>
              <w:t>最高限价</w:t>
            </w:r>
            <w:r>
              <w:rPr>
                <w:rFonts w:hint="eastAsia"/>
                <w:szCs w:val="21"/>
                <w:highlight w:val="none"/>
              </w:rPr>
              <w:t>×（1- 投标下浮率）。工程建安费用的投标报价不得高于工程建安费</w:t>
            </w:r>
            <w:r>
              <w:rPr>
                <w:rFonts w:hint="eastAsia"/>
                <w:szCs w:val="21"/>
                <w:highlight w:val="none"/>
                <w:lang w:eastAsia="zh-CN"/>
              </w:rPr>
              <w:t>最高限价</w:t>
            </w:r>
            <w:r>
              <w:rPr>
                <w:rFonts w:hint="eastAsia"/>
                <w:szCs w:val="21"/>
                <w:highlight w:val="none"/>
              </w:rPr>
              <w:t>。</w:t>
            </w:r>
          </w:p>
          <w:p>
            <w:pPr>
              <w:spacing w:line="400" w:lineRule="exact"/>
              <w:ind w:right="34" w:rightChars="16" w:firstLine="420" w:firstLineChars="200"/>
              <w:rPr>
                <w:szCs w:val="21"/>
                <w:highlight w:val="none"/>
              </w:rPr>
            </w:pPr>
            <w:r>
              <w:rPr>
                <w:rFonts w:hint="eastAsia"/>
                <w:szCs w:val="21"/>
                <w:highlight w:val="none"/>
              </w:rPr>
              <w:t>2、投标报价有算术错误的，评标委员会按以下原则对投标报价进行修正：</w:t>
            </w:r>
          </w:p>
          <w:p>
            <w:pPr>
              <w:spacing w:line="400" w:lineRule="exact"/>
              <w:ind w:right="34" w:rightChars="16" w:firstLine="420" w:firstLineChars="200"/>
              <w:rPr>
                <w:szCs w:val="21"/>
                <w:highlight w:val="none"/>
              </w:rPr>
            </w:pPr>
            <w:r>
              <w:rPr>
                <w:rFonts w:hint="eastAsia"/>
                <w:szCs w:val="21"/>
                <w:highlight w:val="none"/>
              </w:rPr>
              <w:t>①投标文件中的投标下浮率与投标总价不一致的，以投标下浮率为准；</w:t>
            </w:r>
          </w:p>
          <w:p>
            <w:pPr>
              <w:spacing w:line="400" w:lineRule="exact"/>
              <w:ind w:right="34" w:rightChars="16" w:firstLine="420" w:firstLineChars="200"/>
              <w:rPr>
                <w:szCs w:val="21"/>
                <w:highlight w:val="none"/>
              </w:rPr>
            </w:pPr>
            <w:r>
              <w:rPr>
                <w:rFonts w:hint="eastAsia"/>
                <w:szCs w:val="21"/>
                <w:highlight w:val="none"/>
              </w:rPr>
              <w:t>②投标文件中的大写金额与小写金额不一致的，以大写金额为准；</w:t>
            </w:r>
          </w:p>
          <w:p>
            <w:pPr>
              <w:spacing w:line="400" w:lineRule="exact"/>
              <w:ind w:right="34" w:rightChars="16" w:firstLine="420" w:firstLineChars="200"/>
              <w:rPr>
                <w:szCs w:val="21"/>
                <w:highlight w:val="none"/>
              </w:rPr>
            </w:pPr>
            <w:r>
              <w:rPr>
                <w:rFonts w:hint="eastAsia"/>
                <w:szCs w:val="21"/>
                <w:highlight w:val="none"/>
              </w:rPr>
              <w:t>3、工程建安费最高限价包含绿色施工安全防护措施费、暂估价、暂列金在内。</w:t>
            </w:r>
          </w:p>
          <w:p>
            <w:pPr>
              <w:spacing w:line="400" w:lineRule="exact"/>
              <w:ind w:right="34" w:rightChars="16" w:firstLine="420" w:firstLineChars="200"/>
              <w:rPr>
                <w:szCs w:val="21"/>
                <w:highlight w:val="none"/>
              </w:rPr>
            </w:pPr>
            <w:r>
              <w:rPr>
                <w:rFonts w:hint="eastAsia"/>
                <w:szCs w:val="21"/>
                <w:highlight w:val="none"/>
              </w:rPr>
              <w:t>4、施工图设计费包括：现场调查考察费、基础资料收集费、设计人员差旅费、初步设计单位的配合费、</w:t>
            </w:r>
            <w:r>
              <w:rPr>
                <w:rFonts w:hint="eastAsia"/>
                <w:color w:val="auto"/>
                <w:szCs w:val="21"/>
                <w:highlight w:val="none"/>
                <w:lang w:eastAsia="zh-CN"/>
              </w:rPr>
              <w:t>施工图预结算编制</w:t>
            </w:r>
            <w:r>
              <w:rPr>
                <w:rFonts w:hint="eastAsia"/>
                <w:color w:val="auto"/>
                <w:szCs w:val="21"/>
                <w:highlight w:val="none"/>
                <w:lang w:val="en-US" w:eastAsia="zh-CN"/>
              </w:rPr>
              <w:t>费、</w:t>
            </w:r>
            <w:r>
              <w:rPr>
                <w:rFonts w:hint="eastAsia"/>
                <w:szCs w:val="21"/>
                <w:highlight w:val="none"/>
              </w:rPr>
              <w:t>评审费（专家评审费、会务费、住宿费、接待费、餐费以及项目施工过程中发包方认为必须召开专题技</w:t>
            </w:r>
          </w:p>
          <w:p>
            <w:pPr>
              <w:spacing w:line="400" w:lineRule="exact"/>
              <w:ind w:right="34" w:rightChars="16"/>
              <w:rPr>
                <w:rFonts w:hint="eastAsia" w:eastAsia="宋体"/>
                <w:szCs w:val="21"/>
                <w:highlight w:val="none"/>
                <w:lang w:val="en-US" w:eastAsia="zh-CN"/>
              </w:rPr>
            </w:pPr>
            <w:r>
              <w:rPr>
                <w:rFonts w:hint="eastAsia"/>
                <w:szCs w:val="21"/>
                <w:highlight w:val="none"/>
              </w:rPr>
              <w:t>术论证会的专家评审费等）、施工招标技术资料编制费、施工跟踪服务费、设计驻地费（人员、设备、办公场地等），提供招标人在办理报建工作时所需要的评估报告或其它报建资料，配合招标人完成相关报建工作，完成设计工作应支付的所有费用。</w:t>
            </w:r>
          </w:p>
          <w:p>
            <w:pPr>
              <w:numPr>
                <w:ilvl w:val="0"/>
                <w:numId w:val="1"/>
              </w:numPr>
              <w:spacing w:line="400" w:lineRule="exact"/>
              <w:ind w:right="34" w:rightChars="16" w:firstLine="420" w:firstLineChars="200"/>
              <w:rPr>
                <w:rFonts w:hint="eastAsia"/>
                <w:szCs w:val="21"/>
                <w:highlight w:val="none"/>
              </w:rPr>
            </w:pPr>
            <w:r>
              <w:rPr>
                <w:rFonts w:hint="eastAsia"/>
                <w:szCs w:val="21"/>
                <w:highlight w:val="none"/>
              </w:rPr>
              <w:t>工程投标报价需按要求报投标报价下浮率，以及折算后的投标总价。</w:t>
            </w:r>
          </w:p>
          <w:p>
            <w:pPr>
              <w:numPr>
                <w:ilvl w:val="0"/>
                <w:numId w:val="1"/>
              </w:numPr>
              <w:spacing w:line="400" w:lineRule="exact"/>
              <w:ind w:right="34" w:rightChars="16" w:firstLine="420" w:firstLineChars="200"/>
              <w:rPr>
                <w:rFonts w:hint="eastAsia"/>
                <w:szCs w:val="21"/>
                <w:highlight w:val="none"/>
              </w:rPr>
            </w:pPr>
            <w:r>
              <w:rPr>
                <w:rFonts w:hint="eastAsia"/>
                <w:color w:val="auto"/>
                <w:szCs w:val="21"/>
                <w:highlight w:val="none"/>
              </w:rPr>
              <w:t>本工程建安费的结算价是</w:t>
            </w:r>
            <w:r>
              <w:rPr>
                <w:rFonts w:hint="eastAsia"/>
                <w:szCs w:val="21"/>
                <w:highlight w:val="none"/>
                <w:lang w:val="en-US" w:eastAsia="zh-CN"/>
              </w:rPr>
              <w:t>按《关于执行〈江门市政府投资管理办法〉有关问题的通知》有关规定执行的审核</w:t>
            </w:r>
            <w:r>
              <w:rPr>
                <w:rFonts w:hint="eastAsia"/>
                <w:color w:val="auto"/>
                <w:szCs w:val="21"/>
                <w:highlight w:val="none"/>
              </w:rPr>
              <w:t>工程建安费实际发生的费用×（1-中标下浮率）计算</w:t>
            </w:r>
            <w:r>
              <w:rPr>
                <w:rFonts w:hint="eastAsia"/>
                <w:color w:val="auto"/>
                <w:szCs w:val="21"/>
                <w:highlight w:val="none"/>
                <w:lang w:eastAsia="zh-CN"/>
              </w:rPr>
              <w:t>。</w:t>
            </w:r>
          </w:p>
          <w:p>
            <w:pPr>
              <w:spacing w:line="440" w:lineRule="exact"/>
              <w:ind w:firstLine="420" w:firstLineChars="200"/>
              <w:rPr>
                <w:b/>
                <w:szCs w:val="21"/>
                <w:highlight w:val="none"/>
              </w:rPr>
            </w:pPr>
            <w:r>
              <w:rPr>
                <w:rFonts w:hint="eastAsia"/>
                <w:szCs w:val="21"/>
                <w:highlight w:val="none"/>
                <w:lang w:val="en-US" w:eastAsia="zh-CN"/>
              </w:rPr>
              <w:t>7</w:t>
            </w:r>
            <w:r>
              <w:rPr>
                <w:rFonts w:hint="eastAsia"/>
                <w:szCs w:val="21"/>
                <w:highlight w:val="none"/>
              </w:rPr>
              <w:t>、投标下浮率应≥0。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65" w:type="dxa"/>
            <w:vAlign w:val="center"/>
          </w:tcPr>
          <w:p>
            <w:pPr>
              <w:spacing w:line="440" w:lineRule="exact"/>
              <w:jc w:val="center"/>
              <w:rPr>
                <w:szCs w:val="21"/>
                <w:highlight w:val="none"/>
              </w:rPr>
            </w:pPr>
            <w:r>
              <w:rPr>
                <w:szCs w:val="21"/>
                <w:highlight w:val="none"/>
              </w:rPr>
              <w:t>3.3</w:t>
            </w:r>
            <w:r>
              <w:rPr>
                <w:rFonts w:hint="eastAsia"/>
                <w:szCs w:val="21"/>
                <w:highlight w:val="none"/>
              </w:rPr>
              <w:t>.1</w:t>
            </w:r>
          </w:p>
        </w:tc>
        <w:tc>
          <w:tcPr>
            <w:tcW w:w="1920" w:type="dxa"/>
            <w:gridSpan w:val="2"/>
            <w:vAlign w:val="center"/>
          </w:tcPr>
          <w:p>
            <w:pPr>
              <w:spacing w:line="440" w:lineRule="exact"/>
              <w:jc w:val="center"/>
              <w:rPr>
                <w:szCs w:val="21"/>
                <w:highlight w:val="none"/>
              </w:rPr>
            </w:pPr>
            <w:r>
              <w:rPr>
                <w:szCs w:val="21"/>
                <w:highlight w:val="none"/>
              </w:rPr>
              <w:t>投标有效期</w:t>
            </w:r>
          </w:p>
        </w:tc>
        <w:tc>
          <w:tcPr>
            <w:tcW w:w="6662" w:type="dxa"/>
            <w:vAlign w:val="center"/>
          </w:tcPr>
          <w:p>
            <w:pPr>
              <w:spacing w:line="440" w:lineRule="exact"/>
              <w:rPr>
                <w:szCs w:val="21"/>
                <w:highlight w:val="none"/>
              </w:rPr>
            </w:pPr>
            <w:r>
              <w:rPr>
                <w:rFonts w:hint="eastAsia"/>
                <w:szCs w:val="21"/>
                <w:highlight w:val="none"/>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szCs w:val="21"/>
                <w:highlight w:val="none"/>
              </w:rPr>
              <w:t>3.4.1</w:t>
            </w:r>
          </w:p>
        </w:tc>
        <w:tc>
          <w:tcPr>
            <w:tcW w:w="1920" w:type="dxa"/>
            <w:gridSpan w:val="2"/>
            <w:vAlign w:val="center"/>
          </w:tcPr>
          <w:p>
            <w:pPr>
              <w:spacing w:line="440" w:lineRule="exact"/>
              <w:jc w:val="center"/>
              <w:rPr>
                <w:szCs w:val="21"/>
                <w:highlight w:val="none"/>
              </w:rPr>
            </w:pPr>
            <w:r>
              <w:rPr>
                <w:szCs w:val="21"/>
                <w:highlight w:val="none"/>
              </w:rPr>
              <w:t>投标保证金</w:t>
            </w:r>
          </w:p>
        </w:tc>
        <w:tc>
          <w:tcPr>
            <w:tcW w:w="6662" w:type="dxa"/>
            <w:vAlign w:val="center"/>
          </w:tcPr>
          <w:p>
            <w:pPr>
              <w:spacing w:line="320" w:lineRule="exact"/>
              <w:rPr>
                <w:rFonts w:ascii="宋体" w:hAnsi="宋体"/>
                <w:szCs w:val="21"/>
                <w:highlight w:val="none"/>
              </w:rPr>
            </w:pPr>
            <w:r>
              <w:rPr>
                <w:rFonts w:hint="eastAsia" w:ascii="宋体" w:hAnsi="宋体"/>
                <w:szCs w:val="21"/>
                <w:highlight w:val="none"/>
              </w:rPr>
              <w:t>投标保证金的形式：银行转账或银行保函或工程保证保险。</w:t>
            </w:r>
          </w:p>
          <w:p>
            <w:pPr>
              <w:spacing w:line="320" w:lineRule="exact"/>
              <w:rPr>
                <w:rFonts w:ascii="宋体" w:hAnsi="宋体"/>
                <w:szCs w:val="21"/>
                <w:highlight w:val="none"/>
              </w:rPr>
            </w:pPr>
            <w:r>
              <w:rPr>
                <w:rFonts w:hint="eastAsia" w:ascii="宋体" w:hAnsi="宋体"/>
                <w:szCs w:val="21"/>
                <w:highlight w:val="none"/>
              </w:rPr>
              <w:t>投标保证金的金额：70万元</w:t>
            </w:r>
          </w:p>
          <w:p>
            <w:pPr>
              <w:spacing w:line="320" w:lineRule="exact"/>
              <w:rPr>
                <w:rFonts w:ascii="宋体" w:hAnsi="宋体"/>
                <w:szCs w:val="21"/>
                <w:highlight w:val="none"/>
              </w:rPr>
            </w:pPr>
            <w:r>
              <w:rPr>
                <w:rFonts w:hint="eastAsia" w:ascii="宋体" w:hAnsi="宋体"/>
                <w:szCs w:val="21"/>
                <w:highlight w:val="none"/>
              </w:rPr>
              <w:t>递交方式：</w:t>
            </w:r>
          </w:p>
          <w:p>
            <w:pPr>
              <w:spacing w:line="320" w:lineRule="exact"/>
              <w:rPr>
                <w:rFonts w:ascii="宋体" w:hAnsi="宋体"/>
                <w:szCs w:val="21"/>
                <w:highlight w:val="none"/>
              </w:rPr>
            </w:pPr>
            <w:r>
              <w:rPr>
                <w:rFonts w:hint="eastAsia" w:ascii="宋体" w:hAnsi="宋体"/>
                <w:b/>
                <w:szCs w:val="21"/>
                <w:highlight w:val="none"/>
              </w:rPr>
              <w:t>采用银行转账的</w:t>
            </w:r>
            <w:r>
              <w:rPr>
                <w:rFonts w:hint="eastAsia" w:ascii="宋体" w:hAnsi="宋体"/>
                <w:szCs w:val="21"/>
                <w:highlight w:val="none"/>
              </w:rPr>
              <w:t>（由广州公共资源交易中心代收，投标保证金须从投标人基本账户递交）。</w:t>
            </w:r>
          </w:p>
          <w:p>
            <w:pPr>
              <w:spacing w:line="320" w:lineRule="exact"/>
              <w:rPr>
                <w:rFonts w:ascii="宋体" w:hAnsi="宋体"/>
                <w:szCs w:val="21"/>
                <w:highlight w:val="none"/>
              </w:rPr>
            </w:pPr>
            <w:r>
              <w:rPr>
                <w:rFonts w:hint="eastAsia" w:ascii="宋体" w:hAnsi="宋体"/>
                <w:szCs w:val="21"/>
                <w:highlight w:val="none"/>
              </w:rPr>
              <w:t>收款单位：广州交易集团有限公司</w:t>
            </w:r>
          </w:p>
          <w:p>
            <w:pPr>
              <w:spacing w:line="320" w:lineRule="exact"/>
              <w:rPr>
                <w:rFonts w:ascii="宋体" w:hAnsi="宋体"/>
                <w:szCs w:val="21"/>
                <w:highlight w:val="none"/>
              </w:rPr>
            </w:pPr>
            <w:r>
              <w:rPr>
                <w:rFonts w:hint="eastAsia" w:ascii="宋体" w:hAnsi="宋体"/>
                <w:szCs w:val="21"/>
                <w:highlight w:val="none"/>
              </w:rPr>
              <w:t>银行账号：44001583404059333333</w:t>
            </w:r>
          </w:p>
          <w:p>
            <w:pPr>
              <w:spacing w:line="320" w:lineRule="exact"/>
              <w:rPr>
                <w:rFonts w:ascii="宋体" w:hAnsi="宋体"/>
                <w:szCs w:val="21"/>
                <w:highlight w:val="none"/>
              </w:rPr>
            </w:pPr>
            <w:r>
              <w:rPr>
                <w:rFonts w:hint="eastAsia" w:ascii="宋体" w:hAnsi="宋体"/>
                <w:szCs w:val="21"/>
                <w:highlight w:val="none"/>
              </w:rPr>
              <w:t>开户银行：中国建设银行天润路支行。</w:t>
            </w:r>
          </w:p>
          <w:p>
            <w:pPr>
              <w:spacing w:line="320" w:lineRule="exact"/>
              <w:rPr>
                <w:rFonts w:ascii="宋体" w:hAnsi="宋体"/>
                <w:szCs w:val="21"/>
                <w:highlight w:val="none"/>
              </w:rPr>
            </w:pPr>
            <w:r>
              <w:rPr>
                <w:rFonts w:hint="eastAsia" w:ascii="宋体" w:hAnsi="宋体"/>
                <w:szCs w:val="21"/>
                <w:highlight w:val="none"/>
              </w:rPr>
              <w:t>具体操作要求详见广州公共资源交易中心有关指引，递交事宜请自行咨询交易中心；请各投标人在投标文件递交截止时间前按上述金额递交至广州公共资源交易中心，款项到账后，投标人在完成投标登记后至投标截止时间前，可登陆交易中心网站，在基本户投标保证金栏目内将上述到账资金转到对应的投标项目，完成保证金缴纳。保证金到账情况以开标时广州公共资源交易中心数据库查询的信息为准。</w:t>
            </w:r>
          </w:p>
          <w:p>
            <w:pPr>
              <w:spacing w:line="320" w:lineRule="exact"/>
              <w:rPr>
                <w:rFonts w:ascii="宋体" w:hAnsi="宋体"/>
                <w:szCs w:val="21"/>
                <w:highlight w:val="none"/>
              </w:rPr>
            </w:pPr>
            <w:r>
              <w:rPr>
                <w:rFonts w:hint="eastAsia" w:ascii="宋体" w:hAnsi="宋体"/>
                <w:b/>
                <w:szCs w:val="21"/>
                <w:highlight w:val="none"/>
              </w:rPr>
              <w:t>采用银行保函的</w:t>
            </w:r>
            <w:r>
              <w:rPr>
                <w:rFonts w:hint="eastAsia" w:ascii="宋体" w:hAnsi="宋体"/>
                <w:szCs w:val="21"/>
                <w:highlight w:val="none"/>
              </w:rPr>
              <w:t>，开标时须提供银行保函原件[银行保函应从其基本账户开户银行开具，如银行保函不是从其基本帐户开户银行开具的，则须由开具保函的银行提供从其基本帐户转帐划付资金的收款凭证或收费凭证（凭证须注明对应的保函编号，并在编号处加盖银行印章予以确认）]。</w:t>
            </w:r>
          </w:p>
          <w:p>
            <w:pPr>
              <w:spacing w:line="320" w:lineRule="exact"/>
              <w:rPr>
                <w:rFonts w:ascii="宋体" w:hAnsi="宋体"/>
                <w:szCs w:val="21"/>
                <w:highlight w:val="none"/>
              </w:rPr>
            </w:pPr>
            <w:r>
              <w:rPr>
                <w:rFonts w:hint="eastAsia" w:ascii="宋体" w:hAnsi="宋体"/>
                <w:szCs w:val="21"/>
                <w:highlight w:val="none"/>
              </w:rPr>
              <w:t>注：（1）投标保证金采用银行转账或开具银行保函的，在投标文件中</w:t>
            </w:r>
          </w:p>
          <w:p>
            <w:pPr>
              <w:spacing w:line="320" w:lineRule="exact"/>
              <w:rPr>
                <w:rFonts w:ascii="宋体" w:hAnsi="宋体"/>
                <w:szCs w:val="21"/>
                <w:highlight w:val="none"/>
              </w:rPr>
            </w:pPr>
            <w:r>
              <w:rPr>
                <w:rFonts w:hint="eastAsia" w:ascii="宋体" w:hAnsi="宋体"/>
                <w:szCs w:val="21"/>
                <w:highlight w:val="none"/>
              </w:rPr>
              <w:t>提供投标人基本账户的“基本存款账户信息”（开户银行盖章确认）</w:t>
            </w:r>
          </w:p>
          <w:p>
            <w:pPr>
              <w:spacing w:line="320" w:lineRule="exact"/>
              <w:rPr>
                <w:rFonts w:ascii="宋体" w:hAnsi="宋体"/>
                <w:szCs w:val="21"/>
                <w:highlight w:val="none"/>
              </w:rPr>
            </w:pPr>
            <w:r>
              <w:rPr>
                <w:rFonts w:hint="eastAsia" w:ascii="宋体" w:hAnsi="宋体"/>
                <w:szCs w:val="21"/>
                <w:highlight w:val="none"/>
              </w:rPr>
              <w:t>扫描件；如采用银行保函的，且银行保函不是从其基本账户开户银行</w:t>
            </w:r>
          </w:p>
          <w:p>
            <w:pPr>
              <w:spacing w:line="320" w:lineRule="exact"/>
              <w:rPr>
                <w:rFonts w:ascii="宋体" w:hAnsi="宋体"/>
                <w:szCs w:val="21"/>
                <w:highlight w:val="none"/>
              </w:rPr>
            </w:pPr>
            <w:r>
              <w:rPr>
                <w:rFonts w:hint="eastAsia" w:ascii="宋体" w:hAnsi="宋体"/>
                <w:szCs w:val="21"/>
                <w:highlight w:val="none"/>
              </w:rPr>
              <w:t>开具的，则须提供从其基本账户转账划付资金的收款凭证或收费凭证</w:t>
            </w:r>
          </w:p>
          <w:p>
            <w:pPr>
              <w:spacing w:line="320" w:lineRule="exact"/>
              <w:rPr>
                <w:rFonts w:ascii="宋体" w:hAnsi="宋体"/>
                <w:szCs w:val="21"/>
                <w:highlight w:val="none"/>
              </w:rPr>
            </w:pPr>
            <w:r>
              <w:rPr>
                <w:rFonts w:hint="eastAsia" w:ascii="宋体" w:hAnsi="宋体"/>
                <w:szCs w:val="21"/>
                <w:highlight w:val="none"/>
              </w:rPr>
              <w:t>扫描件。（2）经评标委员会核查，不符合招标文件要求的否决其投标。</w:t>
            </w:r>
          </w:p>
          <w:p>
            <w:pPr>
              <w:spacing w:line="320" w:lineRule="exact"/>
              <w:rPr>
                <w:rFonts w:ascii="宋体" w:hAnsi="宋体"/>
                <w:szCs w:val="21"/>
                <w:highlight w:val="none"/>
              </w:rPr>
            </w:pPr>
            <w:r>
              <w:rPr>
                <w:rFonts w:hint="eastAsia" w:ascii="宋体" w:hAnsi="宋体"/>
                <w:szCs w:val="21"/>
                <w:highlight w:val="none"/>
              </w:rPr>
              <w:t>（3）投标有效期内招标人对投标人提供的银行保函进行核查，如发现</w:t>
            </w:r>
          </w:p>
          <w:p>
            <w:pPr>
              <w:spacing w:line="320" w:lineRule="exact"/>
              <w:rPr>
                <w:rFonts w:ascii="宋体" w:hAnsi="宋体"/>
                <w:szCs w:val="21"/>
                <w:highlight w:val="none"/>
              </w:rPr>
            </w:pPr>
            <w:r>
              <w:rPr>
                <w:rFonts w:hint="eastAsia" w:ascii="宋体" w:hAnsi="宋体"/>
                <w:szCs w:val="21"/>
                <w:highlight w:val="none"/>
              </w:rPr>
              <w:t>有虚假须上报行政主管部门处理。（4）投标人递交投标保证金的有效</w:t>
            </w:r>
          </w:p>
          <w:p>
            <w:pPr>
              <w:spacing w:line="320" w:lineRule="exact"/>
              <w:rPr>
                <w:rFonts w:ascii="宋体" w:hAnsi="宋体"/>
                <w:szCs w:val="21"/>
                <w:highlight w:val="none"/>
              </w:rPr>
            </w:pPr>
            <w:r>
              <w:rPr>
                <w:rFonts w:hint="eastAsia" w:ascii="宋体" w:hAnsi="宋体"/>
                <w:szCs w:val="21"/>
                <w:highlight w:val="none"/>
              </w:rPr>
              <w:t>性由评标委员会认定。</w:t>
            </w:r>
          </w:p>
          <w:p>
            <w:pPr>
              <w:spacing w:line="320" w:lineRule="exact"/>
              <w:rPr>
                <w:rFonts w:ascii="宋体" w:hAnsi="宋体"/>
                <w:szCs w:val="21"/>
                <w:highlight w:val="none"/>
              </w:rPr>
            </w:pPr>
            <w:r>
              <w:rPr>
                <w:rFonts w:hint="eastAsia" w:ascii="宋体" w:hAnsi="宋体"/>
                <w:b/>
                <w:szCs w:val="21"/>
                <w:highlight w:val="none"/>
              </w:rPr>
              <w:t>采用工程保证保险的</w:t>
            </w:r>
            <w:r>
              <w:rPr>
                <w:rFonts w:hint="eastAsia" w:ascii="宋体" w:hAnsi="宋体"/>
                <w:szCs w:val="21"/>
                <w:highlight w:val="none"/>
              </w:rPr>
              <w:t>，开标时须提供投标保证保险原件。投标保证保险保单在投标文件中提供复印件或扫描件。</w:t>
            </w:r>
          </w:p>
          <w:p>
            <w:pPr>
              <w:spacing w:line="320" w:lineRule="exact"/>
              <w:rPr>
                <w:rFonts w:ascii="宋体" w:hAnsi="宋体"/>
                <w:szCs w:val="21"/>
                <w:highlight w:val="none"/>
              </w:rPr>
            </w:pPr>
            <w:r>
              <w:rPr>
                <w:rFonts w:hint="eastAsia" w:ascii="宋体" w:hAnsi="宋体"/>
                <w:szCs w:val="21"/>
                <w:highlight w:val="none"/>
              </w:rPr>
              <w:t>注：（1）经评标委员会核查保险保函，不符合招标文件要求的否决其</w:t>
            </w:r>
          </w:p>
          <w:p>
            <w:pPr>
              <w:spacing w:line="320" w:lineRule="exact"/>
              <w:rPr>
                <w:rFonts w:ascii="宋体" w:hAnsi="宋体"/>
                <w:szCs w:val="21"/>
                <w:highlight w:val="none"/>
              </w:rPr>
            </w:pPr>
            <w:r>
              <w:rPr>
                <w:rFonts w:hint="eastAsia" w:ascii="宋体" w:hAnsi="宋体"/>
                <w:szCs w:val="21"/>
                <w:highlight w:val="none"/>
              </w:rPr>
              <w:t>投标。（2）投标有效期内招标人对投标人提供的投标保证保险保单进</w:t>
            </w:r>
          </w:p>
          <w:p>
            <w:pPr>
              <w:spacing w:line="320" w:lineRule="exact"/>
              <w:rPr>
                <w:rFonts w:ascii="宋体" w:hAnsi="宋体"/>
                <w:szCs w:val="21"/>
                <w:highlight w:val="none"/>
              </w:rPr>
            </w:pPr>
            <w:r>
              <w:rPr>
                <w:rFonts w:hint="eastAsia" w:ascii="宋体" w:hAnsi="宋体"/>
                <w:szCs w:val="21"/>
                <w:highlight w:val="none"/>
              </w:rPr>
              <w:t>行核查，如发现有虚假须上报行政主管部门处理。（3）投标人递交投标保证金的有效性由评标委员会认定。（4）保证保险具体按照《关于</w:t>
            </w:r>
          </w:p>
          <w:p>
            <w:pPr>
              <w:spacing w:line="320" w:lineRule="exact"/>
              <w:rPr>
                <w:rFonts w:ascii="宋体" w:hAnsi="宋体"/>
                <w:szCs w:val="21"/>
                <w:highlight w:val="none"/>
              </w:rPr>
            </w:pPr>
            <w:r>
              <w:rPr>
                <w:rFonts w:hint="eastAsia" w:ascii="宋体" w:hAnsi="宋体"/>
                <w:szCs w:val="21"/>
                <w:highlight w:val="none"/>
              </w:rPr>
              <w:t>在全市房屋建筑和市政基础设施工程开展建设工程保证保险有关工作</w:t>
            </w:r>
          </w:p>
          <w:p>
            <w:pPr>
              <w:spacing w:line="320" w:lineRule="exact"/>
              <w:rPr>
                <w:rFonts w:ascii="宋体" w:hAnsi="宋体"/>
                <w:szCs w:val="21"/>
                <w:highlight w:val="none"/>
              </w:rPr>
            </w:pPr>
            <w:r>
              <w:rPr>
                <w:rFonts w:hint="eastAsia" w:ascii="宋体" w:hAnsi="宋体"/>
                <w:szCs w:val="21"/>
                <w:highlight w:val="none"/>
              </w:rPr>
              <w:t>的通知》（江建函〔2018〕1343 号）的要求执行。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65" w:type="dxa"/>
            <w:vAlign w:val="center"/>
          </w:tcPr>
          <w:p>
            <w:pPr>
              <w:spacing w:line="360" w:lineRule="exact"/>
              <w:jc w:val="center"/>
              <w:rPr>
                <w:highlight w:val="none"/>
              </w:rPr>
            </w:pPr>
            <w:r>
              <w:rPr>
                <w:rFonts w:hint="eastAsia"/>
                <w:highlight w:val="none"/>
              </w:rPr>
              <w:t>3.4.3</w:t>
            </w:r>
          </w:p>
        </w:tc>
        <w:tc>
          <w:tcPr>
            <w:tcW w:w="1920" w:type="dxa"/>
            <w:gridSpan w:val="2"/>
            <w:vAlign w:val="center"/>
          </w:tcPr>
          <w:p>
            <w:pPr>
              <w:spacing w:line="360" w:lineRule="exact"/>
              <w:rPr>
                <w:highlight w:val="none"/>
              </w:rPr>
            </w:pPr>
            <w:r>
              <w:rPr>
                <w:rFonts w:hint="eastAsia"/>
                <w:highlight w:val="none"/>
              </w:rPr>
              <w:t>投标保证金退还</w:t>
            </w:r>
          </w:p>
        </w:tc>
        <w:tc>
          <w:tcPr>
            <w:tcW w:w="6662" w:type="dxa"/>
            <w:vAlign w:val="center"/>
          </w:tcPr>
          <w:p>
            <w:pPr>
              <w:spacing w:line="240" w:lineRule="exact"/>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\o\ac(○,1)</w:instrText>
            </w:r>
            <w:r>
              <w:rPr>
                <w:rFonts w:ascii="宋体" w:hAnsi="宋体"/>
                <w:szCs w:val="21"/>
                <w:highlight w:val="none"/>
              </w:rPr>
              <w:fldChar w:fldCharType="end"/>
            </w:r>
            <w:r>
              <w:rPr>
                <w:rFonts w:hint="eastAsia" w:ascii="宋体" w:hAnsi="宋体"/>
                <w:szCs w:val="21"/>
                <w:highlight w:val="none"/>
              </w:rPr>
              <w:t>中标候选人情况公示完毕后10个工作日内，除前3名中标候选人外，向未中标的投标人退还投标保证金。</w:t>
            </w:r>
          </w:p>
          <w:p>
            <w:pPr>
              <w:spacing w:line="240" w:lineRule="exact"/>
              <w:rPr>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\o\ac(○,2)</w:instrText>
            </w:r>
            <w:r>
              <w:rPr>
                <w:rFonts w:ascii="宋体" w:hAnsi="宋体"/>
                <w:szCs w:val="21"/>
                <w:highlight w:val="none"/>
              </w:rPr>
              <w:fldChar w:fldCharType="end"/>
            </w:r>
            <w:r>
              <w:rPr>
                <w:rFonts w:hint="eastAsia" w:ascii="宋体" w:hAnsi="宋体"/>
                <w:szCs w:val="21"/>
                <w:highlight w:val="none"/>
              </w:rPr>
              <w:t>招标人与中标人签订合同后5 个工作日内，向中标人和未中标的中标候选人退还投标保证金。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vAlign w:val="center"/>
          </w:tcPr>
          <w:p>
            <w:pPr>
              <w:spacing w:line="440" w:lineRule="exact"/>
              <w:jc w:val="center"/>
              <w:rPr>
                <w:szCs w:val="21"/>
                <w:highlight w:val="none"/>
              </w:rPr>
            </w:pPr>
            <w:r>
              <w:rPr>
                <w:szCs w:val="21"/>
                <w:highlight w:val="none"/>
              </w:rPr>
              <w:t>3.5.</w:t>
            </w:r>
            <w:r>
              <w:rPr>
                <w:rFonts w:hint="eastAsia"/>
                <w:szCs w:val="21"/>
                <w:highlight w:val="none"/>
              </w:rPr>
              <w:t>2</w:t>
            </w:r>
          </w:p>
        </w:tc>
        <w:tc>
          <w:tcPr>
            <w:tcW w:w="1920" w:type="dxa"/>
            <w:gridSpan w:val="2"/>
            <w:vAlign w:val="center"/>
          </w:tcPr>
          <w:p>
            <w:pPr>
              <w:spacing w:line="440" w:lineRule="exact"/>
              <w:jc w:val="center"/>
              <w:rPr>
                <w:szCs w:val="21"/>
                <w:highlight w:val="none"/>
              </w:rPr>
            </w:pPr>
            <w:r>
              <w:rPr>
                <w:szCs w:val="21"/>
                <w:highlight w:val="none"/>
              </w:rPr>
              <w:t>近年财务状况</w:t>
            </w:r>
          </w:p>
        </w:tc>
        <w:tc>
          <w:tcPr>
            <w:tcW w:w="6662" w:type="dxa"/>
            <w:vAlign w:val="center"/>
          </w:tcPr>
          <w:p>
            <w:pPr>
              <w:spacing w:line="360" w:lineRule="exact"/>
              <w:rPr>
                <w:highlight w:val="none"/>
              </w:rPr>
            </w:pPr>
            <w:r>
              <w:rPr>
                <w:rFonts w:hint="eastAsia"/>
                <w:highlight w:val="none"/>
                <w:u w:val="single"/>
              </w:rPr>
              <w:t xml:space="preserve">   /  </w:t>
            </w:r>
            <w:r>
              <w:rPr>
                <w:rFonts w:hint="eastAsia"/>
                <w:highlight w:val="none"/>
              </w:rPr>
              <w:t>年，指</w:t>
            </w:r>
            <w:r>
              <w:rPr>
                <w:rFonts w:hint="eastAsia"/>
                <w:highlight w:val="none"/>
                <w:u w:val="single"/>
              </w:rPr>
              <w:t xml:space="preserve">   /  </w:t>
            </w:r>
            <w:r>
              <w:rPr>
                <w:rFonts w:hint="eastAsia"/>
                <w:highlight w:val="none"/>
              </w:rPr>
              <w:t>年</w:t>
            </w:r>
            <w:r>
              <w:rPr>
                <w:rFonts w:hint="eastAsia"/>
                <w:highlight w:val="none"/>
                <w:u w:val="single"/>
              </w:rPr>
              <w:t xml:space="preserve">   /  </w:t>
            </w:r>
            <w:r>
              <w:rPr>
                <w:rFonts w:hint="eastAsia"/>
                <w:highlight w:val="none"/>
              </w:rPr>
              <w:t>月</w:t>
            </w:r>
            <w:r>
              <w:rPr>
                <w:rFonts w:hint="eastAsia"/>
                <w:highlight w:val="none"/>
                <w:u w:val="single"/>
              </w:rPr>
              <w:t xml:space="preserve">   /  </w:t>
            </w:r>
            <w:r>
              <w:rPr>
                <w:rFonts w:hint="eastAsia"/>
                <w:highlight w:val="none"/>
              </w:rPr>
              <w:t>日起至</w:t>
            </w:r>
            <w:r>
              <w:rPr>
                <w:rFonts w:hint="eastAsia"/>
                <w:highlight w:val="none"/>
                <w:u w:val="single"/>
              </w:rPr>
              <w:t xml:space="preserve">  /   </w:t>
            </w:r>
            <w:r>
              <w:rPr>
                <w:rFonts w:hint="eastAsia"/>
                <w:highlight w:val="none"/>
              </w:rPr>
              <w:t>年</w:t>
            </w:r>
            <w:r>
              <w:rPr>
                <w:rFonts w:hint="eastAsia"/>
                <w:highlight w:val="none"/>
                <w:u w:val="single"/>
              </w:rPr>
              <w:t xml:space="preserve">  /   </w:t>
            </w:r>
            <w:r>
              <w:rPr>
                <w:rFonts w:hint="eastAsia"/>
                <w:highlight w:val="none"/>
              </w:rPr>
              <w:t>月</w:t>
            </w:r>
            <w:r>
              <w:rPr>
                <w:rFonts w:hint="eastAsia"/>
                <w:highlight w:val="none"/>
                <w:u w:val="single"/>
              </w:rPr>
              <w:t xml:space="preserve">   /  </w:t>
            </w:r>
            <w:r>
              <w:rPr>
                <w:rFonts w:hint="eastAsia"/>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65" w:type="dxa"/>
            <w:vAlign w:val="center"/>
          </w:tcPr>
          <w:p>
            <w:pPr>
              <w:spacing w:line="440" w:lineRule="exact"/>
              <w:jc w:val="center"/>
              <w:rPr>
                <w:szCs w:val="21"/>
                <w:highlight w:val="none"/>
              </w:rPr>
            </w:pPr>
            <w:r>
              <w:rPr>
                <w:szCs w:val="21"/>
                <w:highlight w:val="none"/>
              </w:rPr>
              <w:t>3.5.</w:t>
            </w:r>
            <w:r>
              <w:rPr>
                <w:rFonts w:hint="eastAsia"/>
                <w:szCs w:val="21"/>
                <w:highlight w:val="none"/>
              </w:rPr>
              <w:t>3</w:t>
            </w:r>
          </w:p>
        </w:tc>
        <w:tc>
          <w:tcPr>
            <w:tcW w:w="1920" w:type="dxa"/>
            <w:gridSpan w:val="2"/>
            <w:vAlign w:val="center"/>
          </w:tcPr>
          <w:p>
            <w:pPr>
              <w:spacing w:line="440" w:lineRule="exact"/>
              <w:jc w:val="center"/>
              <w:rPr>
                <w:szCs w:val="21"/>
                <w:highlight w:val="none"/>
              </w:rPr>
            </w:pPr>
            <w:r>
              <w:rPr>
                <w:szCs w:val="21"/>
                <w:highlight w:val="none"/>
              </w:rPr>
              <w:t>近年完成的类似项目</w:t>
            </w:r>
          </w:p>
        </w:tc>
        <w:tc>
          <w:tcPr>
            <w:tcW w:w="6662" w:type="dxa"/>
            <w:vAlign w:val="center"/>
          </w:tcPr>
          <w:p>
            <w:pPr>
              <w:spacing w:line="360" w:lineRule="exact"/>
              <w:rPr>
                <w:highlight w:val="none"/>
                <w:u w:val="single"/>
              </w:rPr>
            </w:pPr>
            <w:r>
              <w:rPr>
                <w:rFonts w:hint="eastAsia"/>
                <w:highlight w:val="none"/>
                <w:u w:val="single"/>
              </w:rPr>
              <w:t xml:space="preserve">   /  </w:t>
            </w:r>
            <w:r>
              <w:rPr>
                <w:rFonts w:hint="eastAsia"/>
                <w:highlight w:val="none"/>
              </w:rPr>
              <w:t>年，指</w:t>
            </w:r>
            <w:r>
              <w:rPr>
                <w:rFonts w:hint="eastAsia"/>
                <w:highlight w:val="none"/>
                <w:u w:val="single"/>
              </w:rPr>
              <w:t xml:space="preserve">  /   </w:t>
            </w:r>
            <w:r>
              <w:rPr>
                <w:rFonts w:hint="eastAsia"/>
                <w:highlight w:val="none"/>
              </w:rPr>
              <w:t>年</w:t>
            </w:r>
            <w:r>
              <w:rPr>
                <w:rFonts w:hint="eastAsia"/>
                <w:highlight w:val="none"/>
                <w:u w:val="single"/>
              </w:rPr>
              <w:t xml:space="preserve">   /  </w:t>
            </w:r>
            <w:r>
              <w:rPr>
                <w:rFonts w:hint="eastAsia"/>
                <w:highlight w:val="none"/>
              </w:rPr>
              <w:t>月</w:t>
            </w:r>
            <w:r>
              <w:rPr>
                <w:rFonts w:hint="eastAsia"/>
                <w:highlight w:val="none"/>
                <w:u w:val="single"/>
              </w:rPr>
              <w:t xml:space="preserve">   /  </w:t>
            </w:r>
            <w:r>
              <w:rPr>
                <w:rFonts w:hint="eastAsia"/>
                <w:highlight w:val="none"/>
              </w:rPr>
              <w:t>日起至</w:t>
            </w:r>
            <w:r>
              <w:rPr>
                <w:rFonts w:hint="eastAsia"/>
                <w:highlight w:val="none"/>
                <w:u w:val="single"/>
              </w:rPr>
              <w:t xml:space="preserve">   /  </w:t>
            </w:r>
            <w:r>
              <w:rPr>
                <w:rFonts w:hint="eastAsia"/>
                <w:highlight w:val="none"/>
              </w:rPr>
              <w:t>年</w:t>
            </w:r>
            <w:r>
              <w:rPr>
                <w:rFonts w:hint="eastAsia"/>
                <w:highlight w:val="none"/>
                <w:u w:val="single"/>
              </w:rPr>
              <w:t xml:space="preserve">   /  </w:t>
            </w:r>
            <w:r>
              <w:rPr>
                <w:rFonts w:hint="eastAsia"/>
                <w:highlight w:val="none"/>
              </w:rPr>
              <w:t>月</w:t>
            </w:r>
            <w:r>
              <w:rPr>
                <w:rFonts w:hint="eastAsia"/>
                <w:highlight w:val="none"/>
                <w:u w:val="single"/>
              </w:rPr>
              <w:t xml:space="preserve">   /  </w:t>
            </w:r>
            <w:r>
              <w:rPr>
                <w:rFonts w:hint="eastAsia"/>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vAlign w:val="center"/>
          </w:tcPr>
          <w:p>
            <w:pPr>
              <w:spacing w:line="440" w:lineRule="exact"/>
              <w:jc w:val="center"/>
              <w:rPr>
                <w:szCs w:val="21"/>
                <w:highlight w:val="none"/>
              </w:rPr>
            </w:pPr>
            <w:r>
              <w:rPr>
                <w:szCs w:val="21"/>
                <w:highlight w:val="none"/>
              </w:rPr>
              <w:t>3.5.</w:t>
            </w:r>
            <w:r>
              <w:rPr>
                <w:rFonts w:hint="eastAsia"/>
                <w:szCs w:val="21"/>
                <w:highlight w:val="none"/>
              </w:rPr>
              <w:t>5</w:t>
            </w:r>
          </w:p>
        </w:tc>
        <w:tc>
          <w:tcPr>
            <w:tcW w:w="1920" w:type="dxa"/>
            <w:gridSpan w:val="2"/>
            <w:vAlign w:val="center"/>
          </w:tcPr>
          <w:p>
            <w:pPr>
              <w:spacing w:line="440" w:lineRule="exact"/>
              <w:jc w:val="center"/>
              <w:rPr>
                <w:szCs w:val="21"/>
                <w:highlight w:val="none"/>
              </w:rPr>
            </w:pPr>
            <w:r>
              <w:rPr>
                <w:szCs w:val="21"/>
                <w:highlight w:val="none"/>
              </w:rPr>
              <w:t>近年发生的</w:t>
            </w:r>
            <w:r>
              <w:rPr>
                <w:rFonts w:hint="eastAsia"/>
                <w:szCs w:val="21"/>
                <w:highlight w:val="none"/>
              </w:rPr>
              <w:t>重大</w:t>
            </w:r>
            <w:r>
              <w:rPr>
                <w:szCs w:val="21"/>
                <w:highlight w:val="none"/>
              </w:rPr>
              <w:t>诉讼及仲裁情况</w:t>
            </w:r>
          </w:p>
        </w:tc>
        <w:tc>
          <w:tcPr>
            <w:tcW w:w="6662" w:type="dxa"/>
            <w:vAlign w:val="center"/>
          </w:tcPr>
          <w:p>
            <w:pPr>
              <w:spacing w:line="360" w:lineRule="exact"/>
              <w:rPr>
                <w:highlight w:val="none"/>
                <w:u w:val="single"/>
              </w:rPr>
            </w:pPr>
            <w:r>
              <w:rPr>
                <w:rFonts w:hint="eastAsia"/>
                <w:highlight w:val="none"/>
                <w:u w:val="single"/>
              </w:rPr>
              <w:t xml:space="preserve">   /  </w:t>
            </w:r>
            <w:r>
              <w:rPr>
                <w:rFonts w:hint="eastAsia"/>
                <w:highlight w:val="none"/>
              </w:rPr>
              <w:t>年，指</w:t>
            </w:r>
            <w:r>
              <w:rPr>
                <w:rFonts w:hint="eastAsia"/>
                <w:highlight w:val="none"/>
                <w:u w:val="single"/>
              </w:rPr>
              <w:t xml:space="preserve">   /  </w:t>
            </w:r>
            <w:r>
              <w:rPr>
                <w:rFonts w:hint="eastAsia"/>
                <w:highlight w:val="none"/>
              </w:rPr>
              <w:t>年</w:t>
            </w:r>
            <w:r>
              <w:rPr>
                <w:rFonts w:hint="eastAsia"/>
                <w:highlight w:val="none"/>
                <w:u w:val="single"/>
              </w:rPr>
              <w:t xml:space="preserve">  /   </w:t>
            </w:r>
            <w:r>
              <w:rPr>
                <w:rFonts w:hint="eastAsia"/>
                <w:highlight w:val="none"/>
              </w:rPr>
              <w:t>月</w:t>
            </w:r>
            <w:r>
              <w:rPr>
                <w:rFonts w:hint="eastAsia"/>
                <w:highlight w:val="none"/>
                <w:u w:val="single"/>
              </w:rPr>
              <w:t xml:space="preserve">  /   </w:t>
            </w:r>
            <w:r>
              <w:rPr>
                <w:rFonts w:hint="eastAsia"/>
                <w:highlight w:val="none"/>
              </w:rPr>
              <w:t>日起至</w:t>
            </w:r>
            <w:r>
              <w:rPr>
                <w:rFonts w:hint="eastAsia"/>
                <w:highlight w:val="none"/>
                <w:u w:val="single"/>
              </w:rPr>
              <w:t xml:space="preserve">  /   </w:t>
            </w:r>
            <w:r>
              <w:rPr>
                <w:rFonts w:hint="eastAsia"/>
                <w:highlight w:val="none"/>
              </w:rPr>
              <w:t>年</w:t>
            </w:r>
            <w:r>
              <w:rPr>
                <w:rFonts w:hint="eastAsia"/>
                <w:highlight w:val="none"/>
                <w:u w:val="single"/>
              </w:rPr>
              <w:t xml:space="preserve">   /  </w:t>
            </w:r>
            <w:r>
              <w:rPr>
                <w:rFonts w:hint="eastAsia"/>
                <w:highlight w:val="none"/>
              </w:rPr>
              <w:t>月</w:t>
            </w:r>
            <w:r>
              <w:rPr>
                <w:rFonts w:hint="eastAsia"/>
                <w:highlight w:val="none"/>
                <w:u w:val="single"/>
              </w:rPr>
              <w:t xml:space="preserve">   /  </w:t>
            </w:r>
            <w:r>
              <w:rPr>
                <w:rFonts w:hint="eastAsia"/>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szCs w:val="21"/>
                <w:highlight w:val="none"/>
              </w:rPr>
              <w:t>3.6</w:t>
            </w:r>
          </w:p>
        </w:tc>
        <w:tc>
          <w:tcPr>
            <w:tcW w:w="1920" w:type="dxa"/>
            <w:gridSpan w:val="2"/>
            <w:vAlign w:val="center"/>
          </w:tcPr>
          <w:p>
            <w:pPr>
              <w:spacing w:line="440" w:lineRule="exact"/>
              <w:jc w:val="center"/>
              <w:rPr>
                <w:szCs w:val="21"/>
                <w:highlight w:val="none"/>
              </w:rPr>
            </w:pPr>
            <w:r>
              <w:rPr>
                <w:szCs w:val="21"/>
                <w:highlight w:val="none"/>
              </w:rPr>
              <w:t>是否允许</w:t>
            </w:r>
            <w:r>
              <w:rPr>
                <w:rFonts w:hint="eastAsia"/>
                <w:szCs w:val="21"/>
                <w:highlight w:val="none"/>
              </w:rPr>
              <w:t>递交备</w:t>
            </w:r>
            <w:r>
              <w:rPr>
                <w:szCs w:val="21"/>
                <w:highlight w:val="none"/>
              </w:rPr>
              <w:t>选投标方案</w:t>
            </w:r>
          </w:p>
        </w:tc>
        <w:tc>
          <w:tcPr>
            <w:tcW w:w="6662" w:type="dxa"/>
            <w:vAlign w:val="center"/>
          </w:tcPr>
          <w:p>
            <w:pPr>
              <w:pStyle w:val="10"/>
              <w:topLinePunct/>
              <w:spacing w:line="400" w:lineRule="exact"/>
              <w:rPr>
                <w:rFonts w:ascii="Times New Roman"/>
                <w:sz w:val="21"/>
                <w:szCs w:val="21"/>
                <w:highlight w:val="none"/>
              </w:rPr>
            </w:pPr>
            <w:r>
              <w:rPr>
                <w:rFonts w:hint="eastAsia"/>
                <w:sz w:val="32"/>
                <w:szCs w:val="32"/>
                <w:highlight w:val="none"/>
              </w:rPr>
              <w:sym w:font="Wingdings 2" w:char="0052"/>
            </w:r>
            <w:r>
              <w:rPr>
                <w:rFonts w:hint="eastAsia" w:ascii="Times New Roman"/>
                <w:sz w:val="21"/>
                <w:szCs w:val="21"/>
                <w:highlight w:val="none"/>
              </w:rPr>
              <w:t>不允许</w:t>
            </w:r>
          </w:p>
          <w:p>
            <w:pPr>
              <w:spacing w:line="440" w:lineRule="exact"/>
              <w:rPr>
                <w:szCs w:val="21"/>
                <w:highlight w:val="none"/>
              </w:rPr>
            </w:pPr>
            <w:r>
              <w:rPr>
                <w:rFonts w:hint="eastAsia"/>
                <w:sz w:val="32"/>
                <w:szCs w:val="32"/>
                <w:highlight w:val="none"/>
              </w:rPr>
              <w:t>□</w:t>
            </w:r>
            <w:r>
              <w:rPr>
                <w:rFonts w:hint="eastAsia"/>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65" w:type="dxa"/>
            <w:vAlign w:val="center"/>
          </w:tcPr>
          <w:p>
            <w:pPr>
              <w:spacing w:line="440" w:lineRule="exact"/>
              <w:jc w:val="center"/>
              <w:rPr>
                <w:szCs w:val="21"/>
                <w:highlight w:val="none"/>
              </w:rPr>
            </w:pPr>
            <w:r>
              <w:rPr>
                <w:szCs w:val="21"/>
                <w:highlight w:val="none"/>
              </w:rPr>
              <w:t>3.7.3</w:t>
            </w:r>
          </w:p>
        </w:tc>
        <w:tc>
          <w:tcPr>
            <w:tcW w:w="1920" w:type="dxa"/>
            <w:gridSpan w:val="2"/>
            <w:vAlign w:val="center"/>
          </w:tcPr>
          <w:p>
            <w:pPr>
              <w:spacing w:line="440" w:lineRule="exact"/>
              <w:jc w:val="center"/>
              <w:rPr>
                <w:szCs w:val="21"/>
                <w:highlight w:val="none"/>
              </w:rPr>
            </w:pPr>
            <w:r>
              <w:rPr>
                <w:szCs w:val="21"/>
                <w:highlight w:val="none"/>
              </w:rPr>
              <w:t>签字或盖章要求</w:t>
            </w:r>
          </w:p>
        </w:tc>
        <w:tc>
          <w:tcPr>
            <w:tcW w:w="6662" w:type="dxa"/>
            <w:vAlign w:val="center"/>
          </w:tcPr>
          <w:p>
            <w:pPr>
              <w:spacing w:line="360" w:lineRule="exact"/>
              <w:rPr>
                <w:rFonts w:ascii="宋体" w:hAnsi="宋体"/>
                <w:szCs w:val="21"/>
                <w:highlight w:val="none"/>
              </w:rPr>
            </w:pPr>
            <w:r>
              <w:rPr>
                <w:rFonts w:hint="eastAsia" w:ascii="宋体" w:hAnsi="宋体"/>
                <w:szCs w:val="21"/>
                <w:highlight w:val="none"/>
              </w:rPr>
              <w:t>1、招标文件（投标文件格式）中规定的需要加盖投标人公章和经法定代表人或其授权委托代理人签字或盖章的，必须按投标文件格式要求进行签字和盖章。若授权委托代理人签字的，应在投标文件中提交投标文件签署授权委托书。</w:t>
            </w:r>
          </w:p>
          <w:p>
            <w:pPr>
              <w:spacing w:line="360" w:lineRule="exact"/>
              <w:rPr>
                <w:rFonts w:ascii="宋体" w:hAnsi="宋体"/>
                <w:szCs w:val="21"/>
                <w:highlight w:val="none"/>
              </w:rPr>
            </w:pPr>
            <w:r>
              <w:rPr>
                <w:rFonts w:hint="eastAsia" w:ascii="宋体" w:hAnsi="宋体"/>
                <w:szCs w:val="21"/>
                <w:highlight w:val="none"/>
              </w:rPr>
              <w:t>2、由委托代理人签字或盖章的在投标文件中须同时提交投标文件签署授权委托书。</w:t>
            </w:r>
          </w:p>
          <w:p>
            <w:pPr>
              <w:spacing w:line="360" w:lineRule="exact"/>
              <w:rPr>
                <w:rFonts w:ascii="宋体" w:hAnsi="宋体"/>
                <w:szCs w:val="21"/>
                <w:highlight w:val="none"/>
              </w:rPr>
            </w:pPr>
            <w:r>
              <w:rPr>
                <w:rFonts w:hint="eastAsia" w:ascii="宋体" w:hAnsi="宋体"/>
                <w:szCs w:val="21"/>
                <w:highlight w:val="none"/>
              </w:rPr>
              <w:t>3、如投标人为联合体投标的须签署联合体协议书，联合体协议书、需联合体各方均盖章；投标文件内容中的“投标人”应填写联合体各方的单位全称、投标文件内容中的“加盖投标人公章”的由牵头人盖章，投标文件内容中的“法定代表人或其授权委托代理人签字或盖章的”由牵头人签字或盖章。法定代表人证明书及授权委托书可只由牵头人提供，投标文件中由联合体成员提供的资料复印件可只由牵头人盖章。</w:t>
            </w:r>
          </w:p>
          <w:p>
            <w:pPr>
              <w:spacing w:line="360" w:lineRule="exact"/>
              <w:ind w:right="34" w:rightChars="16"/>
              <w:rPr>
                <w:szCs w:val="21"/>
                <w:highlight w:val="none"/>
              </w:rPr>
            </w:pPr>
            <w:r>
              <w:rPr>
                <w:rFonts w:hint="eastAsia" w:ascii="宋体" w:hAnsi="宋体"/>
                <w:szCs w:val="21"/>
                <w:highlight w:val="none"/>
              </w:rPr>
              <w:t>4、副本可以是正本签字盖章后的复印件。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65" w:type="dxa"/>
            <w:vAlign w:val="center"/>
          </w:tcPr>
          <w:p>
            <w:pPr>
              <w:spacing w:line="440" w:lineRule="exact"/>
              <w:jc w:val="center"/>
              <w:rPr>
                <w:szCs w:val="21"/>
                <w:highlight w:val="none"/>
              </w:rPr>
            </w:pPr>
            <w:r>
              <w:rPr>
                <w:szCs w:val="21"/>
                <w:highlight w:val="none"/>
              </w:rPr>
              <w:t>3.7.4</w:t>
            </w:r>
          </w:p>
        </w:tc>
        <w:tc>
          <w:tcPr>
            <w:tcW w:w="1920" w:type="dxa"/>
            <w:gridSpan w:val="2"/>
            <w:vAlign w:val="center"/>
          </w:tcPr>
          <w:p>
            <w:pPr>
              <w:spacing w:line="440" w:lineRule="exact"/>
              <w:jc w:val="center"/>
              <w:rPr>
                <w:szCs w:val="21"/>
                <w:highlight w:val="none"/>
              </w:rPr>
            </w:pPr>
            <w:r>
              <w:rPr>
                <w:szCs w:val="21"/>
                <w:highlight w:val="none"/>
              </w:rPr>
              <w:t>投标文件份数</w:t>
            </w:r>
          </w:p>
        </w:tc>
        <w:tc>
          <w:tcPr>
            <w:tcW w:w="6662" w:type="dxa"/>
            <w:vAlign w:val="center"/>
          </w:tcPr>
          <w:p>
            <w:pPr>
              <w:spacing w:line="360" w:lineRule="exact"/>
              <w:ind w:left="840" w:hanging="840" w:hangingChars="400"/>
              <w:rPr>
                <w:rFonts w:hAnsi="宋体"/>
                <w:szCs w:val="21"/>
                <w:highlight w:val="none"/>
              </w:rPr>
            </w:pPr>
            <w:r>
              <w:rPr>
                <w:rFonts w:hint="eastAsia" w:hAnsi="宋体"/>
                <w:szCs w:val="21"/>
                <w:highlight w:val="none"/>
              </w:rPr>
              <w:t>投标文件共十一份，其中：</w:t>
            </w:r>
          </w:p>
          <w:p>
            <w:pPr>
              <w:spacing w:line="360" w:lineRule="exact"/>
              <w:ind w:left="840" w:hanging="840" w:hangingChars="400"/>
              <w:rPr>
                <w:rFonts w:hAnsi="宋体"/>
                <w:szCs w:val="21"/>
                <w:highlight w:val="none"/>
              </w:rPr>
            </w:pPr>
            <w:r>
              <w:rPr>
                <w:rFonts w:hint="eastAsia" w:hAnsi="宋体"/>
                <w:szCs w:val="21"/>
                <w:highlight w:val="none"/>
              </w:rPr>
              <w:t>1、资格审查商务投标文件共</w:t>
            </w:r>
            <w:r>
              <w:rPr>
                <w:rFonts w:hint="eastAsia" w:hAnsi="宋体"/>
                <w:szCs w:val="21"/>
                <w:highlight w:val="none"/>
                <w:u w:val="single"/>
              </w:rPr>
              <w:t>五</w:t>
            </w:r>
            <w:r>
              <w:rPr>
                <w:rFonts w:hint="eastAsia" w:hAnsi="宋体"/>
                <w:szCs w:val="21"/>
                <w:highlight w:val="none"/>
              </w:rPr>
              <w:t>份：正本一份，副本</w:t>
            </w:r>
            <w:r>
              <w:rPr>
                <w:rFonts w:hint="eastAsia" w:hAnsi="宋体"/>
                <w:szCs w:val="21"/>
                <w:highlight w:val="none"/>
                <w:u w:val="single"/>
              </w:rPr>
              <w:t>四</w:t>
            </w:r>
            <w:r>
              <w:rPr>
                <w:rFonts w:hint="eastAsia" w:hAnsi="宋体"/>
                <w:szCs w:val="21"/>
                <w:highlight w:val="none"/>
              </w:rPr>
              <w:t>份：</w:t>
            </w:r>
          </w:p>
          <w:p>
            <w:pPr>
              <w:spacing w:line="360" w:lineRule="exact"/>
              <w:ind w:left="840" w:hanging="840" w:hangingChars="400"/>
              <w:rPr>
                <w:rFonts w:hAnsi="宋体"/>
                <w:szCs w:val="21"/>
                <w:highlight w:val="none"/>
              </w:rPr>
            </w:pPr>
            <w:r>
              <w:rPr>
                <w:rFonts w:hint="eastAsia" w:hAnsi="宋体"/>
                <w:szCs w:val="21"/>
                <w:highlight w:val="none"/>
              </w:rPr>
              <w:t>2、技术部分投标文件共</w:t>
            </w:r>
            <w:r>
              <w:rPr>
                <w:rFonts w:hint="eastAsia" w:hAnsi="宋体"/>
                <w:szCs w:val="21"/>
                <w:highlight w:val="none"/>
                <w:u w:val="single"/>
              </w:rPr>
              <w:t>五</w:t>
            </w:r>
            <w:r>
              <w:rPr>
                <w:rFonts w:hint="eastAsia" w:hAnsi="宋体"/>
                <w:szCs w:val="21"/>
                <w:highlight w:val="none"/>
              </w:rPr>
              <w:t>份：正本一份，副本</w:t>
            </w:r>
            <w:r>
              <w:rPr>
                <w:rFonts w:hint="eastAsia" w:hAnsi="宋体"/>
                <w:szCs w:val="21"/>
                <w:highlight w:val="none"/>
                <w:u w:val="single"/>
              </w:rPr>
              <w:t>四</w:t>
            </w:r>
            <w:r>
              <w:rPr>
                <w:rFonts w:hint="eastAsia" w:hAnsi="宋体"/>
                <w:szCs w:val="21"/>
                <w:highlight w:val="none"/>
              </w:rPr>
              <w:t>份；</w:t>
            </w:r>
          </w:p>
          <w:p>
            <w:pPr>
              <w:spacing w:line="360" w:lineRule="exact"/>
              <w:ind w:left="840" w:hanging="840" w:hangingChars="400"/>
              <w:rPr>
                <w:rFonts w:hAnsi="宋体"/>
                <w:szCs w:val="21"/>
                <w:highlight w:val="none"/>
              </w:rPr>
            </w:pPr>
            <w:r>
              <w:rPr>
                <w:rFonts w:hint="eastAsia" w:hAnsi="宋体"/>
                <w:szCs w:val="21"/>
                <w:highlight w:val="none"/>
              </w:rPr>
              <w:t>3、投标文件电子版：一份；</w:t>
            </w:r>
          </w:p>
          <w:p>
            <w:pPr>
              <w:spacing w:line="360" w:lineRule="exact"/>
              <w:ind w:left="840" w:hanging="840" w:hangingChars="400"/>
              <w:rPr>
                <w:rFonts w:hAnsi="宋体"/>
                <w:szCs w:val="21"/>
                <w:highlight w:val="none"/>
              </w:rPr>
            </w:pPr>
            <w:r>
              <w:rPr>
                <w:rFonts w:hint="eastAsia" w:hAnsi="宋体"/>
                <w:szCs w:val="21"/>
                <w:highlight w:val="none"/>
              </w:rPr>
              <w:t>注：（1）要求投标人另外递交“投标文件网上公示内容电子版”（详</w:t>
            </w:r>
          </w:p>
          <w:p>
            <w:pPr>
              <w:spacing w:line="360" w:lineRule="exact"/>
              <w:ind w:left="840" w:hanging="840" w:hangingChars="400"/>
              <w:rPr>
                <w:rFonts w:hAnsi="宋体"/>
                <w:szCs w:val="21"/>
                <w:highlight w:val="none"/>
              </w:rPr>
            </w:pPr>
            <w:r>
              <w:rPr>
                <w:rFonts w:hint="eastAsia" w:hAnsi="宋体"/>
                <w:szCs w:val="21"/>
                <w:highlight w:val="none"/>
              </w:rPr>
              <w:t>见江建函〔2016〕516 号），投标文件网上公示内容电子版内容，份数</w:t>
            </w:r>
          </w:p>
          <w:p>
            <w:pPr>
              <w:spacing w:line="360" w:lineRule="exact"/>
              <w:ind w:left="840" w:hanging="840" w:hangingChars="400"/>
              <w:rPr>
                <w:rFonts w:hAnsi="宋体"/>
                <w:szCs w:val="21"/>
                <w:highlight w:val="none"/>
              </w:rPr>
            </w:pPr>
            <w:r>
              <w:rPr>
                <w:rFonts w:hint="eastAsia" w:hAnsi="宋体"/>
                <w:szCs w:val="21"/>
                <w:highlight w:val="none"/>
              </w:rPr>
              <w:t>及要求（不作为否决性条款）：</w:t>
            </w:r>
          </w:p>
          <w:p>
            <w:pPr>
              <w:spacing w:line="360" w:lineRule="exact"/>
              <w:ind w:left="840" w:hanging="840" w:hangingChars="400"/>
              <w:rPr>
                <w:rFonts w:hAnsi="宋体"/>
                <w:szCs w:val="21"/>
                <w:highlight w:val="none"/>
              </w:rPr>
            </w:pPr>
            <w:r>
              <w:rPr>
                <w:rFonts w:hint="eastAsia" w:hAnsi="宋体"/>
                <w:szCs w:val="21"/>
                <w:highlight w:val="none"/>
              </w:rPr>
              <w:t>内容：</w:t>
            </w:r>
            <w:r>
              <w:rPr>
                <w:rFonts w:hint="eastAsia" w:ascii="宋体" w:hAnsi="宋体" w:cs="宋体"/>
                <w:szCs w:val="21"/>
                <w:highlight w:val="none"/>
              </w:rPr>
              <w:t>①投标人名称、投标报价、质量、工期（交货期）；②投标人按照招标文件要求承诺的项目负责人姓名及其相关证书名称和编号；③投标人响应招标文件要求的资格能力条件</w:t>
            </w:r>
            <w:r>
              <w:rPr>
                <w:rFonts w:hint="eastAsia" w:hAnsi="宋体"/>
                <w:szCs w:val="21"/>
                <w:highlight w:val="none"/>
              </w:rPr>
              <w:t>等资料，涉及投标人商业秘密的报价清单除外，人员身份证信息自行隐藏第 7-14 位数字，用“*”号代替。</w:t>
            </w:r>
          </w:p>
          <w:p>
            <w:pPr>
              <w:spacing w:line="360" w:lineRule="exact"/>
              <w:ind w:left="840" w:hanging="840" w:hangingChars="400"/>
              <w:rPr>
                <w:rFonts w:hAnsi="宋体"/>
                <w:szCs w:val="21"/>
                <w:highlight w:val="none"/>
              </w:rPr>
            </w:pPr>
            <w:r>
              <w:rPr>
                <w:rFonts w:hint="eastAsia" w:hAnsi="宋体"/>
                <w:szCs w:val="21"/>
                <w:highlight w:val="none"/>
              </w:rPr>
              <w:t>份数：1 份。</w:t>
            </w:r>
          </w:p>
          <w:p>
            <w:pPr>
              <w:spacing w:line="360" w:lineRule="exact"/>
              <w:rPr>
                <w:rFonts w:hAnsi="宋体"/>
                <w:szCs w:val="21"/>
                <w:highlight w:val="none"/>
              </w:rPr>
            </w:pPr>
            <w:r>
              <w:rPr>
                <w:rFonts w:hint="eastAsia" w:hAnsi="宋体"/>
                <w:szCs w:val="21"/>
                <w:highlight w:val="none"/>
              </w:rPr>
              <w:t>要求：将上述内容进行扫描，扫描内容清晰可辨，并以 PDF 格式制成电子版文件，单独密封，封套上标记项目名称、投标单位名称及“投</w:t>
            </w:r>
          </w:p>
          <w:p>
            <w:pPr>
              <w:spacing w:line="360" w:lineRule="exact"/>
              <w:ind w:left="840" w:hanging="840" w:hangingChars="400"/>
              <w:rPr>
                <w:rFonts w:hAnsi="宋体"/>
                <w:szCs w:val="21"/>
                <w:highlight w:val="none"/>
              </w:rPr>
            </w:pPr>
            <w:r>
              <w:rPr>
                <w:rFonts w:hint="eastAsia" w:hAnsi="宋体"/>
                <w:szCs w:val="21"/>
                <w:highlight w:val="none"/>
              </w:rPr>
              <w:t>标文件网上公示内容电子版”字样。</w:t>
            </w:r>
          </w:p>
          <w:p>
            <w:pPr>
              <w:spacing w:line="360" w:lineRule="exact"/>
              <w:ind w:left="840" w:hanging="840" w:hangingChars="400"/>
              <w:rPr>
                <w:szCs w:val="21"/>
                <w:highlight w:val="none"/>
              </w:rPr>
            </w:pPr>
            <w:r>
              <w:rPr>
                <w:rFonts w:hint="eastAsia" w:hAnsi="宋体"/>
                <w:szCs w:val="21"/>
                <w:highlight w:val="none"/>
              </w:rPr>
              <w:t>（2）中标人取得中标通知书后需向招标人提供纸质投标文件叁份。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1165" w:type="dxa"/>
            <w:vAlign w:val="center"/>
          </w:tcPr>
          <w:p>
            <w:pPr>
              <w:spacing w:line="440" w:lineRule="exact"/>
              <w:jc w:val="center"/>
              <w:rPr>
                <w:szCs w:val="21"/>
                <w:highlight w:val="none"/>
              </w:rPr>
            </w:pPr>
            <w:r>
              <w:rPr>
                <w:szCs w:val="21"/>
                <w:highlight w:val="none"/>
              </w:rPr>
              <w:t>3.7.5</w:t>
            </w:r>
          </w:p>
        </w:tc>
        <w:tc>
          <w:tcPr>
            <w:tcW w:w="1920" w:type="dxa"/>
            <w:gridSpan w:val="2"/>
            <w:vAlign w:val="center"/>
          </w:tcPr>
          <w:p>
            <w:pPr>
              <w:spacing w:line="440" w:lineRule="exact"/>
              <w:jc w:val="center"/>
              <w:rPr>
                <w:szCs w:val="21"/>
                <w:highlight w:val="none"/>
              </w:rPr>
            </w:pPr>
            <w:r>
              <w:rPr>
                <w:szCs w:val="21"/>
                <w:highlight w:val="none"/>
              </w:rPr>
              <w:t>装订</w:t>
            </w:r>
            <w:r>
              <w:rPr>
                <w:rFonts w:hint="eastAsia"/>
                <w:szCs w:val="21"/>
                <w:highlight w:val="none"/>
              </w:rPr>
              <w:t>及密封</w:t>
            </w:r>
            <w:r>
              <w:rPr>
                <w:szCs w:val="21"/>
                <w:highlight w:val="none"/>
              </w:rPr>
              <w:t>要求</w:t>
            </w:r>
          </w:p>
        </w:tc>
        <w:tc>
          <w:tcPr>
            <w:tcW w:w="6662" w:type="dxa"/>
            <w:vAlign w:val="center"/>
          </w:tcPr>
          <w:p>
            <w:pPr>
              <w:spacing w:line="440" w:lineRule="exact"/>
              <w:rPr>
                <w:rFonts w:ascii="宋体" w:hAnsi="宋体"/>
                <w:szCs w:val="21"/>
                <w:highlight w:val="none"/>
              </w:rPr>
            </w:pPr>
            <w:r>
              <w:rPr>
                <w:rFonts w:hint="eastAsia" w:ascii="宋体" w:hAnsi="宋体"/>
                <w:szCs w:val="21"/>
                <w:highlight w:val="none"/>
              </w:rPr>
              <w:t>按照投标人须知第 3.1.1 项规定的投标文件组成内容，投标文件应按</w:t>
            </w:r>
          </w:p>
          <w:p>
            <w:pPr>
              <w:spacing w:line="440" w:lineRule="exact"/>
              <w:rPr>
                <w:rFonts w:ascii="宋体" w:hAnsi="宋体"/>
                <w:szCs w:val="21"/>
                <w:highlight w:val="none"/>
              </w:rPr>
            </w:pPr>
            <w:r>
              <w:rPr>
                <w:rFonts w:hint="eastAsia" w:ascii="宋体" w:hAnsi="宋体"/>
                <w:szCs w:val="21"/>
                <w:highlight w:val="none"/>
              </w:rPr>
              <w:t>以下要求装订：投标文件的正本与副本均不得采用活页夹等可随时拆</w:t>
            </w:r>
          </w:p>
          <w:p>
            <w:pPr>
              <w:spacing w:line="440" w:lineRule="exact"/>
              <w:rPr>
                <w:rFonts w:ascii="宋体" w:hAnsi="宋体"/>
                <w:szCs w:val="21"/>
                <w:highlight w:val="none"/>
              </w:rPr>
            </w:pPr>
            <w:r>
              <w:rPr>
                <w:rFonts w:hint="eastAsia" w:ascii="宋体" w:hAnsi="宋体"/>
                <w:szCs w:val="21"/>
                <w:highlight w:val="none"/>
              </w:rPr>
              <w:t>换的方式装订，装订应牢固、不易拆散和换页。</w:t>
            </w:r>
          </w:p>
          <w:p>
            <w:pPr>
              <w:spacing w:line="440" w:lineRule="exact"/>
              <w:rPr>
                <w:rFonts w:ascii="宋体" w:hAnsi="宋体"/>
                <w:szCs w:val="21"/>
                <w:highlight w:val="none"/>
              </w:rPr>
            </w:pPr>
            <w:r>
              <w:rPr>
                <w:rFonts w:hint="eastAsia" w:ascii="宋体" w:hAnsi="宋体"/>
                <w:szCs w:val="21"/>
                <w:highlight w:val="none"/>
              </w:rPr>
              <w:t>投标文件须采用坚固材料进行密封包装，确保包装袋不会开裂以致投</w:t>
            </w:r>
          </w:p>
          <w:p>
            <w:pPr>
              <w:spacing w:line="440" w:lineRule="exact"/>
              <w:rPr>
                <w:rFonts w:ascii="宋体" w:hAnsi="宋体"/>
                <w:szCs w:val="21"/>
                <w:highlight w:val="none"/>
              </w:rPr>
            </w:pPr>
            <w:r>
              <w:rPr>
                <w:rFonts w:hint="eastAsia" w:ascii="宋体" w:hAnsi="宋体"/>
                <w:szCs w:val="21"/>
                <w:highlight w:val="none"/>
              </w:rPr>
              <w:t>标文件外露，并在骑缝处加盖投标人公章。</w:t>
            </w:r>
          </w:p>
          <w:p>
            <w:pPr>
              <w:spacing w:line="440" w:lineRule="exact"/>
              <w:rPr>
                <w:rFonts w:ascii="宋体" w:hAnsi="宋体"/>
                <w:b/>
                <w:bCs/>
                <w:szCs w:val="21"/>
                <w:highlight w:val="none"/>
              </w:rPr>
            </w:pPr>
            <w:r>
              <w:rPr>
                <w:rFonts w:hint="eastAsia" w:ascii="宋体" w:hAnsi="宋体"/>
                <w:b/>
                <w:bCs/>
                <w:szCs w:val="21"/>
                <w:highlight w:val="none"/>
              </w:rPr>
              <w:t>其他要求：</w:t>
            </w:r>
            <w:r>
              <w:rPr>
                <w:rFonts w:hint="eastAsia" w:ascii="宋体" w:hAnsi="宋体"/>
                <w:b/>
                <w:bCs/>
                <w:szCs w:val="21"/>
                <w:highlight w:val="none"/>
                <w:u w:val="single"/>
              </w:rPr>
              <w:t>分册装订，共分 2 册，分别为：</w:t>
            </w:r>
          </w:p>
          <w:p>
            <w:pPr>
              <w:spacing w:line="440" w:lineRule="exact"/>
              <w:rPr>
                <w:rFonts w:ascii="宋体" w:hAnsi="宋体"/>
                <w:szCs w:val="21"/>
                <w:highlight w:val="none"/>
                <w:u w:val="single"/>
              </w:rPr>
            </w:pPr>
            <w:r>
              <w:rPr>
                <w:rFonts w:hint="eastAsia" w:ascii="宋体" w:hAnsi="宋体"/>
                <w:szCs w:val="21"/>
                <w:highlight w:val="none"/>
              </w:rPr>
              <w:t>（1）</w:t>
            </w:r>
            <w:r>
              <w:rPr>
                <w:rFonts w:hint="eastAsia" w:ascii="宋体" w:hAnsi="宋体"/>
                <w:szCs w:val="21"/>
                <w:highlight w:val="none"/>
                <w:u w:val="single"/>
              </w:rPr>
              <w:t>资格审查商务投标文件，包括第六章投标文件资格审查商务投标文件的内容。</w:t>
            </w:r>
          </w:p>
          <w:p>
            <w:pPr>
              <w:spacing w:line="440" w:lineRule="exac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技术部分投标文件，包括第六章投标文件技术部分投标文件的内容。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1165" w:type="dxa"/>
            <w:vAlign w:val="center"/>
          </w:tcPr>
          <w:p>
            <w:pPr>
              <w:spacing w:line="440" w:lineRule="exact"/>
              <w:jc w:val="center"/>
              <w:rPr>
                <w:szCs w:val="21"/>
                <w:highlight w:val="none"/>
              </w:rPr>
            </w:pPr>
            <w:r>
              <w:rPr>
                <w:szCs w:val="21"/>
                <w:highlight w:val="none"/>
              </w:rPr>
              <w:t>4.1.2</w:t>
            </w:r>
          </w:p>
        </w:tc>
        <w:tc>
          <w:tcPr>
            <w:tcW w:w="1920" w:type="dxa"/>
            <w:gridSpan w:val="2"/>
            <w:vAlign w:val="center"/>
          </w:tcPr>
          <w:p>
            <w:pPr>
              <w:spacing w:line="440" w:lineRule="exact"/>
              <w:jc w:val="center"/>
              <w:rPr>
                <w:szCs w:val="21"/>
                <w:highlight w:val="none"/>
              </w:rPr>
            </w:pPr>
            <w:r>
              <w:rPr>
                <w:szCs w:val="21"/>
                <w:highlight w:val="none"/>
              </w:rPr>
              <w:t>封套上</w:t>
            </w:r>
            <w:r>
              <w:rPr>
                <w:rFonts w:hint="eastAsia"/>
                <w:szCs w:val="21"/>
                <w:highlight w:val="none"/>
              </w:rPr>
              <w:t>应载明的信息</w:t>
            </w:r>
          </w:p>
        </w:tc>
        <w:tc>
          <w:tcPr>
            <w:tcW w:w="6662" w:type="dxa"/>
            <w:vAlign w:val="center"/>
          </w:tcPr>
          <w:p>
            <w:pPr>
              <w:spacing w:line="360" w:lineRule="exact"/>
              <w:rPr>
                <w:b/>
                <w:bCs/>
                <w:szCs w:val="21"/>
                <w:highlight w:val="none"/>
              </w:rPr>
            </w:pPr>
            <w:r>
              <w:rPr>
                <w:rFonts w:hint="eastAsia"/>
                <w:b/>
                <w:bCs/>
                <w:szCs w:val="21"/>
                <w:highlight w:val="none"/>
              </w:rPr>
              <w:t>1.资格审查商务投标文件：</w:t>
            </w:r>
          </w:p>
          <w:p>
            <w:pPr>
              <w:spacing w:line="360" w:lineRule="exact"/>
              <w:rPr>
                <w:szCs w:val="21"/>
                <w:highlight w:val="none"/>
              </w:rPr>
            </w:pPr>
            <w:r>
              <w:rPr>
                <w:rFonts w:hint="eastAsia"/>
                <w:szCs w:val="21"/>
                <w:highlight w:val="none"/>
              </w:rPr>
              <w:t>招标人名称：</w:t>
            </w:r>
            <w:r>
              <w:rPr>
                <w:rFonts w:hint="eastAsia" w:ascii="宋体" w:hAnsi="宋体"/>
                <w:szCs w:val="21"/>
                <w:highlight w:val="none"/>
              </w:rPr>
              <w:t>恩平市产业园区开发建设有限公司</w:t>
            </w:r>
          </w:p>
          <w:p>
            <w:pPr>
              <w:spacing w:line="360" w:lineRule="exact"/>
              <w:rPr>
                <w:szCs w:val="21"/>
                <w:highlight w:val="none"/>
              </w:rPr>
            </w:pPr>
            <w:r>
              <w:rPr>
                <w:rFonts w:hint="eastAsia" w:ascii="宋体" w:hAnsi="宋体"/>
                <w:szCs w:val="21"/>
                <w:highlight w:val="none"/>
                <w:u w:val="single"/>
              </w:rPr>
              <w:t>恩平工业园大槐片区（塘冲）基础设施建设项目设计施工总承包</w:t>
            </w:r>
            <w:r>
              <w:rPr>
                <w:rFonts w:hint="eastAsia"/>
                <w:szCs w:val="21"/>
                <w:highlight w:val="none"/>
              </w:rPr>
              <w:t>资格审查商务</w:t>
            </w:r>
          </w:p>
          <w:p>
            <w:pPr>
              <w:spacing w:line="360" w:lineRule="exact"/>
              <w:rPr>
                <w:szCs w:val="21"/>
                <w:highlight w:val="none"/>
              </w:rPr>
            </w:pPr>
            <w:r>
              <w:rPr>
                <w:rFonts w:hint="eastAsia"/>
                <w:szCs w:val="21"/>
                <w:highlight w:val="none"/>
              </w:rPr>
              <w:t>投标文件在</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 月</w:t>
            </w:r>
            <w:r>
              <w:rPr>
                <w:rFonts w:hint="eastAsia"/>
                <w:szCs w:val="21"/>
                <w:highlight w:val="none"/>
                <w:u w:val="single"/>
              </w:rPr>
              <w:t xml:space="preserve">  </w:t>
            </w:r>
            <w:r>
              <w:rPr>
                <w:rFonts w:hint="eastAsia"/>
                <w:szCs w:val="21"/>
                <w:highlight w:val="none"/>
              </w:rPr>
              <w:t xml:space="preserve"> 日</w:t>
            </w:r>
            <w:r>
              <w:rPr>
                <w:rFonts w:hint="eastAsia"/>
                <w:szCs w:val="21"/>
                <w:highlight w:val="none"/>
                <w:u w:val="single"/>
              </w:rPr>
              <w:t xml:space="preserve">  </w:t>
            </w:r>
            <w:r>
              <w:rPr>
                <w:rFonts w:hint="eastAsia"/>
                <w:szCs w:val="21"/>
                <w:highlight w:val="none"/>
              </w:rPr>
              <w:t xml:space="preserve"> 时</w:t>
            </w:r>
            <w:r>
              <w:rPr>
                <w:rFonts w:hint="eastAsia"/>
                <w:szCs w:val="21"/>
                <w:highlight w:val="none"/>
                <w:u w:val="single"/>
              </w:rPr>
              <w:t xml:space="preserve">  </w:t>
            </w:r>
            <w:r>
              <w:rPr>
                <w:rFonts w:hint="eastAsia"/>
                <w:szCs w:val="21"/>
                <w:highlight w:val="none"/>
              </w:rPr>
              <w:t xml:space="preserve"> 分前不得开启（以网上发布的</w:t>
            </w:r>
          </w:p>
          <w:p>
            <w:pPr>
              <w:spacing w:line="360" w:lineRule="exact"/>
              <w:rPr>
                <w:szCs w:val="21"/>
                <w:highlight w:val="none"/>
              </w:rPr>
            </w:pPr>
            <w:r>
              <w:rPr>
                <w:rFonts w:hint="eastAsia"/>
                <w:szCs w:val="21"/>
                <w:highlight w:val="none"/>
              </w:rPr>
              <w:t>招标公告为准）</w:t>
            </w:r>
          </w:p>
          <w:p>
            <w:pPr>
              <w:spacing w:line="360" w:lineRule="exact"/>
              <w:rPr>
                <w:szCs w:val="21"/>
                <w:highlight w:val="none"/>
              </w:rPr>
            </w:pPr>
            <w:r>
              <w:rPr>
                <w:rFonts w:hint="eastAsia"/>
                <w:szCs w:val="21"/>
                <w:highlight w:val="none"/>
              </w:rPr>
              <w:t>投标人名称： （盖投标人公章）</w:t>
            </w:r>
          </w:p>
          <w:p>
            <w:pPr>
              <w:spacing w:line="360" w:lineRule="exact"/>
              <w:rPr>
                <w:b/>
                <w:bCs/>
                <w:szCs w:val="21"/>
                <w:highlight w:val="none"/>
              </w:rPr>
            </w:pPr>
            <w:r>
              <w:rPr>
                <w:rFonts w:hint="eastAsia"/>
                <w:b/>
                <w:bCs/>
                <w:szCs w:val="21"/>
                <w:highlight w:val="none"/>
              </w:rPr>
              <w:t>2.技术部分投标文件：</w:t>
            </w:r>
          </w:p>
          <w:p>
            <w:pPr>
              <w:spacing w:line="360" w:lineRule="exact"/>
              <w:rPr>
                <w:szCs w:val="21"/>
                <w:highlight w:val="none"/>
              </w:rPr>
            </w:pPr>
            <w:r>
              <w:rPr>
                <w:rFonts w:hint="eastAsia"/>
                <w:szCs w:val="21"/>
                <w:highlight w:val="none"/>
              </w:rPr>
              <w:t>招标人名称：</w:t>
            </w:r>
            <w:r>
              <w:rPr>
                <w:rFonts w:hint="eastAsia" w:ascii="宋体" w:hAnsi="宋体"/>
                <w:szCs w:val="21"/>
                <w:highlight w:val="none"/>
              </w:rPr>
              <w:t>恩平市产业园区开发建设有限公司</w:t>
            </w:r>
          </w:p>
          <w:p>
            <w:pPr>
              <w:spacing w:line="360" w:lineRule="exact"/>
              <w:rPr>
                <w:szCs w:val="21"/>
                <w:highlight w:val="none"/>
              </w:rPr>
            </w:pPr>
            <w:r>
              <w:rPr>
                <w:rFonts w:hint="eastAsia" w:ascii="宋体" w:hAnsi="宋体"/>
                <w:szCs w:val="21"/>
                <w:highlight w:val="none"/>
                <w:u w:val="single"/>
              </w:rPr>
              <w:t>恩平工业园大槐片区（塘冲）基础设施建设项目设计施工总承包</w:t>
            </w:r>
            <w:r>
              <w:rPr>
                <w:rFonts w:hint="eastAsia"/>
                <w:szCs w:val="21"/>
                <w:highlight w:val="none"/>
              </w:rPr>
              <w:t>技术部分投标</w:t>
            </w:r>
          </w:p>
          <w:p>
            <w:pPr>
              <w:spacing w:line="360" w:lineRule="exact"/>
              <w:rPr>
                <w:szCs w:val="21"/>
                <w:highlight w:val="none"/>
              </w:rPr>
            </w:pPr>
            <w:r>
              <w:rPr>
                <w:rFonts w:hint="eastAsia"/>
                <w:szCs w:val="21"/>
                <w:highlight w:val="none"/>
              </w:rPr>
              <w:t>文件在</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 月</w:t>
            </w:r>
            <w:r>
              <w:rPr>
                <w:rFonts w:hint="eastAsia"/>
                <w:szCs w:val="21"/>
                <w:highlight w:val="none"/>
                <w:u w:val="single"/>
              </w:rPr>
              <w:t xml:space="preserve">  </w:t>
            </w:r>
            <w:r>
              <w:rPr>
                <w:rFonts w:hint="eastAsia"/>
                <w:szCs w:val="21"/>
                <w:highlight w:val="none"/>
              </w:rPr>
              <w:t xml:space="preserve"> 日</w:t>
            </w:r>
            <w:r>
              <w:rPr>
                <w:rFonts w:hint="eastAsia"/>
                <w:szCs w:val="21"/>
                <w:highlight w:val="none"/>
                <w:u w:val="single"/>
              </w:rPr>
              <w:t xml:space="preserve">  </w:t>
            </w:r>
            <w:r>
              <w:rPr>
                <w:rFonts w:hint="eastAsia"/>
                <w:szCs w:val="21"/>
                <w:highlight w:val="none"/>
              </w:rPr>
              <w:t xml:space="preserve"> 时</w:t>
            </w:r>
            <w:r>
              <w:rPr>
                <w:rFonts w:hint="eastAsia"/>
                <w:szCs w:val="21"/>
                <w:highlight w:val="none"/>
                <w:u w:val="single"/>
              </w:rPr>
              <w:t xml:space="preserve">  </w:t>
            </w:r>
            <w:r>
              <w:rPr>
                <w:rFonts w:hint="eastAsia"/>
                <w:szCs w:val="21"/>
                <w:highlight w:val="none"/>
              </w:rPr>
              <w:t xml:space="preserve"> 分前不得开启（以网上发布的招标</w:t>
            </w:r>
          </w:p>
          <w:p>
            <w:pPr>
              <w:spacing w:line="360" w:lineRule="exact"/>
              <w:rPr>
                <w:szCs w:val="21"/>
                <w:highlight w:val="none"/>
              </w:rPr>
            </w:pPr>
            <w:r>
              <w:rPr>
                <w:rFonts w:hint="eastAsia"/>
                <w:szCs w:val="21"/>
                <w:highlight w:val="none"/>
              </w:rPr>
              <w:t>公告为准）</w:t>
            </w:r>
          </w:p>
          <w:p>
            <w:pPr>
              <w:spacing w:line="360" w:lineRule="exact"/>
              <w:rPr>
                <w:szCs w:val="21"/>
                <w:highlight w:val="none"/>
              </w:rPr>
            </w:pPr>
            <w:r>
              <w:rPr>
                <w:rFonts w:hint="eastAsia"/>
                <w:szCs w:val="21"/>
                <w:highlight w:val="none"/>
              </w:rPr>
              <w:t>投标人名称： （盖投标人公章）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65" w:type="dxa"/>
            <w:vAlign w:val="center"/>
          </w:tcPr>
          <w:p>
            <w:pPr>
              <w:spacing w:line="440" w:lineRule="exact"/>
              <w:jc w:val="center"/>
              <w:rPr>
                <w:szCs w:val="21"/>
                <w:highlight w:val="none"/>
              </w:rPr>
            </w:pPr>
            <w:r>
              <w:rPr>
                <w:szCs w:val="21"/>
                <w:highlight w:val="none"/>
              </w:rPr>
              <w:t>4.2.2</w:t>
            </w:r>
          </w:p>
        </w:tc>
        <w:tc>
          <w:tcPr>
            <w:tcW w:w="1920" w:type="dxa"/>
            <w:gridSpan w:val="2"/>
            <w:vAlign w:val="center"/>
          </w:tcPr>
          <w:p>
            <w:pPr>
              <w:spacing w:line="440" w:lineRule="exact"/>
              <w:jc w:val="center"/>
              <w:rPr>
                <w:szCs w:val="21"/>
                <w:highlight w:val="none"/>
              </w:rPr>
            </w:pPr>
            <w:r>
              <w:rPr>
                <w:szCs w:val="21"/>
                <w:highlight w:val="none"/>
              </w:rPr>
              <w:t>递交投标文件地点</w:t>
            </w:r>
          </w:p>
        </w:tc>
        <w:tc>
          <w:tcPr>
            <w:tcW w:w="6662" w:type="dxa"/>
            <w:vAlign w:val="center"/>
          </w:tcPr>
          <w:p>
            <w:pPr>
              <w:spacing w:line="360" w:lineRule="auto"/>
              <w:rPr>
                <w:highlight w:val="none"/>
              </w:rPr>
            </w:pPr>
            <w:r>
              <w:rPr>
                <w:highlight w:val="none"/>
              </w:rPr>
              <w:t>投标文件递交地址：广州公共资源交易中心（广东省广州市天河区天润路 333 号），开标室具体以交标当天大屏幕显示的开标室为准。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65" w:type="dxa"/>
            <w:vAlign w:val="center"/>
          </w:tcPr>
          <w:p>
            <w:pPr>
              <w:spacing w:line="440" w:lineRule="exact"/>
              <w:jc w:val="center"/>
              <w:rPr>
                <w:szCs w:val="21"/>
                <w:highlight w:val="none"/>
              </w:rPr>
            </w:pPr>
            <w:r>
              <w:rPr>
                <w:szCs w:val="21"/>
                <w:highlight w:val="none"/>
              </w:rPr>
              <w:t>4.2.3</w:t>
            </w:r>
          </w:p>
        </w:tc>
        <w:tc>
          <w:tcPr>
            <w:tcW w:w="1920" w:type="dxa"/>
            <w:gridSpan w:val="2"/>
            <w:vAlign w:val="center"/>
          </w:tcPr>
          <w:p>
            <w:pPr>
              <w:spacing w:line="440" w:lineRule="exact"/>
              <w:jc w:val="center"/>
              <w:rPr>
                <w:szCs w:val="21"/>
                <w:highlight w:val="none"/>
              </w:rPr>
            </w:pPr>
            <w:r>
              <w:rPr>
                <w:szCs w:val="21"/>
                <w:highlight w:val="none"/>
              </w:rPr>
              <w:t>是否退还投标文件</w:t>
            </w:r>
          </w:p>
        </w:tc>
        <w:tc>
          <w:tcPr>
            <w:tcW w:w="6662" w:type="dxa"/>
            <w:vAlign w:val="center"/>
          </w:tcPr>
          <w:p>
            <w:pPr>
              <w:pStyle w:val="10"/>
              <w:topLinePunct/>
              <w:spacing w:line="400" w:lineRule="exact"/>
              <w:rPr>
                <w:rFonts w:ascii="Times New Roman"/>
                <w:sz w:val="21"/>
                <w:szCs w:val="21"/>
                <w:highlight w:val="none"/>
              </w:rPr>
            </w:pPr>
            <w:r>
              <w:rPr>
                <w:sz w:val="32"/>
                <w:szCs w:val="32"/>
                <w:highlight w:val="none"/>
              </w:rPr>
              <w:sym w:font="Wingdings 2" w:char="0052"/>
            </w:r>
            <w:r>
              <w:rPr>
                <w:rFonts w:hint="eastAsia" w:ascii="Times New Roman"/>
                <w:sz w:val="21"/>
                <w:szCs w:val="21"/>
                <w:highlight w:val="none"/>
              </w:rPr>
              <w:t>否</w:t>
            </w:r>
          </w:p>
          <w:p>
            <w:pPr>
              <w:spacing w:line="440" w:lineRule="exact"/>
              <w:rPr>
                <w:szCs w:val="21"/>
                <w:highlight w:val="none"/>
              </w:rPr>
            </w:pPr>
            <w:r>
              <w:rPr>
                <w:rFonts w:hint="eastAsia"/>
                <w:sz w:val="32"/>
                <w:szCs w:val="32"/>
                <w:highlight w:val="none"/>
              </w:rPr>
              <w:t>□</w:t>
            </w:r>
            <w:r>
              <w:rPr>
                <w:rFonts w:hint="eastAsia"/>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65" w:type="dxa"/>
            <w:vAlign w:val="center"/>
          </w:tcPr>
          <w:p>
            <w:pPr>
              <w:spacing w:line="440" w:lineRule="exact"/>
              <w:jc w:val="center"/>
              <w:rPr>
                <w:szCs w:val="21"/>
                <w:highlight w:val="none"/>
              </w:rPr>
            </w:pPr>
            <w:r>
              <w:rPr>
                <w:szCs w:val="21"/>
                <w:highlight w:val="none"/>
              </w:rPr>
              <w:t>5.1</w:t>
            </w:r>
          </w:p>
        </w:tc>
        <w:tc>
          <w:tcPr>
            <w:tcW w:w="1920" w:type="dxa"/>
            <w:gridSpan w:val="2"/>
            <w:vAlign w:val="center"/>
          </w:tcPr>
          <w:p>
            <w:pPr>
              <w:spacing w:line="440" w:lineRule="exact"/>
              <w:jc w:val="center"/>
              <w:rPr>
                <w:szCs w:val="21"/>
                <w:highlight w:val="none"/>
              </w:rPr>
            </w:pPr>
            <w:r>
              <w:rPr>
                <w:rFonts w:hint="eastAsia"/>
                <w:szCs w:val="21"/>
                <w:highlight w:val="none"/>
              </w:rPr>
              <w:t>开标时间和地点</w:t>
            </w:r>
          </w:p>
        </w:tc>
        <w:tc>
          <w:tcPr>
            <w:tcW w:w="6662" w:type="dxa"/>
            <w:vAlign w:val="center"/>
          </w:tcPr>
          <w:p>
            <w:pPr>
              <w:spacing w:line="440" w:lineRule="exact"/>
              <w:rPr>
                <w:highlight w:val="none"/>
              </w:rPr>
            </w:pPr>
            <w:r>
              <w:rPr>
                <w:rFonts w:hint="eastAsia"/>
                <w:highlight w:val="none"/>
              </w:rPr>
              <w:t>开标时间：同投标截止时间（以网上发布的招标公告为准）</w:t>
            </w:r>
          </w:p>
          <w:p>
            <w:pPr>
              <w:spacing w:line="440" w:lineRule="exact"/>
              <w:rPr>
                <w:highlight w:val="none"/>
              </w:rPr>
            </w:pPr>
            <w:r>
              <w:rPr>
                <w:rFonts w:hint="eastAsia"/>
                <w:highlight w:val="none"/>
              </w:rPr>
              <w:t>开标地点：</w:t>
            </w:r>
            <w:r>
              <w:rPr>
                <w:highlight w:val="none"/>
              </w:rPr>
              <w:t>广州公共资源交易中心（广东省广州市天河区天润路 333 号），开标室具体以交标当天大屏幕显示的开标室为准。</w:t>
            </w:r>
          </w:p>
          <w:p>
            <w:pPr>
              <w:spacing w:line="440" w:lineRule="exact"/>
              <w:rPr>
                <w:szCs w:val="21"/>
                <w:highlight w:val="none"/>
              </w:rPr>
            </w:pPr>
            <w:r>
              <w:rPr>
                <w:rFonts w:hint="eastAsia"/>
                <w:highlight w:val="none"/>
              </w:rPr>
              <w:t>招标人邀请所有投标人准时参加。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165" w:type="dxa"/>
            <w:vAlign w:val="center"/>
          </w:tcPr>
          <w:p>
            <w:pPr>
              <w:spacing w:line="440" w:lineRule="exact"/>
              <w:jc w:val="center"/>
              <w:rPr>
                <w:szCs w:val="21"/>
                <w:highlight w:val="none"/>
              </w:rPr>
            </w:pPr>
            <w:r>
              <w:rPr>
                <w:rFonts w:hint="eastAsia"/>
                <w:szCs w:val="21"/>
                <w:highlight w:val="none"/>
              </w:rPr>
              <w:t>5.2</w:t>
            </w:r>
          </w:p>
        </w:tc>
        <w:tc>
          <w:tcPr>
            <w:tcW w:w="1920" w:type="dxa"/>
            <w:gridSpan w:val="2"/>
            <w:vAlign w:val="center"/>
          </w:tcPr>
          <w:p>
            <w:pPr>
              <w:spacing w:line="440" w:lineRule="exact"/>
              <w:jc w:val="center"/>
              <w:rPr>
                <w:szCs w:val="21"/>
                <w:highlight w:val="none"/>
              </w:rPr>
            </w:pPr>
            <w:r>
              <w:rPr>
                <w:rFonts w:hint="eastAsia"/>
                <w:szCs w:val="21"/>
                <w:highlight w:val="none"/>
              </w:rPr>
              <w:t>开标程序</w:t>
            </w:r>
          </w:p>
        </w:tc>
        <w:tc>
          <w:tcPr>
            <w:tcW w:w="6662" w:type="dxa"/>
            <w:vAlign w:val="center"/>
          </w:tcPr>
          <w:p>
            <w:pPr>
              <w:widowControl/>
              <w:shd w:val="clear" w:color="auto" w:fill="FFFFFF"/>
              <w:spacing w:line="360" w:lineRule="auto"/>
              <w:rPr>
                <w:rFonts w:ascii="宋体" w:hAnsi="宋体"/>
                <w:spacing w:val="6"/>
                <w:szCs w:val="21"/>
                <w:highlight w:val="none"/>
              </w:rPr>
            </w:pPr>
            <w:r>
              <w:rPr>
                <w:rFonts w:hint="eastAsia" w:ascii="宋体" w:hAnsi="宋体"/>
                <w:spacing w:val="6"/>
                <w:highlight w:val="none"/>
              </w:rPr>
              <w:t>5.2款修改如下：</w:t>
            </w:r>
          </w:p>
          <w:p>
            <w:pPr>
              <w:widowControl/>
              <w:shd w:val="clear" w:color="auto" w:fill="FFFFFF"/>
              <w:spacing w:line="360" w:lineRule="auto"/>
              <w:rPr>
                <w:rFonts w:ascii="宋体" w:hAnsi="宋体"/>
                <w:spacing w:val="6"/>
                <w:highlight w:val="none"/>
              </w:rPr>
            </w:pPr>
            <w:r>
              <w:rPr>
                <w:rFonts w:hint="eastAsia" w:ascii="宋体" w:hAnsi="宋体"/>
                <w:spacing w:val="6"/>
                <w:highlight w:val="none"/>
              </w:rPr>
              <w:t>主持人按下列程序进行开标：</w:t>
            </w:r>
          </w:p>
          <w:p>
            <w:pPr>
              <w:spacing w:line="360" w:lineRule="auto"/>
              <w:jc w:val="left"/>
              <w:rPr>
                <w:rFonts w:ascii="宋体" w:hAnsi="宋体" w:cs="宋体"/>
                <w:kern w:val="0"/>
                <w:szCs w:val="21"/>
                <w:highlight w:val="none"/>
              </w:rPr>
            </w:pPr>
            <w:r>
              <w:rPr>
                <w:rFonts w:hint="eastAsia" w:ascii="宋体" w:hAnsi="宋体" w:cs="宋体"/>
                <w:szCs w:val="21"/>
                <w:highlight w:val="none"/>
              </w:rPr>
              <w:t>（1）</w:t>
            </w:r>
            <w:r>
              <w:rPr>
                <w:rFonts w:hint="eastAsia" w:ascii="宋体" w:hAnsi="宋体" w:cs="宋体"/>
                <w:kern w:val="0"/>
                <w:szCs w:val="21"/>
                <w:highlight w:val="none"/>
              </w:rPr>
              <w:t>宣布投标文件递交截止时间到，迟于此时间</w:t>
            </w:r>
            <w:r>
              <w:rPr>
                <w:rFonts w:hint="eastAsia" w:ascii="宋体" w:hAnsi="宋体" w:cs="宋体"/>
                <w:szCs w:val="21"/>
                <w:highlight w:val="none"/>
              </w:rPr>
              <w:t>递交</w:t>
            </w:r>
            <w:r>
              <w:rPr>
                <w:rFonts w:hint="eastAsia" w:ascii="宋体" w:hAnsi="宋体" w:cs="宋体"/>
                <w:kern w:val="0"/>
                <w:szCs w:val="21"/>
                <w:highlight w:val="none"/>
              </w:rPr>
              <w:t>的投标文件不予接受；</w:t>
            </w:r>
          </w:p>
          <w:p>
            <w:pPr>
              <w:spacing w:line="360" w:lineRule="auto"/>
              <w:jc w:val="left"/>
              <w:rPr>
                <w:rFonts w:ascii="宋体" w:hAnsi="宋体" w:cs="宋体"/>
                <w:szCs w:val="21"/>
                <w:highlight w:val="none"/>
              </w:rPr>
            </w:pPr>
            <w:r>
              <w:rPr>
                <w:rFonts w:hint="eastAsia" w:ascii="宋体" w:hAnsi="宋体" w:cs="宋体"/>
                <w:szCs w:val="21"/>
                <w:highlight w:val="none"/>
              </w:rPr>
              <w:t>（2）宣布开标纪律；</w:t>
            </w:r>
          </w:p>
          <w:p>
            <w:pPr>
              <w:spacing w:line="360" w:lineRule="auto"/>
              <w:jc w:val="left"/>
              <w:rPr>
                <w:rFonts w:ascii="宋体" w:hAnsi="宋体" w:cs="宋体"/>
                <w:szCs w:val="21"/>
                <w:highlight w:val="none"/>
              </w:rPr>
            </w:pPr>
            <w:r>
              <w:rPr>
                <w:rFonts w:hint="eastAsia" w:ascii="宋体" w:hAnsi="宋体" w:cs="宋体"/>
                <w:szCs w:val="21"/>
                <w:highlight w:val="none"/>
              </w:rPr>
              <w:t>（3）宣布开标人、唱标人、记录人、监标人等有关人员姓名；</w:t>
            </w:r>
          </w:p>
          <w:p>
            <w:pPr>
              <w:spacing w:line="360" w:lineRule="auto"/>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招标人核查投标人的信用等级，对未被列入“</w:t>
            </w:r>
            <w:r>
              <w:rPr>
                <w:rFonts w:hint="eastAsia" w:ascii="宋体" w:hAnsi="宋体" w:cs="宋体"/>
                <w:szCs w:val="21"/>
                <w:highlight w:val="none"/>
              </w:rPr>
              <w:t>江门市建筑业企业信用管理信息系统</w:t>
            </w:r>
            <w:r>
              <w:rPr>
                <w:rFonts w:hint="eastAsia" w:ascii="宋体" w:hAnsi="宋体" w:cs="宋体"/>
                <w:kern w:val="0"/>
                <w:szCs w:val="21"/>
                <w:highlight w:val="none"/>
              </w:rPr>
              <w:t>”信用等级为c级或以上的投标人，招标人拒收或退回其投标文件</w:t>
            </w:r>
            <w:r>
              <w:rPr>
                <w:rFonts w:hint="eastAsia" w:ascii="宋体" w:hAnsi="宋体" w:cs="宋体"/>
                <w:szCs w:val="21"/>
                <w:highlight w:val="none"/>
              </w:rPr>
              <w:t>；</w:t>
            </w:r>
          </w:p>
          <w:p>
            <w:pPr>
              <w:spacing w:line="360" w:lineRule="auto"/>
              <w:jc w:val="left"/>
              <w:rPr>
                <w:rFonts w:ascii="宋体" w:hAnsi="宋体" w:cs="宋体"/>
                <w:spacing w:val="6"/>
                <w:szCs w:val="21"/>
                <w:highlight w:val="none"/>
              </w:rPr>
            </w:pPr>
            <w:r>
              <w:rPr>
                <w:rFonts w:hint="eastAsia" w:ascii="宋体" w:hAnsi="宋体" w:cs="宋体"/>
                <w:szCs w:val="21"/>
                <w:highlight w:val="none"/>
              </w:rPr>
              <w:t>（5）密封情况检查：在公共资源交易中心工作人员及监督人员的见证下，由投标人或其推举的代表检查投标文件的密封情况，也可由招标人委托公证机构查验</w:t>
            </w:r>
            <w:r>
              <w:rPr>
                <w:rFonts w:hint="eastAsia" w:ascii="宋体" w:hAnsi="宋体" w:cs="宋体"/>
                <w:spacing w:val="6"/>
                <w:szCs w:val="21"/>
                <w:highlight w:val="none"/>
              </w:rPr>
              <w:t>；</w:t>
            </w:r>
          </w:p>
          <w:p>
            <w:pPr>
              <w:widowControl/>
              <w:shd w:val="clear" w:color="auto" w:fill="FFFFFF"/>
              <w:spacing w:line="360" w:lineRule="auto"/>
              <w:jc w:val="left"/>
              <w:rPr>
                <w:rFonts w:ascii="宋体" w:hAnsi="宋体" w:cs="宋体"/>
                <w:spacing w:val="6"/>
                <w:szCs w:val="21"/>
                <w:highlight w:val="none"/>
              </w:rPr>
            </w:pPr>
            <w:r>
              <w:rPr>
                <w:rFonts w:hint="eastAsia" w:ascii="宋体" w:hAnsi="宋体" w:cs="宋体"/>
                <w:spacing w:val="6"/>
                <w:szCs w:val="21"/>
                <w:highlight w:val="none"/>
              </w:rPr>
              <w:t>（6）</w:t>
            </w:r>
            <w:r>
              <w:rPr>
                <w:rFonts w:hint="eastAsia" w:ascii="宋体" w:hAnsi="宋体" w:cs="宋体"/>
                <w:szCs w:val="21"/>
                <w:highlight w:val="none"/>
              </w:rPr>
              <w:t>开标顺序：按随机顺序开封</w:t>
            </w:r>
            <w:r>
              <w:rPr>
                <w:rFonts w:hint="eastAsia" w:ascii="宋体" w:hAnsi="宋体" w:cs="宋体"/>
                <w:spacing w:val="6"/>
                <w:szCs w:val="21"/>
                <w:highlight w:val="none"/>
              </w:rPr>
              <w:t>；</w:t>
            </w:r>
          </w:p>
          <w:p>
            <w:pPr>
              <w:widowControl/>
              <w:shd w:val="clear" w:color="auto" w:fill="FFFFFF"/>
              <w:spacing w:line="360" w:lineRule="auto"/>
              <w:jc w:val="left"/>
              <w:rPr>
                <w:rFonts w:ascii="宋体" w:hAnsi="宋体" w:cs="宋体"/>
                <w:spacing w:val="6"/>
                <w:szCs w:val="21"/>
                <w:highlight w:val="none"/>
              </w:rPr>
            </w:pPr>
            <w:r>
              <w:rPr>
                <w:rFonts w:hint="eastAsia" w:ascii="宋体" w:hAnsi="宋体" w:cs="宋体"/>
                <w:spacing w:val="6"/>
                <w:szCs w:val="21"/>
                <w:highlight w:val="none"/>
              </w:rPr>
              <w:t xml:space="preserve">（7）按照宣布的开标顺序当众开标，公布投标人名称、标段名称、投标保证金的递交情况、投标报价、质量目标、工期及其他内容，并记录在案； </w:t>
            </w:r>
          </w:p>
          <w:p>
            <w:pPr>
              <w:widowControl/>
              <w:shd w:val="clear" w:color="auto" w:fill="FFFFFF"/>
              <w:spacing w:line="360" w:lineRule="auto"/>
              <w:jc w:val="left"/>
              <w:rPr>
                <w:rFonts w:ascii="宋体" w:hAnsi="宋体" w:cs="宋体"/>
                <w:szCs w:val="21"/>
                <w:highlight w:val="none"/>
              </w:rPr>
            </w:pPr>
            <w:r>
              <w:rPr>
                <w:rFonts w:hint="eastAsia" w:ascii="宋体" w:hAnsi="宋体" w:cs="宋体"/>
                <w:szCs w:val="21"/>
                <w:highlight w:val="none"/>
              </w:rPr>
              <w:t>（8）信用评价结果应用</w:t>
            </w:r>
          </w:p>
          <w:p>
            <w:pPr>
              <w:widowControl/>
              <w:shd w:val="clear" w:color="auto" w:fill="FFFFFF"/>
              <w:spacing w:line="360" w:lineRule="auto"/>
              <w:jc w:val="left"/>
              <w:rPr>
                <w:rFonts w:ascii="宋体" w:hAnsi="宋体" w:cs="宋体"/>
                <w:szCs w:val="21"/>
                <w:highlight w:val="none"/>
              </w:rPr>
            </w:pPr>
            <w:r>
              <w:rPr>
                <w:rFonts w:hint="eastAsia" w:ascii="宋体" w:hAnsi="宋体" w:cs="宋体"/>
                <w:szCs w:val="21"/>
                <w:highlight w:val="none"/>
              </w:rPr>
              <w:t>（9）招标人代表、监标人、记录人等有关人员在开标记录上签字确认；</w:t>
            </w:r>
          </w:p>
          <w:p>
            <w:pPr>
              <w:spacing w:line="360" w:lineRule="exact"/>
              <w:jc w:val="left"/>
              <w:rPr>
                <w:rFonts w:ascii="宋体" w:hAnsi="宋体" w:cs="宋体"/>
                <w:szCs w:val="21"/>
                <w:highlight w:val="none"/>
              </w:rPr>
            </w:pPr>
            <w:r>
              <w:rPr>
                <w:rFonts w:hint="eastAsia" w:ascii="宋体" w:hAnsi="宋体" w:cs="宋体"/>
                <w:szCs w:val="21"/>
                <w:highlight w:val="none"/>
              </w:rPr>
              <w:t>（10）开标结束。</w:t>
            </w:r>
          </w:p>
          <w:p>
            <w:pPr>
              <w:spacing w:line="360" w:lineRule="exact"/>
              <w:ind w:firstLine="422" w:firstLineChars="200"/>
              <w:rPr>
                <w:highlight w:val="none"/>
              </w:rPr>
            </w:pPr>
            <w:r>
              <w:rPr>
                <w:rFonts w:hint="eastAsia"/>
                <w:b/>
                <w:highlight w:val="none"/>
              </w:rPr>
              <w:t>正式投标人超过15家（不含15家）的，</w:t>
            </w:r>
            <w:r>
              <w:rPr>
                <w:rFonts w:hint="eastAsia"/>
                <w:highlight w:val="none"/>
              </w:rPr>
              <w:t>“投标人须知”正文部分第5.2条第（8）款修改为以下内容。（正式投标人少于或等于15家的本条款不适用）：</w:t>
            </w:r>
          </w:p>
          <w:p>
            <w:pPr>
              <w:spacing w:line="360" w:lineRule="auto"/>
              <w:rPr>
                <w:b/>
                <w:highlight w:val="none"/>
              </w:rPr>
            </w:pPr>
            <w:r>
              <w:rPr>
                <w:rFonts w:hint="eastAsia"/>
                <w:highlight w:val="none"/>
              </w:rPr>
              <w:t>（</w:t>
            </w:r>
            <w:r>
              <w:rPr>
                <w:rFonts w:hint="eastAsia"/>
                <w:highlight w:val="none"/>
                <w:lang w:val="en-US" w:eastAsia="zh-CN"/>
              </w:rPr>
              <w:t>8</w:t>
            </w:r>
            <w:r>
              <w:rPr>
                <w:rFonts w:hint="eastAsia"/>
                <w:highlight w:val="none"/>
              </w:rPr>
              <w:t>）诚信优先抽签入围</w:t>
            </w:r>
            <w:r>
              <w:rPr>
                <w:rFonts w:hint="eastAsia"/>
                <w:b/>
                <w:highlight w:val="none"/>
              </w:rPr>
              <w:t>：</w:t>
            </w:r>
          </w:p>
          <w:p>
            <w:pPr>
              <w:spacing w:line="360" w:lineRule="auto"/>
              <w:ind w:firstLine="422" w:firstLineChars="200"/>
              <w:rPr>
                <w:b/>
                <w:highlight w:val="none"/>
              </w:rPr>
            </w:pPr>
            <w:r>
              <w:rPr>
                <w:rFonts w:hint="eastAsia"/>
                <w:b/>
                <w:highlight w:val="none"/>
              </w:rPr>
              <w:t>注：正式投标人为联合体的，其信用等级为联合体牵头人的信用等级。</w:t>
            </w:r>
          </w:p>
          <w:p>
            <w:pPr>
              <w:spacing w:line="360" w:lineRule="auto"/>
              <w:ind w:firstLine="497" w:firstLineChars="224"/>
              <w:rPr>
                <w:rFonts w:ascii="宋体" w:hAnsi="宋体"/>
                <w:szCs w:val="21"/>
                <w:highlight w:val="none"/>
              </w:rPr>
            </w:pPr>
            <w:r>
              <w:rPr>
                <w:rFonts w:hint="eastAsia" w:ascii="宋体" w:hAnsi="宋体"/>
                <w:spacing w:val="6"/>
                <w:szCs w:val="21"/>
                <w:highlight w:val="none"/>
              </w:rPr>
              <w:t>正式投标人</w:t>
            </w:r>
            <w:r>
              <w:rPr>
                <w:rFonts w:hint="eastAsia" w:ascii="宋体" w:hAnsi="宋体"/>
                <w:szCs w:val="21"/>
                <w:highlight w:val="none"/>
              </w:rPr>
              <w:t>在15家（</w:t>
            </w:r>
            <w:r>
              <w:rPr>
                <w:rFonts w:hint="eastAsia"/>
                <w:highlight w:val="none"/>
              </w:rPr>
              <w:t>不含15家</w:t>
            </w:r>
            <w:r>
              <w:rPr>
                <w:rFonts w:hint="eastAsia" w:ascii="宋体" w:hAnsi="宋体"/>
                <w:szCs w:val="21"/>
                <w:highlight w:val="none"/>
              </w:rPr>
              <w:t>）以上时，</w:t>
            </w:r>
            <w:r>
              <w:rPr>
                <w:rFonts w:hint="eastAsia" w:ascii="宋体" w:hAnsi="宋体"/>
                <w:spacing w:val="6"/>
                <w:szCs w:val="21"/>
                <w:highlight w:val="none"/>
              </w:rPr>
              <w:t>按开标当天“江门市建筑业企业信用管理信息系统”公布的信用等级由招标人分三次随机抽签确定15家正式投标人进入评审阶段。评审阶段不再应用信用评价成果。</w:t>
            </w:r>
            <w:r>
              <w:rPr>
                <w:rFonts w:hint="eastAsia" w:ascii="宋体" w:hAnsi="宋体"/>
                <w:szCs w:val="21"/>
                <w:highlight w:val="none"/>
              </w:rPr>
              <w:t>摇珠抽取步骤如下：</w:t>
            </w:r>
          </w:p>
          <w:p>
            <w:pPr>
              <w:spacing w:line="360" w:lineRule="auto"/>
              <w:ind w:firstLine="497" w:firstLineChars="224"/>
              <w:rPr>
                <w:rFonts w:ascii="宋体" w:hAnsi="宋体"/>
                <w:spacing w:val="6"/>
                <w:szCs w:val="21"/>
                <w:highlight w:val="none"/>
              </w:rPr>
            </w:pPr>
            <w:r>
              <w:rPr>
                <w:rFonts w:hint="eastAsia" w:ascii="宋体" w:hAnsi="宋体"/>
                <w:spacing w:val="6"/>
                <w:szCs w:val="21"/>
                <w:highlight w:val="none"/>
              </w:rPr>
              <w:t>a、投标人的抽签号码分配按投标文件递交登记表的名单的先后次序进行分配。</w:t>
            </w:r>
          </w:p>
          <w:p>
            <w:pPr>
              <w:spacing w:line="360" w:lineRule="auto"/>
              <w:ind w:firstLine="497" w:firstLineChars="224"/>
              <w:rPr>
                <w:rFonts w:ascii="宋体" w:hAnsi="宋体"/>
                <w:spacing w:val="6"/>
                <w:szCs w:val="21"/>
                <w:highlight w:val="none"/>
              </w:rPr>
            </w:pPr>
            <w:r>
              <w:rPr>
                <w:rFonts w:hint="eastAsia" w:ascii="宋体" w:hAnsi="宋体"/>
                <w:spacing w:val="6"/>
                <w:szCs w:val="21"/>
                <w:highlight w:val="none"/>
              </w:rPr>
              <w:t>b、从信用等级 A 级的正式投标人中随机选取 5 家，未抽中的进入下一轮选取环节。如本轮家数不足 5 家的，不足之数在信用等级 B 级的正式投标人中选取。如选取全部信用等级 B 级的正式投标人后也不足 5 家的，则在信用等级为 C 级的正式投标人中选取不足之数。</w:t>
            </w:r>
          </w:p>
          <w:p>
            <w:pPr>
              <w:spacing w:line="360" w:lineRule="auto"/>
              <w:ind w:firstLine="497" w:firstLineChars="224"/>
              <w:rPr>
                <w:rFonts w:ascii="宋体" w:hAnsi="宋体"/>
                <w:spacing w:val="6"/>
                <w:szCs w:val="21"/>
                <w:highlight w:val="none"/>
              </w:rPr>
            </w:pPr>
            <w:r>
              <w:rPr>
                <w:rFonts w:hint="eastAsia" w:ascii="宋体" w:hAnsi="宋体"/>
                <w:spacing w:val="6"/>
                <w:szCs w:val="21"/>
                <w:highlight w:val="none"/>
              </w:rPr>
              <w:t>c、从第一轮未选中的信用等级 A 级正式投标人以及信用等级 B级的正式投标人(A+B)中随机选取 5 家，未选中的正式投标人进入第 3 轮选取环节。如本轮正式投标人(A+B)家数不足 5 家的，则在信用等级 C 级的正式投标人中选取不足之数。</w:t>
            </w:r>
          </w:p>
          <w:p>
            <w:pPr>
              <w:spacing w:line="360" w:lineRule="auto"/>
              <w:ind w:firstLine="497" w:firstLineChars="224"/>
              <w:rPr>
                <w:rFonts w:ascii="宋体" w:hAnsi="宋体"/>
                <w:spacing w:val="6"/>
                <w:szCs w:val="21"/>
                <w:highlight w:val="none"/>
              </w:rPr>
            </w:pPr>
            <w:r>
              <w:rPr>
                <w:rFonts w:hint="eastAsia" w:ascii="宋体" w:hAnsi="宋体"/>
                <w:spacing w:val="6"/>
                <w:szCs w:val="21"/>
                <w:highlight w:val="none"/>
              </w:rPr>
              <w:t>d、从第二轮未抽中的信用等级A、B级正式投标人及信用等级C级正式投标人中(A+B+C)随机选取5家。</w:t>
            </w:r>
          </w:p>
          <w:p>
            <w:pPr>
              <w:spacing w:line="360" w:lineRule="auto"/>
              <w:ind w:firstLine="444" w:firstLineChars="200"/>
              <w:rPr>
                <w:rFonts w:ascii="宋体" w:hAnsi="宋体"/>
                <w:spacing w:val="6"/>
                <w:szCs w:val="21"/>
                <w:highlight w:val="none"/>
              </w:rPr>
            </w:pPr>
            <w:r>
              <w:rPr>
                <w:rFonts w:hint="eastAsia" w:ascii="宋体" w:hAnsi="宋体"/>
                <w:spacing w:val="6"/>
                <w:szCs w:val="21"/>
                <w:highlight w:val="none"/>
              </w:rPr>
              <w:t>e、最终进入候补的正式投标人：</w:t>
            </w:r>
          </w:p>
          <w:p>
            <w:pPr>
              <w:spacing w:line="360" w:lineRule="exact"/>
              <w:rPr>
                <w:rFonts w:ascii="宋体" w:hAnsi="宋体"/>
                <w:spacing w:val="6"/>
                <w:szCs w:val="21"/>
                <w:highlight w:val="none"/>
              </w:rPr>
            </w:pPr>
            <w:r>
              <w:rPr>
                <w:rFonts w:hint="eastAsia" w:ascii="宋体" w:hAnsi="宋体"/>
                <w:spacing w:val="6"/>
                <w:szCs w:val="21"/>
                <w:highlight w:val="none"/>
              </w:rPr>
              <w:t xml:space="preserve">在前三轮未抽中的正式投标人中由招标人随机抽取5家作为候补投标人，并记录候补投标人选出的先后顺序（即为递补的先后顺序）。当经评审有效投标的投标人少于三家时，按照递补顺序递补。依递补名单依次递补后，经评审有效投标的投标人仍少于三家时，按实际需求数量在剩余的正式投标人中随机抽取。                         </w:t>
            </w:r>
          </w:p>
          <w:p>
            <w:pPr>
              <w:spacing w:line="360" w:lineRule="exact"/>
              <w:jc w:val="left"/>
              <w:rPr>
                <w:rFonts w:ascii="宋体" w:hAnsi="宋体" w:cs="宋体"/>
                <w:szCs w:val="21"/>
                <w:highlight w:val="none"/>
              </w:rPr>
            </w:pPr>
            <w:r>
              <w:rPr>
                <w:rFonts w:hint="eastAsia" w:ascii="宋体" w:hAnsi="宋体"/>
                <w:spacing w:val="6"/>
                <w:szCs w:val="21"/>
                <w:highlight w:val="none"/>
              </w:rPr>
              <w:t>f、如剩余的所有正式投标人都已递补，但经评审有效投标的投标人仍少于三家时，本次招标失败。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trPr>
        <w:tc>
          <w:tcPr>
            <w:tcW w:w="1165" w:type="dxa"/>
            <w:vAlign w:val="center"/>
          </w:tcPr>
          <w:p>
            <w:pPr>
              <w:spacing w:line="360" w:lineRule="auto"/>
              <w:jc w:val="center"/>
              <w:rPr>
                <w:highlight w:val="none"/>
              </w:rPr>
            </w:pPr>
            <w:bookmarkStart w:id="151" w:name="_Toc487131335"/>
            <w:bookmarkStart w:id="152" w:name="_Toc480552919"/>
            <w:bookmarkStart w:id="153" w:name="_Toc487202468"/>
            <w:bookmarkStart w:id="154" w:name="_Toc487562618"/>
            <w:bookmarkStart w:id="155" w:name="_Toc31519"/>
            <w:bookmarkStart w:id="156" w:name="_Toc8479"/>
            <w:bookmarkStart w:id="157" w:name="_Toc518382848"/>
            <w:bookmarkStart w:id="158" w:name="_Toc12349"/>
            <w:r>
              <w:rPr>
                <w:rFonts w:hint="eastAsia"/>
                <w:highlight w:val="none"/>
              </w:rPr>
              <w:t>5.3</w:t>
            </w:r>
            <w:bookmarkEnd w:id="151"/>
            <w:bookmarkEnd w:id="152"/>
            <w:bookmarkEnd w:id="153"/>
            <w:bookmarkEnd w:id="154"/>
            <w:bookmarkEnd w:id="155"/>
            <w:bookmarkEnd w:id="156"/>
            <w:bookmarkEnd w:id="157"/>
            <w:bookmarkEnd w:id="158"/>
          </w:p>
          <w:p>
            <w:pPr>
              <w:spacing w:line="360" w:lineRule="exact"/>
              <w:jc w:val="center"/>
              <w:rPr>
                <w:highlight w:val="none"/>
              </w:rPr>
            </w:pPr>
          </w:p>
        </w:tc>
        <w:tc>
          <w:tcPr>
            <w:tcW w:w="1920" w:type="dxa"/>
            <w:gridSpan w:val="2"/>
            <w:vAlign w:val="center"/>
          </w:tcPr>
          <w:p>
            <w:pPr>
              <w:spacing w:line="360" w:lineRule="exact"/>
              <w:rPr>
                <w:highlight w:val="none"/>
              </w:rPr>
            </w:pPr>
            <w:r>
              <w:rPr>
                <w:rFonts w:hint="eastAsia"/>
                <w:highlight w:val="none"/>
              </w:rPr>
              <w:t>开标特殊情况的处置程序</w:t>
            </w:r>
          </w:p>
        </w:tc>
        <w:tc>
          <w:tcPr>
            <w:tcW w:w="6662" w:type="dxa"/>
            <w:vAlign w:val="center"/>
          </w:tcPr>
          <w:p>
            <w:pPr>
              <w:spacing w:line="360" w:lineRule="auto"/>
              <w:ind w:firstLine="316" w:firstLineChars="150"/>
              <w:rPr>
                <w:rFonts w:ascii="宋体" w:hAnsi="宋体"/>
                <w:b/>
                <w:highlight w:val="none"/>
              </w:rPr>
            </w:pPr>
            <w:bookmarkStart w:id="159" w:name="_Toc20423"/>
            <w:bookmarkStart w:id="160" w:name="_Toc487202469"/>
            <w:bookmarkStart w:id="161" w:name="_Toc21433"/>
            <w:bookmarkStart w:id="162" w:name="_Toc487562619"/>
            <w:bookmarkStart w:id="163" w:name="_Toc487131336"/>
            <w:bookmarkStart w:id="164" w:name="_Toc24364"/>
            <w:bookmarkStart w:id="165" w:name="_Toc518382849"/>
            <w:bookmarkStart w:id="166" w:name="_Toc480552920"/>
            <w:r>
              <w:rPr>
                <w:rFonts w:hint="eastAsia" w:ascii="宋体" w:hAnsi="宋体"/>
                <w:b/>
                <w:highlight w:val="none"/>
              </w:rPr>
              <w:t>关于开标活动暂停</w:t>
            </w:r>
            <w:bookmarkEnd w:id="159"/>
            <w:bookmarkEnd w:id="160"/>
            <w:bookmarkEnd w:id="161"/>
            <w:bookmarkEnd w:id="162"/>
            <w:bookmarkEnd w:id="163"/>
            <w:bookmarkEnd w:id="164"/>
            <w:bookmarkEnd w:id="165"/>
            <w:bookmarkEnd w:id="166"/>
          </w:p>
          <w:p>
            <w:pPr>
              <w:spacing w:line="360" w:lineRule="auto"/>
              <w:ind w:firstLine="420" w:firstLineChars="200"/>
              <w:rPr>
                <w:highlight w:val="none"/>
              </w:rPr>
            </w:pPr>
            <w:r>
              <w:rPr>
                <w:rFonts w:hint="eastAsia"/>
                <w:highlight w:val="none"/>
              </w:rPr>
              <w:t>5.3.1招标人应当执行连续开标的原则，按开标程序中规定的程序、内容、方法、标准完成全部开标工作。只有发生不可抗力导致开标工作无法继续时，开标活动方可暂停。</w:t>
            </w:r>
          </w:p>
          <w:p>
            <w:pPr>
              <w:spacing w:line="360" w:lineRule="auto"/>
              <w:ind w:firstLine="420" w:firstLineChars="200"/>
              <w:rPr>
                <w:highlight w:val="none"/>
              </w:rPr>
            </w:pPr>
            <w:r>
              <w:rPr>
                <w:rFonts w:hint="eastAsia"/>
                <w:highlight w:val="none"/>
              </w:rPr>
              <w:t>5.3.2发生开标暂停情况时，招标人</w:t>
            </w:r>
            <w:r>
              <w:rPr>
                <w:highlight w:val="none"/>
              </w:rPr>
              <w:t>应妥善保管好</w:t>
            </w:r>
            <w:r>
              <w:rPr>
                <w:rFonts w:hint="eastAsia"/>
                <w:highlight w:val="none"/>
              </w:rPr>
              <w:t>或封存</w:t>
            </w:r>
            <w:r>
              <w:rPr>
                <w:highlight w:val="none"/>
              </w:rPr>
              <w:t>已接收的投标文件、修改或撤回通知、备选投标方案等投标资料</w:t>
            </w:r>
            <w:r>
              <w:rPr>
                <w:rFonts w:hint="eastAsia"/>
                <w:highlight w:val="none"/>
              </w:rPr>
              <w:t>，待不可抗力的影响结束且具备继续开标的条件时，由招标人继续开标。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65" w:type="dxa"/>
            <w:vAlign w:val="center"/>
          </w:tcPr>
          <w:p>
            <w:pPr>
              <w:spacing w:line="440" w:lineRule="exact"/>
              <w:jc w:val="center"/>
              <w:rPr>
                <w:szCs w:val="21"/>
                <w:highlight w:val="none"/>
              </w:rPr>
            </w:pPr>
            <w:r>
              <w:rPr>
                <w:szCs w:val="21"/>
                <w:highlight w:val="none"/>
              </w:rPr>
              <w:t>6.1.1</w:t>
            </w:r>
          </w:p>
        </w:tc>
        <w:tc>
          <w:tcPr>
            <w:tcW w:w="1920" w:type="dxa"/>
            <w:gridSpan w:val="2"/>
            <w:vAlign w:val="center"/>
          </w:tcPr>
          <w:p>
            <w:pPr>
              <w:spacing w:line="440" w:lineRule="exact"/>
              <w:jc w:val="center"/>
              <w:rPr>
                <w:szCs w:val="21"/>
                <w:highlight w:val="none"/>
              </w:rPr>
            </w:pPr>
            <w:r>
              <w:rPr>
                <w:rFonts w:hint="eastAsia"/>
                <w:szCs w:val="21"/>
                <w:highlight w:val="none"/>
              </w:rPr>
              <w:t>评标委员会的组建</w:t>
            </w:r>
          </w:p>
        </w:tc>
        <w:tc>
          <w:tcPr>
            <w:tcW w:w="6662" w:type="dxa"/>
            <w:vAlign w:val="center"/>
          </w:tcPr>
          <w:p>
            <w:pPr>
              <w:spacing w:line="360" w:lineRule="exact"/>
              <w:rPr>
                <w:highlight w:val="none"/>
              </w:rPr>
            </w:pPr>
            <w:r>
              <w:rPr>
                <w:rFonts w:hint="eastAsia"/>
                <w:highlight w:val="none"/>
              </w:rPr>
              <w:t>评标委员会构成：</w:t>
            </w:r>
            <w:r>
              <w:rPr>
                <w:rFonts w:hint="eastAsia"/>
                <w:highlight w:val="none"/>
                <w:u w:val="single"/>
              </w:rPr>
              <w:t>5</w:t>
            </w:r>
            <w:r>
              <w:rPr>
                <w:rFonts w:hint="eastAsia"/>
                <w:highlight w:val="none"/>
              </w:rPr>
              <w:t xml:space="preserve">人，其中招标人代表 </w:t>
            </w:r>
            <w:r>
              <w:rPr>
                <w:rFonts w:hint="eastAsia"/>
                <w:highlight w:val="none"/>
                <w:u w:val="single"/>
              </w:rPr>
              <w:t>1</w:t>
            </w:r>
            <w:r>
              <w:rPr>
                <w:rFonts w:hint="eastAsia"/>
                <w:highlight w:val="none"/>
              </w:rPr>
              <w:t>人，专家库随机抽取</w:t>
            </w:r>
            <w:r>
              <w:rPr>
                <w:rFonts w:hint="eastAsia"/>
                <w:highlight w:val="none"/>
                <w:u w:val="single"/>
              </w:rPr>
              <w:t xml:space="preserve"> 4  </w:t>
            </w:r>
            <w:r>
              <w:rPr>
                <w:rFonts w:hint="eastAsia"/>
                <w:highlight w:val="none"/>
              </w:rPr>
              <w:t>人；评标专家应由从事设计、施工、造价等方面专家组成。</w:t>
            </w:r>
          </w:p>
          <w:p>
            <w:pPr>
              <w:spacing w:line="360" w:lineRule="exact"/>
              <w:rPr>
                <w:highlight w:val="none"/>
                <w:u w:val="single"/>
              </w:rPr>
            </w:pPr>
            <w:r>
              <w:rPr>
                <w:rFonts w:hint="eastAsia"/>
                <w:highlight w:val="none"/>
              </w:rPr>
              <w:t>招标人代表资格条件：</w:t>
            </w:r>
            <w:r>
              <w:rPr>
                <w:rFonts w:hint="eastAsia"/>
                <w:highlight w:val="none"/>
                <w:u w:val="single"/>
              </w:rPr>
              <w:t>限招标人在职人员。</w:t>
            </w:r>
          </w:p>
          <w:p>
            <w:pPr>
              <w:spacing w:line="360" w:lineRule="exact"/>
              <w:rPr>
                <w:szCs w:val="21"/>
                <w:highlight w:val="none"/>
              </w:rPr>
            </w:pPr>
            <w:r>
              <w:rPr>
                <w:rFonts w:hint="eastAsia"/>
                <w:highlight w:val="none"/>
              </w:rPr>
              <w:t>评标专家确定方式：</w:t>
            </w:r>
            <w:r>
              <w:rPr>
                <w:rFonts w:hint="eastAsia"/>
                <w:highlight w:val="none"/>
                <w:u w:val="single"/>
              </w:rPr>
              <w:t>从依法成立的评标专家库随机抽取</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vAlign w:val="center"/>
          </w:tcPr>
          <w:p>
            <w:pPr>
              <w:spacing w:line="440" w:lineRule="exact"/>
              <w:jc w:val="center"/>
              <w:rPr>
                <w:szCs w:val="21"/>
                <w:highlight w:val="none"/>
              </w:rPr>
            </w:pPr>
            <w:r>
              <w:rPr>
                <w:szCs w:val="21"/>
                <w:highlight w:val="none"/>
              </w:rPr>
              <w:t>7.1</w:t>
            </w:r>
          </w:p>
        </w:tc>
        <w:tc>
          <w:tcPr>
            <w:tcW w:w="1920" w:type="dxa"/>
            <w:gridSpan w:val="2"/>
            <w:vAlign w:val="center"/>
          </w:tcPr>
          <w:p>
            <w:pPr>
              <w:spacing w:line="440" w:lineRule="exact"/>
              <w:jc w:val="center"/>
              <w:rPr>
                <w:szCs w:val="21"/>
                <w:highlight w:val="none"/>
              </w:rPr>
            </w:pPr>
            <w:r>
              <w:rPr>
                <w:rFonts w:hint="eastAsia"/>
                <w:szCs w:val="21"/>
                <w:highlight w:val="none"/>
              </w:rPr>
              <w:t>是否授权评标委员会确定中标人</w:t>
            </w:r>
          </w:p>
        </w:tc>
        <w:tc>
          <w:tcPr>
            <w:tcW w:w="6662" w:type="dxa"/>
            <w:vAlign w:val="center"/>
          </w:tcPr>
          <w:p>
            <w:pPr>
              <w:spacing w:line="440" w:lineRule="exact"/>
              <w:rPr>
                <w:szCs w:val="21"/>
                <w:highlight w:val="none"/>
              </w:rPr>
            </w:pPr>
            <w:r>
              <w:rPr>
                <w:sz w:val="32"/>
                <w:szCs w:val="32"/>
                <w:highlight w:val="none"/>
              </w:rPr>
              <w:t>□</w:t>
            </w:r>
            <w:r>
              <w:rPr>
                <w:rFonts w:hint="eastAsia"/>
                <w:szCs w:val="21"/>
                <w:highlight w:val="none"/>
              </w:rPr>
              <w:t>是</w:t>
            </w:r>
          </w:p>
          <w:p>
            <w:pPr>
              <w:spacing w:line="440" w:lineRule="exact"/>
              <w:rPr>
                <w:szCs w:val="21"/>
                <w:highlight w:val="none"/>
              </w:rPr>
            </w:pPr>
            <w:r>
              <w:rPr>
                <w:rFonts w:hint="eastAsia"/>
                <w:sz w:val="32"/>
                <w:szCs w:val="32"/>
                <w:highlight w:val="none"/>
              </w:rPr>
              <w:t>☑</w:t>
            </w:r>
            <w:r>
              <w:rPr>
                <w:rFonts w:hint="eastAsia"/>
                <w:szCs w:val="21"/>
                <w:highlight w:val="none"/>
              </w:rPr>
              <w:t>否，</w:t>
            </w:r>
            <w:r>
              <w:rPr>
                <w:szCs w:val="21"/>
                <w:highlight w:val="none"/>
              </w:rPr>
              <w:t>推荐的中标候选人数</w:t>
            </w:r>
            <w:r>
              <w:rPr>
                <w:rFonts w:hint="eastAsia"/>
                <w:szCs w:val="21"/>
                <w:highlight w:val="none"/>
              </w:rPr>
              <w:t>：</w:t>
            </w:r>
            <w:r>
              <w:rPr>
                <w:rFonts w:hint="eastAsia"/>
                <w:highlight w:val="none"/>
                <w:u w:val="single"/>
              </w:rPr>
              <w:t xml:space="preserve">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65" w:type="dxa"/>
            <w:vAlign w:val="center"/>
          </w:tcPr>
          <w:p>
            <w:pPr>
              <w:spacing w:line="440" w:lineRule="exact"/>
              <w:jc w:val="center"/>
              <w:rPr>
                <w:szCs w:val="21"/>
                <w:highlight w:val="none"/>
              </w:rPr>
            </w:pPr>
            <w:r>
              <w:rPr>
                <w:szCs w:val="21"/>
                <w:highlight w:val="none"/>
              </w:rPr>
              <w:t>7.</w:t>
            </w:r>
            <w:r>
              <w:rPr>
                <w:rFonts w:hint="eastAsia"/>
                <w:szCs w:val="21"/>
                <w:highlight w:val="none"/>
              </w:rPr>
              <w:t>4</w:t>
            </w:r>
            <w:r>
              <w:rPr>
                <w:szCs w:val="21"/>
                <w:highlight w:val="none"/>
              </w:rPr>
              <w:t>.1</w:t>
            </w:r>
          </w:p>
        </w:tc>
        <w:tc>
          <w:tcPr>
            <w:tcW w:w="1920" w:type="dxa"/>
            <w:gridSpan w:val="2"/>
            <w:vAlign w:val="center"/>
          </w:tcPr>
          <w:p>
            <w:pPr>
              <w:spacing w:line="440" w:lineRule="exact"/>
              <w:jc w:val="center"/>
              <w:rPr>
                <w:szCs w:val="21"/>
                <w:highlight w:val="none"/>
              </w:rPr>
            </w:pPr>
            <w:r>
              <w:rPr>
                <w:szCs w:val="21"/>
                <w:highlight w:val="none"/>
              </w:rPr>
              <w:t>履约担保</w:t>
            </w:r>
          </w:p>
        </w:tc>
        <w:tc>
          <w:tcPr>
            <w:tcW w:w="6662" w:type="dxa"/>
            <w:vAlign w:val="center"/>
          </w:tcPr>
          <w:p>
            <w:pPr>
              <w:spacing w:line="360" w:lineRule="exact"/>
              <w:rPr>
                <w:highlight w:val="none"/>
              </w:rPr>
            </w:pPr>
            <w:r>
              <w:rPr>
                <w:rFonts w:hint="eastAsia"/>
                <w:highlight w:val="none"/>
              </w:rPr>
              <w:t>履约担保的形式：银行保函或</w:t>
            </w:r>
            <w:r>
              <w:rPr>
                <w:rFonts w:hint="eastAsia" w:ascii="宋体" w:hAnsi="宋体"/>
                <w:szCs w:val="21"/>
                <w:highlight w:val="none"/>
              </w:rPr>
              <w:t>工程保证保险</w:t>
            </w:r>
          </w:p>
          <w:p>
            <w:pPr>
              <w:spacing w:line="360" w:lineRule="exact"/>
              <w:rPr>
                <w:highlight w:val="none"/>
              </w:rPr>
            </w:pPr>
            <w:r>
              <w:rPr>
                <w:rFonts w:hint="eastAsia"/>
                <w:highlight w:val="none"/>
              </w:rPr>
              <w:t>履约担保的金额：中标价的5%</w:t>
            </w:r>
          </w:p>
          <w:p>
            <w:pPr>
              <w:spacing w:line="360" w:lineRule="exact"/>
              <w:rPr>
                <w:rFonts w:ascii="宋体" w:hAnsi="宋体"/>
                <w:szCs w:val="21"/>
                <w:highlight w:val="none"/>
              </w:rPr>
            </w:pPr>
            <w:r>
              <w:rPr>
                <w:rFonts w:hint="eastAsia" w:ascii="宋体" w:hAnsi="宋体"/>
                <w:szCs w:val="21"/>
                <w:highlight w:val="none"/>
              </w:rPr>
              <w:t xml:space="preserve">银行保函必须为 </w:t>
            </w:r>
            <w:r>
              <w:rPr>
                <w:rFonts w:hint="eastAsia" w:ascii="宋体" w:hAnsi="宋体"/>
                <w:szCs w:val="21"/>
                <w:highlight w:val="none"/>
                <w:u w:val="single"/>
              </w:rPr>
              <w:t>中国境内的中国银行、建设银行、工商银行、农业银行或江门市行政区域内具有办理保函业务资格的其他商业银行</w:t>
            </w:r>
            <w:r>
              <w:rPr>
                <w:rFonts w:hint="eastAsia" w:ascii="宋体" w:hAnsi="宋体"/>
                <w:szCs w:val="21"/>
                <w:highlight w:val="none"/>
              </w:rPr>
              <w:t>提供。</w:t>
            </w:r>
          </w:p>
          <w:p>
            <w:pPr>
              <w:spacing w:line="320" w:lineRule="exact"/>
              <w:rPr>
                <w:szCs w:val="21"/>
                <w:highlight w:val="none"/>
              </w:rPr>
            </w:pPr>
            <w:r>
              <w:rPr>
                <w:rFonts w:hint="eastAsia"/>
                <w:szCs w:val="21"/>
                <w:highlight w:val="none"/>
              </w:rPr>
              <w:t>（1）履约担保由联合体任意一方开具。</w:t>
            </w:r>
          </w:p>
          <w:p>
            <w:pPr>
              <w:spacing w:line="320" w:lineRule="exact"/>
              <w:rPr>
                <w:szCs w:val="21"/>
                <w:highlight w:val="none"/>
              </w:rPr>
            </w:pPr>
            <w:r>
              <w:rPr>
                <w:rFonts w:hint="eastAsia"/>
                <w:szCs w:val="21"/>
                <w:highlight w:val="none"/>
              </w:rPr>
              <w:t>（2）招标人要求中标人提供履约保证金或其他形式履约担保的，招标</w:t>
            </w:r>
          </w:p>
          <w:p>
            <w:pPr>
              <w:spacing w:line="320" w:lineRule="exact"/>
              <w:rPr>
                <w:szCs w:val="21"/>
                <w:highlight w:val="none"/>
              </w:rPr>
            </w:pPr>
            <w:r>
              <w:rPr>
                <w:rFonts w:hint="eastAsia"/>
                <w:szCs w:val="21"/>
                <w:highlight w:val="none"/>
              </w:rPr>
              <w:t>人应当同时向中标人提供工程款支付担保。</w:t>
            </w:r>
          </w:p>
          <w:p>
            <w:pPr>
              <w:spacing w:line="320" w:lineRule="exact"/>
              <w:rPr>
                <w:szCs w:val="21"/>
                <w:highlight w:val="none"/>
              </w:rPr>
            </w:pPr>
            <w:r>
              <w:rPr>
                <w:rFonts w:hint="eastAsia"/>
                <w:szCs w:val="21"/>
                <w:highlight w:val="none"/>
              </w:rPr>
              <w:t>（3）保证保险具体按照《关于在全市房屋建筑和市政基础设施工程开</w:t>
            </w:r>
          </w:p>
          <w:p>
            <w:pPr>
              <w:spacing w:line="320" w:lineRule="exact"/>
              <w:rPr>
                <w:szCs w:val="21"/>
                <w:highlight w:val="none"/>
              </w:rPr>
            </w:pPr>
            <w:r>
              <w:rPr>
                <w:rFonts w:hint="eastAsia"/>
                <w:szCs w:val="21"/>
                <w:highlight w:val="none"/>
              </w:rPr>
              <w:t>展建设工程保证保险有关工作的通知》（江建函〔2018〕1343 号）的</w:t>
            </w:r>
          </w:p>
          <w:p>
            <w:pPr>
              <w:spacing w:line="320" w:lineRule="exact"/>
              <w:rPr>
                <w:szCs w:val="21"/>
                <w:highlight w:val="none"/>
              </w:rPr>
            </w:pPr>
            <w:r>
              <w:rPr>
                <w:rFonts w:hint="eastAsia"/>
                <w:szCs w:val="21"/>
                <w:highlight w:val="none"/>
              </w:rPr>
              <w:t>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65" w:type="dxa"/>
            <w:vAlign w:val="center"/>
          </w:tcPr>
          <w:p>
            <w:pPr>
              <w:spacing w:line="440" w:lineRule="exact"/>
              <w:jc w:val="center"/>
              <w:rPr>
                <w:b/>
                <w:szCs w:val="21"/>
                <w:highlight w:val="none"/>
              </w:rPr>
            </w:pPr>
            <w:r>
              <w:rPr>
                <w:rFonts w:hint="eastAsia"/>
                <w:b/>
                <w:szCs w:val="21"/>
                <w:highlight w:val="none"/>
              </w:rPr>
              <w:t>10</w:t>
            </w:r>
          </w:p>
        </w:tc>
        <w:tc>
          <w:tcPr>
            <w:tcW w:w="8582" w:type="dxa"/>
            <w:gridSpan w:val="3"/>
            <w:vAlign w:val="center"/>
          </w:tcPr>
          <w:p>
            <w:pPr>
              <w:spacing w:line="440" w:lineRule="exact"/>
              <w:jc w:val="center"/>
              <w:rPr>
                <w:b/>
                <w:szCs w:val="21"/>
                <w:highlight w:val="none"/>
              </w:rPr>
            </w:pPr>
            <w:r>
              <w:rPr>
                <w:rFonts w:hint="eastAsia"/>
                <w:b/>
                <w:szCs w:val="21"/>
                <w:highlight w:val="none"/>
              </w:rPr>
              <w:t>需要</w:t>
            </w:r>
            <w:r>
              <w:rPr>
                <w:b/>
                <w:szCs w:val="21"/>
                <w:highlight w:val="none"/>
              </w:rPr>
              <w:t>补充</w:t>
            </w:r>
            <w:r>
              <w:rPr>
                <w:rFonts w:hint="eastAsia"/>
                <w:b/>
                <w:szCs w:val="21"/>
                <w:highlight w:val="none"/>
              </w:rPr>
              <w:t>的其他</w:t>
            </w:r>
            <w:r>
              <w:rPr>
                <w:b/>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747" w:type="dxa"/>
            <w:gridSpan w:val="4"/>
            <w:vAlign w:val="center"/>
          </w:tcPr>
          <w:p>
            <w:pPr>
              <w:spacing w:line="440" w:lineRule="exact"/>
              <w:ind w:firstLine="210" w:firstLineChars="100"/>
              <w:jc w:val="center"/>
              <w:rPr>
                <w:b/>
                <w:szCs w:val="21"/>
                <w:highlight w:val="none"/>
              </w:rPr>
            </w:pPr>
            <w:r>
              <w:rPr>
                <w:rFonts w:hint="eastAsia"/>
                <w:bCs/>
                <w:szCs w:val="21"/>
                <w:highlight w:val="none"/>
              </w:rPr>
              <w:t>10.1词语定义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Align w:val="center"/>
          </w:tcPr>
          <w:p>
            <w:pPr>
              <w:spacing w:line="440" w:lineRule="exact"/>
              <w:jc w:val="center"/>
              <w:rPr>
                <w:szCs w:val="21"/>
                <w:highlight w:val="none"/>
              </w:rPr>
            </w:pPr>
            <w:r>
              <w:rPr>
                <w:rFonts w:hint="eastAsia"/>
                <w:bCs/>
                <w:szCs w:val="21"/>
                <w:highlight w:val="none"/>
              </w:rPr>
              <w:t>10.1.1</w:t>
            </w:r>
          </w:p>
        </w:tc>
        <w:tc>
          <w:tcPr>
            <w:tcW w:w="1920" w:type="dxa"/>
            <w:gridSpan w:val="2"/>
            <w:vAlign w:val="center"/>
          </w:tcPr>
          <w:p>
            <w:pPr>
              <w:spacing w:line="360" w:lineRule="exact"/>
              <w:rPr>
                <w:rFonts w:ascii="Calibri" w:hAnsi="Calibri"/>
                <w:highlight w:val="none"/>
              </w:rPr>
            </w:pPr>
            <w:r>
              <w:rPr>
                <w:rFonts w:hint="eastAsia" w:ascii="Calibri" w:hAnsi="Calibri"/>
                <w:highlight w:val="none"/>
              </w:rPr>
              <w:t>类似项目</w:t>
            </w:r>
          </w:p>
        </w:tc>
        <w:tc>
          <w:tcPr>
            <w:tcW w:w="6662" w:type="dxa"/>
            <w:vAlign w:val="center"/>
          </w:tcPr>
          <w:p>
            <w:pPr>
              <w:spacing w:line="360" w:lineRule="exact"/>
              <w:rPr>
                <w:rFonts w:ascii="Calibri" w:hAnsi="Calibri"/>
                <w:highlight w:val="none"/>
              </w:rPr>
            </w:pPr>
            <w:r>
              <w:rPr>
                <w:rFonts w:hint="eastAsia" w:ascii="Calibri" w:hAnsi="Calibri"/>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65" w:type="dxa"/>
            <w:vAlign w:val="center"/>
          </w:tcPr>
          <w:p>
            <w:pPr>
              <w:spacing w:line="440" w:lineRule="exact"/>
              <w:jc w:val="center"/>
              <w:rPr>
                <w:szCs w:val="21"/>
                <w:highlight w:val="none"/>
              </w:rPr>
            </w:pPr>
            <w:r>
              <w:rPr>
                <w:rFonts w:hint="eastAsia"/>
                <w:szCs w:val="21"/>
                <w:highlight w:val="none"/>
              </w:rPr>
              <w:t>10.1.2</w:t>
            </w:r>
          </w:p>
        </w:tc>
        <w:tc>
          <w:tcPr>
            <w:tcW w:w="1920" w:type="dxa"/>
            <w:gridSpan w:val="2"/>
            <w:vAlign w:val="center"/>
          </w:tcPr>
          <w:p>
            <w:pPr>
              <w:spacing w:line="360" w:lineRule="exact"/>
              <w:rPr>
                <w:rFonts w:cs="宋体"/>
                <w:highlight w:val="none"/>
              </w:rPr>
            </w:pPr>
            <w:r>
              <w:rPr>
                <w:rFonts w:hint="eastAsia" w:cs="宋体"/>
                <w:highlight w:val="none"/>
              </w:rPr>
              <w:t>不良行为记录</w:t>
            </w:r>
          </w:p>
        </w:tc>
        <w:tc>
          <w:tcPr>
            <w:tcW w:w="6662" w:type="dxa"/>
            <w:vAlign w:val="center"/>
          </w:tcPr>
          <w:p>
            <w:pPr>
              <w:spacing w:line="360" w:lineRule="exact"/>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65" w:type="dxa"/>
            <w:vAlign w:val="center"/>
          </w:tcPr>
          <w:p>
            <w:pPr>
              <w:spacing w:line="440" w:lineRule="exact"/>
              <w:jc w:val="center"/>
              <w:rPr>
                <w:szCs w:val="21"/>
                <w:highlight w:val="none"/>
              </w:rPr>
            </w:pPr>
            <w:r>
              <w:rPr>
                <w:rFonts w:hint="eastAsia"/>
                <w:szCs w:val="21"/>
                <w:highlight w:val="none"/>
              </w:rPr>
              <w:t>10.1.3</w:t>
            </w:r>
          </w:p>
        </w:tc>
        <w:tc>
          <w:tcPr>
            <w:tcW w:w="1920" w:type="dxa"/>
            <w:gridSpan w:val="2"/>
            <w:vAlign w:val="center"/>
          </w:tcPr>
          <w:p>
            <w:pPr>
              <w:spacing w:line="360" w:lineRule="exact"/>
              <w:rPr>
                <w:rFonts w:cs="宋体"/>
                <w:highlight w:val="none"/>
              </w:rPr>
            </w:pPr>
            <w:r>
              <w:rPr>
                <w:rFonts w:hint="eastAsia" w:cs="宋体"/>
                <w:highlight w:val="none"/>
              </w:rPr>
              <w:t>正式投标人</w:t>
            </w:r>
          </w:p>
        </w:tc>
        <w:tc>
          <w:tcPr>
            <w:tcW w:w="6662" w:type="dxa"/>
            <w:vAlign w:val="center"/>
          </w:tcPr>
          <w:p>
            <w:pPr>
              <w:spacing w:line="360" w:lineRule="exact"/>
              <w:rPr>
                <w:highlight w:val="none"/>
              </w:rPr>
            </w:pPr>
            <w:r>
              <w:rPr>
                <w:rFonts w:hint="eastAsia"/>
                <w:highlight w:val="none"/>
              </w:rPr>
              <w:t>正式投标人是指：不存在“投标文件否决性条款摘要”第一部分第一项“判定投标文件不予受理的情形”规定的情形的投标人。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747" w:type="dxa"/>
            <w:gridSpan w:val="4"/>
            <w:vAlign w:val="center"/>
          </w:tcPr>
          <w:p>
            <w:pPr>
              <w:spacing w:line="360" w:lineRule="exact"/>
              <w:jc w:val="center"/>
              <w:rPr>
                <w:highlight w:val="none"/>
              </w:rPr>
            </w:pPr>
            <w:r>
              <w:rPr>
                <w:rFonts w:hint="eastAsia"/>
                <w:szCs w:val="21"/>
                <w:highlight w:val="none"/>
              </w:rPr>
              <w:t>10.2</w:t>
            </w:r>
            <w:r>
              <w:rPr>
                <w:rFonts w:hint="eastAsia"/>
                <w:highlight w:val="none"/>
              </w:rPr>
              <w:t>投标人代表出席开标会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747" w:type="dxa"/>
            <w:gridSpan w:val="4"/>
            <w:vAlign w:val="center"/>
          </w:tcPr>
          <w:p>
            <w:pPr>
              <w:spacing w:line="380" w:lineRule="exact"/>
              <w:rPr>
                <w:highlight w:val="none"/>
              </w:rPr>
            </w:pPr>
            <w:r>
              <w:rPr>
                <w:rFonts w:hint="eastAsia"/>
                <w:highlight w:val="none"/>
              </w:rPr>
              <w:t>按照本须知第 5.1 款的规定，招标人邀请所有投标人参加开标会。投标人的法定代表人或其委托代理人应当按时参加开标会。法定代表人出席开标会的，须向招标人提交法定代表人证明书；委托代理人出席开标会的，须向招标人提交法定代表人证明书、法定代表人授权委托书；上述人员均须出示本人身份证原件及复印件。投标人如有不符合上述规定之一的，招标人拒收或退回其投标文件。</w:t>
            </w:r>
          </w:p>
          <w:p>
            <w:pPr>
              <w:spacing w:line="380" w:lineRule="exact"/>
              <w:rPr>
                <w:highlight w:val="none"/>
              </w:rPr>
            </w:pPr>
            <w:r>
              <w:rPr>
                <w:rFonts w:hint="eastAsia"/>
                <w:highlight w:val="none"/>
              </w:rPr>
              <w:t>若投标人没有安排代表出席的，则视为默认开标会议记录。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47" w:type="dxa"/>
            <w:gridSpan w:val="4"/>
            <w:vAlign w:val="center"/>
          </w:tcPr>
          <w:p>
            <w:pPr>
              <w:spacing w:line="380" w:lineRule="exact"/>
              <w:jc w:val="center"/>
              <w:rPr>
                <w:highlight w:val="none"/>
              </w:rPr>
            </w:pPr>
            <w:r>
              <w:rPr>
                <w:rFonts w:hint="eastAsia"/>
                <w:szCs w:val="21"/>
                <w:highlight w:val="none"/>
              </w:rPr>
              <w:t>10.3中标公示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vAlign w:val="center"/>
          </w:tcPr>
          <w:p>
            <w:pPr>
              <w:spacing w:line="300" w:lineRule="exact"/>
              <w:rPr>
                <w:rFonts w:ascii="宋体" w:hAnsi="宋体"/>
                <w:b/>
                <w:highlight w:val="none"/>
              </w:rPr>
            </w:pPr>
            <w:r>
              <w:rPr>
                <w:rFonts w:hint="eastAsia" w:ascii="宋体" w:cs="宋体"/>
                <w:kern w:val="0"/>
                <w:szCs w:val="21"/>
                <w:highlight w:val="none"/>
              </w:rPr>
              <w:t>在中标通知书发出前，招标人将中标候选人的情况在广州公共资源交易中心网上予以公示，公示期为 3 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47" w:type="dxa"/>
            <w:gridSpan w:val="4"/>
            <w:vAlign w:val="center"/>
          </w:tcPr>
          <w:p>
            <w:pPr>
              <w:spacing w:line="300" w:lineRule="exact"/>
              <w:jc w:val="center"/>
              <w:rPr>
                <w:rFonts w:ascii="宋体" w:cs="宋体"/>
                <w:kern w:val="0"/>
                <w:szCs w:val="21"/>
                <w:highlight w:val="none"/>
              </w:rPr>
            </w:pPr>
            <w:r>
              <w:rPr>
                <w:rFonts w:hint="eastAsia"/>
                <w:highlight w:val="none"/>
              </w:rPr>
              <w:t>10.4 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vAlign w:val="center"/>
          </w:tcPr>
          <w:p>
            <w:pPr>
              <w:spacing w:line="300" w:lineRule="exact"/>
              <w:rPr>
                <w:rFonts w:ascii="宋体" w:cs="宋体"/>
                <w:kern w:val="0"/>
                <w:szCs w:val="21"/>
                <w:highlight w:val="none"/>
              </w:rPr>
            </w:pPr>
            <w:r>
              <w:rPr>
                <w:rFonts w:hint="eastAsia" w:ascii="宋体" w:cs="宋体"/>
                <w:kern w:val="0"/>
                <w:szCs w:val="21"/>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47" w:type="dxa"/>
            <w:gridSpan w:val="4"/>
            <w:vAlign w:val="center"/>
          </w:tcPr>
          <w:p>
            <w:pPr>
              <w:spacing w:line="300" w:lineRule="exact"/>
              <w:jc w:val="center"/>
              <w:rPr>
                <w:rFonts w:ascii="宋体" w:cs="宋体"/>
                <w:kern w:val="0"/>
                <w:szCs w:val="21"/>
                <w:highlight w:val="none"/>
              </w:rPr>
            </w:pPr>
            <w:r>
              <w:rPr>
                <w:rFonts w:hint="eastAsia"/>
                <w:szCs w:val="21"/>
                <w:highlight w:val="none"/>
              </w:rPr>
              <w:t>10.5同义词语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vAlign w:val="center"/>
          </w:tcPr>
          <w:p>
            <w:pPr>
              <w:spacing w:line="380" w:lineRule="exact"/>
              <w:rPr>
                <w:bCs/>
                <w:szCs w:val="21"/>
                <w:highlight w:val="none"/>
              </w:rPr>
            </w:pPr>
            <w:r>
              <w:rPr>
                <w:rFonts w:hint="eastAsia"/>
                <w:highlight w:val="none"/>
              </w:rPr>
              <w:t>构成招标文件组成部分的“通用合同条款”、“专用合同条款”等章节中出现的措辞“发包人”和“承包人”，在招标投标阶段应当分别按“招标人”和“投标人”进行理解。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47" w:type="dxa"/>
            <w:gridSpan w:val="4"/>
            <w:vAlign w:val="center"/>
          </w:tcPr>
          <w:p>
            <w:pPr>
              <w:spacing w:line="300" w:lineRule="exact"/>
              <w:jc w:val="center"/>
              <w:rPr>
                <w:rFonts w:ascii="Calibri" w:hAnsi="Calibri"/>
                <w:szCs w:val="21"/>
                <w:highlight w:val="none"/>
              </w:rPr>
            </w:pPr>
            <w:r>
              <w:rPr>
                <w:rFonts w:hint="eastAsia" w:ascii="Calibri" w:hAnsi="Calibri"/>
                <w:szCs w:val="21"/>
                <w:highlight w:val="none"/>
              </w:rPr>
              <w:t>10.6 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vAlign w:val="center"/>
          </w:tcPr>
          <w:p>
            <w:pPr>
              <w:spacing w:line="380" w:lineRule="exact"/>
              <w:rPr>
                <w:highlight w:val="none"/>
              </w:rPr>
            </w:pPr>
            <w:r>
              <w:rPr>
                <w:rFonts w:hint="eastAsia"/>
                <w:highlight w:val="none"/>
              </w:rPr>
              <w:t>本项目的招标投标活动及其相关当事人应当接受有管辖权的建设工程招标投标行政监督部门依法实施的监督。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vAlign w:val="center"/>
          </w:tcPr>
          <w:p>
            <w:pPr>
              <w:spacing w:line="380" w:lineRule="exact"/>
              <w:jc w:val="center"/>
              <w:rPr>
                <w:highlight w:val="none"/>
              </w:rPr>
            </w:pPr>
            <w:r>
              <w:rPr>
                <w:rFonts w:hint="eastAsia"/>
                <w:highlight w:val="none"/>
              </w:rPr>
              <w:t>10.7 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vAlign w:val="center"/>
          </w:tcPr>
          <w:p>
            <w:pPr>
              <w:spacing w:line="380" w:lineRule="exact"/>
              <w:rPr>
                <w:highlight w:val="none"/>
              </w:rPr>
            </w:pPr>
            <w:r>
              <w:rPr>
                <w:rFonts w:hint="eastAsia"/>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文件否决性条款摘要、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747" w:type="dxa"/>
            <w:gridSpan w:val="4"/>
            <w:vAlign w:val="center"/>
          </w:tcPr>
          <w:p>
            <w:pPr>
              <w:spacing w:line="380" w:lineRule="exact"/>
              <w:jc w:val="center"/>
              <w:rPr>
                <w:highlight w:val="none"/>
              </w:rPr>
            </w:pPr>
            <w:r>
              <w:rPr>
                <w:rFonts w:hint="eastAsia"/>
                <w:highlight w:val="none"/>
              </w:rPr>
              <w:t>10.8 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gridSpan w:val="2"/>
            <w:vAlign w:val="center"/>
          </w:tcPr>
          <w:p>
            <w:pPr>
              <w:spacing w:line="380" w:lineRule="exact"/>
              <w:rPr>
                <w:highlight w:val="none"/>
              </w:rPr>
            </w:pPr>
            <w:r>
              <w:rPr>
                <w:rFonts w:hint="eastAsia"/>
                <w:highlight w:val="none"/>
              </w:rPr>
              <w:t>资格审查方式</w:t>
            </w:r>
          </w:p>
        </w:tc>
        <w:tc>
          <w:tcPr>
            <w:tcW w:w="6726" w:type="dxa"/>
            <w:gridSpan w:val="2"/>
            <w:vAlign w:val="center"/>
          </w:tcPr>
          <w:p>
            <w:pPr>
              <w:spacing w:line="380" w:lineRule="exact"/>
              <w:rPr>
                <w:highlight w:val="none"/>
              </w:rPr>
            </w:pPr>
            <w:r>
              <w:rPr>
                <w:rFonts w:hint="eastAsia"/>
                <w:highlight w:val="none"/>
              </w:rPr>
              <w:t>□资格预审。</w:t>
            </w:r>
          </w:p>
          <w:p>
            <w:pPr>
              <w:spacing w:line="380" w:lineRule="exact"/>
              <w:rPr>
                <w:highlight w:val="none"/>
              </w:rPr>
            </w:pPr>
            <w:r>
              <w:rPr>
                <w:rFonts w:hint="eastAsia"/>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vAlign w:val="center"/>
          </w:tcPr>
          <w:p>
            <w:pPr>
              <w:spacing w:line="380" w:lineRule="exact"/>
              <w:jc w:val="center"/>
              <w:rPr>
                <w:highlight w:val="none"/>
              </w:rPr>
            </w:pPr>
            <w:r>
              <w:rPr>
                <w:rFonts w:hint="eastAsia"/>
                <w:highlight w:val="none"/>
              </w:rPr>
              <w:t>10.9评标办法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gridSpan w:val="2"/>
            <w:vAlign w:val="center"/>
          </w:tcPr>
          <w:p>
            <w:pPr>
              <w:spacing w:line="380" w:lineRule="exact"/>
              <w:rPr>
                <w:highlight w:val="none"/>
              </w:rPr>
            </w:pPr>
            <w:r>
              <w:rPr>
                <w:rFonts w:hint="eastAsia"/>
                <w:highlight w:val="none"/>
              </w:rPr>
              <w:t>评标办法</w:t>
            </w:r>
          </w:p>
        </w:tc>
        <w:tc>
          <w:tcPr>
            <w:tcW w:w="6726" w:type="dxa"/>
            <w:gridSpan w:val="2"/>
            <w:vAlign w:val="center"/>
          </w:tcPr>
          <w:p>
            <w:pPr>
              <w:spacing w:line="380" w:lineRule="exact"/>
              <w:rPr>
                <w:highlight w:val="none"/>
              </w:rPr>
            </w:pPr>
            <w:r>
              <w:rPr>
                <w:rFonts w:hint="eastAsia"/>
                <w:highlight w:val="none"/>
              </w:rPr>
              <w:t>□经评审的最低投标价法。</w:t>
            </w:r>
          </w:p>
          <w:p>
            <w:pPr>
              <w:spacing w:line="380" w:lineRule="exact"/>
              <w:rPr>
                <w:highlight w:val="none"/>
              </w:rPr>
            </w:pPr>
            <w:r>
              <w:rPr>
                <w:rFonts w:hint="eastAsia"/>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vAlign w:val="center"/>
          </w:tcPr>
          <w:p>
            <w:pPr>
              <w:tabs>
                <w:tab w:val="left" w:pos="3713"/>
              </w:tabs>
              <w:spacing w:line="380" w:lineRule="exact"/>
              <w:rPr>
                <w:highlight w:val="none"/>
              </w:rPr>
            </w:pPr>
            <w:r>
              <w:rPr>
                <w:rFonts w:hint="eastAsia"/>
                <w:highlight w:val="none"/>
              </w:rPr>
              <w:tab/>
            </w:r>
            <w:r>
              <w:rPr>
                <w:rFonts w:hint="eastAsia"/>
                <w:highlight w:val="none"/>
              </w:rPr>
              <w:t>10.10 评标专家回避承诺书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vAlign w:val="center"/>
          </w:tcPr>
          <w:p>
            <w:pPr>
              <w:spacing w:line="380" w:lineRule="exact"/>
              <w:rPr>
                <w:highlight w:val="none"/>
              </w:rPr>
            </w:pPr>
            <w:r>
              <w:rPr>
                <w:rFonts w:hint="eastAsia"/>
                <w:highlight w:val="none"/>
              </w:rPr>
              <w:t>评标委员会各成员在评标前须签署“评标专家廉洁自律和回避承诺书”，详见附表九。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vAlign w:val="center"/>
          </w:tcPr>
          <w:p>
            <w:pPr>
              <w:spacing w:line="380" w:lineRule="exact"/>
              <w:jc w:val="center"/>
              <w:rPr>
                <w:highlight w:val="none"/>
              </w:rPr>
            </w:pPr>
            <w:r>
              <w:rPr>
                <w:rFonts w:hint="eastAsia"/>
                <w:highlight w:val="none"/>
              </w:rPr>
              <w:t>10.11 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rFonts w:hint="eastAsia"/>
                <w:szCs w:val="21"/>
                <w:highlight w:val="none"/>
              </w:rPr>
              <w:t>1</w:t>
            </w:r>
          </w:p>
        </w:tc>
        <w:tc>
          <w:tcPr>
            <w:tcW w:w="8582" w:type="dxa"/>
            <w:gridSpan w:val="3"/>
            <w:vAlign w:val="center"/>
          </w:tcPr>
          <w:p>
            <w:pPr>
              <w:spacing w:line="380" w:lineRule="exact"/>
              <w:rPr>
                <w:highlight w:val="none"/>
              </w:rPr>
            </w:pPr>
            <w:r>
              <w:rPr>
                <w:rFonts w:hint="eastAsia"/>
                <w:highlight w:val="none"/>
              </w:rPr>
              <w:t>本项目的设计中标人必须按招标文件设计概算中所确定的建筑安装工程费用为依据进行限额设计。设计单位在施工图设计阶段必须按照技术规范要求，结合工程现状实际，进行深化设计，严格控制工程预算中的建安工程费不超过发改部门最终批复的投资概算中所确定的建安工程费，否则，要无条件进行优化设计，直至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rFonts w:hint="eastAsia"/>
                <w:szCs w:val="21"/>
                <w:highlight w:val="none"/>
              </w:rPr>
              <w:t>2</w:t>
            </w:r>
          </w:p>
        </w:tc>
        <w:tc>
          <w:tcPr>
            <w:tcW w:w="8582" w:type="dxa"/>
            <w:gridSpan w:val="3"/>
            <w:vAlign w:val="center"/>
          </w:tcPr>
          <w:p>
            <w:pPr>
              <w:spacing w:line="380" w:lineRule="exact"/>
              <w:rPr>
                <w:highlight w:val="none"/>
              </w:rPr>
            </w:pPr>
            <w:r>
              <w:rPr>
                <w:rFonts w:hint="eastAsia"/>
                <w:highlight w:val="none"/>
              </w:rPr>
              <w:t>（1）若因中标单位原因导致发生设计变更的，中标人出具的设计变更资料，并承</w:t>
            </w:r>
            <w:r>
              <w:rPr>
                <w:rFonts w:hint="eastAsia"/>
                <w:highlight w:val="none"/>
                <w:lang w:val="en-US" w:eastAsia="zh-CN"/>
              </w:rPr>
              <w:t>担</w:t>
            </w:r>
            <w:r>
              <w:rPr>
                <w:rFonts w:hint="eastAsia"/>
                <w:highlight w:val="none"/>
              </w:rPr>
              <w:t>该变更造成的损失。</w:t>
            </w:r>
          </w:p>
          <w:p>
            <w:pPr>
              <w:spacing w:line="380" w:lineRule="exact"/>
              <w:rPr>
                <w:highlight w:val="none"/>
              </w:rPr>
            </w:pPr>
            <w:r>
              <w:rPr>
                <w:rFonts w:hint="eastAsia"/>
                <w:highlight w:val="none"/>
              </w:rPr>
              <w:t>（2）若非中标单位原因导致发生设计变更的，中标</w:t>
            </w:r>
            <w:r>
              <w:rPr>
                <w:rFonts w:hint="eastAsia"/>
                <w:highlight w:val="none"/>
                <w:lang w:val="en-US" w:eastAsia="zh-CN"/>
              </w:rPr>
              <w:t>人</w:t>
            </w:r>
            <w:r>
              <w:rPr>
                <w:rFonts w:hint="eastAsia"/>
                <w:highlight w:val="none"/>
              </w:rPr>
              <w:t>出具的设计变更资料中必须包含变更工程的设计预算书，设计预算书的编审费由中标人</w:t>
            </w:r>
            <w:r>
              <w:rPr>
                <w:rFonts w:hint="eastAsia"/>
                <w:highlight w:val="none"/>
                <w:lang w:val="en-US" w:eastAsia="zh-CN"/>
              </w:rPr>
              <w:t>承</w:t>
            </w:r>
            <w:r>
              <w:rPr>
                <w:rFonts w:hint="eastAsia"/>
                <w:highlight w:val="none"/>
              </w:rPr>
              <w:t>担，潜在投标人应将该编审费用纳入投标报价中，结算时不予调</w:t>
            </w:r>
            <w:r>
              <w:rPr>
                <w:rFonts w:hint="eastAsia"/>
                <w:highlight w:val="none"/>
                <w:lang w:val="en-US" w:eastAsia="zh-CN"/>
              </w:rPr>
              <w:t>整</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rFonts w:hint="eastAsia"/>
                <w:szCs w:val="21"/>
                <w:highlight w:val="none"/>
              </w:rPr>
              <w:t>3</w:t>
            </w:r>
          </w:p>
        </w:tc>
        <w:tc>
          <w:tcPr>
            <w:tcW w:w="8582" w:type="dxa"/>
            <w:gridSpan w:val="3"/>
            <w:vAlign w:val="center"/>
          </w:tcPr>
          <w:p>
            <w:pPr>
              <w:spacing w:line="380" w:lineRule="exact"/>
              <w:rPr>
                <w:highlight w:val="none"/>
              </w:rPr>
            </w:pPr>
            <w:r>
              <w:rPr>
                <w:rFonts w:hint="eastAsia"/>
                <w:highlight w:val="none"/>
              </w:rPr>
              <w:t>投标人在中标后，必须接受招标人及有关部门提出的要求对设计方案或施工图进行优化和修改，设计优化和修改时间包含在设计工期内，设计优化和修改的工程费用包含在工程限额内。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rFonts w:hint="eastAsia"/>
                <w:szCs w:val="21"/>
                <w:highlight w:val="none"/>
              </w:rPr>
              <w:t>4</w:t>
            </w:r>
          </w:p>
        </w:tc>
        <w:tc>
          <w:tcPr>
            <w:tcW w:w="8582" w:type="dxa"/>
            <w:gridSpan w:val="3"/>
            <w:vAlign w:val="center"/>
          </w:tcPr>
          <w:p>
            <w:pPr>
              <w:spacing w:line="380" w:lineRule="exact"/>
              <w:rPr>
                <w:highlight w:val="none"/>
              </w:rPr>
            </w:pPr>
            <w:r>
              <w:rPr>
                <w:rFonts w:hint="eastAsia"/>
                <w:highlight w:val="none"/>
              </w:rPr>
              <w:t>中标人未经招标人许可，不得将中标成果用于其他任何项目的投标和设计，不得在国内外刊物、学术或技术交流会上发表该成果。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spacing w:line="440" w:lineRule="exact"/>
              <w:jc w:val="center"/>
              <w:rPr>
                <w:szCs w:val="21"/>
                <w:highlight w:val="none"/>
              </w:rPr>
            </w:pPr>
            <w:r>
              <w:rPr>
                <w:rFonts w:hint="eastAsia"/>
                <w:szCs w:val="21"/>
                <w:highlight w:val="none"/>
              </w:rPr>
              <w:t>5</w:t>
            </w:r>
          </w:p>
        </w:tc>
        <w:tc>
          <w:tcPr>
            <w:tcW w:w="8582" w:type="dxa"/>
            <w:gridSpan w:val="3"/>
            <w:vAlign w:val="center"/>
          </w:tcPr>
          <w:p>
            <w:pPr>
              <w:spacing w:line="380" w:lineRule="exact"/>
              <w:rPr>
                <w:highlight w:val="none"/>
              </w:rPr>
            </w:pPr>
            <w:r>
              <w:rPr>
                <w:rFonts w:hint="eastAsia"/>
                <w:highlight w:val="none"/>
              </w:rPr>
              <w:t>施工总承包单位负责购买安全生产责任险，该费用已考虑在投标报价中，招标人不作另行支付。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65" w:type="dxa"/>
            <w:vAlign w:val="center"/>
          </w:tcPr>
          <w:p>
            <w:pPr>
              <w:spacing w:line="440" w:lineRule="exact"/>
              <w:jc w:val="center"/>
              <w:rPr>
                <w:szCs w:val="21"/>
                <w:highlight w:val="none"/>
              </w:rPr>
            </w:pPr>
            <w:r>
              <w:rPr>
                <w:rFonts w:hint="eastAsia"/>
                <w:szCs w:val="21"/>
                <w:highlight w:val="none"/>
              </w:rPr>
              <w:t>6</w:t>
            </w:r>
          </w:p>
        </w:tc>
        <w:tc>
          <w:tcPr>
            <w:tcW w:w="8582" w:type="dxa"/>
            <w:gridSpan w:val="3"/>
            <w:vAlign w:val="center"/>
          </w:tcPr>
          <w:p>
            <w:pPr>
              <w:autoSpaceDE w:val="0"/>
              <w:autoSpaceDN w:val="0"/>
              <w:adjustRightInd w:val="0"/>
              <w:jc w:val="left"/>
              <w:rPr>
                <w:rFonts w:ascii="宋体" w:cs="宋体"/>
                <w:kern w:val="0"/>
                <w:szCs w:val="21"/>
                <w:highlight w:val="none"/>
              </w:rPr>
            </w:pPr>
            <w:r>
              <w:rPr>
                <w:rFonts w:hint="eastAsia" w:ascii="宋体" w:cs="宋体"/>
                <w:kern w:val="0"/>
                <w:szCs w:val="21"/>
                <w:highlight w:val="none"/>
              </w:rPr>
              <w:t>1、本项目交易服务费由中标人按广州交易集团有限公司（广州公共资源交易中心）的要求支付。</w:t>
            </w:r>
          </w:p>
          <w:p>
            <w:pPr>
              <w:spacing w:line="360" w:lineRule="auto"/>
              <w:rPr>
                <w:rFonts w:ascii="宋体" w:cs="宋体"/>
                <w:kern w:val="0"/>
                <w:szCs w:val="21"/>
                <w:highlight w:val="none"/>
              </w:rPr>
            </w:pPr>
            <w:r>
              <w:rPr>
                <w:rFonts w:hint="eastAsia" w:ascii="宋体" w:hAnsi="宋体" w:cs="宋体"/>
                <w:kern w:val="0"/>
                <w:szCs w:val="21"/>
                <w:highlight w:val="none"/>
              </w:rPr>
              <w:t>2、招标人及招标代理机构及投标人约定本工程的招标代理服务费由中标人支付，中标人在评标结果公示期满后，并于招标人发出《中标通知书》前，应向招标代理机构交纳招标代理服务费，招标代理服务费计算方式为：按照国家计委关于印发《招标代理服务收费管理暂行办法》的通知（计价格[2002]1980 号）工程招标代理服务收费标准（按差额定率累进法）计算，最终招标代理费结算价以《招标代理合同》结算方式结算。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65" w:type="dxa"/>
            <w:vAlign w:val="center"/>
          </w:tcPr>
          <w:p>
            <w:pPr>
              <w:spacing w:line="440" w:lineRule="exact"/>
              <w:jc w:val="center"/>
              <w:rPr>
                <w:szCs w:val="21"/>
                <w:highlight w:val="none"/>
              </w:rPr>
            </w:pPr>
            <w:r>
              <w:rPr>
                <w:rFonts w:hint="eastAsia"/>
                <w:szCs w:val="21"/>
                <w:highlight w:val="none"/>
              </w:rPr>
              <w:t>7</w:t>
            </w:r>
          </w:p>
        </w:tc>
        <w:tc>
          <w:tcPr>
            <w:tcW w:w="8582" w:type="dxa"/>
            <w:gridSpan w:val="3"/>
            <w:vAlign w:val="center"/>
          </w:tcPr>
          <w:p>
            <w:pPr>
              <w:autoSpaceDE w:val="0"/>
              <w:autoSpaceDN w:val="0"/>
              <w:adjustRightInd w:val="0"/>
              <w:jc w:val="left"/>
              <w:rPr>
                <w:rFonts w:ascii="宋体" w:cs="宋体"/>
                <w:kern w:val="0"/>
                <w:szCs w:val="21"/>
                <w:highlight w:val="none"/>
              </w:rPr>
            </w:pPr>
            <w:r>
              <w:rPr>
                <w:rFonts w:hint="eastAsia"/>
                <w:highlight w:val="none"/>
              </w:rPr>
              <w:t>投标保证金如联合体投标的，其投标保证金由牵头人或成员方递交。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7" w:type="dxa"/>
            <w:gridSpan w:val="4"/>
            <w:vAlign w:val="center"/>
          </w:tcPr>
          <w:p>
            <w:pPr>
              <w:spacing w:line="380" w:lineRule="exact"/>
              <w:jc w:val="center"/>
              <w:rPr>
                <w:highlight w:val="none"/>
              </w:rPr>
            </w:pPr>
            <w:r>
              <w:rPr>
                <w:rFonts w:hint="eastAsia"/>
                <w:highlight w:val="none"/>
              </w:rPr>
              <w:t>10.12 本项目选用条款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747" w:type="dxa"/>
            <w:gridSpan w:val="4"/>
            <w:vAlign w:val="center"/>
          </w:tcPr>
          <w:p>
            <w:pPr>
              <w:spacing w:line="380" w:lineRule="exact"/>
              <w:rPr>
                <w:highlight w:val="none"/>
              </w:rPr>
            </w:pPr>
            <w:r>
              <w:rPr>
                <w:rFonts w:hint="eastAsia"/>
                <w:highlight w:val="none"/>
              </w:rPr>
              <w:t>招标文件的选用项中，在条款前的“□”有“√”的为本项目选用条款，没有“√”的为本项目不选用条款。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747" w:type="dxa"/>
            <w:gridSpan w:val="4"/>
            <w:vAlign w:val="center"/>
          </w:tcPr>
          <w:p>
            <w:pPr>
              <w:spacing w:line="380" w:lineRule="exact"/>
              <w:rPr>
                <w:rFonts w:hint="eastAsia" w:ascii="宋体" w:hAnsi="宋体" w:cs="宋体"/>
                <w:szCs w:val="21"/>
                <w:highlight w:val="none"/>
              </w:rPr>
            </w:pPr>
            <w:r>
              <w:rPr>
                <w:rFonts w:hint="eastAsia" w:ascii="宋体" w:hAnsi="宋体" w:cs="宋体"/>
                <w:szCs w:val="21"/>
                <w:highlight w:val="none"/>
              </w:rPr>
              <w:t>10.13要求投标人在递交投标文件和投标文件电子版时，另外递交“投标文件网上公示内容电子版”（详见江建函〔2016〕516号），但不作为否决性条款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747" w:type="dxa"/>
            <w:gridSpan w:val="4"/>
            <w:vAlign w:val="center"/>
          </w:tcPr>
          <w:p>
            <w:pPr>
              <w:spacing w:line="380" w:lineRule="exact"/>
              <w:rPr>
                <w:rFonts w:hint="eastAsia" w:ascii="宋体" w:hAnsi="宋体" w:cs="宋体"/>
                <w:szCs w:val="21"/>
                <w:highlight w:val="none"/>
              </w:rPr>
            </w:pPr>
            <w:bookmarkStart w:id="167" w:name="_Toc29134"/>
            <w:bookmarkStart w:id="168" w:name="_Toc1624"/>
            <w:bookmarkStart w:id="169" w:name="_Toc16119"/>
            <w:r>
              <w:rPr>
                <w:rFonts w:hint="eastAsia" w:ascii="宋体" w:hAnsi="宋体" w:cs="宋体"/>
                <w:szCs w:val="21"/>
                <w:highlight w:val="none"/>
              </w:rPr>
              <w:t>10.14</w:t>
            </w:r>
            <w:r>
              <w:rPr>
                <w:rFonts w:hint="eastAsia" w:ascii="宋体" w:hAnsi="宋体" w:cs="宋体"/>
                <w:szCs w:val="21"/>
                <w:highlight w:val="none"/>
                <w:lang w:val="en-US" w:eastAsia="zh-CN"/>
              </w:rPr>
              <w:t xml:space="preserve"> </w:t>
            </w:r>
            <w:r>
              <w:rPr>
                <w:rFonts w:hint="eastAsia" w:ascii="宋体" w:hAnsi="宋体" w:cs="宋体"/>
                <w:szCs w:val="21"/>
                <w:highlight w:val="none"/>
              </w:rPr>
              <w:t>承包方须在江门市缴纳本项目的税收。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747" w:type="dxa"/>
            <w:gridSpan w:val="4"/>
            <w:vAlign w:val="center"/>
          </w:tcPr>
          <w:p>
            <w:pPr>
              <w:spacing w:line="380" w:lineRule="exact"/>
              <w:jc w:val="center"/>
              <w:rPr>
                <w:rFonts w:hint="eastAsia" w:ascii="宋体" w:hAnsi="宋体" w:cs="宋体"/>
                <w:szCs w:val="21"/>
                <w:highlight w:val="none"/>
              </w:rPr>
            </w:pPr>
            <w:r>
              <w:rPr>
                <w:rFonts w:hint="eastAsia"/>
                <w:sz w:val="21"/>
                <w:highlight w:val="none"/>
                <w:lang w:val="en-US" w:eastAsia="zh-CN"/>
              </w:rPr>
              <w:t>10.15</w:t>
            </w:r>
            <w:r>
              <w:rPr>
                <w:sz w:val="21"/>
                <w:highlight w:val="none"/>
              </w:rPr>
              <w:t>工程预算的编制要求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747" w:type="dxa"/>
            <w:gridSpan w:val="4"/>
            <w:vAlign w:val="center"/>
          </w:tcPr>
          <w:p>
            <w:pPr>
              <w:numPr>
                <w:ilvl w:val="0"/>
                <w:numId w:val="2"/>
              </w:numPr>
              <w:spacing w:line="360" w:lineRule="auto"/>
              <w:contextualSpacing/>
              <w:jc w:val="left"/>
              <w:rPr>
                <w:rFonts w:hint="eastAsia" w:ascii="宋体" w:hAnsi="宋体" w:cs="宋体"/>
                <w:szCs w:val="21"/>
                <w:highlight w:val="none"/>
              </w:rPr>
            </w:pPr>
            <w:r>
              <w:rPr>
                <w:rFonts w:hint="eastAsia" w:ascii="宋体" w:hAnsi="宋体" w:cs="宋体"/>
                <w:szCs w:val="21"/>
                <w:highlight w:val="none"/>
              </w:rPr>
              <w:t>预算编制由承包人（</w:t>
            </w:r>
            <w:r>
              <w:rPr>
                <w:rFonts w:hint="eastAsia" w:ascii="宋体" w:hAnsi="宋体" w:cs="宋体"/>
                <w:szCs w:val="21"/>
                <w:highlight w:val="none"/>
                <w:lang w:val="en-US" w:eastAsia="zh-CN"/>
              </w:rPr>
              <w:t>设计</w:t>
            </w:r>
            <w:r>
              <w:rPr>
                <w:rFonts w:hint="eastAsia" w:ascii="宋体" w:hAnsi="宋体" w:cs="宋体"/>
                <w:szCs w:val="21"/>
                <w:highlight w:val="none"/>
              </w:rPr>
              <w:t>方）按确定的施工图纸、资料和说明，及有关国家及行业标准、规范等进行编制。</w:t>
            </w:r>
          </w:p>
          <w:p>
            <w:pPr>
              <w:numPr>
                <w:ilvl w:val="0"/>
                <w:numId w:val="0"/>
              </w:numPr>
              <w:spacing w:line="360" w:lineRule="auto"/>
              <w:contextualSpacing/>
              <w:jc w:val="left"/>
              <w:rPr>
                <w:rFonts w:ascii="宋体" w:hAnsi="宋体" w:cs="宋体"/>
                <w:szCs w:val="21"/>
                <w:highlight w:val="none"/>
              </w:rPr>
            </w:pPr>
            <w:r>
              <w:rPr>
                <w:rFonts w:hint="eastAsia" w:ascii="宋体" w:hAnsi="宋体" w:cs="宋体"/>
                <w:szCs w:val="21"/>
                <w:highlight w:val="none"/>
              </w:rPr>
              <w:t>2.中标价作为签订设计施工总承包合同的暂定价，施工图预算价不得超过建安费中标价，且结算价也不得超过建安费中标价，施工图预算审定后的合同工程量清单各项综合单价＝</w:t>
            </w:r>
            <w:r>
              <w:rPr>
                <w:rFonts w:hint="eastAsia"/>
                <w:szCs w:val="21"/>
                <w:highlight w:val="none"/>
                <w:lang w:val="en-US" w:eastAsia="zh-CN"/>
              </w:rPr>
              <w:t>按《关于执行〈江门市政府投资管理办法〉有关问题的通知》有关规定执行审核</w:t>
            </w:r>
            <w:r>
              <w:rPr>
                <w:rFonts w:hint="eastAsia" w:ascii="宋体" w:hAnsi="宋体" w:cs="宋体"/>
                <w:szCs w:val="21"/>
                <w:highlight w:val="none"/>
              </w:rPr>
              <w:t>的工程预算书中的各项综合单价×（1－中标下浮率）</w:t>
            </w:r>
            <w:r>
              <w:rPr>
                <w:rFonts w:hint="eastAsia" w:cs="宋体"/>
                <w:szCs w:val="21"/>
                <w:highlight w:val="none"/>
              </w:rPr>
              <w:t>。</w:t>
            </w:r>
          </w:p>
          <w:p>
            <w:pPr>
              <w:spacing w:line="360" w:lineRule="auto"/>
              <w:contextualSpacing/>
              <w:jc w:val="left"/>
              <w:rPr>
                <w:rFonts w:ascii="宋体" w:hAnsi="宋体" w:cs="宋体"/>
                <w:szCs w:val="21"/>
                <w:highlight w:val="none"/>
              </w:rPr>
            </w:pPr>
            <w:r>
              <w:rPr>
                <w:rFonts w:hint="eastAsia" w:ascii="宋体" w:hAnsi="宋体" w:cs="宋体"/>
                <w:szCs w:val="21"/>
                <w:highlight w:val="none"/>
              </w:rPr>
              <w:t>3.预算编制按照《建设工程工程量清单计价规范》（GB50500-2013）、《广东省建设工程计价依据 2018》等确定，定额套用广东省最新的系列定额以及相应配套的取费文件，取费规定中有上下限的，按下限计算。</w:t>
            </w:r>
          </w:p>
          <w:p>
            <w:pPr>
              <w:spacing w:line="360" w:lineRule="auto"/>
              <w:contextualSpacing/>
              <w:jc w:val="left"/>
              <w:rPr>
                <w:rFonts w:ascii="宋体" w:hAnsi="宋体" w:cs="宋体"/>
                <w:szCs w:val="21"/>
                <w:highlight w:val="none"/>
              </w:rPr>
            </w:pPr>
            <w:r>
              <w:rPr>
                <w:rFonts w:hint="eastAsia" w:ascii="宋体" w:hAnsi="宋体" w:cs="宋体"/>
                <w:szCs w:val="21"/>
                <w:highlight w:val="none"/>
              </w:rPr>
              <w:t>4.人工、材、机械价格按江门市建设工程造价和房地产监测中心发布的《江门工程造价信息》开标当月信息价（其中材、机械价格按照恩平市当月信息价，恩平没有的按照江门市执行），如当月信息价未出，采用最近一期信息价。当江门信息价缺项时，由承包人（</w:t>
            </w:r>
            <w:r>
              <w:rPr>
                <w:rFonts w:hint="eastAsia" w:ascii="宋体" w:hAnsi="宋体" w:cs="宋体"/>
                <w:szCs w:val="21"/>
                <w:highlight w:val="none"/>
                <w:lang w:val="en-US" w:eastAsia="zh-CN"/>
              </w:rPr>
              <w:t>设计</w:t>
            </w:r>
            <w:r>
              <w:rPr>
                <w:rFonts w:hint="eastAsia" w:ascii="宋体" w:hAnsi="宋体" w:cs="宋体"/>
                <w:szCs w:val="21"/>
                <w:highlight w:val="none"/>
              </w:rPr>
              <w:t>方）采取询价或市场调查等方式来确定信息价，报发、承包双方和监理方三方共同确认。</w:t>
            </w:r>
          </w:p>
          <w:p>
            <w:pPr>
              <w:spacing w:line="360" w:lineRule="auto"/>
              <w:contextualSpacing/>
              <w:jc w:val="left"/>
              <w:rPr>
                <w:rFonts w:ascii="宋体" w:hAnsi="宋体" w:cs="宋体"/>
                <w:szCs w:val="21"/>
                <w:highlight w:val="none"/>
              </w:rPr>
            </w:pPr>
            <w:r>
              <w:rPr>
                <w:rFonts w:hint="eastAsia" w:ascii="宋体" w:hAnsi="宋体" w:cs="宋体"/>
                <w:szCs w:val="21"/>
                <w:highlight w:val="none"/>
              </w:rPr>
              <w:t>5.承包人（</w:t>
            </w:r>
            <w:r>
              <w:rPr>
                <w:rFonts w:hint="eastAsia" w:ascii="宋体" w:hAnsi="宋体" w:cs="宋体"/>
                <w:szCs w:val="21"/>
                <w:highlight w:val="none"/>
                <w:lang w:val="en-US" w:eastAsia="zh-CN"/>
              </w:rPr>
              <w:t>设计</w:t>
            </w:r>
            <w:r>
              <w:rPr>
                <w:rFonts w:hint="eastAsia" w:ascii="宋体" w:hAnsi="宋体" w:cs="宋体"/>
                <w:szCs w:val="21"/>
                <w:highlight w:val="none"/>
              </w:rPr>
              <w:t>方）于设计施工图通过发包人审定后10日历天内，完成施工图预算的编制，报监理单位和发包人审核，发包人将经审核通过的预算成果转给承包人确认后（承包人需在收到预算成果之日起7日内回复，逾期未作回复的，视为同意），</w:t>
            </w:r>
            <w:r>
              <w:rPr>
                <w:rFonts w:hint="eastAsia"/>
                <w:szCs w:val="21"/>
                <w:highlight w:val="none"/>
                <w:lang w:val="en-US" w:eastAsia="zh-CN"/>
              </w:rPr>
              <w:t>按《关于执行〈江门市政府投资管理办法〉有关问题的通知》有关规定执行的审核</w:t>
            </w:r>
            <w:r>
              <w:rPr>
                <w:rFonts w:hint="eastAsia" w:ascii="宋体" w:hAnsi="宋体" w:cs="宋体"/>
                <w:szCs w:val="21"/>
                <w:highlight w:val="none"/>
              </w:rPr>
              <w:t>，</w:t>
            </w:r>
            <w:r>
              <w:rPr>
                <w:rFonts w:hint="eastAsia"/>
                <w:szCs w:val="21"/>
                <w:highlight w:val="none"/>
                <w:lang w:val="en-US" w:eastAsia="zh-CN"/>
              </w:rPr>
              <w:t>按《关于执行〈江门市政府投资管理办法〉有关问题的通知》有关规定执行的审核</w:t>
            </w:r>
            <w:r>
              <w:rPr>
                <w:rFonts w:hint="eastAsia" w:ascii="宋体" w:hAnsi="宋体" w:cs="宋体"/>
                <w:szCs w:val="21"/>
                <w:highlight w:val="none"/>
              </w:rPr>
              <w:t>后的预算作为工程进度款拨付及结算的依据。（进度款的支付详见专用合同条款的14.3.2.2款）</w:t>
            </w:r>
          </w:p>
          <w:p>
            <w:pPr>
              <w:spacing w:line="360" w:lineRule="auto"/>
              <w:contextualSpacing/>
              <w:jc w:val="left"/>
              <w:rPr>
                <w:rFonts w:ascii="宋体" w:hAnsi="宋体" w:cs="宋体"/>
                <w:szCs w:val="21"/>
                <w:highlight w:val="none"/>
              </w:rPr>
            </w:pPr>
            <w:r>
              <w:rPr>
                <w:rFonts w:hint="eastAsia" w:ascii="宋体" w:hAnsi="宋体" w:cs="宋体"/>
                <w:szCs w:val="21"/>
                <w:highlight w:val="none"/>
              </w:rPr>
              <w:t>6.编制预算时，在项目清单内主材取价必须列明主材的品牌、规格及质量等级等内容，主材的品牌、规格及质量按招标文件要求或由发承双方确认。</w:t>
            </w:r>
          </w:p>
          <w:p>
            <w:pPr>
              <w:spacing w:line="360" w:lineRule="auto"/>
              <w:contextualSpacing/>
              <w:jc w:val="left"/>
              <w:rPr>
                <w:rFonts w:ascii="宋体" w:hAnsi="宋体" w:cs="宋体"/>
                <w:szCs w:val="21"/>
                <w:highlight w:val="none"/>
              </w:rPr>
            </w:pPr>
            <w:r>
              <w:rPr>
                <w:rFonts w:hint="eastAsia" w:ascii="宋体" w:hAnsi="宋体" w:cs="宋体"/>
                <w:szCs w:val="21"/>
                <w:highlight w:val="none"/>
              </w:rPr>
              <w:t>7.本项目在预算与结算的计价过程中不考虑赶工措施费，其费用由承包人自行考虑，承包人不得因工期问题向发包人要求补偿或索赔。</w:t>
            </w:r>
          </w:p>
          <w:p>
            <w:pPr>
              <w:spacing w:line="360" w:lineRule="auto"/>
              <w:contextualSpacing/>
              <w:jc w:val="left"/>
              <w:rPr>
                <w:rFonts w:ascii="宋体" w:hAnsi="宋体" w:cs="宋体"/>
                <w:szCs w:val="21"/>
                <w:highlight w:val="none"/>
              </w:rPr>
            </w:pPr>
            <w:r>
              <w:rPr>
                <w:rFonts w:hint="eastAsia" w:ascii="宋体" w:hAnsi="宋体" w:cs="宋体"/>
                <w:szCs w:val="21"/>
                <w:highlight w:val="none"/>
              </w:rPr>
              <w:t>8.施工图设计的优化约定：</w:t>
            </w:r>
          </w:p>
          <w:p>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①设计人必须按照设计规范要求，结合工程现状实际，进行多方案比选和优化，严格按照建安费</w:t>
            </w:r>
            <w:r>
              <w:rPr>
                <w:rFonts w:hint="eastAsia" w:ascii="宋体" w:hAnsi="宋体" w:cs="宋体"/>
                <w:szCs w:val="21"/>
                <w:highlight w:val="none"/>
                <w:lang w:eastAsia="zh-CN"/>
              </w:rPr>
              <w:t>最高限价</w:t>
            </w:r>
            <w:r>
              <w:rPr>
                <w:rFonts w:hint="eastAsia" w:ascii="宋体" w:hAnsi="宋体" w:cs="宋体"/>
                <w:szCs w:val="21"/>
                <w:highlight w:val="none"/>
              </w:rPr>
              <w:t>进行限额设计，否则应无条件负责优化设计，直至达到符合设计限额的控制范围和发包人的要求为止。若通过优化设计后不能达到投资控制目标的，或因设计人原因导致设计不详及遗漏的，除无条件完善设计及按完善后的设计施工外，若造成工程投资增加设计的工作量和施工的工程量，发包人有权不予支付增加的相关费用。</w:t>
            </w:r>
          </w:p>
          <w:p>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②设计人交付设计文件后，按规定参加有关设计审查，并根据审查结论负责优化设计工作。承包人的设计必须满足发包人的使用要求，否则应无条件负责优化设计和改善。如承包人不按发包人意见进行优化施工图的，不得开工建设，如施工单位擅自开工导致的所有责任由施工单位承担。</w:t>
            </w:r>
          </w:p>
          <w:p>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③设计人按合同规定时限交付设计文件之日起项目开始施工，负责向发包人及施工单位进行技术交底、处理有关设计问题和参加竣工验收，不再收取咨询服务费。</w:t>
            </w:r>
          </w:p>
          <w:p>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④设计人在优化设计编制的相关费用包含在本工程设计费用中，发包人不再另行支付。</w:t>
            </w:r>
          </w:p>
          <w:p>
            <w:pPr>
              <w:spacing w:line="360" w:lineRule="auto"/>
              <w:ind w:firstLine="420" w:firstLineChars="200"/>
              <w:contextualSpacing/>
              <w:jc w:val="left"/>
              <w:rPr>
                <w:rFonts w:hint="eastAsia" w:ascii="宋体" w:hAnsi="宋体" w:eastAsia="宋体" w:cs="宋体"/>
                <w:szCs w:val="21"/>
                <w:highlight w:val="none"/>
                <w:lang w:eastAsia="zh-CN"/>
              </w:rPr>
            </w:pPr>
            <w:r>
              <w:rPr>
                <w:rFonts w:hint="eastAsia" w:ascii="宋体" w:hAnsi="宋体" w:cs="宋体"/>
                <w:szCs w:val="21"/>
                <w:highlight w:val="none"/>
              </w:rPr>
              <w:t>⑤本项目的施工图</w:t>
            </w:r>
            <w:r>
              <w:rPr>
                <w:rFonts w:hint="eastAsia" w:ascii="宋体" w:hAnsi="宋体" w:cs="宋体"/>
                <w:szCs w:val="21"/>
                <w:highlight w:val="none"/>
                <w:lang w:eastAsia="zh-CN"/>
              </w:rPr>
              <w:t>（</w:t>
            </w:r>
            <w:r>
              <w:rPr>
                <w:rFonts w:hint="eastAsia" w:ascii="宋体" w:hAnsi="宋体" w:cs="宋体"/>
                <w:szCs w:val="21"/>
                <w:highlight w:val="none"/>
                <w:lang w:val="en-US" w:eastAsia="zh-CN"/>
              </w:rPr>
              <w:t>含变更</w:t>
            </w:r>
            <w:r>
              <w:rPr>
                <w:rFonts w:hint="eastAsia" w:ascii="宋体" w:hAnsi="宋体" w:cs="宋体"/>
                <w:szCs w:val="21"/>
                <w:highlight w:val="none"/>
                <w:lang w:eastAsia="zh-CN"/>
              </w:rPr>
              <w:t>）</w:t>
            </w:r>
            <w:r>
              <w:rPr>
                <w:rFonts w:hint="eastAsia" w:ascii="宋体" w:hAnsi="宋体" w:cs="宋体"/>
                <w:szCs w:val="21"/>
                <w:highlight w:val="none"/>
              </w:rPr>
              <w:t>预</w:t>
            </w:r>
            <w:r>
              <w:rPr>
                <w:rFonts w:hint="eastAsia" w:ascii="宋体" w:hAnsi="宋体" w:cs="宋体"/>
                <w:szCs w:val="21"/>
                <w:highlight w:val="none"/>
                <w:lang w:val="en-US" w:eastAsia="zh-CN"/>
              </w:rPr>
              <w:t>结</w:t>
            </w:r>
            <w:r>
              <w:rPr>
                <w:rFonts w:hint="eastAsia" w:ascii="宋体" w:hAnsi="宋体" w:cs="宋体"/>
                <w:szCs w:val="21"/>
                <w:highlight w:val="none"/>
              </w:rPr>
              <w:t>算费由承包人（</w:t>
            </w:r>
            <w:r>
              <w:rPr>
                <w:rFonts w:hint="eastAsia" w:ascii="宋体" w:hAnsi="宋体" w:cs="宋体"/>
                <w:szCs w:val="21"/>
                <w:highlight w:val="none"/>
                <w:lang w:val="en-US" w:eastAsia="zh-CN"/>
              </w:rPr>
              <w:t>设计</w:t>
            </w:r>
            <w:r>
              <w:rPr>
                <w:rFonts w:hint="eastAsia" w:ascii="宋体" w:hAnsi="宋体" w:cs="宋体"/>
                <w:szCs w:val="21"/>
                <w:highlight w:val="none"/>
              </w:rPr>
              <w:t>方）负责</w:t>
            </w:r>
            <w:r>
              <w:rPr>
                <w:rFonts w:hint="eastAsia" w:ascii="宋体" w:hAnsi="宋体" w:cs="宋体"/>
                <w:szCs w:val="21"/>
                <w:highlight w:val="none"/>
                <w:lang w:eastAsia="zh-CN"/>
              </w:rPr>
              <w:t>，</w:t>
            </w:r>
            <w:r>
              <w:rPr>
                <w:rFonts w:hint="eastAsia" w:ascii="宋体" w:hAnsi="宋体" w:cs="宋体"/>
                <w:szCs w:val="21"/>
                <w:highlight w:val="none"/>
              </w:rPr>
              <w:t>由发包人将结</w:t>
            </w:r>
            <w:r>
              <w:rPr>
                <w:rFonts w:hint="eastAsia" w:ascii="宋体" w:hAnsi="宋体" w:cs="宋体"/>
                <w:szCs w:val="21"/>
                <w:highlight w:val="none"/>
                <w:u w:val="none"/>
              </w:rPr>
              <w:t>算文件</w:t>
            </w:r>
            <w:r>
              <w:rPr>
                <w:rFonts w:hint="eastAsia" w:ascii="宋体" w:hAnsi="宋体" w:cs="宋体"/>
                <w:szCs w:val="21"/>
                <w:highlight w:val="none"/>
                <w:u w:val="none"/>
                <w:lang w:val="en-US" w:eastAsia="zh-CN"/>
              </w:rPr>
              <w:t>委托咨询单位审核，发包人确认后，按《关于执行〈江门市政府投资管理办法〉有关问题的通知》规定报有关部门审核执行</w:t>
            </w:r>
            <w:r>
              <w:rPr>
                <w:rFonts w:hint="eastAsia" w:ascii="宋体" w:hAnsi="宋体" w:cs="宋体"/>
                <w:szCs w:val="21"/>
                <w:highlight w:val="none"/>
                <w:u w:val="none"/>
              </w:rPr>
              <w:t>。</w:t>
            </w:r>
          </w:p>
          <w:p>
            <w:pPr>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施工图设计每次优化时间不超过7个日历天，优化设计的时间包含在设计周期内。</w:t>
            </w:r>
          </w:p>
          <w:p>
            <w:pPr>
              <w:spacing w:line="360" w:lineRule="auto"/>
              <w:contextualSpacing/>
              <w:jc w:val="left"/>
              <w:rPr>
                <w:rFonts w:hint="eastAsia" w:ascii="宋体" w:hAnsi="宋体" w:cs="宋体"/>
                <w:szCs w:val="21"/>
                <w:highlight w:val="none"/>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经承包人确认后的施工图预算审核成果作为结算的基础，承包人应按建设单位确认的施工图设计完成全部工程量。采用经审定批准的施工图纸及其预算方式形成的总价合同，除按照工程变更规定的工程量增减外，总价合同各项目的工程量应为承包人用于结算的最终工程量。即经审定的施工图预算非发包人原因造成的变更，不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747" w:type="dxa"/>
            <w:gridSpan w:val="4"/>
            <w:vAlign w:val="center"/>
          </w:tcPr>
          <w:p>
            <w:pPr>
              <w:spacing w:line="380" w:lineRule="exact"/>
              <w:jc w:val="center"/>
              <w:rPr>
                <w:rFonts w:hint="eastAsia" w:ascii="宋体" w:hAnsi="宋体" w:cs="宋体"/>
                <w:szCs w:val="21"/>
                <w:highlight w:val="none"/>
              </w:rPr>
            </w:pPr>
            <w:r>
              <w:rPr>
                <w:sz w:val="21"/>
                <w:highlight w:val="none"/>
              </w:rPr>
              <w:t>8.1</w:t>
            </w:r>
            <w:r>
              <w:rPr>
                <w:rFonts w:hint="eastAsia"/>
                <w:sz w:val="21"/>
                <w:highlight w:val="none"/>
                <w:lang w:val="en-US" w:eastAsia="zh-CN"/>
              </w:rPr>
              <w:t>6</w:t>
            </w:r>
            <w:r>
              <w:rPr>
                <w:sz w:val="21"/>
                <w:highlight w:val="none"/>
              </w:rPr>
              <w:t xml:space="preserve"> 投标报价中还应考虑的因素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747" w:type="dxa"/>
            <w:gridSpan w:val="4"/>
            <w:vAlign w:val="center"/>
          </w:tcPr>
          <w:p>
            <w:pPr>
              <w:pStyle w:val="21"/>
              <w:numPr>
                <w:ilvl w:val="0"/>
                <w:numId w:val="3"/>
              </w:numPr>
              <w:tabs>
                <w:tab w:val="left" w:pos="268"/>
              </w:tabs>
              <w:spacing w:before="0" w:after="0" w:line="364" w:lineRule="auto"/>
              <w:ind w:left="56" w:right="45" w:firstLine="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项目土方（含弃土和外购土）及集中拌合水泥碎石混合料运距所产生的费用由承包人在投标报价中综合考虑，发包人不接受该部分内容所产生的任何费用索赔。土方（含弃土和外购土）及集中拌合水泥碎石混合料运距按 5km 结算。</w:t>
            </w:r>
          </w:p>
          <w:p>
            <w:pPr>
              <w:pStyle w:val="21"/>
              <w:numPr>
                <w:ilvl w:val="0"/>
                <w:numId w:val="3"/>
              </w:numPr>
              <w:tabs>
                <w:tab w:val="left" w:pos="268"/>
              </w:tabs>
              <w:spacing w:before="0" w:after="0" w:line="367" w:lineRule="auto"/>
              <w:ind w:left="56" w:right="-15"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本工程承包人满足水土保持要求。为防止土方开挖及外运时影响附近环境整洁，承包人需设置洗车槽、截水排水沟、沉砂池等，保证道路通畅、排水通畅、环境整洁。</w:t>
            </w:r>
          </w:p>
          <w:p>
            <w:pPr>
              <w:pStyle w:val="21"/>
              <w:numPr>
                <w:ilvl w:val="0"/>
                <w:numId w:val="3"/>
              </w:numPr>
              <w:tabs>
                <w:tab w:val="left" w:pos="268"/>
              </w:tabs>
              <w:spacing w:before="0" w:after="0" w:line="364" w:lineRule="auto"/>
              <w:ind w:left="56" w:right="45" w:firstLine="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工程施工要做好围蔽工作，施工现场必须设置醒目的警示标志，采取警戒措施并派专人负责，承包人在施工过程中要注意安全，若施工期间对公共通道等造成污染的必须及时清理干净，以及施工车辆进出道路时注意路人安全，避免造成人身安全的影响，如发生安全事故，属承包人责任，由承包人负责。</w:t>
            </w:r>
          </w:p>
          <w:p>
            <w:pPr>
              <w:pStyle w:val="21"/>
              <w:numPr>
                <w:ilvl w:val="0"/>
                <w:numId w:val="3"/>
              </w:numPr>
              <w:tabs>
                <w:tab w:val="left" w:pos="268"/>
              </w:tabs>
              <w:spacing w:before="0" w:after="0" w:line="364" w:lineRule="auto"/>
              <w:ind w:left="56" w:right="-15"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本工程在施工过程中，若承包人在施工时需要实施临时交通管理措施或封路措施的，应提交交通疏导方案及临时的施工封路措施，需报交警部门同意后，并在交警部门指导下，设置必要的告示牌及导向标志。</w:t>
            </w:r>
          </w:p>
          <w:p>
            <w:pPr>
              <w:spacing w:line="380" w:lineRule="exact"/>
              <w:rPr>
                <w:sz w:val="21"/>
                <w:highlight w:val="none"/>
              </w:rPr>
            </w:pPr>
            <w:r>
              <w:rPr>
                <w:sz w:val="21"/>
                <w:highlight w:val="none"/>
              </w:rPr>
              <w:t>合同部分要求在投标报价中考虑的因素详见合同相关条款。</w:t>
            </w:r>
          </w:p>
        </w:tc>
      </w:tr>
    </w:tbl>
    <w:p>
      <w:pPr>
        <w:pStyle w:val="3"/>
        <w:spacing w:before="0" w:after="0" w:line="240" w:lineRule="auto"/>
        <w:rPr>
          <w:highlight w:val="none"/>
        </w:rPr>
      </w:pPr>
    </w:p>
    <w:p>
      <w:pPr>
        <w:widowControl/>
        <w:jc w:val="left"/>
        <w:rPr>
          <w:rFonts w:ascii="Arial" w:hAnsi="Arial" w:eastAsia="黑体"/>
          <w:b/>
          <w:bCs/>
          <w:sz w:val="32"/>
          <w:szCs w:val="32"/>
          <w:highlight w:val="none"/>
        </w:rPr>
      </w:pPr>
      <w:r>
        <w:rPr>
          <w:highlight w:val="none"/>
        </w:rPr>
        <w:br w:type="page"/>
      </w:r>
    </w:p>
    <w:p>
      <w:pPr>
        <w:pStyle w:val="3"/>
        <w:spacing w:before="0" w:after="0" w:line="240" w:lineRule="auto"/>
        <w:jc w:val="center"/>
        <w:rPr>
          <w:highlight w:val="none"/>
        </w:rPr>
      </w:pPr>
      <w:r>
        <w:rPr>
          <w:rFonts w:hint="eastAsia"/>
          <w:highlight w:val="none"/>
        </w:rPr>
        <w:t>投标人须知前附表</w:t>
      </w:r>
      <w:bookmarkEnd w:id="138"/>
      <w:bookmarkEnd w:id="139"/>
      <w:bookmarkEnd w:id="140"/>
      <w:bookmarkEnd w:id="141"/>
      <w:bookmarkEnd w:id="142"/>
      <w:bookmarkEnd w:id="143"/>
      <w:bookmarkEnd w:id="144"/>
      <w:bookmarkEnd w:id="145"/>
      <w:bookmarkEnd w:id="146"/>
      <w:bookmarkEnd w:id="147"/>
      <w:bookmarkEnd w:id="148"/>
      <w:bookmarkEnd w:id="167"/>
      <w:bookmarkEnd w:id="168"/>
      <w:bookmarkEnd w:id="169"/>
      <w:bookmarkStart w:id="170" w:name="_Toc144974497"/>
      <w:bookmarkStart w:id="171" w:name="_Toc152045529"/>
      <w:bookmarkStart w:id="172" w:name="_Toc18682"/>
      <w:bookmarkStart w:id="173" w:name="_Toc4557"/>
      <w:bookmarkStart w:id="174" w:name="_Toc24377"/>
      <w:bookmarkStart w:id="175" w:name="_Toc487562620"/>
      <w:bookmarkStart w:id="176" w:name="_Toc247513952"/>
      <w:bookmarkStart w:id="177" w:name="_Toc9359"/>
      <w:bookmarkStart w:id="178" w:name="_Toc13261"/>
      <w:bookmarkStart w:id="179" w:name="_Toc13717"/>
      <w:bookmarkStart w:id="180" w:name="_Toc7434"/>
      <w:bookmarkStart w:id="181" w:name="_Toc152042305"/>
      <w:bookmarkStart w:id="182" w:name="_Toc247527553"/>
    </w:p>
    <w:p>
      <w:pPr>
        <w:pStyle w:val="3"/>
        <w:spacing w:before="0" w:after="0" w:line="240" w:lineRule="auto"/>
        <w:rPr>
          <w:highlight w:val="none"/>
        </w:rPr>
      </w:pPr>
      <w:r>
        <w:rPr>
          <w:rFonts w:hint="eastAsia"/>
          <w:highlight w:val="none"/>
        </w:rPr>
        <w:t>1. 总则</w:t>
      </w:r>
      <w:bookmarkEnd w:id="170"/>
      <w:bookmarkEnd w:id="171"/>
      <w:bookmarkEnd w:id="172"/>
      <w:bookmarkEnd w:id="173"/>
      <w:bookmarkEnd w:id="174"/>
      <w:bookmarkEnd w:id="175"/>
      <w:bookmarkEnd w:id="176"/>
      <w:bookmarkEnd w:id="177"/>
      <w:bookmarkEnd w:id="178"/>
      <w:bookmarkEnd w:id="179"/>
      <w:bookmarkEnd w:id="180"/>
      <w:bookmarkEnd w:id="181"/>
      <w:bookmarkEnd w:id="182"/>
    </w:p>
    <w:p>
      <w:pPr>
        <w:pStyle w:val="4"/>
        <w:rPr>
          <w:highlight w:val="none"/>
        </w:rPr>
      </w:pPr>
      <w:bookmarkStart w:id="183" w:name="_Toc144974498"/>
      <w:bookmarkStart w:id="184" w:name="_Toc23497"/>
      <w:bookmarkStart w:id="185" w:name="_Toc487202471"/>
      <w:bookmarkStart w:id="186" w:name="_Toc1211"/>
      <w:bookmarkStart w:id="187" w:name="_Toc26474"/>
      <w:bookmarkStart w:id="188" w:name="_Toc26889"/>
      <w:bookmarkStart w:id="189" w:name="_Toc469605913"/>
      <w:bookmarkStart w:id="190" w:name="_Toc487562621"/>
      <w:bookmarkStart w:id="191" w:name="_Toc17708"/>
      <w:bookmarkStart w:id="192" w:name="_Toc29661"/>
      <w:bookmarkStart w:id="193" w:name="_Toc15682"/>
      <w:bookmarkStart w:id="194" w:name="_Toc487131338"/>
      <w:bookmarkStart w:id="195" w:name="_Toc247513953"/>
      <w:bookmarkStart w:id="196" w:name="_Toc152042306"/>
      <w:bookmarkStart w:id="197" w:name="_Toc152045530"/>
      <w:bookmarkStart w:id="198" w:name="_Toc247527554"/>
      <w:r>
        <w:rPr>
          <w:rFonts w:hint="eastAsia" w:ascii="Times New Roman" w:hAnsi="Times New Roman"/>
          <w:highlight w:val="none"/>
        </w:rPr>
        <w:t>1.1</w:t>
      </w:r>
      <w:r>
        <w:rPr>
          <w:rFonts w:hint="eastAsia"/>
          <w:highlight w:val="none"/>
        </w:rPr>
        <w:t xml:space="preserve"> 项目概况</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spacing w:line="400" w:lineRule="exact"/>
        <w:ind w:firstLine="420" w:firstLineChars="200"/>
        <w:rPr>
          <w:highlight w:val="none"/>
        </w:rPr>
      </w:pPr>
      <w:r>
        <w:rPr>
          <w:rFonts w:hint="eastAsia"/>
          <w:highlight w:val="none"/>
        </w:rPr>
        <w:t>1.1.1根据《中华人民共和国招标投标法》等有关法律、法规和规章的规定，本招标项目已具备招标条件，现对该项目设计施工进行总承包招标。</w:t>
      </w:r>
    </w:p>
    <w:p>
      <w:pPr>
        <w:spacing w:line="400" w:lineRule="exact"/>
        <w:ind w:firstLine="420" w:firstLineChars="200"/>
        <w:rPr>
          <w:highlight w:val="none"/>
        </w:rPr>
      </w:pPr>
      <w:r>
        <w:rPr>
          <w:rFonts w:hint="eastAsia"/>
          <w:highlight w:val="none"/>
        </w:rPr>
        <w:t>1.1.2 招标人：见投标人须知前附表。</w:t>
      </w:r>
    </w:p>
    <w:p>
      <w:pPr>
        <w:spacing w:line="400" w:lineRule="exact"/>
        <w:ind w:firstLine="420" w:firstLineChars="200"/>
        <w:rPr>
          <w:highlight w:val="none"/>
        </w:rPr>
      </w:pPr>
      <w:r>
        <w:rPr>
          <w:rFonts w:hint="eastAsia"/>
          <w:highlight w:val="none"/>
        </w:rPr>
        <w:t>1.1.3 招标代理机构：见投标人须知前附表。</w:t>
      </w:r>
    </w:p>
    <w:p>
      <w:pPr>
        <w:spacing w:line="400" w:lineRule="exact"/>
        <w:ind w:firstLine="420" w:firstLineChars="200"/>
        <w:rPr>
          <w:highlight w:val="none"/>
        </w:rPr>
      </w:pPr>
      <w:r>
        <w:rPr>
          <w:rFonts w:hint="eastAsia"/>
          <w:highlight w:val="none"/>
        </w:rPr>
        <w:t>1.1.4 招标项目名称：见投标人须知前附表。</w:t>
      </w:r>
    </w:p>
    <w:p>
      <w:pPr>
        <w:spacing w:line="400" w:lineRule="exact"/>
        <w:ind w:firstLine="420" w:firstLineChars="200"/>
        <w:rPr>
          <w:highlight w:val="none"/>
        </w:rPr>
      </w:pPr>
      <w:r>
        <w:rPr>
          <w:rFonts w:hint="eastAsia"/>
          <w:highlight w:val="none"/>
        </w:rPr>
        <w:t>1.1.5 项目建设地点：见投标人须知前附表。</w:t>
      </w:r>
    </w:p>
    <w:p>
      <w:pPr>
        <w:pStyle w:val="4"/>
        <w:rPr>
          <w:highlight w:val="none"/>
        </w:rPr>
      </w:pPr>
      <w:bookmarkStart w:id="199" w:name="_Toc247513954"/>
      <w:bookmarkStart w:id="200" w:name="_Toc469605914"/>
      <w:bookmarkStart w:id="201" w:name="_Toc152042307"/>
      <w:bookmarkStart w:id="202" w:name="_Toc152045531"/>
      <w:bookmarkStart w:id="203" w:name="_Toc487562622"/>
      <w:bookmarkStart w:id="204" w:name="_Toc1522"/>
      <w:bookmarkStart w:id="205" w:name="_Toc487202472"/>
      <w:bookmarkStart w:id="206" w:name="_Toc29914"/>
      <w:bookmarkStart w:id="207" w:name="_Toc16052"/>
      <w:bookmarkStart w:id="208" w:name="_Toc22127"/>
      <w:bookmarkStart w:id="209" w:name="_Toc144974499"/>
      <w:bookmarkStart w:id="210" w:name="_Toc20337"/>
      <w:bookmarkStart w:id="211" w:name="_Toc487131339"/>
      <w:bookmarkStart w:id="212" w:name="_Toc247527555"/>
      <w:bookmarkStart w:id="213" w:name="_Toc7046"/>
      <w:bookmarkStart w:id="214" w:name="_Toc23108"/>
      <w:r>
        <w:rPr>
          <w:rFonts w:hint="eastAsia" w:ascii="Times New Roman" w:hAnsi="Times New Roman"/>
          <w:highlight w:val="none"/>
        </w:rPr>
        <w:t xml:space="preserve">1.2 </w:t>
      </w:r>
      <w:r>
        <w:rPr>
          <w:rFonts w:hint="eastAsia"/>
          <w:highlight w:val="none"/>
        </w:rPr>
        <w:t>项目的资金来源和落实情况</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400" w:lineRule="exact"/>
        <w:ind w:firstLine="420" w:firstLineChars="200"/>
        <w:rPr>
          <w:highlight w:val="none"/>
        </w:rPr>
      </w:pPr>
      <w:r>
        <w:rPr>
          <w:rFonts w:hint="eastAsia"/>
          <w:highlight w:val="none"/>
        </w:rPr>
        <w:t>1.2.1 资金来源及比例：见投标人须知前附表。</w:t>
      </w:r>
    </w:p>
    <w:p>
      <w:pPr>
        <w:spacing w:line="400" w:lineRule="exact"/>
        <w:ind w:firstLine="420" w:firstLineChars="200"/>
        <w:rPr>
          <w:highlight w:val="none"/>
        </w:rPr>
      </w:pPr>
      <w:r>
        <w:rPr>
          <w:rFonts w:hint="eastAsia"/>
          <w:highlight w:val="none"/>
        </w:rPr>
        <w:t>1.2.2 资金落实情况：见投标人须知前附表。</w:t>
      </w:r>
    </w:p>
    <w:p>
      <w:pPr>
        <w:pStyle w:val="4"/>
        <w:rPr>
          <w:highlight w:val="none"/>
        </w:rPr>
      </w:pPr>
      <w:bookmarkStart w:id="215" w:name="_Toc144974500"/>
      <w:bookmarkStart w:id="216" w:name="_Toc247513955"/>
      <w:bookmarkStart w:id="217" w:name="_Toc152045532"/>
      <w:bookmarkStart w:id="218" w:name="_Toc152042308"/>
      <w:bookmarkStart w:id="219" w:name="_Toc247527556"/>
      <w:bookmarkStart w:id="220" w:name="_Toc16853"/>
      <w:bookmarkStart w:id="221" w:name="_Toc12342"/>
      <w:bookmarkStart w:id="222" w:name="_Toc10464"/>
      <w:bookmarkStart w:id="223" w:name="_Toc8983"/>
      <w:bookmarkStart w:id="224" w:name="_Toc487562623"/>
      <w:bookmarkStart w:id="225" w:name="_Toc487131340"/>
      <w:bookmarkStart w:id="226" w:name="_Toc22962"/>
      <w:bookmarkStart w:id="227" w:name="_Toc4880"/>
      <w:bookmarkStart w:id="228" w:name="_Toc469605915"/>
      <w:bookmarkStart w:id="229" w:name="_Toc487202473"/>
      <w:bookmarkStart w:id="230" w:name="_Toc6280"/>
      <w:r>
        <w:rPr>
          <w:rFonts w:hint="eastAsia" w:ascii="Times New Roman" w:hAnsi="Times New Roman"/>
          <w:highlight w:val="none"/>
        </w:rPr>
        <w:t>1.3</w:t>
      </w:r>
      <w:r>
        <w:rPr>
          <w:rFonts w:hint="eastAsia"/>
          <w:highlight w:val="none"/>
        </w:rPr>
        <w:t xml:space="preserve"> 招标范围、计划工期和</w:t>
      </w:r>
      <w:bookmarkEnd w:id="215"/>
      <w:bookmarkEnd w:id="216"/>
      <w:bookmarkEnd w:id="217"/>
      <w:bookmarkEnd w:id="218"/>
      <w:bookmarkEnd w:id="219"/>
      <w:r>
        <w:rPr>
          <w:rFonts w:hint="eastAsia"/>
          <w:highlight w:val="none"/>
        </w:rPr>
        <w:t>质量标准</w:t>
      </w:r>
      <w:bookmarkEnd w:id="220"/>
      <w:bookmarkEnd w:id="221"/>
      <w:bookmarkEnd w:id="222"/>
      <w:bookmarkEnd w:id="223"/>
      <w:bookmarkEnd w:id="224"/>
      <w:bookmarkEnd w:id="225"/>
      <w:bookmarkEnd w:id="226"/>
      <w:bookmarkEnd w:id="227"/>
      <w:bookmarkEnd w:id="228"/>
      <w:bookmarkEnd w:id="229"/>
      <w:bookmarkEnd w:id="230"/>
    </w:p>
    <w:p>
      <w:pPr>
        <w:spacing w:line="400" w:lineRule="exact"/>
        <w:ind w:firstLine="420" w:firstLineChars="200"/>
        <w:rPr>
          <w:highlight w:val="none"/>
        </w:rPr>
      </w:pPr>
      <w:r>
        <w:rPr>
          <w:rFonts w:hint="eastAsia"/>
          <w:highlight w:val="none"/>
        </w:rPr>
        <w:t>1.3.1 招标范围：见投标人须知前附表。</w:t>
      </w:r>
    </w:p>
    <w:p>
      <w:pPr>
        <w:spacing w:line="400" w:lineRule="exact"/>
        <w:ind w:firstLine="420" w:firstLineChars="200"/>
        <w:rPr>
          <w:highlight w:val="none"/>
        </w:rPr>
      </w:pPr>
      <w:r>
        <w:rPr>
          <w:rFonts w:hint="eastAsia"/>
          <w:highlight w:val="none"/>
        </w:rPr>
        <w:t>1.3.2 计划工期：见投标人须知前附表。</w:t>
      </w:r>
    </w:p>
    <w:p>
      <w:pPr>
        <w:spacing w:line="400" w:lineRule="exact"/>
        <w:ind w:firstLine="420" w:firstLineChars="200"/>
        <w:rPr>
          <w:highlight w:val="none"/>
        </w:rPr>
      </w:pPr>
      <w:r>
        <w:rPr>
          <w:rFonts w:hint="eastAsia"/>
          <w:highlight w:val="none"/>
        </w:rPr>
        <w:t>1.3.3 质量标准：见投标人须知前附表。</w:t>
      </w:r>
    </w:p>
    <w:p>
      <w:pPr>
        <w:pStyle w:val="4"/>
        <w:rPr>
          <w:highlight w:val="none"/>
        </w:rPr>
      </w:pPr>
      <w:bookmarkStart w:id="231" w:name="_Toc2850"/>
      <w:bookmarkStart w:id="232" w:name="_Toc469605916"/>
      <w:bookmarkStart w:id="233" w:name="_Toc152045534"/>
      <w:bookmarkStart w:id="234" w:name="_Toc10682"/>
      <w:bookmarkStart w:id="235" w:name="_Toc8546"/>
      <w:bookmarkStart w:id="236" w:name="_Toc247527558"/>
      <w:bookmarkStart w:id="237" w:name="_Toc144974502"/>
      <w:bookmarkStart w:id="238" w:name="_Toc31574"/>
      <w:bookmarkStart w:id="239" w:name="_Toc30414"/>
      <w:bookmarkStart w:id="240" w:name="_Toc487131341"/>
      <w:bookmarkStart w:id="241" w:name="_Toc152042310"/>
      <w:bookmarkStart w:id="242" w:name="_Toc18904"/>
      <w:bookmarkStart w:id="243" w:name="_Toc487202474"/>
      <w:bookmarkStart w:id="244" w:name="_Toc15612"/>
      <w:bookmarkStart w:id="245" w:name="_Toc487562624"/>
      <w:bookmarkStart w:id="246" w:name="_Toc247513957"/>
      <w:r>
        <w:rPr>
          <w:rFonts w:hint="eastAsia" w:ascii="Times New Roman" w:hAnsi="Times New Roman"/>
          <w:highlight w:val="none"/>
        </w:rPr>
        <w:t>1.4</w:t>
      </w:r>
      <w:r>
        <w:rPr>
          <w:rFonts w:hint="eastAsia"/>
          <w:highlight w:val="none"/>
        </w:rPr>
        <w:t xml:space="preserve"> 投标人资格要求</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spacing w:line="400" w:lineRule="exact"/>
        <w:ind w:firstLine="420" w:firstLineChars="200"/>
        <w:rPr>
          <w:highlight w:val="none"/>
        </w:rPr>
      </w:pPr>
      <w:r>
        <w:rPr>
          <w:rFonts w:hint="eastAsia"/>
          <w:highlight w:val="none"/>
        </w:rPr>
        <w:t>1.4.1 投标人应具备承担本招标项目资质条件、能力和信誉。</w:t>
      </w:r>
    </w:p>
    <w:p>
      <w:pPr>
        <w:spacing w:line="400" w:lineRule="exact"/>
        <w:ind w:firstLine="315" w:firstLineChars="150"/>
        <w:rPr>
          <w:highlight w:val="none"/>
        </w:rPr>
      </w:pPr>
      <w:r>
        <w:rPr>
          <w:rFonts w:hint="eastAsia"/>
          <w:highlight w:val="none"/>
        </w:rPr>
        <w:t>（1）资质要求：见投标人须知前附表；</w:t>
      </w:r>
    </w:p>
    <w:p>
      <w:pPr>
        <w:spacing w:line="400" w:lineRule="exact"/>
        <w:ind w:firstLine="315" w:firstLineChars="150"/>
        <w:rPr>
          <w:highlight w:val="none"/>
        </w:rPr>
      </w:pPr>
      <w:r>
        <w:rPr>
          <w:rFonts w:hint="eastAsia"/>
          <w:highlight w:val="none"/>
        </w:rPr>
        <w:t>（2）财务要求：见投标人须知前附表；</w:t>
      </w:r>
    </w:p>
    <w:p>
      <w:pPr>
        <w:spacing w:line="400" w:lineRule="exact"/>
        <w:ind w:firstLine="315" w:firstLineChars="150"/>
        <w:rPr>
          <w:highlight w:val="none"/>
        </w:rPr>
      </w:pPr>
      <w:r>
        <w:rPr>
          <w:rFonts w:hint="eastAsia"/>
          <w:highlight w:val="none"/>
        </w:rPr>
        <w:t>（3）业绩要求：见投标人须知前附表；</w:t>
      </w:r>
    </w:p>
    <w:p>
      <w:pPr>
        <w:spacing w:line="400" w:lineRule="exact"/>
        <w:ind w:firstLine="315" w:firstLineChars="150"/>
        <w:rPr>
          <w:highlight w:val="none"/>
        </w:rPr>
      </w:pPr>
      <w:r>
        <w:rPr>
          <w:rFonts w:hint="eastAsia"/>
          <w:highlight w:val="none"/>
        </w:rPr>
        <w:t>（4）信誉要求：见投标人须知前附表；</w:t>
      </w:r>
    </w:p>
    <w:p>
      <w:pPr>
        <w:spacing w:line="400" w:lineRule="exact"/>
        <w:ind w:firstLine="315" w:firstLineChars="150"/>
        <w:rPr>
          <w:highlight w:val="none"/>
        </w:rPr>
      </w:pPr>
      <w:r>
        <w:rPr>
          <w:rFonts w:hint="eastAsia"/>
          <w:highlight w:val="none"/>
        </w:rPr>
        <w:t>（5）工程总承包项目经理的资格要求：具体要求见投标人须知前附表；</w:t>
      </w:r>
    </w:p>
    <w:p>
      <w:pPr>
        <w:spacing w:line="400" w:lineRule="exact"/>
        <w:ind w:firstLine="315" w:firstLineChars="150"/>
        <w:rPr>
          <w:highlight w:val="none"/>
        </w:rPr>
      </w:pPr>
      <w:r>
        <w:rPr>
          <w:rFonts w:hint="eastAsia"/>
          <w:highlight w:val="none"/>
        </w:rPr>
        <w:t>（6）设计负责人的资格要求：具体要求见投标人须知前附表；</w:t>
      </w:r>
    </w:p>
    <w:p>
      <w:pPr>
        <w:spacing w:line="400" w:lineRule="exact"/>
        <w:ind w:firstLine="315" w:firstLineChars="150"/>
        <w:rPr>
          <w:highlight w:val="none"/>
        </w:rPr>
      </w:pPr>
      <w:r>
        <w:rPr>
          <w:rFonts w:hint="eastAsia"/>
          <w:highlight w:val="none"/>
        </w:rPr>
        <w:t>（7）施工负责人的资格要求：具体要求见投标人须知前附表；</w:t>
      </w:r>
    </w:p>
    <w:p>
      <w:pPr>
        <w:spacing w:line="400" w:lineRule="exact"/>
        <w:ind w:firstLine="315" w:firstLineChars="150"/>
        <w:rPr>
          <w:highlight w:val="none"/>
        </w:rPr>
      </w:pPr>
      <w:r>
        <w:rPr>
          <w:rFonts w:hint="eastAsia"/>
          <w:highlight w:val="none"/>
        </w:rPr>
        <w:t>（8）其他要求：见投标人须知前附表。</w:t>
      </w:r>
    </w:p>
    <w:p>
      <w:pPr>
        <w:spacing w:line="400" w:lineRule="exact"/>
        <w:ind w:firstLine="420" w:firstLineChars="200"/>
        <w:rPr>
          <w:highlight w:val="none"/>
        </w:rPr>
      </w:pPr>
      <w:r>
        <w:rPr>
          <w:rFonts w:hint="eastAsia"/>
          <w:highlight w:val="none"/>
        </w:rPr>
        <w:t xml:space="preserve"> 1.4.2 投标人须知前附表规定接受联合体投标的，除应符合本章第1.4.1项和投标人须知前附表的要求外，还应遵守以下规定： </w:t>
      </w:r>
    </w:p>
    <w:p>
      <w:pPr>
        <w:spacing w:line="400" w:lineRule="exact"/>
        <w:ind w:firstLine="315" w:firstLineChars="150"/>
        <w:rPr>
          <w:highlight w:val="none"/>
        </w:rPr>
      </w:pPr>
      <w:r>
        <w:rPr>
          <w:rFonts w:hint="eastAsia"/>
          <w:highlight w:val="none"/>
        </w:rPr>
        <w:t>（1）联合体各方应按招标文件提供的格式签订联合体协议书，明确联合体牵头人和各方权利义务；</w:t>
      </w:r>
    </w:p>
    <w:p>
      <w:pPr>
        <w:spacing w:line="400" w:lineRule="exact"/>
        <w:ind w:firstLine="315" w:firstLineChars="150"/>
        <w:rPr>
          <w:highlight w:val="none"/>
        </w:rPr>
      </w:pPr>
      <w:r>
        <w:rPr>
          <w:rFonts w:hint="eastAsia"/>
          <w:highlight w:val="none"/>
        </w:rPr>
        <w:t>（2）由同一专业的单位组成的联合体，按照资质等级较低的单位确定资质等级；（注：联合体协议约定同一专业分工由两个及以上单位共同承担的，按照就低不就高的原则确定联合体的资质。不同专业分工由不同单位分别承担的，按照各自的专业资质确定联合体的资质。）</w:t>
      </w:r>
    </w:p>
    <w:p>
      <w:pPr>
        <w:spacing w:line="400" w:lineRule="exact"/>
        <w:ind w:firstLine="315" w:firstLineChars="150"/>
        <w:rPr>
          <w:highlight w:val="none"/>
        </w:rPr>
      </w:pPr>
      <w:r>
        <w:rPr>
          <w:rFonts w:hint="eastAsia"/>
          <w:highlight w:val="none"/>
        </w:rPr>
        <w:t>（3）联合体各方不得再以自己名义单独或参加其他联合体在本招标项目中投标。</w:t>
      </w:r>
    </w:p>
    <w:p>
      <w:pPr>
        <w:spacing w:line="400" w:lineRule="exact"/>
        <w:ind w:firstLine="420" w:firstLineChars="200"/>
        <w:rPr>
          <w:highlight w:val="none"/>
        </w:rPr>
      </w:pPr>
      <w:r>
        <w:rPr>
          <w:rFonts w:hint="eastAsia"/>
          <w:highlight w:val="none"/>
        </w:rPr>
        <w:t>1.4.3 投标人不得存在下列情形之一：</w:t>
      </w:r>
    </w:p>
    <w:p>
      <w:pPr>
        <w:spacing w:line="400" w:lineRule="exact"/>
        <w:ind w:firstLine="315" w:firstLineChars="150"/>
        <w:rPr>
          <w:highlight w:val="none"/>
        </w:rPr>
      </w:pPr>
      <w:r>
        <w:rPr>
          <w:rFonts w:hint="eastAsia"/>
          <w:highlight w:val="none"/>
        </w:rPr>
        <w:t xml:space="preserve">（1）为招标人不具有独立法人资格的附属机构（单位）； </w:t>
      </w:r>
    </w:p>
    <w:p>
      <w:pPr>
        <w:spacing w:line="400" w:lineRule="exact"/>
        <w:ind w:firstLine="315" w:firstLineChars="150"/>
        <w:rPr>
          <w:highlight w:val="none"/>
        </w:rPr>
      </w:pPr>
      <w:r>
        <w:rPr>
          <w:rFonts w:hint="eastAsia"/>
          <w:highlight w:val="none"/>
        </w:rPr>
        <w:t>（2）为招标项目前期工作提供咨询服务的（公开成果的除外）；</w:t>
      </w:r>
    </w:p>
    <w:p>
      <w:pPr>
        <w:spacing w:line="400" w:lineRule="exact"/>
        <w:ind w:firstLine="315" w:firstLineChars="150"/>
        <w:rPr>
          <w:highlight w:val="none"/>
        </w:rPr>
      </w:pPr>
      <w:r>
        <w:rPr>
          <w:rFonts w:hint="eastAsia"/>
          <w:highlight w:val="none"/>
        </w:rPr>
        <w:t>（3）为本招标项目的监理人；</w:t>
      </w:r>
    </w:p>
    <w:p>
      <w:pPr>
        <w:spacing w:line="400" w:lineRule="exact"/>
        <w:ind w:firstLine="315" w:firstLineChars="150"/>
        <w:rPr>
          <w:highlight w:val="none"/>
        </w:rPr>
      </w:pPr>
      <w:r>
        <w:rPr>
          <w:rFonts w:hint="eastAsia"/>
          <w:highlight w:val="none"/>
        </w:rPr>
        <w:t xml:space="preserve">（4）为本招标项目的代建人； </w:t>
      </w:r>
    </w:p>
    <w:p>
      <w:pPr>
        <w:spacing w:line="400" w:lineRule="exact"/>
        <w:ind w:firstLine="315" w:firstLineChars="150"/>
        <w:rPr>
          <w:highlight w:val="none"/>
        </w:rPr>
      </w:pPr>
      <w:r>
        <w:rPr>
          <w:rFonts w:hint="eastAsia"/>
          <w:highlight w:val="none"/>
        </w:rPr>
        <w:t xml:space="preserve">（5）为本招标项目提供招标代理服务的； </w:t>
      </w:r>
    </w:p>
    <w:p>
      <w:pPr>
        <w:spacing w:line="400" w:lineRule="exact"/>
        <w:ind w:firstLine="315" w:firstLineChars="150"/>
        <w:rPr>
          <w:highlight w:val="none"/>
        </w:rPr>
      </w:pPr>
      <w:r>
        <w:rPr>
          <w:rFonts w:hint="eastAsia"/>
          <w:highlight w:val="none"/>
        </w:rPr>
        <w:t xml:space="preserve">（6）被责令停业的； </w:t>
      </w:r>
    </w:p>
    <w:p>
      <w:pPr>
        <w:spacing w:line="400" w:lineRule="exact"/>
        <w:ind w:firstLine="315" w:firstLineChars="150"/>
        <w:rPr>
          <w:highlight w:val="none"/>
        </w:rPr>
      </w:pPr>
      <w:r>
        <w:rPr>
          <w:rFonts w:hint="eastAsia"/>
          <w:highlight w:val="none"/>
        </w:rPr>
        <w:t xml:space="preserve">（7）被国家、广东省、项目所在地有关行政部门处以暂停或取消投标资格的； </w:t>
      </w:r>
    </w:p>
    <w:p>
      <w:pPr>
        <w:spacing w:line="400" w:lineRule="exact"/>
        <w:ind w:firstLine="315" w:firstLineChars="150"/>
        <w:rPr>
          <w:highlight w:val="none"/>
        </w:rPr>
      </w:pPr>
      <w:r>
        <w:rPr>
          <w:rFonts w:hint="eastAsia"/>
          <w:highlight w:val="none"/>
        </w:rPr>
        <w:t>（8）财产被接管或冻结的；</w:t>
      </w:r>
    </w:p>
    <w:p>
      <w:pPr>
        <w:spacing w:line="400" w:lineRule="exact"/>
        <w:ind w:firstLine="315" w:firstLineChars="150"/>
        <w:rPr>
          <w:highlight w:val="none"/>
        </w:rPr>
      </w:pPr>
      <w:r>
        <w:rPr>
          <w:rFonts w:hint="eastAsia"/>
          <w:highlight w:val="none"/>
        </w:rPr>
        <w:t>（9）在最近三年内有骗取中标或严重违约或重大工程质量问题的；</w:t>
      </w:r>
    </w:p>
    <w:p>
      <w:pPr>
        <w:spacing w:line="400" w:lineRule="exact"/>
        <w:ind w:firstLine="315" w:firstLineChars="150"/>
        <w:rPr>
          <w:highlight w:val="none"/>
        </w:rPr>
      </w:pPr>
      <w:r>
        <w:rPr>
          <w:rFonts w:hint="eastAsia"/>
          <w:highlight w:val="none"/>
        </w:rPr>
        <w:t>（10）与本招标项目的监理人或代建人或招标代理机构同为一个法定代表人的；</w:t>
      </w:r>
    </w:p>
    <w:p>
      <w:pPr>
        <w:spacing w:line="400" w:lineRule="exact"/>
        <w:ind w:firstLine="315" w:firstLineChars="150"/>
        <w:rPr>
          <w:highlight w:val="none"/>
        </w:rPr>
      </w:pPr>
      <w:r>
        <w:rPr>
          <w:rFonts w:hint="eastAsia"/>
          <w:highlight w:val="none"/>
        </w:rPr>
        <w:t>（11）与本招标项目的监理人或代建人或招标代理机构相互控股或参股的；</w:t>
      </w:r>
    </w:p>
    <w:p>
      <w:pPr>
        <w:spacing w:line="400" w:lineRule="exact"/>
        <w:ind w:firstLine="315" w:firstLineChars="150"/>
        <w:rPr>
          <w:highlight w:val="none"/>
        </w:rPr>
      </w:pPr>
      <w:r>
        <w:rPr>
          <w:rFonts w:hint="eastAsia"/>
          <w:highlight w:val="none"/>
        </w:rPr>
        <w:t>（12）与本招标项目的监理人或代建人或招标代理机构相互任职或工作的。</w:t>
      </w:r>
    </w:p>
    <w:p>
      <w:pPr>
        <w:spacing w:line="400" w:lineRule="exact"/>
        <w:ind w:firstLine="420" w:firstLineChars="200"/>
        <w:rPr>
          <w:highlight w:val="none"/>
        </w:rPr>
      </w:pPr>
      <w:r>
        <w:rPr>
          <w:rFonts w:hint="eastAsia"/>
          <w:highlight w:val="none"/>
        </w:rPr>
        <w:t>1.4.4 单位负责人为同一人或者存在控股、管理关系的不同单位，不得同时参加本招标项目投标。</w:t>
      </w:r>
    </w:p>
    <w:p>
      <w:pPr>
        <w:pStyle w:val="4"/>
        <w:rPr>
          <w:highlight w:val="none"/>
        </w:rPr>
      </w:pPr>
      <w:bookmarkStart w:id="247" w:name="_Toc152042311"/>
      <w:bookmarkStart w:id="248" w:name="_Toc247513958"/>
      <w:bookmarkStart w:id="249" w:name="_Toc152045535"/>
      <w:bookmarkStart w:id="250" w:name="_Toc247527559"/>
      <w:bookmarkStart w:id="251" w:name="_Toc144974503"/>
      <w:bookmarkStart w:id="252" w:name="_Toc20410"/>
      <w:bookmarkStart w:id="253" w:name="_Toc487562625"/>
      <w:bookmarkStart w:id="254" w:name="_Toc487131342"/>
      <w:bookmarkStart w:id="255" w:name="_Toc20970"/>
      <w:bookmarkStart w:id="256" w:name="_Toc11806"/>
      <w:bookmarkStart w:id="257" w:name="_Toc20169"/>
      <w:bookmarkStart w:id="258" w:name="_Toc28547"/>
      <w:bookmarkStart w:id="259" w:name="_Toc9600"/>
      <w:bookmarkStart w:id="260" w:name="_Toc487202475"/>
      <w:bookmarkStart w:id="261" w:name="_Toc469605917"/>
      <w:bookmarkStart w:id="262" w:name="_Toc31622"/>
      <w:r>
        <w:rPr>
          <w:rFonts w:hint="eastAsia" w:ascii="Times New Roman" w:hAnsi="Times New Roman"/>
          <w:highlight w:val="none"/>
        </w:rPr>
        <w:t>1.5</w:t>
      </w:r>
      <w:r>
        <w:rPr>
          <w:rFonts w:hint="eastAsia"/>
          <w:highlight w:val="none"/>
        </w:rPr>
        <w:t xml:space="preserve"> 费用承担</w:t>
      </w:r>
      <w:bookmarkEnd w:id="247"/>
      <w:bookmarkEnd w:id="248"/>
      <w:bookmarkEnd w:id="249"/>
      <w:bookmarkEnd w:id="250"/>
      <w:bookmarkEnd w:id="251"/>
      <w:r>
        <w:rPr>
          <w:rFonts w:hint="eastAsia"/>
          <w:highlight w:val="none"/>
        </w:rPr>
        <w:t>和设计成果补偿</w:t>
      </w:r>
      <w:bookmarkEnd w:id="252"/>
      <w:bookmarkEnd w:id="253"/>
      <w:bookmarkEnd w:id="254"/>
      <w:bookmarkEnd w:id="255"/>
      <w:bookmarkEnd w:id="256"/>
      <w:bookmarkEnd w:id="257"/>
      <w:bookmarkEnd w:id="258"/>
      <w:bookmarkEnd w:id="259"/>
      <w:bookmarkEnd w:id="260"/>
      <w:bookmarkEnd w:id="261"/>
      <w:bookmarkEnd w:id="262"/>
    </w:p>
    <w:p>
      <w:pPr>
        <w:spacing w:line="400" w:lineRule="exact"/>
        <w:ind w:firstLine="420" w:firstLineChars="200"/>
        <w:rPr>
          <w:highlight w:val="none"/>
        </w:rPr>
      </w:pPr>
      <w:r>
        <w:rPr>
          <w:rFonts w:hint="eastAsia"/>
          <w:highlight w:val="none"/>
        </w:rPr>
        <w:t>1.5.1 投标人准备和参加投标活动发生的费用自理。</w:t>
      </w:r>
    </w:p>
    <w:p>
      <w:pPr>
        <w:spacing w:line="400" w:lineRule="exact"/>
        <w:ind w:firstLine="420" w:firstLineChars="200"/>
        <w:rPr>
          <w:highlight w:val="none"/>
        </w:rPr>
      </w:pPr>
      <w:r>
        <w:rPr>
          <w:rFonts w:hint="eastAsia"/>
          <w:highlight w:val="none"/>
        </w:rPr>
        <w:t>1.5.2 招标人对符合招标文件规定的未中标人的设计成果进行补偿的，按投标人须知前附表规定给予补偿，并有权免费使用未中标人设计成果。</w:t>
      </w:r>
    </w:p>
    <w:p>
      <w:pPr>
        <w:pStyle w:val="4"/>
        <w:rPr>
          <w:highlight w:val="none"/>
        </w:rPr>
      </w:pPr>
      <w:bookmarkStart w:id="263" w:name="_Toc7191"/>
      <w:bookmarkStart w:id="264" w:name="_Toc6827"/>
      <w:bookmarkStart w:id="265" w:name="_Toc487131343"/>
      <w:bookmarkStart w:id="266" w:name="_Toc15073"/>
      <w:bookmarkStart w:id="267" w:name="_Toc469605918"/>
      <w:bookmarkStart w:id="268" w:name="_Toc15016"/>
      <w:bookmarkStart w:id="269" w:name="_Toc7937"/>
      <w:bookmarkStart w:id="270" w:name="_Toc144974504"/>
      <w:bookmarkStart w:id="271" w:name="_Toc487562626"/>
      <w:bookmarkStart w:id="272" w:name="_Toc152042312"/>
      <w:bookmarkStart w:id="273" w:name="_Toc247527560"/>
      <w:bookmarkStart w:id="274" w:name="_Toc247513959"/>
      <w:bookmarkStart w:id="275" w:name="_Toc487202476"/>
      <w:bookmarkStart w:id="276" w:name="_Toc152045536"/>
      <w:bookmarkStart w:id="277" w:name="_Toc15598"/>
      <w:bookmarkStart w:id="278" w:name="_Toc10416"/>
      <w:r>
        <w:rPr>
          <w:rFonts w:hint="eastAsia" w:ascii="Times New Roman" w:hAnsi="Times New Roman"/>
          <w:highlight w:val="none"/>
        </w:rPr>
        <w:t xml:space="preserve">1.6 </w:t>
      </w:r>
      <w:r>
        <w:rPr>
          <w:rFonts w:hint="eastAsia"/>
          <w:highlight w:val="none"/>
        </w:rPr>
        <w:t>保密</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spacing w:line="400" w:lineRule="exact"/>
        <w:ind w:firstLine="420" w:firstLineChars="200"/>
        <w:rPr>
          <w:highlight w:val="none"/>
        </w:rPr>
      </w:pPr>
      <w:r>
        <w:rPr>
          <w:rFonts w:hint="eastAsia"/>
          <w:highlight w:val="none"/>
        </w:rPr>
        <w:t xml:space="preserve">参与招标投标活动的各方应对招标文件和投标文件中的商业和技术等秘密保密，否则应承担相应的法律责任。 </w:t>
      </w:r>
    </w:p>
    <w:p>
      <w:pPr>
        <w:pStyle w:val="4"/>
        <w:rPr>
          <w:highlight w:val="none"/>
        </w:rPr>
      </w:pPr>
      <w:bookmarkStart w:id="279" w:name="_Toc144974505"/>
      <w:bookmarkStart w:id="280" w:name="_Toc30908"/>
      <w:bookmarkStart w:id="281" w:name="_Toc487131344"/>
      <w:bookmarkStart w:id="282" w:name="_Toc1261"/>
      <w:bookmarkStart w:id="283" w:name="_Toc152042313"/>
      <w:bookmarkStart w:id="284" w:name="_Toc26105"/>
      <w:bookmarkStart w:id="285" w:name="_Toc11655"/>
      <w:bookmarkStart w:id="286" w:name="_Toc152045537"/>
      <w:bookmarkStart w:id="287" w:name="_Toc487562627"/>
      <w:bookmarkStart w:id="288" w:name="_Toc247527561"/>
      <w:bookmarkStart w:id="289" w:name="_Toc21375"/>
      <w:bookmarkStart w:id="290" w:name="_Toc28589"/>
      <w:bookmarkStart w:id="291" w:name="_Toc469605919"/>
      <w:bookmarkStart w:id="292" w:name="_Toc247513960"/>
      <w:bookmarkStart w:id="293" w:name="_Toc487202477"/>
      <w:bookmarkStart w:id="294" w:name="_Toc11721"/>
      <w:r>
        <w:rPr>
          <w:rFonts w:hint="eastAsia" w:ascii="Times New Roman" w:hAnsi="Times New Roman"/>
          <w:highlight w:val="none"/>
        </w:rPr>
        <w:t>1.7</w:t>
      </w:r>
      <w:r>
        <w:rPr>
          <w:rFonts w:hint="eastAsia"/>
          <w:highlight w:val="none"/>
        </w:rPr>
        <w:t xml:space="preserve"> 语言</w:t>
      </w:r>
      <w:bookmarkEnd w:id="279"/>
      <w:r>
        <w:rPr>
          <w:rFonts w:hint="eastAsia"/>
          <w:highlight w:val="none"/>
        </w:rPr>
        <w:t>文字</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spacing w:line="400" w:lineRule="exact"/>
        <w:ind w:firstLine="420" w:firstLineChars="200"/>
        <w:rPr>
          <w:highlight w:val="none"/>
        </w:rPr>
      </w:pPr>
      <w:r>
        <w:rPr>
          <w:rFonts w:hint="eastAsia"/>
          <w:highlight w:val="none"/>
        </w:rPr>
        <w:t>招标投标文件使用的语言文字为中文。专用术语使用外文的，应附有中文注释。</w:t>
      </w:r>
    </w:p>
    <w:p>
      <w:pPr>
        <w:pStyle w:val="4"/>
        <w:rPr>
          <w:highlight w:val="none"/>
        </w:rPr>
      </w:pPr>
      <w:bookmarkStart w:id="295" w:name="_Toc10020"/>
      <w:bookmarkStart w:id="296" w:name="_Toc247527562"/>
      <w:bookmarkStart w:id="297" w:name="_Toc144974506"/>
      <w:bookmarkStart w:id="298" w:name="_Toc487131345"/>
      <w:bookmarkStart w:id="299" w:name="_Toc20048"/>
      <w:bookmarkStart w:id="300" w:name="_Toc8835"/>
      <w:bookmarkStart w:id="301" w:name="_Toc30757"/>
      <w:bookmarkStart w:id="302" w:name="_Toc13168"/>
      <w:bookmarkStart w:id="303" w:name="_Toc23536"/>
      <w:bookmarkStart w:id="304" w:name="_Toc247513961"/>
      <w:bookmarkStart w:id="305" w:name="_Toc31160"/>
      <w:bookmarkStart w:id="306" w:name="_Toc487562628"/>
      <w:bookmarkStart w:id="307" w:name="_Toc152045538"/>
      <w:bookmarkStart w:id="308" w:name="_Toc487202478"/>
      <w:bookmarkStart w:id="309" w:name="_Toc469605920"/>
      <w:bookmarkStart w:id="310" w:name="_Toc152042314"/>
      <w:r>
        <w:rPr>
          <w:rFonts w:hint="eastAsia" w:ascii="Times New Roman" w:hAnsi="Times New Roman"/>
          <w:highlight w:val="none"/>
        </w:rPr>
        <w:t xml:space="preserve">1.8 </w:t>
      </w:r>
      <w:r>
        <w:rPr>
          <w:rFonts w:hint="eastAsia"/>
          <w:highlight w:val="none"/>
        </w:rPr>
        <w:t>计量单位</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spacing w:line="400" w:lineRule="exact"/>
        <w:ind w:firstLine="420" w:firstLineChars="200"/>
        <w:rPr>
          <w:highlight w:val="none"/>
        </w:rPr>
      </w:pPr>
      <w:r>
        <w:rPr>
          <w:rFonts w:hint="eastAsia"/>
          <w:highlight w:val="none"/>
        </w:rPr>
        <w:t>所有计量均采用中华人民共和国法定计量单位。</w:t>
      </w:r>
    </w:p>
    <w:p>
      <w:pPr>
        <w:pStyle w:val="4"/>
        <w:rPr>
          <w:highlight w:val="none"/>
        </w:rPr>
      </w:pPr>
      <w:bookmarkStart w:id="311" w:name="_Toc144974507"/>
      <w:bookmarkStart w:id="312" w:name="_Toc26600"/>
      <w:bookmarkStart w:id="313" w:name="_Toc11881"/>
      <w:bookmarkStart w:id="314" w:name="_Toc28918"/>
      <w:bookmarkStart w:id="315" w:name="_Toc15352"/>
      <w:bookmarkStart w:id="316" w:name="_Toc487131346"/>
      <w:bookmarkStart w:id="317" w:name="_Toc152045539"/>
      <w:bookmarkStart w:id="318" w:name="_Toc19482"/>
      <w:bookmarkStart w:id="319" w:name="_Toc152042315"/>
      <w:bookmarkStart w:id="320" w:name="_Toc247527563"/>
      <w:bookmarkStart w:id="321" w:name="_Toc1906"/>
      <w:bookmarkStart w:id="322" w:name="_Toc469605921"/>
      <w:bookmarkStart w:id="323" w:name="_Toc487202479"/>
      <w:bookmarkStart w:id="324" w:name="_Toc247513962"/>
      <w:bookmarkStart w:id="325" w:name="_Toc7213"/>
      <w:bookmarkStart w:id="326" w:name="_Toc487562629"/>
      <w:r>
        <w:rPr>
          <w:rFonts w:hint="eastAsia" w:ascii="Times New Roman" w:hAnsi="Times New Roman"/>
          <w:highlight w:val="none"/>
        </w:rPr>
        <w:t>1.9</w:t>
      </w:r>
      <w:r>
        <w:rPr>
          <w:rFonts w:hint="eastAsia"/>
          <w:highlight w:val="none"/>
        </w:rPr>
        <w:t xml:space="preserve"> 踏勘现场</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line="400" w:lineRule="exact"/>
        <w:ind w:firstLine="420" w:firstLineChars="200"/>
        <w:rPr>
          <w:highlight w:val="none"/>
        </w:rPr>
      </w:pPr>
      <w:r>
        <w:rPr>
          <w:rFonts w:hint="eastAsia"/>
          <w:highlight w:val="none"/>
        </w:rPr>
        <w:t xml:space="preserve">1.9.1 投标人须知前附表规定组织踏勘现场的，招标人按投标人须知前附表规定的时间、地点组织投标人踏勘项目现场。 </w:t>
      </w:r>
    </w:p>
    <w:p>
      <w:pPr>
        <w:spacing w:line="400" w:lineRule="exact"/>
        <w:ind w:firstLine="420" w:firstLineChars="200"/>
        <w:rPr>
          <w:highlight w:val="none"/>
        </w:rPr>
      </w:pPr>
      <w:r>
        <w:rPr>
          <w:rFonts w:hint="eastAsia"/>
          <w:highlight w:val="none"/>
        </w:rPr>
        <w:t>1.9.2 投标人踏勘现场发生的费用自理。</w:t>
      </w:r>
    </w:p>
    <w:p>
      <w:pPr>
        <w:spacing w:line="400" w:lineRule="exact"/>
        <w:ind w:firstLine="420" w:firstLineChars="200"/>
        <w:rPr>
          <w:highlight w:val="none"/>
        </w:rPr>
      </w:pPr>
      <w:r>
        <w:rPr>
          <w:rFonts w:hint="eastAsia"/>
          <w:highlight w:val="none"/>
        </w:rPr>
        <w:t>1.9.3 除招标人的原因外，投标人自行负责在踏勘现场中所发生的人员伤亡和财产损失。</w:t>
      </w:r>
    </w:p>
    <w:p>
      <w:pPr>
        <w:spacing w:line="400" w:lineRule="exact"/>
        <w:ind w:firstLine="420" w:firstLineChars="200"/>
        <w:rPr>
          <w:highlight w:val="none"/>
        </w:rPr>
      </w:pPr>
      <w:r>
        <w:rPr>
          <w:rFonts w:hint="eastAsia"/>
          <w:highlight w:val="none"/>
        </w:rPr>
        <w:t>1.9.4 招标人在踏勘现场中介绍的工程场地和相关的周边环境情况，供投标人在编制投标文件时参考，招标人不对投标人据此作出的判断和决策负责。</w:t>
      </w:r>
    </w:p>
    <w:p>
      <w:pPr>
        <w:pStyle w:val="4"/>
        <w:rPr>
          <w:highlight w:val="none"/>
        </w:rPr>
      </w:pPr>
      <w:bookmarkStart w:id="327" w:name="_Toc7152"/>
      <w:bookmarkStart w:id="328" w:name="_Toc152045540"/>
      <w:bookmarkStart w:id="329" w:name="_Toc487202480"/>
      <w:bookmarkStart w:id="330" w:name="_Toc152042316"/>
      <w:bookmarkStart w:id="331" w:name="_Toc23351"/>
      <w:bookmarkStart w:id="332" w:name="_Toc30089"/>
      <w:bookmarkStart w:id="333" w:name="_Toc144974508"/>
      <w:bookmarkStart w:id="334" w:name="_Toc487131347"/>
      <w:bookmarkStart w:id="335" w:name="_Toc7532"/>
      <w:bookmarkStart w:id="336" w:name="_Toc18382"/>
      <w:bookmarkStart w:id="337" w:name="_Toc487562630"/>
      <w:bookmarkStart w:id="338" w:name="_Toc13943"/>
      <w:bookmarkStart w:id="339" w:name="_Toc247527564"/>
      <w:bookmarkStart w:id="340" w:name="_Toc247513963"/>
      <w:bookmarkStart w:id="341" w:name="_Toc469605922"/>
      <w:bookmarkStart w:id="342" w:name="_Toc13035"/>
      <w:r>
        <w:rPr>
          <w:rFonts w:hint="eastAsia" w:ascii="Times New Roman" w:hAnsi="Times New Roman"/>
          <w:highlight w:val="none"/>
        </w:rPr>
        <w:t>1.10</w:t>
      </w:r>
      <w:r>
        <w:rPr>
          <w:rFonts w:hint="eastAsia"/>
          <w:highlight w:val="none"/>
        </w:rPr>
        <w:t xml:space="preserve"> 投标预备会</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spacing w:line="400" w:lineRule="exact"/>
        <w:ind w:firstLine="420" w:firstLineChars="200"/>
        <w:rPr>
          <w:highlight w:val="none"/>
        </w:rPr>
      </w:pPr>
      <w:r>
        <w:rPr>
          <w:rFonts w:hint="eastAsia"/>
          <w:highlight w:val="none"/>
        </w:rPr>
        <w:t>1.10.1 投标人须知前附表规定召开投标预备会的，招标人按投标人须知前附表规定的时间和地点召开投标预备会，澄清投标人提出的问题。</w:t>
      </w:r>
    </w:p>
    <w:p>
      <w:pPr>
        <w:spacing w:line="400" w:lineRule="exact"/>
        <w:ind w:firstLine="420" w:firstLineChars="200"/>
        <w:rPr>
          <w:highlight w:val="none"/>
        </w:rPr>
      </w:pPr>
      <w:r>
        <w:rPr>
          <w:rFonts w:hint="eastAsia"/>
          <w:highlight w:val="none"/>
        </w:rPr>
        <w:t>1.10.2 投标人应在投标人须知前附表规定的时间前，以书面形式将提出的问题送达招标人，以便招标人在会议期间澄清。</w:t>
      </w:r>
    </w:p>
    <w:p>
      <w:pPr>
        <w:spacing w:line="400" w:lineRule="exact"/>
        <w:ind w:firstLine="420" w:firstLineChars="200"/>
        <w:rPr>
          <w:highlight w:val="none"/>
        </w:rPr>
      </w:pPr>
      <w:r>
        <w:rPr>
          <w:rFonts w:hint="eastAsia"/>
          <w:highlight w:val="none"/>
        </w:rPr>
        <w:t>1.10.3 投标预备会后，招标人在投标人须知前附表规定的时间内，将对投标人所提问题的澄清，以书面形式通知所有购买招标文件的投标人。该澄清内容为招标文件的组成部分。</w:t>
      </w:r>
    </w:p>
    <w:p>
      <w:pPr>
        <w:pStyle w:val="4"/>
        <w:rPr>
          <w:highlight w:val="none"/>
        </w:rPr>
      </w:pPr>
      <w:bookmarkStart w:id="343" w:name="_Toc469605923"/>
      <w:bookmarkStart w:id="344" w:name="_Toc3226"/>
      <w:bookmarkStart w:id="345" w:name="_Toc5450"/>
      <w:bookmarkStart w:id="346" w:name="_Toc487202481"/>
      <w:bookmarkStart w:id="347" w:name="_Toc247527565"/>
      <w:bookmarkStart w:id="348" w:name="_Toc24435"/>
      <w:bookmarkStart w:id="349" w:name="_Toc22770"/>
      <w:bookmarkStart w:id="350" w:name="_Toc24183"/>
      <w:bookmarkStart w:id="351" w:name="_Toc144974509"/>
      <w:bookmarkStart w:id="352" w:name="_Toc8954"/>
      <w:bookmarkStart w:id="353" w:name="_Toc152042317"/>
      <w:bookmarkStart w:id="354" w:name="_Toc247513964"/>
      <w:bookmarkStart w:id="355" w:name="_Toc487131348"/>
      <w:bookmarkStart w:id="356" w:name="_Toc152045541"/>
      <w:bookmarkStart w:id="357" w:name="_Toc14014"/>
      <w:bookmarkStart w:id="358" w:name="_Toc487562631"/>
      <w:r>
        <w:rPr>
          <w:rFonts w:hint="eastAsia" w:ascii="Times New Roman" w:hAnsi="Times New Roman"/>
          <w:highlight w:val="none"/>
        </w:rPr>
        <w:t xml:space="preserve">1.11 </w:t>
      </w:r>
      <w:r>
        <w:rPr>
          <w:rFonts w:hint="eastAsia"/>
          <w:highlight w:val="none"/>
        </w:rPr>
        <w:t>分包</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spacing w:line="400" w:lineRule="exact"/>
        <w:ind w:firstLine="567" w:firstLineChars="270"/>
        <w:rPr>
          <w:highlight w:val="none"/>
        </w:rPr>
      </w:pPr>
      <w:r>
        <w:rPr>
          <w:rFonts w:hint="eastAsia"/>
          <w:highlight w:val="none"/>
        </w:rPr>
        <w:t>1.11.1 投标人须知前附表规定应当由分包人实施的非主体、非关键性工作，投标人应当按照第五章“发包人要求”的规定提供分包人侯选名单及其相应资料。</w:t>
      </w:r>
    </w:p>
    <w:p>
      <w:pPr>
        <w:spacing w:line="400" w:lineRule="exact"/>
        <w:ind w:firstLine="567" w:firstLineChars="270"/>
        <w:rPr>
          <w:highlight w:val="none"/>
        </w:rPr>
      </w:pPr>
      <w:r>
        <w:rPr>
          <w:rFonts w:hint="eastAsia"/>
          <w:highlight w:val="none"/>
        </w:rPr>
        <w:t>1.11.2 投标人拟在中标后将中标项目的部分非主体、非关键性工作进行分包的，应符合投标人须知前附表规定的分包内容、分包金额和资质要求等限制性条件。</w:t>
      </w:r>
    </w:p>
    <w:p>
      <w:pPr>
        <w:pStyle w:val="4"/>
        <w:rPr>
          <w:highlight w:val="none"/>
        </w:rPr>
      </w:pPr>
      <w:bookmarkStart w:id="359" w:name="_Toc10749"/>
      <w:bookmarkStart w:id="360" w:name="_Toc17915"/>
      <w:bookmarkStart w:id="361" w:name="_Toc28251"/>
      <w:bookmarkStart w:id="362" w:name="_Toc26256"/>
      <w:bookmarkStart w:id="363" w:name="_Toc487131349"/>
      <w:bookmarkStart w:id="364" w:name="_Toc469605924"/>
      <w:bookmarkStart w:id="365" w:name="_Toc247527566"/>
      <w:bookmarkStart w:id="366" w:name="_Toc4565"/>
      <w:bookmarkStart w:id="367" w:name="_Toc487562632"/>
      <w:bookmarkStart w:id="368" w:name="_Toc23041"/>
      <w:bookmarkStart w:id="369" w:name="_Toc487202482"/>
      <w:bookmarkStart w:id="370" w:name="_Toc247513965"/>
      <w:bookmarkStart w:id="371" w:name="_Toc5093"/>
      <w:r>
        <w:rPr>
          <w:rFonts w:hint="eastAsia" w:ascii="Times New Roman" w:hAnsi="Times New Roman"/>
          <w:highlight w:val="none"/>
        </w:rPr>
        <w:t>1.12</w:t>
      </w:r>
      <w:r>
        <w:rPr>
          <w:rFonts w:hint="eastAsia"/>
          <w:highlight w:val="none"/>
        </w:rPr>
        <w:t xml:space="preserve"> 偏离</w:t>
      </w:r>
      <w:bookmarkEnd w:id="359"/>
      <w:bookmarkEnd w:id="360"/>
      <w:bookmarkEnd w:id="361"/>
      <w:bookmarkEnd w:id="362"/>
      <w:bookmarkEnd w:id="363"/>
      <w:bookmarkEnd w:id="364"/>
      <w:bookmarkEnd w:id="365"/>
      <w:bookmarkEnd w:id="366"/>
      <w:bookmarkEnd w:id="367"/>
      <w:bookmarkEnd w:id="368"/>
      <w:bookmarkEnd w:id="369"/>
      <w:bookmarkEnd w:id="370"/>
      <w:bookmarkEnd w:id="371"/>
    </w:p>
    <w:p>
      <w:pPr>
        <w:spacing w:line="400" w:lineRule="exact"/>
        <w:ind w:firstLine="359" w:firstLineChars="171"/>
        <w:rPr>
          <w:highlight w:val="none"/>
        </w:rPr>
      </w:pPr>
      <w:r>
        <w:rPr>
          <w:rFonts w:hint="eastAsia"/>
          <w:highlight w:val="none"/>
        </w:rPr>
        <w:t>投标人须知前附表允许投标文件偏离招标文件某些要求的，偏离应当符合招标文件规定的偏离范围和幅度。</w:t>
      </w:r>
    </w:p>
    <w:p>
      <w:pPr>
        <w:pStyle w:val="3"/>
        <w:rPr>
          <w:highlight w:val="none"/>
        </w:rPr>
      </w:pPr>
      <w:bookmarkStart w:id="372" w:name="_Toc25487"/>
      <w:bookmarkStart w:id="373" w:name="_Toc23264"/>
      <w:bookmarkStart w:id="374" w:name="_Toc8539"/>
      <w:bookmarkStart w:id="375" w:name="_Toc28995"/>
      <w:bookmarkStart w:id="376" w:name="_Toc144974510"/>
      <w:bookmarkStart w:id="377" w:name="_Toc14925"/>
      <w:bookmarkStart w:id="378" w:name="_Toc487562633"/>
      <w:bookmarkStart w:id="379" w:name="_Toc152042318"/>
      <w:bookmarkStart w:id="380" w:name="_Toc469605925"/>
      <w:bookmarkStart w:id="381" w:name="_Toc247513966"/>
      <w:bookmarkStart w:id="382" w:name="_Toc247527567"/>
      <w:bookmarkStart w:id="383" w:name="_Toc8445"/>
      <w:bookmarkStart w:id="384" w:name="_Toc152045542"/>
      <w:bookmarkStart w:id="385" w:name="_Toc685"/>
      <w:r>
        <w:rPr>
          <w:rFonts w:hint="eastAsia"/>
          <w:highlight w:val="none"/>
        </w:rPr>
        <w:t>2. 招标文件</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pStyle w:val="4"/>
        <w:rPr>
          <w:highlight w:val="none"/>
        </w:rPr>
      </w:pPr>
      <w:bookmarkStart w:id="386" w:name="_Toc31742"/>
      <w:bookmarkStart w:id="387" w:name="_Toc247513967"/>
      <w:bookmarkStart w:id="388" w:name="_Toc2037"/>
      <w:bookmarkStart w:id="389" w:name="_Toc487202484"/>
      <w:bookmarkStart w:id="390" w:name="_Toc152042319"/>
      <w:bookmarkStart w:id="391" w:name="_Toc15350"/>
      <w:bookmarkStart w:id="392" w:name="_Toc152045543"/>
      <w:bookmarkStart w:id="393" w:name="_Toc144974511"/>
      <w:bookmarkStart w:id="394" w:name="_Toc487562634"/>
      <w:bookmarkStart w:id="395" w:name="_Toc5613"/>
      <w:bookmarkStart w:id="396" w:name="_Toc487131351"/>
      <w:bookmarkStart w:id="397" w:name="_Toc20969"/>
      <w:bookmarkStart w:id="398" w:name="_Toc469605926"/>
      <w:bookmarkStart w:id="399" w:name="_Toc247527568"/>
      <w:bookmarkStart w:id="400" w:name="_Toc26069"/>
      <w:bookmarkStart w:id="401" w:name="_Toc10304"/>
      <w:r>
        <w:rPr>
          <w:rFonts w:hint="eastAsia" w:ascii="Times New Roman" w:hAnsi="Times New Roman"/>
          <w:highlight w:val="none"/>
        </w:rPr>
        <w:t>2.1</w:t>
      </w:r>
      <w:r>
        <w:rPr>
          <w:rFonts w:hint="eastAsia"/>
          <w:highlight w:val="none"/>
        </w:rPr>
        <w:t xml:space="preserve"> 招标文件的组成</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spacing w:line="400" w:lineRule="exact"/>
        <w:rPr>
          <w:highlight w:val="none"/>
        </w:rPr>
      </w:pPr>
      <w:r>
        <w:rPr>
          <w:rFonts w:hint="eastAsia"/>
          <w:highlight w:val="none"/>
        </w:rPr>
        <w:t>　　本招标文件包括：</w:t>
      </w:r>
    </w:p>
    <w:p>
      <w:pPr>
        <w:spacing w:line="400" w:lineRule="exact"/>
        <w:ind w:firstLine="359" w:firstLineChars="171"/>
        <w:rPr>
          <w:highlight w:val="none"/>
        </w:rPr>
      </w:pPr>
      <w:r>
        <w:rPr>
          <w:rFonts w:hint="eastAsia"/>
          <w:highlight w:val="none"/>
        </w:rPr>
        <w:t>（1）招标公告（或投标邀请书）；</w:t>
      </w:r>
    </w:p>
    <w:p>
      <w:pPr>
        <w:spacing w:line="400" w:lineRule="exact"/>
        <w:ind w:firstLine="359" w:firstLineChars="171"/>
        <w:rPr>
          <w:highlight w:val="none"/>
        </w:rPr>
      </w:pPr>
      <w:r>
        <w:rPr>
          <w:rFonts w:hint="eastAsia"/>
          <w:highlight w:val="none"/>
        </w:rPr>
        <w:t>（2）投标人须知；</w:t>
      </w:r>
    </w:p>
    <w:p>
      <w:pPr>
        <w:spacing w:line="400" w:lineRule="exact"/>
        <w:ind w:firstLine="359" w:firstLineChars="171"/>
        <w:rPr>
          <w:highlight w:val="none"/>
        </w:rPr>
      </w:pPr>
      <w:r>
        <w:rPr>
          <w:rFonts w:hint="eastAsia"/>
          <w:highlight w:val="none"/>
        </w:rPr>
        <w:t>（3）评标办法；</w:t>
      </w:r>
    </w:p>
    <w:p>
      <w:pPr>
        <w:spacing w:line="400" w:lineRule="exact"/>
        <w:ind w:firstLine="359" w:firstLineChars="171"/>
        <w:rPr>
          <w:highlight w:val="none"/>
        </w:rPr>
      </w:pPr>
      <w:r>
        <w:rPr>
          <w:rFonts w:hint="eastAsia"/>
          <w:highlight w:val="none"/>
        </w:rPr>
        <w:t>（4）合同条款及格式；</w:t>
      </w:r>
    </w:p>
    <w:p>
      <w:pPr>
        <w:spacing w:line="400" w:lineRule="exact"/>
        <w:ind w:firstLine="359" w:firstLineChars="171"/>
        <w:rPr>
          <w:highlight w:val="none"/>
        </w:rPr>
      </w:pPr>
      <w:r>
        <w:rPr>
          <w:rFonts w:hint="eastAsia"/>
          <w:highlight w:val="none"/>
        </w:rPr>
        <w:t>（5）招标人提供的资料（另册）；</w:t>
      </w:r>
    </w:p>
    <w:p>
      <w:pPr>
        <w:spacing w:line="400" w:lineRule="exact"/>
        <w:ind w:firstLine="359" w:firstLineChars="171"/>
        <w:rPr>
          <w:highlight w:val="none"/>
        </w:rPr>
      </w:pPr>
      <w:r>
        <w:rPr>
          <w:rFonts w:hint="eastAsia"/>
          <w:highlight w:val="none"/>
        </w:rPr>
        <w:t>（6）发包人要求；</w:t>
      </w:r>
    </w:p>
    <w:p>
      <w:pPr>
        <w:spacing w:line="400" w:lineRule="exact"/>
        <w:ind w:firstLine="359" w:firstLineChars="171"/>
        <w:rPr>
          <w:highlight w:val="none"/>
        </w:rPr>
      </w:pPr>
      <w:r>
        <w:rPr>
          <w:rFonts w:hint="eastAsia"/>
          <w:highlight w:val="none"/>
        </w:rPr>
        <w:t>（7）投标文件格式；</w:t>
      </w:r>
    </w:p>
    <w:p>
      <w:pPr>
        <w:spacing w:line="400" w:lineRule="exact"/>
        <w:ind w:firstLine="359" w:firstLineChars="171"/>
        <w:rPr>
          <w:highlight w:val="none"/>
        </w:rPr>
      </w:pPr>
      <w:r>
        <w:rPr>
          <w:rFonts w:hint="eastAsia"/>
          <w:highlight w:val="none"/>
        </w:rPr>
        <w:t>（8）投标人须知前附表规定的其他资料。</w:t>
      </w:r>
    </w:p>
    <w:p>
      <w:pPr>
        <w:spacing w:line="400" w:lineRule="exact"/>
        <w:ind w:firstLine="420" w:firstLineChars="200"/>
        <w:rPr>
          <w:highlight w:val="none"/>
        </w:rPr>
      </w:pPr>
      <w:r>
        <w:rPr>
          <w:rFonts w:hint="eastAsia"/>
          <w:highlight w:val="none"/>
        </w:rPr>
        <w:t>根据本章第1.10款、第2.2款和第2.3款对招标文件所作的澄清、修改，构成招标文件的组成部分。</w:t>
      </w:r>
    </w:p>
    <w:p>
      <w:pPr>
        <w:pStyle w:val="4"/>
        <w:rPr>
          <w:highlight w:val="none"/>
        </w:rPr>
      </w:pPr>
      <w:bookmarkStart w:id="402" w:name="_Toc28954"/>
      <w:bookmarkStart w:id="403" w:name="_Toc1236"/>
      <w:bookmarkStart w:id="404" w:name="_Toc23405"/>
      <w:bookmarkStart w:id="405" w:name="_Toc1120"/>
      <w:bookmarkStart w:id="406" w:name="_Toc144974514"/>
      <w:bookmarkStart w:id="407" w:name="_Toc247527571"/>
      <w:bookmarkStart w:id="408" w:name="_Toc152042322"/>
      <w:bookmarkStart w:id="409" w:name="_Toc247513970"/>
      <w:bookmarkStart w:id="410" w:name="_Toc152045546"/>
      <w:bookmarkStart w:id="411" w:name="_Toc469605929"/>
      <w:r>
        <w:rPr>
          <w:rFonts w:hint="eastAsia"/>
          <w:highlight w:val="none"/>
        </w:rPr>
        <w:t>2.2 招标文件的澄清、投标人的质疑</w:t>
      </w:r>
      <w:bookmarkEnd w:id="402"/>
      <w:bookmarkEnd w:id="403"/>
      <w:bookmarkEnd w:id="404"/>
      <w:bookmarkEnd w:id="405"/>
    </w:p>
    <w:p>
      <w:pPr>
        <w:spacing w:line="360" w:lineRule="auto"/>
        <w:ind w:firstLine="420" w:firstLineChars="200"/>
        <w:rPr>
          <w:rFonts w:ascii="宋体" w:hAnsi="宋体"/>
          <w:szCs w:val="21"/>
          <w:highlight w:val="none"/>
        </w:rPr>
      </w:pPr>
      <w:r>
        <w:rPr>
          <w:rFonts w:hint="eastAsia" w:ascii="宋体" w:hAnsi="宋体"/>
          <w:szCs w:val="21"/>
          <w:highlight w:val="none"/>
        </w:rPr>
        <w:t>2.2.1  投标人应认真审阅招标文件和有关资料，尽力澄清一切疑点，对工程现场和周围环境进行勘察，以获取编制投标文件和签署合同所需的所有资料。投标人对招标文件及随后收到的有关资料有异议或需要澄清的，应当在投标截止时间10天前通过发布招标文件所在的电子招标投标交易平台向招标人或代理机构提出意见。</w:t>
      </w:r>
    </w:p>
    <w:p>
      <w:pPr>
        <w:spacing w:line="360" w:lineRule="auto"/>
        <w:ind w:firstLine="420" w:firstLineChars="200"/>
        <w:rPr>
          <w:rFonts w:ascii="宋体" w:hAnsi="宋体"/>
          <w:szCs w:val="21"/>
          <w:highlight w:val="none"/>
        </w:rPr>
      </w:pPr>
      <w:r>
        <w:rPr>
          <w:rFonts w:hint="eastAsia" w:ascii="宋体" w:hAnsi="宋体"/>
          <w:szCs w:val="21"/>
          <w:highlight w:val="none"/>
        </w:rPr>
        <w:t>2.2.2  投标人需要澄清的一切问题可向招标人提出澄清要求，并将澄清问题通过发布招标文件所在的电子招标投标交易平台向招标代理机构提出。投标人提出的问题及招标人的解答，将统一整理为按时序编号的补充材料，以公开形式通过发布招标文件所在的电子招标投标交易平台通知所有招标文件收受人。补充材料是招标文件的组成部分，对投标人起约束作用。补充材料如与原招标文件不符，以最新的修改为准。</w:t>
      </w:r>
    </w:p>
    <w:p>
      <w:pPr>
        <w:spacing w:line="360" w:lineRule="auto"/>
        <w:ind w:firstLine="420" w:firstLineChars="200"/>
        <w:rPr>
          <w:rFonts w:ascii="宋体" w:hAnsi="宋体"/>
          <w:szCs w:val="21"/>
          <w:highlight w:val="none"/>
        </w:rPr>
      </w:pPr>
      <w:r>
        <w:rPr>
          <w:rFonts w:hint="eastAsia" w:ascii="宋体" w:hAnsi="宋体"/>
          <w:szCs w:val="21"/>
          <w:highlight w:val="none"/>
        </w:rPr>
        <w:t>2.2.3  投标人应随时关注本项目发布招标文件所在的电子招标投标交易平台，以便及时收到有关信息。</w:t>
      </w:r>
    </w:p>
    <w:p>
      <w:pPr>
        <w:spacing w:line="360" w:lineRule="auto"/>
        <w:ind w:firstLine="420" w:firstLineChars="200"/>
        <w:rPr>
          <w:rFonts w:ascii="仿宋_GB2312" w:eastAsia="仿宋_GB2312"/>
          <w:sz w:val="32"/>
          <w:szCs w:val="32"/>
          <w:highlight w:val="none"/>
        </w:rPr>
      </w:pPr>
      <w:r>
        <w:rPr>
          <w:rFonts w:hint="eastAsia" w:ascii="宋体" w:hAnsi="宋体"/>
          <w:szCs w:val="21"/>
          <w:highlight w:val="none"/>
        </w:rPr>
        <w:t>2.2.4  投标人对招标文件及随后收到的有关资料有质疑或异议的，应当在投标截止时间10天前发布招标文件所在的电子招标投标交易平台向招标人提出。</w:t>
      </w:r>
    </w:p>
    <w:p>
      <w:pPr>
        <w:spacing w:line="360" w:lineRule="auto"/>
        <w:ind w:firstLine="420" w:firstLineChars="200"/>
        <w:rPr>
          <w:rFonts w:ascii="宋体" w:hAnsi="宋体"/>
          <w:szCs w:val="21"/>
          <w:highlight w:val="none"/>
        </w:rPr>
      </w:pPr>
      <w:r>
        <w:rPr>
          <w:rFonts w:hint="eastAsia" w:ascii="宋体" w:hAnsi="宋体"/>
          <w:szCs w:val="21"/>
          <w:highlight w:val="none"/>
        </w:rPr>
        <w:t>2.2.5  投标人提出问题（质疑、异议）、要求澄清截止时间后，招标人不再接受投标人提出的问题（质疑、异议）、要求澄清的要求。</w:t>
      </w:r>
    </w:p>
    <w:p>
      <w:pPr>
        <w:pStyle w:val="4"/>
        <w:rPr>
          <w:highlight w:val="none"/>
        </w:rPr>
      </w:pPr>
      <w:bookmarkStart w:id="412" w:name="_Toc25536"/>
      <w:bookmarkStart w:id="413" w:name="_Toc17167"/>
      <w:bookmarkStart w:id="414" w:name="_Toc6271"/>
      <w:bookmarkStart w:id="415" w:name="_Toc28716"/>
      <w:r>
        <w:rPr>
          <w:rFonts w:hint="eastAsia"/>
          <w:highlight w:val="none"/>
        </w:rPr>
        <w:t>2.3 招标文件的修改</w:t>
      </w:r>
      <w:bookmarkEnd w:id="412"/>
      <w:bookmarkEnd w:id="413"/>
      <w:bookmarkEnd w:id="414"/>
      <w:bookmarkEnd w:id="415"/>
    </w:p>
    <w:p>
      <w:pPr>
        <w:spacing w:line="360" w:lineRule="auto"/>
        <w:ind w:firstLine="420" w:firstLineChars="200"/>
        <w:rPr>
          <w:rFonts w:ascii="宋体" w:hAnsi="宋体"/>
          <w:szCs w:val="21"/>
          <w:highlight w:val="none"/>
        </w:rPr>
      </w:pPr>
      <w:r>
        <w:rPr>
          <w:rFonts w:hint="eastAsia" w:ascii="宋体" w:hAnsi="宋体"/>
          <w:szCs w:val="21"/>
          <w:highlight w:val="none"/>
        </w:rPr>
        <w:t>2.3.1  在投标截止时间15天前，招标人可以修改招标文件，并以公开形式通过发布招标文件所在的电子招标投标交易平台通知所有招标文件收受人（通知发出视为送达到各招标文件收受人）。如果修改招标文件的时间距投标截止时间不足15天，相应延长投标截止时间。</w:t>
      </w:r>
    </w:p>
    <w:p>
      <w:pPr>
        <w:spacing w:line="360" w:lineRule="auto"/>
        <w:ind w:firstLine="420" w:firstLineChars="200"/>
        <w:rPr>
          <w:rFonts w:ascii="宋体" w:hAnsi="宋体"/>
          <w:szCs w:val="21"/>
          <w:highlight w:val="none"/>
        </w:rPr>
      </w:pPr>
      <w:r>
        <w:rPr>
          <w:rFonts w:hint="eastAsia" w:ascii="宋体" w:hAnsi="宋体"/>
          <w:szCs w:val="21"/>
          <w:highlight w:val="none"/>
        </w:rPr>
        <w:t>2.3.2投标人应随时关注本项目发布招标文件所在的电子招标投标交易平台，以便及时收到有关信息。招标人通过发布招标文件所在的电子招标投标交易平台发出通知视为将招标文件的澄清送达到各招标文件收受人。投标人如不随时关注本项目发布招标文件所在的电子招标投标交易平台，由此引起的后果由投标人负责。</w:t>
      </w:r>
    </w:p>
    <w:p>
      <w:pPr>
        <w:pStyle w:val="3"/>
        <w:rPr>
          <w:highlight w:val="none"/>
        </w:rPr>
      </w:pPr>
      <w:bookmarkStart w:id="416" w:name="_Toc487562635"/>
      <w:bookmarkStart w:id="417" w:name="_Toc3527"/>
      <w:bookmarkStart w:id="418" w:name="_Toc7034"/>
      <w:bookmarkStart w:id="419" w:name="_Toc20342"/>
      <w:bookmarkStart w:id="420" w:name="_Toc2133"/>
      <w:bookmarkStart w:id="421" w:name="_Toc25197"/>
      <w:bookmarkStart w:id="422" w:name="_Toc31791"/>
      <w:bookmarkStart w:id="423" w:name="_Toc22003"/>
      <w:r>
        <w:rPr>
          <w:rFonts w:hint="eastAsia"/>
          <w:highlight w:val="none"/>
        </w:rPr>
        <w:t>3. 投标文件</w:t>
      </w:r>
      <w:bookmarkEnd w:id="406"/>
      <w:bookmarkEnd w:id="407"/>
      <w:bookmarkEnd w:id="408"/>
      <w:bookmarkEnd w:id="409"/>
      <w:bookmarkEnd w:id="410"/>
      <w:bookmarkEnd w:id="411"/>
      <w:bookmarkEnd w:id="416"/>
      <w:bookmarkEnd w:id="417"/>
      <w:bookmarkEnd w:id="418"/>
      <w:bookmarkEnd w:id="419"/>
      <w:bookmarkEnd w:id="420"/>
      <w:bookmarkEnd w:id="421"/>
      <w:bookmarkEnd w:id="422"/>
      <w:bookmarkEnd w:id="423"/>
    </w:p>
    <w:p>
      <w:pPr>
        <w:pStyle w:val="4"/>
        <w:rPr>
          <w:highlight w:val="none"/>
        </w:rPr>
      </w:pPr>
      <w:bookmarkStart w:id="424" w:name="_Toc13225"/>
      <w:bookmarkStart w:id="425" w:name="_Toc6523"/>
      <w:bookmarkStart w:id="426" w:name="_Toc22813"/>
      <w:bookmarkStart w:id="427" w:name="_Toc247513971"/>
      <w:bookmarkStart w:id="428" w:name="_Toc487131353"/>
      <w:bookmarkStart w:id="429" w:name="_Toc25611"/>
      <w:bookmarkStart w:id="430" w:name="_Toc469605930"/>
      <w:bookmarkStart w:id="431" w:name="_Toc7523"/>
      <w:bookmarkStart w:id="432" w:name="_Toc152042323"/>
      <w:bookmarkStart w:id="433" w:name="_Toc152045547"/>
      <w:bookmarkStart w:id="434" w:name="_Toc487562636"/>
      <w:bookmarkStart w:id="435" w:name="_Toc24716"/>
      <w:bookmarkStart w:id="436" w:name="_Toc22578"/>
      <w:bookmarkStart w:id="437" w:name="_Toc487202486"/>
      <w:bookmarkStart w:id="438" w:name="_Toc247527572"/>
      <w:bookmarkStart w:id="439" w:name="_Toc144974515"/>
      <w:r>
        <w:rPr>
          <w:rFonts w:hint="eastAsia" w:ascii="Times New Roman" w:hAnsi="Times New Roman"/>
          <w:highlight w:val="none"/>
        </w:rPr>
        <w:t>3.1</w:t>
      </w:r>
      <w:r>
        <w:rPr>
          <w:rFonts w:hint="eastAsia"/>
          <w:highlight w:val="none"/>
        </w:rPr>
        <w:t xml:space="preserve"> 投标文件的组成</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spacing w:line="400" w:lineRule="exact"/>
        <w:ind w:firstLine="315" w:firstLineChars="150"/>
        <w:rPr>
          <w:highlight w:val="none"/>
        </w:rPr>
      </w:pPr>
      <w:r>
        <w:rPr>
          <w:rFonts w:hint="eastAsia"/>
          <w:highlight w:val="none"/>
        </w:rPr>
        <w:t>3.1.1 投标文件应包括下列内容：</w:t>
      </w:r>
    </w:p>
    <w:p>
      <w:pPr>
        <w:spacing w:line="400" w:lineRule="exact"/>
        <w:ind w:firstLine="315" w:firstLineChars="150"/>
        <w:rPr>
          <w:highlight w:val="none"/>
        </w:rPr>
      </w:pPr>
      <w:r>
        <w:rPr>
          <w:rFonts w:hint="eastAsia"/>
          <w:highlight w:val="none"/>
        </w:rPr>
        <w:t>1、资格审查商务文件（具体编制要求及格式见第六章“投标文件格式）：</w:t>
      </w:r>
    </w:p>
    <w:p>
      <w:pPr>
        <w:spacing w:line="400" w:lineRule="exact"/>
        <w:ind w:firstLine="315" w:firstLineChars="150"/>
        <w:rPr>
          <w:highlight w:val="none"/>
        </w:rPr>
      </w:pPr>
      <w:r>
        <w:rPr>
          <w:rFonts w:hint="eastAsia"/>
          <w:highlight w:val="none"/>
        </w:rPr>
        <w:t>（1）企业营业执照、安全生产许可证（若为联合体，联合体各方均需提供）；</w:t>
      </w:r>
    </w:p>
    <w:p>
      <w:pPr>
        <w:spacing w:line="400" w:lineRule="exact"/>
        <w:ind w:firstLine="315" w:firstLineChars="150"/>
        <w:rPr>
          <w:highlight w:val="none"/>
        </w:rPr>
      </w:pPr>
      <w:r>
        <w:rPr>
          <w:rFonts w:hint="eastAsia"/>
          <w:highlight w:val="none"/>
        </w:rPr>
        <w:t>（2）资质证书（若为联合体，联合体各方均需提供）；</w:t>
      </w:r>
    </w:p>
    <w:p>
      <w:pPr>
        <w:spacing w:line="400" w:lineRule="exact"/>
        <w:ind w:firstLine="315" w:firstLineChars="150"/>
        <w:rPr>
          <w:highlight w:val="none"/>
        </w:rPr>
      </w:pPr>
      <w:r>
        <w:rPr>
          <w:rFonts w:hint="eastAsia"/>
          <w:highlight w:val="none"/>
        </w:rPr>
        <w:t>（3）投标保证金；</w:t>
      </w:r>
    </w:p>
    <w:p>
      <w:pPr>
        <w:spacing w:line="400" w:lineRule="exact"/>
        <w:ind w:firstLine="315" w:firstLineChars="150"/>
        <w:rPr>
          <w:highlight w:val="none"/>
        </w:rPr>
      </w:pPr>
      <w:r>
        <w:rPr>
          <w:rFonts w:hint="eastAsia"/>
          <w:highlight w:val="none"/>
        </w:rPr>
        <w:t>（4）广东省以外的投标企业进粤信息登记（若为联合体，联合体各方均需提供）；</w:t>
      </w:r>
    </w:p>
    <w:p>
      <w:pPr>
        <w:spacing w:line="400" w:lineRule="exact"/>
        <w:ind w:firstLine="315" w:firstLineChars="150"/>
        <w:rPr>
          <w:highlight w:val="none"/>
        </w:rPr>
      </w:pPr>
      <w:r>
        <w:rPr>
          <w:rFonts w:hint="eastAsia"/>
          <w:highlight w:val="none"/>
        </w:rPr>
        <w:t>（5）信用要求（若为联合体，联合体各方均需提供）；</w:t>
      </w:r>
    </w:p>
    <w:p>
      <w:pPr>
        <w:spacing w:line="400" w:lineRule="exact"/>
        <w:ind w:firstLine="315" w:firstLineChars="150"/>
        <w:rPr>
          <w:highlight w:val="none"/>
        </w:rPr>
      </w:pPr>
      <w:r>
        <w:rPr>
          <w:rFonts w:hint="eastAsia"/>
          <w:highlight w:val="none"/>
        </w:rPr>
        <w:t>（6）项目负责人资格；</w:t>
      </w:r>
    </w:p>
    <w:p>
      <w:pPr>
        <w:spacing w:line="400" w:lineRule="exact"/>
        <w:ind w:firstLine="315" w:firstLineChars="150"/>
        <w:rPr>
          <w:highlight w:val="none"/>
        </w:rPr>
      </w:pPr>
      <w:r>
        <w:rPr>
          <w:rFonts w:hint="eastAsia"/>
          <w:highlight w:val="none"/>
        </w:rPr>
        <w:t>（7）联合体协议书（如有）；</w:t>
      </w:r>
    </w:p>
    <w:p>
      <w:pPr>
        <w:spacing w:line="400" w:lineRule="exact"/>
        <w:ind w:firstLine="315" w:firstLineChars="150"/>
        <w:rPr>
          <w:highlight w:val="none"/>
        </w:rPr>
      </w:pPr>
      <w:r>
        <w:rPr>
          <w:rFonts w:hint="eastAsia"/>
          <w:highlight w:val="none"/>
        </w:rPr>
        <w:t>（8）投标函及投标函附录；</w:t>
      </w:r>
    </w:p>
    <w:p>
      <w:pPr>
        <w:spacing w:line="400" w:lineRule="exact"/>
        <w:ind w:firstLine="315" w:firstLineChars="150"/>
        <w:rPr>
          <w:highlight w:val="none"/>
        </w:rPr>
      </w:pPr>
      <w:r>
        <w:rPr>
          <w:rFonts w:hint="eastAsia"/>
          <w:highlight w:val="none"/>
        </w:rPr>
        <w:t>（9）法定代表人身份证明；</w:t>
      </w:r>
    </w:p>
    <w:p>
      <w:pPr>
        <w:spacing w:line="400" w:lineRule="exact"/>
        <w:ind w:firstLine="315" w:firstLineChars="150"/>
        <w:rPr>
          <w:highlight w:val="none"/>
        </w:rPr>
      </w:pPr>
      <w:r>
        <w:rPr>
          <w:rFonts w:hint="eastAsia"/>
          <w:highlight w:val="none"/>
        </w:rPr>
        <w:t>（10）授权委托书；</w:t>
      </w:r>
    </w:p>
    <w:p>
      <w:pPr>
        <w:spacing w:line="400" w:lineRule="exact"/>
        <w:ind w:firstLine="315" w:firstLineChars="150"/>
        <w:rPr>
          <w:highlight w:val="none"/>
        </w:rPr>
      </w:pPr>
      <w:r>
        <w:rPr>
          <w:rFonts w:hint="eastAsia"/>
          <w:highlight w:val="none"/>
        </w:rPr>
        <w:t>（11）已标价工程量清单；</w:t>
      </w:r>
    </w:p>
    <w:p>
      <w:pPr>
        <w:spacing w:line="400" w:lineRule="exact"/>
        <w:ind w:firstLine="315" w:firstLineChars="150"/>
        <w:rPr>
          <w:highlight w:val="none"/>
        </w:rPr>
      </w:pPr>
      <w:r>
        <w:rPr>
          <w:rFonts w:hint="eastAsia"/>
          <w:highlight w:val="none"/>
        </w:rPr>
        <w:t>（12）工程承诺书；</w:t>
      </w:r>
    </w:p>
    <w:p>
      <w:pPr>
        <w:spacing w:line="400" w:lineRule="exact"/>
        <w:ind w:firstLine="315" w:firstLineChars="150"/>
        <w:rPr>
          <w:highlight w:val="none"/>
        </w:rPr>
      </w:pPr>
      <w:r>
        <w:rPr>
          <w:rFonts w:hint="eastAsia"/>
          <w:highlight w:val="none"/>
        </w:rPr>
        <w:t>（13）投标人诚信承诺书；</w:t>
      </w:r>
    </w:p>
    <w:p>
      <w:pPr>
        <w:spacing w:line="400" w:lineRule="exact"/>
        <w:ind w:firstLine="315" w:firstLineChars="150"/>
        <w:rPr>
          <w:highlight w:val="none"/>
        </w:rPr>
      </w:pPr>
      <w:r>
        <w:rPr>
          <w:rFonts w:hint="eastAsia"/>
          <w:highlight w:val="none"/>
        </w:rPr>
        <w:t>（14）拟分包项目情况表（如有）；</w:t>
      </w:r>
    </w:p>
    <w:p>
      <w:pPr>
        <w:spacing w:line="400" w:lineRule="exact"/>
        <w:ind w:firstLine="315" w:firstLineChars="150"/>
        <w:rPr>
          <w:highlight w:val="none"/>
        </w:rPr>
      </w:pPr>
      <w:r>
        <w:rPr>
          <w:rFonts w:hint="eastAsia"/>
          <w:highlight w:val="none"/>
        </w:rPr>
        <w:t>（15）商务评审材料；</w:t>
      </w:r>
    </w:p>
    <w:p>
      <w:pPr>
        <w:spacing w:line="400" w:lineRule="exact"/>
        <w:ind w:firstLine="315" w:firstLineChars="150"/>
        <w:rPr>
          <w:highlight w:val="none"/>
        </w:rPr>
      </w:pPr>
      <w:r>
        <w:rPr>
          <w:rFonts w:hint="eastAsia"/>
          <w:highlight w:val="none"/>
        </w:rPr>
        <w:t>（16）投标人业绩信誉；</w:t>
      </w:r>
    </w:p>
    <w:p>
      <w:pPr>
        <w:spacing w:line="400" w:lineRule="exact"/>
        <w:ind w:firstLine="315" w:firstLineChars="150"/>
        <w:rPr>
          <w:highlight w:val="none"/>
        </w:rPr>
      </w:pPr>
      <w:r>
        <w:rPr>
          <w:rFonts w:hint="eastAsia"/>
          <w:highlight w:val="none"/>
        </w:rPr>
        <w:t xml:space="preserve">（17）其他投标人认为需要提供的材料； </w:t>
      </w:r>
    </w:p>
    <w:p>
      <w:pPr>
        <w:spacing w:line="400" w:lineRule="exact"/>
        <w:ind w:firstLine="315" w:firstLineChars="150"/>
        <w:rPr>
          <w:highlight w:val="none"/>
        </w:rPr>
      </w:pPr>
      <w:r>
        <w:rPr>
          <w:rFonts w:hint="eastAsia"/>
          <w:highlight w:val="none"/>
        </w:rPr>
        <w:t>（18）投标人须知前附表规定的其他资料。</w:t>
      </w:r>
    </w:p>
    <w:p>
      <w:pPr>
        <w:spacing w:line="400" w:lineRule="exact"/>
        <w:ind w:firstLine="315" w:firstLineChars="150"/>
        <w:rPr>
          <w:highlight w:val="none"/>
        </w:rPr>
      </w:pPr>
      <w:r>
        <w:rPr>
          <w:rFonts w:hint="eastAsia"/>
          <w:highlight w:val="none"/>
        </w:rPr>
        <w:t>2、技术部分投标文件（具体编制要求及格式见第六章“投标文件格式”）；</w:t>
      </w:r>
    </w:p>
    <w:p>
      <w:pPr>
        <w:pStyle w:val="4"/>
        <w:rPr>
          <w:highlight w:val="none"/>
        </w:rPr>
      </w:pPr>
      <w:bookmarkStart w:id="440" w:name="_Toc487202487"/>
      <w:bookmarkStart w:id="441" w:name="_Toc11728"/>
      <w:bookmarkStart w:id="442" w:name="_Toc487562637"/>
      <w:bookmarkStart w:id="443" w:name="_Toc487131354"/>
      <w:bookmarkStart w:id="444" w:name="_Toc10804"/>
      <w:bookmarkStart w:id="445" w:name="_Toc22062"/>
      <w:bookmarkStart w:id="446" w:name="_Toc144974516"/>
      <w:bookmarkStart w:id="447" w:name="_Toc2771"/>
      <w:bookmarkStart w:id="448" w:name="_Toc27091"/>
      <w:bookmarkStart w:id="449" w:name="_Toc152045548"/>
      <w:bookmarkStart w:id="450" w:name="_Toc152042324"/>
      <w:bookmarkStart w:id="451" w:name="_Toc11746"/>
      <w:bookmarkStart w:id="452" w:name="_Toc247527573"/>
      <w:bookmarkStart w:id="453" w:name="_Toc20071"/>
      <w:bookmarkStart w:id="454" w:name="_Toc247513972"/>
      <w:bookmarkStart w:id="455" w:name="_Toc469605931"/>
      <w:r>
        <w:rPr>
          <w:rFonts w:hint="eastAsia" w:ascii="Times New Roman" w:hAnsi="Times New Roman"/>
          <w:highlight w:val="none"/>
        </w:rPr>
        <w:t>3.2</w:t>
      </w:r>
      <w:r>
        <w:rPr>
          <w:rFonts w:hint="eastAsia"/>
          <w:highlight w:val="none"/>
        </w:rPr>
        <w:t xml:space="preserve"> 投标报价</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hint="eastAsia"/>
          <w:highlight w:val="none"/>
        </w:rPr>
        <w:t xml:space="preserve"> </w:t>
      </w:r>
    </w:p>
    <w:p>
      <w:pPr>
        <w:spacing w:line="400" w:lineRule="exact"/>
        <w:ind w:firstLine="420" w:firstLineChars="200"/>
        <w:rPr>
          <w:highlight w:val="none"/>
        </w:rPr>
      </w:pPr>
      <w:r>
        <w:rPr>
          <w:rFonts w:hint="eastAsia"/>
          <w:highlight w:val="none"/>
        </w:rPr>
        <w:t>3.2.1 投标人应按第六章“投标文件格式”的要求填写价格清单。</w:t>
      </w:r>
    </w:p>
    <w:p>
      <w:pPr>
        <w:spacing w:line="440" w:lineRule="exact"/>
        <w:ind w:firstLine="420" w:firstLineChars="200"/>
        <w:rPr>
          <w:szCs w:val="21"/>
          <w:highlight w:val="none"/>
        </w:rPr>
      </w:pPr>
      <w:r>
        <w:rPr>
          <w:rFonts w:hint="eastAsia"/>
          <w:highlight w:val="none"/>
        </w:rPr>
        <w:t xml:space="preserve">3.2.2 </w:t>
      </w:r>
      <w:r>
        <w:rPr>
          <w:rFonts w:hint="eastAsia"/>
          <w:szCs w:val="21"/>
          <w:highlight w:val="none"/>
        </w:rPr>
        <w:t>投标人应充分了解施工场地的</w:t>
      </w:r>
      <w:r>
        <w:rPr>
          <w:szCs w:val="21"/>
          <w:highlight w:val="none"/>
        </w:rPr>
        <w:t>位置、周边</w:t>
      </w:r>
      <w:r>
        <w:rPr>
          <w:rFonts w:hint="eastAsia"/>
          <w:szCs w:val="21"/>
          <w:highlight w:val="none"/>
        </w:rPr>
        <w:t>环境</w:t>
      </w:r>
      <w:r>
        <w:rPr>
          <w:szCs w:val="21"/>
          <w:highlight w:val="none"/>
        </w:rPr>
        <w:t>、道路、装卸、保管、安装限制</w:t>
      </w:r>
      <w:r>
        <w:rPr>
          <w:rFonts w:hint="eastAsia"/>
          <w:szCs w:val="21"/>
          <w:highlight w:val="none"/>
        </w:rPr>
        <w:t>以</w:t>
      </w:r>
      <w:r>
        <w:rPr>
          <w:szCs w:val="21"/>
          <w:highlight w:val="none"/>
        </w:rPr>
        <w:t>及影响</w:t>
      </w:r>
      <w:r>
        <w:rPr>
          <w:rFonts w:hint="eastAsia"/>
          <w:szCs w:val="21"/>
          <w:highlight w:val="none"/>
        </w:rPr>
        <w:t>投标报价的其他要素。投标人</w:t>
      </w:r>
      <w:r>
        <w:rPr>
          <w:szCs w:val="21"/>
          <w:highlight w:val="none"/>
        </w:rPr>
        <w:t>根据</w:t>
      </w:r>
      <w:r>
        <w:rPr>
          <w:rFonts w:hint="eastAsia"/>
          <w:szCs w:val="21"/>
          <w:highlight w:val="none"/>
        </w:rPr>
        <w:t>投标</w:t>
      </w:r>
      <w:r>
        <w:rPr>
          <w:szCs w:val="21"/>
          <w:highlight w:val="none"/>
        </w:rPr>
        <w:t>设计</w:t>
      </w:r>
      <w:r>
        <w:rPr>
          <w:rFonts w:hint="eastAsia"/>
          <w:szCs w:val="21"/>
          <w:highlight w:val="none"/>
        </w:rPr>
        <w:t>，结合</w:t>
      </w:r>
      <w:r>
        <w:rPr>
          <w:szCs w:val="21"/>
          <w:highlight w:val="none"/>
        </w:rPr>
        <w:t>市场情况进行投标报价。</w:t>
      </w:r>
    </w:p>
    <w:p>
      <w:pPr>
        <w:spacing w:line="400" w:lineRule="exact"/>
        <w:ind w:firstLine="420" w:firstLineChars="200"/>
        <w:rPr>
          <w:highlight w:val="none"/>
        </w:rPr>
      </w:pPr>
      <w:r>
        <w:rPr>
          <w:rFonts w:hint="eastAsia"/>
          <w:highlight w:val="none"/>
        </w:rPr>
        <w:t>3.2.3 投标人在投标截止时间前修改投标函中的投标报价总额，应同时修改投标文件“价格清单”中的相应报价，投标报价总额为各分项金额之和。此修改须符合本章第4.3款的有关要求。</w:t>
      </w:r>
    </w:p>
    <w:p>
      <w:pPr>
        <w:spacing w:line="400" w:lineRule="exact"/>
        <w:ind w:firstLine="420" w:firstLineChars="200"/>
        <w:rPr>
          <w:highlight w:val="none"/>
        </w:rPr>
      </w:pPr>
      <w:r>
        <w:rPr>
          <w:rFonts w:hint="eastAsia"/>
          <w:highlight w:val="none"/>
        </w:rPr>
        <w:t>3.2.4 招标人设有</w:t>
      </w:r>
      <w:r>
        <w:rPr>
          <w:rFonts w:hint="eastAsia"/>
          <w:highlight w:val="none"/>
          <w:lang w:eastAsia="zh-CN"/>
        </w:rPr>
        <w:t>最高限价</w:t>
      </w:r>
      <w:r>
        <w:rPr>
          <w:rFonts w:hint="eastAsia"/>
          <w:highlight w:val="none"/>
        </w:rPr>
        <w:t>的，投标人的投标报价不得超过</w:t>
      </w:r>
      <w:r>
        <w:rPr>
          <w:rFonts w:hint="eastAsia"/>
          <w:highlight w:val="none"/>
          <w:lang w:eastAsia="zh-CN"/>
        </w:rPr>
        <w:t>最高限价</w:t>
      </w:r>
      <w:r>
        <w:rPr>
          <w:rFonts w:hint="eastAsia"/>
          <w:highlight w:val="none"/>
        </w:rPr>
        <w:t>，</w:t>
      </w:r>
      <w:r>
        <w:rPr>
          <w:rFonts w:hint="eastAsia"/>
          <w:highlight w:val="none"/>
          <w:lang w:eastAsia="zh-CN"/>
        </w:rPr>
        <w:t>最高限价</w:t>
      </w:r>
      <w:r>
        <w:rPr>
          <w:rFonts w:hint="eastAsia"/>
          <w:highlight w:val="none"/>
        </w:rPr>
        <w:t>或其计算方法在投标人须知前附表中载明。</w:t>
      </w:r>
    </w:p>
    <w:p>
      <w:pPr>
        <w:spacing w:line="400" w:lineRule="exact"/>
        <w:ind w:firstLine="420" w:firstLineChars="200"/>
        <w:rPr>
          <w:highlight w:val="none"/>
        </w:rPr>
      </w:pPr>
      <w:r>
        <w:rPr>
          <w:rFonts w:hint="eastAsia"/>
          <w:highlight w:val="none"/>
        </w:rPr>
        <w:t>3.2.5 投标报价的其他要求及说明见投标人须知前附表。</w:t>
      </w:r>
    </w:p>
    <w:p>
      <w:pPr>
        <w:pStyle w:val="4"/>
        <w:rPr>
          <w:highlight w:val="none"/>
        </w:rPr>
      </w:pPr>
      <w:bookmarkStart w:id="456" w:name="_Toc152042325"/>
      <w:bookmarkStart w:id="457" w:name="_Toc23240"/>
      <w:bookmarkStart w:id="458" w:name="_Toc487562638"/>
      <w:bookmarkStart w:id="459" w:name="_Toc469605932"/>
      <w:bookmarkStart w:id="460" w:name="_Toc152045549"/>
      <w:bookmarkStart w:id="461" w:name="_Toc247527574"/>
      <w:bookmarkStart w:id="462" w:name="_Toc247513973"/>
      <w:bookmarkStart w:id="463" w:name="_Toc28787"/>
      <w:bookmarkStart w:id="464" w:name="_Toc19240"/>
      <w:bookmarkStart w:id="465" w:name="_Toc31376"/>
      <w:bookmarkStart w:id="466" w:name="_Toc20925"/>
      <w:bookmarkStart w:id="467" w:name="_Toc19187"/>
      <w:bookmarkStart w:id="468" w:name="_Toc144974517"/>
      <w:bookmarkStart w:id="469" w:name="_Toc487131355"/>
      <w:bookmarkStart w:id="470" w:name="_Toc487202488"/>
      <w:bookmarkStart w:id="471" w:name="_Toc29557"/>
      <w:r>
        <w:rPr>
          <w:rFonts w:hint="eastAsia" w:ascii="Times New Roman" w:hAnsi="Times New Roman"/>
          <w:highlight w:val="none"/>
        </w:rPr>
        <w:t>3.3</w:t>
      </w:r>
      <w:r>
        <w:rPr>
          <w:rFonts w:hint="eastAsia"/>
          <w:highlight w:val="none"/>
        </w:rPr>
        <w:t xml:space="preserve"> 投标有效期</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spacing w:line="400" w:lineRule="exact"/>
        <w:ind w:firstLine="420" w:firstLineChars="200"/>
        <w:rPr>
          <w:highlight w:val="none"/>
        </w:rPr>
      </w:pPr>
      <w:r>
        <w:rPr>
          <w:rFonts w:hint="eastAsia"/>
          <w:highlight w:val="none"/>
        </w:rPr>
        <w:t>3.3.1投标有效期见投标人须知前附表。</w:t>
      </w:r>
    </w:p>
    <w:p>
      <w:pPr>
        <w:spacing w:line="400" w:lineRule="exact"/>
        <w:ind w:firstLine="420" w:firstLineChars="200"/>
        <w:rPr>
          <w:highlight w:val="none"/>
        </w:rPr>
      </w:pPr>
      <w:r>
        <w:rPr>
          <w:rFonts w:hint="eastAsia"/>
          <w:highlight w:val="none"/>
        </w:rPr>
        <w:t>3.3.2 在投标有效期内，投标人撤销或修改其投标文件的，应承担招标文件和法律规定的责任。</w:t>
      </w:r>
    </w:p>
    <w:p>
      <w:pPr>
        <w:spacing w:line="400" w:lineRule="exact"/>
        <w:ind w:firstLine="420" w:firstLineChars="200"/>
        <w:rPr>
          <w:highlight w:val="none"/>
        </w:rPr>
      </w:pPr>
      <w:r>
        <w:rPr>
          <w:rFonts w:hint="eastAsia"/>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4"/>
        <w:rPr>
          <w:highlight w:val="none"/>
        </w:rPr>
      </w:pPr>
      <w:bookmarkStart w:id="472" w:name="_Toc152045550"/>
      <w:bookmarkStart w:id="473" w:name="_Toc487562639"/>
      <w:bookmarkStart w:id="474" w:name="_Toc8277"/>
      <w:bookmarkStart w:id="475" w:name="_Toc247527575"/>
      <w:bookmarkStart w:id="476" w:name="_Toc144974518"/>
      <w:bookmarkStart w:id="477" w:name="_Toc4418"/>
      <w:bookmarkStart w:id="478" w:name="_Toc487131356"/>
      <w:bookmarkStart w:id="479" w:name="_Toc3625"/>
      <w:bookmarkStart w:id="480" w:name="_Toc18627"/>
      <w:bookmarkStart w:id="481" w:name="_Toc487202489"/>
      <w:bookmarkStart w:id="482" w:name="_Toc17154"/>
      <w:bookmarkStart w:id="483" w:name="_Toc152042326"/>
      <w:bookmarkStart w:id="484" w:name="_Toc469605933"/>
      <w:bookmarkStart w:id="485" w:name="_Toc30950"/>
      <w:bookmarkStart w:id="486" w:name="_Toc27103"/>
      <w:bookmarkStart w:id="487" w:name="_Toc247513974"/>
      <w:r>
        <w:rPr>
          <w:rFonts w:hint="eastAsia" w:ascii="Times New Roman" w:hAnsi="Times New Roman"/>
          <w:highlight w:val="none"/>
        </w:rPr>
        <w:t>3.4</w:t>
      </w:r>
      <w:r>
        <w:rPr>
          <w:rFonts w:hint="eastAsia"/>
          <w:highlight w:val="none"/>
        </w:rPr>
        <w:t xml:space="preserve"> 投标保证金</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pPr>
        <w:spacing w:line="400" w:lineRule="exact"/>
        <w:ind w:firstLine="420" w:firstLineChars="200"/>
        <w:rPr>
          <w:highlight w:val="none"/>
        </w:rPr>
      </w:pPr>
      <w:r>
        <w:rPr>
          <w:rFonts w:hint="eastAsia"/>
          <w:highlight w:val="none"/>
        </w:rPr>
        <w:t>3.4.1 投标人在递交投标文件的同时，应按投标人须知前附表规定的金额、担保形式和第六章“投标文件格式”规定的投标保证金格式递交投标保证金，并作为其投标文件的组成部分。联合体投标的，其投标保证金由</w:t>
      </w:r>
      <w:r>
        <w:rPr>
          <w:rFonts w:hint="eastAsia"/>
          <w:szCs w:val="21"/>
          <w:highlight w:val="none"/>
        </w:rPr>
        <w:t>任意一方</w:t>
      </w:r>
      <w:r>
        <w:rPr>
          <w:rFonts w:hint="eastAsia"/>
          <w:highlight w:val="none"/>
        </w:rPr>
        <w:t>递交，并应符合投标人须知前附表的规定。</w:t>
      </w:r>
    </w:p>
    <w:p>
      <w:pPr>
        <w:spacing w:line="400" w:lineRule="exact"/>
        <w:ind w:firstLine="420" w:firstLineChars="200"/>
        <w:rPr>
          <w:highlight w:val="none"/>
        </w:rPr>
      </w:pPr>
      <w:r>
        <w:rPr>
          <w:rFonts w:hint="eastAsia"/>
          <w:highlight w:val="none"/>
        </w:rPr>
        <w:t>3.4.2 投标人不按本章第3.4.1项要求提交投标保证金的，评标委员会将否决其投标。</w:t>
      </w:r>
    </w:p>
    <w:p>
      <w:pPr>
        <w:spacing w:line="400" w:lineRule="exact"/>
        <w:ind w:firstLine="420" w:firstLineChars="200"/>
        <w:rPr>
          <w:highlight w:val="none"/>
        </w:rPr>
      </w:pPr>
      <w:r>
        <w:rPr>
          <w:rFonts w:hint="eastAsia"/>
          <w:highlight w:val="none"/>
        </w:rPr>
        <w:t>3.4.3 招标人与中标人签订合同后5日内，向未中标的投标人和中标人退还投标保证金及利息</w:t>
      </w:r>
      <w:r>
        <w:rPr>
          <w:rFonts w:hint="eastAsia" w:ascii="宋体" w:hAnsi="宋体"/>
          <w:szCs w:val="21"/>
          <w:highlight w:val="none"/>
        </w:rPr>
        <w:t>（利息从投标文件递交截止之日起至投标保证金退还前一日止按银行同期活期存款利率计算，投标人提供利息发票后退还利息）</w:t>
      </w:r>
      <w:r>
        <w:rPr>
          <w:rFonts w:hint="eastAsia"/>
          <w:highlight w:val="none"/>
        </w:rPr>
        <w:t>。</w:t>
      </w:r>
    </w:p>
    <w:p>
      <w:pPr>
        <w:spacing w:line="400" w:lineRule="exact"/>
        <w:ind w:firstLine="420" w:firstLineChars="200"/>
        <w:rPr>
          <w:highlight w:val="none"/>
        </w:rPr>
      </w:pPr>
      <w:r>
        <w:rPr>
          <w:rFonts w:hint="eastAsia"/>
          <w:highlight w:val="none"/>
        </w:rPr>
        <w:t xml:space="preserve">3.4.4 有下列情形之一的，投标保证金将不予退还： </w:t>
      </w:r>
    </w:p>
    <w:p>
      <w:pPr>
        <w:spacing w:line="400" w:lineRule="exact"/>
        <w:ind w:firstLine="315" w:firstLineChars="150"/>
        <w:rPr>
          <w:highlight w:val="none"/>
        </w:rPr>
      </w:pPr>
      <w:r>
        <w:rPr>
          <w:rFonts w:hint="eastAsia"/>
          <w:highlight w:val="none"/>
        </w:rPr>
        <w:t>（1）投标人在规定的投标有效期内撤销或修改其投标文件；</w:t>
      </w:r>
    </w:p>
    <w:p>
      <w:pPr>
        <w:spacing w:line="400" w:lineRule="exact"/>
        <w:ind w:firstLine="315" w:firstLineChars="150"/>
        <w:rPr>
          <w:highlight w:val="none"/>
        </w:rPr>
      </w:pPr>
      <w:r>
        <w:rPr>
          <w:rFonts w:hint="eastAsia"/>
          <w:highlight w:val="none"/>
        </w:rPr>
        <w:t xml:space="preserve">（2）中标人在收到中标通知书后，无正当理由拒签合同或未按招标文件规定提交履约担保。 </w:t>
      </w:r>
    </w:p>
    <w:p>
      <w:pPr>
        <w:pStyle w:val="4"/>
        <w:rPr>
          <w:highlight w:val="none"/>
        </w:rPr>
      </w:pPr>
      <w:bookmarkStart w:id="488" w:name="_Toc487202490"/>
      <w:bookmarkStart w:id="489" w:name="_Toc28903"/>
      <w:bookmarkStart w:id="490" w:name="_Toc29733"/>
      <w:bookmarkStart w:id="491" w:name="_Toc152042328"/>
      <w:bookmarkStart w:id="492" w:name="_Toc247513976"/>
      <w:bookmarkStart w:id="493" w:name="_Toc13283"/>
      <w:bookmarkStart w:id="494" w:name="_Toc152045552"/>
      <w:bookmarkStart w:id="495" w:name="_Toc22279"/>
      <w:bookmarkStart w:id="496" w:name="_Toc144974520"/>
      <w:bookmarkStart w:id="497" w:name="_Toc487562640"/>
      <w:bookmarkStart w:id="498" w:name="_Toc6872"/>
      <w:bookmarkStart w:id="499" w:name="_Toc14765"/>
      <w:bookmarkStart w:id="500" w:name="_Toc487131357"/>
      <w:bookmarkStart w:id="501" w:name="_Toc24835"/>
      <w:bookmarkStart w:id="502" w:name="_Toc247527577"/>
      <w:bookmarkStart w:id="503" w:name="_Toc469605934"/>
      <w:r>
        <w:rPr>
          <w:rFonts w:hint="eastAsia" w:ascii="Times New Roman" w:hAnsi="Times New Roman"/>
          <w:highlight w:val="none"/>
        </w:rPr>
        <w:t>3.5</w:t>
      </w:r>
      <w:r>
        <w:rPr>
          <w:rFonts w:hint="eastAsia"/>
          <w:highlight w:val="none"/>
        </w:rPr>
        <w:t xml:space="preserve"> 资格审查资料</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4" w:name="_Toc152045553"/>
      <w:bookmarkStart w:id="505" w:name="_Toc247527578"/>
      <w:bookmarkStart w:id="506" w:name="_Toc247513977"/>
      <w:bookmarkStart w:id="507" w:name="_Toc152042329"/>
      <w:bookmarkStart w:id="508" w:name="_Toc144974521"/>
    </w:p>
    <w:p>
      <w:pPr>
        <w:spacing w:line="360" w:lineRule="auto"/>
        <w:ind w:firstLine="420" w:firstLineChars="200"/>
        <w:rPr>
          <w:rFonts w:ascii="宋体" w:hAnsi="宋体"/>
          <w:szCs w:val="21"/>
          <w:highlight w:val="none"/>
        </w:rPr>
      </w:pPr>
      <w:r>
        <w:rPr>
          <w:rFonts w:hint="eastAsia" w:ascii="宋体" w:hAnsi="宋体"/>
          <w:szCs w:val="21"/>
          <w:highlight w:val="none"/>
        </w:rPr>
        <w:t>3.5.1 “投标人基本情况表”应附投标人营业执照副本、资质证书副本和安全生产许可证等材料的复印件。</w:t>
      </w:r>
    </w:p>
    <w:p>
      <w:pPr>
        <w:spacing w:line="360" w:lineRule="auto"/>
        <w:ind w:firstLine="420" w:firstLineChars="200"/>
        <w:rPr>
          <w:rFonts w:ascii="宋体" w:hAnsi="宋体"/>
          <w:szCs w:val="21"/>
          <w:highlight w:val="none"/>
        </w:rPr>
      </w:pPr>
      <w:r>
        <w:rPr>
          <w:rFonts w:hint="eastAsia" w:ascii="宋体" w:hAnsi="宋体"/>
          <w:szCs w:val="21"/>
          <w:highlight w:val="none"/>
        </w:rPr>
        <w:t>3.5.2 “近年财务状况表”应附经会计师事务所或审计机构审计的财务会计报表，包括资产负债表、现金流量表、利润表和财务情况说明书的复印件，具体年份要求见投标人须知前附表。</w:t>
      </w:r>
    </w:p>
    <w:p>
      <w:pPr>
        <w:spacing w:line="360" w:lineRule="auto"/>
        <w:ind w:firstLine="420" w:firstLineChars="200"/>
        <w:rPr>
          <w:rFonts w:ascii="宋体" w:hAnsi="宋体"/>
          <w:szCs w:val="21"/>
          <w:highlight w:val="none"/>
        </w:rPr>
      </w:pPr>
      <w:r>
        <w:rPr>
          <w:rFonts w:hint="eastAsia" w:ascii="宋体" w:hAnsi="宋体"/>
          <w:szCs w:val="21"/>
          <w:highlight w:val="none"/>
        </w:rPr>
        <w:t>3.5.3 “近年完成的类似项目情况表”应附中标通知书和（或）合同协议书的复印件，具体年份要求见投标人须知前附表。每张表格只填写一个项目，并标明序号。</w:t>
      </w:r>
    </w:p>
    <w:p>
      <w:pPr>
        <w:spacing w:line="360" w:lineRule="auto"/>
        <w:ind w:firstLine="420" w:firstLineChars="200"/>
        <w:rPr>
          <w:rFonts w:ascii="宋体" w:hAnsi="宋体"/>
          <w:szCs w:val="21"/>
          <w:highlight w:val="none"/>
        </w:rPr>
      </w:pPr>
      <w:r>
        <w:rPr>
          <w:rFonts w:hint="eastAsia" w:ascii="宋体" w:hAnsi="宋体"/>
          <w:szCs w:val="21"/>
          <w:highlight w:val="none"/>
        </w:rPr>
        <w:t>3.5.4 “正在施工和新承接的项目情况表”应附中标通知书和（或）合同协议书复印件。每张表格只填写一个项目，并标明序号。具体年份要求见投标人须知前附表。</w:t>
      </w:r>
    </w:p>
    <w:p>
      <w:pPr>
        <w:spacing w:line="360" w:lineRule="auto"/>
        <w:ind w:firstLine="420" w:firstLineChars="200"/>
        <w:rPr>
          <w:rFonts w:ascii="宋体" w:hAnsi="宋体"/>
          <w:szCs w:val="21"/>
          <w:highlight w:val="none"/>
        </w:rPr>
      </w:pPr>
      <w:r>
        <w:rPr>
          <w:rFonts w:hint="eastAsia" w:ascii="宋体" w:hAnsi="宋体"/>
          <w:szCs w:val="21"/>
          <w:highlight w:val="none"/>
        </w:rPr>
        <w:t>3.5.5 “近年发生的诉讼及仲裁情况”应说明相关情况，并附法院或仲裁机构作出的判决、裁决等有关法律文书复印件，具体年份要求见投标人须知前附表。</w:t>
      </w:r>
    </w:p>
    <w:p>
      <w:pPr>
        <w:spacing w:line="360" w:lineRule="auto"/>
        <w:ind w:firstLine="420" w:firstLineChars="200"/>
        <w:rPr>
          <w:rFonts w:ascii="宋体" w:hAnsi="宋体"/>
          <w:szCs w:val="21"/>
          <w:highlight w:val="none"/>
        </w:rPr>
      </w:pPr>
      <w:r>
        <w:rPr>
          <w:rFonts w:hint="eastAsia" w:ascii="宋体" w:hAnsi="宋体"/>
          <w:szCs w:val="21"/>
          <w:highlight w:val="none"/>
        </w:rPr>
        <w:t>3.5.6 投标人须知前附表规定接受联合体投标的，本章第3.5.1 项至第3.5.5 项规定的表格和资料应包括联合体各方相关情况。</w:t>
      </w:r>
    </w:p>
    <w:p>
      <w:pPr>
        <w:rPr>
          <w:highlight w:val="none"/>
        </w:rPr>
      </w:pPr>
    </w:p>
    <w:p>
      <w:pPr>
        <w:pStyle w:val="4"/>
        <w:rPr>
          <w:highlight w:val="none"/>
        </w:rPr>
      </w:pPr>
      <w:bookmarkStart w:id="509" w:name="_Toc26197"/>
      <w:bookmarkStart w:id="510" w:name="_Toc8315"/>
      <w:bookmarkStart w:id="511" w:name="_Toc487202491"/>
      <w:bookmarkStart w:id="512" w:name="_Toc487562641"/>
      <w:bookmarkStart w:id="513" w:name="_Toc16210"/>
      <w:bookmarkStart w:id="514" w:name="_Toc22563"/>
      <w:bookmarkStart w:id="515" w:name="_Toc469605935"/>
      <w:bookmarkStart w:id="516" w:name="_Toc487131358"/>
      <w:bookmarkStart w:id="517" w:name="_Toc24741"/>
      <w:bookmarkStart w:id="518" w:name="_Toc14543"/>
      <w:bookmarkStart w:id="519" w:name="_Toc25495"/>
      <w:r>
        <w:rPr>
          <w:rFonts w:hint="eastAsia" w:ascii="Times New Roman" w:hAnsi="Times New Roman"/>
          <w:highlight w:val="none"/>
        </w:rPr>
        <w:t>3.6</w:t>
      </w:r>
      <w:r>
        <w:rPr>
          <w:rFonts w:hint="eastAsia"/>
          <w:highlight w:val="none"/>
        </w:rPr>
        <w:t xml:space="preserve"> 备选投标方案</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spacing w:line="400" w:lineRule="exact"/>
        <w:ind w:firstLine="420" w:firstLineChars="200"/>
        <w:rPr>
          <w:highlight w:val="none"/>
        </w:rPr>
      </w:pPr>
      <w:r>
        <w:rPr>
          <w:rFonts w:hint="eastAsia"/>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rPr>
          <w:highlight w:val="none"/>
        </w:rPr>
      </w:pPr>
      <w:bookmarkStart w:id="520" w:name="_Toc15373"/>
      <w:bookmarkStart w:id="521" w:name="_Toc26083"/>
      <w:bookmarkStart w:id="522" w:name="_Toc152042330"/>
      <w:bookmarkStart w:id="523" w:name="_Toc469605936"/>
      <w:bookmarkStart w:id="524" w:name="_Toc12208"/>
      <w:bookmarkStart w:id="525" w:name="_Toc487562642"/>
      <w:bookmarkStart w:id="526" w:name="_Toc487202492"/>
      <w:bookmarkStart w:id="527" w:name="_Toc144974522"/>
      <w:bookmarkStart w:id="528" w:name="_Toc23040"/>
      <w:bookmarkStart w:id="529" w:name="_Toc5145"/>
      <w:bookmarkStart w:id="530" w:name="_Toc16542"/>
      <w:bookmarkStart w:id="531" w:name="_Toc247527579"/>
      <w:bookmarkStart w:id="532" w:name="_Toc247513978"/>
      <w:bookmarkStart w:id="533" w:name="_Toc487131359"/>
      <w:bookmarkStart w:id="534" w:name="_Toc16332"/>
      <w:bookmarkStart w:id="535" w:name="_Toc152045554"/>
      <w:r>
        <w:rPr>
          <w:rFonts w:hint="eastAsia" w:ascii="Times New Roman" w:hAnsi="Times New Roman"/>
          <w:highlight w:val="none"/>
        </w:rPr>
        <w:t>3.7</w:t>
      </w:r>
      <w:r>
        <w:rPr>
          <w:rFonts w:hint="eastAsia"/>
          <w:highlight w:val="none"/>
        </w:rPr>
        <w:t xml:space="preserve"> 投标文件的编制</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spacing w:line="400" w:lineRule="exact"/>
        <w:ind w:firstLine="420" w:firstLineChars="200"/>
        <w:rPr>
          <w:highlight w:val="none"/>
        </w:rPr>
      </w:pPr>
      <w:r>
        <w:rPr>
          <w:rFonts w:hint="eastAsia"/>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firstLineChars="200"/>
        <w:rPr>
          <w:szCs w:val="21"/>
          <w:highlight w:val="none"/>
        </w:rPr>
      </w:pPr>
      <w:r>
        <w:rPr>
          <w:rFonts w:hint="eastAsia"/>
          <w:highlight w:val="none"/>
        </w:rPr>
        <w:t>3.7.2 投标文件应当对招标文件有关</w:t>
      </w:r>
      <w:r>
        <w:rPr>
          <w:rFonts w:hint="eastAsia"/>
          <w:szCs w:val="21"/>
          <w:highlight w:val="none"/>
        </w:rPr>
        <w:t>招标范围、投标有效期、工期、质量标准、发包人要求等实质性内容作出响应。</w:t>
      </w:r>
    </w:p>
    <w:p>
      <w:pPr>
        <w:spacing w:line="400" w:lineRule="exact"/>
        <w:ind w:firstLine="420" w:firstLineChars="200"/>
        <w:rPr>
          <w:highlight w:val="none"/>
        </w:rPr>
      </w:pPr>
      <w:r>
        <w:rPr>
          <w:rFonts w:hint="eastAsia"/>
          <w:highlight w:val="none"/>
        </w:rPr>
        <w:t xml:space="preserve">3.7.3 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spacing w:line="400" w:lineRule="exact"/>
        <w:ind w:firstLine="420" w:firstLineChars="200"/>
        <w:rPr>
          <w:highlight w:val="none"/>
        </w:rPr>
      </w:pPr>
      <w:r>
        <w:rPr>
          <w:rFonts w:hint="eastAsia"/>
          <w:highlight w:val="none"/>
        </w:rPr>
        <w:t>3.7.4 投标文件正本一份, 副本份数见投标人须知前附表。正本和副本的封面上应清楚地标记“正本”或“副本”的字样。当副本和正本不一致时，以正本为准。</w:t>
      </w:r>
    </w:p>
    <w:p>
      <w:pPr>
        <w:spacing w:line="400" w:lineRule="exact"/>
        <w:ind w:firstLine="420" w:firstLineChars="200"/>
        <w:rPr>
          <w:highlight w:val="none"/>
        </w:rPr>
      </w:pPr>
      <w:r>
        <w:rPr>
          <w:rFonts w:hint="eastAsia"/>
          <w:highlight w:val="none"/>
        </w:rPr>
        <w:t>3.7.5 投标文件的正本与副本应分别装订成册，具体装订要求见投标人须知前附表规定。</w:t>
      </w:r>
    </w:p>
    <w:p>
      <w:pPr>
        <w:pStyle w:val="3"/>
        <w:rPr>
          <w:highlight w:val="none"/>
        </w:rPr>
      </w:pPr>
      <w:bookmarkStart w:id="536" w:name="_Toc152045555"/>
      <w:bookmarkStart w:id="537" w:name="_Toc13721"/>
      <w:bookmarkStart w:id="538" w:name="_Toc24870"/>
      <w:bookmarkStart w:id="539" w:name="_Toc487562643"/>
      <w:bookmarkStart w:id="540" w:name="_Toc144974523"/>
      <w:bookmarkStart w:id="541" w:name="_Toc22012"/>
      <w:bookmarkStart w:id="542" w:name="_Toc469605937"/>
      <w:bookmarkStart w:id="543" w:name="_Toc16975"/>
      <w:bookmarkStart w:id="544" w:name="_Toc247527580"/>
      <w:bookmarkStart w:id="545" w:name="_Toc20617"/>
      <w:bookmarkStart w:id="546" w:name="_Toc7938"/>
      <w:bookmarkStart w:id="547" w:name="_Toc247513979"/>
      <w:bookmarkStart w:id="548" w:name="_Toc152042331"/>
      <w:bookmarkStart w:id="549" w:name="_Toc5769"/>
      <w:r>
        <w:rPr>
          <w:rFonts w:hint="eastAsia"/>
          <w:highlight w:val="none"/>
        </w:rPr>
        <w:t>4. 投标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pPr>
        <w:pStyle w:val="4"/>
        <w:rPr>
          <w:highlight w:val="none"/>
        </w:rPr>
      </w:pPr>
      <w:bookmarkStart w:id="550" w:name="_Toc247527581"/>
      <w:bookmarkStart w:id="551" w:name="_Toc469605938"/>
      <w:bookmarkStart w:id="552" w:name="_Toc19481"/>
      <w:bookmarkStart w:id="553" w:name="_Toc21536"/>
      <w:bookmarkStart w:id="554" w:name="_Toc15126"/>
      <w:bookmarkStart w:id="555" w:name="_Toc144974524"/>
      <w:bookmarkStart w:id="556" w:name="_Toc152042332"/>
      <w:bookmarkStart w:id="557" w:name="_Toc30153"/>
      <w:bookmarkStart w:id="558" w:name="_Toc20904"/>
      <w:bookmarkStart w:id="559" w:name="_Toc152045556"/>
      <w:bookmarkStart w:id="560" w:name="_Toc247513980"/>
      <w:bookmarkStart w:id="561" w:name="_Toc4511"/>
      <w:bookmarkStart w:id="562" w:name="_Toc487202494"/>
      <w:bookmarkStart w:id="563" w:name="_Toc487131361"/>
      <w:bookmarkStart w:id="564" w:name="_Toc487562644"/>
      <w:bookmarkStart w:id="565" w:name="_Toc21631"/>
      <w:r>
        <w:rPr>
          <w:rFonts w:hint="eastAsia" w:ascii="Times New Roman" w:hAnsi="Times New Roman"/>
          <w:highlight w:val="none"/>
        </w:rPr>
        <w:t>4.1</w:t>
      </w:r>
      <w:r>
        <w:rPr>
          <w:rFonts w:hint="eastAsia"/>
          <w:highlight w:val="none"/>
        </w:rPr>
        <w:t xml:space="preserve"> 投标文件的密封和标记</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spacing w:line="400" w:lineRule="exact"/>
        <w:ind w:firstLine="420" w:firstLineChars="200"/>
        <w:rPr>
          <w:highlight w:val="none"/>
        </w:rPr>
      </w:pPr>
      <w:r>
        <w:rPr>
          <w:rFonts w:hint="eastAsia"/>
          <w:highlight w:val="none"/>
        </w:rPr>
        <w:t>4.1.1 投标文件应进行包装、加贴封条，并在封套的封口处加盖投标人单位章。</w:t>
      </w:r>
    </w:p>
    <w:p>
      <w:pPr>
        <w:spacing w:line="400" w:lineRule="exact"/>
        <w:ind w:firstLine="420" w:firstLineChars="200"/>
        <w:rPr>
          <w:highlight w:val="none"/>
        </w:rPr>
      </w:pPr>
      <w:r>
        <w:rPr>
          <w:rFonts w:hint="eastAsia"/>
          <w:highlight w:val="none"/>
        </w:rPr>
        <w:t>4.1.2 投标文件封套上应写明的内容见投标人须知前附表。</w:t>
      </w:r>
    </w:p>
    <w:p>
      <w:pPr>
        <w:spacing w:line="400" w:lineRule="exact"/>
        <w:ind w:firstLine="420" w:firstLineChars="200"/>
        <w:rPr>
          <w:highlight w:val="none"/>
        </w:rPr>
      </w:pPr>
      <w:r>
        <w:rPr>
          <w:rFonts w:hint="eastAsia"/>
          <w:highlight w:val="none"/>
        </w:rPr>
        <w:t>4.1.3 未按本章第4.1.1项或第4.1.2项要求密封和加写标记的投标文件，招标人不予受理。</w:t>
      </w:r>
    </w:p>
    <w:p>
      <w:pPr>
        <w:pStyle w:val="4"/>
        <w:rPr>
          <w:highlight w:val="none"/>
        </w:rPr>
      </w:pPr>
      <w:bookmarkStart w:id="566" w:name="_Toc247513981"/>
      <w:bookmarkStart w:id="567" w:name="_Toc469605939"/>
      <w:bookmarkStart w:id="568" w:name="_Toc152042333"/>
      <w:bookmarkStart w:id="569" w:name="_Toc152045557"/>
      <w:bookmarkStart w:id="570" w:name="_Toc29148"/>
      <w:bookmarkStart w:id="571" w:name="_Toc7325"/>
      <w:bookmarkStart w:id="572" w:name="_Toc2563"/>
      <w:bookmarkStart w:id="573" w:name="_Toc16636"/>
      <w:bookmarkStart w:id="574" w:name="_Toc487202495"/>
      <w:bookmarkStart w:id="575" w:name="_Toc487562645"/>
      <w:bookmarkStart w:id="576" w:name="_Toc487131362"/>
      <w:bookmarkStart w:id="577" w:name="_Toc13176"/>
      <w:bookmarkStart w:id="578" w:name="_Toc2233"/>
      <w:bookmarkStart w:id="579" w:name="_Toc247527582"/>
      <w:bookmarkStart w:id="580" w:name="_Toc144974525"/>
      <w:bookmarkStart w:id="581" w:name="_Toc2219"/>
      <w:r>
        <w:rPr>
          <w:rFonts w:hint="eastAsia" w:ascii="Times New Roman" w:hAnsi="Times New Roman"/>
          <w:highlight w:val="none"/>
        </w:rPr>
        <w:t>4.2</w:t>
      </w:r>
      <w:r>
        <w:rPr>
          <w:rFonts w:hint="eastAsia"/>
          <w:highlight w:val="none"/>
        </w:rPr>
        <w:t xml:space="preserve"> 投标文件的递交</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spacing w:line="400" w:lineRule="exact"/>
        <w:ind w:firstLine="420" w:firstLineChars="200"/>
        <w:rPr>
          <w:highlight w:val="none"/>
        </w:rPr>
      </w:pPr>
      <w:r>
        <w:rPr>
          <w:rFonts w:hint="eastAsia"/>
          <w:highlight w:val="none"/>
        </w:rPr>
        <w:t>4.2.1 投标人应在第2.2.2项规定的投标截止时间前递交投标文件。</w:t>
      </w:r>
    </w:p>
    <w:p>
      <w:pPr>
        <w:spacing w:line="400" w:lineRule="exact"/>
        <w:ind w:firstLine="420" w:firstLineChars="200"/>
        <w:rPr>
          <w:highlight w:val="none"/>
        </w:rPr>
      </w:pPr>
      <w:r>
        <w:rPr>
          <w:rFonts w:hint="eastAsia"/>
          <w:highlight w:val="none"/>
        </w:rPr>
        <w:t>4.2.2 投标人递交投标文件的地点：见投标人须知前附表。</w:t>
      </w:r>
    </w:p>
    <w:p>
      <w:pPr>
        <w:spacing w:line="400" w:lineRule="exact"/>
        <w:ind w:firstLine="420" w:firstLineChars="200"/>
        <w:rPr>
          <w:highlight w:val="none"/>
        </w:rPr>
      </w:pPr>
      <w:r>
        <w:rPr>
          <w:rFonts w:hint="eastAsia"/>
          <w:highlight w:val="none"/>
        </w:rPr>
        <w:t>4.2.3 除投标人须知前附表另有规定外，投标人所递交的投标文件不予退还。</w:t>
      </w:r>
    </w:p>
    <w:p>
      <w:pPr>
        <w:spacing w:line="400" w:lineRule="exact"/>
        <w:ind w:firstLine="420" w:firstLineChars="200"/>
        <w:rPr>
          <w:highlight w:val="none"/>
        </w:rPr>
      </w:pPr>
      <w:r>
        <w:rPr>
          <w:rFonts w:hint="eastAsia"/>
          <w:highlight w:val="none"/>
        </w:rPr>
        <w:t>4.2.4 招标人收到投标文件后，向投标人出具签收凭证。</w:t>
      </w:r>
    </w:p>
    <w:p>
      <w:pPr>
        <w:spacing w:line="400" w:lineRule="exact"/>
        <w:ind w:firstLine="420" w:firstLineChars="200"/>
        <w:rPr>
          <w:highlight w:val="none"/>
        </w:rPr>
      </w:pPr>
      <w:r>
        <w:rPr>
          <w:rFonts w:hint="eastAsia"/>
          <w:highlight w:val="none"/>
        </w:rPr>
        <w:t>4.2.5 逾期送达的或者未送达指定地点的投标文件，招标人不予受理。</w:t>
      </w:r>
    </w:p>
    <w:p>
      <w:pPr>
        <w:pStyle w:val="4"/>
        <w:rPr>
          <w:highlight w:val="none"/>
        </w:rPr>
      </w:pPr>
      <w:bookmarkStart w:id="582" w:name="_Toc469605940"/>
      <w:bookmarkStart w:id="583" w:name="_Toc487131363"/>
      <w:bookmarkStart w:id="584" w:name="_Toc247513982"/>
      <w:bookmarkStart w:id="585" w:name="_Toc487562646"/>
      <w:bookmarkStart w:id="586" w:name="_Toc1983"/>
      <w:bookmarkStart w:id="587" w:name="_Toc17563"/>
      <w:bookmarkStart w:id="588" w:name="_Toc27788"/>
      <w:bookmarkStart w:id="589" w:name="_Toc28924"/>
      <w:bookmarkStart w:id="590" w:name="_Toc152042334"/>
      <w:bookmarkStart w:id="591" w:name="_Toc247527583"/>
      <w:bookmarkStart w:id="592" w:name="_Toc2291"/>
      <w:bookmarkStart w:id="593" w:name="_Toc487202496"/>
      <w:bookmarkStart w:id="594" w:name="_Toc21015"/>
      <w:bookmarkStart w:id="595" w:name="_Toc152045558"/>
      <w:bookmarkStart w:id="596" w:name="_Toc27772"/>
      <w:bookmarkStart w:id="597" w:name="_Toc144974526"/>
      <w:r>
        <w:rPr>
          <w:rFonts w:hint="eastAsia" w:ascii="Times New Roman" w:hAnsi="Times New Roman"/>
          <w:highlight w:val="none"/>
        </w:rPr>
        <w:t>4.3</w:t>
      </w:r>
      <w:r>
        <w:rPr>
          <w:rFonts w:hint="eastAsia"/>
          <w:highlight w:val="none"/>
        </w:rPr>
        <w:t xml:space="preserve"> 投标文件的修改与撤回</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pPr>
        <w:spacing w:line="400" w:lineRule="exact"/>
        <w:ind w:firstLine="420" w:firstLineChars="200"/>
        <w:rPr>
          <w:highlight w:val="none"/>
        </w:rPr>
      </w:pPr>
      <w:r>
        <w:rPr>
          <w:rFonts w:hint="eastAsia"/>
          <w:highlight w:val="none"/>
        </w:rPr>
        <w:t>4.3.1 在本章第2.2.2项规定的投标截止时间前，投标人可以修改或撤回已递交的投标文件，但应以书面形式通知招标人。</w:t>
      </w:r>
    </w:p>
    <w:p>
      <w:pPr>
        <w:spacing w:line="400" w:lineRule="exact"/>
        <w:ind w:firstLine="420" w:firstLineChars="200"/>
        <w:rPr>
          <w:highlight w:val="none"/>
        </w:rPr>
      </w:pPr>
      <w:r>
        <w:rPr>
          <w:rFonts w:hint="eastAsia"/>
          <w:highlight w:val="none"/>
        </w:rPr>
        <w:t>4.3.2 投标人修改或撤回已递交投标文件的书面通知应按照本章第3.7.3项的要求签字或盖章。招标人收到书面通知后，向投标人出具签收凭证。</w:t>
      </w:r>
    </w:p>
    <w:p>
      <w:pPr>
        <w:spacing w:line="400" w:lineRule="exact"/>
        <w:ind w:firstLine="420" w:firstLineChars="200"/>
        <w:rPr>
          <w:highlight w:val="none"/>
        </w:rPr>
      </w:pPr>
      <w:r>
        <w:rPr>
          <w:rFonts w:hint="eastAsia"/>
          <w:highlight w:val="none"/>
        </w:rPr>
        <w:t>4.3.3 投标人撤回投标文件的，招标人自收到投标人书面撤回通知之日起5日内退还已收取的投标保证金。</w:t>
      </w:r>
    </w:p>
    <w:p>
      <w:pPr>
        <w:spacing w:line="400" w:lineRule="exact"/>
        <w:ind w:firstLine="420" w:firstLineChars="200"/>
        <w:rPr>
          <w:highlight w:val="none"/>
        </w:rPr>
      </w:pPr>
      <w:r>
        <w:rPr>
          <w:rFonts w:hint="eastAsia"/>
          <w:highlight w:val="none"/>
        </w:rPr>
        <w:t>4.3.4 修改的内容为投标文件的组成部分。修改的投标文件应按照本章第3条、第4条规定进行编制、密封、标记和递交，并标明“修改”字样。</w:t>
      </w:r>
    </w:p>
    <w:p>
      <w:pPr>
        <w:pStyle w:val="3"/>
        <w:rPr>
          <w:highlight w:val="none"/>
        </w:rPr>
      </w:pPr>
      <w:bookmarkStart w:id="598" w:name="_Toc247513983"/>
      <w:bookmarkStart w:id="599" w:name="_Toc24298"/>
      <w:bookmarkStart w:id="600" w:name="_Toc152045559"/>
      <w:bookmarkStart w:id="601" w:name="_Toc3894"/>
      <w:bookmarkStart w:id="602" w:name="_Toc487562647"/>
      <w:bookmarkStart w:id="603" w:name="_Toc610"/>
      <w:bookmarkStart w:id="604" w:name="_Toc21988"/>
      <w:bookmarkStart w:id="605" w:name="_Toc3374"/>
      <w:bookmarkStart w:id="606" w:name="_Toc32158"/>
      <w:bookmarkStart w:id="607" w:name="_Toc469605941"/>
      <w:bookmarkStart w:id="608" w:name="_Toc152042335"/>
      <w:bookmarkStart w:id="609" w:name="_Toc23535"/>
      <w:bookmarkStart w:id="610" w:name="_Toc247527584"/>
      <w:bookmarkStart w:id="611" w:name="_Toc144974527"/>
      <w:r>
        <w:rPr>
          <w:rFonts w:hint="eastAsia"/>
          <w:highlight w:val="none"/>
        </w:rPr>
        <w:t>5. 开标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pStyle w:val="4"/>
        <w:rPr>
          <w:highlight w:val="none"/>
        </w:rPr>
      </w:pPr>
      <w:bookmarkStart w:id="612" w:name="_Toc22514"/>
      <w:bookmarkStart w:id="613" w:name="_Toc487562648"/>
      <w:bookmarkStart w:id="614" w:name="_Toc247513984"/>
      <w:bookmarkStart w:id="615" w:name="_Toc144974528"/>
      <w:bookmarkStart w:id="616" w:name="_Toc247527585"/>
      <w:bookmarkStart w:id="617" w:name="_Toc7545"/>
      <w:bookmarkStart w:id="618" w:name="_Toc1877"/>
      <w:bookmarkStart w:id="619" w:name="_Toc7983"/>
      <w:bookmarkStart w:id="620" w:name="_Toc20872"/>
      <w:bookmarkStart w:id="621" w:name="_Toc469605942"/>
      <w:bookmarkStart w:id="622" w:name="_Toc11045"/>
      <w:bookmarkStart w:id="623" w:name="_Toc487131365"/>
      <w:bookmarkStart w:id="624" w:name="_Toc487202498"/>
      <w:bookmarkStart w:id="625" w:name="_Toc152045560"/>
      <w:bookmarkStart w:id="626" w:name="_Toc152042336"/>
      <w:bookmarkStart w:id="627" w:name="_Toc13453"/>
      <w:r>
        <w:rPr>
          <w:rFonts w:hint="eastAsia" w:ascii="Times New Roman" w:hAnsi="Times New Roman"/>
          <w:highlight w:val="none"/>
        </w:rPr>
        <w:t>5.1</w:t>
      </w:r>
      <w:r>
        <w:rPr>
          <w:rFonts w:hint="eastAsia"/>
          <w:highlight w:val="none"/>
        </w:rPr>
        <w:t xml:space="preserve"> 开标时间和地点</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spacing w:line="400" w:lineRule="exact"/>
        <w:ind w:firstLine="420" w:firstLineChars="200"/>
        <w:rPr>
          <w:highlight w:val="none"/>
        </w:rPr>
      </w:pPr>
      <w:r>
        <w:rPr>
          <w:rFonts w:hint="eastAsia"/>
          <w:highlight w:val="none"/>
        </w:rPr>
        <w:t>招标人在本章第2.2.2项规定的投标截止时间（开标时间）和投标人须知前附表规定的地点公开开标，并邀请所有投标人的法定代表人或其委托代理人准时参加。</w:t>
      </w:r>
    </w:p>
    <w:p>
      <w:pPr>
        <w:pStyle w:val="4"/>
        <w:rPr>
          <w:highlight w:val="none"/>
        </w:rPr>
      </w:pPr>
      <w:bookmarkStart w:id="628" w:name="_Toc152045561"/>
      <w:bookmarkStart w:id="629" w:name="_Toc25579"/>
      <w:bookmarkStart w:id="630" w:name="_Toc487131366"/>
      <w:bookmarkStart w:id="631" w:name="_Toc247527586"/>
      <w:bookmarkStart w:id="632" w:name="_Toc27300"/>
      <w:bookmarkStart w:id="633" w:name="_Toc24917"/>
      <w:bookmarkStart w:id="634" w:name="_Toc247513985"/>
      <w:bookmarkStart w:id="635" w:name="_Toc469605943"/>
      <w:bookmarkStart w:id="636" w:name="_Toc487562649"/>
      <w:bookmarkStart w:id="637" w:name="_Toc2431"/>
      <w:bookmarkStart w:id="638" w:name="_Toc487202499"/>
      <w:bookmarkStart w:id="639" w:name="_Toc152042337"/>
      <w:bookmarkStart w:id="640" w:name="_Toc6236"/>
      <w:bookmarkStart w:id="641" w:name="_Toc144974529"/>
      <w:bookmarkStart w:id="642" w:name="_Toc24882"/>
      <w:bookmarkStart w:id="643" w:name="_Toc10843"/>
      <w:r>
        <w:rPr>
          <w:rFonts w:hint="eastAsia" w:ascii="Times New Roman" w:hAnsi="Times New Roman"/>
          <w:highlight w:val="none"/>
        </w:rPr>
        <w:t>5.2</w:t>
      </w:r>
      <w:r>
        <w:rPr>
          <w:rFonts w:hint="eastAsia"/>
          <w:highlight w:val="none"/>
        </w:rPr>
        <w:t xml:space="preserve"> 开标程序</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pPr>
        <w:spacing w:line="400" w:lineRule="exact"/>
        <w:ind w:firstLine="420" w:firstLineChars="200"/>
        <w:rPr>
          <w:highlight w:val="none"/>
        </w:rPr>
      </w:pPr>
      <w:r>
        <w:rPr>
          <w:rFonts w:hint="eastAsia"/>
          <w:highlight w:val="none"/>
        </w:rPr>
        <w:t>主持人按下列程序进行开标：</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（l）宣布投标文件递交截止时间到，迟于此时间递交的投标文件不予接受；</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（2）宣布开标纪律；</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（3）宣布开标人、唱标人、记录人、监标人等有关人员姓名；</w:t>
      </w:r>
    </w:p>
    <w:p>
      <w:pPr>
        <w:widowControl/>
        <w:shd w:val="clear" w:color="auto" w:fill="FFFFFF"/>
        <w:spacing w:line="360" w:lineRule="auto"/>
        <w:ind w:firstLine="444" w:firstLineChars="200"/>
        <w:jc w:val="left"/>
        <w:rPr>
          <w:rFonts w:ascii="宋体" w:hAnsi="宋体"/>
          <w:highlight w:val="none"/>
        </w:rPr>
      </w:pPr>
      <w:r>
        <w:rPr>
          <w:rFonts w:hint="eastAsia" w:ascii="宋体" w:hAnsi="宋体"/>
          <w:spacing w:val="6"/>
          <w:szCs w:val="21"/>
          <w:highlight w:val="none"/>
        </w:rPr>
        <w:t>（4）</w:t>
      </w:r>
      <w:r>
        <w:rPr>
          <w:rFonts w:hint="eastAsia" w:ascii="Arial" w:hAnsi="Arial" w:cs="Arial"/>
          <w:kern w:val="0"/>
          <w:szCs w:val="21"/>
          <w:highlight w:val="none"/>
        </w:rPr>
        <w:t>招标人核查投标人的信用等级，对未被列入“</w:t>
      </w:r>
      <w:r>
        <w:rPr>
          <w:rFonts w:hint="eastAsia" w:ascii="宋体" w:hAnsi="宋体"/>
          <w:szCs w:val="21"/>
          <w:highlight w:val="none"/>
        </w:rPr>
        <w:t>江门市建筑业企业信用管理信息系统</w:t>
      </w:r>
      <w:r>
        <w:rPr>
          <w:rFonts w:hint="eastAsia" w:ascii="Arial" w:hAnsi="Arial" w:cs="Arial"/>
          <w:kern w:val="0"/>
          <w:szCs w:val="21"/>
          <w:highlight w:val="none"/>
        </w:rPr>
        <w:t>”</w:t>
      </w:r>
      <w:r>
        <w:rPr>
          <w:rFonts w:ascii="Arial" w:hAnsi="Arial" w:cs="Arial"/>
          <w:kern w:val="0"/>
          <w:szCs w:val="21"/>
          <w:highlight w:val="none"/>
        </w:rPr>
        <w:t>信用等级为</w:t>
      </w:r>
      <w:r>
        <w:rPr>
          <w:rFonts w:hint="eastAsia" w:ascii="Arial" w:hAnsi="Arial" w:cs="Arial"/>
          <w:kern w:val="0"/>
          <w:szCs w:val="21"/>
          <w:highlight w:val="none"/>
        </w:rPr>
        <w:t>c</w:t>
      </w:r>
      <w:r>
        <w:rPr>
          <w:rFonts w:ascii="Arial" w:hAnsi="Arial" w:cs="Arial"/>
          <w:kern w:val="0"/>
          <w:szCs w:val="21"/>
          <w:highlight w:val="none"/>
        </w:rPr>
        <w:t>级</w:t>
      </w:r>
      <w:r>
        <w:rPr>
          <w:rFonts w:hint="eastAsia" w:ascii="Arial" w:hAnsi="Arial" w:cs="Arial"/>
          <w:kern w:val="0"/>
          <w:szCs w:val="21"/>
          <w:highlight w:val="none"/>
        </w:rPr>
        <w:t>或以上</w:t>
      </w:r>
      <w:r>
        <w:rPr>
          <w:rFonts w:ascii="Arial" w:hAnsi="Arial" w:cs="Arial"/>
          <w:kern w:val="0"/>
          <w:szCs w:val="21"/>
          <w:highlight w:val="none"/>
        </w:rPr>
        <w:t>的</w:t>
      </w:r>
      <w:r>
        <w:rPr>
          <w:rFonts w:hint="eastAsia" w:ascii="Arial" w:hAnsi="Arial" w:cs="Arial"/>
          <w:kern w:val="0"/>
          <w:szCs w:val="21"/>
          <w:highlight w:val="none"/>
        </w:rPr>
        <w:t>投标人，招标人拒收或退回其投标文件</w:t>
      </w:r>
      <w:r>
        <w:rPr>
          <w:rFonts w:hint="eastAsia"/>
          <w:highlight w:val="none"/>
        </w:rPr>
        <w:t>；</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（5）按照投标人须知前附表规定检查投标文件的密封情况；</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（6）按照投标人须知前附表的规定确定并宣布投标文件开标顺序；</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（7）设有标底的，公布标底；</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（8）招标人设置信用因素；</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 xml:space="preserve">（9）按照宣布的开标顺序当众开标，公布投标人名称、标段名称、投标保证金的递交情况、投标报价、质量目标、工期及其他内容，并记录在案； </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（10）投标人代表、招标人代表、监标人、记录人等有关人员在开标记录上签字确认；</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（11）开标结束。</w:t>
      </w:r>
    </w:p>
    <w:p>
      <w:pPr>
        <w:spacing w:line="360" w:lineRule="exact"/>
        <w:ind w:firstLine="422" w:firstLineChars="200"/>
        <w:rPr>
          <w:highlight w:val="none"/>
        </w:rPr>
      </w:pPr>
      <w:r>
        <w:rPr>
          <w:rFonts w:hint="eastAsia"/>
          <w:b/>
          <w:highlight w:val="none"/>
        </w:rPr>
        <w:t>正式投标人超过15家（不含15家）的</w:t>
      </w:r>
      <w:r>
        <w:rPr>
          <w:rFonts w:hint="eastAsia"/>
          <w:highlight w:val="none"/>
        </w:rPr>
        <w:t>。（正式投标人少于或等于15家的本条款不适用）：</w:t>
      </w:r>
    </w:p>
    <w:p>
      <w:pPr>
        <w:spacing w:line="360" w:lineRule="auto"/>
        <w:ind w:firstLine="420" w:firstLineChars="200"/>
        <w:rPr>
          <w:b/>
          <w:highlight w:val="none"/>
        </w:rPr>
      </w:pPr>
      <w:r>
        <w:rPr>
          <w:rFonts w:hint="eastAsia"/>
          <w:highlight w:val="none"/>
        </w:rPr>
        <w:t>（8）诚信优先抽签入围</w:t>
      </w:r>
      <w:r>
        <w:rPr>
          <w:rFonts w:hint="eastAsia"/>
          <w:b/>
          <w:highlight w:val="none"/>
        </w:rPr>
        <w:t>：</w:t>
      </w:r>
    </w:p>
    <w:p>
      <w:pPr>
        <w:spacing w:line="360" w:lineRule="auto"/>
        <w:ind w:firstLine="422" w:firstLineChars="200"/>
        <w:rPr>
          <w:b/>
          <w:highlight w:val="none"/>
        </w:rPr>
      </w:pPr>
      <w:r>
        <w:rPr>
          <w:rFonts w:hint="eastAsia"/>
          <w:b/>
          <w:highlight w:val="none"/>
        </w:rPr>
        <w:t>注：正式投标人为联合体的，其信用等级为联合体牵头人的信用等级。</w:t>
      </w:r>
    </w:p>
    <w:p>
      <w:pPr>
        <w:spacing w:line="360" w:lineRule="auto"/>
        <w:ind w:firstLine="497" w:firstLineChars="224"/>
        <w:rPr>
          <w:rFonts w:ascii="宋体" w:hAnsi="宋体"/>
          <w:szCs w:val="21"/>
          <w:highlight w:val="none"/>
        </w:rPr>
      </w:pPr>
      <w:r>
        <w:rPr>
          <w:rFonts w:hint="eastAsia" w:ascii="宋体" w:hAnsi="宋体"/>
          <w:spacing w:val="6"/>
          <w:szCs w:val="21"/>
          <w:highlight w:val="none"/>
        </w:rPr>
        <w:t>正式投标人</w:t>
      </w:r>
      <w:r>
        <w:rPr>
          <w:rFonts w:hint="eastAsia" w:ascii="宋体" w:hAnsi="宋体"/>
          <w:szCs w:val="21"/>
          <w:highlight w:val="none"/>
        </w:rPr>
        <w:t>在15家（</w:t>
      </w:r>
      <w:r>
        <w:rPr>
          <w:rFonts w:hint="eastAsia"/>
          <w:highlight w:val="none"/>
        </w:rPr>
        <w:t>不含15家</w:t>
      </w:r>
      <w:r>
        <w:rPr>
          <w:rFonts w:hint="eastAsia" w:ascii="宋体" w:hAnsi="宋体"/>
          <w:szCs w:val="21"/>
          <w:highlight w:val="none"/>
        </w:rPr>
        <w:t>）以上时，</w:t>
      </w:r>
      <w:r>
        <w:rPr>
          <w:rFonts w:hint="eastAsia" w:ascii="宋体" w:hAnsi="宋体"/>
          <w:spacing w:val="6"/>
          <w:szCs w:val="21"/>
          <w:highlight w:val="none"/>
        </w:rPr>
        <w:t>按开标当天“江门市建筑业企业信用管理信息系统”公布的信用等级由招标人分三次随机抽签确定15家正式投标人进入评审阶段。评审阶段不再应用信用评价成果。</w:t>
      </w:r>
      <w:r>
        <w:rPr>
          <w:rFonts w:hint="eastAsia" w:ascii="宋体" w:hAnsi="宋体"/>
          <w:szCs w:val="21"/>
          <w:highlight w:val="none"/>
        </w:rPr>
        <w:t>摇珠抽取步骤如下：</w:t>
      </w:r>
    </w:p>
    <w:p>
      <w:pPr>
        <w:spacing w:line="360" w:lineRule="auto"/>
        <w:ind w:firstLine="497" w:firstLineChars="224"/>
        <w:rPr>
          <w:rFonts w:ascii="宋体" w:hAnsi="宋体"/>
          <w:spacing w:val="6"/>
          <w:szCs w:val="21"/>
          <w:highlight w:val="none"/>
        </w:rPr>
      </w:pPr>
      <w:r>
        <w:rPr>
          <w:rFonts w:hint="eastAsia" w:ascii="宋体" w:hAnsi="宋体"/>
          <w:spacing w:val="6"/>
          <w:szCs w:val="21"/>
          <w:highlight w:val="none"/>
        </w:rPr>
        <w:t>a、投标人的抽签号码分配按投标文件递交登记表的名单的先后次序进行分配。</w:t>
      </w:r>
    </w:p>
    <w:p>
      <w:pPr>
        <w:spacing w:line="360" w:lineRule="auto"/>
        <w:ind w:firstLine="497" w:firstLineChars="224"/>
        <w:rPr>
          <w:rFonts w:ascii="宋体" w:hAnsi="宋体"/>
          <w:spacing w:val="6"/>
          <w:szCs w:val="21"/>
          <w:highlight w:val="none"/>
        </w:rPr>
      </w:pPr>
      <w:r>
        <w:rPr>
          <w:rFonts w:hint="eastAsia" w:ascii="宋体" w:hAnsi="宋体"/>
          <w:spacing w:val="6"/>
          <w:szCs w:val="21"/>
          <w:highlight w:val="none"/>
        </w:rPr>
        <w:t>b、从信用等级 A 级的正式投标人中随机选取 5 家，未抽中的进入下一轮选取环节。如本轮家数不足 5 家的，不足之数在信用等级 B 级的正式投标人中选取。如选取全部信用等级 B 级的正式投标人后也不足 5 家的，则在信用等级为 C 级的正式投标人中选取不足之数。</w:t>
      </w:r>
    </w:p>
    <w:p>
      <w:pPr>
        <w:spacing w:line="360" w:lineRule="auto"/>
        <w:ind w:firstLine="497" w:firstLineChars="224"/>
        <w:rPr>
          <w:rFonts w:ascii="宋体" w:hAnsi="宋体"/>
          <w:spacing w:val="6"/>
          <w:szCs w:val="21"/>
          <w:highlight w:val="none"/>
        </w:rPr>
      </w:pPr>
      <w:r>
        <w:rPr>
          <w:rFonts w:hint="eastAsia" w:ascii="宋体" w:hAnsi="宋体"/>
          <w:spacing w:val="6"/>
          <w:szCs w:val="21"/>
          <w:highlight w:val="none"/>
        </w:rPr>
        <w:t>c、从第一轮未选中的信用等级 A 级正式投标人以及信用等级 B级的正式投标人(A+B)中随机选取 5 家，未选中的正式投标人进入第 3 轮选取环节。如本轮正式投标人(A+B)家数不足 5 家的，则在信用等级 C 级的正式投标人中选取不足之数。</w:t>
      </w:r>
    </w:p>
    <w:p>
      <w:pPr>
        <w:spacing w:line="360" w:lineRule="auto"/>
        <w:ind w:firstLine="497" w:firstLineChars="224"/>
        <w:rPr>
          <w:rFonts w:ascii="宋体" w:hAnsi="宋体"/>
          <w:spacing w:val="6"/>
          <w:szCs w:val="21"/>
          <w:highlight w:val="none"/>
        </w:rPr>
      </w:pPr>
      <w:r>
        <w:rPr>
          <w:rFonts w:hint="eastAsia" w:ascii="宋体" w:hAnsi="宋体"/>
          <w:spacing w:val="6"/>
          <w:szCs w:val="21"/>
          <w:highlight w:val="none"/>
        </w:rPr>
        <w:t>d、从第二轮未抽中的信用等级A、B级正式投标人及信用等级C级正式投标人中(A+B+C)随机选取5家。</w:t>
      </w:r>
    </w:p>
    <w:p>
      <w:pPr>
        <w:spacing w:line="360" w:lineRule="auto"/>
        <w:ind w:firstLine="444" w:firstLineChars="200"/>
        <w:rPr>
          <w:rFonts w:ascii="宋体" w:hAnsi="宋体"/>
          <w:spacing w:val="6"/>
          <w:szCs w:val="21"/>
          <w:highlight w:val="none"/>
        </w:rPr>
      </w:pPr>
      <w:r>
        <w:rPr>
          <w:rFonts w:hint="eastAsia" w:ascii="宋体" w:hAnsi="宋体"/>
          <w:spacing w:val="6"/>
          <w:szCs w:val="21"/>
          <w:highlight w:val="none"/>
        </w:rPr>
        <w:t>e、最终进入候补的正式投标人：</w:t>
      </w:r>
    </w:p>
    <w:p>
      <w:pPr>
        <w:spacing w:line="360" w:lineRule="exact"/>
        <w:rPr>
          <w:rFonts w:ascii="宋体" w:hAnsi="宋体"/>
          <w:spacing w:val="6"/>
          <w:szCs w:val="21"/>
          <w:highlight w:val="none"/>
        </w:rPr>
      </w:pPr>
      <w:r>
        <w:rPr>
          <w:rFonts w:hint="eastAsia" w:ascii="宋体" w:hAnsi="宋体"/>
          <w:spacing w:val="6"/>
          <w:szCs w:val="21"/>
          <w:highlight w:val="none"/>
        </w:rPr>
        <w:t xml:space="preserve">在前三轮未抽中的正式投标人中由招标人随机抽取5家作为候补投标人，并记录候补投标人选出的先后顺序（即为递补的先后顺序）。当经评审有效投标的投标人少于三家时，按照递补顺序递补。依递补名单依次递补后，经评审有效投标的投标人仍少于三家时，按实际需求数量在剩余的正式投标人中随机抽取。                         </w:t>
      </w:r>
    </w:p>
    <w:p>
      <w:pPr>
        <w:widowControl/>
        <w:shd w:val="clear" w:color="auto" w:fill="FFFFFF"/>
        <w:spacing w:line="360" w:lineRule="auto"/>
        <w:ind w:firstLine="444" w:firstLineChars="200"/>
        <w:jc w:val="left"/>
        <w:rPr>
          <w:rFonts w:ascii="宋体" w:hAnsi="宋体"/>
          <w:spacing w:val="6"/>
          <w:szCs w:val="21"/>
          <w:highlight w:val="none"/>
        </w:rPr>
      </w:pPr>
      <w:r>
        <w:rPr>
          <w:rFonts w:hint="eastAsia" w:ascii="宋体" w:hAnsi="宋体"/>
          <w:spacing w:val="6"/>
          <w:szCs w:val="21"/>
          <w:highlight w:val="none"/>
        </w:rPr>
        <w:t>f、如剩余的所有正式投标人都已递补，但经评审有效投标的投标人仍少于三家时，本次招标失败。</w:t>
      </w:r>
    </w:p>
    <w:p>
      <w:pPr>
        <w:pStyle w:val="4"/>
        <w:rPr>
          <w:highlight w:val="none"/>
        </w:rPr>
      </w:pPr>
      <w:bookmarkStart w:id="644" w:name="_Toc487562650"/>
      <w:bookmarkStart w:id="645" w:name="_Toc469605944"/>
      <w:bookmarkStart w:id="646" w:name="_Toc29911"/>
      <w:bookmarkStart w:id="647" w:name="_Toc19226"/>
      <w:bookmarkStart w:id="648" w:name="_Toc23601"/>
      <w:bookmarkStart w:id="649" w:name="_Toc487202500"/>
      <w:bookmarkStart w:id="650" w:name="_Toc487131367"/>
      <w:bookmarkStart w:id="651" w:name="_Toc11522"/>
      <w:bookmarkStart w:id="652" w:name="_Toc7774"/>
      <w:bookmarkStart w:id="653" w:name="_Toc23261"/>
      <w:bookmarkStart w:id="654" w:name="_Toc7255"/>
      <w:r>
        <w:rPr>
          <w:rFonts w:hint="eastAsia" w:ascii="Times New Roman" w:hAnsi="Times New Roman"/>
          <w:highlight w:val="none"/>
        </w:rPr>
        <w:t>5.3</w:t>
      </w:r>
      <w:r>
        <w:rPr>
          <w:rFonts w:hint="eastAsia"/>
          <w:highlight w:val="none"/>
        </w:rPr>
        <w:t xml:space="preserve"> 开标</w:t>
      </w:r>
      <w:bookmarkEnd w:id="644"/>
      <w:bookmarkEnd w:id="645"/>
      <w:bookmarkEnd w:id="646"/>
      <w:bookmarkEnd w:id="647"/>
      <w:bookmarkEnd w:id="648"/>
      <w:bookmarkEnd w:id="649"/>
      <w:bookmarkEnd w:id="650"/>
      <w:bookmarkEnd w:id="651"/>
      <w:r>
        <w:rPr>
          <w:rFonts w:hint="eastAsia"/>
          <w:highlight w:val="none"/>
        </w:rPr>
        <w:t>活动暂停</w:t>
      </w:r>
      <w:bookmarkEnd w:id="652"/>
      <w:bookmarkEnd w:id="653"/>
      <w:bookmarkEnd w:id="654"/>
    </w:p>
    <w:p>
      <w:pPr>
        <w:spacing w:line="400" w:lineRule="exact"/>
        <w:ind w:firstLine="359" w:firstLineChars="171"/>
        <w:rPr>
          <w:highlight w:val="none"/>
        </w:rPr>
      </w:pPr>
      <w:r>
        <w:rPr>
          <w:rFonts w:hint="eastAsia"/>
          <w:highlight w:val="none"/>
        </w:rPr>
        <w:t>5.3.1招标人会应当执行连续开标的原则，按开标程序中规定的程序、内容、方法、标准完成全部开标工作。只有发生不可抗力导致开标工作无法继续时，开标活动方可暂停。</w:t>
      </w:r>
    </w:p>
    <w:p>
      <w:pPr>
        <w:spacing w:line="400" w:lineRule="exact"/>
        <w:ind w:firstLine="359" w:firstLineChars="171"/>
        <w:rPr>
          <w:highlight w:val="none"/>
        </w:rPr>
      </w:pPr>
      <w:r>
        <w:rPr>
          <w:rFonts w:hint="eastAsia"/>
          <w:highlight w:val="none"/>
        </w:rPr>
        <w:t>5.3.2 发生开标暂停情况时，招标人应妥善保管好或封存已接收的投标文件、修改或撤回通知、备选投标方案等投标资料，待不可抗力的影响结束且具备继续开标的条件时，由招标人继续开标。投标人对开标有异议的，应当在开标现场提出，招标人当场作出答复，并制作记录。</w:t>
      </w:r>
    </w:p>
    <w:p>
      <w:pPr>
        <w:pStyle w:val="4"/>
        <w:rPr>
          <w:rFonts w:ascii="Times New Roman" w:hAnsi="Times New Roman"/>
          <w:highlight w:val="none"/>
        </w:rPr>
      </w:pPr>
      <w:bookmarkStart w:id="655" w:name="_Toc2719"/>
      <w:bookmarkStart w:id="656" w:name="_Toc1059"/>
      <w:bookmarkStart w:id="657" w:name="_Toc11853"/>
      <w:bookmarkStart w:id="658" w:name="_Toc10053"/>
      <w:bookmarkStart w:id="659" w:name="_Toc4023"/>
      <w:bookmarkStart w:id="660" w:name="_Toc6209"/>
      <w:bookmarkStart w:id="661" w:name="_Toc247527587"/>
      <w:bookmarkStart w:id="662" w:name="_Toc28934"/>
      <w:bookmarkStart w:id="663" w:name="_Toc144974530"/>
      <w:bookmarkStart w:id="664" w:name="_Toc247513986"/>
      <w:bookmarkStart w:id="665" w:name="_Toc487562651"/>
      <w:bookmarkStart w:id="666" w:name="_Toc469605945"/>
      <w:bookmarkStart w:id="667" w:name="_Toc152045562"/>
      <w:bookmarkStart w:id="668" w:name="_Toc152042338"/>
      <w:r>
        <w:rPr>
          <w:rFonts w:hint="eastAsia" w:ascii="Times New Roman" w:hAnsi="Times New Roman"/>
          <w:highlight w:val="none"/>
        </w:rPr>
        <w:t>5.4 开标异议</w:t>
      </w:r>
      <w:bookmarkEnd w:id="655"/>
      <w:bookmarkEnd w:id="656"/>
      <w:bookmarkEnd w:id="657"/>
    </w:p>
    <w:p>
      <w:pPr>
        <w:pStyle w:val="3"/>
        <w:ind w:firstLine="420" w:firstLineChars="200"/>
        <w:rPr>
          <w:rFonts w:ascii="Calibri" w:hAnsi="Calibri" w:eastAsia="宋体"/>
          <w:b w:val="0"/>
          <w:bCs w:val="0"/>
          <w:sz w:val="21"/>
          <w:szCs w:val="24"/>
          <w:highlight w:val="none"/>
        </w:rPr>
      </w:pPr>
      <w:bookmarkStart w:id="669" w:name="_Toc30667"/>
      <w:bookmarkStart w:id="670" w:name="_Toc12314"/>
      <w:bookmarkStart w:id="671" w:name="_Toc2343"/>
      <w:r>
        <w:rPr>
          <w:rFonts w:hint="eastAsia" w:ascii="Calibri" w:hAnsi="Calibri" w:eastAsia="宋体"/>
          <w:b w:val="0"/>
          <w:bCs w:val="0"/>
          <w:sz w:val="21"/>
          <w:szCs w:val="24"/>
          <w:highlight w:val="none"/>
        </w:rPr>
        <w:t>投标人对开标有异议的，应当在开标现场提出，招标人当场作出答复，并制作记录。</w:t>
      </w:r>
      <w:bookmarkEnd w:id="669"/>
      <w:bookmarkEnd w:id="670"/>
      <w:bookmarkEnd w:id="671"/>
    </w:p>
    <w:p>
      <w:pPr>
        <w:pStyle w:val="3"/>
        <w:rPr>
          <w:highlight w:val="none"/>
        </w:rPr>
      </w:pPr>
      <w:bookmarkStart w:id="672" w:name="_Toc15879"/>
      <w:bookmarkStart w:id="673" w:name="_Toc28750"/>
      <w:bookmarkStart w:id="674" w:name="_Toc21551"/>
      <w:r>
        <w:rPr>
          <w:rFonts w:hint="eastAsia"/>
          <w:highlight w:val="none"/>
        </w:rPr>
        <w:t>6. 评标</w:t>
      </w:r>
      <w:bookmarkEnd w:id="658"/>
      <w:bookmarkEnd w:id="659"/>
      <w:bookmarkEnd w:id="660"/>
      <w:bookmarkEnd w:id="661"/>
      <w:bookmarkEnd w:id="662"/>
      <w:bookmarkEnd w:id="663"/>
      <w:bookmarkEnd w:id="664"/>
      <w:bookmarkEnd w:id="665"/>
      <w:bookmarkEnd w:id="666"/>
      <w:bookmarkEnd w:id="667"/>
      <w:bookmarkEnd w:id="668"/>
      <w:bookmarkEnd w:id="672"/>
      <w:bookmarkEnd w:id="673"/>
      <w:bookmarkEnd w:id="674"/>
    </w:p>
    <w:p>
      <w:pPr>
        <w:pStyle w:val="4"/>
        <w:rPr>
          <w:highlight w:val="none"/>
        </w:rPr>
      </w:pPr>
      <w:bookmarkStart w:id="675" w:name="_Toc247513987"/>
      <w:bookmarkStart w:id="676" w:name="_Toc6658"/>
      <w:bookmarkStart w:id="677" w:name="_Toc18716"/>
      <w:bookmarkStart w:id="678" w:name="_Toc25093"/>
      <w:bookmarkStart w:id="679" w:name="_Toc12151"/>
      <w:bookmarkStart w:id="680" w:name="_Toc22992"/>
      <w:bookmarkStart w:id="681" w:name="_Toc144974531"/>
      <w:bookmarkStart w:id="682" w:name="_Toc816"/>
      <w:bookmarkStart w:id="683" w:name="_Toc487131369"/>
      <w:bookmarkStart w:id="684" w:name="_Toc247527588"/>
      <w:bookmarkStart w:id="685" w:name="_Toc19634"/>
      <w:bookmarkStart w:id="686" w:name="_Toc487562652"/>
      <w:bookmarkStart w:id="687" w:name="_Toc487202502"/>
      <w:bookmarkStart w:id="688" w:name="_Toc469605946"/>
      <w:bookmarkStart w:id="689" w:name="_Toc152042339"/>
      <w:bookmarkStart w:id="690" w:name="_Toc152045563"/>
      <w:r>
        <w:rPr>
          <w:rFonts w:hint="eastAsia" w:ascii="Times New Roman" w:hAnsi="Times New Roman"/>
          <w:highlight w:val="none"/>
        </w:rPr>
        <w:t>6.1</w:t>
      </w:r>
      <w:r>
        <w:rPr>
          <w:rFonts w:hint="eastAsia"/>
          <w:highlight w:val="none"/>
        </w:rPr>
        <w:t xml:space="preserve"> 评标委员会</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spacing w:line="400" w:lineRule="exact"/>
        <w:ind w:firstLine="420" w:firstLineChars="200"/>
        <w:rPr>
          <w:highlight w:val="none"/>
        </w:rPr>
      </w:pPr>
      <w:r>
        <w:rPr>
          <w:rFonts w:hint="eastAsia"/>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highlight w:val="none"/>
        </w:rPr>
      </w:pPr>
      <w:r>
        <w:rPr>
          <w:rFonts w:hint="eastAsia"/>
          <w:highlight w:val="none"/>
        </w:rPr>
        <w:t>6.1.2 评标委员会成员有下列情形之一的，应当回避：</w:t>
      </w:r>
    </w:p>
    <w:p>
      <w:pPr>
        <w:spacing w:line="400" w:lineRule="exact"/>
        <w:ind w:firstLine="420" w:firstLineChars="200"/>
        <w:rPr>
          <w:highlight w:val="none"/>
        </w:rPr>
      </w:pPr>
      <w:r>
        <w:rPr>
          <w:rFonts w:hint="eastAsia"/>
          <w:highlight w:val="none"/>
        </w:rPr>
        <w:t>（1）投标人或投标人主要负责人的近亲属；</w:t>
      </w:r>
    </w:p>
    <w:p>
      <w:pPr>
        <w:spacing w:line="400" w:lineRule="exact"/>
        <w:ind w:firstLine="420" w:firstLineChars="200"/>
        <w:rPr>
          <w:highlight w:val="none"/>
        </w:rPr>
      </w:pPr>
      <w:r>
        <w:rPr>
          <w:rFonts w:hint="eastAsia"/>
          <w:highlight w:val="none"/>
        </w:rPr>
        <w:t>（2）项目主管部门或者行政监督部门的人员；</w:t>
      </w:r>
    </w:p>
    <w:p>
      <w:pPr>
        <w:spacing w:line="400" w:lineRule="exact"/>
        <w:ind w:firstLine="420" w:firstLineChars="200"/>
        <w:rPr>
          <w:highlight w:val="none"/>
        </w:rPr>
      </w:pPr>
      <w:r>
        <w:rPr>
          <w:rFonts w:hint="eastAsia"/>
          <w:highlight w:val="none"/>
        </w:rPr>
        <w:t>（3）与投标人有经济利益关系，可能影响对投标公正评审的；</w:t>
      </w:r>
    </w:p>
    <w:p>
      <w:pPr>
        <w:spacing w:line="400" w:lineRule="exact"/>
        <w:ind w:firstLine="420" w:firstLineChars="200"/>
        <w:rPr>
          <w:highlight w:val="none"/>
        </w:rPr>
      </w:pPr>
      <w:r>
        <w:rPr>
          <w:rFonts w:hint="eastAsia"/>
          <w:highlight w:val="none"/>
        </w:rPr>
        <w:t>（4）曾因在招标、评标以及其他与招标投标有关活动中从事违法行为而受过行政处罚或刑事处罚的；</w:t>
      </w:r>
    </w:p>
    <w:p>
      <w:pPr>
        <w:spacing w:line="400" w:lineRule="exact"/>
        <w:ind w:firstLine="420" w:firstLineChars="200"/>
        <w:rPr>
          <w:highlight w:val="none"/>
        </w:rPr>
      </w:pPr>
      <w:r>
        <w:rPr>
          <w:rFonts w:hint="eastAsia"/>
          <w:highlight w:val="none"/>
        </w:rPr>
        <w:t>（5）与投标人有其他利害关系。</w:t>
      </w:r>
    </w:p>
    <w:p>
      <w:pPr>
        <w:pStyle w:val="4"/>
        <w:rPr>
          <w:highlight w:val="none"/>
        </w:rPr>
      </w:pPr>
      <w:bookmarkStart w:id="691" w:name="_Toc247513988"/>
      <w:bookmarkStart w:id="692" w:name="_Toc144974532"/>
      <w:bookmarkStart w:id="693" w:name="_Toc28157"/>
      <w:bookmarkStart w:id="694" w:name="_Toc25771"/>
      <w:bookmarkStart w:id="695" w:name="_Toc3207"/>
      <w:bookmarkStart w:id="696" w:name="_Toc11287"/>
      <w:bookmarkStart w:id="697" w:name="_Toc152045564"/>
      <w:bookmarkStart w:id="698" w:name="_Toc247527589"/>
      <w:bookmarkStart w:id="699" w:name="_Toc19542"/>
      <w:bookmarkStart w:id="700" w:name="_Toc152042340"/>
      <w:bookmarkStart w:id="701" w:name="_Toc487202503"/>
      <w:bookmarkStart w:id="702" w:name="_Toc487562653"/>
      <w:bookmarkStart w:id="703" w:name="_Toc32231"/>
      <w:bookmarkStart w:id="704" w:name="_Toc487131370"/>
      <w:bookmarkStart w:id="705" w:name="_Toc469605947"/>
      <w:bookmarkStart w:id="706" w:name="_Toc30642"/>
      <w:r>
        <w:rPr>
          <w:rFonts w:hint="eastAsia" w:ascii="Times New Roman" w:hAnsi="Times New Roman"/>
          <w:highlight w:val="none"/>
        </w:rPr>
        <w:t>6.2</w:t>
      </w:r>
      <w:r>
        <w:rPr>
          <w:rFonts w:hint="eastAsia"/>
          <w:highlight w:val="none"/>
        </w:rPr>
        <w:t xml:space="preserve"> 评标原则</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Pr>
          <w:highlight w:val="none"/>
        </w:rPr>
        <w:tab/>
      </w:r>
    </w:p>
    <w:p>
      <w:pPr>
        <w:spacing w:line="400" w:lineRule="exact"/>
        <w:ind w:firstLine="420" w:firstLineChars="200"/>
        <w:rPr>
          <w:highlight w:val="none"/>
        </w:rPr>
      </w:pPr>
      <w:r>
        <w:rPr>
          <w:rFonts w:hint="eastAsia"/>
          <w:highlight w:val="none"/>
        </w:rPr>
        <w:t>评标活动遵循公平、公正、科学和择优的原则。</w:t>
      </w:r>
    </w:p>
    <w:p>
      <w:pPr>
        <w:pStyle w:val="4"/>
        <w:rPr>
          <w:highlight w:val="none"/>
        </w:rPr>
      </w:pPr>
      <w:bookmarkStart w:id="707" w:name="_Toc27452"/>
      <w:bookmarkStart w:id="708" w:name="_Toc20313"/>
      <w:bookmarkStart w:id="709" w:name="_Toc29305"/>
      <w:bookmarkStart w:id="710" w:name="_Toc14508"/>
      <w:bookmarkStart w:id="711" w:name="_Toc247513989"/>
      <w:bookmarkStart w:id="712" w:name="_Toc11585"/>
      <w:bookmarkStart w:id="713" w:name="_Toc152042341"/>
      <w:bookmarkStart w:id="714" w:name="_Toc487562654"/>
      <w:bookmarkStart w:id="715" w:name="_Toc487202504"/>
      <w:bookmarkStart w:id="716" w:name="_Toc469605948"/>
      <w:bookmarkStart w:id="717" w:name="_Toc247527590"/>
      <w:bookmarkStart w:id="718" w:name="_Toc152045565"/>
      <w:bookmarkStart w:id="719" w:name="_Toc20086"/>
      <w:bookmarkStart w:id="720" w:name="_Toc487131371"/>
      <w:bookmarkStart w:id="721" w:name="_Toc14000"/>
      <w:bookmarkStart w:id="722" w:name="_Toc144974533"/>
      <w:r>
        <w:rPr>
          <w:rFonts w:hint="eastAsia" w:ascii="Times New Roman" w:hAnsi="Times New Roman"/>
          <w:highlight w:val="none"/>
        </w:rPr>
        <w:t>6.3</w:t>
      </w:r>
      <w:r>
        <w:rPr>
          <w:rFonts w:hint="eastAsia"/>
          <w:highlight w:val="none"/>
        </w:rPr>
        <w:t xml:space="preserve"> 评标</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spacing w:line="400" w:lineRule="exact"/>
        <w:ind w:firstLine="420" w:firstLineChars="200"/>
        <w:rPr>
          <w:highlight w:val="none"/>
        </w:rPr>
      </w:pPr>
      <w:r>
        <w:rPr>
          <w:rFonts w:hint="eastAsia"/>
          <w:highlight w:val="none"/>
        </w:rPr>
        <w:t>评标委员会按照第三章“评标办法”规定的方法、评审因素、标准和程序对投标文件进行评审。第三章“评标办法”没有规定的方法、评审因素和标准，不作为评标依据。</w:t>
      </w:r>
    </w:p>
    <w:p>
      <w:pPr>
        <w:pStyle w:val="3"/>
        <w:rPr>
          <w:highlight w:val="none"/>
        </w:rPr>
      </w:pPr>
      <w:bookmarkStart w:id="723" w:name="_Toc22161"/>
      <w:bookmarkStart w:id="724" w:name="_Toc487562655"/>
      <w:bookmarkStart w:id="725" w:name="_Toc20821"/>
      <w:bookmarkStart w:id="726" w:name="_Toc469605949"/>
      <w:bookmarkStart w:id="727" w:name="_Toc247527591"/>
      <w:bookmarkStart w:id="728" w:name="_Toc144974534"/>
      <w:bookmarkStart w:id="729" w:name="_Toc152042342"/>
      <w:bookmarkStart w:id="730" w:name="_Toc17083"/>
      <w:bookmarkStart w:id="731" w:name="_Toc27578"/>
      <w:bookmarkStart w:id="732" w:name="_Toc152045566"/>
      <w:bookmarkStart w:id="733" w:name="_Toc247513990"/>
      <w:bookmarkStart w:id="734" w:name="_Toc20123"/>
      <w:bookmarkStart w:id="735" w:name="_Toc23822"/>
      <w:bookmarkStart w:id="736" w:name="_Toc6701"/>
      <w:r>
        <w:rPr>
          <w:rFonts w:hint="eastAsia"/>
          <w:highlight w:val="none"/>
        </w:rPr>
        <w:t>7. 合同授予</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pStyle w:val="4"/>
        <w:rPr>
          <w:highlight w:val="none"/>
        </w:rPr>
      </w:pPr>
      <w:bookmarkStart w:id="737" w:name="_Toc487131373"/>
      <w:bookmarkStart w:id="738" w:name="_Toc469605950"/>
      <w:bookmarkStart w:id="739" w:name="_Toc259"/>
      <w:bookmarkStart w:id="740" w:name="_Toc487202506"/>
      <w:bookmarkStart w:id="741" w:name="_Toc247527592"/>
      <w:bookmarkStart w:id="742" w:name="_Toc14816"/>
      <w:bookmarkStart w:id="743" w:name="_Toc152045567"/>
      <w:bookmarkStart w:id="744" w:name="_Toc22219"/>
      <w:bookmarkStart w:id="745" w:name="_Toc144974535"/>
      <w:bookmarkStart w:id="746" w:name="_Toc13673"/>
      <w:bookmarkStart w:id="747" w:name="_Toc247513991"/>
      <w:bookmarkStart w:id="748" w:name="_Toc15389"/>
      <w:bookmarkStart w:id="749" w:name="_Toc13173"/>
      <w:bookmarkStart w:id="750" w:name="_Toc10089"/>
      <w:bookmarkStart w:id="751" w:name="_Toc487562656"/>
      <w:bookmarkStart w:id="752" w:name="_Toc152042343"/>
      <w:r>
        <w:rPr>
          <w:rFonts w:hint="eastAsia" w:ascii="Times New Roman" w:hAnsi="Times New Roman"/>
          <w:highlight w:val="none"/>
        </w:rPr>
        <w:t>7.1</w:t>
      </w:r>
      <w:r>
        <w:rPr>
          <w:rFonts w:hint="eastAsia"/>
          <w:highlight w:val="none"/>
        </w:rPr>
        <w:t xml:space="preserve"> 定标方式</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pPr>
        <w:spacing w:line="400" w:lineRule="exact"/>
        <w:ind w:firstLine="420" w:firstLineChars="200"/>
        <w:rPr>
          <w:highlight w:val="none"/>
        </w:rPr>
      </w:pPr>
      <w:r>
        <w:rPr>
          <w:rFonts w:hint="eastAsia"/>
          <w:highlight w:val="none"/>
        </w:rPr>
        <w:t>除投标人须知前附表规定评标委员会直接确定中标人外，招标人依据评标委员会推荐的中标候选人确定中标人，评标委员会推荐中标候选人的人数见投标人须知前附表。</w:t>
      </w:r>
    </w:p>
    <w:p>
      <w:pPr>
        <w:pStyle w:val="4"/>
        <w:rPr>
          <w:highlight w:val="none"/>
        </w:rPr>
      </w:pPr>
      <w:bookmarkStart w:id="753" w:name="_Toc487202507"/>
      <w:bookmarkStart w:id="754" w:name="_Toc29530"/>
      <w:bookmarkStart w:id="755" w:name="_Toc16028"/>
      <w:bookmarkStart w:id="756" w:name="_Toc469605951"/>
      <w:bookmarkStart w:id="757" w:name="_Toc29314"/>
      <w:bookmarkStart w:id="758" w:name="_Toc487131374"/>
      <w:bookmarkStart w:id="759" w:name="_Toc17874"/>
      <w:bookmarkStart w:id="760" w:name="_Toc14840"/>
      <w:bookmarkStart w:id="761" w:name="_Toc20602"/>
      <w:bookmarkStart w:id="762" w:name="_Toc986"/>
      <w:bookmarkStart w:id="763" w:name="_Toc487562657"/>
      <w:r>
        <w:rPr>
          <w:rFonts w:hint="eastAsia" w:ascii="Times New Roman" w:hAnsi="Times New Roman"/>
          <w:highlight w:val="none"/>
        </w:rPr>
        <w:t>7.2</w:t>
      </w:r>
      <w:r>
        <w:rPr>
          <w:rFonts w:hint="eastAsia"/>
          <w:highlight w:val="none"/>
        </w:rPr>
        <w:t xml:space="preserve"> 中标候选人公示</w:t>
      </w:r>
      <w:bookmarkEnd w:id="753"/>
      <w:bookmarkEnd w:id="754"/>
      <w:bookmarkEnd w:id="755"/>
      <w:bookmarkEnd w:id="756"/>
      <w:bookmarkEnd w:id="757"/>
      <w:bookmarkEnd w:id="758"/>
      <w:bookmarkEnd w:id="759"/>
      <w:bookmarkEnd w:id="760"/>
      <w:bookmarkEnd w:id="761"/>
      <w:bookmarkEnd w:id="762"/>
      <w:bookmarkEnd w:id="763"/>
    </w:p>
    <w:p>
      <w:pPr>
        <w:spacing w:line="400" w:lineRule="exact"/>
        <w:ind w:firstLine="420" w:firstLineChars="200"/>
        <w:rPr>
          <w:highlight w:val="none"/>
        </w:rPr>
      </w:pPr>
      <w:r>
        <w:rPr>
          <w:rFonts w:hint="eastAsia"/>
          <w:highlight w:val="none"/>
        </w:rPr>
        <w:t>招标人在投标人须知前附表规定的媒介公示中标候选人。</w:t>
      </w:r>
    </w:p>
    <w:p>
      <w:pPr>
        <w:pStyle w:val="4"/>
        <w:rPr>
          <w:highlight w:val="none"/>
        </w:rPr>
      </w:pPr>
      <w:bookmarkStart w:id="764" w:name="_Toc152042344"/>
      <w:bookmarkStart w:id="765" w:name="_Toc27672"/>
      <w:bookmarkStart w:id="766" w:name="_Toc152045568"/>
      <w:bookmarkStart w:id="767" w:name="_Toc144974536"/>
      <w:bookmarkStart w:id="768" w:name="_Toc247527593"/>
      <w:bookmarkStart w:id="769" w:name="_Toc11894"/>
      <w:bookmarkStart w:id="770" w:name="_Toc469605952"/>
      <w:bookmarkStart w:id="771" w:name="_Toc487131375"/>
      <w:bookmarkStart w:id="772" w:name="_Toc24255"/>
      <w:bookmarkStart w:id="773" w:name="_Toc9803"/>
      <w:bookmarkStart w:id="774" w:name="_Toc487562658"/>
      <w:bookmarkStart w:id="775" w:name="_Toc28871"/>
      <w:bookmarkStart w:id="776" w:name="_Toc26567"/>
      <w:bookmarkStart w:id="777" w:name="_Toc247513992"/>
      <w:bookmarkStart w:id="778" w:name="_Toc29061"/>
      <w:bookmarkStart w:id="779" w:name="_Toc487202508"/>
      <w:r>
        <w:rPr>
          <w:rFonts w:hint="eastAsia" w:ascii="Times New Roman" w:hAnsi="Times New Roman"/>
          <w:highlight w:val="none"/>
        </w:rPr>
        <w:t>7.3</w:t>
      </w:r>
      <w:r>
        <w:rPr>
          <w:rFonts w:hint="eastAsia"/>
          <w:highlight w:val="none"/>
        </w:rPr>
        <w:t xml:space="preserve"> 中标通知</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pPr>
        <w:spacing w:line="400" w:lineRule="exact"/>
        <w:ind w:firstLine="420" w:firstLineChars="200"/>
        <w:rPr>
          <w:highlight w:val="none"/>
        </w:rPr>
      </w:pPr>
      <w:r>
        <w:rPr>
          <w:rFonts w:hint="eastAsia"/>
          <w:highlight w:val="none"/>
        </w:rPr>
        <w:t>在本章第3.3款规定的投标有效期内，招标人以书面形式向中标人发出中标通知书，同时将中标结果通知未中标的投标人。</w:t>
      </w:r>
    </w:p>
    <w:p>
      <w:pPr>
        <w:pStyle w:val="4"/>
        <w:rPr>
          <w:highlight w:val="none"/>
        </w:rPr>
      </w:pPr>
      <w:bookmarkStart w:id="780" w:name="_Toc469605953"/>
      <w:bookmarkStart w:id="781" w:name="_Toc1247"/>
      <w:bookmarkStart w:id="782" w:name="_Toc30404"/>
      <w:bookmarkStart w:id="783" w:name="_Toc31517"/>
      <w:bookmarkStart w:id="784" w:name="_Toc247513993"/>
      <w:bookmarkStart w:id="785" w:name="_Toc11957"/>
      <w:bookmarkStart w:id="786" w:name="_Toc487562659"/>
      <w:bookmarkStart w:id="787" w:name="_Toc7175"/>
      <w:bookmarkStart w:id="788" w:name="_Toc247527594"/>
      <w:bookmarkStart w:id="789" w:name="_Toc487202509"/>
      <w:bookmarkStart w:id="790" w:name="_Toc144974537"/>
      <w:bookmarkStart w:id="791" w:name="_Toc24796"/>
      <w:bookmarkStart w:id="792" w:name="_Toc487131376"/>
      <w:bookmarkStart w:id="793" w:name="_Toc152045569"/>
      <w:bookmarkStart w:id="794" w:name="_Toc152042345"/>
      <w:bookmarkStart w:id="795" w:name="_Toc20229"/>
      <w:r>
        <w:rPr>
          <w:rFonts w:hint="eastAsia" w:ascii="Times New Roman" w:hAnsi="Times New Roman"/>
          <w:highlight w:val="none"/>
        </w:rPr>
        <w:t>7.4</w:t>
      </w:r>
      <w:r>
        <w:rPr>
          <w:rFonts w:hint="eastAsia"/>
          <w:highlight w:val="none"/>
        </w:rPr>
        <w:t xml:space="preserve"> 履约担保</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pPr>
        <w:spacing w:line="400" w:lineRule="exact"/>
        <w:ind w:firstLine="420" w:firstLineChars="200"/>
        <w:rPr>
          <w:highlight w:val="none"/>
        </w:rPr>
      </w:pPr>
      <w:r>
        <w:rPr>
          <w:rFonts w:hint="eastAsia"/>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2%。联合体中标的，其履约担保由联合体各方或者联合体中牵头人的名义提交。</w:t>
      </w:r>
    </w:p>
    <w:p>
      <w:pPr>
        <w:spacing w:line="400" w:lineRule="exact"/>
        <w:ind w:firstLine="420" w:firstLineChars="200"/>
        <w:rPr>
          <w:highlight w:val="none"/>
        </w:rPr>
      </w:pPr>
      <w:r>
        <w:rPr>
          <w:rFonts w:hint="eastAsia"/>
          <w:highlight w:val="none"/>
        </w:rPr>
        <w:t>7.4.2 中标人不能按本章第7.4.1项要求提交履约担保的，视为放弃中标，其投标保证金不予退还，给招标人造成的损失超过投标保证金数额的，中标人还应当对超过部分予以赔偿。</w:t>
      </w:r>
    </w:p>
    <w:p>
      <w:pPr>
        <w:pStyle w:val="4"/>
        <w:rPr>
          <w:highlight w:val="none"/>
        </w:rPr>
      </w:pPr>
      <w:bookmarkStart w:id="796" w:name="_Toc152042346"/>
      <w:bookmarkStart w:id="797" w:name="_Toc14145"/>
      <w:bookmarkStart w:id="798" w:name="_Toc487131377"/>
      <w:bookmarkStart w:id="799" w:name="_Toc11027"/>
      <w:bookmarkStart w:id="800" w:name="_Toc144974538"/>
      <w:bookmarkStart w:id="801" w:name="_Toc247527595"/>
      <w:bookmarkStart w:id="802" w:name="_Toc14599"/>
      <w:bookmarkStart w:id="803" w:name="_Toc15168"/>
      <w:bookmarkStart w:id="804" w:name="_Toc30424"/>
      <w:bookmarkStart w:id="805" w:name="_Toc487562660"/>
      <w:bookmarkStart w:id="806" w:name="_Toc152045570"/>
      <w:bookmarkStart w:id="807" w:name="_Toc487202510"/>
      <w:bookmarkStart w:id="808" w:name="_Toc1969"/>
      <w:bookmarkStart w:id="809" w:name="_Toc469605954"/>
      <w:bookmarkStart w:id="810" w:name="_Toc24039"/>
      <w:bookmarkStart w:id="811" w:name="_Toc247513994"/>
      <w:r>
        <w:rPr>
          <w:rFonts w:hint="eastAsia" w:ascii="Times New Roman" w:hAnsi="Times New Roman"/>
          <w:highlight w:val="none"/>
        </w:rPr>
        <w:t>7.5</w:t>
      </w:r>
      <w:r>
        <w:rPr>
          <w:rFonts w:hint="eastAsia"/>
          <w:highlight w:val="none"/>
        </w:rPr>
        <w:t xml:space="preserve"> 签订合同</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pPr>
        <w:spacing w:line="400" w:lineRule="exact"/>
        <w:ind w:firstLine="420" w:firstLineChars="200"/>
        <w:rPr>
          <w:highlight w:val="none"/>
        </w:rPr>
      </w:pPr>
      <w:r>
        <w:rPr>
          <w:rFonts w:hint="eastAsia"/>
          <w:highlight w:val="none"/>
        </w:rPr>
        <w:t>7.5.1 招标人和中标人应当自中标通知书发出之日起</w:t>
      </w:r>
      <w:r>
        <w:rPr>
          <w:rFonts w:hint="eastAsia"/>
          <w:highlight w:val="none"/>
          <w:u w:val="single"/>
        </w:rPr>
        <w:t>30</w:t>
      </w:r>
      <w:r>
        <w:rPr>
          <w:rFonts w:hint="eastAsia" w:ascii="宋体" w:hAnsi="宋体"/>
          <w:b/>
          <w:highlight w:val="none"/>
        </w:rPr>
        <w:t>天</w:t>
      </w:r>
      <w:r>
        <w:rPr>
          <w:rFonts w:hint="eastAsia"/>
          <w:highlight w:val="none"/>
        </w:rPr>
        <w:t xml:space="preserve">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rPr>
          <w:highlight w:val="none"/>
        </w:rPr>
      </w:pPr>
      <w:r>
        <w:rPr>
          <w:rFonts w:hint="eastAsia"/>
          <w:highlight w:val="none"/>
        </w:rPr>
        <w:t xml:space="preserve">7.5.2 发出中标通知书后，招标人无正当理由拒签合同的，招标人向中标人退还投标保证金；给中标人造成损失的，还应当赔偿损失。 </w:t>
      </w:r>
    </w:p>
    <w:p>
      <w:pPr>
        <w:pStyle w:val="3"/>
        <w:rPr>
          <w:highlight w:val="none"/>
        </w:rPr>
      </w:pPr>
      <w:bookmarkStart w:id="812" w:name="_Toc20850"/>
      <w:bookmarkStart w:id="813" w:name="_Toc19829"/>
      <w:bookmarkStart w:id="814" w:name="_Toc21302"/>
      <w:bookmarkStart w:id="815" w:name="_Toc184635078"/>
      <w:bookmarkStart w:id="816" w:name="_Toc27228"/>
      <w:r>
        <w:rPr>
          <w:rFonts w:hint="eastAsia"/>
          <w:highlight w:val="none"/>
        </w:rPr>
        <w:t>8．重新招标和不再招标</w:t>
      </w:r>
      <w:bookmarkEnd w:id="812"/>
      <w:bookmarkEnd w:id="813"/>
      <w:bookmarkEnd w:id="814"/>
      <w:bookmarkEnd w:id="815"/>
      <w:bookmarkEnd w:id="816"/>
    </w:p>
    <w:p>
      <w:pPr>
        <w:pStyle w:val="4"/>
        <w:rPr>
          <w:rFonts w:ascii="Times New Roman" w:hAnsi="Times New Roman"/>
          <w:highlight w:val="none"/>
        </w:rPr>
      </w:pPr>
      <w:bookmarkStart w:id="817" w:name="_Toc12301"/>
      <w:bookmarkStart w:id="818" w:name="_Toc12404"/>
      <w:bookmarkStart w:id="819" w:name="_Toc5622"/>
      <w:bookmarkStart w:id="820" w:name="_Toc13474"/>
      <w:r>
        <w:rPr>
          <w:rFonts w:hint="eastAsia" w:ascii="Times New Roman" w:hAnsi="Times New Roman"/>
          <w:highlight w:val="none"/>
        </w:rPr>
        <w:t>8.1 重新招标</w:t>
      </w:r>
      <w:bookmarkEnd w:id="817"/>
      <w:bookmarkEnd w:id="818"/>
      <w:bookmarkEnd w:id="819"/>
      <w:bookmarkEnd w:id="820"/>
    </w:p>
    <w:p>
      <w:pPr>
        <w:spacing w:line="360" w:lineRule="auto"/>
        <w:ind w:firstLine="420" w:firstLineChars="200"/>
        <w:rPr>
          <w:rFonts w:ascii="宋体" w:hAnsi="宋体"/>
          <w:szCs w:val="21"/>
          <w:highlight w:val="none"/>
        </w:rPr>
      </w:pPr>
      <w:r>
        <w:rPr>
          <w:rFonts w:hint="eastAsia" w:ascii="宋体" w:hAnsi="宋体"/>
          <w:szCs w:val="21"/>
          <w:highlight w:val="none"/>
        </w:rPr>
        <w:t>有下列情形之一的，招标人将重新招标：</w:t>
      </w:r>
    </w:p>
    <w:p>
      <w:pPr>
        <w:spacing w:line="360" w:lineRule="auto"/>
        <w:ind w:firstLine="420" w:firstLineChars="200"/>
        <w:rPr>
          <w:highlight w:val="none"/>
        </w:rPr>
      </w:pPr>
      <w:r>
        <w:rPr>
          <w:rFonts w:hint="eastAsia"/>
          <w:highlight w:val="none"/>
        </w:rPr>
        <w:t>（1）</w:t>
      </w:r>
      <w:r>
        <w:rPr>
          <w:highlight w:val="none"/>
        </w:rPr>
        <w:t>通过资格审查的公开招标的投标人</w:t>
      </w:r>
      <w:r>
        <w:rPr>
          <w:rFonts w:hint="eastAsia"/>
          <w:highlight w:val="none"/>
        </w:rPr>
        <w:t>少于三个</w:t>
      </w:r>
      <w:r>
        <w:rPr>
          <w:highlight w:val="none"/>
        </w:rPr>
        <w:t>，邀请招标的投标人</w:t>
      </w:r>
      <w:r>
        <w:rPr>
          <w:rFonts w:hint="eastAsia"/>
          <w:highlight w:val="none"/>
        </w:rPr>
        <w:t>少于三个的</w:t>
      </w:r>
      <w:r>
        <w:rPr>
          <w:highlight w:val="none"/>
        </w:rPr>
        <w:t>；</w:t>
      </w:r>
    </w:p>
    <w:p>
      <w:pPr>
        <w:spacing w:line="360" w:lineRule="auto"/>
        <w:ind w:firstLine="420" w:firstLineChars="200"/>
        <w:rPr>
          <w:rFonts w:ascii="宋体" w:hAnsi="宋体"/>
          <w:szCs w:val="21"/>
          <w:highlight w:val="none"/>
        </w:rPr>
      </w:pPr>
      <w:r>
        <w:rPr>
          <w:rFonts w:hint="eastAsia"/>
          <w:highlight w:val="none"/>
        </w:rPr>
        <w:t>（2）</w:t>
      </w:r>
      <w:r>
        <w:rPr>
          <w:highlight w:val="none"/>
        </w:rPr>
        <w:t>经评</w:t>
      </w:r>
      <w:r>
        <w:rPr>
          <w:rFonts w:hint="eastAsia"/>
          <w:highlight w:val="none"/>
        </w:rPr>
        <w:t>审</w:t>
      </w:r>
      <w:r>
        <w:rPr>
          <w:highlight w:val="none"/>
        </w:rPr>
        <w:t>有效投标的投标人少于三</w:t>
      </w:r>
      <w:r>
        <w:rPr>
          <w:rFonts w:hint="eastAsia"/>
          <w:highlight w:val="none"/>
        </w:rPr>
        <w:t>个的。</w:t>
      </w:r>
    </w:p>
    <w:p>
      <w:pPr>
        <w:pStyle w:val="4"/>
        <w:rPr>
          <w:rFonts w:ascii="Times New Roman" w:hAnsi="Times New Roman"/>
          <w:highlight w:val="none"/>
        </w:rPr>
      </w:pPr>
      <w:bookmarkStart w:id="821" w:name="_Toc23317"/>
      <w:bookmarkStart w:id="822" w:name="_Toc5422"/>
      <w:bookmarkStart w:id="823" w:name="_Toc12955"/>
      <w:bookmarkStart w:id="824" w:name="_Toc14147"/>
      <w:r>
        <w:rPr>
          <w:rFonts w:hint="eastAsia" w:ascii="Times New Roman" w:hAnsi="Times New Roman"/>
          <w:highlight w:val="none"/>
        </w:rPr>
        <w:t>8.2 不再招标</w:t>
      </w:r>
      <w:bookmarkEnd w:id="821"/>
      <w:bookmarkEnd w:id="822"/>
      <w:bookmarkEnd w:id="823"/>
      <w:bookmarkEnd w:id="824"/>
    </w:p>
    <w:p>
      <w:pPr>
        <w:spacing w:line="360" w:lineRule="auto"/>
        <w:ind w:firstLine="420" w:firstLineChars="200"/>
        <w:rPr>
          <w:highlight w:val="none"/>
        </w:rPr>
      </w:pPr>
      <w:r>
        <w:rPr>
          <w:rFonts w:hint="eastAsia" w:ascii="宋体" w:hAnsi="宋体"/>
          <w:szCs w:val="21"/>
          <w:highlight w:val="none"/>
        </w:rPr>
        <w:t>公开招标重新招标后，</w:t>
      </w:r>
      <w:r>
        <w:rPr>
          <w:rFonts w:ascii="宋体" w:hAnsi="宋体"/>
          <w:szCs w:val="21"/>
          <w:highlight w:val="none"/>
        </w:rPr>
        <w:t>通过资格审查的公开招标的投标人</w:t>
      </w:r>
      <w:r>
        <w:rPr>
          <w:rFonts w:hint="eastAsia" w:ascii="宋体" w:hAnsi="宋体"/>
          <w:szCs w:val="21"/>
          <w:highlight w:val="none"/>
        </w:rPr>
        <w:t>仍</w:t>
      </w:r>
      <w:r>
        <w:rPr>
          <w:rFonts w:hint="eastAsia"/>
          <w:highlight w:val="none"/>
        </w:rPr>
        <w:t>少于三个</w:t>
      </w:r>
      <w:r>
        <w:rPr>
          <w:rFonts w:hint="eastAsia" w:ascii="宋体" w:hAnsi="宋体"/>
          <w:szCs w:val="21"/>
          <w:highlight w:val="none"/>
        </w:rPr>
        <w:t>，或者</w:t>
      </w:r>
      <w:r>
        <w:rPr>
          <w:highlight w:val="none"/>
        </w:rPr>
        <w:t>经评</w:t>
      </w:r>
      <w:r>
        <w:rPr>
          <w:rFonts w:hint="eastAsia"/>
          <w:highlight w:val="none"/>
        </w:rPr>
        <w:t>审</w:t>
      </w:r>
      <w:r>
        <w:rPr>
          <w:highlight w:val="none"/>
        </w:rPr>
        <w:t>有效投标人少于三</w:t>
      </w:r>
      <w:r>
        <w:rPr>
          <w:rFonts w:hint="eastAsia"/>
          <w:highlight w:val="none"/>
        </w:rPr>
        <w:t>个的</w:t>
      </w:r>
      <w:r>
        <w:rPr>
          <w:rFonts w:hint="eastAsia" w:ascii="宋体" w:hAnsi="宋体"/>
          <w:szCs w:val="21"/>
          <w:highlight w:val="none"/>
        </w:rPr>
        <w:t>，属于必须审批或核准的工程建设项目，经原审批或核准部门批准后不再进行招标。</w:t>
      </w:r>
    </w:p>
    <w:p>
      <w:pPr>
        <w:pStyle w:val="3"/>
        <w:rPr>
          <w:highlight w:val="none"/>
        </w:rPr>
      </w:pPr>
      <w:bookmarkStart w:id="825" w:name="_Toc152042347"/>
      <w:bookmarkStart w:id="826" w:name="_Toc247527596"/>
      <w:bookmarkStart w:id="827" w:name="_Toc144974539"/>
      <w:bookmarkStart w:id="828" w:name="_Toc247513995"/>
      <w:bookmarkStart w:id="829" w:name="_Toc152045571"/>
      <w:bookmarkStart w:id="830" w:name="_Toc469605955"/>
      <w:bookmarkStart w:id="831" w:name="_Toc487562661"/>
      <w:bookmarkStart w:id="832" w:name="_Toc8932"/>
      <w:bookmarkStart w:id="833" w:name="_Toc12907"/>
      <w:bookmarkStart w:id="834" w:name="_Toc18777"/>
      <w:bookmarkStart w:id="835" w:name="_Toc1839"/>
      <w:bookmarkStart w:id="836" w:name="_Toc2593"/>
      <w:bookmarkStart w:id="837" w:name="_Toc3775"/>
      <w:bookmarkStart w:id="838" w:name="_Toc27998"/>
      <w:r>
        <w:rPr>
          <w:rFonts w:hint="eastAsia"/>
          <w:highlight w:val="none"/>
        </w:rPr>
        <w:t>9.</w:t>
      </w:r>
      <w:bookmarkEnd w:id="825"/>
      <w:bookmarkEnd w:id="826"/>
      <w:bookmarkEnd w:id="827"/>
      <w:bookmarkEnd w:id="828"/>
      <w:bookmarkEnd w:id="829"/>
      <w:bookmarkStart w:id="839" w:name="_Toc247527599"/>
      <w:bookmarkStart w:id="840" w:name="_Toc152042350"/>
      <w:bookmarkStart w:id="841" w:name="_Toc247513998"/>
      <w:bookmarkStart w:id="842" w:name="_Toc144974542"/>
      <w:bookmarkStart w:id="843" w:name="_Toc152045574"/>
      <w:r>
        <w:rPr>
          <w:rFonts w:hint="eastAsia"/>
          <w:highlight w:val="none"/>
        </w:rPr>
        <w:t xml:space="preserve"> 纪律和监督</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pPr>
        <w:pStyle w:val="4"/>
        <w:rPr>
          <w:highlight w:val="none"/>
        </w:rPr>
      </w:pPr>
      <w:bookmarkStart w:id="844" w:name="_Toc7592"/>
      <w:bookmarkStart w:id="845" w:name="_Toc7772"/>
      <w:bookmarkStart w:id="846" w:name="_Toc25442"/>
      <w:bookmarkStart w:id="847" w:name="_Toc21828"/>
      <w:bookmarkStart w:id="848" w:name="_Toc152045575"/>
      <w:bookmarkStart w:id="849" w:name="_Toc152042351"/>
      <w:bookmarkStart w:id="850" w:name="_Toc487202512"/>
      <w:bookmarkStart w:id="851" w:name="_Toc15963"/>
      <w:bookmarkStart w:id="852" w:name="_Toc30614"/>
      <w:bookmarkStart w:id="853" w:name="_Toc487562662"/>
      <w:bookmarkStart w:id="854" w:name="_Toc487131379"/>
      <w:bookmarkStart w:id="855" w:name="_Toc247527600"/>
      <w:bookmarkStart w:id="856" w:name="_Toc247513999"/>
      <w:bookmarkStart w:id="857" w:name="_Toc7810"/>
      <w:bookmarkStart w:id="858" w:name="_Toc469605956"/>
      <w:bookmarkStart w:id="859" w:name="_Toc144974543"/>
      <w:r>
        <w:rPr>
          <w:rFonts w:hint="eastAsia" w:ascii="Times New Roman" w:hAnsi="Times New Roman"/>
          <w:highlight w:val="none"/>
        </w:rPr>
        <w:t>9.1</w:t>
      </w:r>
      <w:r>
        <w:rPr>
          <w:rFonts w:hint="eastAsia"/>
          <w:highlight w:val="none"/>
        </w:rPr>
        <w:t xml:space="preserve"> 对招标人的纪律要求</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spacing w:line="400" w:lineRule="exact"/>
        <w:ind w:firstLine="420" w:firstLineChars="200"/>
        <w:rPr>
          <w:highlight w:val="none"/>
        </w:rPr>
      </w:pPr>
      <w:r>
        <w:rPr>
          <w:rFonts w:hint="eastAsia"/>
          <w:highlight w:val="none"/>
        </w:rPr>
        <w:t>招标人不得泄漏招标投标活动中应当保密的情况和资料，不得与投标人串通损害国家利益、社会公共利益或者他人合法权益。</w:t>
      </w:r>
    </w:p>
    <w:p>
      <w:pPr>
        <w:pStyle w:val="4"/>
        <w:rPr>
          <w:highlight w:val="none"/>
        </w:rPr>
      </w:pPr>
      <w:bookmarkStart w:id="860" w:name="_Toc144974544"/>
      <w:bookmarkStart w:id="861" w:name="_Toc15976"/>
      <w:bookmarkStart w:id="862" w:name="_Toc469605957"/>
      <w:bookmarkStart w:id="863" w:name="_Toc30920"/>
      <w:bookmarkStart w:id="864" w:name="_Toc152042352"/>
      <w:bookmarkStart w:id="865" w:name="_Toc7373"/>
      <w:bookmarkStart w:id="866" w:name="_Toc487131380"/>
      <w:bookmarkStart w:id="867" w:name="_Toc152045576"/>
      <w:bookmarkStart w:id="868" w:name="_Toc487562663"/>
      <w:bookmarkStart w:id="869" w:name="_Toc247514000"/>
      <w:bookmarkStart w:id="870" w:name="_Toc247527601"/>
      <w:bookmarkStart w:id="871" w:name="_Toc25022"/>
      <w:bookmarkStart w:id="872" w:name="_Toc15861"/>
      <w:bookmarkStart w:id="873" w:name="_Toc4089"/>
      <w:bookmarkStart w:id="874" w:name="_Toc487202513"/>
      <w:bookmarkStart w:id="875" w:name="_Toc9986"/>
      <w:r>
        <w:rPr>
          <w:rFonts w:hint="eastAsia" w:ascii="Times New Roman" w:hAnsi="Times New Roman"/>
          <w:highlight w:val="none"/>
        </w:rPr>
        <w:t>9.2</w:t>
      </w:r>
      <w:r>
        <w:rPr>
          <w:rFonts w:hint="eastAsia"/>
          <w:highlight w:val="none"/>
        </w:rPr>
        <w:t xml:space="preserve"> 对投标人的纪律要求</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pPr>
        <w:spacing w:line="400" w:lineRule="exact"/>
        <w:ind w:firstLine="420" w:firstLineChars="200"/>
        <w:rPr>
          <w:highlight w:val="none"/>
        </w:rPr>
      </w:pPr>
      <w:r>
        <w:rPr>
          <w:rFonts w:hint="eastAsia"/>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rPr>
          <w:highlight w:val="none"/>
        </w:rPr>
      </w:pPr>
      <w:bookmarkStart w:id="876" w:name="_Toc487131381"/>
      <w:bookmarkStart w:id="877" w:name="_Toc2815"/>
      <w:bookmarkStart w:id="878" w:name="_Toc32268"/>
      <w:bookmarkStart w:id="879" w:name="_Toc247527602"/>
      <w:bookmarkStart w:id="880" w:name="_Toc19847"/>
      <w:bookmarkStart w:id="881" w:name="_Toc152042353"/>
      <w:bookmarkStart w:id="882" w:name="_Toc487562664"/>
      <w:bookmarkStart w:id="883" w:name="_Toc25147"/>
      <w:bookmarkStart w:id="884" w:name="_Toc487202514"/>
      <w:bookmarkStart w:id="885" w:name="_Toc469605958"/>
      <w:bookmarkStart w:id="886" w:name="_Toc152045577"/>
      <w:bookmarkStart w:id="887" w:name="_Toc19007"/>
      <w:bookmarkStart w:id="888" w:name="_Toc7516"/>
      <w:bookmarkStart w:id="889" w:name="_Toc247514001"/>
      <w:bookmarkStart w:id="890" w:name="_Toc3914"/>
      <w:bookmarkStart w:id="891" w:name="_Toc144974545"/>
      <w:r>
        <w:rPr>
          <w:rFonts w:hint="eastAsia" w:ascii="Times New Roman" w:hAnsi="Times New Roman"/>
          <w:highlight w:val="none"/>
        </w:rPr>
        <w:t>9.3</w:t>
      </w:r>
      <w:r>
        <w:rPr>
          <w:rFonts w:hint="eastAsia"/>
          <w:highlight w:val="none"/>
        </w:rPr>
        <w:t xml:space="preserve"> 对评标委员会成员的纪律要求</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pPr>
        <w:spacing w:line="400" w:lineRule="exact"/>
        <w:ind w:firstLine="420" w:firstLineChars="200"/>
        <w:rPr>
          <w:highlight w:val="none"/>
        </w:rPr>
      </w:pPr>
      <w:r>
        <w:rPr>
          <w:rFonts w:hint="eastAsia"/>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rPr>
          <w:highlight w:val="none"/>
        </w:rPr>
      </w:pPr>
      <w:bookmarkStart w:id="892" w:name="_Toc469605959"/>
      <w:bookmarkStart w:id="893" w:name="_Toc487131382"/>
      <w:bookmarkStart w:id="894" w:name="_Toc152045578"/>
      <w:bookmarkStart w:id="895" w:name="_Toc23726"/>
      <w:bookmarkStart w:id="896" w:name="_Toc247514002"/>
      <w:bookmarkStart w:id="897" w:name="_Toc6291"/>
      <w:bookmarkStart w:id="898" w:name="_Toc8957"/>
      <w:bookmarkStart w:id="899" w:name="_Toc487562665"/>
      <w:bookmarkStart w:id="900" w:name="_Toc3930"/>
      <w:bookmarkStart w:id="901" w:name="_Toc247527603"/>
      <w:bookmarkStart w:id="902" w:name="_Toc368"/>
      <w:bookmarkStart w:id="903" w:name="_Toc3489"/>
      <w:bookmarkStart w:id="904" w:name="_Toc152042354"/>
      <w:bookmarkStart w:id="905" w:name="_Toc12852"/>
      <w:bookmarkStart w:id="906" w:name="_Toc487202515"/>
      <w:bookmarkStart w:id="907" w:name="_Toc144974546"/>
      <w:r>
        <w:rPr>
          <w:rFonts w:hint="eastAsia" w:ascii="Times New Roman" w:hAnsi="Times New Roman"/>
          <w:highlight w:val="none"/>
        </w:rPr>
        <w:t>9.4</w:t>
      </w:r>
      <w:r>
        <w:rPr>
          <w:rFonts w:hint="eastAsia"/>
          <w:highlight w:val="none"/>
        </w:rPr>
        <w:t xml:space="preserve"> 对与评标活动有关的工作人员的纪律要求</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spacing w:line="400" w:lineRule="exact"/>
        <w:ind w:firstLine="420" w:firstLineChars="200"/>
        <w:rPr>
          <w:highlight w:val="none"/>
        </w:rPr>
      </w:pPr>
      <w:bookmarkStart w:id="908" w:name="_Toc152042355"/>
      <w:r>
        <w:rPr>
          <w:rFonts w:hint="eastAsia"/>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908"/>
    </w:p>
    <w:p>
      <w:pPr>
        <w:pStyle w:val="4"/>
        <w:rPr>
          <w:highlight w:val="none"/>
        </w:rPr>
      </w:pPr>
      <w:bookmarkStart w:id="909" w:name="_Toc11704"/>
      <w:bookmarkStart w:id="910" w:name="_Toc15045"/>
      <w:bookmarkStart w:id="911" w:name="_Toc25488"/>
      <w:bookmarkStart w:id="912" w:name="_Toc25939"/>
      <w:bookmarkStart w:id="913" w:name="_Toc487131383"/>
      <w:bookmarkStart w:id="914" w:name="_Toc247527604"/>
      <w:bookmarkStart w:id="915" w:name="_Toc247514003"/>
      <w:bookmarkStart w:id="916" w:name="_Toc751"/>
      <w:bookmarkStart w:id="917" w:name="_Toc152042356"/>
      <w:bookmarkStart w:id="918" w:name="_Toc487202516"/>
      <w:bookmarkStart w:id="919" w:name="_Toc8273"/>
      <w:bookmarkStart w:id="920" w:name="_Toc487562666"/>
      <w:bookmarkStart w:id="921" w:name="_Toc20"/>
      <w:bookmarkStart w:id="922" w:name="_Toc152045579"/>
      <w:bookmarkStart w:id="923" w:name="_Toc469605960"/>
      <w:r>
        <w:rPr>
          <w:rFonts w:hint="eastAsia" w:ascii="Times New Roman" w:hAnsi="Times New Roman"/>
          <w:highlight w:val="none"/>
        </w:rPr>
        <w:t>9.5</w:t>
      </w:r>
      <w:r>
        <w:rPr>
          <w:rFonts w:hint="eastAsia"/>
          <w:highlight w:val="none"/>
        </w:rPr>
        <w:t xml:space="preserve"> 投诉</w:t>
      </w:r>
      <w:bookmarkEnd w:id="907"/>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pPr>
        <w:spacing w:line="400" w:lineRule="exact"/>
        <w:ind w:firstLine="420" w:firstLineChars="200"/>
        <w:rPr>
          <w:highlight w:val="none"/>
        </w:rPr>
      </w:pPr>
      <w:r>
        <w:rPr>
          <w:rFonts w:hint="eastAsia"/>
          <w:highlight w:val="none"/>
        </w:rPr>
        <w:t>投标人和其他利害关系人认为本次招标活动违反法律、法规和规章规定的，有权向有关行政监督部门投诉。</w:t>
      </w:r>
    </w:p>
    <w:p>
      <w:pPr>
        <w:pStyle w:val="3"/>
        <w:rPr>
          <w:highlight w:val="none"/>
        </w:rPr>
      </w:pPr>
      <w:bookmarkStart w:id="924" w:name="_Toc247527605"/>
      <w:bookmarkStart w:id="925" w:name="_Toc25232"/>
      <w:bookmarkStart w:id="926" w:name="_Toc247514004"/>
      <w:bookmarkStart w:id="927" w:name="_Toc26760"/>
      <w:bookmarkStart w:id="928" w:name="_Toc144974547"/>
      <w:bookmarkStart w:id="929" w:name="_Toc487562667"/>
      <w:bookmarkStart w:id="930" w:name="_Toc29184"/>
      <w:bookmarkStart w:id="931" w:name="_Toc12594"/>
      <w:bookmarkStart w:id="932" w:name="_Toc469605961"/>
      <w:bookmarkStart w:id="933" w:name="_Toc2750"/>
      <w:bookmarkStart w:id="934" w:name="_Toc20476"/>
      <w:bookmarkStart w:id="935" w:name="_Toc152045580"/>
      <w:bookmarkStart w:id="936" w:name="_Toc29166"/>
      <w:bookmarkStart w:id="937" w:name="_Toc152042357"/>
      <w:r>
        <w:rPr>
          <w:rFonts w:hint="eastAsia"/>
          <w:highlight w:val="none"/>
        </w:rPr>
        <w:t>10. 需要补充的其他内容</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spacing w:line="400" w:lineRule="exact"/>
        <w:ind w:firstLine="420" w:firstLineChars="200"/>
        <w:rPr>
          <w:highlight w:val="none"/>
        </w:rPr>
      </w:pPr>
      <w:r>
        <w:rPr>
          <w:rFonts w:hint="eastAsia"/>
          <w:highlight w:val="none"/>
        </w:rPr>
        <w:t>需要补充的其他内容：见投标人须知前附表。</w:t>
      </w:r>
    </w:p>
    <w:p>
      <w:pPr>
        <w:pStyle w:val="2"/>
        <w:spacing w:before="0" w:after="0" w:line="240" w:lineRule="auto"/>
        <w:jc w:val="center"/>
        <w:rPr>
          <w:highlight w:val="none"/>
        </w:rPr>
      </w:pPr>
      <w:r>
        <w:rPr>
          <w:highlight w:val="none"/>
        </w:rPr>
        <w:br w:type="page"/>
      </w:r>
      <w:bookmarkStart w:id="938" w:name="_Toc8845"/>
      <w:bookmarkStart w:id="939" w:name="_Toc247527623"/>
      <w:bookmarkStart w:id="940" w:name="_Toc152042375"/>
      <w:bookmarkStart w:id="941" w:name="_Toc152045598"/>
      <w:bookmarkStart w:id="942" w:name="_Toc247514022"/>
      <w:bookmarkStart w:id="943" w:name="_Toc144974565"/>
      <w:bookmarkStart w:id="944" w:name="_Toc7182"/>
      <w:r>
        <w:rPr>
          <w:rFonts w:hint="eastAsia"/>
          <w:highlight w:val="none"/>
        </w:rPr>
        <w:t>第三章 评标办法（综合评估法）</w:t>
      </w:r>
      <w:bookmarkEnd w:id="938"/>
      <w:bookmarkEnd w:id="939"/>
      <w:bookmarkEnd w:id="940"/>
      <w:bookmarkEnd w:id="941"/>
      <w:bookmarkEnd w:id="942"/>
      <w:bookmarkEnd w:id="943"/>
      <w:bookmarkEnd w:id="944"/>
    </w:p>
    <w:p>
      <w:pPr>
        <w:pStyle w:val="3"/>
        <w:rPr>
          <w:rFonts w:ascii="Times New Roman" w:hAnsi="Times New Roman"/>
          <w:highlight w:val="none"/>
        </w:rPr>
      </w:pPr>
      <w:bookmarkStart w:id="945" w:name="_Toc28203"/>
      <w:bookmarkStart w:id="946" w:name="_Toc2413"/>
      <w:bookmarkStart w:id="947" w:name="_Toc6370"/>
      <w:bookmarkStart w:id="948" w:name="_Toc25065"/>
      <w:bookmarkStart w:id="949" w:name="_Toc536084309"/>
      <w:bookmarkStart w:id="950" w:name="_Toc536104436"/>
      <w:bookmarkStart w:id="951" w:name="_Toc535681321"/>
      <w:bookmarkStart w:id="952" w:name="_Toc536030730"/>
      <w:r>
        <w:rPr>
          <w:rFonts w:ascii="Times New Roman" w:hAnsi="Times New Roman"/>
          <w:highlight w:val="none"/>
        </w:rPr>
        <w:t>评标办法前附表</w:t>
      </w:r>
      <w:bookmarkEnd w:id="945"/>
      <w:bookmarkEnd w:id="946"/>
      <w:bookmarkEnd w:id="947"/>
      <w:bookmarkEnd w:id="948"/>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7"/>
        <w:gridCol w:w="1935"/>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08" w:type="dxa"/>
            <w:gridSpan w:val="2"/>
            <w:vAlign w:val="center"/>
          </w:tcPr>
          <w:p>
            <w:pPr>
              <w:spacing w:line="440" w:lineRule="exact"/>
              <w:jc w:val="center"/>
              <w:rPr>
                <w:b/>
                <w:szCs w:val="21"/>
                <w:highlight w:val="none"/>
              </w:rPr>
            </w:pPr>
            <w:r>
              <w:rPr>
                <w:b/>
                <w:szCs w:val="21"/>
                <w:highlight w:val="none"/>
              </w:rPr>
              <w:t>条款号</w:t>
            </w:r>
          </w:p>
        </w:tc>
        <w:tc>
          <w:tcPr>
            <w:tcW w:w="1935" w:type="dxa"/>
            <w:vAlign w:val="center"/>
          </w:tcPr>
          <w:p>
            <w:pPr>
              <w:spacing w:line="440" w:lineRule="exact"/>
              <w:jc w:val="center"/>
              <w:rPr>
                <w:b/>
                <w:szCs w:val="21"/>
                <w:highlight w:val="none"/>
              </w:rPr>
            </w:pPr>
            <w:r>
              <w:rPr>
                <w:b/>
                <w:szCs w:val="21"/>
                <w:highlight w:val="none"/>
              </w:rPr>
              <w:t>评审因素</w:t>
            </w:r>
          </w:p>
        </w:tc>
        <w:tc>
          <w:tcPr>
            <w:tcW w:w="6545" w:type="dxa"/>
            <w:vAlign w:val="center"/>
          </w:tcPr>
          <w:p>
            <w:pPr>
              <w:spacing w:line="440" w:lineRule="exact"/>
              <w:jc w:val="center"/>
              <w:rPr>
                <w:b/>
                <w:szCs w:val="21"/>
                <w:highlight w:val="none"/>
              </w:rPr>
            </w:pPr>
            <w:r>
              <w:rPr>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1" w:type="dxa"/>
            <w:vMerge w:val="restart"/>
            <w:vAlign w:val="center"/>
          </w:tcPr>
          <w:p>
            <w:pPr>
              <w:spacing w:line="440" w:lineRule="exact"/>
              <w:jc w:val="center"/>
              <w:rPr>
                <w:szCs w:val="21"/>
                <w:highlight w:val="none"/>
              </w:rPr>
            </w:pPr>
            <w:r>
              <w:rPr>
                <w:szCs w:val="21"/>
                <w:highlight w:val="none"/>
              </w:rPr>
              <w:t>2.1.</w:t>
            </w:r>
            <w:r>
              <w:rPr>
                <w:rFonts w:hint="eastAsia"/>
                <w:szCs w:val="21"/>
                <w:highlight w:val="none"/>
              </w:rPr>
              <w:t>1</w:t>
            </w:r>
          </w:p>
        </w:tc>
        <w:tc>
          <w:tcPr>
            <w:tcW w:w="657" w:type="dxa"/>
            <w:vMerge w:val="restart"/>
            <w:vAlign w:val="center"/>
          </w:tcPr>
          <w:p>
            <w:pPr>
              <w:spacing w:line="440" w:lineRule="exact"/>
              <w:jc w:val="center"/>
              <w:rPr>
                <w:szCs w:val="21"/>
                <w:highlight w:val="none"/>
              </w:rPr>
            </w:pPr>
            <w:r>
              <w:rPr>
                <w:rFonts w:hint="eastAsia"/>
                <w:szCs w:val="21"/>
                <w:highlight w:val="none"/>
              </w:rPr>
              <w:t>形式评审标准</w:t>
            </w:r>
          </w:p>
        </w:tc>
        <w:tc>
          <w:tcPr>
            <w:tcW w:w="1935" w:type="dxa"/>
            <w:vAlign w:val="center"/>
          </w:tcPr>
          <w:p>
            <w:pPr>
              <w:spacing w:line="440" w:lineRule="exact"/>
              <w:jc w:val="center"/>
              <w:rPr>
                <w:rFonts w:ascii="宋体" w:hAnsi="宋体" w:cs="宋体"/>
                <w:highlight w:val="none"/>
              </w:rPr>
            </w:pPr>
            <w:r>
              <w:rPr>
                <w:rFonts w:hint="eastAsia" w:ascii="宋体" w:hAnsi="宋体" w:cs="宋体"/>
                <w:highlight w:val="none"/>
              </w:rPr>
              <w:t>投标人名称</w:t>
            </w:r>
          </w:p>
        </w:tc>
        <w:tc>
          <w:tcPr>
            <w:tcW w:w="6545" w:type="dxa"/>
            <w:vAlign w:val="center"/>
          </w:tcPr>
          <w:p>
            <w:pPr>
              <w:spacing w:line="240" w:lineRule="exact"/>
              <w:rPr>
                <w:szCs w:val="21"/>
                <w:highlight w:val="none"/>
              </w:rPr>
            </w:pPr>
            <w:r>
              <w:rPr>
                <w:rFonts w:hint="eastAsia"/>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51" w:type="dxa"/>
            <w:vMerge w:val="continue"/>
            <w:vAlign w:val="center"/>
          </w:tcPr>
          <w:p>
            <w:pPr>
              <w:spacing w:line="440" w:lineRule="exact"/>
              <w:rPr>
                <w:b/>
                <w:szCs w:val="21"/>
                <w:highlight w:val="none"/>
              </w:rPr>
            </w:pPr>
          </w:p>
        </w:tc>
        <w:tc>
          <w:tcPr>
            <w:tcW w:w="657" w:type="dxa"/>
            <w:vMerge w:val="continue"/>
            <w:vAlign w:val="center"/>
          </w:tcPr>
          <w:p>
            <w:pPr>
              <w:spacing w:line="440" w:lineRule="exact"/>
              <w:rPr>
                <w:b/>
                <w:szCs w:val="21"/>
                <w:highlight w:val="none"/>
              </w:rPr>
            </w:pPr>
          </w:p>
        </w:tc>
        <w:tc>
          <w:tcPr>
            <w:tcW w:w="1935" w:type="dxa"/>
            <w:vAlign w:val="center"/>
          </w:tcPr>
          <w:p>
            <w:pPr>
              <w:spacing w:line="440" w:lineRule="exact"/>
              <w:rPr>
                <w:rFonts w:ascii="宋体" w:hAnsi="宋体" w:cs="宋体"/>
                <w:highlight w:val="none"/>
              </w:rPr>
            </w:pPr>
            <w:r>
              <w:rPr>
                <w:rFonts w:ascii="宋体" w:hAnsi="宋体" w:cs="宋体"/>
                <w:highlight w:val="none"/>
              </w:rPr>
              <w:t>投标函及投标函附录签字盖章</w:t>
            </w:r>
          </w:p>
        </w:tc>
        <w:tc>
          <w:tcPr>
            <w:tcW w:w="6545" w:type="dxa"/>
            <w:vAlign w:val="center"/>
          </w:tcPr>
          <w:p>
            <w:pPr>
              <w:spacing w:line="360" w:lineRule="exact"/>
              <w:rPr>
                <w:highlight w:val="none"/>
              </w:rPr>
            </w:pPr>
            <w:r>
              <w:rPr>
                <w:rFonts w:ascii="宋体" w:hAnsi="宋体" w:cs="宋体"/>
                <w:highlight w:val="none"/>
              </w:rPr>
              <w:t>有法定代表人或其委托代理人签字或加盖单位</w:t>
            </w:r>
            <w:r>
              <w:rPr>
                <w:rFonts w:ascii="MS Shell Dlg" w:hAnsi="MS Shell Dlg" w:cs="MS Shell Dlg"/>
                <w:highlight w:val="none"/>
              </w:rPr>
              <w:t>章。由法定代表人签字的，应附法定代表人身份</w:t>
            </w:r>
            <w:r>
              <w:rPr>
                <w:rFonts w:ascii="宋体" w:hAnsi="宋体" w:cs="宋体"/>
                <w:highlight w:val="none"/>
              </w:rPr>
              <w:t>证明，由代理人签字的，应附授权委托书，身份证明或授权委托书应符合第</w:t>
            </w:r>
            <w:r>
              <w:rPr>
                <w:rFonts w:hint="eastAsia" w:ascii="宋体" w:hAnsi="宋体" w:cs="宋体"/>
                <w:highlight w:val="none"/>
              </w:rPr>
              <w:t>六</w:t>
            </w:r>
            <w:r>
              <w:rPr>
                <w:rFonts w:ascii="宋体" w:hAnsi="宋体" w:cs="宋体"/>
                <w:highlight w:val="none"/>
              </w:rPr>
              <w:t>章</w:t>
            </w:r>
            <w:r>
              <w:rPr>
                <w:highlight w:val="none"/>
              </w:rPr>
              <w:t>“</w:t>
            </w:r>
            <w:r>
              <w:rPr>
                <w:rFonts w:ascii="宋体" w:hAnsi="宋体" w:cs="宋体"/>
                <w:highlight w:val="none"/>
              </w:rPr>
              <w:t>投标文件格式</w:t>
            </w:r>
            <w:r>
              <w:rPr>
                <w:highlight w:val="none"/>
              </w:rPr>
              <w:t>”</w:t>
            </w:r>
            <w:r>
              <w:rPr>
                <w:rFonts w:ascii="宋体" w:hAnsi="宋体" w:cs="宋体"/>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51" w:type="dxa"/>
            <w:vMerge w:val="continue"/>
            <w:vAlign w:val="center"/>
          </w:tcPr>
          <w:p>
            <w:pPr>
              <w:spacing w:line="440" w:lineRule="exact"/>
              <w:rPr>
                <w:b/>
                <w:szCs w:val="21"/>
                <w:highlight w:val="none"/>
              </w:rPr>
            </w:pPr>
          </w:p>
        </w:tc>
        <w:tc>
          <w:tcPr>
            <w:tcW w:w="657" w:type="dxa"/>
            <w:vMerge w:val="continue"/>
            <w:vAlign w:val="center"/>
          </w:tcPr>
          <w:p>
            <w:pPr>
              <w:spacing w:line="440" w:lineRule="exact"/>
              <w:rPr>
                <w:b/>
                <w:szCs w:val="21"/>
                <w:highlight w:val="none"/>
              </w:rPr>
            </w:pPr>
          </w:p>
        </w:tc>
        <w:tc>
          <w:tcPr>
            <w:tcW w:w="1935" w:type="dxa"/>
            <w:vAlign w:val="center"/>
          </w:tcPr>
          <w:p>
            <w:pPr>
              <w:spacing w:line="440" w:lineRule="exact"/>
              <w:jc w:val="center"/>
              <w:rPr>
                <w:rFonts w:ascii="宋体" w:hAnsi="宋体" w:cs="宋体"/>
                <w:highlight w:val="none"/>
              </w:rPr>
            </w:pPr>
            <w:r>
              <w:rPr>
                <w:rFonts w:ascii="宋体" w:hAnsi="宋体" w:cs="宋体"/>
                <w:highlight w:val="none"/>
              </w:rPr>
              <w:t>投标文件格式</w:t>
            </w:r>
          </w:p>
        </w:tc>
        <w:tc>
          <w:tcPr>
            <w:tcW w:w="6545" w:type="dxa"/>
            <w:vAlign w:val="center"/>
          </w:tcPr>
          <w:p>
            <w:pPr>
              <w:spacing w:line="403" w:lineRule="exact"/>
              <w:rPr>
                <w:highlight w:val="none"/>
              </w:rPr>
            </w:pPr>
            <w:r>
              <w:rPr>
                <w:rFonts w:ascii="宋体" w:hAnsi="宋体" w:cs="宋体"/>
                <w:highlight w:val="none"/>
              </w:rPr>
              <w:t>符合第</w:t>
            </w:r>
            <w:r>
              <w:rPr>
                <w:rFonts w:hint="eastAsia" w:ascii="宋体" w:hAnsi="宋体" w:cs="宋体"/>
                <w:highlight w:val="none"/>
              </w:rPr>
              <w:t>六</w:t>
            </w:r>
            <w:r>
              <w:rPr>
                <w:rFonts w:ascii="宋体" w:hAnsi="宋体" w:cs="宋体"/>
                <w:highlight w:val="none"/>
              </w:rPr>
              <w:t>章</w:t>
            </w:r>
            <w:r>
              <w:rPr>
                <w:highlight w:val="none"/>
              </w:rPr>
              <w:t>“</w:t>
            </w:r>
            <w:r>
              <w:rPr>
                <w:rFonts w:ascii="宋体" w:hAnsi="宋体" w:cs="宋体"/>
                <w:highlight w:val="none"/>
              </w:rPr>
              <w:t>投标文件格式</w:t>
            </w:r>
            <w:r>
              <w:rPr>
                <w:highlight w:val="none"/>
              </w:rPr>
              <w:t>”</w:t>
            </w:r>
            <w:r>
              <w:rPr>
                <w:rFonts w:ascii="宋体" w:hAnsi="宋体" w:cs="宋体"/>
                <w:highlight w:val="none"/>
              </w:rPr>
              <w:t>的规定</w:t>
            </w:r>
            <w:r>
              <w:rPr>
                <w:rFonts w:hint="eastAsia" w:ascii="宋体" w:hAnsi="宋体" w:cs="宋体"/>
                <w:highlight w:val="none"/>
              </w:rPr>
              <w:t>（参考格式除外）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1" w:type="dxa"/>
            <w:vMerge w:val="continue"/>
            <w:vAlign w:val="center"/>
          </w:tcPr>
          <w:p>
            <w:pPr>
              <w:spacing w:line="440" w:lineRule="exact"/>
              <w:rPr>
                <w:b/>
                <w:szCs w:val="21"/>
                <w:highlight w:val="none"/>
              </w:rPr>
            </w:pPr>
          </w:p>
        </w:tc>
        <w:tc>
          <w:tcPr>
            <w:tcW w:w="657" w:type="dxa"/>
            <w:vMerge w:val="continue"/>
            <w:vAlign w:val="center"/>
          </w:tcPr>
          <w:p>
            <w:pPr>
              <w:spacing w:line="440" w:lineRule="exact"/>
              <w:rPr>
                <w:b/>
                <w:szCs w:val="21"/>
                <w:highlight w:val="none"/>
              </w:rPr>
            </w:pPr>
          </w:p>
        </w:tc>
        <w:tc>
          <w:tcPr>
            <w:tcW w:w="1935" w:type="dxa"/>
            <w:vAlign w:val="center"/>
          </w:tcPr>
          <w:p>
            <w:pPr>
              <w:spacing w:line="440" w:lineRule="exact"/>
              <w:jc w:val="center"/>
              <w:rPr>
                <w:rFonts w:ascii="宋体" w:hAnsi="宋体" w:cs="宋体"/>
                <w:highlight w:val="none"/>
              </w:rPr>
            </w:pPr>
            <w:r>
              <w:rPr>
                <w:rFonts w:ascii="宋体" w:hAnsi="宋体" w:cs="宋体"/>
                <w:highlight w:val="none"/>
              </w:rPr>
              <w:t>联合体投标人</w:t>
            </w:r>
          </w:p>
        </w:tc>
        <w:tc>
          <w:tcPr>
            <w:tcW w:w="6545" w:type="dxa"/>
            <w:vAlign w:val="center"/>
          </w:tcPr>
          <w:p>
            <w:pPr>
              <w:spacing w:line="387" w:lineRule="exact"/>
              <w:rPr>
                <w:highlight w:val="none"/>
              </w:rPr>
            </w:pPr>
            <w:r>
              <w:rPr>
                <w:rFonts w:ascii="宋体" w:hAnsi="宋体" w:cs="宋体"/>
                <w:highlight w:val="none"/>
              </w:rPr>
              <w:t>提交符合招标文件要求的联合体协议书，并明确联合体牵头人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1" w:type="dxa"/>
            <w:vMerge w:val="continue"/>
            <w:vAlign w:val="center"/>
          </w:tcPr>
          <w:p>
            <w:pPr>
              <w:spacing w:line="440" w:lineRule="exact"/>
              <w:rPr>
                <w:b/>
                <w:szCs w:val="21"/>
                <w:highlight w:val="none"/>
              </w:rPr>
            </w:pPr>
          </w:p>
        </w:tc>
        <w:tc>
          <w:tcPr>
            <w:tcW w:w="657" w:type="dxa"/>
            <w:vMerge w:val="continue"/>
            <w:vAlign w:val="center"/>
          </w:tcPr>
          <w:p>
            <w:pPr>
              <w:spacing w:line="440" w:lineRule="exact"/>
              <w:rPr>
                <w:b/>
                <w:szCs w:val="21"/>
                <w:highlight w:val="none"/>
              </w:rPr>
            </w:pPr>
          </w:p>
        </w:tc>
        <w:tc>
          <w:tcPr>
            <w:tcW w:w="1935" w:type="dxa"/>
            <w:vAlign w:val="center"/>
          </w:tcPr>
          <w:p>
            <w:pPr>
              <w:spacing w:line="440" w:lineRule="exact"/>
              <w:jc w:val="center"/>
              <w:rPr>
                <w:rFonts w:ascii="宋体" w:hAnsi="宋体" w:cs="宋体"/>
                <w:highlight w:val="none"/>
              </w:rPr>
            </w:pPr>
            <w:r>
              <w:rPr>
                <w:rFonts w:hint="eastAsia" w:ascii="宋体" w:hAnsi="宋体" w:cs="宋体"/>
                <w:highlight w:val="none"/>
              </w:rPr>
              <w:t>报价唯一</w:t>
            </w:r>
          </w:p>
        </w:tc>
        <w:tc>
          <w:tcPr>
            <w:tcW w:w="6545" w:type="dxa"/>
            <w:vAlign w:val="center"/>
          </w:tcPr>
          <w:p>
            <w:pPr>
              <w:spacing w:line="387" w:lineRule="exact"/>
              <w:rPr>
                <w:rFonts w:ascii="宋体" w:hAnsi="宋体" w:cs="宋体"/>
                <w:highlight w:val="none"/>
              </w:rPr>
            </w:pPr>
            <w:r>
              <w:rPr>
                <w:rFonts w:hint="eastAsia" w:ascii="宋体" w:hAnsi="宋体" w:cs="宋体"/>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51" w:type="dxa"/>
            <w:vMerge w:val="continue"/>
            <w:vAlign w:val="center"/>
          </w:tcPr>
          <w:p>
            <w:pPr>
              <w:spacing w:line="440" w:lineRule="exact"/>
              <w:rPr>
                <w:b/>
                <w:szCs w:val="21"/>
                <w:highlight w:val="none"/>
              </w:rPr>
            </w:pPr>
          </w:p>
        </w:tc>
        <w:tc>
          <w:tcPr>
            <w:tcW w:w="657" w:type="dxa"/>
            <w:vMerge w:val="continue"/>
            <w:vAlign w:val="center"/>
          </w:tcPr>
          <w:p>
            <w:pPr>
              <w:spacing w:line="440" w:lineRule="exact"/>
              <w:rPr>
                <w:b/>
                <w:szCs w:val="21"/>
                <w:highlight w:val="none"/>
              </w:rPr>
            </w:pPr>
          </w:p>
        </w:tc>
        <w:tc>
          <w:tcPr>
            <w:tcW w:w="1935" w:type="dxa"/>
            <w:vAlign w:val="center"/>
          </w:tcPr>
          <w:p>
            <w:pPr>
              <w:spacing w:line="440" w:lineRule="exact"/>
              <w:jc w:val="center"/>
              <w:rPr>
                <w:rFonts w:ascii="宋体" w:hAnsi="宋体" w:cs="宋体"/>
                <w:highlight w:val="none"/>
              </w:rPr>
            </w:pPr>
            <w:r>
              <w:rPr>
                <w:rFonts w:hint="eastAsia" w:ascii="宋体" w:hAnsi="宋体" w:cs="宋体"/>
                <w:highlight w:val="none"/>
              </w:rPr>
              <w:t>投标文件签章</w:t>
            </w:r>
          </w:p>
        </w:tc>
        <w:tc>
          <w:tcPr>
            <w:tcW w:w="6545" w:type="dxa"/>
            <w:vAlign w:val="center"/>
          </w:tcPr>
          <w:p>
            <w:pPr>
              <w:spacing w:line="387" w:lineRule="exact"/>
              <w:rPr>
                <w:highlight w:val="none"/>
              </w:rPr>
            </w:pPr>
            <w:r>
              <w:rPr>
                <w:rFonts w:hint="eastAsia" w:ascii="宋体" w:hAnsi="宋体" w:cs="宋体"/>
                <w:highlight w:val="none"/>
              </w:rPr>
              <w:t>投标文件签章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spacing w:line="440" w:lineRule="exact"/>
              <w:jc w:val="center"/>
              <w:rPr>
                <w:szCs w:val="21"/>
                <w:highlight w:val="none"/>
              </w:rPr>
            </w:pPr>
            <w:r>
              <w:rPr>
                <w:szCs w:val="21"/>
                <w:highlight w:val="none"/>
              </w:rPr>
              <w:t>2.1.</w:t>
            </w:r>
            <w:r>
              <w:rPr>
                <w:rFonts w:hint="eastAsia"/>
                <w:szCs w:val="21"/>
                <w:highlight w:val="none"/>
              </w:rPr>
              <w:t>2</w:t>
            </w:r>
          </w:p>
        </w:tc>
        <w:tc>
          <w:tcPr>
            <w:tcW w:w="657" w:type="dxa"/>
            <w:vMerge w:val="restart"/>
            <w:vAlign w:val="center"/>
          </w:tcPr>
          <w:p>
            <w:pPr>
              <w:spacing w:line="440" w:lineRule="exact"/>
              <w:jc w:val="center"/>
              <w:rPr>
                <w:szCs w:val="21"/>
                <w:highlight w:val="none"/>
              </w:rPr>
            </w:pPr>
            <w:r>
              <w:rPr>
                <w:rFonts w:hint="eastAsia"/>
                <w:szCs w:val="21"/>
                <w:highlight w:val="none"/>
              </w:rPr>
              <w:t>资格评审标准</w:t>
            </w:r>
          </w:p>
        </w:tc>
        <w:tc>
          <w:tcPr>
            <w:tcW w:w="1935" w:type="dxa"/>
            <w:vAlign w:val="center"/>
          </w:tcPr>
          <w:p>
            <w:pPr>
              <w:spacing w:line="440" w:lineRule="exact"/>
              <w:jc w:val="center"/>
              <w:rPr>
                <w:szCs w:val="21"/>
                <w:highlight w:val="none"/>
              </w:rPr>
            </w:pPr>
            <w:r>
              <w:rPr>
                <w:szCs w:val="21"/>
                <w:highlight w:val="none"/>
              </w:rPr>
              <w:t>营业执照</w:t>
            </w:r>
          </w:p>
        </w:tc>
        <w:tc>
          <w:tcPr>
            <w:tcW w:w="6545" w:type="dxa"/>
            <w:vAlign w:val="center"/>
          </w:tcPr>
          <w:p>
            <w:pPr>
              <w:spacing w:line="440" w:lineRule="exact"/>
              <w:jc w:val="left"/>
              <w:rPr>
                <w:szCs w:val="21"/>
                <w:highlight w:val="none"/>
              </w:rPr>
            </w:pPr>
            <w:r>
              <w:rPr>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tcPr>
          <w:p>
            <w:pPr>
              <w:spacing w:line="440" w:lineRule="exact"/>
              <w:jc w:val="center"/>
              <w:rPr>
                <w:szCs w:val="21"/>
                <w:highlight w:val="none"/>
              </w:rPr>
            </w:pPr>
            <w:r>
              <w:rPr>
                <w:szCs w:val="21"/>
                <w:highlight w:val="none"/>
              </w:rPr>
              <w:t>资质要求</w:t>
            </w:r>
          </w:p>
        </w:tc>
        <w:tc>
          <w:tcPr>
            <w:tcW w:w="6545" w:type="dxa"/>
            <w:vAlign w:val="center"/>
          </w:tcPr>
          <w:p>
            <w:pPr>
              <w:rPr>
                <w:highlight w:val="none"/>
              </w:rPr>
            </w:pPr>
            <w:r>
              <w:rPr>
                <w:rFonts w:hint="eastAsia"/>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tcPr>
          <w:p>
            <w:pPr>
              <w:spacing w:line="280" w:lineRule="exact"/>
              <w:jc w:val="center"/>
              <w:rPr>
                <w:szCs w:val="21"/>
                <w:highlight w:val="none"/>
              </w:rPr>
            </w:pPr>
            <w:r>
              <w:rPr>
                <w:rFonts w:hint="eastAsia"/>
                <w:szCs w:val="21"/>
                <w:highlight w:val="none"/>
              </w:rPr>
              <w:t>工程总承包项目经理</w:t>
            </w:r>
          </w:p>
        </w:tc>
        <w:tc>
          <w:tcPr>
            <w:tcW w:w="6545" w:type="dxa"/>
            <w:vAlign w:val="center"/>
          </w:tcPr>
          <w:p>
            <w:pPr>
              <w:rPr>
                <w:szCs w:val="21"/>
                <w:highlight w:val="none"/>
              </w:rPr>
            </w:pPr>
            <w:r>
              <w:rPr>
                <w:rFonts w:hint="eastAsia"/>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tcPr>
          <w:p>
            <w:pPr>
              <w:spacing w:line="280" w:lineRule="exact"/>
              <w:jc w:val="center"/>
              <w:rPr>
                <w:szCs w:val="21"/>
                <w:highlight w:val="none"/>
              </w:rPr>
            </w:pPr>
            <w:r>
              <w:rPr>
                <w:rFonts w:hint="eastAsia"/>
                <w:szCs w:val="21"/>
                <w:highlight w:val="none"/>
              </w:rPr>
              <w:t>诚信要求</w:t>
            </w:r>
          </w:p>
        </w:tc>
        <w:tc>
          <w:tcPr>
            <w:tcW w:w="6545" w:type="dxa"/>
            <w:vAlign w:val="center"/>
          </w:tcPr>
          <w:p>
            <w:pPr>
              <w:rPr>
                <w:szCs w:val="21"/>
                <w:highlight w:val="none"/>
              </w:rPr>
            </w:pPr>
            <w:r>
              <w:rPr>
                <w:rFonts w:hint="eastAsia"/>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vAlign w:val="center"/>
          </w:tcPr>
          <w:p>
            <w:pPr>
              <w:spacing w:line="440" w:lineRule="exact"/>
              <w:jc w:val="center"/>
              <w:rPr>
                <w:szCs w:val="21"/>
                <w:highlight w:val="none"/>
              </w:rPr>
            </w:pPr>
            <w:r>
              <w:rPr>
                <w:rFonts w:hint="eastAsia"/>
                <w:szCs w:val="21"/>
                <w:highlight w:val="none"/>
              </w:rPr>
              <w:t>其他要求</w:t>
            </w:r>
          </w:p>
        </w:tc>
        <w:tc>
          <w:tcPr>
            <w:tcW w:w="6545" w:type="dxa"/>
            <w:vAlign w:val="center"/>
          </w:tcPr>
          <w:p>
            <w:pPr>
              <w:rPr>
                <w:highlight w:val="none"/>
              </w:rPr>
            </w:pPr>
            <w:r>
              <w:rPr>
                <w:rFonts w:hint="eastAsia"/>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vAlign w:val="center"/>
          </w:tcPr>
          <w:p>
            <w:pPr>
              <w:spacing w:line="440" w:lineRule="exact"/>
              <w:jc w:val="center"/>
              <w:rPr>
                <w:szCs w:val="21"/>
                <w:highlight w:val="none"/>
              </w:rPr>
            </w:pPr>
            <w:r>
              <w:rPr>
                <w:rFonts w:hint="eastAsia"/>
                <w:szCs w:val="21"/>
                <w:highlight w:val="none"/>
              </w:rPr>
              <w:t>联合体投标人</w:t>
            </w:r>
          </w:p>
        </w:tc>
        <w:tc>
          <w:tcPr>
            <w:tcW w:w="6545" w:type="dxa"/>
            <w:vAlign w:val="center"/>
          </w:tcPr>
          <w:p>
            <w:pPr>
              <w:rPr>
                <w:highlight w:val="none"/>
              </w:rPr>
            </w:pPr>
            <w:r>
              <w:rPr>
                <w:rFonts w:hint="eastAsia"/>
                <w:szCs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vAlign w:val="center"/>
          </w:tcPr>
          <w:p>
            <w:pPr>
              <w:spacing w:line="280" w:lineRule="exact"/>
              <w:jc w:val="center"/>
              <w:rPr>
                <w:szCs w:val="21"/>
                <w:highlight w:val="none"/>
              </w:rPr>
            </w:pPr>
            <w:r>
              <w:rPr>
                <w:rFonts w:hint="eastAsia"/>
                <w:szCs w:val="21"/>
                <w:highlight w:val="none"/>
              </w:rPr>
              <w:t>不存在禁止投标的情形</w:t>
            </w:r>
          </w:p>
        </w:tc>
        <w:tc>
          <w:tcPr>
            <w:tcW w:w="6545" w:type="dxa"/>
            <w:vAlign w:val="center"/>
          </w:tcPr>
          <w:p>
            <w:pPr>
              <w:spacing w:line="403" w:lineRule="exact"/>
              <w:rPr>
                <w:highlight w:val="none"/>
              </w:rPr>
            </w:pPr>
            <w:r>
              <w:rPr>
                <w:rFonts w:ascii="宋体" w:hAnsi="宋体" w:cs="宋体"/>
                <w:highlight w:val="none"/>
              </w:rPr>
              <w:t>不存在第二章</w:t>
            </w:r>
            <w:r>
              <w:rPr>
                <w:rFonts w:hint="eastAsia"/>
                <w:highlight w:val="none"/>
              </w:rPr>
              <w:t>“投标人须知”</w:t>
            </w:r>
            <w:r>
              <w:rPr>
                <w:rFonts w:ascii="宋体" w:hAnsi="宋体" w:cs="宋体"/>
                <w:highlight w:val="none"/>
              </w:rPr>
              <w:t>第</w:t>
            </w:r>
            <w:r>
              <w:rPr>
                <w:rFonts w:cs="Calibri"/>
                <w:highlight w:val="none"/>
              </w:rPr>
              <w:t> </w:t>
            </w:r>
            <w:r>
              <w:rPr>
                <w:highlight w:val="none"/>
              </w:rPr>
              <w:t>1.4.3</w:t>
            </w:r>
            <w:r>
              <w:rPr>
                <w:rFonts w:cs="Calibri"/>
                <w:highlight w:val="none"/>
              </w:rPr>
              <w:t> </w:t>
            </w:r>
            <w:r>
              <w:rPr>
                <w:rFonts w:ascii="宋体" w:hAnsi="宋体" w:cs="宋体"/>
                <w:highlight w:val="none"/>
              </w:rPr>
              <w:t>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1" w:type="dxa"/>
            <w:vMerge w:val="restart"/>
            <w:vAlign w:val="center"/>
          </w:tcPr>
          <w:p>
            <w:pPr>
              <w:spacing w:line="440" w:lineRule="exact"/>
              <w:jc w:val="center"/>
              <w:rPr>
                <w:szCs w:val="21"/>
                <w:highlight w:val="none"/>
              </w:rPr>
            </w:pPr>
            <w:r>
              <w:rPr>
                <w:szCs w:val="21"/>
                <w:highlight w:val="none"/>
              </w:rPr>
              <w:t>2.1.3</w:t>
            </w:r>
          </w:p>
        </w:tc>
        <w:tc>
          <w:tcPr>
            <w:tcW w:w="657" w:type="dxa"/>
            <w:vMerge w:val="restart"/>
            <w:vAlign w:val="center"/>
          </w:tcPr>
          <w:p>
            <w:pPr>
              <w:spacing w:line="440" w:lineRule="exact"/>
              <w:jc w:val="center"/>
              <w:rPr>
                <w:szCs w:val="21"/>
                <w:highlight w:val="none"/>
              </w:rPr>
            </w:pPr>
            <w:r>
              <w:rPr>
                <w:rFonts w:hint="eastAsia"/>
                <w:szCs w:val="21"/>
                <w:highlight w:val="none"/>
              </w:rPr>
              <w:t>响应性</w:t>
            </w:r>
            <w:r>
              <w:rPr>
                <w:szCs w:val="21"/>
                <w:highlight w:val="none"/>
              </w:rPr>
              <w:t>评审标准</w:t>
            </w:r>
          </w:p>
        </w:tc>
        <w:tc>
          <w:tcPr>
            <w:tcW w:w="1935" w:type="dxa"/>
            <w:vAlign w:val="center"/>
          </w:tcPr>
          <w:p>
            <w:pPr>
              <w:spacing w:line="440" w:lineRule="exact"/>
              <w:jc w:val="center"/>
              <w:rPr>
                <w:szCs w:val="21"/>
                <w:highlight w:val="none"/>
              </w:rPr>
            </w:pPr>
            <w:r>
              <w:rPr>
                <w:szCs w:val="21"/>
                <w:highlight w:val="none"/>
              </w:rPr>
              <w:t>投标报价</w:t>
            </w:r>
          </w:p>
        </w:tc>
        <w:tc>
          <w:tcPr>
            <w:tcW w:w="6545" w:type="dxa"/>
            <w:vAlign w:val="center"/>
          </w:tcPr>
          <w:p>
            <w:pPr>
              <w:spacing w:line="440" w:lineRule="exact"/>
              <w:jc w:val="left"/>
              <w:rPr>
                <w:szCs w:val="21"/>
                <w:highlight w:val="none"/>
              </w:rPr>
            </w:pPr>
            <w:r>
              <w:rPr>
                <w:szCs w:val="21"/>
                <w:highlight w:val="none"/>
              </w:rPr>
              <w:t>符合第二章</w:t>
            </w:r>
            <w:r>
              <w:rPr>
                <w:rFonts w:hint="eastAsia"/>
                <w:szCs w:val="21"/>
                <w:highlight w:val="none"/>
              </w:rPr>
              <w:t>“投标人须知”</w:t>
            </w:r>
            <w:r>
              <w:rPr>
                <w:szCs w:val="21"/>
                <w:highlight w:val="none"/>
              </w:rPr>
              <w:t>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vAlign w:val="center"/>
          </w:tcPr>
          <w:p>
            <w:pPr>
              <w:spacing w:line="440" w:lineRule="exact"/>
              <w:jc w:val="center"/>
              <w:rPr>
                <w:szCs w:val="21"/>
                <w:highlight w:val="none"/>
              </w:rPr>
            </w:pPr>
            <w:r>
              <w:rPr>
                <w:szCs w:val="21"/>
                <w:highlight w:val="none"/>
              </w:rPr>
              <w:t>投标内容</w:t>
            </w:r>
          </w:p>
        </w:tc>
        <w:tc>
          <w:tcPr>
            <w:tcW w:w="6545" w:type="dxa"/>
            <w:vAlign w:val="center"/>
          </w:tcPr>
          <w:p>
            <w:pPr>
              <w:spacing w:line="440" w:lineRule="exact"/>
              <w:jc w:val="left"/>
              <w:rPr>
                <w:szCs w:val="21"/>
                <w:highlight w:val="none"/>
              </w:rPr>
            </w:pPr>
            <w:r>
              <w:rPr>
                <w:szCs w:val="21"/>
                <w:highlight w:val="none"/>
              </w:rPr>
              <w:t>符合第二章</w:t>
            </w:r>
            <w:r>
              <w:rPr>
                <w:rFonts w:hint="eastAsia"/>
                <w:szCs w:val="21"/>
                <w:highlight w:val="none"/>
              </w:rPr>
              <w:t>“投标人须知”</w:t>
            </w:r>
            <w:r>
              <w:rPr>
                <w:szCs w:val="21"/>
                <w:highlight w:val="none"/>
              </w:rPr>
              <w:t>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vAlign w:val="center"/>
          </w:tcPr>
          <w:p>
            <w:pPr>
              <w:spacing w:line="360" w:lineRule="exact"/>
              <w:jc w:val="center"/>
              <w:rPr>
                <w:szCs w:val="21"/>
                <w:highlight w:val="none"/>
              </w:rPr>
            </w:pPr>
            <w:r>
              <w:rPr>
                <w:rFonts w:hint="eastAsia"/>
                <w:szCs w:val="21"/>
                <w:highlight w:val="none"/>
              </w:rPr>
              <w:t>工期</w:t>
            </w:r>
          </w:p>
        </w:tc>
        <w:tc>
          <w:tcPr>
            <w:tcW w:w="6545" w:type="dxa"/>
            <w:vAlign w:val="center"/>
          </w:tcPr>
          <w:p>
            <w:pPr>
              <w:spacing w:line="440" w:lineRule="exact"/>
              <w:jc w:val="left"/>
              <w:rPr>
                <w:szCs w:val="21"/>
                <w:highlight w:val="none"/>
              </w:rPr>
            </w:pPr>
            <w:r>
              <w:rPr>
                <w:szCs w:val="21"/>
                <w:highlight w:val="none"/>
              </w:rPr>
              <w:t>符合第二章</w:t>
            </w:r>
            <w:r>
              <w:rPr>
                <w:rFonts w:hint="eastAsia"/>
                <w:szCs w:val="21"/>
                <w:highlight w:val="none"/>
              </w:rPr>
              <w:t>“投标人须知”</w:t>
            </w:r>
            <w:r>
              <w:rPr>
                <w:szCs w:val="21"/>
                <w:highlight w:val="none"/>
              </w:rPr>
              <w:t>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vAlign w:val="center"/>
          </w:tcPr>
          <w:p>
            <w:pPr>
              <w:spacing w:line="440" w:lineRule="exact"/>
              <w:jc w:val="center"/>
              <w:rPr>
                <w:szCs w:val="21"/>
                <w:highlight w:val="none"/>
              </w:rPr>
            </w:pPr>
            <w:r>
              <w:rPr>
                <w:szCs w:val="21"/>
                <w:highlight w:val="none"/>
              </w:rPr>
              <w:t>质量标准</w:t>
            </w:r>
          </w:p>
        </w:tc>
        <w:tc>
          <w:tcPr>
            <w:tcW w:w="6545" w:type="dxa"/>
            <w:vAlign w:val="center"/>
          </w:tcPr>
          <w:p>
            <w:pPr>
              <w:spacing w:line="440" w:lineRule="exact"/>
              <w:jc w:val="left"/>
              <w:rPr>
                <w:szCs w:val="21"/>
                <w:highlight w:val="none"/>
              </w:rPr>
            </w:pPr>
            <w:r>
              <w:rPr>
                <w:szCs w:val="21"/>
                <w:highlight w:val="none"/>
              </w:rPr>
              <w:t>符合第二章</w:t>
            </w:r>
            <w:r>
              <w:rPr>
                <w:rFonts w:hint="eastAsia"/>
                <w:szCs w:val="21"/>
                <w:highlight w:val="none"/>
              </w:rPr>
              <w:t>“投标人须知”</w:t>
            </w:r>
            <w:r>
              <w:rPr>
                <w:szCs w:val="21"/>
                <w:highlight w:val="none"/>
              </w:rPr>
              <w:t>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vAlign w:val="center"/>
          </w:tcPr>
          <w:p>
            <w:pPr>
              <w:spacing w:line="440" w:lineRule="exact"/>
              <w:jc w:val="center"/>
              <w:rPr>
                <w:szCs w:val="21"/>
                <w:highlight w:val="none"/>
              </w:rPr>
            </w:pPr>
            <w:r>
              <w:rPr>
                <w:szCs w:val="21"/>
                <w:highlight w:val="none"/>
              </w:rPr>
              <w:t>投标有效期</w:t>
            </w:r>
          </w:p>
        </w:tc>
        <w:tc>
          <w:tcPr>
            <w:tcW w:w="6545" w:type="dxa"/>
            <w:vAlign w:val="center"/>
          </w:tcPr>
          <w:p>
            <w:pPr>
              <w:spacing w:line="440" w:lineRule="exact"/>
              <w:jc w:val="left"/>
              <w:rPr>
                <w:szCs w:val="21"/>
                <w:highlight w:val="none"/>
              </w:rPr>
            </w:pPr>
            <w:r>
              <w:rPr>
                <w:szCs w:val="21"/>
                <w:highlight w:val="none"/>
              </w:rPr>
              <w:t>符合第二章</w:t>
            </w:r>
            <w:r>
              <w:rPr>
                <w:rFonts w:hint="eastAsia"/>
                <w:szCs w:val="21"/>
                <w:highlight w:val="none"/>
              </w:rPr>
              <w:t>“投标人须知”</w:t>
            </w:r>
            <w:r>
              <w:rPr>
                <w:szCs w:val="21"/>
                <w:highlight w:val="none"/>
              </w:rPr>
              <w:t>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vAlign w:val="center"/>
          </w:tcPr>
          <w:p>
            <w:pPr>
              <w:spacing w:line="440" w:lineRule="exact"/>
              <w:jc w:val="center"/>
              <w:rPr>
                <w:szCs w:val="21"/>
                <w:highlight w:val="none"/>
              </w:rPr>
            </w:pPr>
            <w:r>
              <w:rPr>
                <w:szCs w:val="21"/>
                <w:highlight w:val="none"/>
              </w:rPr>
              <w:t>投标保证金</w:t>
            </w:r>
          </w:p>
        </w:tc>
        <w:tc>
          <w:tcPr>
            <w:tcW w:w="6545" w:type="dxa"/>
            <w:vAlign w:val="center"/>
          </w:tcPr>
          <w:p>
            <w:pPr>
              <w:spacing w:line="440" w:lineRule="exact"/>
              <w:jc w:val="left"/>
              <w:rPr>
                <w:szCs w:val="21"/>
                <w:highlight w:val="none"/>
              </w:rPr>
            </w:pPr>
            <w:r>
              <w:rPr>
                <w:szCs w:val="21"/>
                <w:highlight w:val="none"/>
              </w:rPr>
              <w:t>符合第二章</w:t>
            </w:r>
            <w:r>
              <w:rPr>
                <w:rFonts w:hint="eastAsia"/>
                <w:szCs w:val="21"/>
                <w:highlight w:val="none"/>
              </w:rPr>
              <w:t>“投标人须知”</w:t>
            </w:r>
            <w:r>
              <w:rPr>
                <w:szCs w:val="21"/>
                <w:highlight w:val="none"/>
              </w:rPr>
              <w:t>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vAlign w:val="center"/>
          </w:tcPr>
          <w:p>
            <w:pPr>
              <w:jc w:val="center"/>
              <w:rPr>
                <w:highlight w:val="none"/>
              </w:rPr>
            </w:pPr>
            <w:r>
              <w:rPr>
                <w:rFonts w:hint="eastAsia"/>
                <w:szCs w:val="21"/>
                <w:highlight w:val="none"/>
              </w:rPr>
              <w:t>承诺书</w:t>
            </w:r>
          </w:p>
        </w:tc>
        <w:tc>
          <w:tcPr>
            <w:tcW w:w="6545" w:type="dxa"/>
            <w:vAlign w:val="center"/>
          </w:tcPr>
          <w:p>
            <w:pPr>
              <w:rPr>
                <w:highlight w:val="none"/>
              </w:rPr>
            </w:pPr>
            <w:r>
              <w:rPr>
                <w:rFonts w:hint="eastAsia"/>
                <w:szCs w:val="21"/>
                <w:highlight w:val="none"/>
              </w:rPr>
              <w:t xml:space="preserve"> 已按照招标文件要求作出承诺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1" w:type="dxa"/>
            <w:vMerge w:val="continue"/>
            <w:vAlign w:val="center"/>
          </w:tcPr>
          <w:p>
            <w:pPr>
              <w:spacing w:line="440" w:lineRule="exact"/>
              <w:jc w:val="center"/>
              <w:rPr>
                <w:szCs w:val="21"/>
                <w:highlight w:val="none"/>
              </w:rPr>
            </w:pPr>
          </w:p>
        </w:tc>
        <w:tc>
          <w:tcPr>
            <w:tcW w:w="657" w:type="dxa"/>
            <w:vMerge w:val="continue"/>
            <w:vAlign w:val="center"/>
          </w:tcPr>
          <w:p>
            <w:pPr>
              <w:spacing w:line="440" w:lineRule="exact"/>
              <w:jc w:val="center"/>
              <w:rPr>
                <w:szCs w:val="21"/>
                <w:highlight w:val="none"/>
              </w:rPr>
            </w:pPr>
          </w:p>
        </w:tc>
        <w:tc>
          <w:tcPr>
            <w:tcW w:w="1935" w:type="dxa"/>
            <w:vAlign w:val="center"/>
          </w:tcPr>
          <w:p>
            <w:pPr>
              <w:spacing w:line="360" w:lineRule="exact"/>
              <w:jc w:val="center"/>
              <w:rPr>
                <w:szCs w:val="21"/>
                <w:highlight w:val="none"/>
              </w:rPr>
            </w:pPr>
            <w:r>
              <w:rPr>
                <w:rFonts w:hint="eastAsia" w:ascii="宋体" w:hAnsi="宋体"/>
                <w:szCs w:val="21"/>
                <w:highlight w:val="none"/>
              </w:rPr>
              <w:t>投标文件否决性 条款</w:t>
            </w:r>
          </w:p>
        </w:tc>
        <w:tc>
          <w:tcPr>
            <w:tcW w:w="6545" w:type="dxa"/>
            <w:vAlign w:val="center"/>
          </w:tcPr>
          <w:p>
            <w:pPr>
              <w:spacing w:line="360" w:lineRule="exact"/>
              <w:jc w:val="left"/>
              <w:rPr>
                <w:szCs w:val="21"/>
                <w:highlight w:val="none"/>
              </w:rPr>
            </w:pPr>
            <w:r>
              <w:rPr>
                <w:rFonts w:hint="eastAsia" w:ascii="宋体" w:hAnsi="宋体"/>
                <w:szCs w:val="21"/>
                <w:highlight w:val="none"/>
              </w:rPr>
              <w:t>按招标文件中“投标文件否决性条款摘要”的内容判断其投标投标是否被否决。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08" w:type="dxa"/>
            <w:gridSpan w:val="2"/>
            <w:vAlign w:val="center"/>
          </w:tcPr>
          <w:p>
            <w:pPr>
              <w:spacing w:line="440" w:lineRule="exact"/>
              <w:jc w:val="center"/>
              <w:rPr>
                <w:b/>
                <w:szCs w:val="21"/>
                <w:highlight w:val="none"/>
              </w:rPr>
            </w:pPr>
            <w:r>
              <w:rPr>
                <w:b/>
                <w:szCs w:val="21"/>
                <w:highlight w:val="none"/>
              </w:rPr>
              <w:t>条款号</w:t>
            </w:r>
          </w:p>
        </w:tc>
        <w:tc>
          <w:tcPr>
            <w:tcW w:w="1935" w:type="dxa"/>
            <w:vAlign w:val="center"/>
          </w:tcPr>
          <w:p>
            <w:pPr>
              <w:spacing w:line="440" w:lineRule="exact"/>
              <w:jc w:val="center"/>
              <w:rPr>
                <w:szCs w:val="21"/>
                <w:highlight w:val="none"/>
              </w:rPr>
            </w:pPr>
            <w:r>
              <w:rPr>
                <w:b/>
                <w:szCs w:val="21"/>
                <w:highlight w:val="none"/>
              </w:rPr>
              <w:t>条款内容</w:t>
            </w:r>
          </w:p>
        </w:tc>
        <w:tc>
          <w:tcPr>
            <w:tcW w:w="6545" w:type="dxa"/>
            <w:vAlign w:val="center"/>
          </w:tcPr>
          <w:p>
            <w:pPr>
              <w:spacing w:line="440" w:lineRule="exact"/>
              <w:jc w:val="center"/>
              <w:rPr>
                <w:b/>
                <w:szCs w:val="21"/>
                <w:highlight w:val="none"/>
              </w:rPr>
            </w:pPr>
            <w:r>
              <w:rPr>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8" w:type="dxa"/>
            <w:gridSpan w:val="2"/>
            <w:vAlign w:val="center"/>
          </w:tcPr>
          <w:p>
            <w:pPr>
              <w:spacing w:line="440" w:lineRule="exact"/>
              <w:jc w:val="center"/>
              <w:rPr>
                <w:sz w:val="24"/>
                <w:highlight w:val="none"/>
              </w:rPr>
            </w:pPr>
            <w:r>
              <w:rPr>
                <w:sz w:val="24"/>
                <w:highlight w:val="none"/>
              </w:rPr>
              <w:t>2.2.1</w:t>
            </w:r>
          </w:p>
        </w:tc>
        <w:tc>
          <w:tcPr>
            <w:tcW w:w="1935" w:type="dxa"/>
            <w:vAlign w:val="center"/>
          </w:tcPr>
          <w:p>
            <w:pPr>
              <w:spacing w:line="300" w:lineRule="exact"/>
              <w:jc w:val="center"/>
              <w:rPr>
                <w:b/>
                <w:sz w:val="24"/>
                <w:highlight w:val="none"/>
              </w:rPr>
            </w:pPr>
            <w:r>
              <w:rPr>
                <w:b/>
                <w:sz w:val="24"/>
                <w:highlight w:val="none"/>
              </w:rPr>
              <w:t>分值构成</w:t>
            </w:r>
          </w:p>
          <w:p>
            <w:pPr>
              <w:spacing w:line="300" w:lineRule="exact"/>
              <w:jc w:val="center"/>
              <w:rPr>
                <w:sz w:val="24"/>
                <w:highlight w:val="none"/>
              </w:rPr>
            </w:pPr>
            <w:r>
              <w:rPr>
                <w:b/>
                <w:sz w:val="24"/>
                <w:highlight w:val="none"/>
              </w:rPr>
              <w:t>(总分100分)</w:t>
            </w:r>
          </w:p>
        </w:tc>
        <w:tc>
          <w:tcPr>
            <w:tcW w:w="6545" w:type="dxa"/>
            <w:vAlign w:val="center"/>
          </w:tcPr>
          <w:p>
            <w:pPr>
              <w:spacing w:line="400" w:lineRule="exact"/>
              <w:rPr>
                <w:sz w:val="24"/>
                <w:highlight w:val="none"/>
              </w:rPr>
            </w:pPr>
            <w:r>
              <w:rPr>
                <w:rFonts w:hint="eastAsia"/>
                <w:sz w:val="24"/>
                <w:highlight w:val="none"/>
              </w:rPr>
              <w:t>权重：</w:t>
            </w:r>
          </w:p>
          <w:p>
            <w:pPr>
              <w:spacing w:line="400" w:lineRule="exact"/>
              <w:rPr>
                <w:sz w:val="24"/>
                <w:highlight w:val="none"/>
              </w:rPr>
            </w:pPr>
            <w:r>
              <w:rPr>
                <w:rFonts w:hint="eastAsia"/>
                <w:sz w:val="24"/>
                <w:highlight w:val="none"/>
              </w:rPr>
              <w:t>投标报价：20分</w:t>
            </w:r>
          </w:p>
          <w:p>
            <w:pPr>
              <w:spacing w:line="400" w:lineRule="exact"/>
              <w:rPr>
                <w:sz w:val="24"/>
                <w:highlight w:val="none"/>
              </w:rPr>
            </w:pPr>
            <w:r>
              <w:rPr>
                <w:rFonts w:hint="eastAsia"/>
                <w:sz w:val="24"/>
                <w:highlight w:val="none"/>
              </w:rPr>
              <w:t>商务部分：50分</w:t>
            </w:r>
          </w:p>
          <w:p>
            <w:pPr>
              <w:spacing w:line="400" w:lineRule="exact"/>
              <w:rPr>
                <w:sz w:val="24"/>
                <w:highlight w:val="none"/>
              </w:rPr>
            </w:pPr>
            <w:r>
              <w:rPr>
                <w:rFonts w:hint="eastAsia"/>
                <w:sz w:val="24"/>
                <w:highlight w:val="none"/>
              </w:rPr>
              <w:t>技术部分：30分</w:t>
            </w:r>
          </w:p>
          <w:p>
            <w:pPr>
              <w:spacing w:line="400" w:lineRule="exact"/>
              <w:rPr>
                <w:sz w:val="24"/>
                <w:highlight w:val="none"/>
              </w:rPr>
            </w:pPr>
            <w:r>
              <w:rPr>
                <w:rFonts w:hint="eastAsia"/>
                <w:sz w:val="24"/>
                <w:highlight w:val="none"/>
              </w:rPr>
              <w:t>评标总得分=商务得分+技术得分+报价得分</w:t>
            </w:r>
          </w:p>
          <w:p>
            <w:pPr>
              <w:spacing w:line="400" w:lineRule="exact"/>
              <w:rPr>
                <w:sz w:val="24"/>
                <w:highlight w:val="none"/>
              </w:rPr>
            </w:pPr>
          </w:p>
          <w:p>
            <w:pPr>
              <w:spacing w:line="40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3" w:hRule="atLeast"/>
        </w:trPr>
        <w:tc>
          <w:tcPr>
            <w:tcW w:w="1508" w:type="dxa"/>
            <w:gridSpan w:val="2"/>
            <w:vAlign w:val="center"/>
          </w:tcPr>
          <w:p>
            <w:pPr>
              <w:jc w:val="center"/>
              <w:rPr>
                <w:rFonts w:ascii="宋体" w:hAnsi="宋体" w:cs="宋体"/>
                <w:sz w:val="24"/>
                <w:highlight w:val="none"/>
              </w:rPr>
            </w:pPr>
            <w:r>
              <w:rPr>
                <w:rFonts w:hint="eastAsia" w:ascii="宋体" w:hAnsi="宋体" w:cs="宋体"/>
                <w:sz w:val="24"/>
                <w:highlight w:val="none"/>
              </w:rPr>
              <w:t>2.2.2</w:t>
            </w:r>
          </w:p>
        </w:tc>
        <w:tc>
          <w:tcPr>
            <w:tcW w:w="1935" w:type="dxa"/>
            <w:vAlign w:val="center"/>
          </w:tcPr>
          <w:p>
            <w:pPr>
              <w:jc w:val="center"/>
              <w:rPr>
                <w:rFonts w:ascii="宋体" w:hAnsi="宋体" w:cs="宋体"/>
                <w:b/>
                <w:sz w:val="24"/>
                <w:highlight w:val="none"/>
              </w:rPr>
            </w:pPr>
            <w:r>
              <w:rPr>
                <w:rFonts w:hint="eastAsia" w:ascii="宋体" w:hAnsi="宋体" w:cs="宋体"/>
                <w:sz w:val="24"/>
                <w:highlight w:val="none"/>
              </w:rPr>
              <w:t>评标基准价计算方法</w:t>
            </w:r>
          </w:p>
        </w:tc>
        <w:tc>
          <w:tcPr>
            <w:tcW w:w="6545" w:type="dxa"/>
            <w:vAlign w:val="center"/>
          </w:tcPr>
          <w:p>
            <w:pPr>
              <w:ind w:firstLine="480" w:firstLineChars="200"/>
              <w:jc w:val="left"/>
              <w:rPr>
                <w:rFonts w:ascii="宋体" w:hAnsi="宋体" w:cs="宋体"/>
                <w:sz w:val="24"/>
                <w:highlight w:val="none"/>
              </w:rPr>
            </w:pPr>
            <w:r>
              <w:rPr>
                <w:rFonts w:hint="eastAsia" w:ascii="宋体" w:hAnsi="宋体" w:cs="宋体"/>
                <w:sz w:val="24"/>
                <w:highlight w:val="none"/>
              </w:rPr>
              <w:t>1、若初步评审通过的投标人小于或等于五个的，直接对初步评审通过的投标人的投标报价计算算术平均值；此算术平均值为评标基准价。随后的评审中无论出现何种情形，该基准价不作调整。</w:t>
            </w:r>
          </w:p>
          <w:p>
            <w:pPr>
              <w:ind w:firstLine="480" w:firstLineChars="200"/>
              <w:jc w:val="left"/>
              <w:rPr>
                <w:rFonts w:ascii="宋体" w:hAnsi="宋体" w:cs="宋体"/>
                <w:sz w:val="24"/>
                <w:highlight w:val="none"/>
              </w:rPr>
            </w:pPr>
            <w:r>
              <w:rPr>
                <w:rFonts w:hint="eastAsia" w:ascii="宋体" w:hAnsi="宋体" w:cs="宋体"/>
                <w:sz w:val="24"/>
                <w:highlight w:val="none"/>
              </w:rPr>
              <w:t>2、若初步评审通过的投标人大于五个的。对通过初步评审的投标文件，评标委员会按照下列方法计算投标人投标报价的算术平均值：</w:t>
            </w:r>
          </w:p>
          <w:p>
            <w:pPr>
              <w:snapToGrid w:val="0"/>
              <w:ind w:firstLine="480" w:firstLineChars="200"/>
              <w:rPr>
                <w:rFonts w:ascii="宋体" w:hAnsi="宋体" w:cs="宋体"/>
                <w:sz w:val="24"/>
                <w:highlight w:val="none"/>
              </w:rPr>
            </w:pPr>
            <w:r>
              <w:rPr>
                <w:rFonts w:hint="eastAsia" w:ascii="宋体" w:hAnsi="宋体" w:cs="宋体"/>
                <w:sz w:val="24"/>
                <w:highlight w:val="none"/>
              </w:rPr>
              <w:t>设</w:t>
            </w:r>
            <w:r>
              <w:rPr>
                <w:rFonts w:hint="eastAsia" w:ascii="宋体" w:hAnsi="宋体" w:cs="宋体"/>
                <w:sz w:val="24"/>
                <w:highlight w:val="none"/>
              </w:rPr>
              <w:object>
                <v:shape id="_x0000_i1025" o:spt="75" type="#_x0000_t75" style="height:29.45pt;width:165.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ascii="宋体" w:hAnsi="宋体" w:cs="宋体"/>
                <w:sz w:val="24"/>
                <w:highlight w:val="none"/>
              </w:rPr>
              <w:t>，其中Int为取整函数，不进行四舍五入。评标委员会将通过初步评审的投标人的投标总报价按由低至高的顺序进行排序，去掉排名最靠前的N个投标人的投标总报价以及排名最靠后的N个投标人的投标报价之后，再对剩余投标人的投标报价取算术平均值，此算术平均值为评标基准价。随后的评审中无论出现何种情形，该基准价不作调整。</w:t>
            </w:r>
            <w:r>
              <w:rPr>
                <w:rFonts w:hint="eastAsia" w:ascii="宋体" w:hAnsi="宋体" w:cs="宋体"/>
                <w:b/>
                <w:bCs/>
                <w:sz w:val="24"/>
                <w:highlight w:val="none"/>
              </w:rPr>
              <w:t>（注：报价评审中所应用的投标人投标报价为投标人的投标总价，即施工建安工程费、设计费投标报价的总和）。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1508" w:type="dxa"/>
            <w:gridSpan w:val="2"/>
            <w:vAlign w:val="center"/>
          </w:tcPr>
          <w:p>
            <w:pPr>
              <w:jc w:val="center"/>
              <w:rPr>
                <w:rFonts w:ascii="宋体" w:hAnsi="宋体" w:cs="宋体"/>
                <w:sz w:val="24"/>
                <w:highlight w:val="none"/>
              </w:rPr>
            </w:pPr>
            <w:r>
              <w:rPr>
                <w:rFonts w:hint="eastAsia" w:ascii="宋体" w:hAnsi="宋体" w:cs="宋体"/>
                <w:sz w:val="24"/>
                <w:highlight w:val="none"/>
              </w:rPr>
              <w:t>2.2.3</w:t>
            </w:r>
          </w:p>
        </w:tc>
        <w:tc>
          <w:tcPr>
            <w:tcW w:w="1935" w:type="dxa"/>
            <w:vAlign w:val="center"/>
          </w:tcPr>
          <w:p>
            <w:pPr>
              <w:jc w:val="center"/>
              <w:rPr>
                <w:rFonts w:ascii="宋体" w:hAnsi="宋体" w:cs="宋体"/>
                <w:sz w:val="24"/>
                <w:highlight w:val="none"/>
              </w:rPr>
            </w:pPr>
            <w:r>
              <w:rPr>
                <w:rFonts w:hint="eastAsia" w:ascii="宋体" w:hAnsi="宋体" w:cs="宋体"/>
                <w:sz w:val="24"/>
                <w:highlight w:val="none"/>
              </w:rPr>
              <w:t>投标报价评分标准</w:t>
            </w:r>
          </w:p>
        </w:tc>
        <w:tc>
          <w:tcPr>
            <w:tcW w:w="6545" w:type="dxa"/>
            <w:vAlign w:val="center"/>
          </w:tcPr>
          <w:p>
            <w:pPr>
              <w:snapToGrid w:val="0"/>
              <w:ind w:firstLine="480" w:firstLineChars="200"/>
              <w:rPr>
                <w:rFonts w:ascii="宋体" w:hAnsi="宋体" w:cs="宋体"/>
                <w:sz w:val="24"/>
                <w:highlight w:val="none"/>
              </w:rPr>
            </w:pPr>
            <w:r>
              <w:rPr>
                <w:rFonts w:hint="eastAsia" w:ascii="宋体" w:hAnsi="宋体" w:cs="宋体"/>
                <w:sz w:val="24"/>
                <w:highlight w:val="none"/>
              </w:rPr>
              <w:t>评标委员会按照最接近评标基准价的顺序进行排序（若出现投标报价与评标基准价的差值的绝对值相同的则投标报价较低的排前；若出现工程投标报价相同的，则由评标委员会抽签确定排名）。报价得分折算公式如下：</w:t>
            </w:r>
          </w:p>
          <w:p>
            <w:pPr>
              <w:snapToGrid w:val="0"/>
              <w:ind w:firstLine="480" w:firstLineChars="200"/>
              <w:rPr>
                <w:rFonts w:ascii="宋体" w:hAnsi="宋体" w:cs="宋体"/>
                <w:sz w:val="24"/>
                <w:highlight w:val="none"/>
              </w:rPr>
            </w:pPr>
            <w:r>
              <w:rPr>
                <w:rFonts w:hint="eastAsia" w:ascii="宋体" w:hAnsi="宋体" w:cs="宋体"/>
                <w:sz w:val="24"/>
                <w:highlight w:val="none"/>
              </w:rPr>
              <w:t>S=</w:t>
            </w:r>
            <w:r>
              <w:rPr>
                <w:rFonts w:hint="eastAsia" w:ascii="宋体" w:hAnsi="宋体" w:cs="宋体"/>
                <w:position w:val="-24"/>
                <w:sz w:val="24"/>
                <w:highlight w:val="none"/>
              </w:rPr>
              <w:object>
                <v:shape id="_x0000_i1026" o:spt="75" type="#_x0000_t75" style="height:33.25pt;width:80.7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p>
          <w:p>
            <w:pPr>
              <w:snapToGrid w:val="0"/>
              <w:ind w:firstLine="480" w:firstLineChars="200"/>
              <w:rPr>
                <w:rFonts w:ascii="宋体" w:hAnsi="宋体" w:cs="宋体"/>
                <w:sz w:val="24"/>
                <w:highlight w:val="none"/>
              </w:rPr>
            </w:pPr>
            <w:r>
              <w:rPr>
                <w:rFonts w:hint="eastAsia" w:ascii="宋体" w:hAnsi="宋体" w:cs="宋体"/>
                <w:sz w:val="24"/>
                <w:highlight w:val="none"/>
              </w:rPr>
              <w:t xml:space="preserve">S—报价得分； </w:t>
            </w:r>
          </w:p>
          <w:p>
            <w:pPr>
              <w:snapToGrid w:val="0"/>
              <w:ind w:firstLine="480" w:firstLineChars="200"/>
              <w:rPr>
                <w:rFonts w:ascii="宋体" w:hAnsi="宋体" w:cs="宋体"/>
                <w:sz w:val="24"/>
                <w:highlight w:val="none"/>
              </w:rPr>
            </w:pPr>
            <w:r>
              <w:rPr>
                <w:rFonts w:hint="eastAsia" w:ascii="宋体" w:hAnsi="宋体" w:cs="宋体"/>
                <w:sz w:val="24"/>
                <w:highlight w:val="none"/>
              </w:rPr>
              <w:t>B—投标报价；</w:t>
            </w:r>
          </w:p>
          <w:p>
            <w:pPr>
              <w:snapToGrid w:val="0"/>
              <w:ind w:firstLine="480" w:firstLineChars="200"/>
              <w:rPr>
                <w:rFonts w:ascii="宋体" w:hAnsi="宋体" w:cs="宋体"/>
                <w:sz w:val="24"/>
                <w:highlight w:val="none"/>
              </w:rPr>
            </w:pPr>
            <w:r>
              <w:rPr>
                <w:rFonts w:hint="eastAsia" w:ascii="宋体" w:hAnsi="宋体" w:cs="宋体"/>
                <w:sz w:val="24"/>
                <w:highlight w:val="none"/>
              </w:rPr>
              <w:t>A—评标基准价；</w:t>
            </w:r>
          </w:p>
          <w:p>
            <w:pPr>
              <w:ind w:firstLine="480" w:firstLineChars="200"/>
              <w:rPr>
                <w:rFonts w:ascii="宋体" w:hAnsi="宋体" w:cs="宋体"/>
                <w:sz w:val="24"/>
                <w:highlight w:val="none"/>
              </w:rPr>
            </w:pPr>
            <w:r>
              <w:rPr>
                <w:rFonts w:hint="eastAsia" w:ascii="宋体" w:hAnsi="宋体" w:cs="宋体"/>
                <w:kern w:val="0"/>
                <w:sz w:val="24"/>
                <w:highlight w:val="none"/>
              </w:rPr>
              <w:t>投标人投标报价得分最低分为0 分，取值保留到小数点后四位，第五位四舍五入</w:t>
            </w:r>
            <w:r>
              <w:rPr>
                <w:rFonts w:hint="eastAsia" w:ascii="宋体" w:hAnsi="宋体" w:cs="宋体"/>
                <w:sz w:val="24"/>
                <w:highlight w:val="none"/>
              </w:rPr>
              <w:t>。</w:t>
            </w:r>
          </w:p>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08" w:type="dxa"/>
            <w:gridSpan w:val="2"/>
            <w:vAlign w:val="center"/>
          </w:tcPr>
          <w:p>
            <w:pPr>
              <w:jc w:val="center"/>
              <w:rPr>
                <w:rFonts w:ascii="宋体" w:hAnsi="宋体" w:cs="宋体"/>
                <w:sz w:val="24"/>
                <w:highlight w:val="none"/>
              </w:rPr>
            </w:pPr>
            <w:r>
              <w:rPr>
                <w:rFonts w:hint="eastAsia" w:ascii="宋体" w:hAnsi="宋体" w:cs="宋体"/>
                <w:sz w:val="24"/>
                <w:highlight w:val="none"/>
              </w:rPr>
              <w:t>条款号</w:t>
            </w:r>
          </w:p>
        </w:tc>
        <w:tc>
          <w:tcPr>
            <w:tcW w:w="1935" w:type="dxa"/>
            <w:vAlign w:val="center"/>
          </w:tcPr>
          <w:p>
            <w:pPr>
              <w:jc w:val="center"/>
              <w:rPr>
                <w:rFonts w:ascii="宋体" w:hAnsi="宋体" w:cs="宋体"/>
                <w:b/>
                <w:sz w:val="24"/>
                <w:highlight w:val="none"/>
              </w:rPr>
            </w:pPr>
            <w:r>
              <w:rPr>
                <w:rFonts w:hint="eastAsia" w:ascii="宋体" w:hAnsi="宋体" w:cs="宋体"/>
                <w:b/>
                <w:sz w:val="24"/>
                <w:highlight w:val="none"/>
              </w:rPr>
              <w:t>评分因素</w:t>
            </w:r>
          </w:p>
        </w:tc>
        <w:tc>
          <w:tcPr>
            <w:tcW w:w="6545" w:type="dxa"/>
            <w:vAlign w:val="center"/>
          </w:tcPr>
          <w:p>
            <w:pPr>
              <w:jc w:val="center"/>
              <w:rPr>
                <w:rFonts w:ascii="宋体" w:hAnsi="宋体" w:cs="宋体"/>
                <w:sz w:val="24"/>
                <w:highlight w:val="none"/>
              </w:rPr>
            </w:pPr>
            <w:r>
              <w:rPr>
                <w:rFonts w:hint="eastAsia" w:ascii="宋体" w:hAnsi="宋体" w:cs="宋体"/>
                <w:b/>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8" w:type="dxa"/>
            <w:gridSpan w:val="2"/>
            <w:vMerge w:val="restart"/>
            <w:vAlign w:val="center"/>
          </w:tcPr>
          <w:p>
            <w:pPr>
              <w:spacing w:line="440" w:lineRule="exact"/>
              <w:jc w:val="center"/>
              <w:rPr>
                <w:rFonts w:ascii="宋体" w:hAnsi="宋体" w:cs="宋体"/>
                <w:sz w:val="24"/>
                <w:highlight w:val="none"/>
              </w:rPr>
            </w:pPr>
            <w:r>
              <w:rPr>
                <w:rFonts w:hint="eastAsia" w:ascii="宋体" w:hAnsi="宋体" w:cs="宋体"/>
                <w:sz w:val="24"/>
                <w:highlight w:val="none"/>
              </w:rPr>
              <w:t>2.2.4商务部分评审标准（50分）</w:t>
            </w:r>
          </w:p>
          <w:p>
            <w:pPr>
              <w:spacing w:line="440" w:lineRule="exact"/>
              <w:jc w:val="center"/>
              <w:rPr>
                <w:rFonts w:ascii="宋体" w:hAnsi="宋体" w:cs="宋体"/>
                <w:sz w:val="24"/>
                <w:highlight w:val="none"/>
              </w:rPr>
            </w:pPr>
          </w:p>
          <w:p>
            <w:pPr>
              <w:spacing w:line="440" w:lineRule="exact"/>
              <w:jc w:val="center"/>
              <w:rPr>
                <w:rFonts w:ascii="宋体" w:hAnsi="宋体" w:cs="宋体"/>
                <w:sz w:val="24"/>
                <w:highlight w:val="none"/>
              </w:rPr>
            </w:pPr>
          </w:p>
        </w:tc>
        <w:tc>
          <w:tcPr>
            <w:tcW w:w="1935" w:type="dxa"/>
            <w:vAlign w:val="center"/>
          </w:tcPr>
          <w:p>
            <w:pPr>
              <w:spacing w:line="360" w:lineRule="auto"/>
              <w:jc w:val="center"/>
              <w:rPr>
                <w:rFonts w:ascii="宋体" w:hAnsi="宋体" w:cs="宋体"/>
                <w:sz w:val="24"/>
                <w:highlight w:val="none"/>
              </w:rPr>
            </w:pPr>
            <w:r>
              <w:rPr>
                <w:rFonts w:ascii="宋体" w:hAnsi="宋体" w:cs="宋体"/>
                <w:sz w:val="24"/>
                <w:highlight w:val="none"/>
              </w:rPr>
              <w:t>（</w:t>
            </w:r>
            <w:r>
              <w:rPr>
                <w:rFonts w:hint="eastAsia" w:ascii="宋体" w:hAnsi="宋体" w:cs="宋体"/>
                <w:sz w:val="24"/>
                <w:highlight w:val="none"/>
              </w:rPr>
              <w:t>设计方</w:t>
            </w:r>
            <w:r>
              <w:rPr>
                <w:rFonts w:ascii="宋体" w:hAnsi="宋体" w:cs="宋体"/>
                <w:sz w:val="24"/>
                <w:highlight w:val="none"/>
              </w:rPr>
              <w:t>）</w:t>
            </w:r>
            <w:r>
              <w:rPr>
                <w:rFonts w:hint="eastAsia" w:ascii="宋体" w:hAnsi="宋体" w:cs="宋体"/>
                <w:sz w:val="24"/>
                <w:highlight w:val="none"/>
              </w:rPr>
              <w:t>企业业绩获奖</w:t>
            </w:r>
          </w:p>
          <w:p>
            <w:pPr>
              <w:spacing w:line="360" w:lineRule="auto"/>
              <w:jc w:val="center"/>
              <w:rPr>
                <w:rFonts w:ascii="宋体" w:hAnsi="宋体" w:cs="宋体"/>
                <w:sz w:val="24"/>
                <w:highlight w:val="none"/>
              </w:rPr>
            </w:pPr>
            <w:r>
              <w:rPr>
                <w:rFonts w:hint="eastAsia" w:ascii="宋体" w:hAnsi="宋体" w:cs="宋体"/>
                <w:sz w:val="24"/>
                <w:highlight w:val="none"/>
              </w:rPr>
              <w:t>（7</w:t>
            </w:r>
            <w:r>
              <w:rPr>
                <w:rFonts w:ascii="宋体" w:hAnsi="宋体" w:cs="宋体"/>
                <w:sz w:val="24"/>
                <w:highlight w:val="none"/>
              </w:rPr>
              <w:t>分</w:t>
            </w:r>
            <w:r>
              <w:rPr>
                <w:rFonts w:hint="eastAsia" w:ascii="宋体" w:hAnsi="宋体" w:cs="宋体"/>
                <w:sz w:val="24"/>
                <w:highlight w:val="none"/>
              </w:rPr>
              <w:t>）</w:t>
            </w:r>
          </w:p>
        </w:tc>
        <w:tc>
          <w:tcPr>
            <w:tcW w:w="6545" w:type="dxa"/>
            <w:vAlign w:val="center"/>
          </w:tcPr>
          <w:p>
            <w:pPr>
              <w:rPr>
                <w:rFonts w:ascii="宋体" w:hAnsi="宋体" w:cs="宋体"/>
                <w:sz w:val="24"/>
                <w:highlight w:val="none"/>
              </w:rPr>
            </w:pPr>
            <w:r>
              <w:rPr>
                <w:rFonts w:hint="eastAsia" w:ascii="宋体" w:hAnsi="宋体" w:cs="宋体"/>
                <w:sz w:val="24"/>
                <w:highlight w:val="none"/>
              </w:rPr>
              <w:t>投标人（如为联合体，则指设计方）近</w:t>
            </w:r>
            <w:r>
              <w:rPr>
                <w:rFonts w:ascii="宋体" w:hAnsi="宋体" w:cs="宋体"/>
                <w:sz w:val="24"/>
                <w:highlight w:val="none"/>
              </w:rPr>
              <w:t>3</w:t>
            </w:r>
            <w:r>
              <w:rPr>
                <w:rFonts w:hint="eastAsia" w:ascii="宋体" w:hAnsi="宋体" w:cs="宋体"/>
                <w:sz w:val="24"/>
                <w:highlight w:val="none"/>
              </w:rPr>
              <w:t>年内（指</w:t>
            </w:r>
            <w:r>
              <w:rPr>
                <w:rFonts w:ascii="宋体" w:hAnsi="宋体" w:cs="宋体"/>
                <w:sz w:val="24"/>
                <w:highlight w:val="none"/>
              </w:rPr>
              <w:t>20</w:t>
            </w:r>
            <w:r>
              <w:rPr>
                <w:rFonts w:hint="eastAsia" w:ascii="宋体" w:hAnsi="宋体" w:cs="宋体"/>
                <w:sz w:val="24"/>
                <w:highlight w:val="none"/>
              </w:rPr>
              <w:t>20年至今，以获奖证书日期为准）</w:t>
            </w:r>
          </w:p>
          <w:p>
            <w:pPr>
              <w:rPr>
                <w:rFonts w:ascii="宋体" w:hAnsi="宋体" w:cs="宋体"/>
                <w:sz w:val="24"/>
                <w:highlight w:val="none"/>
              </w:rPr>
            </w:pPr>
            <w:r>
              <w:rPr>
                <w:rFonts w:hint="eastAsia" w:ascii="宋体" w:hAnsi="宋体" w:cs="宋体"/>
                <w:sz w:val="24"/>
                <w:highlight w:val="none"/>
              </w:rPr>
              <w:t>1、市政设计项目获国家级奖项每项得3分；获省级奖项每项得2分；获地级市奖项每项得1分，最高得4分。</w:t>
            </w:r>
          </w:p>
          <w:p>
            <w:pPr>
              <w:rPr>
                <w:rFonts w:ascii="宋体" w:hAnsi="宋体" w:cs="宋体"/>
                <w:sz w:val="24"/>
                <w:highlight w:val="none"/>
              </w:rPr>
            </w:pPr>
            <w:r>
              <w:rPr>
                <w:rFonts w:hint="eastAsia" w:ascii="宋体" w:hAnsi="宋体" w:cs="宋体"/>
                <w:sz w:val="24"/>
                <w:highlight w:val="none"/>
              </w:rPr>
              <w:t>备注：①本小项最多计2个奖项，同一项目获得多个奖项只计一次最高级奖项得分，须提供获奖证书复印件并加盖投标人公章，</w:t>
            </w:r>
            <w:r>
              <w:rPr>
                <w:rFonts w:hint="eastAsia"/>
                <w:sz w:val="24"/>
                <w:highlight w:val="none"/>
              </w:rPr>
              <w:t>原件核查，否则不得分。</w:t>
            </w:r>
          </w:p>
          <w:p>
            <w:pPr>
              <w:rPr>
                <w:rFonts w:ascii="宋体" w:hAnsi="宋体" w:cs="宋体"/>
                <w:sz w:val="24"/>
                <w:highlight w:val="none"/>
              </w:rPr>
            </w:pPr>
            <w:r>
              <w:rPr>
                <w:rFonts w:hint="eastAsia" w:ascii="宋体" w:hAnsi="宋体" w:cs="宋体"/>
                <w:sz w:val="24"/>
                <w:highlight w:val="none"/>
              </w:rPr>
              <w:t>②奖项由住建部颁发或勘察设计行业协会颁发。</w:t>
            </w:r>
          </w:p>
          <w:p>
            <w:pPr>
              <w:rPr>
                <w:rFonts w:ascii="宋体" w:hAnsi="宋体" w:cs="宋体"/>
                <w:sz w:val="24"/>
                <w:highlight w:val="none"/>
              </w:rPr>
            </w:pPr>
            <w:r>
              <w:rPr>
                <w:rFonts w:hint="eastAsia" w:ascii="宋体" w:hAnsi="宋体" w:cs="宋体"/>
                <w:sz w:val="24"/>
                <w:highlight w:val="none"/>
              </w:rPr>
              <w:t>2、市政设计项目获“市政优良样板工程”奖项得1分，最高得3分。</w:t>
            </w:r>
          </w:p>
          <w:p>
            <w:pPr>
              <w:rPr>
                <w:rFonts w:ascii="宋体" w:hAnsi="宋体" w:cs="宋体"/>
                <w:b/>
                <w:sz w:val="24"/>
                <w:highlight w:val="none"/>
              </w:rPr>
            </w:pPr>
            <w:r>
              <w:rPr>
                <w:rFonts w:hint="eastAsia" w:ascii="宋体" w:hAnsi="宋体" w:cs="宋体"/>
                <w:sz w:val="24"/>
                <w:highlight w:val="none"/>
              </w:rPr>
              <w:t>备注：须提供获奖证书复印件并加盖投标人公章，原件核查，否则不得分。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508" w:type="dxa"/>
            <w:gridSpan w:val="2"/>
            <w:vMerge w:val="continue"/>
            <w:vAlign w:val="center"/>
          </w:tcPr>
          <w:p>
            <w:pPr>
              <w:spacing w:line="440" w:lineRule="exact"/>
              <w:jc w:val="center"/>
              <w:rPr>
                <w:rFonts w:ascii="宋体" w:hAnsi="宋体" w:cs="宋体"/>
                <w:sz w:val="24"/>
                <w:highlight w:val="none"/>
              </w:rPr>
            </w:pPr>
          </w:p>
        </w:tc>
        <w:tc>
          <w:tcPr>
            <w:tcW w:w="1935" w:type="dxa"/>
            <w:vAlign w:val="center"/>
          </w:tcPr>
          <w:p>
            <w:pPr>
              <w:jc w:val="center"/>
              <w:rPr>
                <w:rFonts w:ascii="宋体" w:hAnsi="宋体" w:cs="宋体"/>
                <w:sz w:val="24"/>
                <w:highlight w:val="none"/>
              </w:rPr>
            </w:pPr>
            <w:r>
              <w:rPr>
                <w:rFonts w:ascii="宋体" w:hAnsi="宋体" w:cs="宋体"/>
                <w:sz w:val="24"/>
                <w:highlight w:val="none"/>
              </w:rPr>
              <w:t>（</w:t>
            </w:r>
            <w:r>
              <w:rPr>
                <w:rFonts w:hint="eastAsia" w:ascii="宋体" w:hAnsi="宋体" w:cs="宋体"/>
                <w:sz w:val="24"/>
                <w:highlight w:val="none"/>
              </w:rPr>
              <w:t>设计方</w:t>
            </w:r>
            <w:r>
              <w:rPr>
                <w:rFonts w:ascii="宋体" w:hAnsi="宋体" w:cs="宋体"/>
                <w:sz w:val="24"/>
                <w:highlight w:val="none"/>
              </w:rPr>
              <w:t>）</w:t>
            </w:r>
            <w:r>
              <w:rPr>
                <w:rFonts w:hint="eastAsia" w:ascii="宋体" w:hAnsi="宋体" w:cs="宋体"/>
                <w:sz w:val="24"/>
                <w:highlight w:val="none"/>
              </w:rPr>
              <w:t>企业荣誉</w:t>
            </w:r>
          </w:p>
          <w:p>
            <w:pPr>
              <w:jc w:val="center"/>
              <w:rPr>
                <w:rFonts w:ascii="宋体" w:hAnsi="宋体"/>
                <w:sz w:val="24"/>
                <w:szCs w:val="21"/>
                <w:highlight w:val="none"/>
              </w:rPr>
            </w:pPr>
            <w:r>
              <w:rPr>
                <w:rFonts w:hint="eastAsia" w:ascii="宋体" w:hAnsi="宋体" w:cs="宋体"/>
                <w:sz w:val="24"/>
                <w:highlight w:val="none"/>
              </w:rPr>
              <w:t>（12分）</w:t>
            </w:r>
          </w:p>
        </w:tc>
        <w:tc>
          <w:tcPr>
            <w:tcW w:w="6545" w:type="dxa"/>
            <w:vAlign w:val="center"/>
          </w:tcPr>
          <w:p>
            <w:pPr>
              <w:rPr>
                <w:rFonts w:ascii="宋体" w:hAnsi="宋体" w:cs="宋体"/>
                <w:sz w:val="24"/>
                <w:highlight w:val="none"/>
              </w:rPr>
            </w:pPr>
            <w:r>
              <w:rPr>
                <w:rFonts w:hint="eastAsia" w:ascii="宋体" w:hAnsi="宋体" w:cs="宋体"/>
                <w:sz w:val="24"/>
                <w:highlight w:val="none"/>
              </w:rPr>
              <w:t>投标人（如为联合体，则指设计方）近</w:t>
            </w:r>
            <w:r>
              <w:rPr>
                <w:rFonts w:ascii="宋体" w:hAnsi="宋体" w:cs="宋体"/>
                <w:sz w:val="24"/>
                <w:highlight w:val="none"/>
              </w:rPr>
              <w:t>3</w:t>
            </w:r>
            <w:r>
              <w:rPr>
                <w:rFonts w:hint="eastAsia" w:ascii="宋体" w:hAnsi="宋体" w:cs="宋体"/>
                <w:sz w:val="24"/>
                <w:highlight w:val="none"/>
              </w:rPr>
              <w:t>年内（指</w:t>
            </w:r>
            <w:r>
              <w:rPr>
                <w:rFonts w:ascii="宋体" w:hAnsi="宋体" w:cs="宋体"/>
                <w:sz w:val="24"/>
                <w:highlight w:val="none"/>
              </w:rPr>
              <w:t>20</w:t>
            </w:r>
            <w:r>
              <w:rPr>
                <w:rFonts w:hint="eastAsia" w:ascii="宋体" w:hAnsi="宋体" w:cs="宋体"/>
                <w:sz w:val="24"/>
                <w:highlight w:val="none"/>
              </w:rPr>
              <w:t>20年至今，以荣誉证书日期为准）</w:t>
            </w:r>
          </w:p>
          <w:p>
            <w:pPr>
              <w:pStyle w:val="2"/>
              <w:shd w:val="clear" w:color="auto" w:fill="FFFFFF"/>
              <w:spacing w:before="0" w:after="0" w:line="240" w:lineRule="auto"/>
              <w:rPr>
                <w:b w:val="0"/>
                <w:bCs w:val="0"/>
                <w:snapToGrid w:val="0"/>
                <w:color w:val="000000"/>
                <w:kern w:val="2"/>
                <w:sz w:val="24"/>
                <w:szCs w:val="22"/>
                <w:highlight w:val="none"/>
              </w:rPr>
            </w:pPr>
            <w:r>
              <w:rPr>
                <w:rFonts w:hint="eastAsia"/>
                <w:b w:val="0"/>
                <w:bCs w:val="0"/>
                <w:snapToGrid w:val="0"/>
                <w:color w:val="000000"/>
                <w:kern w:val="2"/>
                <w:sz w:val="24"/>
                <w:szCs w:val="22"/>
                <w:highlight w:val="none"/>
              </w:rPr>
              <w:t>1、获得过由市政行业协会颁发“科学技术奖”的每项得2分，本小项最多的4分；在此基础上获奖的技术为道路或排水或污水的每项得2分，本小项最多得4分。</w:t>
            </w:r>
          </w:p>
          <w:p>
            <w:pPr>
              <w:pStyle w:val="2"/>
              <w:shd w:val="clear" w:color="auto" w:fill="FFFFFF"/>
              <w:spacing w:before="0" w:after="0" w:line="240" w:lineRule="auto"/>
              <w:rPr>
                <w:b w:val="0"/>
                <w:bCs w:val="0"/>
                <w:snapToGrid w:val="0"/>
                <w:color w:val="000000"/>
                <w:kern w:val="2"/>
                <w:sz w:val="24"/>
                <w:szCs w:val="22"/>
                <w:highlight w:val="none"/>
              </w:rPr>
            </w:pPr>
            <w:r>
              <w:rPr>
                <w:rFonts w:hint="eastAsia"/>
                <w:b w:val="0"/>
                <w:bCs w:val="0"/>
                <w:snapToGrid w:val="0"/>
                <w:color w:val="000000"/>
                <w:kern w:val="2"/>
                <w:sz w:val="24"/>
                <w:szCs w:val="22"/>
                <w:highlight w:val="none"/>
              </w:rPr>
              <w:t>备注：须提供获奖证书复印件并加盖投标人公章，</w:t>
            </w:r>
            <w:r>
              <w:rPr>
                <w:rFonts w:hint="eastAsia"/>
                <w:sz w:val="24"/>
                <w:highlight w:val="none"/>
              </w:rPr>
              <w:t>原件核查，否则不得分。</w:t>
            </w:r>
          </w:p>
          <w:p>
            <w:pPr>
              <w:pStyle w:val="2"/>
              <w:shd w:val="clear" w:color="auto" w:fill="FFFFFF"/>
              <w:spacing w:before="0" w:after="0" w:line="240" w:lineRule="auto"/>
              <w:rPr>
                <w:b w:val="0"/>
                <w:bCs w:val="0"/>
                <w:snapToGrid w:val="0"/>
                <w:color w:val="000000"/>
                <w:kern w:val="2"/>
                <w:sz w:val="24"/>
                <w:szCs w:val="22"/>
                <w:highlight w:val="none"/>
              </w:rPr>
            </w:pPr>
            <w:r>
              <w:rPr>
                <w:rFonts w:hint="eastAsia"/>
                <w:b w:val="0"/>
                <w:bCs w:val="0"/>
                <w:snapToGrid w:val="0"/>
                <w:color w:val="000000"/>
                <w:kern w:val="2"/>
                <w:sz w:val="24"/>
                <w:szCs w:val="22"/>
                <w:highlight w:val="none"/>
              </w:rPr>
              <w:t xml:space="preserve">2、获得过由市政行业协会颁发“先进单位”的每项得2分，本小项最多的4分。 </w:t>
            </w:r>
          </w:p>
          <w:p>
            <w:pPr>
              <w:pStyle w:val="2"/>
              <w:shd w:val="clear" w:color="auto" w:fill="FFFFFF"/>
              <w:spacing w:before="0" w:after="0" w:line="240" w:lineRule="auto"/>
              <w:rPr>
                <w:b w:val="0"/>
                <w:bCs w:val="0"/>
                <w:snapToGrid w:val="0"/>
                <w:color w:val="000000"/>
                <w:kern w:val="2"/>
                <w:sz w:val="24"/>
                <w:szCs w:val="22"/>
                <w:highlight w:val="none"/>
              </w:rPr>
            </w:pPr>
            <w:r>
              <w:rPr>
                <w:rFonts w:hint="eastAsia"/>
                <w:b w:val="0"/>
                <w:bCs w:val="0"/>
                <w:snapToGrid w:val="0"/>
                <w:color w:val="000000"/>
                <w:kern w:val="2"/>
                <w:sz w:val="24"/>
                <w:szCs w:val="22"/>
                <w:highlight w:val="none"/>
              </w:rPr>
              <w:t>备注：须提供获奖证书复印件并加盖投标人公章，</w:t>
            </w:r>
            <w:r>
              <w:rPr>
                <w:rFonts w:hint="eastAsia"/>
                <w:sz w:val="24"/>
                <w:highlight w:val="none"/>
              </w:rPr>
              <w:t>原件核查，否则不得分。</w:t>
            </w:r>
          </w:p>
          <w:p>
            <w:pPr>
              <w:pStyle w:val="2"/>
              <w:shd w:val="clear" w:color="auto" w:fill="FFFFFF"/>
              <w:spacing w:before="0" w:after="0" w:line="240" w:lineRule="auto"/>
              <w:rPr>
                <w:b w:val="0"/>
                <w:bCs w:val="0"/>
                <w:snapToGrid w:val="0"/>
                <w:color w:val="000000"/>
                <w:kern w:val="2"/>
                <w:sz w:val="24"/>
                <w:szCs w:val="22"/>
                <w:highlight w:val="none"/>
              </w:rPr>
            </w:pPr>
            <w:r>
              <w:rPr>
                <w:rFonts w:hint="eastAsia" w:ascii="Arial" w:hAnsi="Arial" w:eastAsia="Arial" w:cs="Arial"/>
                <w:b w:val="0"/>
                <w:bCs w:val="0"/>
                <w:snapToGrid w:val="0"/>
                <w:color w:val="000000"/>
                <w:kern w:val="2"/>
                <w:sz w:val="24"/>
                <w:szCs w:val="22"/>
                <w:highlight w:val="none"/>
              </w:rPr>
              <w:t>3、</w:t>
            </w:r>
            <w:r>
              <w:rPr>
                <w:rFonts w:hint="eastAsia"/>
                <w:b w:val="0"/>
                <w:bCs w:val="0"/>
                <w:snapToGrid w:val="0"/>
                <w:color w:val="000000"/>
                <w:kern w:val="2"/>
                <w:sz w:val="24"/>
                <w:szCs w:val="22"/>
                <w:highlight w:val="none"/>
              </w:rPr>
              <w:t>获得过</w:t>
            </w:r>
            <w:r>
              <w:rPr>
                <w:rFonts w:hint="eastAsia" w:ascii="宋体" w:hAnsi="宋体" w:cs="宋体"/>
                <w:b w:val="0"/>
                <w:bCs w:val="0"/>
                <w:kern w:val="2"/>
                <w:sz w:val="24"/>
                <w:highlight w:val="none"/>
              </w:rPr>
              <w:t>由勘察设计行业协会颁发的</w:t>
            </w:r>
            <w:r>
              <w:rPr>
                <w:rFonts w:hint="eastAsia"/>
                <w:b w:val="0"/>
                <w:bCs w:val="0"/>
                <w:snapToGrid w:val="0"/>
                <w:color w:val="000000"/>
                <w:kern w:val="2"/>
                <w:sz w:val="24"/>
                <w:szCs w:val="22"/>
                <w:highlight w:val="none"/>
              </w:rPr>
              <w:t>“企业诚信”等级AAA级企业的得4分；等级AA级企业的得2分；等级A级企业的得1分。本小项最多得4分。</w:t>
            </w:r>
          </w:p>
          <w:p>
            <w:pPr>
              <w:rPr>
                <w:rFonts w:ascii="宋体" w:hAnsi="宋体"/>
                <w:sz w:val="24"/>
                <w:highlight w:val="none"/>
                <w:shd w:val="clear" w:color="FFFFFF" w:fill="FFFFFF"/>
                <w:lang w:val="zh-CN"/>
              </w:rPr>
            </w:pPr>
            <w:r>
              <w:rPr>
                <w:rFonts w:hint="eastAsia" w:ascii="宋体" w:hAnsi="宋体" w:cs="宋体"/>
                <w:sz w:val="24"/>
                <w:highlight w:val="none"/>
              </w:rPr>
              <w:t>备注：须提供获奖证书复印件并加盖投标人公章，</w:t>
            </w:r>
            <w:r>
              <w:rPr>
                <w:rFonts w:hint="eastAsia"/>
                <w:sz w:val="24"/>
                <w:highlight w:val="none"/>
              </w:rPr>
              <w:t>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08" w:type="dxa"/>
            <w:gridSpan w:val="2"/>
            <w:vMerge w:val="continue"/>
            <w:vAlign w:val="center"/>
          </w:tcPr>
          <w:p>
            <w:pPr>
              <w:spacing w:line="440" w:lineRule="exact"/>
              <w:jc w:val="center"/>
              <w:rPr>
                <w:rFonts w:ascii="宋体" w:hAnsi="宋体" w:cs="宋体"/>
                <w:sz w:val="24"/>
                <w:highlight w:val="none"/>
              </w:rPr>
            </w:pPr>
          </w:p>
        </w:tc>
        <w:tc>
          <w:tcPr>
            <w:tcW w:w="1935" w:type="dxa"/>
            <w:vAlign w:val="center"/>
          </w:tcPr>
          <w:p>
            <w:pPr>
              <w:jc w:val="center"/>
              <w:rPr>
                <w:rFonts w:ascii="宋体" w:hAnsi="宋体" w:cs="宋体"/>
                <w:sz w:val="24"/>
                <w:highlight w:val="none"/>
                <w:shd w:val="clear" w:color="FFFFFF" w:fill="FFFFFF"/>
              </w:rPr>
            </w:pPr>
            <w:r>
              <w:rPr>
                <w:rFonts w:hint="eastAsia" w:ascii="宋体" w:hAnsi="宋体" w:cs="宋体"/>
                <w:sz w:val="24"/>
                <w:highlight w:val="none"/>
              </w:rPr>
              <w:t>（设计方）人员配备及技术水平（8分）</w:t>
            </w:r>
          </w:p>
        </w:tc>
        <w:tc>
          <w:tcPr>
            <w:tcW w:w="6545" w:type="dxa"/>
            <w:vAlign w:val="center"/>
          </w:tcPr>
          <w:p>
            <w:pPr>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、设计负责人能力：</w:t>
            </w:r>
          </w:p>
          <w:p>
            <w:pPr>
              <w:rPr>
                <w:rFonts w:ascii="宋体" w:hAnsi="宋体" w:cs="宋体"/>
                <w:b w:val="0"/>
                <w:bCs w:val="0"/>
                <w:sz w:val="24"/>
                <w:highlight w:val="none"/>
              </w:rPr>
            </w:pPr>
            <w:r>
              <w:rPr>
                <w:rFonts w:hint="eastAsia" w:ascii="宋体" w:hAnsi="宋体" w:cs="宋体"/>
                <w:sz w:val="24"/>
                <w:highlight w:val="none"/>
              </w:rPr>
              <w:t>具备市政类高级工程师或以上职称，同时具备注册土木工程师（道路工程）和一级注册结构工程师及一级注册造价工程师的得</w:t>
            </w:r>
            <w:r>
              <w:rPr>
                <w:rFonts w:ascii="宋体" w:hAnsi="宋体" w:cs="宋体"/>
                <w:sz w:val="24"/>
                <w:highlight w:val="none"/>
              </w:rPr>
              <w:t xml:space="preserve"> </w:t>
            </w:r>
            <w:r>
              <w:rPr>
                <w:rFonts w:hint="eastAsia" w:ascii="宋体" w:hAnsi="宋体" w:cs="宋体"/>
                <w:b w:val="0"/>
                <w:bCs w:val="0"/>
                <w:sz w:val="24"/>
                <w:highlight w:val="none"/>
              </w:rPr>
              <w:t>4</w:t>
            </w:r>
            <w:r>
              <w:rPr>
                <w:rFonts w:ascii="宋体" w:hAnsi="宋体" w:cs="宋体"/>
                <w:b w:val="0"/>
                <w:bCs w:val="0"/>
                <w:sz w:val="24"/>
                <w:highlight w:val="none"/>
              </w:rPr>
              <w:t xml:space="preserve"> </w:t>
            </w:r>
            <w:r>
              <w:rPr>
                <w:rFonts w:hint="eastAsia" w:ascii="宋体" w:hAnsi="宋体" w:cs="宋体"/>
                <w:b w:val="0"/>
                <w:bCs w:val="0"/>
                <w:sz w:val="24"/>
                <w:highlight w:val="none"/>
              </w:rPr>
              <w:t>分，具备其中一个至三个证件时，得</w:t>
            </w:r>
            <w:r>
              <w:rPr>
                <w:rFonts w:ascii="宋体" w:hAnsi="宋体" w:cs="宋体"/>
                <w:b w:val="0"/>
                <w:bCs w:val="0"/>
                <w:sz w:val="24"/>
                <w:highlight w:val="none"/>
              </w:rPr>
              <w:t xml:space="preserve"> </w:t>
            </w:r>
            <w:r>
              <w:rPr>
                <w:rFonts w:hint="eastAsia" w:ascii="宋体" w:hAnsi="宋体" w:cs="宋体"/>
                <w:b w:val="0"/>
                <w:bCs w:val="0"/>
                <w:sz w:val="24"/>
                <w:highlight w:val="none"/>
              </w:rPr>
              <w:t>1</w:t>
            </w:r>
            <w:r>
              <w:rPr>
                <w:rFonts w:ascii="宋体" w:hAnsi="宋体" w:cs="宋体"/>
                <w:b w:val="0"/>
                <w:bCs w:val="0"/>
                <w:sz w:val="24"/>
                <w:highlight w:val="none"/>
              </w:rPr>
              <w:t xml:space="preserve"> </w:t>
            </w:r>
            <w:r>
              <w:rPr>
                <w:rFonts w:hint="eastAsia" w:ascii="宋体" w:hAnsi="宋体" w:cs="宋体"/>
                <w:b w:val="0"/>
                <w:bCs w:val="0"/>
                <w:sz w:val="24"/>
                <w:highlight w:val="none"/>
              </w:rPr>
              <w:t>分，本小项最多得4分。</w:t>
            </w:r>
          </w:p>
          <w:p>
            <w:pPr>
              <w:pStyle w:val="2"/>
              <w:shd w:val="clear" w:color="auto" w:fill="FFFFFF"/>
              <w:spacing w:before="0" w:after="0" w:line="240" w:lineRule="auto"/>
              <w:rPr>
                <w:b/>
                <w:bCs/>
                <w:sz w:val="24"/>
                <w:highlight w:val="none"/>
              </w:rPr>
            </w:pPr>
            <w:r>
              <w:rPr>
                <w:rFonts w:hint="eastAsia"/>
                <w:b/>
                <w:bCs/>
                <w:sz w:val="24"/>
                <w:highlight w:val="none"/>
              </w:rPr>
              <w:t>备注：所提供的投入人员必须为投标单位人员，提供近三个月（</w:t>
            </w:r>
            <w:r>
              <w:rPr>
                <w:b/>
                <w:bCs/>
                <w:sz w:val="24"/>
                <w:highlight w:val="none"/>
              </w:rPr>
              <w:t>202</w:t>
            </w:r>
            <w:r>
              <w:rPr>
                <w:rFonts w:hint="eastAsia"/>
                <w:b/>
                <w:bCs/>
                <w:sz w:val="24"/>
                <w:highlight w:val="none"/>
              </w:rPr>
              <w:t>3年8月至</w:t>
            </w:r>
            <w:r>
              <w:rPr>
                <w:b/>
                <w:bCs/>
                <w:sz w:val="24"/>
                <w:highlight w:val="none"/>
              </w:rPr>
              <w:t>202</w:t>
            </w:r>
            <w:r>
              <w:rPr>
                <w:rFonts w:hint="eastAsia"/>
                <w:b/>
                <w:bCs/>
                <w:sz w:val="24"/>
                <w:highlight w:val="none"/>
              </w:rPr>
              <w:t>3年10月）在本单位</w:t>
            </w:r>
            <w:r>
              <w:rPr>
                <w:rFonts w:hint="eastAsia" w:ascii="宋体" w:hAnsi="宋体" w:cs="宋体"/>
                <w:b/>
                <w:bCs/>
                <w:kern w:val="2"/>
                <w:sz w:val="24"/>
                <w:szCs w:val="24"/>
                <w:highlight w:val="none"/>
              </w:rPr>
              <w:t>（或其分支机构）</w:t>
            </w:r>
            <w:r>
              <w:rPr>
                <w:rFonts w:hint="eastAsia"/>
                <w:b/>
                <w:bCs/>
                <w:sz w:val="24"/>
                <w:highlight w:val="none"/>
              </w:rPr>
              <w:t>缴纳的盖有社保管理机构章（或电子章）的养老保险证明复印件，提供人员职称证、注册证等相关证明材料复印件，原件核查，否则不得分。</w:t>
            </w:r>
          </w:p>
          <w:p>
            <w:pPr>
              <w:rPr>
                <w:rFonts w:ascii="宋体" w:hAnsi="宋体" w:cs="宋体"/>
                <w:b w:val="0"/>
                <w:bCs w:val="0"/>
                <w:sz w:val="24"/>
                <w:highlight w:val="none"/>
              </w:rPr>
            </w:pPr>
            <w:r>
              <w:rPr>
                <w:rFonts w:hint="eastAsia" w:ascii="宋体" w:hAnsi="宋体" w:cs="宋体"/>
                <w:b w:val="0"/>
                <w:bCs w:val="0"/>
                <w:sz w:val="24"/>
                <w:highlight w:val="none"/>
              </w:rPr>
              <w:t>2、各设计专业负责人能力：</w:t>
            </w:r>
          </w:p>
          <w:p>
            <w:pPr>
              <w:rPr>
                <w:rFonts w:ascii="宋体" w:hAnsi="宋体" w:cs="宋体"/>
                <w:sz w:val="24"/>
                <w:highlight w:val="none"/>
              </w:rPr>
            </w:pPr>
            <w:r>
              <w:rPr>
                <w:rFonts w:hint="eastAsia" w:ascii="宋体" w:hAnsi="宋体" w:cs="宋体"/>
                <w:b w:val="0"/>
                <w:bCs w:val="0"/>
                <w:sz w:val="24"/>
                <w:highlight w:val="none"/>
              </w:rPr>
              <w:t>各设计专业负责人：市</w:t>
            </w:r>
            <w:r>
              <w:rPr>
                <w:rFonts w:hint="eastAsia" w:ascii="宋体" w:hAnsi="宋体" w:cs="宋体"/>
                <w:sz w:val="24"/>
                <w:highlight w:val="none"/>
              </w:rPr>
              <w:t>政路桥类、给排水、电气、造价、岩土、风景园林、环境类。</w:t>
            </w:r>
          </w:p>
          <w:p>
            <w:pPr>
              <w:rPr>
                <w:rFonts w:ascii="宋体" w:hAnsi="宋体" w:cs="宋体"/>
                <w:sz w:val="24"/>
                <w:highlight w:val="none"/>
              </w:rPr>
            </w:pPr>
            <w:r>
              <w:rPr>
                <w:rFonts w:hint="eastAsia" w:ascii="宋体" w:hAnsi="宋体" w:cs="宋体"/>
                <w:sz w:val="24"/>
                <w:highlight w:val="none"/>
              </w:rPr>
              <w:t>上述设计专业负责人全部人员齐备同时具有职称为高级工程师或以上职称的得</w:t>
            </w:r>
            <w:r>
              <w:rPr>
                <w:rFonts w:ascii="宋体" w:hAnsi="宋体" w:cs="宋体"/>
                <w:sz w:val="24"/>
                <w:highlight w:val="none"/>
              </w:rPr>
              <w:t xml:space="preserve"> </w:t>
            </w:r>
            <w:r>
              <w:rPr>
                <w:rFonts w:hint="eastAsia" w:ascii="宋体" w:hAnsi="宋体" w:cs="宋体"/>
                <w:sz w:val="24"/>
                <w:highlight w:val="none"/>
              </w:rPr>
              <w:t>4</w:t>
            </w:r>
            <w:r>
              <w:rPr>
                <w:rFonts w:ascii="宋体" w:hAnsi="宋体" w:cs="宋体"/>
                <w:sz w:val="24"/>
                <w:highlight w:val="none"/>
              </w:rPr>
              <w:t xml:space="preserve"> </w:t>
            </w:r>
            <w:r>
              <w:rPr>
                <w:rFonts w:hint="eastAsia" w:ascii="宋体" w:hAnsi="宋体" w:cs="宋体"/>
                <w:sz w:val="24"/>
                <w:highlight w:val="none"/>
              </w:rPr>
              <w:t>分，具有职称为中级工程师的得</w:t>
            </w:r>
            <w:r>
              <w:rPr>
                <w:rFonts w:ascii="宋体" w:hAnsi="宋体" w:cs="宋体"/>
                <w:sz w:val="24"/>
                <w:highlight w:val="none"/>
              </w:rPr>
              <w:t xml:space="preserve"> </w:t>
            </w:r>
            <w:r>
              <w:rPr>
                <w:rFonts w:hint="eastAsia" w:ascii="宋体" w:hAnsi="宋体" w:cs="宋体"/>
                <w:sz w:val="24"/>
                <w:highlight w:val="none"/>
              </w:rPr>
              <w:t>2</w:t>
            </w:r>
            <w:r>
              <w:rPr>
                <w:rFonts w:ascii="宋体" w:hAnsi="宋体" w:cs="宋体"/>
                <w:sz w:val="24"/>
                <w:highlight w:val="none"/>
              </w:rPr>
              <w:t xml:space="preserve"> </w:t>
            </w:r>
            <w:r>
              <w:rPr>
                <w:rFonts w:hint="eastAsia" w:ascii="宋体" w:hAnsi="宋体" w:cs="宋体"/>
                <w:sz w:val="24"/>
                <w:highlight w:val="none"/>
              </w:rPr>
              <w:t>分，具有职称为助理工程师的得</w:t>
            </w:r>
            <w:r>
              <w:rPr>
                <w:rFonts w:ascii="宋体" w:hAnsi="宋体" w:cs="宋体"/>
                <w:sz w:val="24"/>
                <w:highlight w:val="none"/>
              </w:rPr>
              <w:t xml:space="preserve"> </w:t>
            </w:r>
            <w:r>
              <w:rPr>
                <w:rFonts w:hint="eastAsia" w:ascii="宋体" w:hAnsi="宋体" w:cs="宋体"/>
                <w:sz w:val="24"/>
                <w:highlight w:val="none"/>
              </w:rPr>
              <w:t>1</w:t>
            </w:r>
            <w:r>
              <w:rPr>
                <w:rFonts w:ascii="宋体" w:hAnsi="宋体" w:cs="宋体"/>
                <w:sz w:val="24"/>
                <w:highlight w:val="none"/>
              </w:rPr>
              <w:t xml:space="preserve"> </w:t>
            </w:r>
            <w:r>
              <w:rPr>
                <w:rFonts w:hint="eastAsia" w:ascii="宋体" w:hAnsi="宋体" w:cs="宋体"/>
                <w:sz w:val="24"/>
                <w:highlight w:val="none"/>
              </w:rPr>
              <w:t>分，不满足的不得分。</w:t>
            </w:r>
          </w:p>
          <w:p>
            <w:pPr>
              <w:pStyle w:val="2"/>
              <w:shd w:val="clear" w:color="auto" w:fill="FFFFFF"/>
              <w:spacing w:before="0" w:after="0" w:line="240" w:lineRule="auto"/>
              <w:rPr>
                <w:rFonts w:ascii="宋体" w:hAnsi="宋体" w:cs="宋体"/>
                <w:sz w:val="24"/>
                <w:szCs w:val="24"/>
                <w:highlight w:val="none"/>
              </w:rPr>
            </w:pPr>
            <w:r>
              <w:rPr>
                <w:rFonts w:hint="eastAsia"/>
                <w:sz w:val="24"/>
                <w:highlight w:val="none"/>
              </w:rPr>
              <w:t>备注：所提供的投入人员必须为投标单位人员，提供近三个月（</w:t>
            </w:r>
            <w:r>
              <w:rPr>
                <w:sz w:val="24"/>
                <w:highlight w:val="none"/>
              </w:rPr>
              <w:t>202</w:t>
            </w:r>
            <w:r>
              <w:rPr>
                <w:rFonts w:hint="eastAsia"/>
                <w:sz w:val="24"/>
                <w:highlight w:val="none"/>
              </w:rPr>
              <w:t>3年8月至</w:t>
            </w:r>
            <w:r>
              <w:rPr>
                <w:sz w:val="24"/>
                <w:highlight w:val="none"/>
              </w:rPr>
              <w:t>202</w:t>
            </w:r>
            <w:r>
              <w:rPr>
                <w:rFonts w:hint="eastAsia"/>
                <w:sz w:val="24"/>
                <w:highlight w:val="none"/>
              </w:rPr>
              <w:t>3年10月）在</w:t>
            </w:r>
            <w:r>
              <w:rPr>
                <w:rFonts w:hint="eastAsia"/>
                <w:b/>
                <w:bCs/>
                <w:sz w:val="24"/>
                <w:highlight w:val="none"/>
              </w:rPr>
              <w:t>本单位</w:t>
            </w:r>
            <w:r>
              <w:rPr>
                <w:rFonts w:hint="eastAsia" w:ascii="宋体" w:hAnsi="宋体" w:cs="宋体"/>
                <w:b/>
                <w:bCs/>
                <w:kern w:val="2"/>
                <w:sz w:val="24"/>
                <w:szCs w:val="24"/>
                <w:highlight w:val="none"/>
              </w:rPr>
              <w:t>（或其分支机构）</w:t>
            </w:r>
            <w:r>
              <w:rPr>
                <w:rFonts w:hint="eastAsia"/>
                <w:sz w:val="24"/>
                <w:highlight w:val="none"/>
              </w:rPr>
              <w:t>缴纳的盖有社保管理机构章（或电子章）的养老保险证明复印件，提供人员职称证等相关证明材料复印件。设计负责人与</w:t>
            </w:r>
            <w:r>
              <w:rPr>
                <w:rFonts w:hint="eastAsia"/>
                <w:kern w:val="2"/>
                <w:sz w:val="24"/>
                <w:highlight w:val="none"/>
              </w:rPr>
              <w:t>各设计专业负责人为同一人，</w:t>
            </w:r>
            <w:r>
              <w:rPr>
                <w:rFonts w:hint="eastAsia"/>
                <w:sz w:val="24"/>
                <w:highlight w:val="none"/>
              </w:rPr>
              <w:t>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08" w:type="dxa"/>
            <w:gridSpan w:val="2"/>
            <w:vMerge w:val="continue"/>
            <w:vAlign w:val="center"/>
          </w:tcPr>
          <w:p>
            <w:pPr>
              <w:spacing w:line="440" w:lineRule="exact"/>
              <w:jc w:val="center"/>
              <w:rPr>
                <w:rFonts w:ascii="宋体" w:hAnsi="宋体" w:cs="宋体"/>
                <w:sz w:val="24"/>
                <w:highlight w:val="none"/>
              </w:rPr>
            </w:pPr>
          </w:p>
        </w:tc>
        <w:tc>
          <w:tcPr>
            <w:tcW w:w="1935" w:type="dxa"/>
            <w:vAlign w:val="center"/>
          </w:tcPr>
          <w:p>
            <w:pPr>
              <w:spacing w:line="360" w:lineRule="auto"/>
              <w:rPr>
                <w:rFonts w:ascii="宋体" w:hAnsi="宋体" w:cs="宋体"/>
                <w:sz w:val="24"/>
                <w:highlight w:val="none"/>
              </w:rPr>
            </w:pPr>
            <w:r>
              <w:rPr>
                <w:rFonts w:hint="eastAsia" w:ascii="宋体" w:hAnsi="宋体" w:cs="宋体"/>
                <w:sz w:val="24"/>
                <w:highlight w:val="none"/>
              </w:rPr>
              <w:t>（设计方）企业类似业绩（2分）</w:t>
            </w:r>
          </w:p>
        </w:tc>
        <w:tc>
          <w:tcPr>
            <w:tcW w:w="6545" w:type="dxa"/>
            <w:vAlign w:val="center"/>
          </w:tcPr>
          <w:p>
            <w:pPr>
              <w:rPr>
                <w:rFonts w:ascii="宋体" w:hAnsi="宋体" w:cs="宋体"/>
                <w:sz w:val="24"/>
                <w:highlight w:val="none"/>
              </w:rPr>
            </w:pPr>
            <w:r>
              <w:rPr>
                <w:rFonts w:hint="eastAsia" w:ascii="宋体" w:hAnsi="宋体" w:cs="宋体"/>
                <w:sz w:val="24"/>
                <w:highlight w:val="none"/>
              </w:rPr>
              <w:t>投标人（如为联合体，则指设计方）近</w:t>
            </w:r>
            <w:r>
              <w:rPr>
                <w:rFonts w:ascii="宋体" w:hAnsi="宋体" w:cs="宋体"/>
                <w:sz w:val="24"/>
                <w:highlight w:val="none"/>
              </w:rPr>
              <w:t>3</w:t>
            </w:r>
            <w:r>
              <w:rPr>
                <w:rFonts w:hint="eastAsia" w:ascii="宋体" w:hAnsi="宋体" w:cs="宋体"/>
                <w:sz w:val="24"/>
                <w:highlight w:val="none"/>
              </w:rPr>
              <w:t>年内（指</w:t>
            </w:r>
            <w:r>
              <w:rPr>
                <w:rFonts w:ascii="宋体" w:hAnsi="宋体" w:cs="宋体"/>
                <w:sz w:val="24"/>
                <w:highlight w:val="none"/>
              </w:rPr>
              <w:t>20</w:t>
            </w:r>
            <w:r>
              <w:rPr>
                <w:rFonts w:hint="eastAsia" w:ascii="宋体" w:hAnsi="宋体" w:cs="宋体"/>
                <w:sz w:val="24"/>
                <w:highlight w:val="none"/>
              </w:rPr>
              <w:t>20年至今）承接过设计施工总承包业绩或勘察设计施工总承包业绩或EPC项目业绩的市政项目建安费金额大于7000万元以上的市政设计项目，每项得1分；本小项最多得2分。</w:t>
            </w:r>
          </w:p>
          <w:p>
            <w:pPr>
              <w:pStyle w:val="2"/>
              <w:shd w:val="clear" w:color="auto" w:fill="FFFFFF"/>
              <w:spacing w:before="0" w:after="0" w:line="240" w:lineRule="auto"/>
              <w:rPr>
                <w:sz w:val="24"/>
                <w:highlight w:val="none"/>
              </w:rPr>
            </w:pPr>
            <w:r>
              <w:rPr>
                <w:rFonts w:hint="eastAsia"/>
                <w:sz w:val="24"/>
                <w:highlight w:val="none"/>
              </w:rPr>
              <w:t>备注：须提供业绩合同和中标通知书复印件并加盖投标人公章。原件核查，否则不得分。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08" w:type="dxa"/>
            <w:gridSpan w:val="2"/>
            <w:vMerge w:val="continue"/>
            <w:vAlign w:val="center"/>
          </w:tcPr>
          <w:p>
            <w:pPr>
              <w:spacing w:line="440" w:lineRule="exact"/>
              <w:jc w:val="center"/>
              <w:rPr>
                <w:rFonts w:ascii="宋体" w:hAnsi="宋体" w:cs="宋体"/>
                <w:sz w:val="24"/>
                <w:highlight w:val="none"/>
              </w:rPr>
            </w:pPr>
          </w:p>
        </w:tc>
        <w:tc>
          <w:tcPr>
            <w:tcW w:w="1935" w:type="dxa"/>
            <w:vAlign w:val="center"/>
          </w:tcPr>
          <w:p>
            <w:pPr>
              <w:spacing w:line="360" w:lineRule="auto"/>
              <w:jc w:val="center"/>
              <w:rPr>
                <w:rFonts w:ascii="宋体" w:hAnsi="宋体" w:cs="宋体"/>
                <w:sz w:val="24"/>
                <w:highlight w:val="none"/>
                <w:shd w:val="clear" w:color="FFFFFF" w:fill="FFFFFF"/>
              </w:rPr>
            </w:pPr>
            <w:r>
              <w:rPr>
                <w:rFonts w:ascii="宋体" w:hAnsi="宋体" w:cs="宋体"/>
                <w:sz w:val="24"/>
                <w:highlight w:val="none"/>
              </w:rPr>
              <w:t>（</w:t>
            </w:r>
            <w:r>
              <w:rPr>
                <w:rFonts w:hint="eastAsia" w:ascii="宋体" w:hAnsi="宋体" w:cs="宋体"/>
                <w:sz w:val="24"/>
                <w:highlight w:val="none"/>
              </w:rPr>
              <w:t>施工方</w:t>
            </w:r>
            <w:r>
              <w:rPr>
                <w:rFonts w:ascii="宋体" w:hAnsi="宋体" w:cs="宋体"/>
                <w:sz w:val="24"/>
                <w:highlight w:val="none"/>
              </w:rPr>
              <w:t>）</w:t>
            </w:r>
            <w:r>
              <w:rPr>
                <w:rFonts w:hint="eastAsia" w:ascii="宋体" w:hAnsi="宋体" w:cs="宋体"/>
                <w:sz w:val="24"/>
                <w:highlight w:val="none"/>
              </w:rPr>
              <w:t>企业业绩获奖（6分）</w:t>
            </w:r>
          </w:p>
        </w:tc>
        <w:tc>
          <w:tcPr>
            <w:tcW w:w="6545" w:type="dxa"/>
            <w:vAlign w:val="center"/>
          </w:tcPr>
          <w:p>
            <w:pPr>
              <w:rPr>
                <w:rFonts w:ascii="宋体" w:hAnsi="宋体" w:cs="宋体"/>
                <w:sz w:val="24"/>
                <w:highlight w:val="none"/>
              </w:rPr>
            </w:pPr>
            <w:r>
              <w:rPr>
                <w:rFonts w:hint="eastAsia" w:ascii="宋体" w:hAnsi="宋体" w:cs="宋体"/>
                <w:sz w:val="24"/>
                <w:highlight w:val="none"/>
              </w:rPr>
              <w:t>投标人（如为联合体，则指施工方）</w:t>
            </w:r>
          </w:p>
          <w:p>
            <w:pPr>
              <w:rPr>
                <w:rFonts w:ascii="宋体" w:hAnsi="宋体" w:cs="宋体"/>
                <w:sz w:val="24"/>
                <w:highlight w:val="none"/>
              </w:rPr>
            </w:pPr>
            <w:r>
              <w:rPr>
                <w:rFonts w:hint="eastAsia" w:ascii="宋体" w:hAnsi="宋体" w:cs="宋体"/>
                <w:sz w:val="24"/>
                <w:highlight w:val="none"/>
              </w:rPr>
              <w:t>1、承接的项目获国家级奖项每项得3分；获省级奖项每项得2分；获地级市奖项每项得1分，最高得4分。</w:t>
            </w:r>
          </w:p>
          <w:p>
            <w:pPr>
              <w:rPr>
                <w:rFonts w:ascii="宋体" w:hAnsi="宋体" w:cs="宋体"/>
                <w:sz w:val="24"/>
                <w:highlight w:val="none"/>
              </w:rPr>
            </w:pPr>
            <w:r>
              <w:rPr>
                <w:rFonts w:hint="eastAsia" w:ascii="宋体" w:hAnsi="宋体" w:cs="宋体"/>
                <w:sz w:val="24"/>
                <w:highlight w:val="none"/>
              </w:rPr>
              <w:t>备注：本小项最多计2个奖项，同一项目获得多个奖项只计一次最高级奖项得分，须提供获奖证书复印件并加盖投标人公章，原件核查，否则不得分。</w:t>
            </w:r>
          </w:p>
          <w:p>
            <w:pPr>
              <w:rPr>
                <w:rFonts w:ascii="宋体" w:hAnsi="宋体" w:cs="宋体"/>
                <w:sz w:val="24"/>
                <w:highlight w:val="none"/>
              </w:rPr>
            </w:pPr>
            <w:r>
              <w:rPr>
                <w:rFonts w:hint="eastAsia" w:ascii="宋体" w:hAnsi="宋体" w:cs="宋体"/>
                <w:sz w:val="24"/>
                <w:highlight w:val="none"/>
              </w:rPr>
              <w:t>2、承接的项目获“安全生产文明施工”奖项得2分，最高得2分。</w:t>
            </w:r>
          </w:p>
          <w:p>
            <w:pPr>
              <w:rPr>
                <w:rFonts w:ascii="宋体" w:hAnsi="宋体" w:cs="宋体"/>
                <w:b/>
                <w:sz w:val="24"/>
                <w:highlight w:val="none"/>
              </w:rPr>
            </w:pPr>
            <w:r>
              <w:rPr>
                <w:rFonts w:hint="eastAsia" w:ascii="宋体" w:hAnsi="宋体" w:cs="宋体"/>
                <w:b/>
                <w:bCs/>
                <w:sz w:val="24"/>
                <w:highlight w:val="none"/>
              </w:rPr>
              <w:t>备注：须提供获奖证书复印件并加盖投标人公章，原件核查，否则不得分。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08" w:type="dxa"/>
            <w:gridSpan w:val="2"/>
            <w:vMerge w:val="continue"/>
            <w:vAlign w:val="center"/>
          </w:tcPr>
          <w:p>
            <w:pPr>
              <w:spacing w:line="440" w:lineRule="exact"/>
              <w:jc w:val="center"/>
              <w:rPr>
                <w:rFonts w:ascii="宋体" w:hAnsi="宋体" w:cs="宋体"/>
                <w:sz w:val="24"/>
                <w:highlight w:val="none"/>
              </w:rPr>
            </w:pPr>
          </w:p>
        </w:tc>
        <w:tc>
          <w:tcPr>
            <w:tcW w:w="1935" w:type="dxa"/>
            <w:vAlign w:val="center"/>
          </w:tcPr>
          <w:p>
            <w:pPr>
              <w:spacing w:line="360" w:lineRule="auto"/>
              <w:jc w:val="center"/>
              <w:rPr>
                <w:rFonts w:ascii="宋体" w:hAnsi="宋体" w:cs="宋体"/>
                <w:sz w:val="24"/>
                <w:highlight w:val="none"/>
                <w:shd w:val="clear" w:color="FFFFFF" w:fill="FFFFFF"/>
              </w:rPr>
            </w:pPr>
            <w:r>
              <w:rPr>
                <w:rFonts w:ascii="宋体" w:hAnsi="宋体" w:cs="宋体"/>
                <w:sz w:val="24"/>
                <w:highlight w:val="none"/>
              </w:rPr>
              <w:t>（</w:t>
            </w:r>
            <w:r>
              <w:rPr>
                <w:rFonts w:hint="eastAsia" w:ascii="宋体" w:hAnsi="宋体" w:cs="宋体"/>
                <w:sz w:val="24"/>
                <w:highlight w:val="none"/>
              </w:rPr>
              <w:t>施工方</w:t>
            </w:r>
            <w:r>
              <w:rPr>
                <w:rFonts w:ascii="宋体" w:hAnsi="宋体" w:cs="宋体"/>
                <w:sz w:val="24"/>
                <w:highlight w:val="none"/>
              </w:rPr>
              <w:t>）</w:t>
            </w:r>
            <w:r>
              <w:rPr>
                <w:rFonts w:hint="eastAsia" w:ascii="宋体" w:hAnsi="宋体" w:cs="宋体"/>
                <w:sz w:val="24"/>
                <w:highlight w:val="none"/>
              </w:rPr>
              <w:t>企业荣誉（6分）</w:t>
            </w:r>
          </w:p>
        </w:tc>
        <w:tc>
          <w:tcPr>
            <w:tcW w:w="6545" w:type="dxa"/>
            <w:vAlign w:val="center"/>
          </w:tcPr>
          <w:p>
            <w:pPr>
              <w:rPr>
                <w:rFonts w:ascii="宋体" w:hAnsi="宋体" w:cs="宋体"/>
                <w:sz w:val="24"/>
                <w:highlight w:val="none"/>
              </w:rPr>
            </w:pPr>
            <w:r>
              <w:rPr>
                <w:rFonts w:hint="eastAsia" w:ascii="宋体" w:hAnsi="宋体" w:cs="宋体"/>
                <w:sz w:val="24"/>
                <w:highlight w:val="none"/>
              </w:rPr>
              <w:t>投标人（如为联合体，则指施工方）</w:t>
            </w:r>
          </w:p>
          <w:p>
            <w:pPr>
              <w:pStyle w:val="2"/>
              <w:shd w:val="clear" w:color="auto" w:fill="FFFFFF"/>
              <w:spacing w:before="0" w:after="0" w:line="240" w:lineRule="auto"/>
              <w:rPr>
                <w:b w:val="0"/>
                <w:bCs w:val="0"/>
                <w:snapToGrid w:val="0"/>
                <w:color w:val="000000"/>
                <w:kern w:val="2"/>
                <w:sz w:val="24"/>
                <w:szCs w:val="22"/>
                <w:highlight w:val="none"/>
              </w:rPr>
            </w:pPr>
            <w:r>
              <w:rPr>
                <w:rFonts w:hint="eastAsia"/>
                <w:b w:val="0"/>
                <w:bCs w:val="0"/>
                <w:snapToGrid w:val="0"/>
                <w:color w:val="000000"/>
                <w:kern w:val="2"/>
                <w:sz w:val="24"/>
                <w:szCs w:val="22"/>
                <w:highlight w:val="none"/>
              </w:rPr>
              <w:t>1、获得过“高新技术企业”的得2分，本小项最多的2分。</w:t>
            </w:r>
          </w:p>
          <w:p>
            <w:pPr>
              <w:pStyle w:val="2"/>
              <w:shd w:val="clear" w:color="auto" w:fill="FFFFFF"/>
              <w:spacing w:before="0" w:after="0" w:line="240" w:lineRule="auto"/>
              <w:rPr>
                <w:b w:val="0"/>
                <w:bCs w:val="0"/>
                <w:snapToGrid w:val="0"/>
                <w:color w:val="000000"/>
                <w:kern w:val="2"/>
                <w:sz w:val="24"/>
                <w:szCs w:val="22"/>
                <w:highlight w:val="none"/>
              </w:rPr>
            </w:pPr>
            <w:r>
              <w:rPr>
                <w:rFonts w:hint="eastAsia"/>
                <w:b w:val="0"/>
                <w:bCs w:val="0"/>
                <w:snapToGrid w:val="0"/>
                <w:color w:val="000000"/>
                <w:kern w:val="2"/>
                <w:sz w:val="24"/>
                <w:szCs w:val="22"/>
                <w:highlight w:val="none"/>
              </w:rPr>
              <w:t>备注：须提供获奖证书复印件并加盖投标人公章，</w:t>
            </w:r>
            <w:r>
              <w:rPr>
                <w:rFonts w:hint="eastAsia"/>
                <w:sz w:val="24"/>
                <w:highlight w:val="none"/>
              </w:rPr>
              <w:t>原件核查，否则不得分。</w:t>
            </w:r>
          </w:p>
          <w:p>
            <w:pPr>
              <w:pStyle w:val="2"/>
              <w:shd w:val="clear" w:color="auto" w:fill="FFFFFF"/>
              <w:spacing w:before="0" w:after="0" w:line="240" w:lineRule="auto"/>
              <w:rPr>
                <w:b w:val="0"/>
                <w:bCs w:val="0"/>
                <w:snapToGrid w:val="0"/>
                <w:color w:val="000000"/>
                <w:kern w:val="2"/>
                <w:sz w:val="24"/>
                <w:szCs w:val="22"/>
                <w:highlight w:val="none"/>
              </w:rPr>
            </w:pPr>
            <w:r>
              <w:rPr>
                <w:rFonts w:hint="eastAsia"/>
                <w:b w:val="0"/>
                <w:bCs w:val="0"/>
                <w:snapToGrid w:val="0"/>
                <w:color w:val="000000"/>
                <w:kern w:val="2"/>
                <w:sz w:val="24"/>
                <w:szCs w:val="22"/>
                <w:highlight w:val="none"/>
              </w:rPr>
              <w:t>2、纳税信用良好，</w:t>
            </w:r>
            <w:r>
              <w:rPr>
                <w:b w:val="0"/>
                <w:bCs w:val="0"/>
                <w:snapToGrid w:val="0"/>
                <w:color w:val="000000"/>
                <w:kern w:val="2"/>
                <w:sz w:val="24"/>
                <w:szCs w:val="22"/>
                <w:highlight w:val="none"/>
              </w:rPr>
              <w:t>连续</w:t>
            </w:r>
            <w:r>
              <w:rPr>
                <w:rFonts w:hint="eastAsia"/>
                <w:b w:val="0"/>
                <w:bCs w:val="0"/>
                <w:snapToGrid w:val="0"/>
                <w:color w:val="000000"/>
                <w:kern w:val="2"/>
                <w:sz w:val="24"/>
                <w:szCs w:val="22"/>
                <w:highlight w:val="none"/>
              </w:rPr>
              <w:t>3年或以上（含2022年）连续被国家税务部门评定为A 级纳税人的，得4分，</w:t>
            </w:r>
            <w:r>
              <w:rPr>
                <w:b w:val="0"/>
                <w:bCs w:val="0"/>
                <w:snapToGrid w:val="0"/>
                <w:color w:val="000000"/>
                <w:kern w:val="2"/>
                <w:sz w:val="24"/>
                <w:szCs w:val="22"/>
                <w:highlight w:val="none"/>
              </w:rPr>
              <w:t>连续</w:t>
            </w:r>
            <w:r>
              <w:rPr>
                <w:rFonts w:hint="eastAsia"/>
                <w:b w:val="0"/>
                <w:bCs w:val="0"/>
                <w:snapToGrid w:val="0"/>
                <w:color w:val="000000"/>
                <w:kern w:val="2"/>
                <w:sz w:val="24"/>
                <w:szCs w:val="22"/>
                <w:highlight w:val="none"/>
              </w:rPr>
              <w:t>2年获得过（含2022年）被国家税务部门评定为A 级纳税人）的，得2分，获得过（含2022年）被国家税务部门评定为A 级纳税人）的，得1分。没有的不得分。本小项最多得4分。</w:t>
            </w:r>
          </w:p>
          <w:p>
            <w:pPr>
              <w:rPr>
                <w:rFonts w:ascii="宋体" w:hAnsi="宋体" w:cs="宋体"/>
                <w:b/>
                <w:sz w:val="24"/>
                <w:highlight w:val="none"/>
              </w:rPr>
            </w:pPr>
            <w:r>
              <w:rPr>
                <w:rFonts w:hint="eastAsia" w:ascii="宋体" w:hAnsi="宋体" w:cs="宋体"/>
                <w:b/>
                <w:bCs/>
                <w:sz w:val="24"/>
                <w:highlight w:val="none"/>
              </w:rPr>
              <w:t>备注：须提供获奖证书或相关证明资料（官网截图）复印件并加盖投标人公章。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08" w:type="dxa"/>
            <w:gridSpan w:val="2"/>
            <w:vMerge w:val="continue"/>
            <w:vAlign w:val="center"/>
          </w:tcPr>
          <w:p>
            <w:pPr>
              <w:spacing w:line="440" w:lineRule="exact"/>
              <w:jc w:val="center"/>
              <w:rPr>
                <w:rFonts w:ascii="宋体" w:hAnsi="宋体" w:cs="宋体"/>
                <w:sz w:val="24"/>
                <w:highlight w:val="none"/>
              </w:rPr>
            </w:pPr>
          </w:p>
        </w:tc>
        <w:tc>
          <w:tcPr>
            <w:tcW w:w="1935" w:type="dxa"/>
            <w:vAlign w:val="center"/>
          </w:tcPr>
          <w:p>
            <w:pPr>
              <w:spacing w:line="360" w:lineRule="auto"/>
              <w:jc w:val="center"/>
              <w:rPr>
                <w:rFonts w:ascii="宋体" w:hAnsi="宋体" w:cs="宋体"/>
                <w:sz w:val="24"/>
                <w:highlight w:val="none"/>
                <w:shd w:val="clear" w:color="FFFFFF" w:fill="FFFFFF"/>
              </w:rPr>
            </w:pPr>
            <w:r>
              <w:rPr>
                <w:rFonts w:ascii="宋体" w:hAnsi="宋体" w:cs="宋体"/>
                <w:sz w:val="24"/>
                <w:highlight w:val="none"/>
              </w:rPr>
              <w:t>（</w:t>
            </w:r>
            <w:r>
              <w:rPr>
                <w:rFonts w:hint="eastAsia" w:ascii="宋体" w:hAnsi="宋体" w:cs="宋体"/>
                <w:sz w:val="24"/>
                <w:highlight w:val="none"/>
              </w:rPr>
              <w:t>施工方</w:t>
            </w:r>
            <w:r>
              <w:rPr>
                <w:rFonts w:ascii="宋体" w:hAnsi="宋体" w:cs="宋体"/>
                <w:sz w:val="24"/>
                <w:highlight w:val="none"/>
              </w:rPr>
              <w:t>）</w:t>
            </w:r>
            <w:r>
              <w:rPr>
                <w:rFonts w:hint="eastAsia" w:ascii="宋体" w:hAnsi="宋体" w:cs="宋体"/>
                <w:sz w:val="24"/>
                <w:highlight w:val="none"/>
              </w:rPr>
              <w:t>人员配备及技术水平（7分）</w:t>
            </w:r>
          </w:p>
        </w:tc>
        <w:tc>
          <w:tcPr>
            <w:tcW w:w="6545" w:type="dxa"/>
            <w:vAlign w:val="center"/>
          </w:tcPr>
          <w:p>
            <w:pPr>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、施工负责人能力：</w:t>
            </w:r>
          </w:p>
          <w:p>
            <w:pPr>
              <w:rPr>
                <w:rFonts w:ascii="宋体" w:hAnsi="宋体" w:cs="宋体"/>
                <w:sz w:val="24"/>
                <w:highlight w:val="none"/>
              </w:rPr>
            </w:pPr>
            <w:r>
              <w:rPr>
                <w:rFonts w:hint="eastAsia" w:ascii="宋体" w:hAnsi="宋体" w:cs="宋体"/>
                <w:sz w:val="24"/>
                <w:highlight w:val="none"/>
              </w:rPr>
              <w:t>具备高级工程师或以上职称得</w:t>
            </w:r>
            <w:r>
              <w:rPr>
                <w:rFonts w:ascii="宋体" w:hAnsi="宋体" w:cs="宋体"/>
                <w:sz w:val="24"/>
                <w:highlight w:val="none"/>
              </w:rPr>
              <w:t xml:space="preserve"> </w:t>
            </w:r>
            <w:r>
              <w:rPr>
                <w:rFonts w:hint="eastAsia" w:ascii="宋体" w:hAnsi="宋体" w:cs="宋体"/>
                <w:sz w:val="24"/>
                <w:highlight w:val="none"/>
              </w:rPr>
              <w:t>3</w:t>
            </w:r>
            <w:r>
              <w:rPr>
                <w:rFonts w:ascii="宋体" w:hAnsi="宋体" w:cs="宋体"/>
                <w:sz w:val="24"/>
                <w:highlight w:val="none"/>
              </w:rPr>
              <w:t xml:space="preserve"> </w:t>
            </w:r>
            <w:r>
              <w:rPr>
                <w:rFonts w:hint="eastAsia" w:ascii="宋体" w:hAnsi="宋体" w:cs="宋体"/>
                <w:sz w:val="24"/>
                <w:highlight w:val="none"/>
              </w:rPr>
              <w:t>分；具备中级工程师职称得</w:t>
            </w:r>
            <w:r>
              <w:rPr>
                <w:rFonts w:ascii="宋体" w:hAnsi="宋体" w:cs="宋体"/>
                <w:sz w:val="24"/>
                <w:highlight w:val="none"/>
              </w:rPr>
              <w:t xml:space="preserve"> </w:t>
            </w:r>
            <w:r>
              <w:rPr>
                <w:rFonts w:hint="eastAsia" w:ascii="宋体" w:hAnsi="宋体" w:cs="宋体"/>
                <w:sz w:val="24"/>
                <w:highlight w:val="none"/>
              </w:rPr>
              <w:t>1</w:t>
            </w:r>
            <w:r>
              <w:rPr>
                <w:rFonts w:ascii="宋体" w:hAnsi="宋体" w:cs="宋体"/>
                <w:sz w:val="24"/>
                <w:highlight w:val="none"/>
              </w:rPr>
              <w:t xml:space="preserve"> </w:t>
            </w:r>
            <w:r>
              <w:rPr>
                <w:rFonts w:hint="eastAsia" w:ascii="宋体" w:hAnsi="宋体" w:cs="宋体"/>
                <w:sz w:val="24"/>
                <w:highlight w:val="none"/>
              </w:rPr>
              <w:t>分；本小项最多得3分。</w:t>
            </w:r>
          </w:p>
          <w:p>
            <w:pPr>
              <w:pStyle w:val="2"/>
              <w:shd w:val="clear" w:color="auto" w:fill="FFFFFF"/>
              <w:spacing w:before="0" w:after="0" w:line="240" w:lineRule="auto"/>
              <w:rPr>
                <w:sz w:val="24"/>
                <w:highlight w:val="none"/>
              </w:rPr>
            </w:pPr>
            <w:r>
              <w:rPr>
                <w:rFonts w:hint="eastAsia"/>
                <w:sz w:val="24"/>
                <w:highlight w:val="none"/>
              </w:rPr>
              <w:t>备注：所提供的投入人员必须为投标单位人员，提供近三个月（</w:t>
            </w:r>
            <w:r>
              <w:rPr>
                <w:sz w:val="24"/>
                <w:highlight w:val="none"/>
              </w:rPr>
              <w:t>20</w:t>
            </w:r>
            <w:r>
              <w:rPr>
                <w:b/>
                <w:bCs/>
                <w:sz w:val="24"/>
                <w:highlight w:val="none"/>
              </w:rPr>
              <w:t>2</w:t>
            </w:r>
            <w:r>
              <w:rPr>
                <w:rFonts w:hint="eastAsia"/>
                <w:b/>
                <w:bCs/>
                <w:sz w:val="24"/>
                <w:highlight w:val="none"/>
              </w:rPr>
              <w:t>3年8月至</w:t>
            </w:r>
            <w:r>
              <w:rPr>
                <w:b/>
                <w:bCs/>
                <w:sz w:val="24"/>
                <w:highlight w:val="none"/>
              </w:rPr>
              <w:t>202</w:t>
            </w:r>
            <w:r>
              <w:rPr>
                <w:rFonts w:hint="eastAsia"/>
                <w:b/>
                <w:bCs/>
                <w:sz w:val="24"/>
                <w:highlight w:val="none"/>
              </w:rPr>
              <w:t>3年10月）在本单位</w:t>
            </w:r>
            <w:r>
              <w:rPr>
                <w:rFonts w:hint="eastAsia" w:ascii="宋体" w:hAnsi="宋体" w:cs="宋体"/>
                <w:b/>
                <w:bCs/>
                <w:kern w:val="2"/>
                <w:sz w:val="24"/>
                <w:szCs w:val="24"/>
                <w:highlight w:val="none"/>
              </w:rPr>
              <w:t>（或其分支机构）缴纳</w:t>
            </w:r>
            <w:r>
              <w:rPr>
                <w:rFonts w:hint="eastAsia"/>
                <w:b/>
                <w:bCs/>
                <w:sz w:val="24"/>
                <w:highlight w:val="none"/>
              </w:rPr>
              <w:t>的盖有社保管理机构章（或电子章）的养老保险证明复印件，提供人员职称证复印件，</w:t>
            </w:r>
            <w:r>
              <w:rPr>
                <w:rFonts w:hint="eastAsia"/>
                <w:sz w:val="24"/>
                <w:highlight w:val="none"/>
              </w:rPr>
              <w:t>原件核查，否则不得分。</w:t>
            </w:r>
          </w:p>
          <w:p>
            <w:pPr>
              <w:rPr>
                <w:rFonts w:ascii="宋体" w:hAnsi="宋体" w:cs="宋体"/>
                <w:sz w:val="24"/>
                <w:highlight w:val="none"/>
              </w:rPr>
            </w:pPr>
            <w:r>
              <w:rPr>
                <w:rFonts w:hint="eastAsia" w:ascii="宋体" w:hAnsi="宋体" w:cs="宋体"/>
                <w:sz w:val="24"/>
                <w:highlight w:val="none"/>
              </w:rPr>
              <w:t>2、各施工管理人员能力：</w:t>
            </w:r>
          </w:p>
          <w:p>
            <w:pPr>
              <w:rPr>
                <w:rFonts w:ascii="宋体" w:hAnsi="宋体" w:cs="宋体"/>
                <w:sz w:val="24"/>
                <w:highlight w:val="none"/>
              </w:rPr>
            </w:pPr>
            <w:r>
              <w:rPr>
                <w:rFonts w:hint="eastAsia" w:ascii="宋体" w:hAnsi="宋体" w:cs="宋体"/>
                <w:sz w:val="24"/>
                <w:highlight w:val="none"/>
              </w:rPr>
              <w:t>各各施工管理人员：市政施工员、安全员、市政质量员、资料员、标准员、劳务员、造价、风景园林。</w:t>
            </w:r>
          </w:p>
          <w:p>
            <w:pPr>
              <w:rPr>
                <w:rFonts w:ascii="宋体" w:hAnsi="宋体" w:cs="宋体"/>
                <w:sz w:val="24"/>
                <w:highlight w:val="none"/>
              </w:rPr>
            </w:pPr>
            <w:r>
              <w:rPr>
                <w:rFonts w:hint="eastAsia" w:ascii="宋体" w:hAnsi="宋体" w:cs="宋体"/>
                <w:sz w:val="24"/>
                <w:highlight w:val="none"/>
              </w:rPr>
              <w:t>上述各施工管理人员全部人员齐备同时具有职称为中级工程师或以上职称的得4分，具有职称为初级工程师的得2分，不满足的不得分。</w:t>
            </w:r>
          </w:p>
          <w:p>
            <w:pPr>
              <w:pStyle w:val="2"/>
              <w:shd w:val="clear" w:color="auto" w:fill="FFFFFF"/>
              <w:spacing w:before="0" w:after="0" w:line="240" w:lineRule="auto"/>
              <w:rPr>
                <w:rFonts w:ascii="宋体" w:hAnsi="宋体" w:cs="宋体"/>
                <w:sz w:val="24"/>
                <w:szCs w:val="24"/>
                <w:highlight w:val="none"/>
                <w:shd w:val="clear" w:color="FFFFFF" w:fill="FFFFFF"/>
              </w:rPr>
            </w:pPr>
            <w:r>
              <w:rPr>
                <w:rFonts w:hint="eastAsia"/>
                <w:sz w:val="24"/>
                <w:highlight w:val="none"/>
              </w:rPr>
              <w:t>备注：所提供的投入人员必须为投标单位人员，提供近三个月（</w:t>
            </w:r>
            <w:r>
              <w:rPr>
                <w:sz w:val="24"/>
                <w:highlight w:val="none"/>
              </w:rPr>
              <w:t>202</w:t>
            </w:r>
            <w:r>
              <w:rPr>
                <w:rFonts w:hint="eastAsia"/>
                <w:sz w:val="24"/>
                <w:highlight w:val="none"/>
              </w:rPr>
              <w:t>3年8月至</w:t>
            </w:r>
            <w:r>
              <w:rPr>
                <w:sz w:val="24"/>
                <w:highlight w:val="none"/>
              </w:rPr>
              <w:t>202</w:t>
            </w:r>
            <w:r>
              <w:rPr>
                <w:rFonts w:hint="eastAsia"/>
                <w:sz w:val="24"/>
                <w:highlight w:val="none"/>
              </w:rPr>
              <w:t>3年10月）在本单位</w:t>
            </w:r>
            <w:r>
              <w:rPr>
                <w:rFonts w:hint="eastAsia" w:ascii="宋体" w:hAnsi="宋体" w:cs="宋体"/>
                <w:b w:val="0"/>
                <w:bCs w:val="0"/>
                <w:kern w:val="2"/>
                <w:sz w:val="24"/>
                <w:szCs w:val="24"/>
                <w:highlight w:val="none"/>
              </w:rPr>
              <w:t>（或其分支机构）</w:t>
            </w:r>
            <w:r>
              <w:rPr>
                <w:rFonts w:hint="eastAsia"/>
                <w:sz w:val="24"/>
                <w:highlight w:val="none"/>
              </w:rPr>
              <w:t>缴纳的盖有社保管理机构章（或电子章）的养老保险证明复印件，提供人员职称证等相关证明材料复印件。施工负责人与各施工管理人员</w:t>
            </w:r>
            <w:r>
              <w:rPr>
                <w:rFonts w:hint="eastAsia"/>
                <w:kern w:val="2"/>
                <w:sz w:val="24"/>
                <w:highlight w:val="none"/>
              </w:rPr>
              <w:t>为同一人，</w:t>
            </w:r>
            <w:r>
              <w:rPr>
                <w:rFonts w:hint="eastAsia"/>
                <w:sz w:val="24"/>
                <w:highlight w:val="none"/>
              </w:rPr>
              <w:t>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08" w:type="dxa"/>
            <w:gridSpan w:val="2"/>
            <w:vMerge w:val="continue"/>
            <w:vAlign w:val="center"/>
          </w:tcPr>
          <w:p>
            <w:pPr>
              <w:spacing w:line="440" w:lineRule="exact"/>
              <w:jc w:val="center"/>
              <w:rPr>
                <w:rFonts w:ascii="宋体" w:hAnsi="宋体" w:cs="宋体"/>
                <w:sz w:val="24"/>
                <w:highlight w:val="none"/>
              </w:rPr>
            </w:pPr>
          </w:p>
        </w:tc>
        <w:tc>
          <w:tcPr>
            <w:tcW w:w="1935" w:type="dxa"/>
            <w:vAlign w:val="center"/>
          </w:tcPr>
          <w:p>
            <w:pPr>
              <w:spacing w:line="360" w:lineRule="auto"/>
              <w:jc w:val="center"/>
              <w:rPr>
                <w:rFonts w:ascii="宋体" w:hAnsi="宋体" w:cs="宋体"/>
                <w:sz w:val="24"/>
                <w:highlight w:val="none"/>
              </w:rPr>
            </w:pPr>
            <w:r>
              <w:rPr>
                <w:rFonts w:ascii="宋体" w:hAnsi="宋体" w:cs="宋体"/>
                <w:sz w:val="24"/>
                <w:highlight w:val="none"/>
              </w:rPr>
              <w:t>（</w:t>
            </w:r>
            <w:r>
              <w:rPr>
                <w:rFonts w:hint="eastAsia" w:ascii="宋体" w:hAnsi="宋体" w:cs="宋体"/>
                <w:sz w:val="24"/>
                <w:highlight w:val="none"/>
              </w:rPr>
              <w:t>施工方</w:t>
            </w:r>
            <w:r>
              <w:rPr>
                <w:rFonts w:ascii="宋体" w:hAnsi="宋体" w:cs="宋体"/>
                <w:sz w:val="24"/>
                <w:highlight w:val="none"/>
              </w:rPr>
              <w:t>）</w:t>
            </w:r>
            <w:r>
              <w:rPr>
                <w:rFonts w:hint="eastAsia" w:ascii="宋体" w:hAnsi="宋体" w:cs="宋体"/>
                <w:sz w:val="24"/>
                <w:highlight w:val="none"/>
              </w:rPr>
              <w:t>企业类似业绩</w:t>
            </w:r>
          </w:p>
          <w:p>
            <w:pPr>
              <w:spacing w:line="360" w:lineRule="auto"/>
              <w:jc w:val="center"/>
              <w:rPr>
                <w:rFonts w:ascii="宋体" w:hAnsi="宋体" w:cs="宋体"/>
                <w:sz w:val="24"/>
                <w:highlight w:val="none"/>
                <w:shd w:val="clear" w:color="FFFFFF" w:fill="FFFFFF"/>
              </w:rPr>
            </w:pPr>
            <w:r>
              <w:rPr>
                <w:rFonts w:hint="eastAsia" w:ascii="宋体" w:hAnsi="宋体" w:cs="宋体"/>
                <w:sz w:val="24"/>
                <w:highlight w:val="none"/>
              </w:rPr>
              <w:t>（2分）</w:t>
            </w:r>
          </w:p>
        </w:tc>
        <w:tc>
          <w:tcPr>
            <w:tcW w:w="6545" w:type="dxa"/>
            <w:vAlign w:val="center"/>
          </w:tcPr>
          <w:p>
            <w:pPr>
              <w:rPr>
                <w:rFonts w:ascii="宋体" w:hAnsi="宋体" w:cs="宋体"/>
                <w:sz w:val="24"/>
                <w:highlight w:val="none"/>
              </w:rPr>
            </w:pPr>
            <w:r>
              <w:rPr>
                <w:rFonts w:hint="eastAsia" w:ascii="宋体" w:hAnsi="宋体" w:cs="宋体"/>
                <w:sz w:val="24"/>
                <w:highlight w:val="none"/>
              </w:rPr>
              <w:t>投标人（如为联合体，则指施工方）近</w:t>
            </w:r>
            <w:r>
              <w:rPr>
                <w:rFonts w:ascii="宋体" w:hAnsi="宋体" w:cs="宋体"/>
                <w:sz w:val="24"/>
                <w:highlight w:val="none"/>
              </w:rPr>
              <w:t>3</w:t>
            </w:r>
            <w:r>
              <w:rPr>
                <w:rFonts w:hint="eastAsia" w:ascii="宋体" w:hAnsi="宋体" w:cs="宋体"/>
                <w:sz w:val="24"/>
                <w:highlight w:val="none"/>
              </w:rPr>
              <w:t>年内（指</w:t>
            </w:r>
            <w:r>
              <w:rPr>
                <w:rFonts w:ascii="宋体" w:hAnsi="宋体" w:cs="宋体"/>
                <w:sz w:val="24"/>
                <w:highlight w:val="none"/>
              </w:rPr>
              <w:t>20</w:t>
            </w:r>
            <w:r>
              <w:rPr>
                <w:rFonts w:hint="eastAsia" w:ascii="宋体" w:hAnsi="宋体" w:cs="宋体"/>
                <w:sz w:val="24"/>
                <w:highlight w:val="none"/>
              </w:rPr>
              <w:t>20年至今）承接过设计施工总承包业绩或勘察设计施工总承包业绩或EPC项目业绩的市政项目建安费金额大于7000万元以上的市政施工项目，每项得1分；本小项最多得2分。</w:t>
            </w:r>
          </w:p>
          <w:p>
            <w:pPr>
              <w:pStyle w:val="2"/>
              <w:shd w:val="clear" w:color="auto" w:fill="FFFFFF"/>
              <w:spacing w:before="0" w:after="0" w:line="240" w:lineRule="auto"/>
              <w:rPr>
                <w:rFonts w:ascii="宋体" w:hAnsi="宋体" w:cs="宋体"/>
                <w:sz w:val="24"/>
                <w:szCs w:val="24"/>
                <w:highlight w:val="none"/>
                <w:shd w:val="clear" w:color="FFFFFF" w:fill="FFFFFF"/>
              </w:rPr>
            </w:pPr>
            <w:r>
              <w:rPr>
                <w:rFonts w:hint="eastAsia"/>
                <w:sz w:val="24"/>
                <w:highlight w:val="none"/>
              </w:rPr>
              <w:t>备注：须提供业绩合同和中标通知书复印件并加盖投标人公章。原件核查，否则不得分。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1508" w:type="dxa"/>
            <w:gridSpan w:val="2"/>
            <w:vMerge w:val="restart"/>
            <w:vAlign w:val="center"/>
          </w:tcPr>
          <w:p>
            <w:pPr>
              <w:spacing w:line="440" w:lineRule="exact"/>
              <w:jc w:val="center"/>
              <w:rPr>
                <w:rFonts w:hAnsi="宋体"/>
                <w:sz w:val="24"/>
                <w:highlight w:val="none"/>
              </w:rPr>
            </w:pPr>
            <w:r>
              <w:rPr>
                <w:rFonts w:hint="eastAsia" w:hAnsi="宋体"/>
                <w:sz w:val="24"/>
                <w:highlight w:val="none"/>
              </w:rPr>
              <w:t>2.2.5技术部分评审标准（30分）</w:t>
            </w:r>
          </w:p>
          <w:p>
            <w:pPr>
              <w:spacing w:line="440" w:lineRule="exact"/>
              <w:jc w:val="center"/>
              <w:rPr>
                <w:rFonts w:hAnsi="宋体"/>
                <w:sz w:val="24"/>
                <w:highlight w:val="none"/>
              </w:rPr>
            </w:pPr>
            <w:r>
              <w:rPr>
                <w:rFonts w:hint="eastAsia" w:hAnsi="宋体"/>
                <w:sz w:val="24"/>
                <w:highlight w:val="none"/>
              </w:rPr>
              <w:t xml:space="preserve"> </w:t>
            </w:r>
          </w:p>
        </w:tc>
        <w:tc>
          <w:tcPr>
            <w:tcW w:w="1935" w:type="dxa"/>
            <w:vAlign w:val="center"/>
          </w:tcPr>
          <w:p>
            <w:pPr>
              <w:spacing w:line="360" w:lineRule="auto"/>
              <w:jc w:val="center"/>
              <w:rPr>
                <w:rFonts w:ascii="Arial" w:hAnsi="Arial" w:cs="Arial"/>
                <w:sz w:val="24"/>
                <w:highlight w:val="none"/>
                <w:shd w:val="clear" w:color="FFFFFF" w:fill="FFFFFF"/>
              </w:rPr>
            </w:pPr>
            <w:r>
              <w:rPr>
                <w:rFonts w:ascii="宋体" w:hAnsi="宋体" w:cs="宋体"/>
                <w:sz w:val="24"/>
                <w:highlight w:val="none"/>
              </w:rPr>
              <w:t xml:space="preserve">1 </w:t>
            </w:r>
            <w:r>
              <w:rPr>
                <w:rFonts w:hint="eastAsia" w:ascii="宋体" w:hAnsi="宋体" w:cs="宋体"/>
                <w:sz w:val="24"/>
                <w:highlight w:val="none"/>
              </w:rPr>
              <w:t>.设计总体纲要</w:t>
            </w:r>
            <w:r>
              <w:rPr>
                <w:rFonts w:ascii="宋体" w:hAnsi="宋体" w:cs="宋体"/>
                <w:sz w:val="24"/>
                <w:highlight w:val="none"/>
              </w:rPr>
              <w:t>(</w:t>
            </w:r>
            <w:r>
              <w:rPr>
                <w:rFonts w:hint="eastAsia" w:ascii="宋体" w:hAnsi="宋体" w:cs="宋体"/>
                <w:sz w:val="24"/>
                <w:highlight w:val="none"/>
              </w:rPr>
              <w:t>7</w:t>
            </w:r>
            <w:r>
              <w:rPr>
                <w:rFonts w:ascii="宋体" w:hAnsi="宋体" w:cs="宋体"/>
                <w:sz w:val="24"/>
                <w:highlight w:val="none"/>
              </w:rPr>
              <w:t xml:space="preserve"> </w:t>
            </w:r>
            <w:r>
              <w:rPr>
                <w:rFonts w:hint="eastAsia" w:ascii="宋体" w:hAnsi="宋体" w:cs="宋体"/>
                <w:sz w:val="24"/>
                <w:highlight w:val="none"/>
              </w:rPr>
              <w:t>分</w:t>
            </w:r>
            <w:r>
              <w:rPr>
                <w:rFonts w:ascii="宋体" w:hAnsi="宋体" w:cs="宋体"/>
                <w:sz w:val="24"/>
                <w:highlight w:val="none"/>
              </w:rPr>
              <w:t>)</w:t>
            </w:r>
          </w:p>
        </w:tc>
        <w:tc>
          <w:tcPr>
            <w:tcW w:w="6545" w:type="dxa"/>
            <w:vAlign w:val="center"/>
          </w:tcPr>
          <w:p>
            <w:pPr>
              <w:rPr>
                <w:rFonts w:ascii="宋体" w:hAnsi="宋体" w:cs="宋体"/>
                <w:sz w:val="24"/>
                <w:highlight w:val="none"/>
              </w:rPr>
            </w:pPr>
            <w:r>
              <w:rPr>
                <w:rFonts w:hint="eastAsia" w:ascii="宋体" w:hAnsi="宋体" w:cs="宋体"/>
                <w:sz w:val="24"/>
                <w:highlight w:val="none"/>
              </w:rPr>
              <w:t>设计对项目的理解清晰，对工程建设的重点、难点分析，设计工期计划进度安排合理可行，解决措施合理。</w:t>
            </w:r>
          </w:p>
          <w:p>
            <w:pPr>
              <w:rPr>
                <w:rFonts w:ascii="宋体" w:hAnsi="宋体" w:cs="宋体"/>
                <w:sz w:val="24"/>
                <w:highlight w:val="none"/>
              </w:rPr>
            </w:pPr>
            <w:r>
              <w:rPr>
                <w:rFonts w:hint="eastAsia" w:ascii="宋体" w:hAnsi="宋体" w:cs="宋体"/>
                <w:sz w:val="24"/>
                <w:highlight w:val="none"/>
              </w:rPr>
              <w:t>【优】得</w:t>
            </w:r>
            <w:r>
              <w:rPr>
                <w:rFonts w:ascii="宋体" w:hAnsi="宋体" w:cs="宋体"/>
                <w:sz w:val="24"/>
                <w:highlight w:val="none"/>
              </w:rPr>
              <w:t xml:space="preserve"> </w:t>
            </w:r>
            <w:r>
              <w:rPr>
                <w:rFonts w:hint="eastAsia" w:ascii="宋体" w:hAnsi="宋体" w:cs="宋体"/>
                <w:sz w:val="24"/>
                <w:highlight w:val="none"/>
              </w:rPr>
              <w:t>7</w:t>
            </w:r>
            <w:r>
              <w:rPr>
                <w:rFonts w:ascii="宋体" w:hAnsi="宋体" w:cs="宋体"/>
                <w:sz w:val="24"/>
                <w:highlight w:val="none"/>
              </w:rPr>
              <w:t xml:space="preserve"> </w:t>
            </w:r>
            <w:r>
              <w:rPr>
                <w:rFonts w:hint="eastAsia" w:ascii="宋体" w:hAnsi="宋体" w:cs="宋体"/>
                <w:sz w:val="24"/>
                <w:highlight w:val="none"/>
              </w:rPr>
              <w:t>分；</w:t>
            </w:r>
          </w:p>
          <w:p>
            <w:pPr>
              <w:rPr>
                <w:rFonts w:ascii="宋体" w:hAnsi="宋体" w:cs="宋体"/>
                <w:sz w:val="24"/>
                <w:highlight w:val="none"/>
              </w:rPr>
            </w:pPr>
            <w:r>
              <w:rPr>
                <w:rFonts w:hint="eastAsia" w:ascii="宋体" w:hAnsi="宋体" w:cs="宋体"/>
                <w:sz w:val="24"/>
                <w:highlight w:val="none"/>
              </w:rPr>
              <w:t>【良】得</w:t>
            </w: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 xml:space="preserve">.9 </w:t>
            </w:r>
            <w:r>
              <w:rPr>
                <w:rFonts w:hint="eastAsia" w:ascii="宋体" w:hAnsi="宋体" w:cs="宋体"/>
                <w:sz w:val="24"/>
                <w:highlight w:val="none"/>
              </w:rPr>
              <w:t>分；</w:t>
            </w:r>
          </w:p>
          <w:p>
            <w:pPr>
              <w:rPr>
                <w:rFonts w:ascii="宋体" w:hAnsi="宋体" w:cs="宋体"/>
                <w:sz w:val="24"/>
                <w:highlight w:val="none"/>
              </w:rPr>
            </w:pPr>
            <w:r>
              <w:rPr>
                <w:rFonts w:hint="eastAsia" w:ascii="宋体" w:hAnsi="宋体" w:cs="宋体"/>
                <w:sz w:val="24"/>
                <w:highlight w:val="none"/>
              </w:rPr>
              <w:t>【合格】得</w:t>
            </w: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 xml:space="preserve">.8 </w:t>
            </w:r>
            <w:r>
              <w:rPr>
                <w:rFonts w:hint="eastAsia" w:ascii="宋体" w:hAnsi="宋体" w:cs="宋体"/>
                <w:sz w:val="24"/>
                <w:highlight w:val="none"/>
              </w:rPr>
              <w:t>分。</w:t>
            </w:r>
          </w:p>
          <w:p>
            <w:pPr>
              <w:rPr>
                <w:sz w:val="24"/>
                <w:highlight w:val="none"/>
              </w:rPr>
            </w:pPr>
            <w:r>
              <w:rPr>
                <w:rFonts w:hint="eastAsia" w:ascii="宋体" w:hAnsi="宋体" w:cs="宋体"/>
                <w:sz w:val="24"/>
                <w:highlight w:val="none"/>
              </w:rPr>
              <w:t>【差】无内容不得分。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508" w:type="dxa"/>
            <w:gridSpan w:val="2"/>
            <w:vMerge w:val="continue"/>
            <w:vAlign w:val="center"/>
          </w:tcPr>
          <w:p>
            <w:pPr>
              <w:spacing w:line="440" w:lineRule="exact"/>
              <w:jc w:val="center"/>
              <w:rPr>
                <w:rFonts w:hAnsi="宋体"/>
                <w:sz w:val="24"/>
                <w:highlight w:val="none"/>
              </w:rPr>
            </w:pPr>
          </w:p>
        </w:tc>
        <w:tc>
          <w:tcPr>
            <w:tcW w:w="1935" w:type="dxa"/>
            <w:vAlign w:val="center"/>
          </w:tcPr>
          <w:p>
            <w:pPr>
              <w:numPr>
                <w:ilvl w:val="0"/>
                <w:numId w:val="4"/>
              </w:numPr>
              <w:spacing w:line="360" w:lineRule="auto"/>
              <w:jc w:val="center"/>
              <w:rPr>
                <w:rFonts w:ascii="宋体" w:hAnsi="宋体" w:cs="宋体"/>
                <w:sz w:val="24"/>
                <w:highlight w:val="none"/>
              </w:rPr>
            </w:pPr>
            <w:r>
              <w:rPr>
                <w:rFonts w:hint="eastAsia" w:ascii="宋体" w:hAnsi="宋体" w:cs="宋体"/>
                <w:sz w:val="24"/>
                <w:highlight w:val="none"/>
              </w:rPr>
              <w:t>设计方案</w:t>
            </w:r>
          </w:p>
          <w:p>
            <w:pPr>
              <w:spacing w:line="360" w:lineRule="auto"/>
              <w:jc w:val="center"/>
              <w:rPr>
                <w:rFonts w:ascii="宋体" w:hAnsi="宋体" w:cs="宋体"/>
                <w:sz w:val="24"/>
                <w:highlight w:val="none"/>
              </w:rPr>
            </w:pPr>
            <w:r>
              <w:rPr>
                <w:rFonts w:ascii="宋体" w:hAnsi="宋体" w:cs="宋体"/>
                <w:sz w:val="24"/>
                <w:highlight w:val="none"/>
              </w:rPr>
              <w:t>(</w:t>
            </w:r>
            <w:r>
              <w:rPr>
                <w:rFonts w:hint="eastAsia" w:ascii="宋体" w:hAnsi="宋体" w:cs="宋体"/>
                <w:sz w:val="24"/>
                <w:highlight w:val="none"/>
              </w:rPr>
              <w:t>7</w:t>
            </w:r>
            <w:r>
              <w:rPr>
                <w:rFonts w:ascii="宋体" w:hAnsi="宋体" w:cs="宋体"/>
                <w:sz w:val="24"/>
                <w:highlight w:val="none"/>
              </w:rPr>
              <w:t xml:space="preserve"> </w:t>
            </w:r>
            <w:r>
              <w:rPr>
                <w:rFonts w:hint="eastAsia" w:ascii="宋体" w:hAnsi="宋体" w:cs="宋体"/>
                <w:sz w:val="24"/>
                <w:highlight w:val="none"/>
              </w:rPr>
              <w:t>分</w:t>
            </w:r>
            <w:r>
              <w:rPr>
                <w:rFonts w:ascii="宋体" w:hAnsi="宋体" w:cs="宋体"/>
                <w:sz w:val="24"/>
                <w:highlight w:val="none"/>
              </w:rPr>
              <w:t>)</w:t>
            </w:r>
          </w:p>
        </w:tc>
        <w:tc>
          <w:tcPr>
            <w:tcW w:w="6545" w:type="dxa"/>
            <w:vAlign w:val="center"/>
          </w:tcPr>
          <w:p>
            <w:pPr>
              <w:spacing w:line="276" w:lineRule="auto"/>
              <w:rPr>
                <w:rFonts w:ascii="宋体" w:hAnsi="宋体" w:cs="宋体"/>
                <w:sz w:val="24"/>
                <w:highlight w:val="none"/>
              </w:rPr>
            </w:pPr>
            <w:r>
              <w:rPr>
                <w:rFonts w:hint="eastAsia" w:ascii="宋体" w:hAnsi="宋体" w:cs="宋体"/>
                <w:sz w:val="24"/>
                <w:highlight w:val="none"/>
              </w:rPr>
              <w:t>对本项目设计图纸、总体规划布局科学合理性、可行性，并对本项目提出合理的建设方案的可操作性</w:t>
            </w:r>
            <w:r>
              <w:rPr>
                <w:rFonts w:ascii="宋体" w:hAnsi="宋体" w:cs="宋体"/>
                <w:sz w:val="24"/>
                <w:highlight w:val="none"/>
              </w:rPr>
              <w:t>,</w:t>
            </w:r>
            <w:r>
              <w:rPr>
                <w:rFonts w:hint="eastAsia" w:ascii="宋体" w:hAnsi="宋体" w:cs="宋体"/>
                <w:sz w:val="24"/>
                <w:highlight w:val="none"/>
              </w:rPr>
              <w:t>设计跟踪服务方案到位，对后续服务安排及保证措施承诺可行可信程度。</w:t>
            </w:r>
          </w:p>
          <w:p>
            <w:pPr>
              <w:spacing w:line="276" w:lineRule="auto"/>
              <w:rPr>
                <w:rFonts w:ascii="宋体" w:hAnsi="宋体" w:cs="宋体"/>
                <w:sz w:val="24"/>
                <w:highlight w:val="none"/>
              </w:rPr>
            </w:pPr>
            <w:r>
              <w:rPr>
                <w:rFonts w:hint="eastAsia" w:ascii="宋体" w:hAnsi="宋体" w:cs="宋体"/>
                <w:sz w:val="24"/>
                <w:highlight w:val="none"/>
              </w:rPr>
              <w:t>【优】得</w:t>
            </w:r>
            <w:r>
              <w:rPr>
                <w:rFonts w:ascii="宋体" w:hAnsi="宋体" w:cs="宋体"/>
                <w:sz w:val="24"/>
                <w:highlight w:val="none"/>
              </w:rPr>
              <w:t xml:space="preserve"> </w:t>
            </w:r>
            <w:r>
              <w:rPr>
                <w:rFonts w:hint="eastAsia" w:ascii="宋体" w:hAnsi="宋体" w:cs="宋体"/>
                <w:sz w:val="24"/>
                <w:highlight w:val="none"/>
              </w:rPr>
              <w:t>7</w:t>
            </w:r>
            <w:r>
              <w:rPr>
                <w:rFonts w:ascii="宋体" w:hAnsi="宋体" w:cs="宋体"/>
                <w:sz w:val="24"/>
                <w:highlight w:val="none"/>
              </w:rPr>
              <w:t xml:space="preserve"> </w:t>
            </w:r>
            <w:r>
              <w:rPr>
                <w:rFonts w:hint="eastAsia" w:ascii="宋体" w:hAnsi="宋体" w:cs="宋体"/>
                <w:sz w:val="24"/>
                <w:highlight w:val="none"/>
              </w:rPr>
              <w:t>分；</w:t>
            </w:r>
          </w:p>
          <w:p>
            <w:pPr>
              <w:spacing w:line="276" w:lineRule="auto"/>
              <w:rPr>
                <w:rFonts w:ascii="宋体" w:hAnsi="宋体" w:cs="宋体"/>
                <w:sz w:val="24"/>
                <w:highlight w:val="none"/>
              </w:rPr>
            </w:pPr>
            <w:r>
              <w:rPr>
                <w:rFonts w:hint="eastAsia" w:ascii="宋体" w:hAnsi="宋体" w:cs="宋体"/>
                <w:sz w:val="24"/>
                <w:highlight w:val="none"/>
              </w:rPr>
              <w:t>【良】得</w:t>
            </w: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 xml:space="preserve">.9 </w:t>
            </w:r>
            <w:r>
              <w:rPr>
                <w:rFonts w:hint="eastAsia" w:ascii="宋体" w:hAnsi="宋体" w:cs="宋体"/>
                <w:sz w:val="24"/>
                <w:highlight w:val="none"/>
              </w:rPr>
              <w:t>分；</w:t>
            </w:r>
          </w:p>
          <w:p>
            <w:pPr>
              <w:spacing w:line="276" w:lineRule="auto"/>
              <w:rPr>
                <w:rFonts w:ascii="宋体" w:hAnsi="宋体" w:cs="宋体"/>
                <w:sz w:val="24"/>
                <w:highlight w:val="none"/>
              </w:rPr>
            </w:pPr>
            <w:r>
              <w:rPr>
                <w:rFonts w:hint="eastAsia" w:ascii="宋体" w:hAnsi="宋体" w:cs="宋体"/>
                <w:sz w:val="24"/>
                <w:highlight w:val="none"/>
              </w:rPr>
              <w:t>【合格】得</w:t>
            </w: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 xml:space="preserve">.8 </w:t>
            </w:r>
            <w:r>
              <w:rPr>
                <w:rFonts w:hint="eastAsia" w:ascii="宋体" w:hAnsi="宋体" w:cs="宋体"/>
                <w:sz w:val="24"/>
                <w:highlight w:val="none"/>
              </w:rPr>
              <w:t>分。</w:t>
            </w:r>
          </w:p>
          <w:p>
            <w:pPr>
              <w:spacing w:line="288" w:lineRule="auto"/>
              <w:rPr>
                <w:rFonts w:ascii="宋体" w:hAnsi="宋体" w:cs="宋体"/>
                <w:sz w:val="24"/>
                <w:highlight w:val="none"/>
              </w:rPr>
            </w:pPr>
            <w:r>
              <w:rPr>
                <w:rFonts w:hint="eastAsia" w:ascii="宋体" w:hAnsi="宋体" w:cs="宋体"/>
                <w:sz w:val="24"/>
                <w:highlight w:val="none"/>
              </w:rPr>
              <w:t>【差】无内容不得分。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508" w:type="dxa"/>
            <w:gridSpan w:val="2"/>
            <w:vMerge w:val="continue"/>
            <w:vAlign w:val="center"/>
          </w:tcPr>
          <w:p>
            <w:pPr>
              <w:spacing w:line="440" w:lineRule="exact"/>
              <w:jc w:val="center"/>
              <w:rPr>
                <w:rFonts w:hAnsi="宋体"/>
                <w:sz w:val="24"/>
                <w:highlight w:val="none"/>
              </w:rPr>
            </w:pPr>
          </w:p>
        </w:tc>
        <w:tc>
          <w:tcPr>
            <w:tcW w:w="1935" w:type="dxa"/>
            <w:vAlign w:val="center"/>
          </w:tcPr>
          <w:p>
            <w:pPr>
              <w:numPr>
                <w:ilvl w:val="0"/>
                <w:numId w:val="4"/>
              </w:numPr>
              <w:spacing w:line="360" w:lineRule="auto"/>
              <w:jc w:val="center"/>
              <w:rPr>
                <w:rFonts w:ascii="宋体" w:hAnsi="宋体" w:cs="宋体"/>
                <w:sz w:val="24"/>
                <w:highlight w:val="none"/>
              </w:rPr>
            </w:pPr>
            <w:r>
              <w:rPr>
                <w:rFonts w:hint="eastAsia" w:ascii="宋体" w:hAnsi="宋体" w:cs="宋体"/>
                <w:sz w:val="24"/>
                <w:highlight w:val="none"/>
              </w:rPr>
              <w:t>施工组织设计内容完整性</w:t>
            </w:r>
          </w:p>
          <w:p>
            <w:pPr>
              <w:spacing w:line="360" w:lineRule="auto"/>
              <w:jc w:val="center"/>
              <w:rPr>
                <w:rFonts w:ascii="宋体" w:hAnsi="宋体" w:cs="宋体"/>
                <w:sz w:val="24"/>
                <w:highlight w:val="none"/>
              </w:rPr>
            </w:pPr>
            <w:r>
              <w:rPr>
                <w:rFonts w:ascii="宋体" w:hAnsi="宋体" w:cs="宋体"/>
                <w:sz w:val="24"/>
                <w:highlight w:val="none"/>
              </w:rPr>
              <w:t>(</w:t>
            </w:r>
            <w:r>
              <w:rPr>
                <w:rFonts w:hint="eastAsia" w:ascii="宋体" w:hAnsi="宋体" w:cs="宋体"/>
                <w:sz w:val="24"/>
                <w:highlight w:val="none"/>
              </w:rPr>
              <w:t>7</w:t>
            </w:r>
            <w:r>
              <w:rPr>
                <w:rFonts w:ascii="宋体" w:hAnsi="宋体" w:cs="宋体"/>
                <w:sz w:val="24"/>
                <w:highlight w:val="none"/>
              </w:rPr>
              <w:t xml:space="preserve"> </w:t>
            </w:r>
            <w:r>
              <w:rPr>
                <w:rFonts w:hint="eastAsia" w:ascii="宋体" w:hAnsi="宋体" w:cs="宋体"/>
                <w:sz w:val="24"/>
                <w:highlight w:val="none"/>
              </w:rPr>
              <w:t>分</w:t>
            </w:r>
            <w:r>
              <w:rPr>
                <w:rFonts w:ascii="宋体" w:hAnsi="宋体" w:cs="宋体"/>
                <w:sz w:val="24"/>
                <w:highlight w:val="none"/>
              </w:rPr>
              <w:t>)</w:t>
            </w:r>
          </w:p>
        </w:tc>
        <w:tc>
          <w:tcPr>
            <w:tcW w:w="6545" w:type="dxa"/>
            <w:vAlign w:val="center"/>
          </w:tcPr>
          <w:p>
            <w:pPr>
              <w:spacing w:line="276" w:lineRule="auto"/>
              <w:rPr>
                <w:rFonts w:ascii="宋体" w:hAnsi="宋体" w:cs="宋体"/>
                <w:sz w:val="24"/>
                <w:highlight w:val="none"/>
              </w:rPr>
            </w:pPr>
            <w:r>
              <w:rPr>
                <w:rFonts w:hint="eastAsia" w:ascii="宋体" w:hAnsi="宋体" w:cs="宋体"/>
                <w:sz w:val="24"/>
                <w:highlight w:val="none"/>
              </w:rPr>
              <w:t>对本项目施工组织设计内容完整、详实、编排，对项目总体认识程度，表述清晰、完整、严谨、合理程度，措施先进、具体、有效、成熟程度。施工段划分呼应总体表述，划分清晰、合理程度，符合规范要求。</w:t>
            </w:r>
          </w:p>
          <w:p>
            <w:pPr>
              <w:spacing w:line="276" w:lineRule="auto"/>
              <w:rPr>
                <w:rFonts w:ascii="宋体" w:hAnsi="宋体" w:cs="宋体"/>
                <w:sz w:val="24"/>
                <w:highlight w:val="none"/>
              </w:rPr>
            </w:pPr>
            <w:r>
              <w:rPr>
                <w:rFonts w:hint="eastAsia" w:ascii="宋体" w:hAnsi="宋体" w:cs="宋体"/>
                <w:sz w:val="24"/>
                <w:highlight w:val="none"/>
              </w:rPr>
              <w:t>【优】得</w:t>
            </w:r>
            <w:r>
              <w:rPr>
                <w:rFonts w:ascii="宋体" w:hAnsi="宋体" w:cs="宋体"/>
                <w:sz w:val="24"/>
                <w:highlight w:val="none"/>
              </w:rPr>
              <w:t xml:space="preserve"> </w:t>
            </w:r>
            <w:r>
              <w:rPr>
                <w:rFonts w:hint="eastAsia" w:ascii="宋体" w:hAnsi="宋体" w:cs="宋体"/>
                <w:sz w:val="24"/>
                <w:highlight w:val="none"/>
              </w:rPr>
              <w:t>7</w:t>
            </w:r>
            <w:r>
              <w:rPr>
                <w:rFonts w:ascii="宋体" w:hAnsi="宋体" w:cs="宋体"/>
                <w:sz w:val="24"/>
                <w:highlight w:val="none"/>
              </w:rPr>
              <w:t xml:space="preserve"> </w:t>
            </w:r>
            <w:r>
              <w:rPr>
                <w:rFonts w:hint="eastAsia" w:ascii="宋体" w:hAnsi="宋体" w:cs="宋体"/>
                <w:sz w:val="24"/>
                <w:highlight w:val="none"/>
              </w:rPr>
              <w:t>分；</w:t>
            </w:r>
          </w:p>
          <w:p>
            <w:pPr>
              <w:spacing w:line="276" w:lineRule="auto"/>
              <w:rPr>
                <w:rFonts w:ascii="宋体" w:hAnsi="宋体" w:cs="宋体"/>
                <w:sz w:val="24"/>
                <w:highlight w:val="none"/>
              </w:rPr>
            </w:pPr>
            <w:r>
              <w:rPr>
                <w:rFonts w:hint="eastAsia" w:ascii="宋体" w:hAnsi="宋体" w:cs="宋体"/>
                <w:sz w:val="24"/>
                <w:highlight w:val="none"/>
              </w:rPr>
              <w:t>【良】得</w:t>
            </w: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 xml:space="preserve">.9 </w:t>
            </w:r>
            <w:r>
              <w:rPr>
                <w:rFonts w:hint="eastAsia" w:ascii="宋体" w:hAnsi="宋体" w:cs="宋体"/>
                <w:sz w:val="24"/>
                <w:highlight w:val="none"/>
              </w:rPr>
              <w:t>分；</w:t>
            </w:r>
          </w:p>
          <w:p>
            <w:pPr>
              <w:spacing w:line="276" w:lineRule="auto"/>
              <w:rPr>
                <w:rFonts w:ascii="宋体" w:hAnsi="宋体" w:cs="宋体"/>
                <w:sz w:val="24"/>
                <w:highlight w:val="none"/>
              </w:rPr>
            </w:pPr>
            <w:r>
              <w:rPr>
                <w:rFonts w:hint="eastAsia" w:ascii="宋体" w:hAnsi="宋体" w:cs="宋体"/>
                <w:sz w:val="24"/>
                <w:highlight w:val="none"/>
              </w:rPr>
              <w:t>【合格】得</w:t>
            </w: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 xml:space="preserve">.8 </w:t>
            </w:r>
            <w:r>
              <w:rPr>
                <w:rFonts w:hint="eastAsia" w:ascii="宋体" w:hAnsi="宋体" w:cs="宋体"/>
                <w:sz w:val="24"/>
                <w:highlight w:val="none"/>
              </w:rPr>
              <w:t>分。</w:t>
            </w:r>
          </w:p>
          <w:p>
            <w:pPr>
              <w:spacing w:line="276" w:lineRule="auto"/>
              <w:rPr>
                <w:rFonts w:ascii="宋体" w:hAnsi="宋体" w:cs="宋体"/>
                <w:sz w:val="24"/>
                <w:highlight w:val="none"/>
              </w:rPr>
            </w:pPr>
            <w:r>
              <w:rPr>
                <w:rFonts w:hint="eastAsia" w:ascii="宋体" w:hAnsi="宋体" w:cs="宋体"/>
                <w:sz w:val="24"/>
                <w:highlight w:val="none"/>
              </w:rPr>
              <w:t>【差】无内容不得分。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508" w:type="dxa"/>
            <w:gridSpan w:val="2"/>
            <w:vMerge w:val="continue"/>
            <w:vAlign w:val="center"/>
          </w:tcPr>
          <w:p>
            <w:pPr>
              <w:spacing w:line="440" w:lineRule="exact"/>
              <w:jc w:val="center"/>
              <w:rPr>
                <w:rFonts w:hAnsi="宋体"/>
                <w:sz w:val="24"/>
                <w:highlight w:val="none"/>
              </w:rPr>
            </w:pPr>
          </w:p>
        </w:tc>
        <w:tc>
          <w:tcPr>
            <w:tcW w:w="1935" w:type="dxa"/>
            <w:vAlign w:val="center"/>
          </w:tcPr>
          <w:p>
            <w:pPr>
              <w:spacing w:line="360" w:lineRule="auto"/>
              <w:jc w:val="center"/>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rPr>
              <w:t>.安全质量、环境保护管理体系</w:t>
            </w:r>
          </w:p>
          <w:p>
            <w:pPr>
              <w:spacing w:line="360" w:lineRule="auto"/>
              <w:rPr>
                <w:rFonts w:ascii="宋体" w:hAnsi="宋体" w:cs="宋体"/>
                <w:sz w:val="24"/>
                <w:highlight w:val="none"/>
              </w:rPr>
            </w:pPr>
            <w:r>
              <w:rPr>
                <w:rFonts w:ascii="宋体" w:hAnsi="宋体" w:cs="宋体"/>
                <w:sz w:val="24"/>
                <w:highlight w:val="none"/>
              </w:rPr>
              <w:t>(</w:t>
            </w:r>
            <w:r>
              <w:rPr>
                <w:rFonts w:hint="eastAsia" w:ascii="宋体" w:hAnsi="宋体" w:cs="宋体"/>
                <w:sz w:val="24"/>
                <w:highlight w:val="none"/>
              </w:rPr>
              <w:t>5</w:t>
            </w:r>
            <w:r>
              <w:rPr>
                <w:rFonts w:ascii="宋体" w:hAnsi="宋体" w:cs="宋体"/>
                <w:sz w:val="24"/>
                <w:highlight w:val="none"/>
              </w:rPr>
              <w:t xml:space="preserve"> </w:t>
            </w:r>
            <w:r>
              <w:rPr>
                <w:rFonts w:hint="eastAsia" w:ascii="宋体" w:hAnsi="宋体" w:cs="宋体"/>
                <w:sz w:val="24"/>
                <w:highlight w:val="none"/>
              </w:rPr>
              <w:t>分</w:t>
            </w:r>
            <w:r>
              <w:rPr>
                <w:rFonts w:ascii="宋体" w:hAnsi="宋体" w:cs="宋体"/>
                <w:sz w:val="24"/>
                <w:highlight w:val="none"/>
              </w:rPr>
              <w:t>)</w:t>
            </w:r>
          </w:p>
        </w:tc>
        <w:tc>
          <w:tcPr>
            <w:tcW w:w="6545" w:type="dxa"/>
            <w:vAlign w:val="center"/>
          </w:tcPr>
          <w:p>
            <w:pPr>
              <w:spacing w:line="276" w:lineRule="auto"/>
              <w:rPr>
                <w:rFonts w:ascii="宋体" w:hAnsi="宋体" w:cs="宋体"/>
                <w:sz w:val="24"/>
                <w:highlight w:val="none"/>
              </w:rPr>
            </w:pPr>
            <w:r>
              <w:rPr>
                <w:rFonts w:hint="eastAsia" w:ascii="宋体" w:hAnsi="宋体" w:cs="宋体"/>
                <w:sz w:val="24"/>
                <w:highlight w:val="none"/>
              </w:rPr>
              <w:t>对本项目施工安全、质量保证体系人员、设备落实，针对项目实际提出的安</w:t>
            </w:r>
          </w:p>
          <w:p>
            <w:pPr>
              <w:spacing w:line="276" w:lineRule="auto"/>
              <w:rPr>
                <w:rFonts w:ascii="宋体" w:hAnsi="宋体" w:cs="宋体"/>
                <w:sz w:val="24"/>
                <w:highlight w:val="none"/>
              </w:rPr>
            </w:pPr>
            <w:r>
              <w:rPr>
                <w:rFonts w:hint="eastAsia" w:ascii="宋体" w:hAnsi="宋体" w:cs="宋体"/>
                <w:sz w:val="24"/>
                <w:highlight w:val="none"/>
              </w:rPr>
              <w:t>全、质量保证措施，对施工引起的污水、粉尘、噪声和生态等方面控制措施</w:t>
            </w:r>
          </w:p>
          <w:p>
            <w:pPr>
              <w:spacing w:line="276" w:lineRule="auto"/>
              <w:rPr>
                <w:rFonts w:ascii="宋体" w:hAnsi="宋体" w:cs="宋体"/>
                <w:sz w:val="24"/>
                <w:highlight w:val="none"/>
              </w:rPr>
            </w:pPr>
            <w:r>
              <w:rPr>
                <w:rFonts w:hint="eastAsia" w:ascii="宋体" w:hAnsi="宋体" w:cs="宋体"/>
                <w:sz w:val="24"/>
                <w:highlight w:val="none"/>
              </w:rPr>
              <w:t>目标：</w:t>
            </w:r>
          </w:p>
          <w:p>
            <w:pPr>
              <w:spacing w:line="276" w:lineRule="auto"/>
              <w:rPr>
                <w:rFonts w:ascii="宋体" w:hAnsi="宋体" w:cs="宋体"/>
                <w:sz w:val="24"/>
                <w:highlight w:val="none"/>
              </w:rPr>
            </w:pPr>
            <w:r>
              <w:rPr>
                <w:rFonts w:hint="eastAsia" w:ascii="宋体" w:hAnsi="宋体" w:cs="宋体"/>
                <w:sz w:val="24"/>
                <w:highlight w:val="none"/>
              </w:rPr>
              <w:t>【优】得</w:t>
            </w:r>
            <w:r>
              <w:rPr>
                <w:rFonts w:ascii="宋体" w:hAnsi="宋体" w:cs="宋体"/>
                <w:sz w:val="24"/>
                <w:highlight w:val="none"/>
              </w:rPr>
              <w:t xml:space="preserve"> 5 </w:t>
            </w:r>
            <w:r>
              <w:rPr>
                <w:rFonts w:hint="eastAsia" w:ascii="宋体" w:hAnsi="宋体" w:cs="宋体"/>
                <w:sz w:val="24"/>
                <w:highlight w:val="none"/>
              </w:rPr>
              <w:t>分；</w:t>
            </w:r>
          </w:p>
          <w:p>
            <w:pPr>
              <w:spacing w:line="276" w:lineRule="auto"/>
              <w:rPr>
                <w:rFonts w:ascii="宋体" w:hAnsi="宋体" w:cs="宋体"/>
                <w:sz w:val="24"/>
                <w:highlight w:val="none"/>
              </w:rPr>
            </w:pPr>
            <w:r>
              <w:rPr>
                <w:rFonts w:hint="eastAsia" w:ascii="宋体" w:hAnsi="宋体" w:cs="宋体"/>
                <w:sz w:val="24"/>
                <w:highlight w:val="none"/>
              </w:rPr>
              <w:t>【良】得</w:t>
            </w:r>
            <w:r>
              <w:rPr>
                <w:rFonts w:ascii="宋体" w:hAnsi="宋体" w:cs="宋体"/>
                <w:sz w:val="24"/>
                <w:highlight w:val="none"/>
              </w:rPr>
              <w:t xml:space="preserve"> 4.9 </w:t>
            </w:r>
            <w:r>
              <w:rPr>
                <w:rFonts w:hint="eastAsia" w:ascii="宋体" w:hAnsi="宋体" w:cs="宋体"/>
                <w:sz w:val="24"/>
                <w:highlight w:val="none"/>
              </w:rPr>
              <w:t>分；</w:t>
            </w:r>
          </w:p>
          <w:p>
            <w:pPr>
              <w:spacing w:line="276" w:lineRule="auto"/>
              <w:rPr>
                <w:rFonts w:ascii="宋体" w:hAnsi="宋体" w:cs="宋体"/>
                <w:sz w:val="24"/>
                <w:highlight w:val="none"/>
              </w:rPr>
            </w:pPr>
            <w:r>
              <w:rPr>
                <w:rFonts w:hint="eastAsia" w:ascii="宋体" w:hAnsi="宋体" w:cs="宋体"/>
                <w:sz w:val="24"/>
                <w:highlight w:val="none"/>
              </w:rPr>
              <w:t>【合格】得</w:t>
            </w:r>
            <w:r>
              <w:rPr>
                <w:rFonts w:ascii="宋体" w:hAnsi="宋体" w:cs="宋体"/>
                <w:sz w:val="24"/>
                <w:highlight w:val="none"/>
              </w:rPr>
              <w:t xml:space="preserve"> 4.8 </w:t>
            </w:r>
            <w:r>
              <w:rPr>
                <w:rFonts w:hint="eastAsia" w:ascii="宋体" w:hAnsi="宋体" w:cs="宋体"/>
                <w:sz w:val="24"/>
                <w:highlight w:val="none"/>
              </w:rPr>
              <w:t>分。</w:t>
            </w:r>
          </w:p>
          <w:p>
            <w:pPr>
              <w:spacing w:line="288" w:lineRule="auto"/>
              <w:rPr>
                <w:rFonts w:ascii="宋体" w:hAnsi="宋体" w:cs="宋体"/>
                <w:sz w:val="24"/>
                <w:highlight w:val="none"/>
              </w:rPr>
            </w:pPr>
            <w:r>
              <w:rPr>
                <w:rFonts w:hint="eastAsia" w:ascii="宋体" w:hAnsi="宋体" w:cs="宋体"/>
                <w:sz w:val="24"/>
                <w:highlight w:val="none"/>
              </w:rPr>
              <w:t>【差】无内容不得分。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508" w:type="dxa"/>
            <w:gridSpan w:val="2"/>
            <w:vMerge w:val="continue"/>
            <w:vAlign w:val="center"/>
          </w:tcPr>
          <w:p>
            <w:pPr>
              <w:spacing w:line="440" w:lineRule="exact"/>
              <w:jc w:val="center"/>
              <w:rPr>
                <w:rFonts w:hAnsi="宋体"/>
                <w:sz w:val="24"/>
                <w:highlight w:val="none"/>
              </w:rPr>
            </w:pPr>
          </w:p>
        </w:tc>
        <w:tc>
          <w:tcPr>
            <w:tcW w:w="193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5.工程建设进度计划与措施</w:t>
            </w:r>
          </w:p>
          <w:p>
            <w:pPr>
              <w:spacing w:line="360" w:lineRule="auto"/>
              <w:jc w:val="center"/>
              <w:rPr>
                <w:rFonts w:ascii="宋体" w:hAnsi="宋体" w:cs="宋体"/>
                <w:sz w:val="24"/>
                <w:highlight w:val="none"/>
              </w:rPr>
            </w:pPr>
            <w:r>
              <w:rPr>
                <w:rFonts w:ascii="宋体" w:hAnsi="宋体" w:cs="宋体"/>
                <w:sz w:val="24"/>
                <w:highlight w:val="none"/>
              </w:rPr>
              <w:t>(</w:t>
            </w:r>
            <w:r>
              <w:rPr>
                <w:rFonts w:hint="eastAsia" w:ascii="宋体" w:hAnsi="宋体" w:cs="宋体"/>
                <w:sz w:val="24"/>
                <w:highlight w:val="none"/>
              </w:rPr>
              <w:t>4</w:t>
            </w:r>
            <w:r>
              <w:rPr>
                <w:rFonts w:ascii="宋体" w:hAnsi="宋体" w:cs="宋体"/>
                <w:sz w:val="24"/>
                <w:highlight w:val="none"/>
              </w:rPr>
              <w:t xml:space="preserve"> </w:t>
            </w:r>
            <w:r>
              <w:rPr>
                <w:rFonts w:hint="eastAsia" w:ascii="宋体" w:hAnsi="宋体" w:cs="宋体"/>
                <w:sz w:val="24"/>
                <w:highlight w:val="none"/>
              </w:rPr>
              <w:t>分</w:t>
            </w:r>
            <w:r>
              <w:rPr>
                <w:rFonts w:ascii="宋体" w:hAnsi="宋体" w:cs="宋体"/>
                <w:sz w:val="24"/>
                <w:highlight w:val="none"/>
              </w:rPr>
              <w:t>)</w:t>
            </w:r>
          </w:p>
        </w:tc>
        <w:tc>
          <w:tcPr>
            <w:tcW w:w="6545" w:type="dxa"/>
            <w:vAlign w:val="center"/>
          </w:tcPr>
          <w:p>
            <w:pPr>
              <w:spacing w:line="276" w:lineRule="auto"/>
              <w:rPr>
                <w:rFonts w:ascii="宋体" w:hAnsi="宋体" w:cs="宋体"/>
                <w:sz w:val="24"/>
                <w:highlight w:val="none"/>
              </w:rPr>
            </w:pPr>
            <w:r>
              <w:rPr>
                <w:rFonts w:hint="eastAsia" w:ascii="宋体" w:hAnsi="宋体" w:cs="宋体"/>
                <w:sz w:val="24"/>
                <w:highlight w:val="none"/>
              </w:rPr>
              <w:t>对项目施工规定的工期要求进度，工期保证措施落实程度、适应程度：</w:t>
            </w:r>
          </w:p>
          <w:p>
            <w:pPr>
              <w:spacing w:line="276" w:lineRule="auto"/>
              <w:rPr>
                <w:rFonts w:ascii="宋体" w:hAnsi="宋体" w:cs="宋体"/>
                <w:sz w:val="24"/>
                <w:highlight w:val="none"/>
              </w:rPr>
            </w:pPr>
            <w:r>
              <w:rPr>
                <w:rFonts w:hint="eastAsia" w:ascii="宋体" w:hAnsi="宋体" w:cs="宋体"/>
                <w:sz w:val="24"/>
                <w:highlight w:val="none"/>
              </w:rPr>
              <w:t>【优】得</w:t>
            </w:r>
            <w:r>
              <w:rPr>
                <w:rFonts w:ascii="宋体" w:hAnsi="宋体" w:cs="宋体"/>
                <w:sz w:val="24"/>
                <w:highlight w:val="none"/>
              </w:rPr>
              <w:t xml:space="preserve"> </w:t>
            </w:r>
            <w:r>
              <w:rPr>
                <w:rFonts w:hint="eastAsia" w:ascii="宋体" w:hAnsi="宋体" w:cs="宋体"/>
                <w:sz w:val="24"/>
                <w:highlight w:val="none"/>
              </w:rPr>
              <w:t>4</w:t>
            </w:r>
            <w:r>
              <w:rPr>
                <w:rFonts w:ascii="宋体" w:hAnsi="宋体" w:cs="宋体"/>
                <w:sz w:val="24"/>
                <w:highlight w:val="none"/>
              </w:rPr>
              <w:t xml:space="preserve"> </w:t>
            </w:r>
            <w:r>
              <w:rPr>
                <w:rFonts w:hint="eastAsia" w:ascii="宋体" w:hAnsi="宋体" w:cs="宋体"/>
                <w:sz w:val="24"/>
                <w:highlight w:val="none"/>
              </w:rPr>
              <w:t>分；</w:t>
            </w:r>
          </w:p>
          <w:p>
            <w:pPr>
              <w:spacing w:line="276" w:lineRule="auto"/>
              <w:rPr>
                <w:rFonts w:ascii="宋体" w:hAnsi="宋体" w:cs="宋体"/>
                <w:sz w:val="24"/>
                <w:highlight w:val="none"/>
              </w:rPr>
            </w:pPr>
            <w:r>
              <w:rPr>
                <w:rFonts w:hint="eastAsia" w:ascii="宋体" w:hAnsi="宋体" w:cs="宋体"/>
                <w:sz w:val="24"/>
                <w:highlight w:val="none"/>
              </w:rPr>
              <w:t>【良】得</w:t>
            </w:r>
            <w:r>
              <w:rPr>
                <w:rFonts w:ascii="宋体" w:hAnsi="宋体" w:cs="宋体"/>
                <w:sz w:val="24"/>
                <w:highlight w:val="none"/>
              </w:rPr>
              <w:t xml:space="preserve"> </w:t>
            </w:r>
            <w:r>
              <w:rPr>
                <w:rFonts w:hint="eastAsia" w:ascii="宋体" w:hAnsi="宋体" w:cs="宋体"/>
                <w:sz w:val="24"/>
                <w:highlight w:val="none"/>
              </w:rPr>
              <w:t>3</w:t>
            </w:r>
            <w:r>
              <w:rPr>
                <w:rFonts w:ascii="宋体" w:hAnsi="宋体" w:cs="宋体"/>
                <w:sz w:val="24"/>
                <w:highlight w:val="none"/>
              </w:rPr>
              <w:t xml:space="preserve">.9 </w:t>
            </w:r>
            <w:r>
              <w:rPr>
                <w:rFonts w:hint="eastAsia" w:ascii="宋体" w:hAnsi="宋体" w:cs="宋体"/>
                <w:sz w:val="24"/>
                <w:highlight w:val="none"/>
              </w:rPr>
              <w:t>分；</w:t>
            </w:r>
          </w:p>
          <w:p>
            <w:pPr>
              <w:spacing w:line="276" w:lineRule="auto"/>
              <w:rPr>
                <w:rFonts w:ascii="宋体" w:hAnsi="宋体" w:cs="宋体"/>
                <w:sz w:val="24"/>
                <w:highlight w:val="none"/>
              </w:rPr>
            </w:pPr>
            <w:r>
              <w:rPr>
                <w:rFonts w:hint="eastAsia" w:ascii="宋体" w:hAnsi="宋体" w:cs="宋体"/>
                <w:sz w:val="24"/>
                <w:highlight w:val="none"/>
              </w:rPr>
              <w:t>【合格】得</w:t>
            </w:r>
            <w:r>
              <w:rPr>
                <w:rFonts w:ascii="宋体" w:hAnsi="宋体" w:cs="宋体"/>
                <w:sz w:val="24"/>
                <w:highlight w:val="none"/>
              </w:rPr>
              <w:t xml:space="preserve"> </w:t>
            </w:r>
            <w:r>
              <w:rPr>
                <w:rFonts w:hint="eastAsia" w:ascii="宋体" w:hAnsi="宋体" w:cs="宋体"/>
                <w:sz w:val="24"/>
                <w:highlight w:val="none"/>
              </w:rPr>
              <w:t>3</w:t>
            </w:r>
            <w:r>
              <w:rPr>
                <w:rFonts w:ascii="宋体" w:hAnsi="宋体" w:cs="宋体"/>
                <w:sz w:val="24"/>
                <w:highlight w:val="none"/>
              </w:rPr>
              <w:t xml:space="preserve">.8 </w:t>
            </w:r>
            <w:r>
              <w:rPr>
                <w:rFonts w:hint="eastAsia" w:ascii="宋体" w:hAnsi="宋体" w:cs="宋体"/>
                <w:sz w:val="24"/>
                <w:highlight w:val="none"/>
              </w:rPr>
              <w:t>分。</w:t>
            </w:r>
          </w:p>
          <w:p>
            <w:pPr>
              <w:spacing w:line="276" w:lineRule="auto"/>
              <w:rPr>
                <w:rFonts w:ascii="宋体" w:hAnsi="宋体" w:cs="宋体"/>
                <w:sz w:val="24"/>
                <w:highlight w:val="none"/>
              </w:rPr>
            </w:pPr>
            <w:r>
              <w:rPr>
                <w:rFonts w:hint="eastAsia" w:ascii="宋体" w:hAnsi="宋体" w:cs="宋体"/>
                <w:sz w:val="24"/>
                <w:highlight w:val="none"/>
              </w:rPr>
              <w:t>【差】无内容不得分。</w:t>
            </w:r>
          </w:p>
        </w:tc>
      </w:tr>
    </w:tbl>
    <w:p>
      <w:pPr>
        <w:rPr>
          <w:highlight w:val="none"/>
        </w:rPr>
      </w:pPr>
    </w:p>
    <w:bookmarkEnd w:id="949"/>
    <w:bookmarkEnd w:id="950"/>
    <w:bookmarkEnd w:id="951"/>
    <w:bookmarkEnd w:id="952"/>
    <w:p>
      <w:pPr>
        <w:pStyle w:val="19"/>
        <w:rPr>
          <w:highlight w:val="none"/>
        </w:rPr>
      </w:pPr>
      <w:r>
        <w:rPr>
          <w:highlight w:val="none"/>
        </w:rPr>
        <w:t>注：</w:t>
      </w:r>
    </w:p>
    <w:p>
      <w:pPr>
        <w:pStyle w:val="19"/>
        <w:rPr>
          <w:sz w:val="24"/>
          <w:highlight w:val="none"/>
        </w:rPr>
      </w:pPr>
      <w:r>
        <w:rPr>
          <w:sz w:val="24"/>
          <w:highlight w:val="none"/>
        </w:rPr>
        <w:t>1、凡涉及以上评分细则相关证明材料，均要在投标文件中提供复印件，所有资料复印件均须加盖牵头人公章。所有工程业绩或业绩获奖均指中国境内的业绩或获奖，境外的业绩或获奖不计算得分。</w:t>
      </w:r>
    </w:p>
    <w:p>
      <w:pPr>
        <w:pStyle w:val="19"/>
        <w:rPr>
          <w:sz w:val="24"/>
          <w:highlight w:val="none"/>
        </w:rPr>
      </w:pPr>
      <w:r>
        <w:rPr>
          <w:sz w:val="24"/>
          <w:highlight w:val="none"/>
        </w:rPr>
        <w:t>2、所提供的资料必须真实，招标人可能通过网络或实地考察查验真伪。资料若不真实，将罚扣投标保证金及记入不良行为、黑名单。评标时招标人可能要求投标人当场在网上查询人员养老保险，请投标人备好网址、账号、密码，并保持电话畅通。</w:t>
      </w:r>
    </w:p>
    <w:p>
      <w:pPr>
        <w:pStyle w:val="19"/>
        <w:rPr>
          <w:sz w:val="24"/>
          <w:highlight w:val="none"/>
        </w:rPr>
      </w:pPr>
      <w:r>
        <w:rPr>
          <w:sz w:val="24"/>
          <w:highlight w:val="none"/>
          <w:lang w:val="zh-CN"/>
        </w:rPr>
        <w:t>3</w:t>
      </w:r>
      <w:r>
        <w:rPr>
          <w:sz w:val="24"/>
          <w:highlight w:val="none"/>
        </w:rPr>
        <w:t>、以上评分表中所有资料须提供原件核查，由投标单位根据此表的评审内容顺序编制《原件核查目录清单》，原件和《原件核查目录清单》供评标委员会审查，无提供原件核查的或提供原件不齐的评审项则不得分。</w:t>
      </w: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pStyle w:val="2"/>
        <w:jc w:val="center"/>
        <w:rPr>
          <w:highlight w:val="none"/>
        </w:rPr>
      </w:pPr>
      <w:bookmarkStart w:id="953" w:name="_Toc31589"/>
      <w:bookmarkStart w:id="954" w:name="_Toc27350"/>
      <w:bookmarkStart w:id="955" w:name="_Toc23931"/>
      <w:r>
        <w:rPr>
          <w:rFonts w:hint="eastAsia"/>
          <w:highlight w:val="none"/>
        </w:rPr>
        <w:t>一、评标办法正文</w:t>
      </w:r>
      <w:bookmarkEnd w:id="953"/>
      <w:bookmarkEnd w:id="954"/>
      <w:bookmarkEnd w:id="955"/>
    </w:p>
    <w:p>
      <w:pPr>
        <w:pStyle w:val="3"/>
        <w:rPr>
          <w:rFonts w:ascii="Times New Roman" w:hAnsi="Times New Roman"/>
          <w:highlight w:val="none"/>
        </w:rPr>
      </w:pPr>
      <w:bookmarkStart w:id="956" w:name="_Toc9350"/>
      <w:bookmarkStart w:id="957" w:name="_Toc12356"/>
      <w:bookmarkStart w:id="958" w:name="_Toc6229"/>
      <w:r>
        <w:rPr>
          <w:rFonts w:ascii="Times New Roman" w:hAnsi="Times New Roman"/>
          <w:highlight w:val="none"/>
        </w:rPr>
        <w:t>1. 评标方法</w:t>
      </w:r>
      <w:bookmarkEnd w:id="956"/>
      <w:bookmarkEnd w:id="957"/>
      <w:bookmarkEnd w:id="958"/>
    </w:p>
    <w:p>
      <w:pPr>
        <w:spacing w:line="360" w:lineRule="auto"/>
        <w:ind w:firstLine="420" w:firstLineChars="200"/>
        <w:rPr>
          <w:highlight w:val="none"/>
        </w:rPr>
      </w:pPr>
      <w:r>
        <w:rPr>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959" w:name="_Toc300835008"/>
      <w:bookmarkStart w:id="960" w:name="_Toc384308272"/>
      <w:bookmarkStart w:id="961" w:name="_Toc361508646"/>
      <w:bookmarkStart w:id="962" w:name="_Toc369531577"/>
      <w:bookmarkStart w:id="963" w:name="_Toc4497"/>
      <w:bookmarkStart w:id="964" w:name="_Toc352691533"/>
      <w:r>
        <w:rPr>
          <w:highlight w:val="none"/>
        </w:rPr>
        <w:t>外。综合评分相等</w:t>
      </w:r>
      <w:bookmarkEnd w:id="959"/>
      <w:bookmarkEnd w:id="960"/>
      <w:bookmarkEnd w:id="961"/>
      <w:r>
        <w:rPr>
          <w:highlight w:val="none"/>
        </w:rPr>
        <w:t>时，以投标报价低的</w:t>
      </w:r>
      <w:bookmarkEnd w:id="962"/>
      <w:bookmarkEnd w:id="963"/>
      <w:bookmarkEnd w:id="964"/>
      <w:r>
        <w:rPr>
          <w:highlight w:val="none"/>
        </w:rPr>
        <w:t>优</w:t>
      </w:r>
      <w:bookmarkStart w:id="965" w:name="_Toc384308273"/>
      <w:bookmarkStart w:id="966" w:name="_Toc361508647"/>
      <w:bookmarkStart w:id="967" w:name="_Toc247514023"/>
      <w:bookmarkStart w:id="968" w:name="_Toc369531578"/>
      <w:bookmarkStart w:id="969" w:name="_Toc247527624"/>
      <w:bookmarkStart w:id="970" w:name="_Toc300835009"/>
      <w:bookmarkStart w:id="971" w:name="_Toc152045599"/>
      <w:bookmarkStart w:id="972" w:name="_Toc152042376"/>
      <w:bookmarkStart w:id="973" w:name="_Toc352691534"/>
      <w:bookmarkStart w:id="974" w:name="_Toc144974566"/>
      <w:bookmarkStart w:id="975" w:name="_Toc39"/>
      <w:r>
        <w:rPr>
          <w:highlight w:val="none"/>
        </w:rPr>
        <w:t>先；投标报价也相等</w:t>
      </w:r>
      <w:bookmarkEnd w:id="965"/>
      <w:bookmarkEnd w:id="966"/>
      <w:bookmarkEnd w:id="967"/>
      <w:bookmarkEnd w:id="968"/>
      <w:bookmarkEnd w:id="969"/>
      <w:bookmarkEnd w:id="970"/>
      <w:bookmarkEnd w:id="971"/>
      <w:bookmarkEnd w:id="972"/>
      <w:bookmarkEnd w:id="973"/>
      <w:bookmarkEnd w:id="974"/>
      <w:bookmarkEnd w:id="975"/>
      <w:r>
        <w:rPr>
          <w:highlight w:val="none"/>
        </w:rPr>
        <w:t>的，按照评标办法前附表的规定确定中标候选人顺序。</w:t>
      </w:r>
    </w:p>
    <w:p>
      <w:pPr>
        <w:pStyle w:val="3"/>
        <w:rPr>
          <w:rFonts w:ascii="Times New Roman" w:hAnsi="Times New Roman"/>
          <w:highlight w:val="none"/>
        </w:rPr>
      </w:pPr>
      <w:bookmarkStart w:id="976" w:name="_Toc20701"/>
      <w:bookmarkStart w:id="977" w:name="_Toc3975"/>
      <w:bookmarkStart w:id="978" w:name="_Toc1167"/>
      <w:bookmarkStart w:id="979" w:name="_Toc1616"/>
      <w:r>
        <w:rPr>
          <w:rFonts w:ascii="Times New Roman" w:hAnsi="Times New Roman"/>
          <w:highlight w:val="none"/>
        </w:rPr>
        <w:t>2. 评审标准</w:t>
      </w:r>
      <w:bookmarkEnd w:id="976"/>
      <w:bookmarkEnd w:id="977"/>
      <w:bookmarkEnd w:id="978"/>
      <w:bookmarkEnd w:id="979"/>
    </w:p>
    <w:p>
      <w:pPr>
        <w:pStyle w:val="4"/>
        <w:spacing w:line="240" w:lineRule="auto"/>
        <w:rPr>
          <w:rFonts w:ascii="Times New Roman" w:hAnsi="Times New Roman"/>
          <w:highlight w:val="none"/>
        </w:rPr>
      </w:pPr>
      <w:bookmarkStart w:id="980" w:name="_Toc11676"/>
      <w:bookmarkStart w:id="981" w:name="_Toc29400"/>
      <w:bookmarkStart w:id="982" w:name="_Toc11481"/>
      <w:bookmarkStart w:id="983" w:name="_Toc20385"/>
      <w:r>
        <w:rPr>
          <w:rFonts w:ascii="Times New Roman" w:hAnsi="Times New Roman"/>
          <w:highlight w:val="none"/>
        </w:rPr>
        <w:t>2.1 初步评审标准</w:t>
      </w:r>
      <w:bookmarkEnd w:id="980"/>
      <w:bookmarkEnd w:id="981"/>
      <w:bookmarkEnd w:id="982"/>
      <w:bookmarkEnd w:id="983"/>
    </w:p>
    <w:p>
      <w:pPr>
        <w:spacing w:line="400" w:lineRule="exact"/>
        <w:ind w:firstLine="420" w:firstLineChars="200"/>
        <w:rPr>
          <w:highlight w:val="none"/>
        </w:rPr>
      </w:pPr>
      <w:r>
        <w:rPr>
          <w:highlight w:val="none"/>
        </w:rPr>
        <w:t>2.1.1 形式评审标准：见评标办法前附表。</w:t>
      </w:r>
    </w:p>
    <w:p>
      <w:pPr>
        <w:spacing w:line="400" w:lineRule="exact"/>
        <w:ind w:firstLine="420" w:firstLineChars="200"/>
        <w:rPr>
          <w:highlight w:val="none"/>
        </w:rPr>
      </w:pPr>
      <w:r>
        <w:rPr>
          <w:highlight w:val="none"/>
        </w:rPr>
        <w:t>2.1.2 资格评审标准：见评标办法前附表。</w:t>
      </w:r>
    </w:p>
    <w:p>
      <w:pPr>
        <w:spacing w:line="400" w:lineRule="exact"/>
        <w:ind w:firstLine="420" w:firstLineChars="200"/>
        <w:rPr>
          <w:highlight w:val="none"/>
        </w:rPr>
      </w:pPr>
      <w:r>
        <w:rPr>
          <w:highlight w:val="none"/>
        </w:rPr>
        <w:t>2.1.3 响应性评审标准：见评标办法前附表。</w:t>
      </w:r>
    </w:p>
    <w:p>
      <w:pPr>
        <w:pStyle w:val="4"/>
        <w:spacing w:line="240" w:lineRule="auto"/>
        <w:rPr>
          <w:rFonts w:ascii="Times New Roman" w:hAnsi="Times New Roman"/>
          <w:highlight w:val="none"/>
        </w:rPr>
      </w:pPr>
      <w:bookmarkStart w:id="984" w:name="_Toc6033"/>
      <w:bookmarkStart w:id="985" w:name="_Toc1455"/>
      <w:bookmarkStart w:id="986" w:name="_Toc15938"/>
      <w:bookmarkStart w:id="987" w:name="_Toc21783"/>
      <w:r>
        <w:rPr>
          <w:rFonts w:ascii="Times New Roman" w:hAnsi="Times New Roman"/>
          <w:highlight w:val="none"/>
        </w:rPr>
        <w:t xml:space="preserve">2.2 </w:t>
      </w:r>
      <w:r>
        <w:rPr>
          <w:rFonts w:hint="eastAsia" w:ascii="Times New Roman" w:hAnsi="Times New Roman"/>
          <w:highlight w:val="none"/>
        </w:rPr>
        <w:t>详细</w:t>
      </w:r>
      <w:r>
        <w:rPr>
          <w:rFonts w:ascii="Times New Roman" w:hAnsi="Times New Roman"/>
          <w:highlight w:val="none"/>
        </w:rPr>
        <w:t>标准</w:t>
      </w:r>
      <w:bookmarkEnd w:id="984"/>
      <w:bookmarkEnd w:id="985"/>
      <w:bookmarkEnd w:id="986"/>
      <w:bookmarkEnd w:id="987"/>
    </w:p>
    <w:p>
      <w:pPr>
        <w:spacing w:line="400" w:lineRule="exact"/>
        <w:ind w:firstLine="420" w:firstLineChars="200"/>
        <w:rPr>
          <w:highlight w:val="none"/>
        </w:rPr>
      </w:pPr>
      <w:r>
        <w:rPr>
          <w:rFonts w:hint="eastAsia"/>
          <w:highlight w:val="none"/>
        </w:rPr>
        <w:t>2.2.1 分值构成见评标办法前附表；</w:t>
      </w:r>
    </w:p>
    <w:p>
      <w:pPr>
        <w:spacing w:line="400" w:lineRule="exact"/>
        <w:ind w:firstLine="420" w:firstLineChars="200"/>
        <w:rPr>
          <w:highlight w:val="none"/>
        </w:rPr>
      </w:pPr>
      <w:r>
        <w:rPr>
          <w:rFonts w:hint="eastAsia"/>
          <w:highlight w:val="none"/>
        </w:rPr>
        <w:t>2.2.2 评标基准价计算方法：见评标办法前附表；</w:t>
      </w:r>
    </w:p>
    <w:p>
      <w:pPr>
        <w:spacing w:line="400" w:lineRule="exact"/>
        <w:ind w:firstLine="420" w:firstLineChars="200"/>
        <w:rPr>
          <w:highlight w:val="none"/>
        </w:rPr>
      </w:pPr>
      <w:r>
        <w:rPr>
          <w:rFonts w:hint="eastAsia"/>
          <w:highlight w:val="none"/>
        </w:rPr>
        <w:t>2.2.3 投标报价得分的计算公式：见评标办法前附表；</w:t>
      </w:r>
    </w:p>
    <w:p>
      <w:pPr>
        <w:spacing w:line="400" w:lineRule="exact"/>
        <w:ind w:firstLine="420" w:firstLineChars="200"/>
        <w:rPr>
          <w:highlight w:val="none"/>
        </w:rPr>
      </w:pPr>
      <w:r>
        <w:rPr>
          <w:rFonts w:hint="eastAsia"/>
          <w:highlight w:val="none"/>
        </w:rPr>
        <w:t>2.2.4 商务部分评分标准：见评标办法前附表；</w:t>
      </w:r>
    </w:p>
    <w:p>
      <w:pPr>
        <w:spacing w:line="400" w:lineRule="exact"/>
        <w:ind w:firstLine="420" w:firstLineChars="200"/>
        <w:rPr>
          <w:highlight w:val="none"/>
        </w:rPr>
      </w:pPr>
      <w:r>
        <w:rPr>
          <w:rFonts w:hint="eastAsia"/>
          <w:highlight w:val="none"/>
        </w:rPr>
        <w:t>2.2.5设计部分技术评分标准：见评标办法前附表；</w:t>
      </w:r>
    </w:p>
    <w:p>
      <w:pPr>
        <w:spacing w:line="400" w:lineRule="exact"/>
        <w:ind w:firstLine="420" w:firstLineChars="200"/>
        <w:rPr>
          <w:highlight w:val="none"/>
        </w:rPr>
      </w:pPr>
      <w:r>
        <w:rPr>
          <w:rFonts w:hint="eastAsia"/>
          <w:highlight w:val="none"/>
        </w:rPr>
        <w:t>2.2.6 施工部分技术评分标准：见评标办法前附表。</w:t>
      </w:r>
    </w:p>
    <w:p>
      <w:pPr>
        <w:pStyle w:val="3"/>
        <w:rPr>
          <w:rFonts w:ascii="Times New Roman" w:hAnsi="Times New Roman"/>
          <w:highlight w:val="none"/>
        </w:rPr>
      </w:pPr>
      <w:bookmarkStart w:id="988" w:name="_Toc32064"/>
      <w:bookmarkStart w:id="989" w:name="_Toc24460"/>
      <w:bookmarkStart w:id="990" w:name="_Toc22564"/>
      <w:bookmarkStart w:id="991" w:name="_Toc20967"/>
      <w:r>
        <w:rPr>
          <w:rFonts w:ascii="Times New Roman" w:hAnsi="Times New Roman"/>
          <w:highlight w:val="none"/>
        </w:rPr>
        <w:t>3. 评标程序</w:t>
      </w:r>
      <w:bookmarkEnd w:id="988"/>
      <w:bookmarkEnd w:id="989"/>
      <w:bookmarkEnd w:id="990"/>
      <w:bookmarkEnd w:id="991"/>
    </w:p>
    <w:p>
      <w:pPr>
        <w:pStyle w:val="4"/>
        <w:spacing w:line="240" w:lineRule="auto"/>
        <w:rPr>
          <w:rFonts w:ascii="Times New Roman" w:hAnsi="Times New Roman"/>
          <w:highlight w:val="none"/>
        </w:rPr>
      </w:pPr>
      <w:bookmarkStart w:id="992" w:name="_Toc22397"/>
      <w:bookmarkStart w:id="993" w:name="_Toc16058"/>
      <w:bookmarkStart w:id="994" w:name="_Toc27330"/>
      <w:bookmarkStart w:id="995" w:name="_Toc11673"/>
      <w:r>
        <w:rPr>
          <w:rFonts w:ascii="Times New Roman" w:hAnsi="Times New Roman"/>
          <w:highlight w:val="none"/>
        </w:rPr>
        <w:t>3.1 初步评审</w:t>
      </w:r>
      <w:bookmarkEnd w:id="992"/>
      <w:bookmarkEnd w:id="993"/>
      <w:bookmarkEnd w:id="994"/>
      <w:bookmarkEnd w:id="995"/>
    </w:p>
    <w:p>
      <w:pPr>
        <w:spacing w:line="400" w:lineRule="exact"/>
        <w:ind w:firstLine="420" w:firstLineChars="200"/>
        <w:rPr>
          <w:highlight w:val="none"/>
        </w:rPr>
      </w:pPr>
      <w:r>
        <w:rPr>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400" w:lineRule="exact"/>
        <w:ind w:firstLine="420" w:firstLineChars="200"/>
        <w:rPr>
          <w:highlight w:val="none"/>
        </w:rPr>
      </w:pPr>
      <w:r>
        <w:rPr>
          <w:highlight w:val="none"/>
        </w:rPr>
        <w:t>3.1.2 投标人有以下情形之一的，评标委员会应当否决其投标：</w:t>
      </w:r>
    </w:p>
    <w:p>
      <w:pPr>
        <w:spacing w:line="400" w:lineRule="exact"/>
        <w:ind w:firstLine="420" w:firstLineChars="200"/>
        <w:rPr>
          <w:highlight w:val="none"/>
        </w:rPr>
      </w:pPr>
      <w:r>
        <w:rPr>
          <w:highlight w:val="none"/>
        </w:rPr>
        <w:t>（1）投标文件没有对招标文件的实质性要求和条件作出响应，或者对招标文件的偏差超出招标文件规定的偏差范围或最高项数；</w:t>
      </w:r>
    </w:p>
    <w:p>
      <w:pPr>
        <w:spacing w:line="400" w:lineRule="exact"/>
        <w:ind w:firstLine="420" w:firstLineChars="200"/>
        <w:rPr>
          <w:highlight w:val="none"/>
        </w:rPr>
      </w:pPr>
      <w:r>
        <w:rPr>
          <w:highlight w:val="none"/>
        </w:rPr>
        <w:t>（2）有串通投标、弄虚作假、行贿等违法行为。</w:t>
      </w:r>
    </w:p>
    <w:p>
      <w:pPr>
        <w:spacing w:line="400" w:lineRule="exact"/>
        <w:ind w:firstLine="420" w:firstLineChars="200"/>
        <w:rPr>
          <w:highlight w:val="none"/>
        </w:rPr>
      </w:pPr>
      <w:r>
        <w:rPr>
          <w:highlight w:val="none"/>
        </w:rPr>
        <w:t>3.1.3 投标报价有算术错误及其他错误的，评标委员会按以下原则要求投标人对投标报价进</w:t>
      </w:r>
      <w:bookmarkStart w:id="996" w:name="_Toc2907"/>
      <w:bookmarkStart w:id="997" w:name="_Toc300835013"/>
      <w:bookmarkStart w:id="998" w:name="_Toc361508651"/>
      <w:bookmarkStart w:id="999" w:name="_Toc352691538"/>
      <w:bookmarkStart w:id="1000" w:name="_Toc152042380"/>
      <w:bookmarkStart w:id="1001" w:name="_Toc247514027"/>
      <w:bookmarkStart w:id="1002" w:name="_Toc384308277"/>
      <w:bookmarkStart w:id="1003" w:name="_Toc369531582"/>
      <w:bookmarkStart w:id="1004" w:name="_Toc152045603"/>
      <w:bookmarkStart w:id="1005" w:name="_Toc144974570"/>
      <w:bookmarkStart w:id="1006" w:name="_Toc247527628"/>
      <w:r>
        <w:rPr>
          <w:highlight w:val="none"/>
        </w:rPr>
        <w:t>行修正，并要求投标人书面澄清确认。</w:t>
      </w:r>
      <w:bookmarkEnd w:id="996"/>
      <w:bookmarkEnd w:id="997"/>
      <w:bookmarkEnd w:id="998"/>
      <w:bookmarkEnd w:id="999"/>
      <w:bookmarkEnd w:id="1000"/>
      <w:bookmarkEnd w:id="1001"/>
      <w:bookmarkEnd w:id="1002"/>
      <w:bookmarkEnd w:id="1003"/>
      <w:bookmarkEnd w:id="1004"/>
      <w:bookmarkEnd w:id="1005"/>
      <w:bookmarkEnd w:id="1006"/>
      <w:r>
        <w:rPr>
          <w:highlight w:val="none"/>
        </w:rPr>
        <w:t>投标人拒不澄清确认的，评标委员会应当否决其投标：</w:t>
      </w:r>
    </w:p>
    <w:p>
      <w:pPr>
        <w:spacing w:line="400" w:lineRule="exact"/>
        <w:ind w:firstLine="420" w:firstLineChars="200"/>
        <w:rPr>
          <w:highlight w:val="none"/>
        </w:rPr>
      </w:pPr>
      <w:r>
        <w:rPr>
          <w:highlight w:val="none"/>
        </w:rPr>
        <w:t>（1）投标文件中的大写金额与小写金额不一致的，以大写金额为准；</w:t>
      </w:r>
    </w:p>
    <w:p>
      <w:pPr>
        <w:pStyle w:val="4"/>
        <w:spacing w:line="240" w:lineRule="auto"/>
        <w:rPr>
          <w:rFonts w:ascii="Times New Roman" w:hAnsi="Times New Roman"/>
          <w:highlight w:val="none"/>
        </w:rPr>
      </w:pPr>
      <w:bookmarkStart w:id="1007" w:name="_Toc25021"/>
      <w:bookmarkStart w:id="1008" w:name="_Toc1689"/>
      <w:bookmarkStart w:id="1009" w:name="_Toc22094"/>
      <w:bookmarkStart w:id="1010" w:name="_Toc24213"/>
      <w:r>
        <w:rPr>
          <w:rFonts w:ascii="Times New Roman" w:hAnsi="Times New Roman"/>
          <w:highlight w:val="none"/>
        </w:rPr>
        <w:t>3.2 详细评审</w:t>
      </w:r>
      <w:bookmarkEnd w:id="1007"/>
      <w:bookmarkEnd w:id="1008"/>
      <w:bookmarkEnd w:id="1009"/>
      <w:bookmarkEnd w:id="1010"/>
    </w:p>
    <w:p>
      <w:pPr>
        <w:spacing w:line="400" w:lineRule="exact"/>
        <w:ind w:firstLine="420" w:firstLineChars="200"/>
        <w:rPr>
          <w:highlight w:val="none"/>
        </w:rPr>
      </w:pPr>
      <w:r>
        <w:rPr>
          <w:highlight w:val="none"/>
        </w:rPr>
        <w:t>3.2.1 评标委员会按本章第2.2款规定的量化因素和分值进行打分，并计算出综合评估得分。</w:t>
      </w:r>
    </w:p>
    <w:p>
      <w:pPr>
        <w:spacing w:line="400" w:lineRule="exact"/>
        <w:ind w:firstLine="420" w:firstLineChars="200"/>
        <w:rPr>
          <w:highlight w:val="none"/>
        </w:rPr>
      </w:pPr>
      <w:r>
        <w:rPr>
          <w:highlight w:val="none"/>
        </w:rPr>
        <w:t>（1）按本章第2.2.4规定的评审因素和分值对</w:t>
      </w:r>
      <w:r>
        <w:rPr>
          <w:rFonts w:hint="eastAsia" w:ascii="宋体" w:hAnsi="宋体" w:cs="宋体"/>
          <w:sz w:val="24"/>
          <w:highlight w:val="none"/>
        </w:rPr>
        <w:t>商</w:t>
      </w:r>
      <w:r>
        <w:rPr>
          <w:rFonts w:hint="eastAsia"/>
          <w:highlight w:val="none"/>
        </w:rPr>
        <w:t>务部分评审</w:t>
      </w:r>
      <w:r>
        <w:rPr>
          <w:highlight w:val="none"/>
        </w:rPr>
        <w:t>计算出得分A；</w:t>
      </w:r>
    </w:p>
    <w:p>
      <w:pPr>
        <w:spacing w:line="400" w:lineRule="exact"/>
        <w:ind w:firstLine="420" w:firstLineChars="200"/>
        <w:rPr>
          <w:highlight w:val="none"/>
        </w:rPr>
      </w:pPr>
      <w:r>
        <w:rPr>
          <w:highlight w:val="none"/>
        </w:rPr>
        <w:t>（2）按本章第2.2.</w:t>
      </w:r>
      <w:r>
        <w:rPr>
          <w:rFonts w:hint="eastAsia"/>
          <w:highlight w:val="none"/>
        </w:rPr>
        <w:t>5</w:t>
      </w:r>
      <w:r>
        <w:rPr>
          <w:highlight w:val="none"/>
        </w:rPr>
        <w:t>规定的评审因素和分值对</w:t>
      </w:r>
      <w:r>
        <w:rPr>
          <w:rFonts w:hint="eastAsia"/>
          <w:highlight w:val="none"/>
        </w:rPr>
        <w:t>技术部分评审</w:t>
      </w:r>
      <w:r>
        <w:rPr>
          <w:highlight w:val="none"/>
        </w:rPr>
        <w:t>计算出得分B；</w:t>
      </w:r>
    </w:p>
    <w:p>
      <w:pPr>
        <w:spacing w:line="400" w:lineRule="exact"/>
        <w:ind w:firstLine="420" w:firstLineChars="200"/>
        <w:rPr>
          <w:highlight w:val="none"/>
        </w:rPr>
      </w:pPr>
      <w:r>
        <w:rPr>
          <w:highlight w:val="none"/>
        </w:rPr>
        <w:t>（3）按本章第2.2.</w:t>
      </w:r>
      <w:r>
        <w:rPr>
          <w:rFonts w:hint="eastAsia"/>
          <w:highlight w:val="none"/>
        </w:rPr>
        <w:t>3</w:t>
      </w:r>
      <w:r>
        <w:rPr>
          <w:highlight w:val="none"/>
        </w:rPr>
        <w:t>规定的评审因素和</w:t>
      </w:r>
      <w:bookmarkStart w:id="1011" w:name="_Toc24330"/>
      <w:bookmarkStart w:id="1012" w:name="_Toc352691539"/>
      <w:bookmarkStart w:id="1013" w:name="_Toc152042381"/>
      <w:bookmarkStart w:id="1014" w:name="_Toc369531583"/>
      <w:bookmarkStart w:id="1015" w:name="_Toc247527629"/>
      <w:bookmarkStart w:id="1016" w:name="_Toc300835014"/>
      <w:bookmarkStart w:id="1017" w:name="_Toc152045604"/>
      <w:bookmarkStart w:id="1018" w:name="_Toc361508652"/>
      <w:bookmarkStart w:id="1019" w:name="_Toc384308278"/>
      <w:bookmarkStart w:id="1020" w:name="_Toc144974571"/>
      <w:bookmarkStart w:id="1021" w:name="_Toc247514028"/>
      <w:r>
        <w:rPr>
          <w:highlight w:val="none"/>
        </w:rPr>
        <w:t>分值对投标报价</w:t>
      </w:r>
      <w:bookmarkEnd w:id="1011"/>
      <w:bookmarkEnd w:id="1012"/>
      <w:bookmarkEnd w:id="1013"/>
      <w:bookmarkEnd w:id="1014"/>
      <w:bookmarkEnd w:id="1015"/>
      <w:bookmarkEnd w:id="1016"/>
      <w:bookmarkEnd w:id="1017"/>
      <w:bookmarkEnd w:id="1018"/>
      <w:bookmarkEnd w:id="1019"/>
      <w:bookmarkEnd w:id="1020"/>
      <w:bookmarkEnd w:id="1021"/>
      <w:r>
        <w:rPr>
          <w:highlight w:val="none"/>
        </w:rPr>
        <w:t>计</w:t>
      </w:r>
      <w:bookmarkStart w:id="1022" w:name="_Toc152042382"/>
      <w:bookmarkStart w:id="1023" w:name="_Toc152045605"/>
      <w:bookmarkStart w:id="1024" w:name="_Toc18141"/>
      <w:bookmarkStart w:id="1025" w:name="_Toc144974572"/>
      <w:bookmarkStart w:id="1026" w:name="_Toc247527630"/>
      <w:bookmarkStart w:id="1027" w:name="_Toc352691540"/>
      <w:bookmarkStart w:id="1028" w:name="_Toc369531584"/>
      <w:bookmarkStart w:id="1029" w:name="_Toc300835015"/>
      <w:bookmarkStart w:id="1030" w:name="_Toc384308279"/>
      <w:bookmarkStart w:id="1031" w:name="_Toc361508653"/>
      <w:bookmarkStart w:id="1032" w:name="_Toc247514029"/>
      <w:r>
        <w:rPr>
          <w:highlight w:val="none"/>
        </w:rPr>
        <w:t>算出得分C；</w:t>
      </w:r>
    </w:p>
    <w:bookmarkEnd w:id="1022"/>
    <w:bookmarkEnd w:id="1023"/>
    <w:bookmarkEnd w:id="1024"/>
    <w:bookmarkEnd w:id="1025"/>
    <w:bookmarkEnd w:id="1026"/>
    <w:bookmarkEnd w:id="1027"/>
    <w:bookmarkEnd w:id="1028"/>
    <w:bookmarkEnd w:id="1029"/>
    <w:bookmarkEnd w:id="1030"/>
    <w:bookmarkEnd w:id="1031"/>
    <w:bookmarkEnd w:id="1032"/>
    <w:p>
      <w:pPr>
        <w:spacing w:line="400" w:lineRule="exact"/>
        <w:ind w:firstLine="420" w:firstLineChars="200"/>
        <w:rPr>
          <w:highlight w:val="none"/>
        </w:rPr>
      </w:pPr>
      <w:r>
        <w:rPr>
          <w:highlight w:val="none"/>
        </w:rPr>
        <w:t>3.2.2 评分分值计算保留小数点后两位，小数点后第三位“四舍五入”。</w:t>
      </w:r>
    </w:p>
    <w:p>
      <w:pPr>
        <w:spacing w:line="400" w:lineRule="exact"/>
        <w:ind w:firstLine="420" w:firstLineChars="200"/>
        <w:rPr>
          <w:highlight w:val="none"/>
        </w:rPr>
      </w:pPr>
      <w:r>
        <w:rPr>
          <w:highlight w:val="none"/>
        </w:rPr>
        <w:t>3.2.3 投标人得分=A+B+C。</w:t>
      </w:r>
    </w:p>
    <w:p>
      <w:pPr>
        <w:spacing w:line="400" w:lineRule="exact"/>
        <w:ind w:firstLine="420" w:firstLineChars="200"/>
        <w:rPr>
          <w:highlight w:val="none"/>
        </w:rPr>
      </w:pPr>
      <w:r>
        <w:rPr>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spacing w:line="240" w:lineRule="auto"/>
        <w:rPr>
          <w:rFonts w:ascii="Times New Roman" w:hAnsi="Times New Roman"/>
          <w:highlight w:val="none"/>
        </w:rPr>
      </w:pPr>
      <w:bookmarkStart w:id="1033" w:name="_Toc20466"/>
      <w:bookmarkStart w:id="1034" w:name="_Toc9568"/>
      <w:bookmarkStart w:id="1035" w:name="_Toc13683"/>
      <w:bookmarkStart w:id="1036" w:name="_Toc17723"/>
      <w:r>
        <w:rPr>
          <w:rFonts w:ascii="Times New Roman" w:hAnsi="Times New Roman"/>
          <w:highlight w:val="none"/>
        </w:rPr>
        <w:t>3.3 投标文件的澄清</w:t>
      </w:r>
      <w:bookmarkEnd w:id="1033"/>
      <w:bookmarkEnd w:id="1034"/>
      <w:bookmarkEnd w:id="1035"/>
      <w:bookmarkEnd w:id="1036"/>
    </w:p>
    <w:p>
      <w:pPr>
        <w:spacing w:line="400" w:lineRule="exact"/>
        <w:ind w:firstLine="420" w:firstLineChars="200"/>
        <w:rPr>
          <w:highlight w:val="none"/>
        </w:rPr>
      </w:pPr>
      <w:r>
        <w:rPr>
          <w:highlight w:val="none"/>
        </w:rPr>
        <w:t xml:space="preserve">3.3.1 </w:t>
      </w:r>
      <w:r>
        <w:rPr>
          <w:rFonts w:hint="eastAsia"/>
          <w:highlight w:val="none"/>
        </w:rPr>
        <w:t>评标委员会按本章第 2.2 款规定的量化因素和分值进行打分，并计算出综合评估得分。评标办法前附表对承包人建议书中的设计文件评审有特殊规定的，从其规定。</w:t>
      </w:r>
    </w:p>
    <w:p>
      <w:pPr>
        <w:spacing w:line="400" w:lineRule="exact"/>
        <w:ind w:firstLine="420" w:firstLineChars="200"/>
        <w:rPr>
          <w:highlight w:val="none"/>
        </w:rPr>
      </w:pPr>
      <w:r>
        <w:rPr>
          <w:highlight w:val="none"/>
        </w:rPr>
        <w:t xml:space="preserve">3.3.2 </w:t>
      </w:r>
      <w:r>
        <w:rPr>
          <w:rFonts w:hint="eastAsia"/>
          <w:highlight w:val="none"/>
        </w:rPr>
        <w:t>投标人投标报价得分最低分为 0 分，取值保留到小数点后四位，小数点后第五位“四舍五入”；其他评分分值计算保留小数点后两位，小数点后第三位“四舍五入”。</w:t>
      </w:r>
    </w:p>
    <w:p>
      <w:pPr>
        <w:spacing w:line="400" w:lineRule="exact"/>
        <w:ind w:firstLine="210" w:firstLineChars="100"/>
        <w:rPr>
          <w:highlight w:val="none"/>
        </w:rPr>
      </w:pPr>
      <w:r>
        <w:rPr>
          <w:highlight w:val="none"/>
        </w:rPr>
        <w:t xml:space="preserve">3.3.3 </w:t>
      </w:r>
      <w:r>
        <w:rPr>
          <w:rFonts w:hint="eastAsia"/>
          <w:highlight w:val="none"/>
        </w:rPr>
        <w:t>投标人总得分按“评标办法前附表”2.2.1 项的计算公式计算出综合评估得分。</w:t>
      </w:r>
    </w:p>
    <w:p>
      <w:pPr>
        <w:spacing w:line="400" w:lineRule="exact"/>
        <w:ind w:firstLine="210" w:firstLineChars="100"/>
        <w:rPr>
          <w:highlight w:val="none"/>
        </w:rPr>
      </w:pPr>
      <w:r>
        <w:rPr>
          <w:rFonts w:hint="eastAsia"/>
          <w:highlight w:val="none"/>
        </w:rPr>
        <w:t>3.3.4当招标文件提供的评审表格不能满足评标委员会评审要求时，评标委员会可根据评审需要编制评审表格或对招标文件评标办法所附评审表格进行修改。</w:t>
      </w:r>
    </w:p>
    <w:p>
      <w:pPr>
        <w:spacing w:line="400" w:lineRule="exact"/>
        <w:ind w:firstLine="210" w:firstLineChars="100"/>
        <w:rPr>
          <w:highlight w:val="none"/>
        </w:rPr>
      </w:pPr>
      <w:r>
        <w:rPr>
          <w:rFonts w:hint="eastAsia"/>
          <w:highlight w:val="none"/>
        </w:rPr>
        <w:t>3.3.5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4"/>
        <w:spacing w:line="240" w:lineRule="auto"/>
        <w:rPr>
          <w:rFonts w:ascii="Times New Roman" w:hAnsi="Times New Roman"/>
          <w:highlight w:val="none"/>
        </w:rPr>
      </w:pPr>
      <w:bookmarkStart w:id="1037" w:name="_Toc4443"/>
      <w:bookmarkStart w:id="1038" w:name="_Toc5518"/>
      <w:bookmarkStart w:id="1039" w:name="_Toc19101"/>
      <w:bookmarkStart w:id="1040" w:name="_Toc14643"/>
      <w:r>
        <w:rPr>
          <w:rFonts w:hint="eastAsia" w:ascii="Times New Roman" w:hAnsi="Times New Roman"/>
          <w:highlight w:val="none"/>
        </w:rPr>
        <w:t>3.4 投标文件的澄清和补正</w:t>
      </w:r>
      <w:bookmarkEnd w:id="1037"/>
      <w:bookmarkEnd w:id="1038"/>
      <w:bookmarkEnd w:id="1039"/>
    </w:p>
    <w:p>
      <w:pPr>
        <w:spacing w:line="360" w:lineRule="auto"/>
        <w:ind w:firstLine="210" w:firstLineChars="100"/>
        <w:rPr>
          <w:highlight w:val="none"/>
        </w:rPr>
      </w:pPr>
      <w:r>
        <w:rPr>
          <w:rFonts w:hint="eastAsia"/>
          <w:highlight w:val="none"/>
        </w:rPr>
        <w:t>3.4.1 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210" w:firstLineChars="100"/>
        <w:rPr>
          <w:highlight w:val="none"/>
        </w:rPr>
      </w:pPr>
      <w:r>
        <w:rPr>
          <w:rFonts w:hint="eastAsia"/>
          <w:highlight w:val="none"/>
        </w:rPr>
        <w:t>3.4.2 澄清、说明和补正不得改变投标文件的实质性内容。投标人的书面澄清、说明和补正属于投标文件的组成部分。</w:t>
      </w:r>
    </w:p>
    <w:p>
      <w:pPr>
        <w:spacing w:line="360" w:lineRule="auto"/>
        <w:ind w:firstLine="210" w:firstLineChars="100"/>
        <w:rPr>
          <w:highlight w:val="none"/>
        </w:rPr>
      </w:pPr>
      <w:r>
        <w:rPr>
          <w:rFonts w:hint="eastAsia"/>
          <w:highlight w:val="none"/>
        </w:rPr>
        <w:t>3.4.3 评标委员会对投标人提交的澄清、说明或补正有疑问的，可以要求投标人进一步澄清、说明或补正，直至满足评标委员会的要求。</w:t>
      </w:r>
    </w:p>
    <w:p>
      <w:pPr>
        <w:ind w:firstLine="210" w:firstLineChars="100"/>
        <w:rPr>
          <w:highlight w:val="none"/>
        </w:rPr>
      </w:pPr>
    </w:p>
    <w:p>
      <w:pPr>
        <w:ind w:firstLine="280" w:firstLineChars="100"/>
        <w:rPr>
          <w:rFonts w:eastAsia="黑体"/>
          <w:bCs/>
          <w:sz w:val="28"/>
          <w:szCs w:val="28"/>
          <w:highlight w:val="none"/>
        </w:rPr>
      </w:pPr>
      <w:r>
        <w:rPr>
          <w:rFonts w:hint="eastAsia" w:eastAsia="黑体"/>
          <w:bCs/>
          <w:sz w:val="28"/>
          <w:szCs w:val="28"/>
          <w:highlight w:val="none"/>
        </w:rPr>
        <w:t>3.5 特殊情况的处置程序</w:t>
      </w:r>
    </w:p>
    <w:p>
      <w:pPr>
        <w:spacing w:line="360" w:lineRule="auto"/>
        <w:ind w:firstLine="210" w:firstLineChars="100"/>
        <w:rPr>
          <w:rFonts w:ascii="Calibri" w:hAnsi="Calibri"/>
          <w:highlight w:val="none"/>
        </w:rPr>
      </w:pPr>
      <w:r>
        <w:rPr>
          <w:rFonts w:hint="eastAsia" w:ascii="Calibri" w:hAnsi="Calibri"/>
          <w:highlight w:val="none"/>
        </w:rPr>
        <w:t>3.5.1 关于评标活动暂停</w:t>
      </w:r>
    </w:p>
    <w:p>
      <w:pPr>
        <w:spacing w:line="360" w:lineRule="auto"/>
        <w:ind w:firstLine="210" w:firstLineChars="100"/>
        <w:rPr>
          <w:rFonts w:ascii="Calibri" w:hAnsi="Calibri"/>
          <w:highlight w:val="none"/>
        </w:rPr>
      </w:pPr>
      <w:r>
        <w:rPr>
          <w:rFonts w:hint="eastAsia" w:ascii="Calibri" w:hAnsi="Calibri"/>
          <w:highlight w:val="none"/>
        </w:rPr>
        <w:t>3.5.1.1 评标委员会应当执行连续评标的原则，按评标办法中规定的程序、内容、方法、标准完成全部</w:t>
      </w:r>
    </w:p>
    <w:p>
      <w:pPr>
        <w:spacing w:line="360" w:lineRule="auto"/>
        <w:rPr>
          <w:rFonts w:ascii="Calibri" w:hAnsi="Calibri"/>
          <w:highlight w:val="none"/>
        </w:rPr>
      </w:pPr>
      <w:r>
        <w:rPr>
          <w:rFonts w:hint="eastAsia" w:ascii="Calibri" w:hAnsi="Calibri"/>
          <w:highlight w:val="none"/>
        </w:rPr>
        <w:t>评标工作。只有发生不可抗力导致评标工作无法继续时，评标活动方可暂停。</w:t>
      </w:r>
    </w:p>
    <w:p>
      <w:pPr>
        <w:spacing w:line="360" w:lineRule="auto"/>
        <w:ind w:firstLine="210" w:firstLineChars="100"/>
        <w:rPr>
          <w:rFonts w:ascii="Calibri" w:hAnsi="Calibri"/>
          <w:highlight w:val="none"/>
        </w:rPr>
      </w:pPr>
      <w:r>
        <w:rPr>
          <w:rFonts w:hint="eastAsia" w:ascii="Calibri" w:hAnsi="Calibri"/>
          <w:highlight w:val="none"/>
        </w:rPr>
        <w:t>3.5.1.2 发生评标暂停情况时，评标委员会应当封存全部投标文件和评标记录，待不可抗力的影响结束</w:t>
      </w:r>
    </w:p>
    <w:p>
      <w:pPr>
        <w:spacing w:line="360" w:lineRule="auto"/>
        <w:rPr>
          <w:rFonts w:ascii="Calibri" w:hAnsi="Calibri"/>
          <w:highlight w:val="none"/>
        </w:rPr>
      </w:pPr>
      <w:r>
        <w:rPr>
          <w:rFonts w:hint="eastAsia" w:ascii="Calibri" w:hAnsi="Calibri"/>
          <w:highlight w:val="none"/>
        </w:rPr>
        <w:t>且具备继续评标的条件时，由原评标委员会继续评标。</w:t>
      </w:r>
    </w:p>
    <w:p>
      <w:pPr>
        <w:spacing w:line="360" w:lineRule="auto"/>
        <w:ind w:firstLine="210" w:firstLineChars="100"/>
        <w:rPr>
          <w:rFonts w:ascii="Calibri" w:hAnsi="Calibri"/>
          <w:highlight w:val="none"/>
        </w:rPr>
      </w:pPr>
      <w:r>
        <w:rPr>
          <w:rFonts w:hint="eastAsia" w:ascii="Calibri" w:hAnsi="Calibri"/>
          <w:highlight w:val="none"/>
        </w:rPr>
        <w:t>3.5.2 关于评标中途更换评标委员会成员</w:t>
      </w:r>
    </w:p>
    <w:p>
      <w:pPr>
        <w:spacing w:line="360" w:lineRule="auto"/>
        <w:ind w:firstLine="210" w:firstLineChars="100"/>
        <w:rPr>
          <w:rFonts w:ascii="Calibri" w:hAnsi="Calibri"/>
          <w:highlight w:val="none"/>
        </w:rPr>
      </w:pPr>
      <w:r>
        <w:rPr>
          <w:rFonts w:hint="eastAsia" w:ascii="Calibri" w:hAnsi="Calibri"/>
          <w:highlight w:val="none"/>
        </w:rPr>
        <w:t>3.5.2.1 除非发生下列情况之一，评标委员会成员不得在评标中途更换：</w:t>
      </w:r>
    </w:p>
    <w:p>
      <w:pPr>
        <w:spacing w:line="360" w:lineRule="auto"/>
        <w:ind w:firstLine="210" w:firstLineChars="100"/>
        <w:rPr>
          <w:rFonts w:ascii="Calibri" w:hAnsi="Calibri"/>
          <w:highlight w:val="none"/>
        </w:rPr>
      </w:pPr>
      <w:r>
        <w:rPr>
          <w:rFonts w:hint="eastAsia" w:ascii="Calibri" w:hAnsi="Calibri"/>
          <w:highlight w:val="none"/>
        </w:rPr>
        <w:t>（1）因不可抗拒的客观原因，不能到场或需在评标中途退出评标活动。</w:t>
      </w:r>
    </w:p>
    <w:p>
      <w:pPr>
        <w:spacing w:line="360" w:lineRule="auto"/>
        <w:ind w:firstLine="210" w:firstLineChars="100"/>
        <w:rPr>
          <w:rFonts w:ascii="Calibri" w:hAnsi="Calibri"/>
          <w:highlight w:val="none"/>
        </w:rPr>
      </w:pPr>
      <w:r>
        <w:rPr>
          <w:rFonts w:hint="eastAsia" w:ascii="Calibri" w:hAnsi="Calibri"/>
          <w:highlight w:val="none"/>
        </w:rPr>
        <w:t>（2）根据法律法规规定，某个或某几个评标委员会成员需要回避。</w:t>
      </w:r>
    </w:p>
    <w:p>
      <w:pPr>
        <w:spacing w:line="360" w:lineRule="auto"/>
        <w:ind w:firstLine="210" w:firstLineChars="100"/>
        <w:rPr>
          <w:rFonts w:ascii="Calibri" w:hAnsi="Calibri"/>
          <w:highlight w:val="none"/>
        </w:rPr>
      </w:pPr>
      <w:r>
        <w:rPr>
          <w:rFonts w:hint="eastAsia" w:ascii="Calibri" w:hAnsi="Calibri"/>
          <w:highlight w:val="none"/>
        </w:rPr>
        <w:t>3.5.2.2 退出评标的评标委员会成员，其已完成的评标行为无效。由招标人根据本招标文件规定的评标</w:t>
      </w:r>
    </w:p>
    <w:p>
      <w:pPr>
        <w:spacing w:line="360" w:lineRule="auto"/>
        <w:rPr>
          <w:rFonts w:ascii="Calibri" w:hAnsi="Calibri"/>
          <w:highlight w:val="none"/>
        </w:rPr>
      </w:pPr>
      <w:r>
        <w:rPr>
          <w:rFonts w:hint="eastAsia" w:ascii="Calibri" w:hAnsi="Calibri"/>
          <w:highlight w:val="none"/>
        </w:rPr>
        <w:t>委员会成员产生方式另行确定替代者进行评标。</w:t>
      </w:r>
    </w:p>
    <w:p>
      <w:pPr>
        <w:pStyle w:val="4"/>
        <w:spacing w:line="240" w:lineRule="auto"/>
        <w:rPr>
          <w:rFonts w:ascii="Times New Roman" w:hAnsi="Times New Roman"/>
          <w:highlight w:val="none"/>
        </w:rPr>
      </w:pPr>
      <w:bookmarkStart w:id="1041" w:name="_Toc17330"/>
      <w:bookmarkStart w:id="1042" w:name="_Toc11596"/>
      <w:bookmarkStart w:id="1043" w:name="_Toc10899"/>
      <w:r>
        <w:rPr>
          <w:rFonts w:hint="eastAsia" w:ascii="Times New Roman" w:hAnsi="Times New Roman"/>
          <w:highlight w:val="none"/>
        </w:rPr>
        <w:t>3.6 记名投票</w:t>
      </w:r>
      <w:bookmarkEnd w:id="1041"/>
      <w:bookmarkEnd w:id="1042"/>
      <w:bookmarkEnd w:id="1043"/>
    </w:p>
    <w:p>
      <w:pPr>
        <w:ind w:firstLine="210" w:firstLineChars="100"/>
        <w:rPr>
          <w:highlight w:val="none"/>
        </w:rPr>
      </w:pPr>
      <w:r>
        <w:rPr>
          <w:rFonts w:hint="eastAsia"/>
          <w:highlight w:val="none"/>
        </w:rPr>
        <w:t>在任何评标环节中，需评标委员会就某项定性的评审结论做出表决的，由评标委员会全体成员按照少数服从多数的原则，以记名投票方式表决。</w:t>
      </w:r>
    </w:p>
    <w:p>
      <w:pPr>
        <w:ind w:firstLine="210" w:firstLineChars="100"/>
        <w:rPr>
          <w:highlight w:val="none"/>
        </w:rPr>
      </w:pPr>
    </w:p>
    <w:p>
      <w:pPr>
        <w:pStyle w:val="4"/>
        <w:spacing w:line="240" w:lineRule="auto"/>
        <w:rPr>
          <w:rFonts w:ascii="Times New Roman" w:hAnsi="Times New Roman"/>
          <w:highlight w:val="none"/>
        </w:rPr>
      </w:pPr>
      <w:bookmarkStart w:id="1044" w:name="_Toc31568"/>
      <w:bookmarkStart w:id="1045" w:name="_Toc5871"/>
      <w:bookmarkStart w:id="1046" w:name="_Toc20625"/>
      <w:r>
        <w:rPr>
          <w:rFonts w:hint="eastAsia" w:ascii="Times New Roman" w:hAnsi="Times New Roman"/>
          <w:highlight w:val="none"/>
        </w:rPr>
        <w:t>3.7 评标结果</w:t>
      </w:r>
      <w:bookmarkEnd w:id="1044"/>
      <w:bookmarkEnd w:id="1045"/>
      <w:bookmarkEnd w:id="1046"/>
    </w:p>
    <w:p>
      <w:pPr>
        <w:pStyle w:val="4"/>
        <w:spacing w:line="360" w:lineRule="auto"/>
        <w:ind w:firstLine="103"/>
        <w:rPr>
          <w:rFonts w:ascii="Times New Roman" w:hAnsi="Times New Roman" w:eastAsia="宋体"/>
          <w:bCs w:val="0"/>
          <w:sz w:val="21"/>
          <w:szCs w:val="24"/>
          <w:highlight w:val="none"/>
        </w:rPr>
      </w:pPr>
      <w:bookmarkStart w:id="1047" w:name="_Toc26501"/>
      <w:bookmarkStart w:id="1048" w:name="_Toc13424"/>
      <w:bookmarkStart w:id="1049" w:name="_Toc31825"/>
      <w:r>
        <w:rPr>
          <w:rFonts w:hint="eastAsia" w:ascii="Times New Roman" w:hAnsi="Times New Roman" w:eastAsia="宋体"/>
          <w:bCs w:val="0"/>
          <w:sz w:val="21"/>
          <w:szCs w:val="24"/>
          <w:highlight w:val="none"/>
        </w:rPr>
        <w:t>1、收集整理各评委的评分表，取各评委评分的算术平均值作为各投标人的得分，并将技术文件得分、商务文件得分、报价得分进行汇总相加，得出各投标人的总得分。</w:t>
      </w:r>
      <w:bookmarkEnd w:id="1047"/>
      <w:bookmarkEnd w:id="1048"/>
      <w:bookmarkEnd w:id="1049"/>
    </w:p>
    <w:p>
      <w:pPr>
        <w:pStyle w:val="4"/>
        <w:spacing w:line="360" w:lineRule="auto"/>
        <w:ind w:firstLine="103"/>
        <w:rPr>
          <w:rFonts w:ascii="Times New Roman" w:hAnsi="Times New Roman" w:eastAsia="宋体"/>
          <w:bCs w:val="0"/>
          <w:sz w:val="21"/>
          <w:szCs w:val="24"/>
          <w:highlight w:val="none"/>
        </w:rPr>
      </w:pPr>
      <w:bookmarkStart w:id="1050" w:name="_Toc8098"/>
      <w:bookmarkStart w:id="1051" w:name="_Toc5435"/>
      <w:bookmarkStart w:id="1052" w:name="_Toc20344"/>
      <w:r>
        <w:rPr>
          <w:rFonts w:hint="eastAsia" w:ascii="Times New Roman" w:hAnsi="Times New Roman" w:eastAsia="宋体"/>
          <w:bCs w:val="0"/>
          <w:sz w:val="21"/>
          <w:szCs w:val="24"/>
          <w:highlight w:val="none"/>
        </w:rPr>
        <w:t>总得分=技术文件得分+商务文件得分+报价得分。</w:t>
      </w:r>
      <w:bookmarkEnd w:id="1050"/>
      <w:bookmarkEnd w:id="1051"/>
      <w:bookmarkEnd w:id="1052"/>
    </w:p>
    <w:p>
      <w:pPr>
        <w:pStyle w:val="4"/>
        <w:spacing w:line="360" w:lineRule="auto"/>
        <w:ind w:firstLine="103"/>
        <w:rPr>
          <w:rFonts w:ascii="Times New Roman" w:hAnsi="Times New Roman" w:eastAsia="宋体"/>
          <w:bCs w:val="0"/>
          <w:sz w:val="21"/>
          <w:szCs w:val="24"/>
          <w:highlight w:val="none"/>
        </w:rPr>
      </w:pPr>
      <w:bookmarkStart w:id="1053" w:name="_Toc8010"/>
      <w:bookmarkStart w:id="1054" w:name="_Toc4564"/>
      <w:bookmarkStart w:id="1055" w:name="_Toc8066"/>
      <w:r>
        <w:rPr>
          <w:rFonts w:hint="eastAsia" w:ascii="Times New Roman" w:hAnsi="Times New Roman" w:eastAsia="宋体"/>
          <w:bCs w:val="0"/>
          <w:sz w:val="21"/>
          <w:szCs w:val="24"/>
          <w:highlight w:val="none"/>
        </w:rPr>
        <w:t>所有评标得分取值保留到小数点后四位。</w:t>
      </w:r>
      <w:bookmarkEnd w:id="1053"/>
      <w:bookmarkEnd w:id="1054"/>
      <w:bookmarkEnd w:id="1055"/>
    </w:p>
    <w:p>
      <w:pPr>
        <w:spacing w:line="360" w:lineRule="auto"/>
        <w:rPr>
          <w:highlight w:val="none"/>
        </w:rPr>
      </w:pPr>
      <w:r>
        <w:rPr>
          <w:rFonts w:hint="eastAsia"/>
          <w:highlight w:val="none"/>
        </w:rPr>
        <w:t>2、计算得出各投标人的评标总得分后，评标委员会根据各投标人的总得分的高低进行排名，</w:t>
      </w:r>
      <w:r>
        <w:rPr>
          <w:highlight w:val="none"/>
        </w:rPr>
        <w:t>综合评分相等时，以投标报价低的优先；投标报价也相等的，按照评标办法前附表的规定确定中标候选人顺序</w:t>
      </w:r>
      <w:r>
        <w:rPr>
          <w:rFonts w:hint="eastAsia"/>
          <w:highlight w:val="none"/>
        </w:rPr>
        <w:t>。</w:t>
      </w:r>
    </w:p>
    <w:p>
      <w:pPr>
        <w:pStyle w:val="4"/>
        <w:spacing w:line="240" w:lineRule="auto"/>
        <w:rPr>
          <w:rFonts w:ascii="Times New Roman" w:hAnsi="Times New Roman"/>
          <w:highlight w:val="none"/>
        </w:rPr>
      </w:pPr>
      <w:bookmarkStart w:id="1056" w:name="_Toc12556"/>
      <w:bookmarkStart w:id="1057" w:name="_Toc2949"/>
      <w:bookmarkStart w:id="1058" w:name="_Toc7257"/>
      <w:r>
        <w:rPr>
          <w:rFonts w:ascii="Times New Roman" w:hAnsi="Times New Roman"/>
          <w:highlight w:val="none"/>
        </w:rPr>
        <w:t>3.</w:t>
      </w:r>
      <w:r>
        <w:rPr>
          <w:rFonts w:hint="eastAsia" w:ascii="Times New Roman" w:hAnsi="Times New Roman"/>
          <w:highlight w:val="none"/>
        </w:rPr>
        <w:t>8</w:t>
      </w:r>
      <w:r>
        <w:rPr>
          <w:rFonts w:ascii="Times New Roman" w:hAnsi="Times New Roman"/>
          <w:highlight w:val="none"/>
        </w:rPr>
        <w:t xml:space="preserve"> </w:t>
      </w:r>
      <w:bookmarkEnd w:id="1040"/>
      <w:r>
        <w:rPr>
          <w:rFonts w:hint="eastAsia" w:ascii="Times New Roman" w:hAnsi="Times New Roman"/>
          <w:highlight w:val="none"/>
        </w:rPr>
        <w:t>定标</w:t>
      </w:r>
      <w:bookmarkEnd w:id="1056"/>
      <w:bookmarkEnd w:id="1057"/>
      <w:bookmarkEnd w:id="1058"/>
    </w:p>
    <w:p>
      <w:pPr>
        <w:spacing w:line="360" w:lineRule="auto"/>
        <w:ind w:firstLine="420" w:firstLineChars="200"/>
        <w:rPr>
          <w:highlight w:val="none"/>
        </w:rPr>
      </w:pPr>
      <w:r>
        <w:rPr>
          <w:rFonts w:hint="eastAsia"/>
          <w:highlight w:val="none"/>
        </w:rPr>
        <w:t>1、评标委员会按照得分由高到低的顺序推荐中标候选人。</w:t>
      </w:r>
    </w:p>
    <w:p>
      <w:pPr>
        <w:spacing w:line="360" w:lineRule="auto"/>
        <w:ind w:firstLine="420" w:firstLineChars="200"/>
        <w:rPr>
          <w:highlight w:val="none"/>
        </w:rPr>
      </w:pPr>
      <w:r>
        <w:rPr>
          <w:rFonts w:hint="eastAsia"/>
          <w:highlight w:val="none"/>
        </w:rPr>
        <w:t>2、评标委员会按所推荐的中标候选单位确定排名第一的中标候选单位为中标单位。排名第一的中标候选单位放弃中标、因不可抗力提出不能履行合同，或者招标文件规定应当提交履约担保金而在规定的期限内未能提交的，就确定排名第二的中标候选人为中标人。排名第二的中标候选人因前款规定的同样原因不能签订合同的，就确定排名第三的中标候选人为中标人。 招标人应当对评标报告进行复核，发现评标委员会未按照招标文件规定评审的，应当向行政监督部门报告。经核查，评标报告遗漏必要的内容或者存在错误的，原评标委员会应当进行复审、补充或者纠正。</w:t>
      </w:r>
    </w:p>
    <w:p>
      <w:pPr>
        <w:spacing w:line="360" w:lineRule="auto"/>
        <w:ind w:firstLine="420" w:firstLineChars="200"/>
        <w:jc w:val="left"/>
        <w:rPr>
          <w:highlight w:val="none"/>
        </w:rPr>
      </w:pPr>
      <w:r>
        <w:rPr>
          <w:rFonts w:hint="eastAsia"/>
          <w:highlight w:val="none"/>
        </w:rPr>
        <w:t>3、招标人及有关人员不接受非中标单位有关评、定标的查询，也不对其不中标原因作任何解释。</w:t>
      </w:r>
    </w:p>
    <w:p>
      <w:pPr>
        <w:spacing w:line="360" w:lineRule="auto"/>
        <w:ind w:firstLine="420" w:firstLineChars="200"/>
        <w:jc w:val="left"/>
        <w:rPr>
          <w:highlight w:val="none"/>
        </w:rPr>
      </w:pPr>
      <w:r>
        <w:rPr>
          <w:rFonts w:hint="eastAsia"/>
          <w:highlight w:val="none"/>
        </w:rPr>
        <w:t>4、 评标委员会完成评标后，应当向招标人提交书面评标报告。</w:t>
      </w:r>
    </w:p>
    <w:p>
      <w:pPr>
        <w:spacing w:line="360" w:lineRule="auto"/>
        <w:ind w:firstLine="420" w:firstLineChars="200"/>
        <w:jc w:val="left"/>
        <w:rPr>
          <w:highlight w:val="none"/>
        </w:rPr>
      </w:pPr>
    </w:p>
    <w:p>
      <w:pPr>
        <w:spacing w:line="360" w:lineRule="auto"/>
        <w:ind w:firstLine="420" w:firstLineChars="200"/>
        <w:jc w:val="left"/>
        <w:rPr>
          <w:highlight w:val="none"/>
        </w:rPr>
      </w:pPr>
    </w:p>
    <w:p>
      <w:pPr>
        <w:spacing w:line="360" w:lineRule="auto"/>
        <w:ind w:firstLine="420" w:firstLineChars="200"/>
        <w:jc w:val="left"/>
        <w:rPr>
          <w:highlight w:val="none"/>
        </w:rPr>
      </w:pPr>
    </w:p>
    <w:p>
      <w:pPr>
        <w:spacing w:line="360" w:lineRule="auto"/>
        <w:ind w:firstLine="420" w:firstLineChars="200"/>
        <w:jc w:val="left"/>
        <w:rPr>
          <w:highlight w:val="none"/>
        </w:rPr>
      </w:pPr>
    </w:p>
    <w:p>
      <w:pPr>
        <w:spacing w:line="360" w:lineRule="auto"/>
        <w:ind w:firstLine="420" w:firstLineChars="200"/>
        <w:jc w:val="left"/>
        <w:rPr>
          <w:highlight w:val="none"/>
        </w:rPr>
      </w:pPr>
    </w:p>
    <w:p>
      <w:pPr>
        <w:spacing w:line="360" w:lineRule="auto"/>
        <w:ind w:firstLine="420" w:firstLineChars="200"/>
        <w:jc w:val="left"/>
        <w:rPr>
          <w:highlight w:val="none"/>
        </w:rPr>
      </w:pPr>
    </w:p>
    <w:p>
      <w:pPr>
        <w:spacing w:line="360" w:lineRule="auto"/>
        <w:ind w:firstLine="420" w:firstLineChars="200"/>
        <w:jc w:val="left"/>
        <w:rPr>
          <w:highlight w:val="none"/>
        </w:rPr>
      </w:pPr>
    </w:p>
    <w:p>
      <w:pPr>
        <w:spacing w:line="360" w:lineRule="auto"/>
        <w:ind w:firstLine="420" w:firstLineChars="200"/>
        <w:jc w:val="left"/>
        <w:rPr>
          <w:highlight w:val="none"/>
        </w:rPr>
      </w:pPr>
    </w:p>
    <w:p>
      <w:pPr>
        <w:spacing w:line="360" w:lineRule="auto"/>
        <w:ind w:firstLine="420" w:firstLineChars="200"/>
        <w:jc w:val="left"/>
        <w:rPr>
          <w:highlight w:val="none"/>
        </w:rPr>
      </w:pPr>
    </w:p>
    <w:p>
      <w:pPr>
        <w:spacing w:line="360" w:lineRule="auto"/>
        <w:jc w:val="left"/>
        <w:rPr>
          <w:highlight w:val="none"/>
        </w:rPr>
      </w:pPr>
    </w:p>
    <w:p>
      <w:pPr>
        <w:spacing w:line="360" w:lineRule="auto"/>
        <w:jc w:val="left"/>
        <w:rPr>
          <w:highlight w:val="none"/>
        </w:rPr>
      </w:pPr>
    </w:p>
    <w:p>
      <w:pPr>
        <w:spacing w:line="360" w:lineRule="auto"/>
        <w:jc w:val="left"/>
        <w:rPr>
          <w:highlight w:val="none"/>
        </w:rPr>
      </w:pPr>
    </w:p>
    <w:p>
      <w:pPr>
        <w:spacing w:line="360" w:lineRule="auto"/>
        <w:jc w:val="left"/>
        <w:rPr>
          <w:highlight w:val="none"/>
        </w:rPr>
      </w:pPr>
    </w:p>
    <w:p>
      <w:pPr>
        <w:spacing w:line="360" w:lineRule="auto"/>
        <w:jc w:val="left"/>
        <w:rPr>
          <w:highlight w:val="none"/>
        </w:rPr>
      </w:pPr>
    </w:p>
    <w:p>
      <w:pPr>
        <w:spacing w:line="360" w:lineRule="auto"/>
        <w:jc w:val="left"/>
        <w:rPr>
          <w:highlight w:val="none"/>
        </w:rPr>
      </w:pPr>
    </w:p>
    <w:p>
      <w:pPr>
        <w:spacing w:line="360" w:lineRule="auto"/>
        <w:jc w:val="left"/>
        <w:rPr>
          <w:highlight w:val="none"/>
        </w:rPr>
      </w:pPr>
    </w:p>
    <w:p>
      <w:pPr>
        <w:pStyle w:val="2"/>
        <w:ind w:left="599"/>
        <w:jc w:val="center"/>
        <w:rPr>
          <w:highlight w:val="none"/>
        </w:rPr>
      </w:pPr>
      <w:bookmarkStart w:id="1059" w:name="_Toc247527819"/>
      <w:bookmarkStart w:id="1060" w:name="_Toc16872"/>
      <w:bookmarkStart w:id="1061" w:name="_Toc474319761"/>
      <w:bookmarkStart w:id="1062" w:name="_Toc247514232"/>
    </w:p>
    <w:p>
      <w:pPr>
        <w:pStyle w:val="2"/>
        <w:ind w:left="599"/>
        <w:jc w:val="center"/>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rPr>
          <w:highlight w:val="none"/>
        </w:rPr>
      </w:pPr>
    </w:p>
    <w:p>
      <w:pPr>
        <w:rPr>
          <w:highlight w:val="none"/>
        </w:rPr>
      </w:pPr>
    </w:p>
    <w:p>
      <w:pPr>
        <w:rPr>
          <w:highlight w:val="none"/>
        </w:rPr>
      </w:pPr>
    </w:p>
    <w:p>
      <w:pPr>
        <w:pStyle w:val="13"/>
        <w:rPr>
          <w:highlight w:val="none"/>
        </w:rPr>
      </w:pPr>
    </w:p>
    <w:p>
      <w:pPr>
        <w:pStyle w:val="2"/>
        <w:ind w:left="599"/>
        <w:jc w:val="center"/>
        <w:rPr>
          <w:highlight w:val="none"/>
        </w:rPr>
      </w:pPr>
      <w:bookmarkStart w:id="1063" w:name="_Toc9262"/>
      <w:r>
        <w:rPr>
          <w:highlight w:val="none"/>
        </w:rPr>
        <w:t>第四章 合同条款及格式</w:t>
      </w:r>
      <w:bookmarkEnd w:id="1063"/>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p>
      <w:pPr>
        <w:pStyle w:val="11"/>
        <w:rPr>
          <w:b/>
          <w:sz w:val="44"/>
          <w:highlight w:val="none"/>
        </w:rPr>
      </w:pPr>
    </w:p>
    <w:bookmarkEnd w:id="1059"/>
    <w:bookmarkEnd w:id="1060"/>
    <w:bookmarkEnd w:id="1061"/>
    <w:bookmarkEnd w:id="1062"/>
    <w:p>
      <w:pPr>
        <w:pStyle w:val="3"/>
        <w:spacing w:before="32"/>
        <w:ind w:left="362"/>
        <w:jc w:val="left"/>
        <w:rPr>
          <w:rFonts w:ascii="宋体"/>
          <w:highlight w:val="none"/>
        </w:rPr>
      </w:pPr>
      <w:bookmarkStart w:id="1064" w:name="_Toc8821"/>
      <w:bookmarkStart w:id="1065" w:name="_Toc498"/>
      <w:r>
        <w:rPr>
          <w:rFonts w:ascii="宋体"/>
          <w:highlight w:val="none"/>
        </w:rPr>
        <w:t>GF-2020-0216</w:t>
      </w:r>
      <w:bookmarkEnd w:id="1064"/>
      <w:bookmarkEnd w:id="1065"/>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spacing w:before="6"/>
        <w:rPr>
          <w:sz w:val="25"/>
          <w:highlight w:val="none"/>
        </w:rPr>
      </w:pPr>
    </w:p>
    <w:p>
      <w:pPr>
        <w:spacing w:before="37"/>
        <w:ind w:left="57"/>
        <w:jc w:val="center"/>
        <w:rPr>
          <w:sz w:val="44"/>
          <w:highlight w:val="none"/>
        </w:rPr>
      </w:pPr>
      <w:r>
        <w:rPr>
          <w:sz w:val="44"/>
          <w:highlight w:val="none"/>
        </w:rPr>
        <w:t>建设项目工程总承包合同</w:t>
      </w: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spacing w:before="2"/>
        <w:rPr>
          <w:sz w:val="29"/>
          <w:highlight w:val="none"/>
        </w:rPr>
      </w:pPr>
    </w:p>
    <w:p>
      <w:pPr>
        <w:spacing w:before="54" w:line="323" w:lineRule="exact"/>
        <w:ind w:left="8388"/>
        <w:jc w:val="left"/>
        <w:rPr>
          <w:b/>
          <w:sz w:val="32"/>
          <w:highlight w:val="none"/>
        </w:rPr>
      </w:pPr>
      <w:r>
        <w:rPr>
          <w:b/>
          <w:sz w:val="32"/>
          <w:highlight w:val="none"/>
        </w:rPr>
        <w:t>制定</w:t>
      </w:r>
    </w:p>
    <w:p>
      <w:pPr>
        <w:spacing w:line="323" w:lineRule="exact"/>
        <w:ind w:left="1166"/>
        <w:jc w:val="left"/>
        <w:rPr>
          <w:b/>
          <w:sz w:val="32"/>
          <w:highlight w:val="none"/>
        </w:rPr>
      </w:pPr>
      <w:r>
        <w:rPr>
          <w:b/>
          <w:spacing w:val="-21"/>
          <w:sz w:val="32"/>
          <w:highlight w:val="none"/>
        </w:rPr>
        <w:t>中 华 人 民 共 和 国 住 房 和 城 乡 建 设 部</w:t>
      </w:r>
    </w:p>
    <w:p>
      <w:pPr>
        <w:tabs>
          <w:tab w:val="left" w:pos="1881"/>
          <w:tab w:val="left" w:pos="2594"/>
          <w:tab w:val="left" w:pos="3309"/>
          <w:tab w:val="left" w:pos="4024"/>
          <w:tab w:val="left" w:pos="4739"/>
          <w:tab w:val="left" w:pos="5455"/>
          <w:tab w:val="left" w:pos="6170"/>
          <w:tab w:val="left" w:pos="6885"/>
          <w:tab w:val="left" w:pos="7600"/>
        </w:tabs>
        <w:spacing w:before="6"/>
        <w:ind w:left="1166"/>
        <w:jc w:val="left"/>
        <w:rPr>
          <w:sz w:val="32"/>
          <w:highlight w:val="none"/>
        </w:rPr>
        <w:sectPr>
          <w:footerReference r:id="rId7" w:type="default"/>
          <w:pgSz w:w="11910" w:h="16840"/>
          <w:pgMar w:top="1200" w:right="1134" w:bottom="1040" w:left="1134" w:header="0" w:footer="769" w:gutter="0"/>
          <w:cols w:space="0" w:num="1"/>
        </w:sectPr>
      </w:pPr>
      <w:r>
        <w:rPr>
          <w:b/>
          <w:sz w:val="32"/>
          <w:highlight w:val="none"/>
        </w:rPr>
        <w:t>国</w:t>
      </w:r>
      <w:r>
        <w:rPr>
          <w:b/>
          <w:sz w:val="32"/>
          <w:highlight w:val="none"/>
        </w:rPr>
        <w:tab/>
      </w:r>
      <w:r>
        <w:rPr>
          <w:b/>
          <w:sz w:val="32"/>
          <w:highlight w:val="none"/>
        </w:rPr>
        <w:t>家</w:t>
      </w:r>
      <w:r>
        <w:rPr>
          <w:b/>
          <w:sz w:val="32"/>
          <w:highlight w:val="none"/>
        </w:rPr>
        <w:tab/>
      </w:r>
      <w:r>
        <w:rPr>
          <w:b/>
          <w:sz w:val="32"/>
          <w:highlight w:val="none"/>
        </w:rPr>
        <w:t>市</w:t>
      </w:r>
      <w:r>
        <w:rPr>
          <w:b/>
          <w:sz w:val="32"/>
          <w:highlight w:val="none"/>
        </w:rPr>
        <w:tab/>
      </w:r>
      <w:r>
        <w:rPr>
          <w:b/>
          <w:sz w:val="32"/>
          <w:highlight w:val="none"/>
        </w:rPr>
        <w:t>场</w:t>
      </w:r>
      <w:r>
        <w:rPr>
          <w:b/>
          <w:sz w:val="32"/>
          <w:highlight w:val="none"/>
        </w:rPr>
        <w:tab/>
      </w:r>
      <w:r>
        <w:rPr>
          <w:b/>
          <w:sz w:val="32"/>
          <w:highlight w:val="none"/>
        </w:rPr>
        <w:t>监</w:t>
      </w:r>
      <w:r>
        <w:rPr>
          <w:b/>
          <w:sz w:val="32"/>
          <w:highlight w:val="none"/>
        </w:rPr>
        <w:tab/>
      </w:r>
      <w:r>
        <w:rPr>
          <w:b/>
          <w:sz w:val="32"/>
          <w:highlight w:val="none"/>
        </w:rPr>
        <w:t>督</w:t>
      </w:r>
      <w:r>
        <w:rPr>
          <w:b/>
          <w:sz w:val="32"/>
          <w:highlight w:val="none"/>
        </w:rPr>
        <w:tab/>
      </w:r>
      <w:r>
        <w:rPr>
          <w:b/>
          <w:sz w:val="32"/>
          <w:highlight w:val="none"/>
        </w:rPr>
        <w:t>管</w:t>
      </w:r>
      <w:r>
        <w:rPr>
          <w:b/>
          <w:sz w:val="32"/>
          <w:highlight w:val="none"/>
        </w:rPr>
        <w:tab/>
      </w:r>
      <w:r>
        <w:rPr>
          <w:b/>
          <w:sz w:val="32"/>
          <w:highlight w:val="none"/>
        </w:rPr>
        <w:t>理</w:t>
      </w:r>
      <w:r>
        <w:rPr>
          <w:b/>
          <w:sz w:val="32"/>
          <w:highlight w:val="none"/>
        </w:rPr>
        <w:tab/>
      </w:r>
      <w:r>
        <w:rPr>
          <w:b/>
          <w:sz w:val="32"/>
          <w:highlight w:val="none"/>
        </w:rPr>
        <w:t>总</w:t>
      </w:r>
      <w:r>
        <w:rPr>
          <w:b/>
          <w:sz w:val="32"/>
          <w:highlight w:val="none"/>
        </w:rPr>
        <w:tab/>
      </w:r>
      <w:r>
        <w:rPr>
          <w:b/>
          <w:sz w:val="32"/>
          <w:highlight w:val="none"/>
        </w:rPr>
        <w:t>局</w:t>
      </w:r>
    </w:p>
    <w:p>
      <w:pPr>
        <w:pStyle w:val="6"/>
        <w:ind w:left="269"/>
        <w:jc w:val="center"/>
        <w:rPr>
          <w:highlight w:val="none"/>
        </w:rPr>
      </w:pPr>
      <w:bookmarkStart w:id="1066" w:name="第一部分_合同协议书"/>
      <w:bookmarkEnd w:id="1066"/>
      <w:r>
        <w:rPr>
          <w:highlight w:val="none"/>
        </w:rPr>
        <w:t>第一部分 合同协议书</w:t>
      </w:r>
    </w:p>
    <w:p>
      <w:pPr>
        <w:pStyle w:val="11"/>
        <w:tabs>
          <w:tab w:val="left" w:pos="1671"/>
        </w:tabs>
        <w:spacing w:before="234" w:line="364" w:lineRule="auto"/>
        <w:ind w:left="412" w:right="352" w:firstLine="420"/>
        <w:rPr>
          <w:rFonts w:ascii="宋体" w:hAnsi="宋体" w:cs="宋体"/>
          <w:sz w:val="24"/>
          <w:highlight w:val="none"/>
        </w:rPr>
      </w:pPr>
      <w:r>
        <w:rPr>
          <w:rFonts w:hint="eastAsia" w:ascii="宋体" w:hAnsi="宋体" w:cs="宋体"/>
          <w:sz w:val="24"/>
          <w:highlight w:val="none"/>
        </w:rPr>
        <w:t xml:space="preserve">发包人（全称）： </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 xml:space="preserve">                                    </w:t>
      </w:r>
    </w:p>
    <w:p>
      <w:pPr>
        <w:pStyle w:val="11"/>
        <w:tabs>
          <w:tab w:val="left" w:pos="6449"/>
        </w:tabs>
        <w:spacing w:line="267" w:lineRule="exact"/>
        <w:ind w:left="832"/>
        <w:rPr>
          <w:rFonts w:ascii="宋体" w:hAnsi="宋体" w:cs="宋体"/>
          <w:sz w:val="24"/>
          <w:highlight w:val="none"/>
        </w:rPr>
      </w:pPr>
      <w:r>
        <w:rPr>
          <w:rFonts w:hint="eastAsia" w:ascii="宋体" w:hAnsi="宋体" w:cs="宋体"/>
          <w:sz w:val="24"/>
          <w:highlight w:val="none"/>
        </w:rPr>
        <w:t>承包人（全称）：</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spacing w:before="142" w:line="364" w:lineRule="auto"/>
        <w:ind w:left="412" w:right="286" w:firstLine="420"/>
        <w:rPr>
          <w:rFonts w:ascii="宋体" w:hAnsi="宋体" w:cs="宋体"/>
          <w:sz w:val="24"/>
          <w:highlight w:val="none"/>
        </w:rPr>
      </w:pPr>
      <w:r>
        <w:rPr>
          <w:rFonts w:hint="eastAsia" w:ascii="宋体" w:hAnsi="宋体" w:cs="宋体"/>
          <w:sz w:val="24"/>
          <w:highlight w:val="none"/>
        </w:rPr>
        <w:t>根据《中华人民共和国民法典》、《中华人民共和国建筑法》及有关法律规定，遵循平等、自愿、公平和诚实信用的原则，双方就</w:t>
      </w:r>
      <w:r>
        <w:rPr>
          <w:rFonts w:hint="eastAsia" w:ascii="宋体" w:hAnsi="宋体" w:cs="宋体"/>
          <w:w w:val="95"/>
          <w:sz w:val="24"/>
          <w:highlight w:val="none"/>
          <w:u w:val="single"/>
        </w:rPr>
        <w:t xml:space="preserve">                      </w:t>
      </w:r>
      <w:r>
        <w:rPr>
          <w:rFonts w:hint="eastAsia" w:ascii="宋体" w:hAnsi="宋体" w:cs="宋体"/>
          <w:sz w:val="24"/>
          <w:highlight w:val="none"/>
        </w:rPr>
        <w:t xml:space="preserve">的工程总承包及有关事项协商一致，共同达成如下协议： </w:t>
      </w:r>
      <w:bookmarkStart w:id="1067" w:name="一、工程概况"/>
      <w:bookmarkEnd w:id="1067"/>
    </w:p>
    <w:p>
      <w:pPr>
        <w:pStyle w:val="11"/>
        <w:spacing w:before="142" w:line="364" w:lineRule="auto"/>
        <w:ind w:left="412" w:right="286" w:firstLine="420"/>
        <w:rPr>
          <w:rFonts w:ascii="宋体" w:hAnsi="宋体" w:cs="宋体"/>
          <w:sz w:val="24"/>
          <w:highlight w:val="none"/>
        </w:rPr>
      </w:pPr>
      <w:r>
        <w:rPr>
          <w:rFonts w:hint="eastAsia" w:ascii="宋体" w:hAnsi="宋体" w:cs="宋体"/>
          <w:sz w:val="24"/>
          <w:highlight w:val="none"/>
        </w:rPr>
        <w:t>一、工程概况</w:t>
      </w:r>
    </w:p>
    <w:p>
      <w:pPr>
        <w:pStyle w:val="20"/>
        <w:numPr>
          <w:ilvl w:val="0"/>
          <w:numId w:val="5"/>
        </w:numPr>
        <w:tabs>
          <w:tab w:val="left" w:pos="1150"/>
        </w:tabs>
        <w:spacing w:before="116" w:line="364" w:lineRule="auto"/>
        <w:ind w:right="352" w:firstLine="480"/>
        <w:jc w:val="left"/>
        <w:rPr>
          <w:rFonts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pacing w:val="-1"/>
          <w:w w:val="95"/>
          <w:sz w:val="24"/>
          <w:szCs w:val="24"/>
          <w:highlight w:val="none"/>
          <w:u w:val="single"/>
        </w:rPr>
        <w:t xml:space="preserve">                             </w:t>
      </w:r>
      <w:r>
        <w:rPr>
          <w:rFonts w:hint="eastAsia" w:ascii="宋体" w:hAnsi="宋体" w:cs="宋体"/>
          <w:sz w:val="24"/>
          <w:szCs w:val="24"/>
          <w:highlight w:val="none"/>
        </w:rPr>
        <w:t>。</w:t>
      </w:r>
    </w:p>
    <w:p>
      <w:pPr>
        <w:pStyle w:val="20"/>
        <w:numPr>
          <w:ilvl w:val="0"/>
          <w:numId w:val="5"/>
        </w:numPr>
        <w:tabs>
          <w:tab w:val="left" w:pos="1150"/>
        </w:tabs>
        <w:spacing w:before="116" w:line="364" w:lineRule="auto"/>
        <w:ind w:right="352" w:firstLine="480"/>
        <w:jc w:val="left"/>
        <w:rPr>
          <w:rFonts w:ascii="宋体" w:hAnsi="宋体" w:cs="宋体"/>
          <w:sz w:val="24"/>
          <w:szCs w:val="24"/>
          <w:highlight w:val="none"/>
        </w:rPr>
      </w:pPr>
      <w:r>
        <w:rPr>
          <w:rFonts w:hint="eastAsia" w:ascii="宋体" w:hAnsi="宋体" w:cs="宋体"/>
          <w:sz w:val="24"/>
          <w:szCs w:val="24"/>
          <w:highlight w:val="none"/>
        </w:rPr>
        <w:t>工程地点：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pStyle w:val="20"/>
        <w:numPr>
          <w:ilvl w:val="0"/>
          <w:numId w:val="5"/>
        </w:numPr>
        <w:tabs>
          <w:tab w:val="left" w:pos="1150"/>
        </w:tabs>
        <w:spacing w:before="116" w:line="364" w:lineRule="auto"/>
        <w:ind w:right="352" w:firstLine="480"/>
        <w:jc w:val="left"/>
        <w:rPr>
          <w:rFonts w:ascii="宋体" w:hAnsi="宋体" w:cs="宋体"/>
          <w:sz w:val="24"/>
          <w:szCs w:val="24"/>
          <w:highlight w:val="none"/>
        </w:rPr>
      </w:pPr>
      <w:r>
        <w:rPr>
          <w:rFonts w:hint="eastAsia" w:ascii="宋体" w:hAnsi="宋体" w:cs="宋体"/>
          <w:sz w:val="24"/>
          <w:szCs w:val="24"/>
          <w:highlight w:val="none"/>
        </w:rPr>
        <w:t>工程审批、核准或备案文号：</w:t>
      </w:r>
      <w:r>
        <w:rPr>
          <w:rFonts w:hint="eastAsia" w:ascii="宋体" w:hAnsi="宋体" w:cs="宋体"/>
          <w:sz w:val="24"/>
          <w:szCs w:val="24"/>
          <w:highlight w:val="none"/>
          <w:u w:val="single"/>
        </w:rPr>
        <w:t xml:space="preserve">                      </w:t>
      </w:r>
      <w:r>
        <w:rPr>
          <w:rFonts w:hint="eastAsia" w:ascii="宋体" w:hAnsi="宋体" w:cs="宋体"/>
          <w:spacing w:val="-1"/>
          <w:sz w:val="24"/>
          <w:szCs w:val="24"/>
          <w:highlight w:val="none"/>
        </w:rPr>
        <w:t xml:space="preserve"> 。</w:t>
      </w:r>
    </w:p>
    <w:p>
      <w:pPr>
        <w:pStyle w:val="20"/>
        <w:numPr>
          <w:ilvl w:val="0"/>
          <w:numId w:val="5"/>
        </w:numPr>
        <w:tabs>
          <w:tab w:val="left" w:pos="1150"/>
        </w:tabs>
        <w:spacing w:before="139" w:line="364" w:lineRule="auto"/>
        <w:ind w:right="352" w:firstLine="480"/>
        <w:rPr>
          <w:rFonts w:ascii="宋体" w:hAnsi="宋体" w:cs="宋体"/>
          <w:sz w:val="24"/>
          <w:szCs w:val="24"/>
          <w:highlight w:val="none"/>
        </w:rPr>
      </w:pPr>
      <w:r>
        <w:rPr>
          <w:rFonts w:hint="eastAsia" w:ascii="宋体" w:hAnsi="宋体" w:cs="宋体"/>
          <w:sz w:val="24"/>
          <w:szCs w:val="24"/>
          <w:highlight w:val="none"/>
        </w:rPr>
        <w:t>资金来源：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pStyle w:val="20"/>
        <w:numPr>
          <w:ilvl w:val="0"/>
          <w:numId w:val="5"/>
        </w:numPr>
        <w:tabs>
          <w:tab w:val="left" w:pos="1150"/>
        </w:tabs>
        <w:spacing w:before="1" w:line="364" w:lineRule="auto"/>
        <w:ind w:right="352" w:firstLine="480"/>
        <w:rPr>
          <w:rFonts w:ascii="宋体" w:hAnsi="宋体" w:cs="宋体"/>
          <w:sz w:val="24"/>
          <w:szCs w:val="24"/>
          <w:highlight w:val="none"/>
        </w:rPr>
      </w:pPr>
      <w:r>
        <w:rPr>
          <w:rFonts w:hint="eastAsia" w:ascii="宋体" w:hAnsi="宋体" w:cs="宋体"/>
          <w:sz w:val="24"/>
          <w:szCs w:val="24"/>
          <w:highlight w:val="none"/>
        </w:rPr>
        <w:t>工程内容及规模：</w:t>
      </w:r>
      <w:r>
        <w:rPr>
          <w:rFonts w:hint="eastAsia" w:ascii="宋体" w:hAnsi="宋体" w:cs="宋体"/>
          <w:sz w:val="24"/>
          <w:szCs w:val="24"/>
          <w:highlight w:val="none"/>
          <w:u w:val="single"/>
        </w:rPr>
        <w:t xml:space="preserve">                </w:t>
      </w:r>
      <w:r>
        <w:rPr>
          <w:rFonts w:hint="eastAsia" w:ascii="宋体" w:hAnsi="宋体" w:cs="宋体"/>
          <w:spacing w:val="-6"/>
          <w:sz w:val="24"/>
          <w:szCs w:val="24"/>
          <w:highlight w:val="none"/>
        </w:rPr>
        <w:t>。</w:t>
      </w:r>
    </w:p>
    <w:p>
      <w:pPr>
        <w:pStyle w:val="20"/>
        <w:numPr>
          <w:ilvl w:val="0"/>
          <w:numId w:val="5"/>
        </w:numPr>
        <w:tabs>
          <w:tab w:val="left" w:pos="1150"/>
        </w:tabs>
        <w:spacing w:before="1" w:line="364" w:lineRule="auto"/>
        <w:ind w:right="352" w:firstLine="480"/>
        <w:rPr>
          <w:rFonts w:ascii="宋体" w:hAnsi="宋体" w:cs="宋体"/>
          <w:sz w:val="24"/>
          <w:szCs w:val="24"/>
          <w:highlight w:val="none"/>
        </w:rPr>
      </w:pPr>
      <w:r>
        <w:rPr>
          <w:rFonts w:hint="eastAsia" w:ascii="宋体" w:hAnsi="宋体" w:cs="宋体"/>
          <w:sz w:val="24"/>
          <w:szCs w:val="24"/>
          <w:highlight w:val="none"/>
        </w:rPr>
        <w:t>工程承包范围：</w:t>
      </w:r>
      <w:r>
        <w:rPr>
          <w:rFonts w:hint="eastAsia" w:ascii="宋体" w:hAnsi="宋体" w:cs="宋体"/>
          <w:sz w:val="24"/>
          <w:szCs w:val="24"/>
          <w:highlight w:val="none"/>
          <w:u w:val="single"/>
        </w:rPr>
        <w:t xml:space="preserve">                </w:t>
      </w:r>
      <w:r>
        <w:rPr>
          <w:rFonts w:hint="eastAsia" w:ascii="宋体" w:hAnsi="宋体" w:cs="宋体"/>
          <w:spacing w:val="-6"/>
          <w:sz w:val="24"/>
          <w:szCs w:val="24"/>
          <w:highlight w:val="none"/>
        </w:rPr>
        <w:t>。</w:t>
      </w:r>
    </w:p>
    <w:p>
      <w:pPr>
        <w:pStyle w:val="20"/>
        <w:numPr>
          <w:ilvl w:val="1"/>
          <w:numId w:val="5"/>
        </w:numPr>
        <w:tabs>
          <w:tab w:val="left" w:pos="1203"/>
        </w:tabs>
        <w:spacing w:before="141" w:line="364" w:lineRule="auto"/>
        <w:ind w:right="332" w:firstLine="480"/>
        <w:rPr>
          <w:rFonts w:ascii="宋体" w:hAnsi="宋体" w:cs="宋体"/>
          <w:sz w:val="24"/>
          <w:szCs w:val="24"/>
          <w:highlight w:val="none"/>
          <w:u w:val="single"/>
        </w:rPr>
      </w:pPr>
      <w:bookmarkStart w:id="1068" w:name="6.1施工图设计：包括但不限于施工图设计（含施工安全设计专篇等）、施工现场配合、"/>
      <w:bookmarkEnd w:id="1068"/>
      <w:r>
        <w:rPr>
          <w:rFonts w:hint="eastAsia" w:ascii="宋体" w:hAnsi="宋体" w:cs="宋体"/>
          <w:sz w:val="24"/>
          <w:szCs w:val="24"/>
          <w:highlight w:val="none"/>
        </w:rPr>
        <w:t>施工图</w:t>
      </w:r>
      <w:r>
        <w:rPr>
          <w:rFonts w:hint="eastAsia" w:ascii="宋体" w:hAnsi="宋体" w:eastAsia="宋体" w:cs="宋体"/>
          <w:sz w:val="24"/>
          <w:szCs w:val="24"/>
          <w:highlight w:val="none"/>
        </w:rPr>
        <w:t>设计：</w:t>
      </w:r>
      <w:r>
        <w:rPr>
          <w:rFonts w:hint="eastAsia" w:ascii="宋体" w:hAnsi="宋体" w:eastAsia="宋体" w:cs="宋体"/>
          <w:sz w:val="24"/>
          <w:szCs w:val="24"/>
          <w:highlight w:val="none"/>
          <w:u w:val="single"/>
        </w:rPr>
        <w:t>包括但不限于完</w:t>
      </w:r>
      <w:r>
        <w:rPr>
          <w:rFonts w:hint="eastAsia" w:ascii="宋体" w:hAnsi="宋体" w:cs="宋体"/>
          <w:sz w:val="24"/>
          <w:szCs w:val="24"/>
          <w:highlight w:val="none"/>
          <w:u w:val="single"/>
        </w:rPr>
        <w:t>成本项目的设计（施工图设计、施工配合、现场服务等相关服</w:t>
      </w:r>
      <w:r>
        <w:rPr>
          <w:rFonts w:hint="eastAsia" w:ascii="宋体" w:hAnsi="宋体" w:eastAsia="宋体" w:cs="宋体"/>
          <w:sz w:val="24"/>
          <w:szCs w:val="24"/>
          <w:highlight w:val="none"/>
          <w:u w:val="single"/>
        </w:rPr>
        <w:t>务</w:t>
      </w:r>
      <w:r>
        <w:rPr>
          <w:rFonts w:hint="eastAsia" w:ascii="宋体" w:hAnsi="宋体" w:eastAsia="宋体" w:cs="宋体"/>
          <w:sz w:val="24"/>
          <w:szCs w:val="24"/>
          <w:highlight w:val="none"/>
          <w:u w:val="single"/>
          <w:lang w:eastAsia="zh-CN"/>
        </w:rPr>
        <w:t>、施工图预结算编制</w:t>
      </w:r>
      <w:r>
        <w:rPr>
          <w:rFonts w:hint="eastAsia" w:ascii="宋体" w:hAnsi="宋体" w:eastAsia="宋体" w:cs="宋体"/>
          <w:sz w:val="24"/>
          <w:szCs w:val="24"/>
          <w:highlight w:val="none"/>
          <w:u w:val="single"/>
        </w:rPr>
        <w:t>）。</w:t>
      </w:r>
    </w:p>
    <w:p>
      <w:pPr>
        <w:pStyle w:val="20"/>
        <w:numPr>
          <w:ilvl w:val="1"/>
          <w:numId w:val="5"/>
        </w:numPr>
        <w:tabs>
          <w:tab w:val="left" w:pos="1203"/>
        </w:tabs>
        <w:spacing w:before="117" w:line="364" w:lineRule="auto"/>
        <w:ind w:right="353" w:firstLine="480"/>
        <w:rPr>
          <w:rFonts w:ascii="宋体" w:hAnsi="宋体" w:cs="宋体"/>
          <w:sz w:val="24"/>
          <w:szCs w:val="24"/>
          <w:highlight w:val="none"/>
        </w:rPr>
      </w:pPr>
      <w:bookmarkStart w:id="1069" w:name="6.2施工总承包：包括工程准备阶段至工程竣工验收（含竣工验收资料编制整理、备案等"/>
      <w:bookmarkEnd w:id="1069"/>
      <w:r>
        <w:rPr>
          <w:rFonts w:hint="eastAsia" w:ascii="宋体" w:hAnsi="宋体" w:cs="宋体"/>
          <w:sz w:val="24"/>
          <w:szCs w:val="24"/>
          <w:highlight w:val="none"/>
        </w:rPr>
        <w:t>施工总承包：</w:t>
      </w:r>
      <w:r>
        <w:rPr>
          <w:rFonts w:hint="eastAsia" w:ascii="宋体" w:hAnsi="宋体" w:eastAsia="宋体" w:cs="宋体"/>
          <w:sz w:val="24"/>
          <w:szCs w:val="24"/>
          <w:highlight w:val="none"/>
          <w:u w:val="single"/>
        </w:rPr>
        <w:t>包括但不限于完</w:t>
      </w:r>
      <w:r>
        <w:rPr>
          <w:rFonts w:hint="eastAsia" w:ascii="宋体" w:hAnsi="宋体" w:cs="宋体"/>
          <w:sz w:val="24"/>
          <w:szCs w:val="24"/>
          <w:highlight w:val="none"/>
          <w:u w:val="single"/>
        </w:rPr>
        <w:t>成本项目的施工（工程施工范围包括工程图纸设计范围内的所有工程内容）、工程竣工验收一次性通过验收（合格），施工图预结算编制、工程保修期内的缺陷修复和保修等全过程服务</w:t>
      </w:r>
      <w:r>
        <w:rPr>
          <w:rFonts w:hint="eastAsia" w:ascii="宋体" w:hAnsi="宋体" w:cs="宋体"/>
          <w:sz w:val="24"/>
          <w:szCs w:val="24"/>
          <w:highlight w:val="none"/>
        </w:rPr>
        <w:t>。</w:t>
      </w:r>
    </w:p>
    <w:p>
      <w:pPr>
        <w:pStyle w:val="20"/>
        <w:numPr>
          <w:ilvl w:val="1"/>
          <w:numId w:val="5"/>
        </w:numPr>
        <w:tabs>
          <w:tab w:val="left" w:pos="1200"/>
        </w:tabs>
        <w:spacing w:before="120" w:line="364" w:lineRule="auto"/>
        <w:ind w:right="248" w:firstLine="480"/>
        <w:jc w:val="left"/>
        <w:rPr>
          <w:rFonts w:ascii="宋体" w:hAnsi="宋体" w:cs="宋体"/>
          <w:sz w:val="24"/>
          <w:szCs w:val="24"/>
          <w:highlight w:val="none"/>
          <w:u w:val="none"/>
        </w:rPr>
      </w:pPr>
      <w:bookmarkStart w:id="1070" w:name="6.3承包方式：包括但不限于包设计、包施工、包工、包料、包设备、包工期、包质量、"/>
      <w:bookmarkEnd w:id="1070"/>
      <w:r>
        <w:rPr>
          <w:rFonts w:hint="eastAsia" w:ascii="宋体" w:hAnsi="宋体" w:cs="宋体"/>
          <w:sz w:val="24"/>
          <w:szCs w:val="24"/>
          <w:highlight w:val="none"/>
        </w:rPr>
        <w:t>承包方式：</w:t>
      </w:r>
      <w:r>
        <w:rPr>
          <w:rFonts w:hint="eastAsia" w:ascii="宋体" w:hAnsi="宋体" w:eastAsia="宋体" w:cs="宋体"/>
          <w:sz w:val="24"/>
          <w:szCs w:val="24"/>
          <w:highlight w:val="none"/>
          <w:u w:val="single"/>
        </w:rPr>
        <w:t>包括但不限于包设计、包施工、包工、包料、包设备、包工期、包质量、包造价控制、包安全、包文明施工、包项目承包人间协调管理、综合单价包干；包承包范围内工程验收通过、包通讯、包移交、包结算、包承包人应当购买的保险、包发包人所负责的报批报建配合服务、包竣工图编制（须满足规划等各专项验收要求），包竣工资料收集整理移交档案、包保修等。</w:t>
      </w:r>
    </w:p>
    <w:p>
      <w:pPr>
        <w:pStyle w:val="20"/>
        <w:numPr>
          <w:ilvl w:val="0"/>
          <w:numId w:val="6"/>
        </w:numPr>
        <w:tabs>
          <w:tab w:val="left" w:pos="1364"/>
        </w:tabs>
        <w:spacing w:before="119" w:line="360" w:lineRule="auto"/>
        <w:ind w:right="249" w:firstLine="480"/>
        <w:jc w:val="left"/>
        <w:rPr>
          <w:rFonts w:ascii="宋体" w:hAnsi="宋体" w:cs="宋体"/>
          <w:sz w:val="24"/>
          <w:szCs w:val="24"/>
          <w:highlight w:val="none"/>
        </w:rPr>
      </w:pPr>
      <w:r>
        <w:rPr>
          <w:rFonts w:hint="eastAsia" w:ascii="宋体" w:hAnsi="宋体" w:cs="宋体"/>
          <w:sz w:val="24"/>
          <w:szCs w:val="24"/>
          <w:highlight w:val="none"/>
        </w:rPr>
        <w:t>中标价作为签订设计施工总承包合同的暂定价，施工图预算价按中标下浮率下浮后不得超过合同价，且结算价也不得超过概算批复建安费，预算价＝审定的工程预算价（按中标下浮率下浮）。</w:t>
      </w:r>
    </w:p>
    <w:p>
      <w:pPr>
        <w:pStyle w:val="20"/>
        <w:numPr>
          <w:ilvl w:val="0"/>
          <w:numId w:val="6"/>
        </w:numPr>
        <w:tabs>
          <w:tab w:val="left" w:pos="1364"/>
        </w:tabs>
        <w:spacing w:line="360" w:lineRule="auto"/>
        <w:ind w:right="355" w:firstLine="480"/>
        <w:jc w:val="left"/>
        <w:rPr>
          <w:rFonts w:ascii="宋体" w:hAnsi="宋体" w:cs="宋体"/>
          <w:sz w:val="24"/>
          <w:szCs w:val="24"/>
          <w:highlight w:val="none"/>
        </w:rPr>
      </w:pPr>
      <w:r>
        <w:rPr>
          <w:rFonts w:hint="eastAsia" w:ascii="宋体" w:hAnsi="宋体" w:cs="宋体"/>
          <w:sz w:val="24"/>
          <w:szCs w:val="24"/>
          <w:highlight w:val="none"/>
        </w:rPr>
        <w:t>按系数计算的措施项目费，系数按广东省的相关规定执行，规定费率存在上限、下限的，取其下限计</w:t>
      </w:r>
      <w:r>
        <w:rPr>
          <w:rFonts w:hint="eastAsia" w:ascii="宋体" w:hAnsi="宋体" w:cs="宋体"/>
          <w:sz w:val="24"/>
          <w:szCs w:val="24"/>
          <w:highlight w:val="none"/>
          <w:lang w:val="en-US" w:eastAsia="zh-CN"/>
        </w:rPr>
        <w:t>算</w:t>
      </w:r>
      <w:r>
        <w:rPr>
          <w:rFonts w:hint="eastAsia" w:ascii="宋体" w:hAnsi="宋体" w:cs="宋体"/>
          <w:spacing w:val="-8"/>
          <w:sz w:val="24"/>
          <w:szCs w:val="24"/>
          <w:highlight w:val="none"/>
        </w:rPr>
        <w:t>。</w:t>
      </w:r>
    </w:p>
    <w:p>
      <w:pPr>
        <w:pStyle w:val="20"/>
        <w:numPr>
          <w:ilvl w:val="0"/>
          <w:numId w:val="6"/>
        </w:numPr>
        <w:tabs>
          <w:tab w:val="left" w:pos="1364"/>
        </w:tabs>
        <w:spacing w:line="360" w:lineRule="auto"/>
        <w:ind w:right="355" w:firstLine="480"/>
        <w:jc w:val="left"/>
        <w:rPr>
          <w:rFonts w:ascii="宋体" w:hAnsi="宋体" w:cs="宋体"/>
          <w:sz w:val="24"/>
          <w:szCs w:val="24"/>
          <w:highlight w:val="none"/>
        </w:rPr>
      </w:pPr>
      <w:r>
        <w:rPr>
          <w:rFonts w:hint="eastAsia" w:ascii="宋体" w:hAnsi="宋体" w:cs="宋体"/>
          <w:sz w:val="24"/>
          <w:szCs w:val="24"/>
          <w:highlight w:val="none"/>
        </w:rPr>
        <w:t>其他项目费以发包人审定的施工图预算中相应项目费率执行。</w:t>
      </w:r>
    </w:p>
    <w:p>
      <w:pPr>
        <w:pStyle w:val="20"/>
        <w:numPr>
          <w:ilvl w:val="0"/>
          <w:numId w:val="6"/>
        </w:numPr>
        <w:tabs>
          <w:tab w:val="left" w:pos="1364"/>
        </w:tabs>
        <w:spacing w:line="360" w:lineRule="auto"/>
        <w:ind w:right="355" w:firstLine="476"/>
        <w:jc w:val="left"/>
        <w:rPr>
          <w:rFonts w:ascii="宋体" w:hAnsi="宋体" w:cs="宋体"/>
          <w:sz w:val="24"/>
          <w:szCs w:val="24"/>
          <w:highlight w:val="none"/>
        </w:rPr>
      </w:pPr>
      <w:r>
        <w:rPr>
          <w:rFonts w:hint="eastAsia" w:ascii="宋体" w:hAnsi="宋体" w:cs="宋体"/>
          <w:spacing w:val="-1"/>
          <w:sz w:val="24"/>
          <w:szCs w:val="24"/>
          <w:highlight w:val="none"/>
        </w:rPr>
        <w:t>税金按国家规定费率计算。</w:t>
      </w:r>
      <w:bookmarkStart w:id="1071" w:name="二、合同工期"/>
      <w:bookmarkEnd w:id="1071"/>
    </w:p>
    <w:p>
      <w:pPr>
        <w:pStyle w:val="20"/>
        <w:tabs>
          <w:tab w:val="left" w:pos="1360"/>
        </w:tabs>
        <w:spacing w:line="360" w:lineRule="auto"/>
        <w:ind w:left="831" w:firstLine="0" w:firstLineChars="0"/>
        <w:jc w:val="left"/>
        <w:rPr>
          <w:rFonts w:ascii="宋体" w:hAnsi="宋体" w:cs="宋体"/>
          <w:sz w:val="24"/>
          <w:szCs w:val="24"/>
          <w:highlight w:val="none"/>
        </w:rPr>
      </w:pPr>
      <w:r>
        <w:rPr>
          <w:rFonts w:hint="eastAsia" w:ascii="宋体" w:hAnsi="宋体" w:cs="宋体"/>
          <w:sz w:val="24"/>
          <w:szCs w:val="24"/>
          <w:highlight w:val="none"/>
        </w:rPr>
        <w:t>二、合同工期</w:t>
      </w:r>
    </w:p>
    <w:p>
      <w:pPr>
        <w:pStyle w:val="11"/>
        <w:tabs>
          <w:tab w:val="left" w:pos="3669"/>
          <w:tab w:val="left" w:pos="4403"/>
          <w:tab w:val="left" w:pos="5138"/>
        </w:tabs>
        <w:spacing w:before="120"/>
        <w:ind w:left="832"/>
        <w:rPr>
          <w:rFonts w:ascii="宋体" w:hAnsi="宋体" w:cs="宋体"/>
          <w:sz w:val="24"/>
          <w:highlight w:val="none"/>
        </w:rPr>
      </w:pPr>
      <w:r>
        <w:rPr>
          <w:rFonts w:hint="eastAsia" w:ascii="宋体" w:hAnsi="宋体" w:cs="宋体"/>
          <w:sz w:val="24"/>
          <w:highlight w:val="none"/>
        </w:rPr>
        <w:t>计划开始工作日期：</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日。</w:t>
      </w:r>
    </w:p>
    <w:p>
      <w:pPr>
        <w:pStyle w:val="11"/>
        <w:tabs>
          <w:tab w:val="left" w:pos="3249"/>
          <w:tab w:val="left" w:pos="3983"/>
          <w:tab w:val="left" w:pos="4089"/>
          <w:tab w:val="left" w:pos="4718"/>
          <w:tab w:val="left" w:pos="4823"/>
          <w:tab w:val="left" w:pos="5558"/>
        </w:tabs>
        <w:spacing w:before="139" w:line="364" w:lineRule="auto"/>
        <w:ind w:left="832" w:right="4427"/>
        <w:rPr>
          <w:rFonts w:ascii="宋体" w:hAnsi="宋体" w:cs="宋体"/>
          <w:sz w:val="24"/>
          <w:highlight w:val="none"/>
        </w:rPr>
      </w:pPr>
      <w:r>
        <w:rPr>
          <w:rFonts w:hint="eastAsia" w:ascii="宋体" w:hAnsi="宋体" w:cs="宋体"/>
          <w:sz w:val="24"/>
          <w:highlight w:val="none"/>
        </w:rPr>
        <w:t>计划开始现场施工日期：</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日</w:t>
      </w:r>
      <w:r>
        <w:rPr>
          <w:rFonts w:hint="eastAsia" w:ascii="宋体" w:hAnsi="宋体" w:cs="宋体"/>
          <w:spacing w:val="-16"/>
          <w:sz w:val="24"/>
          <w:highlight w:val="none"/>
        </w:rPr>
        <w:t>。</w:t>
      </w:r>
      <w:r>
        <w:rPr>
          <w:rFonts w:hint="eastAsia" w:ascii="宋体" w:hAnsi="宋体" w:cs="宋体"/>
          <w:sz w:val="24"/>
          <w:highlight w:val="none"/>
        </w:rPr>
        <w:t>计划竣工日期：</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日。</w:t>
      </w:r>
    </w:p>
    <w:p>
      <w:pPr>
        <w:pStyle w:val="11"/>
        <w:tabs>
          <w:tab w:val="left" w:pos="3136"/>
        </w:tabs>
        <w:spacing w:line="367" w:lineRule="auto"/>
        <w:ind w:left="412" w:right="352" w:firstLine="420"/>
        <w:rPr>
          <w:rFonts w:ascii="宋体" w:hAnsi="宋体" w:cs="宋体"/>
          <w:sz w:val="24"/>
          <w:highlight w:val="none"/>
        </w:rPr>
      </w:pPr>
      <w:r>
        <w:rPr>
          <w:rFonts w:hint="eastAsia" w:ascii="宋体" w:hAnsi="宋体" w:cs="宋体"/>
          <w:sz w:val="24"/>
          <w:highlight w:val="none"/>
        </w:rPr>
        <w:t>工期总日历天数</w:t>
      </w:r>
      <w:r>
        <w:rPr>
          <w:rFonts w:hint="eastAsia" w:ascii="宋体" w:hAnsi="宋体" w:cs="宋体"/>
          <w:spacing w:val="-8"/>
          <w:sz w:val="24"/>
          <w:highlight w:val="none"/>
        </w:rPr>
        <w:t>：</w:t>
      </w:r>
      <w:r>
        <w:rPr>
          <w:rFonts w:hint="eastAsia" w:ascii="宋体" w:hAnsi="宋体" w:cs="宋体"/>
          <w:spacing w:val="-8"/>
          <w:sz w:val="24"/>
          <w:highlight w:val="none"/>
          <w:u w:val="single"/>
        </w:rPr>
        <w:t xml:space="preserve"> </w:t>
      </w:r>
      <w:r>
        <w:rPr>
          <w:rFonts w:hint="eastAsia" w:ascii="宋体" w:hAnsi="宋体" w:cs="宋体"/>
          <w:spacing w:val="-8"/>
          <w:sz w:val="24"/>
          <w:highlight w:val="none"/>
          <w:u w:val="single"/>
        </w:rPr>
        <w:tab/>
      </w:r>
      <w:r>
        <w:rPr>
          <w:rFonts w:hint="eastAsia" w:ascii="宋体" w:hAnsi="宋体" w:cs="宋体"/>
          <w:sz w:val="24"/>
          <w:highlight w:val="none"/>
        </w:rPr>
        <w:t>天，工期总日历天数与根据前述计划日期计算的工期天数不一致的，以工期总日历天数为准,工程正式开工时间以监理单位下发的工程开工令中开工时间为准。</w:t>
      </w:r>
    </w:p>
    <w:p>
      <w:pPr>
        <w:pStyle w:val="11"/>
        <w:spacing w:line="264" w:lineRule="exact"/>
        <w:ind w:left="412"/>
        <w:rPr>
          <w:rFonts w:ascii="宋体" w:hAnsi="宋体" w:cs="宋体"/>
          <w:sz w:val="24"/>
          <w:highlight w:val="none"/>
        </w:rPr>
      </w:pPr>
      <w:bookmarkStart w:id="1072" w:name="三、质量标准"/>
      <w:bookmarkEnd w:id="1072"/>
      <w:r>
        <w:rPr>
          <w:rFonts w:hint="eastAsia" w:ascii="宋体" w:hAnsi="宋体" w:cs="宋体"/>
          <w:sz w:val="24"/>
          <w:highlight w:val="none"/>
        </w:rPr>
        <w:t>三、质量标准</w:t>
      </w:r>
    </w:p>
    <w:p>
      <w:pPr>
        <w:pStyle w:val="11"/>
        <w:spacing w:line="364" w:lineRule="auto"/>
        <w:ind w:left="412" w:right="352" w:firstLine="420"/>
        <w:rPr>
          <w:rFonts w:ascii="宋体" w:hAnsi="宋体" w:cs="宋体"/>
          <w:sz w:val="24"/>
          <w:highlight w:val="none"/>
        </w:rPr>
      </w:pPr>
      <w:r>
        <w:rPr>
          <w:rFonts w:hint="eastAsia" w:ascii="宋体" w:hAnsi="宋体" w:cs="宋体"/>
          <w:sz w:val="24"/>
          <w:highlight w:val="none"/>
        </w:rPr>
        <w:t>工程设计质量标准：</w:t>
      </w:r>
      <w:r>
        <w:rPr>
          <w:rFonts w:hint="eastAsia" w:ascii="宋体" w:hAnsi="宋体" w:cs="宋体"/>
          <w:sz w:val="24"/>
          <w:highlight w:val="none"/>
          <w:u w:val="single"/>
        </w:rPr>
        <w:t>按国家、省或行业现行的工程设计准则和相关规范要求，满足发包人的功能需求，并通过发包人及有关部门或专业机构的审查</w:t>
      </w:r>
      <w:r>
        <w:rPr>
          <w:rFonts w:hint="eastAsia" w:ascii="宋体" w:hAnsi="宋体" w:cs="宋体"/>
          <w:sz w:val="24"/>
          <w:highlight w:val="none"/>
        </w:rPr>
        <w:t>。</w:t>
      </w:r>
    </w:p>
    <w:p>
      <w:pPr>
        <w:pStyle w:val="11"/>
        <w:ind w:left="412" w:right="542" w:firstLine="420"/>
        <w:rPr>
          <w:rFonts w:ascii="宋体" w:hAnsi="宋体" w:cs="宋体"/>
          <w:sz w:val="24"/>
          <w:highlight w:val="none"/>
        </w:rPr>
      </w:pPr>
      <w:r>
        <w:rPr>
          <w:rFonts w:hint="eastAsia" w:ascii="宋体" w:hAnsi="宋体" w:cs="宋体"/>
          <w:sz w:val="24"/>
          <w:highlight w:val="none"/>
        </w:rPr>
        <w:t>工程施工质量标准：</w:t>
      </w:r>
      <w:r>
        <w:rPr>
          <w:rFonts w:hint="eastAsia" w:ascii="宋体" w:hAnsi="宋体" w:cs="宋体"/>
          <w:sz w:val="24"/>
          <w:highlight w:val="none"/>
          <w:u w:val="single"/>
        </w:rPr>
        <w:t xml:space="preserve">符合现行国家有关工程施工验收规范和标准的要求合格，一次性通过验收 </w:t>
      </w:r>
      <w:r>
        <w:rPr>
          <w:rFonts w:hint="eastAsia" w:ascii="宋体" w:hAnsi="宋体" w:cs="宋体"/>
          <w:sz w:val="24"/>
          <w:highlight w:val="none"/>
        </w:rPr>
        <w:t>。</w:t>
      </w:r>
      <w:bookmarkStart w:id="1073" w:name="四、签约合同价与合同价格形式"/>
      <w:bookmarkEnd w:id="1073"/>
    </w:p>
    <w:p>
      <w:pPr>
        <w:pStyle w:val="11"/>
        <w:ind w:left="412" w:right="542" w:firstLine="420"/>
        <w:rPr>
          <w:rFonts w:ascii="宋体" w:hAnsi="宋体" w:cs="宋体"/>
          <w:sz w:val="24"/>
          <w:highlight w:val="none"/>
        </w:rPr>
      </w:pPr>
      <w:r>
        <w:rPr>
          <w:rFonts w:hint="eastAsia" w:ascii="宋体" w:hAnsi="宋体" w:cs="宋体"/>
          <w:sz w:val="24"/>
          <w:highlight w:val="none"/>
        </w:rPr>
        <w:t>四、签约合同价与合同价格形式</w:t>
      </w:r>
    </w:p>
    <w:p>
      <w:pPr>
        <w:pStyle w:val="11"/>
        <w:tabs>
          <w:tab w:val="left" w:pos="3983"/>
          <w:tab w:val="left" w:pos="5769"/>
        </w:tabs>
        <w:spacing w:before="138"/>
        <w:ind w:left="832" w:right="4005"/>
        <w:rPr>
          <w:rFonts w:ascii="宋体" w:hAnsi="宋体" w:cs="宋体"/>
          <w:sz w:val="24"/>
          <w:highlight w:val="none"/>
        </w:rPr>
      </w:pPr>
      <w:r>
        <w:rPr>
          <w:rFonts w:hint="eastAsia" w:ascii="宋体" w:hAnsi="宋体" w:cs="宋体"/>
          <w:sz w:val="24"/>
          <w:highlight w:val="none"/>
        </w:rPr>
        <w:t>1. 签约合同总价（含税）为：</w:t>
      </w:r>
    </w:p>
    <w:p>
      <w:pPr>
        <w:pStyle w:val="11"/>
        <w:tabs>
          <w:tab w:val="left" w:pos="3983"/>
          <w:tab w:val="left" w:pos="5769"/>
        </w:tabs>
        <w:spacing w:before="138"/>
        <w:ind w:left="832" w:right="4005"/>
        <w:rPr>
          <w:rFonts w:ascii="宋体" w:hAnsi="宋体" w:cs="宋体"/>
          <w:spacing w:val="-16"/>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元）</w:t>
      </w:r>
      <w:r>
        <w:rPr>
          <w:rFonts w:hint="eastAsia" w:ascii="宋体" w:hAnsi="宋体" w:cs="宋体"/>
          <w:spacing w:val="-16"/>
          <w:sz w:val="24"/>
          <w:highlight w:val="none"/>
        </w:rPr>
        <w:t>。</w:t>
      </w:r>
    </w:p>
    <w:p>
      <w:pPr>
        <w:pStyle w:val="11"/>
        <w:tabs>
          <w:tab w:val="left" w:pos="3983"/>
          <w:tab w:val="left" w:pos="5769"/>
        </w:tabs>
        <w:spacing w:before="138"/>
        <w:ind w:left="832" w:right="4005"/>
        <w:rPr>
          <w:rFonts w:ascii="宋体" w:hAnsi="宋体" w:cs="宋体"/>
          <w:sz w:val="24"/>
          <w:highlight w:val="none"/>
        </w:rPr>
      </w:pPr>
      <w:r>
        <w:rPr>
          <w:rFonts w:hint="eastAsia" w:ascii="宋体" w:hAnsi="宋体" w:cs="宋体"/>
          <w:sz w:val="24"/>
          <w:highlight w:val="none"/>
        </w:rPr>
        <w:t>具体构成详见价格清单。</w:t>
      </w:r>
    </w:p>
    <w:p>
      <w:pPr>
        <w:pStyle w:val="11"/>
        <w:tabs>
          <w:tab w:val="left" w:pos="3983"/>
          <w:tab w:val="left" w:pos="5769"/>
        </w:tabs>
        <w:spacing w:before="138"/>
        <w:ind w:left="832" w:right="4005"/>
        <w:rPr>
          <w:rFonts w:ascii="宋体" w:hAnsi="宋体" w:cs="宋体"/>
          <w:sz w:val="24"/>
          <w:highlight w:val="none"/>
        </w:rPr>
      </w:pPr>
      <w:r>
        <w:rPr>
          <w:rFonts w:hint="eastAsia" w:ascii="宋体" w:hAnsi="宋体" w:cs="宋体"/>
          <w:sz w:val="24"/>
          <w:highlight w:val="none"/>
        </w:rPr>
        <w:t>其中：</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施工图设计费（含税）：</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人民币（大写) （¥元）；下浮率（大写）（</w:t>
      </w:r>
      <w:r>
        <w:rPr>
          <w:rFonts w:hint="eastAsia" w:ascii="宋体" w:hAnsi="宋体" w:cs="宋体"/>
          <w:sz w:val="24"/>
          <w:highlight w:val="none"/>
          <w:u w:val="single"/>
        </w:rPr>
        <w:tab/>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建筑安装工程费（含税）：</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人民币（大写)（¥元）；下浮率（大写）（</w:t>
      </w:r>
      <w:r>
        <w:rPr>
          <w:rFonts w:hint="eastAsia" w:ascii="宋体" w:hAnsi="宋体" w:cs="宋体"/>
          <w:sz w:val="24"/>
          <w:highlight w:val="none"/>
          <w:u w:val="single"/>
        </w:rPr>
        <w:tab/>
      </w:r>
      <w:r>
        <w:rPr>
          <w:rFonts w:hint="eastAsia" w:ascii="宋体" w:hAnsi="宋体" w:cs="宋体"/>
          <w:sz w:val="24"/>
          <w:highlight w:val="none"/>
        </w:rPr>
        <w:t>%）；</w:t>
      </w:r>
    </w:p>
    <w:p>
      <w:pPr>
        <w:pStyle w:val="11"/>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备注：施工图设计费签约合同价=施工图设计费最高限价×（1-投标报价下浮率）。</w:t>
      </w:r>
    </w:p>
    <w:p>
      <w:pPr>
        <w:pStyle w:val="11"/>
        <w:spacing w:line="360" w:lineRule="auto"/>
        <w:ind w:left="832"/>
        <w:rPr>
          <w:rFonts w:ascii="宋体" w:hAnsi="宋体" w:cs="宋体"/>
          <w:sz w:val="24"/>
          <w:highlight w:val="none"/>
        </w:rPr>
      </w:pPr>
      <w:r>
        <w:rPr>
          <w:rFonts w:hint="eastAsia" w:ascii="宋体" w:hAnsi="宋体" w:cs="宋体"/>
          <w:sz w:val="24"/>
          <w:highlight w:val="none"/>
        </w:rPr>
        <w:t>建安工程费签约合同价=建安工程费</w:t>
      </w:r>
      <w:r>
        <w:rPr>
          <w:rFonts w:hint="eastAsia" w:ascii="宋体" w:hAnsi="宋体" w:cs="宋体"/>
          <w:sz w:val="24"/>
          <w:highlight w:val="none"/>
          <w:lang w:eastAsia="zh-CN"/>
        </w:rPr>
        <w:t>最高限价</w:t>
      </w:r>
      <w:r>
        <w:rPr>
          <w:rFonts w:hint="eastAsia" w:ascii="宋体" w:hAnsi="宋体" w:cs="宋体"/>
          <w:sz w:val="24"/>
          <w:highlight w:val="none"/>
        </w:rPr>
        <w:t>×（1-投标报价下浮率）。</w:t>
      </w:r>
    </w:p>
    <w:p>
      <w:pPr>
        <w:spacing w:line="360" w:lineRule="auto"/>
        <w:ind w:firstLine="480" w:firstLineChars="200"/>
        <w:outlineLvl w:val="2"/>
        <w:rPr>
          <w:rFonts w:ascii="宋体" w:hAnsi="宋体" w:cs="宋体"/>
          <w:sz w:val="24"/>
          <w:highlight w:val="none"/>
        </w:rPr>
      </w:pPr>
      <w:bookmarkStart w:id="1074" w:name="（1）设计费合同价为总价合同，施工图设计费最终结算价=施工图设计费中标价。"/>
      <w:bookmarkEnd w:id="1074"/>
      <w:bookmarkStart w:id="1075" w:name="_Toc29213"/>
      <w:bookmarkStart w:id="1076" w:name="_Toc1675"/>
      <w:bookmarkStart w:id="1077" w:name="_Toc30053"/>
      <w:r>
        <w:rPr>
          <w:rFonts w:hint="eastAsia" w:ascii="宋体" w:hAnsi="宋体" w:cs="宋体"/>
          <w:sz w:val="24"/>
          <w:highlight w:val="none"/>
        </w:rPr>
        <w:t>2. 合同价格形式：</w:t>
      </w:r>
      <w:bookmarkEnd w:id="1075"/>
      <w:bookmarkEnd w:id="1076"/>
      <w:bookmarkEnd w:id="1077"/>
    </w:p>
    <w:p>
      <w:pPr>
        <w:pStyle w:val="20"/>
        <w:tabs>
          <w:tab w:val="left" w:pos="1254"/>
        </w:tabs>
        <w:spacing w:before="141" w:line="360" w:lineRule="auto"/>
        <w:ind w:left="650" w:firstLine="0" w:firstLineChars="0"/>
        <w:jc w:val="left"/>
        <w:rPr>
          <w:rFonts w:ascii="宋体" w:hAnsi="宋体" w:cs="宋体"/>
          <w:sz w:val="24"/>
          <w:szCs w:val="24"/>
          <w:highlight w:val="none"/>
        </w:rPr>
      </w:pPr>
      <w:r>
        <w:rPr>
          <w:rFonts w:hint="eastAsia" w:ascii="宋体" w:hAnsi="宋体" w:cs="宋体"/>
          <w:sz w:val="24"/>
          <w:szCs w:val="24"/>
          <w:highlight w:val="none"/>
        </w:rPr>
        <w:t>（1）设计费合同价为总价合同，施工图设计费最终结算价=施工图设计费中标价。</w:t>
      </w:r>
      <w:bookmarkStart w:id="1078" w:name="（2）建安工程费合同价款采用总价合同，且合同总价=施工图工程预算价（按中标下浮率"/>
      <w:bookmarkEnd w:id="1078"/>
    </w:p>
    <w:p>
      <w:pPr>
        <w:pStyle w:val="20"/>
        <w:tabs>
          <w:tab w:val="left" w:pos="1254"/>
        </w:tabs>
        <w:spacing w:before="141" w:line="360" w:lineRule="auto"/>
        <w:ind w:left="650" w:firstLine="0" w:firstLineChars="0"/>
        <w:jc w:val="left"/>
        <w:rPr>
          <w:rFonts w:ascii="宋体" w:hAnsi="宋体" w:cs="宋体"/>
          <w:b/>
          <w:sz w:val="24"/>
          <w:szCs w:val="24"/>
          <w:highlight w:val="none"/>
        </w:rPr>
      </w:pPr>
      <w:r>
        <w:rPr>
          <w:rFonts w:hint="eastAsia" w:ascii="宋体" w:hAnsi="宋体" w:cs="宋体"/>
          <w:sz w:val="24"/>
          <w:szCs w:val="24"/>
          <w:highlight w:val="none"/>
        </w:rPr>
        <w:t>（2）建安工程费合同价款采用单价合同，合同总价为暂定价，最终以结算为准。</w:t>
      </w:r>
      <w:r>
        <w:rPr>
          <w:rFonts w:hint="eastAsia" w:ascii="宋体" w:hAnsi="宋体" w:cs="宋体"/>
          <w:w w:val="95"/>
          <w:sz w:val="24"/>
          <w:szCs w:val="24"/>
          <w:highlight w:val="none"/>
        </w:rPr>
        <w:t xml:space="preserve">   </w:t>
      </w:r>
      <w:bookmarkStart w:id="1079" w:name="合同当事人对合同价格形式的其他约定："/>
      <w:bookmarkEnd w:id="1079"/>
    </w:p>
    <w:p>
      <w:pPr>
        <w:pStyle w:val="11"/>
        <w:spacing w:line="268" w:lineRule="exact"/>
        <w:ind w:left="832"/>
        <w:rPr>
          <w:rFonts w:ascii="宋体" w:hAnsi="宋体" w:cs="宋体"/>
          <w:sz w:val="24"/>
          <w:highlight w:val="none"/>
        </w:rPr>
      </w:pPr>
      <w:r>
        <w:rPr>
          <w:rFonts w:hint="eastAsia" w:ascii="宋体" w:hAnsi="宋体" w:cs="宋体"/>
          <w:sz w:val="24"/>
          <w:highlight w:val="none"/>
        </w:rPr>
        <w:t>五、项目管理主要人员</w:t>
      </w:r>
    </w:p>
    <w:p>
      <w:pPr>
        <w:pStyle w:val="11"/>
        <w:spacing w:before="139" w:line="360" w:lineRule="auto"/>
        <w:ind w:left="832"/>
        <w:rPr>
          <w:rFonts w:ascii="宋体" w:hAnsi="宋体" w:cs="宋体"/>
          <w:sz w:val="24"/>
          <w:highlight w:val="none"/>
        </w:rPr>
      </w:pPr>
      <w:r>
        <w:rPr>
          <w:rFonts w:hint="eastAsia" w:ascii="宋体" w:hAnsi="宋体" w:cs="宋体"/>
          <w:sz w:val="24"/>
          <w:highlight w:val="none"/>
        </w:rPr>
        <w:t>（一）工程总承包项目经理：</w:t>
      </w:r>
    </w:p>
    <w:p>
      <w:pPr>
        <w:pStyle w:val="11"/>
        <w:tabs>
          <w:tab w:val="left" w:pos="3089"/>
          <w:tab w:val="left" w:pos="3669"/>
          <w:tab w:val="left" w:pos="6449"/>
          <w:tab w:val="left" w:pos="6818"/>
          <w:tab w:val="left" w:pos="9495"/>
        </w:tabs>
        <w:spacing w:before="139" w:line="360" w:lineRule="auto"/>
        <w:ind w:left="832"/>
        <w:rPr>
          <w:rFonts w:ascii="宋体" w:hAnsi="宋体" w:cs="宋体"/>
          <w:sz w:val="24"/>
          <w:highlight w:val="non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证书编号：</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kern w:val="0"/>
          <w:sz w:val="24"/>
          <w:highlight w:val="none"/>
        </w:rPr>
        <w:t>身份证号：</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tbl>
      <w:tblPr>
        <w:tblStyle w:val="16"/>
        <w:tblW w:w="0" w:type="auto"/>
        <w:tblInd w:w="790" w:type="dxa"/>
        <w:tblLayout w:type="fixed"/>
        <w:tblCellMar>
          <w:top w:w="0" w:type="dxa"/>
          <w:left w:w="0" w:type="dxa"/>
          <w:bottom w:w="0" w:type="dxa"/>
          <w:right w:w="0" w:type="dxa"/>
        </w:tblCellMar>
      </w:tblPr>
      <w:tblGrid>
        <w:gridCol w:w="2597"/>
        <w:gridCol w:w="3254"/>
        <w:gridCol w:w="2911"/>
      </w:tblGrid>
      <w:tr>
        <w:tblPrEx>
          <w:tblCellMar>
            <w:top w:w="0" w:type="dxa"/>
            <w:left w:w="0" w:type="dxa"/>
            <w:bottom w:w="0" w:type="dxa"/>
            <w:right w:w="0" w:type="dxa"/>
          </w:tblCellMar>
        </w:tblPrEx>
        <w:trPr>
          <w:trHeight w:val="305" w:hRule="atLeast"/>
        </w:trPr>
        <w:tc>
          <w:tcPr>
            <w:tcW w:w="2597" w:type="dxa"/>
          </w:tcPr>
          <w:p>
            <w:pPr>
              <w:pStyle w:val="21"/>
              <w:spacing w:line="360" w:lineRule="auto"/>
              <w:ind w:left="50"/>
              <w:rPr>
                <w:rFonts w:ascii="宋体" w:hAnsi="宋体" w:cs="宋体"/>
                <w:highlight w:val="none"/>
              </w:rPr>
            </w:pPr>
            <w:r>
              <w:rPr>
                <w:rFonts w:hint="eastAsia" w:ascii="宋体" w:hAnsi="宋体" w:cs="宋体"/>
                <w:highlight w:val="none"/>
              </w:rPr>
              <w:t>（二）施工负责人：</w:t>
            </w:r>
          </w:p>
        </w:tc>
        <w:tc>
          <w:tcPr>
            <w:tcW w:w="6165" w:type="dxa"/>
            <w:gridSpan w:val="2"/>
          </w:tcPr>
          <w:p>
            <w:pPr>
              <w:pStyle w:val="21"/>
              <w:spacing w:line="360" w:lineRule="auto"/>
              <w:rPr>
                <w:rFonts w:ascii="宋体" w:hAnsi="宋体" w:cs="宋体"/>
                <w:highlight w:val="none"/>
              </w:rPr>
            </w:pPr>
          </w:p>
        </w:tc>
      </w:tr>
      <w:tr>
        <w:tblPrEx>
          <w:tblCellMar>
            <w:top w:w="0" w:type="dxa"/>
            <w:left w:w="0" w:type="dxa"/>
            <w:bottom w:w="0" w:type="dxa"/>
            <w:right w:w="0" w:type="dxa"/>
          </w:tblCellMar>
        </w:tblPrEx>
        <w:trPr>
          <w:trHeight w:val="420" w:hRule="atLeast"/>
        </w:trPr>
        <w:tc>
          <w:tcPr>
            <w:tcW w:w="2597" w:type="dxa"/>
          </w:tcPr>
          <w:p>
            <w:pPr>
              <w:pStyle w:val="21"/>
              <w:tabs>
                <w:tab w:val="left" w:pos="2307"/>
              </w:tabs>
              <w:spacing w:before="63" w:line="360" w:lineRule="auto"/>
              <w:ind w:left="50"/>
              <w:rPr>
                <w:rFonts w:ascii="宋体" w:hAnsi="宋体" w:cs="宋体"/>
                <w:highlight w:val="none"/>
              </w:rPr>
            </w:pPr>
            <w:r>
              <w:rPr>
                <w:rFonts w:hint="eastAsia" w:ascii="宋体" w:hAnsi="宋体" w:cs="宋体"/>
                <w:highlight w:val="none"/>
              </w:rPr>
              <w:t>姓名：</w:t>
            </w:r>
            <w:r>
              <w:rPr>
                <w:rFonts w:hint="eastAsia" w:ascii="宋体" w:hAnsi="宋体" w:cs="宋体"/>
                <w:highlight w:val="none"/>
                <w:u w:val="single"/>
              </w:rPr>
              <w:t xml:space="preserve"> </w:t>
            </w:r>
            <w:r>
              <w:rPr>
                <w:rFonts w:hint="eastAsia" w:ascii="宋体" w:hAnsi="宋体" w:cs="宋体"/>
                <w:highlight w:val="none"/>
                <w:u w:val="single"/>
              </w:rPr>
              <w:tab/>
            </w:r>
          </w:p>
        </w:tc>
        <w:tc>
          <w:tcPr>
            <w:tcW w:w="3254" w:type="dxa"/>
          </w:tcPr>
          <w:p>
            <w:pPr>
              <w:pStyle w:val="21"/>
              <w:tabs>
                <w:tab w:val="left" w:pos="2780"/>
              </w:tabs>
              <w:spacing w:before="63" w:line="360" w:lineRule="auto"/>
              <w:ind w:right="181"/>
              <w:jc w:val="right"/>
              <w:rPr>
                <w:rFonts w:ascii="宋体" w:hAnsi="宋体" w:cs="宋体"/>
                <w:highlight w:val="none"/>
              </w:rPr>
            </w:pPr>
            <w:r>
              <w:rPr>
                <w:rFonts w:hint="eastAsia" w:ascii="宋体" w:hAnsi="宋体" w:cs="宋体"/>
                <w:highlight w:val="none"/>
              </w:rPr>
              <w:t>证书编号：</w:t>
            </w:r>
            <w:r>
              <w:rPr>
                <w:rFonts w:hint="eastAsia" w:ascii="宋体" w:hAnsi="宋体" w:cs="宋体"/>
                <w:w w:val="95"/>
                <w:highlight w:val="none"/>
                <w:u w:val="single"/>
              </w:rPr>
              <w:t xml:space="preserve"> </w:t>
            </w:r>
            <w:r>
              <w:rPr>
                <w:rFonts w:hint="eastAsia" w:ascii="宋体" w:hAnsi="宋体" w:cs="宋体"/>
                <w:highlight w:val="none"/>
                <w:u w:val="single"/>
              </w:rPr>
              <w:tab/>
            </w:r>
          </w:p>
        </w:tc>
        <w:tc>
          <w:tcPr>
            <w:tcW w:w="2911" w:type="dxa"/>
          </w:tcPr>
          <w:p>
            <w:pPr>
              <w:pStyle w:val="21"/>
              <w:tabs>
                <w:tab w:val="left" w:pos="2677"/>
              </w:tabs>
              <w:spacing w:before="63" w:line="360" w:lineRule="auto"/>
              <w:ind w:right="46"/>
              <w:jc w:val="right"/>
              <w:rPr>
                <w:rFonts w:ascii="宋体" w:hAnsi="宋体" w:cs="宋体"/>
                <w:highlight w:val="none"/>
              </w:rPr>
            </w:pPr>
            <w:r>
              <w:rPr>
                <w:rFonts w:hint="eastAsia" w:ascii="宋体" w:hAnsi="宋体" w:cs="宋体"/>
                <w:highlight w:val="none"/>
              </w:rPr>
              <w:t>身份证号：</w:t>
            </w:r>
            <w:r>
              <w:rPr>
                <w:rFonts w:hint="eastAsia" w:ascii="宋体" w:hAnsi="宋体" w:cs="宋体"/>
                <w:w w:val="95"/>
                <w:highlight w:val="none"/>
                <w:u w:val="single"/>
              </w:rPr>
              <w:t xml:space="preserve"> </w:t>
            </w:r>
            <w:r>
              <w:rPr>
                <w:rFonts w:hint="eastAsia" w:ascii="宋体" w:hAnsi="宋体" w:cs="宋体"/>
                <w:highlight w:val="none"/>
                <w:u w:val="single"/>
              </w:rPr>
              <w:tab/>
            </w:r>
          </w:p>
        </w:tc>
      </w:tr>
      <w:tr>
        <w:tblPrEx>
          <w:tblCellMar>
            <w:top w:w="0" w:type="dxa"/>
            <w:left w:w="0" w:type="dxa"/>
            <w:bottom w:w="0" w:type="dxa"/>
            <w:right w:w="0" w:type="dxa"/>
          </w:tblCellMar>
        </w:tblPrEx>
        <w:trPr>
          <w:trHeight w:val="397" w:hRule="atLeast"/>
        </w:trPr>
        <w:tc>
          <w:tcPr>
            <w:tcW w:w="2597" w:type="dxa"/>
          </w:tcPr>
          <w:p>
            <w:pPr>
              <w:pStyle w:val="21"/>
              <w:spacing w:before="53" w:line="360" w:lineRule="auto"/>
              <w:ind w:left="50"/>
              <w:rPr>
                <w:rFonts w:ascii="宋体" w:hAnsi="宋体" w:cs="宋体"/>
                <w:highlight w:val="none"/>
              </w:rPr>
            </w:pPr>
            <w:r>
              <w:rPr>
                <w:rFonts w:hint="eastAsia" w:ascii="宋体" w:hAnsi="宋体" w:cs="宋体"/>
                <w:highlight w:val="none"/>
              </w:rPr>
              <w:t>（三）设计负责人：</w:t>
            </w:r>
          </w:p>
        </w:tc>
        <w:tc>
          <w:tcPr>
            <w:tcW w:w="3254" w:type="dxa"/>
          </w:tcPr>
          <w:p>
            <w:pPr>
              <w:pStyle w:val="21"/>
              <w:spacing w:line="360" w:lineRule="auto"/>
              <w:rPr>
                <w:rFonts w:ascii="宋体" w:hAnsi="宋体" w:cs="宋体"/>
                <w:highlight w:val="none"/>
              </w:rPr>
            </w:pPr>
          </w:p>
        </w:tc>
        <w:tc>
          <w:tcPr>
            <w:tcW w:w="2911" w:type="dxa"/>
          </w:tcPr>
          <w:p>
            <w:pPr>
              <w:pStyle w:val="21"/>
              <w:spacing w:line="360" w:lineRule="auto"/>
              <w:rPr>
                <w:rFonts w:ascii="宋体" w:hAnsi="宋体" w:cs="宋体"/>
                <w:highlight w:val="none"/>
              </w:rPr>
            </w:pPr>
          </w:p>
        </w:tc>
      </w:tr>
      <w:tr>
        <w:tblPrEx>
          <w:tblCellMar>
            <w:top w:w="0" w:type="dxa"/>
            <w:left w:w="0" w:type="dxa"/>
            <w:bottom w:w="0" w:type="dxa"/>
            <w:right w:w="0" w:type="dxa"/>
          </w:tblCellMar>
        </w:tblPrEx>
        <w:trPr>
          <w:trHeight w:val="327" w:hRule="atLeast"/>
        </w:trPr>
        <w:tc>
          <w:tcPr>
            <w:tcW w:w="2597" w:type="dxa"/>
          </w:tcPr>
          <w:p>
            <w:pPr>
              <w:pStyle w:val="21"/>
              <w:tabs>
                <w:tab w:val="left" w:pos="2307"/>
              </w:tabs>
              <w:spacing w:before="63" w:line="360" w:lineRule="auto"/>
              <w:ind w:left="50"/>
              <w:rPr>
                <w:rFonts w:ascii="宋体" w:hAnsi="宋体" w:cs="宋体"/>
                <w:highlight w:val="none"/>
              </w:rPr>
            </w:pPr>
            <w:r>
              <w:rPr>
                <w:rFonts w:hint="eastAsia" w:ascii="宋体" w:hAnsi="宋体" w:cs="宋体"/>
                <w:highlight w:val="none"/>
              </w:rPr>
              <w:t>姓名：</w:t>
            </w:r>
            <w:r>
              <w:rPr>
                <w:rFonts w:hint="eastAsia" w:ascii="宋体" w:hAnsi="宋体" w:cs="宋体"/>
                <w:highlight w:val="none"/>
                <w:u w:val="single"/>
              </w:rPr>
              <w:t xml:space="preserve"> </w:t>
            </w:r>
            <w:r>
              <w:rPr>
                <w:rFonts w:hint="eastAsia" w:ascii="宋体" w:hAnsi="宋体" w:cs="宋体"/>
                <w:highlight w:val="none"/>
                <w:u w:val="single"/>
              </w:rPr>
              <w:tab/>
            </w:r>
          </w:p>
        </w:tc>
        <w:tc>
          <w:tcPr>
            <w:tcW w:w="3254" w:type="dxa"/>
          </w:tcPr>
          <w:p>
            <w:pPr>
              <w:pStyle w:val="21"/>
              <w:tabs>
                <w:tab w:val="left" w:pos="2780"/>
              </w:tabs>
              <w:spacing w:before="63" w:line="360" w:lineRule="auto"/>
              <w:ind w:right="181"/>
              <w:jc w:val="right"/>
              <w:rPr>
                <w:rFonts w:ascii="宋体" w:hAnsi="宋体" w:cs="宋体"/>
                <w:highlight w:val="none"/>
              </w:rPr>
            </w:pPr>
            <w:r>
              <w:rPr>
                <w:rFonts w:hint="eastAsia" w:ascii="宋体" w:hAnsi="宋体" w:cs="宋体"/>
                <w:highlight w:val="none"/>
              </w:rPr>
              <w:t>证书编号：</w:t>
            </w:r>
            <w:r>
              <w:rPr>
                <w:rFonts w:hint="eastAsia" w:ascii="宋体" w:hAnsi="宋体" w:cs="宋体"/>
                <w:w w:val="95"/>
                <w:highlight w:val="none"/>
                <w:u w:val="single"/>
              </w:rPr>
              <w:t xml:space="preserve"> </w:t>
            </w:r>
            <w:r>
              <w:rPr>
                <w:rFonts w:hint="eastAsia" w:ascii="宋体" w:hAnsi="宋体" w:cs="宋体"/>
                <w:highlight w:val="none"/>
                <w:u w:val="single"/>
              </w:rPr>
              <w:tab/>
            </w:r>
          </w:p>
        </w:tc>
        <w:tc>
          <w:tcPr>
            <w:tcW w:w="2911" w:type="dxa"/>
          </w:tcPr>
          <w:p>
            <w:pPr>
              <w:pStyle w:val="21"/>
              <w:tabs>
                <w:tab w:val="left" w:pos="2677"/>
              </w:tabs>
              <w:spacing w:before="63" w:line="360" w:lineRule="auto"/>
              <w:ind w:right="46"/>
              <w:jc w:val="right"/>
              <w:rPr>
                <w:rFonts w:ascii="宋体" w:hAnsi="宋体" w:cs="宋体"/>
                <w:highlight w:val="none"/>
              </w:rPr>
            </w:pPr>
            <w:r>
              <w:rPr>
                <w:rFonts w:hint="eastAsia" w:ascii="宋体" w:hAnsi="宋体" w:cs="宋体"/>
                <w:highlight w:val="none"/>
              </w:rPr>
              <w:t>身份证号</w:t>
            </w:r>
            <w:r>
              <w:rPr>
                <w:rFonts w:hint="eastAsia" w:ascii="宋体" w:hAnsi="宋体" w:cs="宋体"/>
                <w:w w:val="95"/>
                <w:highlight w:val="none"/>
              </w:rPr>
              <w:t>：</w:t>
            </w:r>
            <w:r>
              <w:rPr>
                <w:rFonts w:hint="eastAsia" w:ascii="宋体" w:hAnsi="宋体" w:cs="宋体"/>
                <w:w w:val="95"/>
                <w:highlight w:val="none"/>
                <w:u w:val="single"/>
              </w:rPr>
              <w:t xml:space="preserve"> </w:t>
            </w:r>
            <w:r>
              <w:rPr>
                <w:rFonts w:hint="eastAsia" w:ascii="宋体" w:hAnsi="宋体" w:cs="宋体"/>
                <w:highlight w:val="none"/>
                <w:u w:val="single"/>
              </w:rPr>
              <w:tab/>
            </w:r>
          </w:p>
        </w:tc>
      </w:tr>
    </w:tbl>
    <w:p>
      <w:pPr>
        <w:pStyle w:val="11"/>
        <w:spacing w:before="70"/>
        <w:ind w:left="412"/>
        <w:rPr>
          <w:rFonts w:ascii="宋体" w:hAnsi="宋体" w:cs="宋体"/>
          <w:sz w:val="24"/>
          <w:highlight w:val="none"/>
        </w:rPr>
      </w:pPr>
      <w:bookmarkStart w:id="1080" w:name="六、合同文件构成"/>
      <w:bookmarkEnd w:id="1080"/>
      <w:r>
        <w:rPr>
          <w:rFonts w:hint="eastAsia" w:ascii="宋体" w:hAnsi="宋体" w:cs="宋体"/>
          <w:sz w:val="24"/>
          <w:highlight w:val="none"/>
        </w:rPr>
        <w:t>六、合同文件构成</w:t>
      </w:r>
    </w:p>
    <w:p>
      <w:pPr>
        <w:pStyle w:val="11"/>
        <w:ind w:left="832"/>
        <w:rPr>
          <w:rFonts w:ascii="宋体" w:hAnsi="宋体" w:cs="宋体"/>
          <w:sz w:val="24"/>
          <w:highlight w:val="none"/>
        </w:rPr>
      </w:pPr>
      <w:r>
        <w:rPr>
          <w:rFonts w:hint="eastAsia" w:ascii="宋体" w:hAnsi="宋体" w:cs="宋体"/>
          <w:sz w:val="24"/>
          <w:highlight w:val="none"/>
        </w:rPr>
        <w:t>本协议书与下列文件一起构成合同文件：</w:t>
      </w:r>
    </w:p>
    <w:p>
      <w:pPr>
        <w:pStyle w:val="20"/>
        <w:numPr>
          <w:ilvl w:val="0"/>
          <w:numId w:val="7"/>
        </w:numPr>
        <w:tabs>
          <w:tab w:val="left" w:pos="1464"/>
        </w:tabs>
        <w:spacing w:before="141"/>
        <w:ind w:firstLine="480"/>
        <w:jc w:val="left"/>
        <w:rPr>
          <w:rFonts w:ascii="宋体" w:hAnsi="宋体" w:cs="宋体"/>
          <w:sz w:val="24"/>
          <w:szCs w:val="24"/>
          <w:highlight w:val="none"/>
        </w:rPr>
      </w:pPr>
      <w:r>
        <w:rPr>
          <w:rFonts w:hint="eastAsia" w:ascii="宋体" w:hAnsi="宋体" w:cs="宋体"/>
          <w:sz w:val="24"/>
          <w:szCs w:val="24"/>
          <w:highlight w:val="none"/>
        </w:rPr>
        <w:t>中标通知书（如果有）；</w:t>
      </w:r>
    </w:p>
    <w:p>
      <w:pPr>
        <w:pStyle w:val="20"/>
        <w:numPr>
          <w:ilvl w:val="0"/>
          <w:numId w:val="7"/>
        </w:numPr>
        <w:tabs>
          <w:tab w:val="left" w:pos="1464"/>
        </w:tabs>
        <w:spacing w:before="139"/>
        <w:ind w:firstLine="480"/>
        <w:jc w:val="left"/>
        <w:rPr>
          <w:rFonts w:ascii="宋体" w:hAnsi="宋体" w:cs="宋体"/>
          <w:sz w:val="24"/>
          <w:szCs w:val="24"/>
          <w:highlight w:val="none"/>
        </w:rPr>
      </w:pPr>
      <w:r>
        <w:rPr>
          <w:rFonts w:hint="eastAsia" w:ascii="宋体" w:hAnsi="宋体" w:cs="宋体"/>
          <w:sz w:val="24"/>
          <w:szCs w:val="24"/>
          <w:highlight w:val="none"/>
        </w:rPr>
        <w:t>投标函及投标函附录（如果有）；</w:t>
      </w:r>
    </w:p>
    <w:p>
      <w:pPr>
        <w:pStyle w:val="20"/>
        <w:numPr>
          <w:ilvl w:val="0"/>
          <w:numId w:val="7"/>
        </w:numPr>
        <w:tabs>
          <w:tab w:val="left" w:pos="1464"/>
        </w:tabs>
        <w:spacing w:before="139"/>
        <w:ind w:firstLine="480"/>
        <w:jc w:val="left"/>
        <w:rPr>
          <w:rFonts w:ascii="宋体" w:hAnsi="宋体" w:cs="宋体"/>
          <w:sz w:val="24"/>
          <w:szCs w:val="24"/>
          <w:highlight w:val="none"/>
        </w:rPr>
      </w:pPr>
      <w:r>
        <w:rPr>
          <w:rFonts w:hint="eastAsia" w:ascii="宋体" w:hAnsi="宋体" w:cs="宋体"/>
          <w:sz w:val="24"/>
          <w:szCs w:val="24"/>
          <w:highlight w:val="none"/>
        </w:rPr>
        <w:t>专用合同条件及《发包人要求》等附件；</w:t>
      </w:r>
    </w:p>
    <w:p>
      <w:pPr>
        <w:pStyle w:val="20"/>
        <w:numPr>
          <w:ilvl w:val="0"/>
          <w:numId w:val="7"/>
        </w:numPr>
        <w:tabs>
          <w:tab w:val="left" w:pos="1464"/>
        </w:tabs>
        <w:spacing w:before="139"/>
        <w:ind w:firstLine="480"/>
        <w:jc w:val="left"/>
        <w:rPr>
          <w:rFonts w:ascii="宋体" w:hAnsi="宋体" w:cs="宋体"/>
          <w:sz w:val="24"/>
          <w:szCs w:val="24"/>
          <w:highlight w:val="none"/>
        </w:rPr>
      </w:pPr>
      <w:r>
        <w:rPr>
          <w:rFonts w:hint="eastAsia" w:ascii="宋体" w:hAnsi="宋体" w:cs="宋体"/>
          <w:sz w:val="24"/>
          <w:szCs w:val="24"/>
          <w:highlight w:val="none"/>
        </w:rPr>
        <w:t>通用合同条件；</w:t>
      </w:r>
    </w:p>
    <w:p>
      <w:pPr>
        <w:pStyle w:val="20"/>
        <w:numPr>
          <w:ilvl w:val="0"/>
          <w:numId w:val="7"/>
        </w:numPr>
        <w:tabs>
          <w:tab w:val="left" w:pos="1464"/>
        </w:tabs>
        <w:spacing w:before="139"/>
        <w:ind w:firstLine="480"/>
        <w:jc w:val="left"/>
        <w:rPr>
          <w:rFonts w:ascii="宋体" w:hAnsi="宋体" w:cs="宋体"/>
          <w:sz w:val="24"/>
          <w:szCs w:val="24"/>
          <w:highlight w:val="none"/>
        </w:rPr>
      </w:pPr>
      <w:r>
        <w:rPr>
          <w:rFonts w:hint="eastAsia" w:ascii="宋体" w:hAnsi="宋体" w:cs="宋体"/>
          <w:sz w:val="24"/>
          <w:szCs w:val="24"/>
          <w:highlight w:val="none"/>
        </w:rPr>
        <w:t>承包人建议书；</w:t>
      </w:r>
    </w:p>
    <w:p>
      <w:pPr>
        <w:pStyle w:val="20"/>
        <w:numPr>
          <w:ilvl w:val="0"/>
          <w:numId w:val="7"/>
        </w:numPr>
        <w:tabs>
          <w:tab w:val="left" w:pos="1464"/>
        </w:tabs>
        <w:spacing w:before="139"/>
        <w:ind w:firstLine="480"/>
        <w:jc w:val="left"/>
        <w:rPr>
          <w:rFonts w:ascii="宋体" w:hAnsi="宋体" w:cs="宋体"/>
          <w:sz w:val="24"/>
          <w:szCs w:val="24"/>
          <w:highlight w:val="none"/>
        </w:rPr>
      </w:pPr>
      <w:r>
        <w:rPr>
          <w:rFonts w:hint="eastAsia" w:ascii="宋体" w:hAnsi="宋体" w:cs="宋体"/>
          <w:sz w:val="24"/>
          <w:szCs w:val="24"/>
          <w:highlight w:val="none"/>
        </w:rPr>
        <w:t>价格清单；</w:t>
      </w:r>
    </w:p>
    <w:p>
      <w:pPr>
        <w:pStyle w:val="20"/>
        <w:numPr>
          <w:ilvl w:val="0"/>
          <w:numId w:val="7"/>
        </w:numPr>
        <w:tabs>
          <w:tab w:val="left" w:pos="1464"/>
        </w:tabs>
        <w:spacing w:before="141"/>
        <w:ind w:firstLine="480"/>
        <w:jc w:val="left"/>
        <w:rPr>
          <w:rFonts w:ascii="宋体" w:hAnsi="宋体" w:cs="宋体"/>
          <w:sz w:val="24"/>
          <w:szCs w:val="24"/>
          <w:highlight w:val="none"/>
        </w:rPr>
      </w:pPr>
      <w:r>
        <w:rPr>
          <w:rFonts w:hint="eastAsia" w:ascii="宋体" w:hAnsi="宋体" w:cs="宋体"/>
          <w:sz w:val="24"/>
          <w:szCs w:val="24"/>
          <w:highlight w:val="none"/>
        </w:rPr>
        <w:t>双方约定的其他合同文件。</w:t>
      </w:r>
    </w:p>
    <w:p>
      <w:pPr>
        <w:pStyle w:val="11"/>
        <w:spacing w:before="139" w:line="364" w:lineRule="auto"/>
        <w:ind w:left="412" w:right="352" w:firstLine="420"/>
        <w:rPr>
          <w:rFonts w:ascii="宋体" w:hAnsi="宋体" w:cs="宋体"/>
          <w:sz w:val="24"/>
          <w:highlight w:val="none"/>
        </w:rPr>
      </w:pPr>
      <w:r>
        <w:rPr>
          <w:rFonts w:hint="eastAsia" w:ascii="宋体" w:hAnsi="宋体" w:cs="宋体"/>
          <w:sz w:val="24"/>
          <w:highlight w:val="none"/>
        </w:rPr>
        <w:t>上述各项合同文件包括双方就该项合同文件所作出的补充和修改，属于同一类内容的合同文件应按上述文件先后顺序解释为准。专用合同条件及其附件须经合同当事人签字或</w:t>
      </w:r>
      <w:r>
        <w:rPr>
          <w:rFonts w:hint="eastAsia" w:ascii="宋体" w:hAnsi="宋体" w:cs="宋体"/>
          <w:spacing w:val="-1"/>
          <w:sz w:val="24"/>
          <w:highlight w:val="none"/>
        </w:rPr>
        <w:t>盖章。</w:t>
      </w:r>
    </w:p>
    <w:p>
      <w:pPr>
        <w:pStyle w:val="11"/>
        <w:spacing w:line="267" w:lineRule="exact"/>
        <w:ind w:left="412"/>
        <w:rPr>
          <w:rFonts w:ascii="宋体" w:hAnsi="宋体" w:cs="宋体"/>
          <w:sz w:val="24"/>
          <w:highlight w:val="none"/>
        </w:rPr>
      </w:pPr>
      <w:bookmarkStart w:id="1081" w:name="七、承诺"/>
      <w:bookmarkEnd w:id="1081"/>
      <w:r>
        <w:rPr>
          <w:rFonts w:hint="eastAsia" w:ascii="宋体" w:hAnsi="宋体" w:cs="宋体"/>
          <w:sz w:val="24"/>
          <w:highlight w:val="none"/>
        </w:rPr>
        <w:t>七、承诺</w:t>
      </w:r>
    </w:p>
    <w:p>
      <w:pPr>
        <w:pStyle w:val="20"/>
        <w:numPr>
          <w:ilvl w:val="0"/>
          <w:numId w:val="8"/>
        </w:numPr>
        <w:tabs>
          <w:tab w:val="left" w:pos="1150"/>
        </w:tabs>
        <w:spacing w:line="364" w:lineRule="auto"/>
        <w:ind w:right="355" w:firstLineChars="0"/>
        <w:jc w:val="left"/>
        <w:rPr>
          <w:rFonts w:ascii="宋体" w:hAnsi="宋体" w:cs="宋体"/>
          <w:sz w:val="24"/>
          <w:szCs w:val="24"/>
          <w:highlight w:val="none"/>
        </w:rPr>
      </w:pPr>
      <w:r>
        <w:rPr>
          <w:rFonts w:hint="eastAsia" w:ascii="宋体" w:hAnsi="宋体" w:cs="宋体"/>
          <w:sz w:val="24"/>
          <w:szCs w:val="24"/>
          <w:highlight w:val="none"/>
        </w:rPr>
        <w:t>发包人承诺按照法律规定履行项目审批手续、筹集工程建设资金并按照合同约定的期限和方式支付合同价款。</w:t>
      </w:r>
    </w:p>
    <w:p>
      <w:pPr>
        <w:pStyle w:val="20"/>
        <w:numPr>
          <w:ilvl w:val="0"/>
          <w:numId w:val="8"/>
        </w:numPr>
        <w:tabs>
          <w:tab w:val="left" w:pos="1150"/>
        </w:tabs>
        <w:spacing w:line="364" w:lineRule="auto"/>
        <w:ind w:right="355" w:firstLineChars="0"/>
        <w:jc w:val="left"/>
        <w:rPr>
          <w:rFonts w:ascii="宋体" w:hAnsi="宋体" w:cs="宋体"/>
          <w:sz w:val="24"/>
          <w:szCs w:val="24"/>
          <w:highlight w:val="none"/>
        </w:rPr>
      </w:pPr>
      <w:r>
        <w:rPr>
          <w:rFonts w:hint="eastAsia" w:ascii="宋体" w:hAnsi="宋体" w:cs="宋体"/>
          <w:sz w:val="24"/>
          <w:szCs w:val="24"/>
          <w:highlight w:val="none"/>
        </w:rPr>
        <w:t>承包人承诺按照法律规定及合同约定组织完成工程的设计和施工等工作，确保工程质量和安全，不进行转包及违法分包，并在缺陷责任期及保修期内承担相应的工程维修责任。</w:t>
      </w:r>
    </w:p>
    <w:p>
      <w:pPr>
        <w:pStyle w:val="20"/>
        <w:numPr>
          <w:ilvl w:val="0"/>
          <w:numId w:val="8"/>
        </w:numPr>
        <w:tabs>
          <w:tab w:val="left" w:pos="1150"/>
        </w:tabs>
        <w:spacing w:line="364" w:lineRule="auto"/>
        <w:ind w:right="352" w:firstLineChars="0"/>
        <w:jc w:val="left"/>
        <w:rPr>
          <w:rFonts w:ascii="宋体" w:hAnsi="宋体" w:cs="宋体"/>
          <w:sz w:val="24"/>
          <w:szCs w:val="24"/>
          <w:highlight w:val="none"/>
        </w:rPr>
      </w:pPr>
      <w:r>
        <w:rPr>
          <w:rFonts w:hint="eastAsia" w:ascii="宋体" w:hAnsi="宋体" w:cs="宋体"/>
          <w:spacing w:val="-3"/>
          <w:sz w:val="24"/>
          <w:szCs w:val="24"/>
          <w:highlight w:val="none"/>
        </w:rPr>
        <w:t>承包人须按适用于工程的现行有效的国家标准、行业标准、工程所在地的地方标准，以及相应的规范、规程等完成竣工图编制，所需费用包含在合同价款中，由承包人承担。</w:t>
      </w:r>
    </w:p>
    <w:p>
      <w:pPr>
        <w:pStyle w:val="20"/>
        <w:numPr>
          <w:ilvl w:val="0"/>
          <w:numId w:val="8"/>
        </w:numPr>
        <w:tabs>
          <w:tab w:val="left" w:pos="1150"/>
        </w:tabs>
        <w:spacing w:line="364" w:lineRule="auto"/>
        <w:ind w:right="355" w:firstLineChars="0"/>
        <w:jc w:val="left"/>
        <w:rPr>
          <w:rFonts w:ascii="宋体" w:hAnsi="宋体" w:cs="宋体"/>
          <w:sz w:val="24"/>
          <w:szCs w:val="24"/>
          <w:highlight w:val="none"/>
        </w:rPr>
      </w:pPr>
      <w:r>
        <w:rPr>
          <w:rFonts w:hint="eastAsia" w:ascii="宋体" w:hAnsi="宋体" w:cs="宋体"/>
          <w:sz w:val="24"/>
          <w:szCs w:val="24"/>
          <w:highlight w:val="none"/>
        </w:rPr>
        <w:t>本项目非主体、非关键性工程设计，须经发包人书面同意后给具有相应资质和能力的专业单位实施。接受分包的第三人资质要求：具有相应资质和能力的专业单位。</w:t>
      </w:r>
    </w:p>
    <w:p>
      <w:pPr>
        <w:pStyle w:val="20"/>
        <w:numPr>
          <w:ilvl w:val="0"/>
          <w:numId w:val="8"/>
        </w:numPr>
        <w:tabs>
          <w:tab w:val="left" w:pos="1150"/>
        </w:tabs>
        <w:spacing w:line="364" w:lineRule="auto"/>
        <w:ind w:right="355" w:firstLineChars="0"/>
        <w:jc w:val="left"/>
        <w:rPr>
          <w:rFonts w:ascii="宋体" w:hAnsi="宋体" w:cs="宋体"/>
          <w:sz w:val="24"/>
          <w:szCs w:val="24"/>
          <w:highlight w:val="none"/>
        </w:rPr>
      </w:pPr>
      <w:r>
        <w:rPr>
          <w:rFonts w:hint="eastAsia" w:ascii="宋体" w:hAnsi="宋体" w:cs="宋体"/>
          <w:sz w:val="24"/>
          <w:szCs w:val="24"/>
          <w:highlight w:val="none"/>
        </w:rPr>
        <w:t>承包人应为本项目购买保险，以及所有进出施工现场的人员的第三者责任险，所需费用包含在合同价款中，承包人应自行考虑。</w:t>
      </w:r>
    </w:p>
    <w:p>
      <w:pPr>
        <w:pStyle w:val="20"/>
        <w:numPr>
          <w:ilvl w:val="0"/>
          <w:numId w:val="8"/>
        </w:numPr>
        <w:tabs>
          <w:tab w:val="left" w:pos="1150"/>
        </w:tabs>
        <w:ind w:firstLineChars="0"/>
        <w:jc w:val="left"/>
        <w:rPr>
          <w:rFonts w:ascii="宋体" w:hAnsi="宋体" w:cs="宋体"/>
          <w:sz w:val="24"/>
          <w:szCs w:val="24"/>
          <w:highlight w:val="none"/>
        </w:rPr>
      </w:pPr>
      <w:r>
        <w:rPr>
          <w:rFonts w:hint="eastAsia" w:ascii="宋体" w:hAnsi="宋体" w:cs="宋体"/>
          <w:sz w:val="24"/>
          <w:szCs w:val="24"/>
          <w:highlight w:val="none"/>
        </w:rPr>
        <w:t>承包人需无条件配合发包人的土方平衡安排。</w:t>
      </w:r>
    </w:p>
    <w:p>
      <w:pPr>
        <w:pStyle w:val="20"/>
        <w:numPr>
          <w:ilvl w:val="0"/>
          <w:numId w:val="8"/>
        </w:numPr>
        <w:tabs>
          <w:tab w:val="left" w:pos="1150"/>
        </w:tabs>
        <w:spacing w:before="134" w:line="364" w:lineRule="auto"/>
        <w:ind w:right="355" w:firstLineChars="0"/>
        <w:jc w:val="left"/>
        <w:rPr>
          <w:rFonts w:ascii="宋体" w:hAnsi="宋体" w:cs="宋体"/>
          <w:sz w:val="24"/>
          <w:szCs w:val="24"/>
          <w:highlight w:val="none"/>
        </w:rPr>
      </w:pPr>
      <w:r>
        <w:rPr>
          <w:rFonts w:hint="eastAsia" w:ascii="宋体" w:hAnsi="宋体" w:cs="宋体"/>
          <w:sz w:val="24"/>
          <w:szCs w:val="24"/>
          <w:highlight w:val="none"/>
        </w:rPr>
        <w:t>发包人在项目实施过程中，有权委托第三方对工程建设进行抽样检查，具体数量由发包人视实际情况而定，该抽查费用按国家有关规定归责任单位承担。</w:t>
      </w:r>
    </w:p>
    <w:p>
      <w:pPr>
        <w:pStyle w:val="20"/>
        <w:numPr>
          <w:ilvl w:val="0"/>
          <w:numId w:val="8"/>
        </w:numPr>
        <w:tabs>
          <w:tab w:val="left" w:pos="1150"/>
        </w:tabs>
        <w:spacing w:line="367" w:lineRule="auto"/>
        <w:ind w:right="355" w:firstLineChars="0"/>
        <w:jc w:val="left"/>
        <w:rPr>
          <w:rFonts w:ascii="宋体" w:hAnsi="宋体" w:cs="宋体"/>
          <w:sz w:val="24"/>
          <w:szCs w:val="24"/>
          <w:highlight w:val="none"/>
        </w:rPr>
      </w:pPr>
      <w:r>
        <w:rPr>
          <w:rFonts w:hint="eastAsia" w:ascii="宋体" w:hAnsi="宋体" w:cs="宋体"/>
          <w:sz w:val="24"/>
          <w:szCs w:val="24"/>
          <w:highlight w:val="none"/>
        </w:rPr>
        <w:t>承包人须按发包人要求提供合法有效的增值税发票和完善的付款手续，如承包人延迟提供收款发票，付款延迟责任由承包人自负。</w:t>
      </w:r>
    </w:p>
    <w:p>
      <w:pPr>
        <w:pStyle w:val="11"/>
        <w:spacing w:line="264" w:lineRule="exact"/>
        <w:ind w:left="412"/>
        <w:rPr>
          <w:rFonts w:ascii="宋体" w:hAnsi="宋体" w:cs="宋体"/>
          <w:sz w:val="24"/>
          <w:highlight w:val="none"/>
        </w:rPr>
      </w:pPr>
      <w:bookmarkStart w:id="1082" w:name="八、连带责任"/>
      <w:bookmarkEnd w:id="1082"/>
      <w:r>
        <w:rPr>
          <w:rFonts w:hint="eastAsia" w:ascii="宋体" w:hAnsi="宋体" w:cs="宋体"/>
          <w:sz w:val="24"/>
          <w:highlight w:val="none"/>
        </w:rPr>
        <w:t>八、连带责任</w:t>
      </w:r>
    </w:p>
    <w:p>
      <w:pPr>
        <w:pStyle w:val="20"/>
        <w:numPr>
          <w:ilvl w:val="0"/>
          <w:numId w:val="9"/>
        </w:numPr>
        <w:tabs>
          <w:tab w:val="left" w:pos="1044"/>
          <w:tab w:val="clear" w:pos="-420"/>
        </w:tabs>
        <w:spacing w:line="360" w:lineRule="auto"/>
        <w:ind w:firstLineChars="0"/>
        <w:jc w:val="left"/>
        <w:rPr>
          <w:rFonts w:ascii="宋体" w:hAnsi="宋体" w:cs="宋体"/>
          <w:sz w:val="24"/>
          <w:szCs w:val="24"/>
          <w:highlight w:val="none"/>
        </w:rPr>
      </w:pPr>
      <w:r>
        <w:rPr>
          <w:rFonts w:hint="eastAsia" w:ascii="宋体" w:hAnsi="宋体" w:cs="宋体"/>
          <w:spacing w:val="-2"/>
          <w:sz w:val="24"/>
          <w:szCs w:val="24"/>
          <w:highlight w:val="none"/>
        </w:rPr>
        <w:t>若承包人为联合体的，如联合体中的一员在本合同履行过程中出现违约，联合体中的其他成员均对</w:t>
      </w:r>
      <w:r>
        <w:rPr>
          <w:rFonts w:hint="eastAsia" w:ascii="宋体" w:hAnsi="宋体" w:cs="宋体"/>
          <w:spacing w:val="-1"/>
          <w:sz w:val="24"/>
          <w:szCs w:val="24"/>
          <w:highlight w:val="none"/>
        </w:rPr>
        <w:t>该违约责任承担连带责任。</w:t>
      </w:r>
      <w:bookmarkStart w:id="1083" w:name="九、订立时间"/>
      <w:bookmarkEnd w:id="1083"/>
    </w:p>
    <w:p>
      <w:pPr>
        <w:pStyle w:val="20"/>
        <w:numPr>
          <w:ilvl w:val="0"/>
          <w:numId w:val="10"/>
        </w:numPr>
        <w:tabs>
          <w:tab w:val="left" w:pos="1044"/>
        </w:tabs>
        <w:spacing w:line="360" w:lineRule="auto"/>
        <w:ind w:firstLine="480"/>
        <w:jc w:val="left"/>
        <w:rPr>
          <w:rFonts w:ascii="宋体" w:hAnsi="宋体" w:cs="宋体"/>
          <w:sz w:val="24"/>
          <w:szCs w:val="24"/>
          <w:highlight w:val="none"/>
        </w:rPr>
      </w:pPr>
      <w:r>
        <w:rPr>
          <w:rFonts w:hint="eastAsia" w:ascii="宋体" w:hAnsi="宋体" w:cs="宋体"/>
          <w:sz w:val="24"/>
          <w:szCs w:val="24"/>
          <w:highlight w:val="none"/>
        </w:rPr>
        <w:t>订立时间</w:t>
      </w:r>
    </w:p>
    <w:p>
      <w:pPr>
        <w:pStyle w:val="20"/>
        <w:tabs>
          <w:tab w:val="left" w:pos="1044"/>
        </w:tabs>
        <w:spacing w:line="360" w:lineRule="auto"/>
        <w:ind w:firstLine="480"/>
        <w:jc w:val="left"/>
        <w:rPr>
          <w:rFonts w:ascii="宋体" w:hAnsi="宋体" w:cs="宋体"/>
          <w:sz w:val="24"/>
          <w:szCs w:val="24"/>
          <w:highlight w:val="none"/>
        </w:rPr>
      </w:pPr>
      <w:r>
        <w:rPr>
          <w:rFonts w:hint="eastAsia" w:ascii="宋体" w:hAnsi="宋体" w:cs="宋体"/>
          <w:sz w:val="24"/>
          <w:szCs w:val="24"/>
          <w:highlight w:val="none"/>
        </w:rPr>
        <w:t>本合同于</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日订立</w:t>
      </w:r>
      <w:r>
        <w:rPr>
          <w:rFonts w:hint="eastAsia" w:ascii="宋体" w:hAnsi="宋体" w:cs="宋体"/>
          <w:spacing w:val="-15"/>
          <w:sz w:val="24"/>
          <w:szCs w:val="24"/>
          <w:highlight w:val="none"/>
        </w:rPr>
        <w:t>。</w:t>
      </w:r>
      <w:bookmarkStart w:id="1084" w:name="十、订立地点"/>
      <w:bookmarkEnd w:id="1084"/>
    </w:p>
    <w:p>
      <w:pPr>
        <w:pStyle w:val="20"/>
        <w:tabs>
          <w:tab w:val="left" w:pos="1044"/>
        </w:tabs>
        <w:spacing w:line="360" w:lineRule="auto"/>
        <w:ind w:firstLine="480"/>
        <w:jc w:val="left"/>
        <w:rPr>
          <w:rFonts w:ascii="宋体" w:hAnsi="宋体" w:cs="宋体"/>
          <w:sz w:val="24"/>
          <w:szCs w:val="24"/>
          <w:highlight w:val="none"/>
        </w:rPr>
      </w:pPr>
      <w:r>
        <w:rPr>
          <w:rFonts w:hint="eastAsia" w:ascii="宋体" w:hAnsi="宋体" w:cs="宋体"/>
          <w:sz w:val="24"/>
          <w:szCs w:val="24"/>
          <w:highlight w:val="none"/>
        </w:rPr>
        <w:t>十、订立地点</w:t>
      </w:r>
    </w:p>
    <w:p>
      <w:pPr>
        <w:pStyle w:val="11"/>
        <w:tabs>
          <w:tab w:val="left" w:pos="2828"/>
        </w:tabs>
        <w:spacing w:before="118"/>
        <w:ind w:left="832"/>
        <w:rPr>
          <w:rFonts w:ascii="宋体" w:hAnsi="宋体" w:cs="宋体"/>
          <w:sz w:val="24"/>
          <w:highlight w:val="none"/>
        </w:rPr>
      </w:pPr>
      <w:r>
        <w:rPr>
          <w:rFonts w:hint="eastAsia" w:ascii="宋体" w:hAnsi="宋体" w:cs="宋体"/>
          <w:sz w:val="24"/>
          <w:highlight w:val="none"/>
        </w:rPr>
        <w:t>本合同在</w:t>
      </w:r>
      <w:r>
        <w:rPr>
          <w:rFonts w:hint="eastAsia" w:ascii="宋体" w:hAnsi="宋体" w:cs="宋体"/>
          <w:spacing w:val="103"/>
          <w:sz w:val="24"/>
          <w:highlight w:val="none"/>
          <w:u w:val="single"/>
        </w:rPr>
        <w:t xml:space="preserve"> </w:t>
      </w:r>
      <w:r>
        <w:rPr>
          <w:rFonts w:hint="eastAsia" w:ascii="宋体" w:hAnsi="宋体" w:cs="宋体"/>
          <w:sz w:val="24"/>
          <w:highlight w:val="none"/>
          <w:u w:val="single"/>
        </w:rPr>
        <w:t>恩平市</w:t>
      </w:r>
      <w:r>
        <w:rPr>
          <w:rFonts w:hint="eastAsia" w:ascii="宋体" w:hAnsi="宋体" w:cs="宋体"/>
          <w:sz w:val="24"/>
          <w:highlight w:val="none"/>
          <w:u w:val="single"/>
        </w:rPr>
        <w:tab/>
      </w:r>
      <w:r>
        <w:rPr>
          <w:rFonts w:hint="eastAsia" w:ascii="宋体" w:hAnsi="宋体" w:cs="宋体"/>
          <w:sz w:val="24"/>
          <w:highlight w:val="none"/>
        </w:rPr>
        <w:t>订立。</w:t>
      </w:r>
    </w:p>
    <w:p>
      <w:pPr>
        <w:pStyle w:val="11"/>
        <w:spacing w:before="139" w:line="367" w:lineRule="auto"/>
        <w:ind w:left="412" w:right="281" w:firstLine="420"/>
        <w:rPr>
          <w:rFonts w:ascii="宋体" w:hAnsi="宋体" w:cs="宋体"/>
          <w:sz w:val="24"/>
          <w:highlight w:val="none"/>
        </w:rPr>
      </w:pPr>
      <w:r>
        <w:rPr>
          <w:rFonts w:hint="eastAsia" w:ascii="宋体" w:hAnsi="宋体" w:cs="宋体"/>
          <w:sz w:val="24"/>
          <w:highlight w:val="none"/>
        </w:rPr>
        <w:t>本合同的签署及履行中所产生的任何争议，各方应首先通过友好协商解决。凡因本合同引起的或与本合同有关的任何争议，应提交项目所在地有管辖权的人民法院进行提起诉讼。</w:t>
      </w:r>
    </w:p>
    <w:p>
      <w:pPr>
        <w:pStyle w:val="11"/>
        <w:spacing w:before="139" w:line="367" w:lineRule="auto"/>
        <w:ind w:right="281" w:firstLine="480" w:firstLineChars="200"/>
        <w:rPr>
          <w:rFonts w:ascii="宋体" w:hAnsi="宋体" w:cs="宋体"/>
          <w:sz w:val="24"/>
          <w:highlight w:val="none"/>
        </w:rPr>
      </w:pPr>
      <w:bookmarkStart w:id="1085" w:name="十一、合同生效"/>
      <w:bookmarkEnd w:id="1085"/>
      <w:r>
        <w:rPr>
          <w:rFonts w:hint="eastAsia" w:ascii="宋体" w:hAnsi="宋体" w:cs="宋体"/>
          <w:sz w:val="24"/>
          <w:highlight w:val="none"/>
        </w:rPr>
        <w:t>十一、合同生效</w:t>
      </w:r>
    </w:p>
    <w:p>
      <w:pPr>
        <w:pStyle w:val="11"/>
        <w:spacing w:line="264" w:lineRule="exact"/>
        <w:ind w:left="420" w:leftChars="200" w:firstLine="480" w:firstLineChars="200"/>
        <w:rPr>
          <w:rFonts w:ascii="宋体" w:hAnsi="宋体" w:cs="宋体"/>
          <w:spacing w:val="-16"/>
          <w:sz w:val="24"/>
          <w:highlight w:val="none"/>
        </w:rPr>
      </w:pPr>
      <w:r>
        <w:rPr>
          <w:rFonts w:hint="eastAsia" w:ascii="宋体" w:hAnsi="宋体" w:cs="宋体"/>
          <w:sz w:val="24"/>
          <w:highlight w:val="none"/>
        </w:rPr>
        <w:t>本合同经双方签字或盖章后成立，并生效</w:t>
      </w:r>
      <w:r>
        <w:rPr>
          <w:rFonts w:hint="eastAsia" w:ascii="宋体" w:hAnsi="宋体" w:cs="宋体"/>
          <w:spacing w:val="-16"/>
          <w:sz w:val="24"/>
          <w:highlight w:val="none"/>
        </w:rPr>
        <w:t>。</w:t>
      </w:r>
      <w:bookmarkStart w:id="1086" w:name="十二、合同份数"/>
      <w:bookmarkEnd w:id="1086"/>
    </w:p>
    <w:p>
      <w:pPr>
        <w:pStyle w:val="11"/>
        <w:spacing w:line="264" w:lineRule="exact"/>
        <w:ind w:firstLine="480" w:firstLineChars="200"/>
        <w:rPr>
          <w:rFonts w:ascii="宋体" w:hAnsi="宋体" w:cs="宋体"/>
          <w:sz w:val="24"/>
          <w:highlight w:val="none"/>
        </w:rPr>
      </w:pPr>
      <w:r>
        <w:rPr>
          <w:rFonts w:hint="eastAsia" w:ascii="宋体" w:hAnsi="宋体" w:cs="宋体"/>
          <w:sz w:val="24"/>
          <w:highlight w:val="none"/>
        </w:rPr>
        <w:t>十二、合同份数</w:t>
      </w:r>
    </w:p>
    <w:p>
      <w:pPr>
        <w:pStyle w:val="11"/>
        <w:tabs>
          <w:tab w:val="left" w:pos="2303"/>
          <w:tab w:val="left" w:pos="6083"/>
          <w:tab w:val="left" w:pos="7763"/>
        </w:tabs>
        <w:spacing w:before="118"/>
        <w:ind w:left="832"/>
        <w:rPr>
          <w:rFonts w:ascii="宋体" w:hAnsi="宋体" w:cs="宋体"/>
          <w:sz w:val="24"/>
          <w:highlight w:val="none"/>
        </w:rPr>
      </w:pPr>
      <w:r>
        <w:rPr>
          <w:rFonts w:hint="eastAsia" w:ascii="宋体" w:hAnsi="宋体" w:cs="宋体"/>
          <w:sz w:val="24"/>
          <w:highlight w:val="none"/>
        </w:rPr>
        <w:t>本合同一式</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份，均具有同等法律效力，发包人执</w:t>
      </w:r>
      <w:r>
        <w:rPr>
          <w:rFonts w:hint="eastAsia" w:ascii="宋体" w:hAnsi="宋体" w:cs="宋体"/>
          <w:sz w:val="24"/>
          <w:highlight w:val="none"/>
          <w:u w:val="single"/>
        </w:rPr>
        <w:t xml:space="preserve">    </w:t>
      </w:r>
      <w:r>
        <w:rPr>
          <w:rFonts w:hint="eastAsia" w:ascii="宋体" w:hAnsi="宋体" w:cs="宋体"/>
          <w:sz w:val="24"/>
          <w:highlight w:val="none"/>
        </w:rPr>
        <w:t>份，承包人执</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份。</w:t>
      </w:r>
    </w:p>
    <w:p>
      <w:pPr>
        <w:pStyle w:val="11"/>
        <w:spacing w:before="1"/>
        <w:rPr>
          <w:rFonts w:ascii="宋体" w:hAnsi="宋体" w:cs="宋体"/>
          <w:sz w:val="24"/>
          <w:highlight w:val="none"/>
        </w:rPr>
      </w:pPr>
    </w:p>
    <w:p>
      <w:pPr>
        <w:pStyle w:val="11"/>
        <w:tabs>
          <w:tab w:val="left" w:pos="5699"/>
        </w:tabs>
        <w:spacing w:before="1"/>
        <w:ind w:left="808"/>
        <w:rPr>
          <w:rFonts w:ascii="宋体" w:hAnsi="宋体" w:cs="宋体"/>
          <w:sz w:val="24"/>
          <w:highlight w:val="none"/>
        </w:rPr>
      </w:pPr>
      <w:r>
        <w:rPr>
          <w:rFonts w:hint="eastAsia" w:ascii="宋体" w:hAnsi="宋体" w:cs="宋体"/>
          <w:sz w:val="24"/>
          <w:highlight w:val="none"/>
        </w:rPr>
        <w:t>发包人：（公章）</w:t>
      </w:r>
      <w:r>
        <w:rPr>
          <w:rFonts w:hint="eastAsia" w:ascii="宋体" w:hAnsi="宋体" w:cs="宋体"/>
          <w:sz w:val="24"/>
          <w:highlight w:val="none"/>
        </w:rPr>
        <w:tab/>
      </w:r>
      <w:r>
        <w:rPr>
          <w:rFonts w:hint="eastAsia" w:ascii="宋体" w:hAnsi="宋体" w:cs="宋体"/>
          <w:sz w:val="24"/>
          <w:highlight w:val="none"/>
        </w:rPr>
        <w:t>发包人：（公章）</w:t>
      </w:r>
    </w:p>
    <w:p>
      <w:pPr>
        <w:pStyle w:val="11"/>
        <w:tabs>
          <w:tab w:val="left" w:pos="5699"/>
        </w:tabs>
        <w:ind w:left="808"/>
        <w:rPr>
          <w:rFonts w:ascii="宋体" w:hAnsi="宋体" w:cs="宋体"/>
          <w:sz w:val="24"/>
          <w:highlight w:val="none"/>
        </w:rPr>
      </w:pPr>
      <w:r>
        <w:rPr>
          <w:rFonts w:hint="eastAsia" w:ascii="宋体" w:hAnsi="宋体" w:cs="宋体"/>
          <w:sz w:val="24"/>
          <w:highlight w:val="none"/>
        </w:rPr>
        <w:t>法定代表人或其委托代理人（签字）：</w:t>
      </w:r>
      <w:r>
        <w:rPr>
          <w:rFonts w:hint="eastAsia" w:ascii="宋体" w:hAnsi="宋体" w:cs="宋体"/>
          <w:sz w:val="24"/>
          <w:highlight w:val="none"/>
        </w:rPr>
        <w:tab/>
      </w:r>
      <w:r>
        <w:rPr>
          <w:rFonts w:hint="eastAsia" w:ascii="宋体" w:hAnsi="宋体" w:cs="宋体"/>
          <w:sz w:val="24"/>
          <w:highlight w:val="none"/>
        </w:rPr>
        <w:t>法定代表人或其委托代理人（签字）：</w:t>
      </w:r>
    </w:p>
    <w:p>
      <w:pPr>
        <w:pStyle w:val="11"/>
        <w:tabs>
          <w:tab w:val="left" w:pos="4008"/>
          <w:tab w:val="left" w:pos="5699"/>
          <w:tab w:val="left" w:pos="8902"/>
        </w:tabs>
        <w:spacing w:before="77"/>
        <w:ind w:left="808"/>
        <w:rPr>
          <w:rFonts w:ascii="宋体" w:hAnsi="宋体" w:cs="宋体"/>
          <w:sz w:val="24"/>
          <w:highlight w:val="none"/>
        </w:rPr>
      </w:pPr>
      <w:r>
        <w:rPr>
          <w:rFonts w:hint="eastAsia" w:ascii="宋体" w:hAnsi="宋体" w:cs="宋体"/>
          <w:sz w:val="24"/>
          <w:highlight w:val="none"/>
        </w:rPr>
        <w:t>统一社会信用代码：</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统一社会信用代码：</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 w:val="left" w:pos="5699"/>
          <w:tab w:val="left" w:pos="8902"/>
        </w:tabs>
        <w:spacing w:before="77"/>
        <w:ind w:left="808"/>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u w:val="single"/>
        </w:rPr>
        <w:tab/>
      </w:r>
    </w:p>
    <w:p>
      <w:pPr>
        <w:pStyle w:val="11"/>
        <w:tabs>
          <w:tab w:val="left" w:pos="4219"/>
          <w:tab w:val="left" w:pos="5699"/>
          <w:tab w:val="left" w:pos="9111"/>
        </w:tabs>
        <w:spacing w:before="76"/>
        <w:ind w:left="808"/>
        <w:rPr>
          <w:rFonts w:ascii="宋体" w:hAnsi="宋体" w:cs="宋体"/>
          <w:sz w:val="24"/>
          <w:highlight w:val="none"/>
        </w:rPr>
      </w:pPr>
      <w:r>
        <w:rPr>
          <w:rFonts w:hint="eastAsia" w:ascii="宋体" w:hAnsi="宋体" w:cs="宋体"/>
          <w:sz w:val="24"/>
          <w:highlight w:val="none"/>
        </w:rPr>
        <w:t>邮政编码：</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邮政编码：</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 w:val="left" w:pos="5699"/>
          <w:tab w:val="left" w:pos="8902"/>
        </w:tabs>
        <w:spacing w:before="76"/>
        <w:ind w:left="808"/>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法定代表人：</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 w:val="left" w:pos="5699"/>
          <w:tab w:val="left" w:pos="8796"/>
        </w:tabs>
        <w:spacing w:before="76"/>
        <w:ind w:left="808"/>
        <w:rPr>
          <w:rFonts w:ascii="宋体" w:hAnsi="宋体" w:cs="宋体"/>
          <w:sz w:val="24"/>
          <w:highlight w:val="none"/>
        </w:rPr>
      </w:pPr>
      <w:r>
        <w:rPr>
          <w:rFonts w:hint="eastAsia" w:ascii="宋体" w:hAnsi="宋体" w:cs="宋体"/>
          <w:sz w:val="24"/>
          <w:highlight w:val="none"/>
        </w:rPr>
        <w:t>委托代理人：</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委托代理人：</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 w:val="left" w:pos="5699"/>
          <w:tab w:val="left" w:pos="8796"/>
        </w:tabs>
        <w:spacing w:before="77"/>
        <w:ind w:left="808"/>
        <w:rPr>
          <w:rFonts w:ascii="宋体" w:hAnsi="宋体" w:cs="宋体"/>
          <w:sz w:val="24"/>
          <w:highlight w:val="non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u w:val="single"/>
        </w:rPr>
        <w:tab/>
      </w:r>
    </w:p>
    <w:p>
      <w:pPr>
        <w:pStyle w:val="11"/>
        <w:tabs>
          <w:tab w:val="left" w:pos="3903"/>
          <w:tab w:val="left" w:pos="5699"/>
          <w:tab w:val="left" w:pos="8796"/>
        </w:tabs>
        <w:spacing w:before="77"/>
        <w:ind w:left="808"/>
        <w:rPr>
          <w:rFonts w:ascii="宋体" w:hAnsi="宋体" w:cs="宋体"/>
          <w:sz w:val="24"/>
          <w:highlight w:val="none"/>
        </w:rPr>
      </w:pPr>
      <w:r>
        <w:rPr>
          <w:rFonts w:hint="eastAsia" w:ascii="宋体" w:hAnsi="宋体" w:cs="宋体"/>
          <w:sz w:val="24"/>
          <w:highlight w:val="none"/>
        </w:rPr>
        <w:t>传真：</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传真：</w:t>
      </w:r>
      <w:r>
        <w:rPr>
          <w:rFonts w:hint="eastAsia" w:ascii="宋体" w:hAnsi="宋体" w:cs="宋体"/>
          <w:sz w:val="24"/>
          <w:highlight w:val="none"/>
          <w:u w:val="single"/>
        </w:rPr>
        <w:t xml:space="preserve"> </w:t>
      </w:r>
      <w:r>
        <w:rPr>
          <w:rFonts w:hint="eastAsia" w:ascii="宋体" w:hAnsi="宋体" w:cs="宋体"/>
          <w:sz w:val="24"/>
          <w:highlight w:val="none"/>
          <w:u w:val="single"/>
        </w:rPr>
        <w:tab/>
      </w:r>
    </w:p>
    <w:p>
      <w:pPr>
        <w:pStyle w:val="11"/>
        <w:tabs>
          <w:tab w:val="left" w:pos="4008"/>
          <w:tab w:val="left" w:pos="5699"/>
          <w:tab w:val="left" w:pos="8796"/>
        </w:tabs>
        <w:spacing w:before="77"/>
        <w:ind w:left="808"/>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电子信箱：</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 w:val="left" w:pos="5699"/>
          <w:tab w:val="left" w:pos="8796"/>
        </w:tabs>
        <w:spacing w:before="76"/>
        <w:ind w:left="808"/>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开户银行：</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 w:val="left" w:pos="5699"/>
          <w:tab w:val="left" w:pos="8796"/>
        </w:tabs>
        <w:spacing w:before="76"/>
        <w:ind w:left="808"/>
        <w:rPr>
          <w:rFonts w:ascii="宋体" w:hAnsi="宋体" w:cs="宋体"/>
          <w:sz w:val="24"/>
          <w:highlight w:val="none"/>
        </w:rPr>
      </w:pPr>
      <w:r>
        <w:rPr>
          <w:rFonts w:hint="eastAsia" w:ascii="宋体" w:hAnsi="宋体" w:cs="宋体"/>
          <w:sz w:val="24"/>
          <w:highlight w:val="none"/>
        </w:rPr>
        <w:t>账号：</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账号：</w:t>
      </w:r>
      <w:r>
        <w:rPr>
          <w:rFonts w:hint="eastAsia" w:ascii="宋体" w:hAnsi="宋体" w:cs="宋体"/>
          <w:sz w:val="24"/>
          <w:highlight w:val="none"/>
          <w:u w:val="single"/>
        </w:rPr>
        <w:t xml:space="preserve"> </w:t>
      </w:r>
      <w:r>
        <w:rPr>
          <w:rFonts w:hint="eastAsia" w:ascii="宋体" w:hAnsi="宋体" w:cs="宋体"/>
          <w:sz w:val="24"/>
          <w:highlight w:val="none"/>
          <w:u w:val="single"/>
        </w:rPr>
        <w:tab/>
      </w:r>
    </w:p>
    <w:p>
      <w:pPr>
        <w:pStyle w:val="11"/>
        <w:spacing w:before="2"/>
        <w:rPr>
          <w:rFonts w:ascii="宋体" w:hAnsi="宋体" w:cs="宋体"/>
          <w:sz w:val="24"/>
          <w:highlight w:val="none"/>
        </w:rPr>
      </w:pPr>
    </w:p>
    <w:p>
      <w:pPr>
        <w:pStyle w:val="11"/>
        <w:spacing w:before="70"/>
        <w:ind w:left="808"/>
        <w:rPr>
          <w:rFonts w:ascii="宋体" w:hAnsi="宋体" w:cs="宋体"/>
          <w:sz w:val="24"/>
          <w:highlight w:val="none"/>
        </w:rPr>
      </w:pPr>
      <w:r>
        <w:rPr>
          <w:rFonts w:hint="eastAsia" w:ascii="宋体" w:hAnsi="宋体" w:cs="宋体"/>
          <w:sz w:val="24"/>
          <w:highlight w:val="none"/>
        </w:rPr>
        <w:t>承包人：（公章）</w:t>
      </w:r>
    </w:p>
    <w:p>
      <w:pPr>
        <w:pStyle w:val="11"/>
        <w:ind w:left="808"/>
        <w:rPr>
          <w:rFonts w:ascii="宋体" w:hAnsi="宋体" w:cs="宋体"/>
          <w:sz w:val="24"/>
          <w:highlight w:val="none"/>
        </w:rPr>
      </w:pPr>
      <w:r>
        <w:rPr>
          <w:rFonts w:hint="eastAsia" w:ascii="宋体" w:hAnsi="宋体" w:cs="宋体"/>
          <w:sz w:val="24"/>
          <w:highlight w:val="none"/>
        </w:rPr>
        <w:t>法定代表人或其委托代理人（签字）：</w:t>
      </w:r>
    </w:p>
    <w:p>
      <w:pPr>
        <w:pStyle w:val="11"/>
        <w:tabs>
          <w:tab w:val="left" w:pos="4008"/>
        </w:tabs>
        <w:spacing w:line="360" w:lineRule="auto"/>
        <w:ind w:left="808"/>
        <w:rPr>
          <w:rFonts w:ascii="宋体" w:hAnsi="宋体" w:cs="宋体"/>
          <w:sz w:val="24"/>
          <w:highlight w:val="none"/>
        </w:rPr>
      </w:pPr>
      <w:r>
        <w:rPr>
          <w:rFonts w:hint="eastAsia" w:ascii="宋体" w:hAnsi="宋体" w:cs="宋体"/>
          <w:sz w:val="24"/>
          <w:highlight w:val="none"/>
        </w:rPr>
        <w:t>统一社会信用代码：</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4008"/>
        </w:tabs>
        <w:spacing w:before="40" w:line="360" w:lineRule="auto"/>
        <w:ind w:left="808"/>
        <w:rPr>
          <w:rFonts w:ascii="宋体" w:hAnsi="宋体" w:cs="宋体"/>
          <w:sz w:val="24"/>
          <w:highlight w:val="none"/>
        </w:rPr>
      </w:pPr>
      <w:r>
        <w:rPr>
          <w:rFonts w:hint="eastAsia" w:ascii="宋体" w:hAnsi="宋体" w:cs="宋体"/>
          <w:sz w:val="24"/>
          <w:highlight w:val="none"/>
        </w:rPr>
        <w:t>地址：</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4219"/>
        </w:tabs>
        <w:spacing w:before="77" w:line="360" w:lineRule="auto"/>
        <w:ind w:left="808"/>
        <w:rPr>
          <w:rFonts w:ascii="宋体" w:hAnsi="宋体" w:cs="宋体"/>
          <w:sz w:val="24"/>
          <w:highlight w:val="none"/>
        </w:rPr>
      </w:pPr>
      <w:r>
        <w:rPr>
          <w:rFonts w:hint="eastAsia" w:ascii="宋体" w:hAnsi="宋体" w:cs="宋体"/>
          <w:sz w:val="24"/>
          <w:highlight w:val="none"/>
        </w:rPr>
        <w:t>邮政编码：</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4008"/>
        </w:tabs>
        <w:spacing w:before="77" w:line="360" w:lineRule="auto"/>
        <w:ind w:left="808"/>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s>
        <w:spacing w:before="76" w:line="360" w:lineRule="auto"/>
        <w:ind w:left="808"/>
        <w:rPr>
          <w:rFonts w:ascii="宋体" w:hAnsi="宋体" w:cs="宋体"/>
          <w:sz w:val="24"/>
          <w:highlight w:val="none"/>
        </w:rPr>
      </w:pPr>
      <w:r>
        <w:rPr>
          <w:rFonts w:hint="eastAsia" w:ascii="宋体" w:hAnsi="宋体" w:cs="宋体"/>
          <w:sz w:val="24"/>
          <w:highlight w:val="none"/>
        </w:rPr>
        <w:t>委托代理人：</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s>
        <w:spacing w:before="76" w:line="360" w:lineRule="auto"/>
        <w:ind w:left="808"/>
        <w:rPr>
          <w:rFonts w:ascii="宋体" w:hAnsi="宋体" w:cs="宋体"/>
          <w:sz w:val="24"/>
          <w:highlight w:val="none"/>
        </w:rPr>
      </w:pPr>
      <w:r>
        <w:rPr>
          <w:rFonts w:hint="eastAsia" w:ascii="宋体" w:hAnsi="宋体" w:cs="宋体"/>
          <w:sz w:val="24"/>
          <w:highlight w:val="none"/>
        </w:rPr>
        <w:t>电话：</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s>
        <w:spacing w:before="76" w:line="360" w:lineRule="auto"/>
        <w:ind w:left="808"/>
        <w:rPr>
          <w:rFonts w:ascii="宋体" w:hAnsi="宋体" w:cs="宋体"/>
          <w:sz w:val="24"/>
          <w:highlight w:val="none"/>
        </w:rPr>
      </w:pPr>
      <w:r>
        <w:rPr>
          <w:rFonts w:hint="eastAsia" w:ascii="宋体" w:hAnsi="宋体" w:cs="宋体"/>
          <w:sz w:val="24"/>
          <w:highlight w:val="none"/>
        </w:rPr>
        <w:t>传真：</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s>
        <w:spacing w:before="77" w:line="360" w:lineRule="auto"/>
        <w:ind w:left="808"/>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s>
        <w:spacing w:before="76" w:line="360" w:lineRule="auto"/>
        <w:ind w:left="808"/>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pStyle w:val="11"/>
        <w:tabs>
          <w:tab w:val="left" w:pos="3903"/>
        </w:tabs>
        <w:spacing w:before="70" w:line="360" w:lineRule="auto"/>
        <w:ind w:left="808"/>
        <w:rPr>
          <w:rFonts w:ascii="宋体" w:hAnsi="宋体" w:cs="宋体"/>
          <w:sz w:val="24"/>
          <w:highlight w:val="none"/>
        </w:rPr>
      </w:pPr>
      <w:r>
        <w:rPr>
          <w:rFonts w:hint="eastAsia" w:ascii="宋体" w:hAnsi="宋体" w:cs="宋体"/>
          <w:sz w:val="24"/>
          <w:highlight w:val="none"/>
        </w:rPr>
        <w:t>账号：</w:t>
      </w:r>
      <w:r>
        <w:rPr>
          <w:rFonts w:hint="eastAsia" w:ascii="宋体" w:hAnsi="宋体" w:cs="宋体"/>
          <w:w w:val="95"/>
          <w:sz w:val="24"/>
          <w:highlight w:val="none"/>
          <w:u w:val="single"/>
        </w:rPr>
        <w:t xml:space="preserve"> </w:t>
      </w:r>
      <w:r>
        <w:rPr>
          <w:rFonts w:hint="eastAsia" w:ascii="宋体" w:hAnsi="宋体" w:cs="宋体"/>
          <w:sz w:val="24"/>
          <w:highlight w:val="none"/>
          <w:u w:val="single"/>
        </w:rPr>
        <w:tab/>
      </w:r>
    </w:p>
    <w:p>
      <w:pPr>
        <w:spacing w:line="360" w:lineRule="auto"/>
        <w:rPr>
          <w:rFonts w:ascii="宋体" w:hAnsi="宋体" w:cs="宋体"/>
          <w:sz w:val="24"/>
          <w:highlight w:val="none"/>
        </w:rPr>
        <w:sectPr>
          <w:pgSz w:w="11910" w:h="16840"/>
          <w:pgMar w:top="1360" w:right="1134" w:bottom="1040" w:left="1134" w:header="0" w:footer="769" w:gutter="0"/>
          <w:cols w:space="0" w:num="1"/>
        </w:sectPr>
      </w:pPr>
    </w:p>
    <w:p>
      <w:pPr>
        <w:pStyle w:val="6"/>
        <w:jc w:val="center"/>
        <w:rPr>
          <w:rFonts w:ascii="宋体" w:hAnsi="宋体" w:eastAsia="宋体" w:cs="宋体"/>
          <w:sz w:val="24"/>
          <w:szCs w:val="24"/>
          <w:highlight w:val="none"/>
        </w:rPr>
      </w:pPr>
      <w:bookmarkStart w:id="1087" w:name="第二部分_通用合同条件"/>
      <w:bookmarkEnd w:id="1087"/>
      <w:r>
        <w:rPr>
          <w:rFonts w:hint="eastAsia" w:ascii="宋体" w:hAnsi="宋体" w:eastAsia="宋体" w:cs="宋体"/>
          <w:sz w:val="24"/>
          <w:szCs w:val="24"/>
          <w:highlight w:val="none"/>
        </w:rPr>
        <w:t>第二部分 通用合同条件</w:t>
      </w:r>
    </w:p>
    <w:p>
      <w:pPr>
        <w:pStyle w:val="7"/>
        <w:spacing w:line="364" w:lineRule="auto"/>
        <w:ind w:left="412" w:right="232" w:firstLine="600"/>
        <w:rPr>
          <w:rFonts w:ascii="宋体" w:hAnsi="宋体" w:cs="宋体"/>
          <w:highlight w:val="none"/>
        </w:rPr>
      </w:pPr>
      <w:r>
        <w:rPr>
          <w:rFonts w:hint="eastAsia" w:ascii="宋体" w:hAnsi="宋体" w:cs="宋体"/>
          <w:spacing w:val="-3"/>
          <w:highlight w:val="none"/>
        </w:rPr>
        <w:t>使用中华人民共和国住房和城乡建设部《建设项目工程总承包合同》</w:t>
      </w:r>
      <w:r>
        <w:rPr>
          <w:rFonts w:hint="eastAsia" w:ascii="宋体" w:hAnsi="宋体" w:cs="宋体"/>
          <w:highlight w:val="none"/>
        </w:rPr>
        <w:t>（GF-2020-</w:t>
      </w:r>
      <w:r>
        <w:rPr>
          <w:rFonts w:hint="eastAsia" w:ascii="宋体" w:hAnsi="宋体" w:cs="宋体"/>
          <w:spacing w:val="-60"/>
          <w:highlight w:val="none"/>
        </w:rPr>
        <w:t xml:space="preserve"> </w:t>
      </w:r>
      <w:r>
        <w:rPr>
          <w:rFonts w:hint="eastAsia" w:ascii="宋体" w:hAnsi="宋体" w:cs="宋体"/>
          <w:spacing w:val="-3"/>
          <w:highlight w:val="none"/>
        </w:rPr>
        <w:t xml:space="preserve">0216） </w:t>
      </w:r>
      <w:r>
        <w:rPr>
          <w:rFonts w:hint="eastAsia" w:ascii="宋体" w:hAnsi="宋体" w:cs="宋体"/>
          <w:highlight w:val="none"/>
        </w:rPr>
        <w:t>的第二部分通用合同条件</w:t>
      </w:r>
    </w:p>
    <w:p>
      <w:pPr>
        <w:spacing w:line="364" w:lineRule="auto"/>
        <w:rPr>
          <w:rFonts w:ascii="宋体" w:hAnsi="宋体" w:cs="宋体"/>
          <w:sz w:val="24"/>
          <w:highlight w:val="none"/>
        </w:rPr>
        <w:sectPr>
          <w:footerReference r:id="rId8" w:type="default"/>
          <w:pgSz w:w="11910" w:h="16840"/>
          <w:pgMar w:top="1360" w:right="1134" w:bottom="1100" w:left="1134" w:header="0" w:footer="919" w:gutter="0"/>
          <w:cols w:space="0" w:num="1"/>
        </w:sectPr>
      </w:pPr>
    </w:p>
    <w:p>
      <w:pPr>
        <w:pStyle w:val="6"/>
        <w:jc w:val="center"/>
        <w:rPr>
          <w:rFonts w:ascii="宋体" w:hAnsi="宋体" w:eastAsia="宋体" w:cs="宋体"/>
          <w:sz w:val="24"/>
          <w:szCs w:val="24"/>
          <w:highlight w:val="none"/>
        </w:rPr>
      </w:pPr>
      <w:bookmarkStart w:id="1088" w:name="第三部分_专用合同条件"/>
      <w:bookmarkEnd w:id="1088"/>
      <w:r>
        <w:rPr>
          <w:rFonts w:hint="eastAsia" w:ascii="宋体" w:hAnsi="宋体" w:eastAsia="宋体" w:cs="宋体"/>
          <w:sz w:val="24"/>
          <w:szCs w:val="24"/>
          <w:highlight w:val="none"/>
        </w:rPr>
        <w:t>第三部分 专用合同条件</w:t>
      </w:r>
    </w:p>
    <w:p>
      <w:pPr>
        <w:widowControl/>
        <w:tabs>
          <w:tab w:val="left" w:pos="993"/>
        </w:tabs>
        <w:spacing w:before="260" w:after="120" w:line="360" w:lineRule="auto"/>
        <w:jc w:val="left"/>
        <w:outlineLvl w:val="1"/>
        <w:rPr>
          <w:rFonts w:ascii="宋体" w:hAnsi="宋体" w:cs="宋体"/>
          <w:kern w:val="0"/>
          <w:szCs w:val="21"/>
          <w:highlight w:val="none"/>
        </w:rPr>
      </w:pPr>
      <w:bookmarkStart w:id="1089" w:name="_Toc24689"/>
      <w:bookmarkStart w:id="1090" w:name="_Toc21741"/>
      <w:bookmarkStart w:id="1091" w:name="_Toc54862332"/>
      <w:bookmarkStart w:id="1092" w:name="_Toc11588"/>
      <w:bookmarkStart w:id="1093" w:name="_Toc26112"/>
      <w:bookmarkStart w:id="1094" w:name="_Toc109076898"/>
      <w:r>
        <w:rPr>
          <w:rFonts w:hint="eastAsia" w:ascii="宋体" w:hAnsi="宋体" w:cs="宋体"/>
          <w:kern w:val="0"/>
          <w:szCs w:val="21"/>
          <w:highlight w:val="none"/>
        </w:rPr>
        <w:t>第1条 一般约定</w:t>
      </w:r>
      <w:bookmarkEnd w:id="1089"/>
      <w:bookmarkEnd w:id="1090"/>
      <w:bookmarkEnd w:id="1091"/>
      <w:bookmarkEnd w:id="1092"/>
      <w:bookmarkEnd w:id="1093"/>
      <w:bookmarkEnd w:id="1094"/>
    </w:p>
    <w:p>
      <w:pPr>
        <w:spacing w:line="360" w:lineRule="auto"/>
        <w:ind w:firstLine="600"/>
        <w:rPr>
          <w:rFonts w:ascii="宋体" w:hAnsi="宋体" w:cs="宋体"/>
          <w:szCs w:val="21"/>
          <w:highlight w:val="none"/>
        </w:rPr>
      </w:pPr>
      <w:r>
        <w:rPr>
          <w:rFonts w:hint="eastAsia" w:ascii="宋体" w:hAnsi="宋体" w:cs="宋体"/>
          <w:szCs w:val="21"/>
          <w:highlight w:val="none"/>
        </w:rPr>
        <w:t>1.1 词语定义和解释</w:t>
      </w:r>
    </w:p>
    <w:p>
      <w:pPr>
        <w:spacing w:line="360" w:lineRule="auto"/>
        <w:ind w:firstLine="600"/>
        <w:rPr>
          <w:rFonts w:ascii="宋体" w:hAnsi="宋体" w:cs="宋体"/>
          <w:szCs w:val="21"/>
          <w:highlight w:val="none"/>
        </w:rPr>
      </w:pPr>
      <w:r>
        <w:rPr>
          <w:rFonts w:hint="eastAsia" w:ascii="宋体" w:hAnsi="宋体" w:cs="宋体"/>
          <w:szCs w:val="21"/>
          <w:highlight w:val="none"/>
        </w:rPr>
        <w:t>1.1.1 合同</w:t>
      </w:r>
    </w:p>
    <w:p>
      <w:pPr>
        <w:spacing w:line="360" w:lineRule="auto"/>
        <w:ind w:firstLine="600"/>
        <w:rPr>
          <w:rFonts w:ascii="宋体" w:hAnsi="宋体" w:cs="宋体"/>
          <w:szCs w:val="21"/>
          <w:highlight w:val="none"/>
        </w:rPr>
      </w:pPr>
      <w:r>
        <w:rPr>
          <w:rFonts w:hint="eastAsia" w:ascii="宋体" w:hAnsi="宋体" w:cs="宋体"/>
          <w:szCs w:val="21"/>
          <w:highlight w:val="none"/>
        </w:rPr>
        <w:t>1.1.1.10 其他合同文件：</w:t>
      </w:r>
      <w:r>
        <w:rPr>
          <w:rFonts w:hint="eastAsia" w:ascii="宋体" w:hAnsi="宋体" w:cs="宋体"/>
          <w:szCs w:val="21"/>
          <w:highlight w:val="none"/>
          <w:u w:val="single"/>
        </w:rPr>
        <w:t>承包人编制的并经</w:t>
      </w:r>
      <w:r>
        <w:rPr>
          <w:rFonts w:hint="eastAsia" w:ascii="宋体" w:hAnsi="宋体" w:cs="宋体"/>
          <w:szCs w:val="21"/>
          <w:highlight w:val="none"/>
          <w:u w:val="single"/>
          <w:lang w:val="en-US" w:eastAsia="zh-CN"/>
        </w:rPr>
        <w:t>相关</w:t>
      </w:r>
      <w:r>
        <w:rPr>
          <w:rFonts w:hint="eastAsia" w:ascii="宋体" w:hAnsi="宋体" w:cs="宋体"/>
          <w:szCs w:val="21"/>
          <w:highlight w:val="none"/>
          <w:u w:val="single"/>
        </w:rPr>
        <w:t>部门审定的施工图预算价格、图纸、双方有关本工程的洽商、变更等书面文件以及其他构成合同组成部分的文件</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1.1.3 工程和设备</w:t>
      </w:r>
    </w:p>
    <w:p>
      <w:pPr>
        <w:spacing w:line="360" w:lineRule="auto"/>
        <w:ind w:firstLine="600"/>
        <w:rPr>
          <w:rFonts w:ascii="宋体" w:hAnsi="宋体" w:cs="宋体"/>
          <w:szCs w:val="21"/>
          <w:highlight w:val="none"/>
        </w:rPr>
      </w:pPr>
      <w:r>
        <w:rPr>
          <w:rFonts w:hint="eastAsia" w:ascii="宋体" w:hAnsi="宋体" w:cs="宋体"/>
          <w:szCs w:val="21"/>
          <w:highlight w:val="none"/>
        </w:rPr>
        <w:t>1.1.3.5 单位/区段工程的范围：。</w:t>
      </w:r>
    </w:p>
    <w:p>
      <w:pPr>
        <w:spacing w:line="360" w:lineRule="auto"/>
        <w:ind w:firstLine="600"/>
        <w:rPr>
          <w:rFonts w:ascii="宋体" w:hAnsi="宋体" w:cs="宋体"/>
          <w:szCs w:val="21"/>
          <w:highlight w:val="none"/>
        </w:rPr>
      </w:pPr>
      <w:r>
        <w:rPr>
          <w:rFonts w:hint="eastAsia" w:ascii="宋体" w:hAnsi="宋体" w:cs="宋体"/>
          <w:szCs w:val="21"/>
          <w:highlight w:val="none"/>
        </w:rPr>
        <w:t>1.1.3.9 作为施工场所组成部分的其他场所包括：</w:t>
      </w:r>
      <w:r>
        <w:rPr>
          <w:rFonts w:hint="eastAsia" w:cs="宋体"/>
          <w:szCs w:val="21"/>
          <w:highlight w:val="none"/>
          <w:u w:val="single"/>
        </w:rPr>
        <w:t xml:space="preserve">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1.1.3.10 永久占地包括：</w:t>
      </w:r>
      <w:r>
        <w:rPr>
          <w:rFonts w:hint="eastAsia" w:cs="宋体"/>
          <w:szCs w:val="21"/>
          <w:highlight w:val="none"/>
          <w:u w:val="single"/>
        </w:rPr>
        <w:t>/</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1.1.3.11 临时占地包括：</w:t>
      </w:r>
      <w:r>
        <w:rPr>
          <w:rFonts w:hint="eastAsia" w:ascii="宋体" w:hAnsi="宋体" w:cs="宋体"/>
          <w:szCs w:val="21"/>
          <w:highlight w:val="none"/>
          <w:u w:val="single"/>
        </w:rPr>
        <w:t xml:space="preserve"> 建筑临时用地或用于施工所需场所</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1.2 语言文字</w:t>
      </w:r>
    </w:p>
    <w:p>
      <w:pPr>
        <w:spacing w:line="360" w:lineRule="auto"/>
        <w:ind w:firstLine="600"/>
        <w:rPr>
          <w:rFonts w:ascii="宋体" w:hAnsi="宋体" w:cs="宋体"/>
          <w:szCs w:val="21"/>
          <w:highlight w:val="none"/>
        </w:rPr>
      </w:pPr>
      <w:r>
        <w:rPr>
          <w:rFonts w:hint="eastAsia" w:ascii="宋体" w:hAnsi="宋体" w:cs="宋体"/>
          <w:szCs w:val="21"/>
          <w:highlight w:val="none"/>
        </w:rPr>
        <w:t>本合同除使用汉语外，还使用</w:t>
      </w:r>
      <w:r>
        <w:rPr>
          <w:rFonts w:hint="eastAsia" w:cs="宋体"/>
          <w:szCs w:val="21"/>
          <w:highlight w:val="none"/>
          <w:u w:val="single"/>
        </w:rPr>
        <w:t>/</w:t>
      </w:r>
      <w:r>
        <w:rPr>
          <w:rFonts w:hint="eastAsia" w:ascii="宋体" w:hAnsi="宋体" w:cs="宋体"/>
          <w:szCs w:val="21"/>
          <w:highlight w:val="none"/>
        </w:rPr>
        <w:t>语言。</w:t>
      </w:r>
    </w:p>
    <w:p>
      <w:pPr>
        <w:spacing w:line="360" w:lineRule="auto"/>
        <w:ind w:firstLine="600"/>
        <w:rPr>
          <w:rFonts w:ascii="宋体" w:hAnsi="宋体" w:cs="宋体"/>
          <w:szCs w:val="21"/>
          <w:highlight w:val="none"/>
        </w:rPr>
      </w:pPr>
      <w:r>
        <w:rPr>
          <w:rFonts w:hint="eastAsia" w:ascii="宋体" w:hAnsi="宋体" w:cs="宋体"/>
          <w:szCs w:val="21"/>
          <w:highlight w:val="none"/>
        </w:rPr>
        <w:t>1.3 法律</w:t>
      </w:r>
    </w:p>
    <w:p>
      <w:pPr>
        <w:spacing w:line="360" w:lineRule="auto"/>
        <w:ind w:firstLine="600"/>
        <w:rPr>
          <w:rFonts w:ascii="宋体" w:hAnsi="宋体" w:cs="宋体"/>
          <w:szCs w:val="21"/>
          <w:highlight w:val="none"/>
        </w:rPr>
      </w:pPr>
      <w:r>
        <w:rPr>
          <w:rFonts w:hint="eastAsia" w:ascii="宋体" w:hAnsi="宋体" w:cs="宋体"/>
          <w:szCs w:val="21"/>
          <w:highlight w:val="none"/>
        </w:rPr>
        <w:t>适用于合同的其他规范性文件：</w:t>
      </w:r>
      <w:r>
        <w:rPr>
          <w:rFonts w:hint="eastAsia" w:ascii="宋体" w:hAnsi="宋体" w:cs="宋体"/>
          <w:szCs w:val="21"/>
          <w:highlight w:val="none"/>
          <w:u w:val="single"/>
        </w:rPr>
        <w:t xml:space="preserve"> 《中华人民共和国民法典》、《中华人民共和国建筑法》、《中华人民共和国招标投标法》、《建设工程质量管理条例》、《广东省建设工程造价管理规定》、《建设工程施工发包与承包价格暂行规定》、《关于加强项目经理承接工程管理的通知》</w:t>
      </w:r>
      <w:r>
        <w:rPr>
          <w:rFonts w:hint="eastAsia" w:ascii="宋体" w:hAnsi="宋体" w:cs="宋体"/>
          <w:szCs w:val="21"/>
          <w:highlight w:val="none"/>
          <w:u w:val="single"/>
          <w:lang w:eastAsia="zh-CN"/>
        </w:rPr>
        <w:t>、《关于执行</w:t>
      </w:r>
      <w:r>
        <w:rPr>
          <w:rFonts w:hint="eastAsia" w:ascii="微软雅黑" w:hAnsi="微软雅黑" w:eastAsia="微软雅黑" w:cs="微软雅黑"/>
          <w:szCs w:val="21"/>
          <w:highlight w:val="none"/>
          <w:u w:val="single"/>
          <w:lang w:eastAsia="zh-CN"/>
        </w:rPr>
        <w:t>〈</w:t>
      </w:r>
      <w:r>
        <w:rPr>
          <w:rFonts w:hint="eastAsia" w:ascii="宋体" w:hAnsi="宋体" w:cs="宋体"/>
          <w:szCs w:val="21"/>
          <w:highlight w:val="none"/>
          <w:u w:val="single"/>
          <w:lang w:eastAsia="zh-CN"/>
        </w:rPr>
        <w:t>江门市政府投资管理办法</w:t>
      </w:r>
      <w:r>
        <w:rPr>
          <w:rFonts w:hint="eastAsia" w:ascii="微软雅黑" w:hAnsi="微软雅黑" w:eastAsia="微软雅黑" w:cs="微软雅黑"/>
          <w:szCs w:val="21"/>
          <w:highlight w:val="none"/>
          <w:u w:val="single"/>
          <w:lang w:eastAsia="zh-CN"/>
        </w:rPr>
        <w:t>〉</w:t>
      </w:r>
      <w:r>
        <w:rPr>
          <w:rFonts w:hint="eastAsia" w:ascii="宋体" w:hAnsi="宋体" w:cs="宋体"/>
          <w:szCs w:val="21"/>
          <w:highlight w:val="none"/>
          <w:u w:val="single"/>
          <w:lang w:eastAsia="zh-CN"/>
        </w:rPr>
        <w:t>有关问题的通知》</w:t>
      </w:r>
      <w:r>
        <w:rPr>
          <w:rFonts w:hint="eastAsia" w:ascii="宋体" w:hAnsi="宋体" w:cs="宋体"/>
          <w:szCs w:val="21"/>
          <w:highlight w:val="none"/>
          <w:u w:val="single"/>
          <w:lang w:val="en-US" w:eastAsia="zh-CN"/>
        </w:rPr>
        <w:t>按</w:t>
      </w:r>
      <w:r>
        <w:rPr>
          <w:rFonts w:hint="eastAsia" w:ascii="宋体" w:hAnsi="宋体" w:cs="宋体"/>
          <w:szCs w:val="21"/>
          <w:highlight w:val="none"/>
          <w:u w:val="single"/>
          <w:lang w:eastAsia="zh-CN"/>
        </w:rPr>
        <w:t>恩平</w:t>
      </w:r>
      <w:r>
        <w:rPr>
          <w:rFonts w:hint="eastAsia" w:ascii="宋体" w:hAnsi="宋体" w:cs="宋体"/>
          <w:szCs w:val="21"/>
          <w:highlight w:val="none"/>
          <w:u w:val="single"/>
          <w:lang w:val="en-US" w:eastAsia="zh-CN"/>
        </w:rPr>
        <w:t>市政府</w:t>
      </w:r>
      <w:r>
        <w:rPr>
          <w:rFonts w:hint="eastAsia" w:ascii="宋体" w:hAnsi="宋体" w:cs="宋体"/>
          <w:szCs w:val="21"/>
          <w:highlight w:val="none"/>
          <w:u w:val="single"/>
          <w:lang w:eastAsia="zh-CN"/>
        </w:rPr>
        <w:t>投资管理的有关</w:t>
      </w:r>
      <w:r>
        <w:rPr>
          <w:rFonts w:hint="eastAsia" w:ascii="宋体" w:hAnsi="宋体" w:cs="宋体"/>
          <w:szCs w:val="21"/>
          <w:highlight w:val="none"/>
          <w:u w:val="single"/>
          <w:lang w:val="en-US" w:eastAsia="zh-CN"/>
        </w:rPr>
        <w:t>规定执行</w:t>
      </w:r>
      <w:r>
        <w:rPr>
          <w:rFonts w:hint="eastAsia" w:ascii="宋体" w:hAnsi="宋体" w:cs="宋体"/>
          <w:szCs w:val="21"/>
          <w:highlight w:val="none"/>
          <w:u w:val="single"/>
        </w:rPr>
        <w:t>等及现行有关法律法规</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1.4 标准和规范</w:t>
      </w:r>
    </w:p>
    <w:p>
      <w:pPr>
        <w:spacing w:line="360" w:lineRule="auto"/>
        <w:ind w:firstLine="600"/>
        <w:rPr>
          <w:rFonts w:ascii="宋体" w:hAnsi="宋体" w:cs="宋体"/>
          <w:szCs w:val="21"/>
          <w:highlight w:val="none"/>
        </w:rPr>
      </w:pPr>
      <w:r>
        <w:rPr>
          <w:rFonts w:hint="eastAsia" w:ascii="宋体" w:hAnsi="宋体" w:cs="宋体"/>
          <w:szCs w:val="21"/>
          <w:highlight w:val="none"/>
        </w:rPr>
        <w:t>1.4.1 适用于本合同的标准、规范（名称）包括：</w:t>
      </w:r>
      <w:r>
        <w:rPr>
          <w:rFonts w:hint="eastAsia" w:ascii="宋体" w:hAnsi="宋体" w:cs="宋体"/>
          <w:szCs w:val="21"/>
          <w:highlight w:val="none"/>
          <w:u w:val="single"/>
        </w:rPr>
        <w:t>适用于工程的现行有效的国家标准、行业标准、工程所在地的地方性标准，以及相应的规范、规程等</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1.4.2 发包人提供的国外标准、规范的名称：</w:t>
      </w:r>
      <w:r>
        <w:rPr>
          <w:rFonts w:hint="eastAsia" w:cs="宋体"/>
          <w:szCs w:val="21"/>
          <w:highlight w:val="none"/>
          <w:u w:val="single"/>
        </w:rPr>
        <w:t>/</w:t>
      </w:r>
      <w:r>
        <w:rPr>
          <w:rFonts w:hint="eastAsia" w:ascii="宋体" w:hAnsi="宋体" w:cs="宋体"/>
          <w:szCs w:val="21"/>
          <w:highlight w:val="none"/>
        </w:rPr>
        <w:t>；发包人提供的国外标准、规范的份数：</w:t>
      </w:r>
      <w:r>
        <w:rPr>
          <w:rFonts w:hint="eastAsia" w:cs="宋体"/>
          <w:szCs w:val="21"/>
          <w:highlight w:val="none"/>
          <w:u w:val="single"/>
        </w:rPr>
        <w:t>/</w:t>
      </w:r>
      <w:r>
        <w:rPr>
          <w:rFonts w:hint="eastAsia" w:ascii="宋体" w:hAnsi="宋体" w:cs="宋体"/>
          <w:szCs w:val="21"/>
          <w:highlight w:val="none"/>
        </w:rPr>
        <w:t>；发包人提供的国外标准、规范的时间：</w:t>
      </w:r>
      <w:r>
        <w:rPr>
          <w:rFonts w:hint="eastAsia" w:cs="宋体"/>
          <w:szCs w:val="21"/>
          <w:highlight w:val="none"/>
          <w:u w:val="single"/>
        </w:rPr>
        <w:t>/</w:t>
      </w:r>
      <w:r>
        <w:rPr>
          <w:rFonts w:hint="eastAsia" w:ascii="宋体" w:hAnsi="宋体" w:cs="宋体"/>
          <w:szCs w:val="21"/>
          <w:highlight w:val="none"/>
        </w:rPr>
        <w:t>。</w:t>
      </w:r>
    </w:p>
    <w:p>
      <w:pPr>
        <w:spacing w:line="360" w:lineRule="auto"/>
        <w:ind w:firstLine="600"/>
        <w:rPr>
          <w:rFonts w:ascii="宋体" w:hAnsi="宋体" w:cs="宋体"/>
          <w:szCs w:val="21"/>
          <w:highlight w:val="none"/>
          <w:u w:val="single"/>
        </w:rPr>
      </w:pPr>
      <w:r>
        <w:rPr>
          <w:rFonts w:hint="eastAsia" w:ascii="宋体" w:hAnsi="宋体" w:cs="宋体"/>
          <w:szCs w:val="21"/>
          <w:highlight w:val="none"/>
        </w:rPr>
        <w:t>1.4.3 没有成文规范、标准规定的约定：</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1）双方有关本项目的洽商、变更等书面协议或文件；（2）合同协议书；（3）中标通知书；（4）专用合同条件；（5）发包人要求；（6）施工图预算书；（7）图纸及各阶段提供的设计资料；（8）经批复的工程概算书；（9）招标文件及答疑；（10）通用合同条件；（11）投标函及投标函附录；（12）承包人建议书。</w:t>
      </w:r>
    </w:p>
    <w:p>
      <w:pPr>
        <w:spacing w:line="360" w:lineRule="auto"/>
        <w:ind w:firstLine="600"/>
        <w:rPr>
          <w:rFonts w:ascii="宋体" w:hAnsi="宋体" w:cs="宋体"/>
          <w:szCs w:val="21"/>
          <w:highlight w:val="none"/>
        </w:rPr>
      </w:pPr>
      <w:r>
        <w:rPr>
          <w:rFonts w:hint="eastAsia" w:ascii="宋体" w:hAnsi="宋体" w:cs="宋体"/>
          <w:b/>
          <w:szCs w:val="21"/>
          <w:highlight w:val="none"/>
          <w:u w:val="single"/>
        </w:rPr>
        <w:t>如承包人在投标文件及其附件（含评标期间的澄清文件和补充资料）中作出有比招标文件及其附件、答疑文件、补遗文件和本合同专用条款、质量保修书、通用条款(下同)更有利于发包人的响应（该响应是否有利于发包人的解释权双方同意最终归发包人所有），则投标文件及其附件（含评标期间的澄清文件和补充资料）中更有利于发包人的相关条款内容的解释顺序优于招标文件及其附件、答疑文件、补遗文件和本合同，承包人须按这些响应承诺履行。</w:t>
      </w:r>
    </w:p>
    <w:p>
      <w:pPr>
        <w:spacing w:line="360" w:lineRule="auto"/>
        <w:ind w:firstLine="600"/>
        <w:rPr>
          <w:rFonts w:ascii="宋体" w:hAnsi="宋体" w:cs="宋体"/>
          <w:szCs w:val="21"/>
          <w:highlight w:val="none"/>
        </w:rPr>
      </w:pPr>
      <w:r>
        <w:rPr>
          <w:rFonts w:hint="eastAsia" w:ascii="宋体" w:hAnsi="宋体" w:cs="宋体"/>
          <w:szCs w:val="21"/>
          <w:highlight w:val="none"/>
        </w:rPr>
        <w:t>1.4.4 发包人对于工程的技术标准、功能要求：</w:t>
      </w:r>
      <w:r>
        <w:rPr>
          <w:rFonts w:hint="eastAsia" w:cs="宋体"/>
          <w:szCs w:val="21"/>
          <w:highlight w:val="none"/>
          <w:u w:val="single"/>
        </w:rPr>
        <w:t>/</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1.5 合同文件的优先顺序</w:t>
      </w:r>
    </w:p>
    <w:p>
      <w:pPr>
        <w:spacing w:line="360" w:lineRule="auto"/>
        <w:ind w:firstLine="600"/>
        <w:rPr>
          <w:rFonts w:ascii="宋体" w:hAnsi="宋体" w:cs="宋体"/>
          <w:szCs w:val="21"/>
          <w:highlight w:val="none"/>
        </w:rPr>
      </w:pPr>
      <w:r>
        <w:rPr>
          <w:rFonts w:hint="eastAsia" w:ascii="宋体" w:hAnsi="宋体" w:cs="宋体"/>
          <w:szCs w:val="21"/>
          <w:highlight w:val="none"/>
        </w:rPr>
        <w:t>合同文件组成及优先顺序为：</w:t>
      </w:r>
      <w:r>
        <w:rPr>
          <w:rFonts w:hint="eastAsia" w:cs="宋体"/>
          <w:szCs w:val="21"/>
          <w:highlight w:val="none"/>
          <w:u w:val="single"/>
        </w:rPr>
        <w:t>组成合同的文件及</w:t>
      </w:r>
      <w:r>
        <w:rPr>
          <w:rFonts w:hint="eastAsia" w:ascii="宋体" w:hAnsi="宋体" w:cs="宋体"/>
          <w:szCs w:val="21"/>
          <w:highlight w:val="none"/>
          <w:u w:val="single"/>
        </w:rPr>
        <w:t>优先</w:t>
      </w:r>
      <w:r>
        <w:rPr>
          <w:rFonts w:hint="eastAsia" w:cs="宋体"/>
          <w:szCs w:val="21"/>
          <w:highlight w:val="none"/>
          <w:u w:val="single"/>
        </w:rPr>
        <w:t>解释顺序与本合同第二部分《通用条款》第1.5条合同文件的优先顺序规定一致</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1.6 文件的提供和照管</w:t>
      </w:r>
    </w:p>
    <w:p>
      <w:pPr>
        <w:spacing w:line="360" w:lineRule="auto"/>
        <w:ind w:firstLine="600"/>
        <w:rPr>
          <w:rFonts w:ascii="宋体" w:hAnsi="宋体" w:cs="宋体"/>
          <w:szCs w:val="21"/>
          <w:highlight w:val="none"/>
        </w:rPr>
      </w:pPr>
      <w:r>
        <w:rPr>
          <w:rFonts w:hint="eastAsia" w:ascii="宋体" w:hAnsi="宋体" w:cs="宋体"/>
          <w:szCs w:val="21"/>
          <w:highlight w:val="none"/>
        </w:rPr>
        <w:t>1.6.1 发包人文件的提供</w:t>
      </w:r>
    </w:p>
    <w:p>
      <w:pPr>
        <w:spacing w:line="360" w:lineRule="auto"/>
        <w:ind w:firstLine="600"/>
        <w:rPr>
          <w:rFonts w:ascii="宋体" w:hAnsi="宋体" w:cs="宋体"/>
          <w:szCs w:val="21"/>
          <w:highlight w:val="none"/>
        </w:rPr>
      </w:pPr>
      <w:r>
        <w:rPr>
          <w:rFonts w:hint="eastAsia" w:ascii="宋体" w:hAnsi="宋体" w:cs="宋体"/>
          <w:szCs w:val="21"/>
          <w:highlight w:val="none"/>
        </w:rPr>
        <w:t>发包人文件的提供期限、名称、数量和形式：</w:t>
      </w:r>
      <w:r>
        <w:rPr>
          <w:rFonts w:hint="eastAsia" w:ascii="宋体" w:hAnsi="宋体" w:cs="宋体"/>
          <w:szCs w:val="21"/>
          <w:highlight w:val="none"/>
          <w:u w:val="single"/>
        </w:rPr>
        <w:t>发包人和</w:t>
      </w:r>
      <w:r>
        <w:rPr>
          <w:rFonts w:hint="eastAsia" w:cs="宋体"/>
          <w:szCs w:val="21"/>
          <w:highlight w:val="none"/>
          <w:u w:val="single"/>
        </w:rPr>
        <w:t>承包人</w:t>
      </w:r>
      <w:r>
        <w:rPr>
          <w:rFonts w:hint="eastAsia" w:ascii="宋体" w:hAnsi="宋体" w:cs="宋体"/>
          <w:szCs w:val="21"/>
          <w:highlight w:val="none"/>
          <w:u w:val="single"/>
        </w:rPr>
        <w:t xml:space="preserve">应当在 5 个工作日内将与合同有关的通知、批准、证明、证书、指示、指令、要求、请求、同意、确定和决定等书面函件送达对方当事人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1.6.2 承包人文件的提供</w:t>
      </w:r>
    </w:p>
    <w:p>
      <w:pPr>
        <w:spacing w:line="360" w:lineRule="auto"/>
        <w:ind w:firstLine="600"/>
        <w:rPr>
          <w:rFonts w:cs="宋体"/>
          <w:szCs w:val="21"/>
          <w:highlight w:val="none"/>
        </w:rPr>
      </w:pPr>
      <w:r>
        <w:rPr>
          <w:rFonts w:hint="eastAsia" w:ascii="宋体" w:hAnsi="宋体" w:cs="宋体"/>
          <w:szCs w:val="21"/>
          <w:highlight w:val="none"/>
        </w:rPr>
        <w:t>承包人文件的内容、提供期限、名称、数量和形</w:t>
      </w:r>
      <w:r>
        <w:rPr>
          <w:rFonts w:hint="eastAsia" w:cs="宋体"/>
          <w:szCs w:val="21"/>
          <w:highlight w:val="none"/>
        </w:rPr>
        <w:t>式：</w:t>
      </w:r>
    </w:p>
    <w:tbl>
      <w:tblPr>
        <w:tblStyle w:val="16"/>
        <w:tblW w:w="9570" w:type="dxa"/>
        <w:tblInd w:w="93" w:type="dxa"/>
        <w:tblLayout w:type="fixed"/>
        <w:tblCellMar>
          <w:top w:w="0" w:type="dxa"/>
          <w:left w:w="108" w:type="dxa"/>
          <w:bottom w:w="0" w:type="dxa"/>
          <w:right w:w="108" w:type="dxa"/>
        </w:tblCellMar>
      </w:tblPr>
      <w:tblGrid>
        <w:gridCol w:w="731"/>
        <w:gridCol w:w="1861"/>
        <w:gridCol w:w="844"/>
        <w:gridCol w:w="3756"/>
        <w:gridCol w:w="2378"/>
      </w:tblGrid>
      <w:tr>
        <w:tblPrEx>
          <w:tblCellMar>
            <w:top w:w="0" w:type="dxa"/>
            <w:left w:w="108" w:type="dxa"/>
            <w:bottom w:w="0" w:type="dxa"/>
            <w:right w:w="108" w:type="dxa"/>
          </w:tblCellMar>
        </w:tblPrEx>
        <w:trPr>
          <w:trHeight w:val="94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szCs w:val="21"/>
                <w:highlight w:val="none"/>
              </w:rPr>
            </w:pPr>
            <w:r>
              <w:rPr>
                <w:rFonts w:hint="eastAsia" w:ascii="宋体" w:hAnsi="宋体" w:cs="宋体"/>
                <w:kern w:val="0"/>
                <w:szCs w:val="21"/>
                <w:highlight w:val="none"/>
              </w:rPr>
              <w:t>序号</w:t>
            </w:r>
          </w:p>
        </w:tc>
        <w:tc>
          <w:tcPr>
            <w:tcW w:w="186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资料及文</w:t>
            </w:r>
          </w:p>
          <w:p>
            <w:pPr>
              <w:widowControl/>
              <w:spacing w:line="360" w:lineRule="auto"/>
              <w:textAlignment w:val="center"/>
              <w:rPr>
                <w:rFonts w:ascii="宋体" w:hAnsi="宋体" w:cs="宋体"/>
                <w:szCs w:val="21"/>
                <w:highlight w:val="none"/>
              </w:rPr>
            </w:pPr>
            <w:r>
              <w:rPr>
                <w:rFonts w:hint="eastAsia" w:ascii="宋体" w:hAnsi="宋体" w:cs="宋体"/>
                <w:kern w:val="0"/>
                <w:szCs w:val="21"/>
                <w:highlight w:val="none"/>
              </w:rPr>
              <w:t>件名称</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szCs w:val="21"/>
                <w:highlight w:val="none"/>
              </w:rPr>
            </w:pPr>
            <w:r>
              <w:rPr>
                <w:rFonts w:hint="eastAsia" w:ascii="宋体" w:hAnsi="宋体" w:cs="宋体"/>
                <w:kern w:val="0"/>
                <w:szCs w:val="21"/>
                <w:highlight w:val="none"/>
              </w:rPr>
              <w:t>份数</w:t>
            </w:r>
          </w:p>
        </w:tc>
        <w:tc>
          <w:tcPr>
            <w:tcW w:w="37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szCs w:val="21"/>
                <w:highlight w:val="none"/>
              </w:rPr>
            </w:pPr>
            <w:r>
              <w:rPr>
                <w:rFonts w:hint="eastAsia" w:ascii="宋体" w:hAnsi="宋体" w:cs="宋体"/>
                <w:kern w:val="0"/>
                <w:szCs w:val="21"/>
                <w:highlight w:val="none"/>
              </w:rPr>
              <w:t>提交日期</w:t>
            </w:r>
          </w:p>
        </w:tc>
        <w:tc>
          <w:tcPr>
            <w:tcW w:w="237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szCs w:val="21"/>
                <w:highlight w:val="none"/>
              </w:rPr>
            </w:pPr>
            <w:r>
              <w:rPr>
                <w:rFonts w:hint="eastAsia" w:ascii="宋体" w:hAnsi="宋体" w:cs="宋体"/>
                <w:kern w:val="0"/>
                <w:szCs w:val="21"/>
                <w:highlight w:val="none"/>
              </w:rPr>
              <w:t>有关事宜</w:t>
            </w:r>
          </w:p>
        </w:tc>
      </w:tr>
      <w:tr>
        <w:tblPrEx>
          <w:tblCellMar>
            <w:top w:w="0" w:type="dxa"/>
            <w:left w:w="108" w:type="dxa"/>
            <w:bottom w:w="0" w:type="dxa"/>
            <w:right w:w="108" w:type="dxa"/>
          </w:tblCellMar>
        </w:tblPrEx>
        <w:trPr>
          <w:trHeight w:val="1669"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kern w:val="0"/>
                <w:szCs w:val="21"/>
                <w:highlight w:val="none"/>
              </w:rPr>
            </w:pPr>
            <w:r>
              <w:rPr>
                <w:rFonts w:hint="eastAsia" w:cs="宋体"/>
                <w:kern w:val="0"/>
                <w:szCs w:val="21"/>
                <w:highlight w:val="none"/>
              </w:rPr>
              <w:t>1</w:t>
            </w:r>
          </w:p>
        </w:tc>
        <w:tc>
          <w:tcPr>
            <w:tcW w:w="186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全部施工图</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12</w:t>
            </w:r>
          </w:p>
        </w:tc>
        <w:tc>
          <w:tcPr>
            <w:tcW w:w="37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合同签订后60个日历天内完成全部施工图设计，施工图设计文件经审查后 5 个日历天内完成施工图设计文件经审查、补充、修改，并提交施工图设计文件和施工图预算文件。</w:t>
            </w:r>
          </w:p>
        </w:tc>
        <w:tc>
          <w:tcPr>
            <w:tcW w:w="237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按报审有关部门的要求</w:t>
            </w:r>
          </w:p>
        </w:tc>
      </w:tr>
      <w:tr>
        <w:tblPrEx>
          <w:tblCellMar>
            <w:top w:w="0" w:type="dxa"/>
            <w:left w:w="108" w:type="dxa"/>
            <w:bottom w:w="0" w:type="dxa"/>
            <w:right w:w="108" w:type="dxa"/>
          </w:tblCellMar>
        </w:tblPrEx>
        <w:trPr>
          <w:trHeight w:val="2164"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说明</w:t>
            </w:r>
          </w:p>
        </w:tc>
        <w:tc>
          <w:tcPr>
            <w:tcW w:w="8839"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一、施工图设计完成后，由承包人按审查单位要求送审，同时向发包人提交设计成果文件和清单，承包人要及时与发包人沟通，确保在计划时间内通过审批。</w:t>
            </w:r>
          </w:p>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二、承包人应积极配合各专项报审工作，确保在计划时间内通过审批。</w:t>
            </w:r>
          </w:p>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三、通过施工图设计审查和专项报建审查后，承包人应在 3 日历天内向发包人提供叁套完整图纸，提供相应光盘 3 张，剩余图纸一周内提交，并确认与已通过审查的图纸一致。</w:t>
            </w:r>
          </w:p>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四、配合施工单位完成竣工图的绘制整理工作 。</w:t>
            </w:r>
          </w:p>
        </w:tc>
      </w:tr>
      <w:tr>
        <w:tblPrEx>
          <w:tblCellMar>
            <w:top w:w="0" w:type="dxa"/>
            <w:left w:w="108" w:type="dxa"/>
            <w:bottom w:w="0" w:type="dxa"/>
            <w:right w:w="108" w:type="dxa"/>
          </w:tblCellMar>
        </w:tblPrEx>
        <w:trPr>
          <w:trHeight w:val="2535"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形式</w:t>
            </w:r>
          </w:p>
        </w:tc>
        <w:tc>
          <w:tcPr>
            <w:tcW w:w="8839"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宋体" w:hAnsi="宋体" w:cs="宋体"/>
                <w:kern w:val="0"/>
                <w:szCs w:val="21"/>
                <w:highlight w:val="none"/>
              </w:rPr>
            </w:pPr>
            <w:r>
              <w:rPr>
                <w:rFonts w:hint="eastAsia" w:ascii="宋体" w:hAnsi="宋体" w:cs="宋体"/>
                <w:kern w:val="0"/>
                <w:szCs w:val="21"/>
                <w:highlight w:val="none"/>
              </w:rPr>
              <w:t>发包人要求承包人提交电子版设计文件的具体形式为：电子版设计文件格式为文字内容采用 Microsoft word 格式文件，设计图形文件采用 AutoCAD 格式（可编辑的 dwg 格式）文件，表现图、渲染图采用 JPG 或 TIF 格式，手绘图、手绘建筑画扫描成 JPG 格式的计算机图形文件，然后全套图纸制作 PDF 格式电子版，以上所述的全部电子文件（包括 Microsoft word 格式文件、可编辑的 dwg 格式文件、JPG 或 TIF 格式文件、PDF 格式文件）用光盘刻录提交给发包人，所有提交电子文件不得加水印、不得加密、不得设置访问权限、限期使用等，所有有关本项目的设计成果归发包人所有。</w:t>
            </w:r>
          </w:p>
        </w:tc>
      </w:tr>
    </w:tbl>
    <w:p>
      <w:pPr>
        <w:spacing w:line="360" w:lineRule="auto"/>
        <w:ind w:firstLine="600"/>
        <w:rPr>
          <w:rFonts w:cs="宋体"/>
          <w:szCs w:val="21"/>
          <w:highlight w:val="none"/>
        </w:rPr>
      </w:pPr>
    </w:p>
    <w:p>
      <w:pPr>
        <w:spacing w:line="360" w:lineRule="auto"/>
        <w:ind w:firstLine="600"/>
        <w:rPr>
          <w:rFonts w:ascii="宋体" w:hAnsi="宋体" w:cs="宋体"/>
          <w:szCs w:val="21"/>
          <w:highlight w:val="none"/>
        </w:rPr>
      </w:pPr>
      <w:r>
        <w:rPr>
          <w:rFonts w:hint="eastAsia" w:ascii="宋体" w:hAnsi="宋体" w:cs="宋体"/>
          <w:szCs w:val="21"/>
          <w:highlight w:val="none"/>
        </w:rPr>
        <w:t>1.6.4 文件的照管</w:t>
      </w:r>
    </w:p>
    <w:p>
      <w:pPr>
        <w:spacing w:line="360" w:lineRule="auto"/>
        <w:ind w:firstLine="600"/>
        <w:rPr>
          <w:rFonts w:ascii="宋体" w:hAnsi="宋体" w:cs="宋体"/>
          <w:szCs w:val="21"/>
          <w:highlight w:val="none"/>
        </w:rPr>
      </w:pPr>
      <w:r>
        <w:rPr>
          <w:rFonts w:hint="eastAsia" w:ascii="宋体" w:hAnsi="宋体" w:cs="宋体"/>
          <w:szCs w:val="21"/>
          <w:highlight w:val="none"/>
        </w:rPr>
        <w:t>关于现场文件准备的约定：</w:t>
      </w:r>
      <w:r>
        <w:rPr>
          <w:rFonts w:hint="eastAsia" w:cs="宋体"/>
          <w:szCs w:val="21"/>
          <w:highlight w:val="none"/>
          <w:u w:val="single"/>
        </w:rPr>
        <w:t>按通用合同条款执行</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1.7 联络</w:t>
      </w:r>
    </w:p>
    <w:p>
      <w:pPr>
        <w:pStyle w:val="11"/>
        <w:spacing w:before="139"/>
        <w:ind w:firstLine="630" w:firstLineChars="300"/>
        <w:rPr>
          <w:rFonts w:ascii="宋体" w:hAnsi="宋体" w:cs="宋体"/>
          <w:sz w:val="24"/>
          <w:highlight w:val="none"/>
        </w:rPr>
      </w:pPr>
      <w:r>
        <w:rPr>
          <w:rFonts w:hint="eastAsia" w:ascii="宋体" w:hAnsi="宋体" w:cs="宋体"/>
          <w:szCs w:val="21"/>
          <w:highlight w:val="none"/>
        </w:rPr>
        <w:t>1.7.2 发包人指定的送达方式（包括电子传输方</w:t>
      </w:r>
      <w:r>
        <w:rPr>
          <w:rFonts w:hint="eastAsia" w:cs="宋体"/>
          <w:szCs w:val="21"/>
          <w:highlight w:val="none"/>
        </w:rPr>
        <w:t>式：</w:t>
      </w:r>
      <w:r>
        <w:rPr>
          <w:rFonts w:hint="eastAsia" w:ascii="宋体" w:hAnsi="宋体" w:cs="宋体"/>
          <w:szCs w:val="21"/>
          <w:highlight w:val="none"/>
          <w:u w:val="single"/>
        </w:rPr>
        <w:t>与合同有关的通知、批准、证明、证书、指示、</w:t>
      </w:r>
    </w:p>
    <w:p>
      <w:pPr>
        <w:spacing w:line="360" w:lineRule="auto"/>
        <w:ind w:firstLine="600"/>
        <w:rPr>
          <w:rFonts w:ascii="宋体" w:hAnsi="宋体" w:cs="宋体"/>
          <w:szCs w:val="21"/>
          <w:highlight w:val="none"/>
        </w:rPr>
      </w:pPr>
      <w:r>
        <w:rPr>
          <w:rFonts w:hint="eastAsia" w:ascii="宋体" w:hAnsi="宋体" w:cs="宋体"/>
          <w:szCs w:val="21"/>
          <w:highlight w:val="none"/>
          <w:u w:val="single"/>
        </w:rPr>
        <w:t xml:space="preserve">要求、请求、同意、意见、确定和决定等，均应采用书面形式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发包人的送达地址：。</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承包人指定的送达方式（包括电子传输方式）： </w:t>
      </w:r>
      <w:r>
        <w:rPr>
          <w:rFonts w:hint="eastAsia" w:ascii="宋体" w:hAnsi="宋体" w:cs="宋体"/>
          <w:szCs w:val="21"/>
          <w:highlight w:val="none"/>
          <w:u w:val="single"/>
        </w:rPr>
        <w:t xml:space="preserve">与合同有关的通知、批准、证明、证书、指示、要求、请求、同意、意见、确定和决定等，均应采用书面形式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承包人的送达地址：。</w:t>
      </w:r>
    </w:p>
    <w:p>
      <w:pPr>
        <w:spacing w:line="360" w:lineRule="auto"/>
        <w:ind w:firstLine="600"/>
        <w:rPr>
          <w:rFonts w:ascii="宋体" w:hAnsi="宋体" w:cs="宋体"/>
          <w:szCs w:val="21"/>
          <w:highlight w:val="none"/>
        </w:rPr>
      </w:pPr>
      <w:r>
        <w:rPr>
          <w:rFonts w:hint="eastAsia" w:ascii="宋体" w:hAnsi="宋体" w:cs="宋体"/>
          <w:szCs w:val="21"/>
          <w:highlight w:val="none"/>
        </w:rPr>
        <w:t>发包人和承包人应在 5 个工作日内将与合同有关的通知、批准、证明、证书、指示、指令、要求、请求、同意、意见、确定和决定等书面函件送达对方当事人。</w:t>
      </w:r>
    </w:p>
    <w:p>
      <w:pPr>
        <w:spacing w:line="360" w:lineRule="auto"/>
        <w:ind w:firstLine="600"/>
        <w:rPr>
          <w:rFonts w:ascii="宋体" w:hAnsi="宋体" w:cs="宋体"/>
          <w:szCs w:val="21"/>
          <w:highlight w:val="none"/>
        </w:rPr>
      </w:pPr>
      <w:r>
        <w:rPr>
          <w:rFonts w:hint="eastAsia" w:ascii="宋体" w:hAnsi="宋体" w:cs="宋体"/>
          <w:szCs w:val="21"/>
          <w:highlight w:val="none"/>
        </w:rPr>
        <w:t>1.10 知识产权</w:t>
      </w:r>
    </w:p>
    <w:p>
      <w:pPr>
        <w:spacing w:line="360" w:lineRule="auto"/>
        <w:ind w:firstLine="600"/>
        <w:rPr>
          <w:rFonts w:ascii="宋体" w:hAnsi="宋体" w:cs="宋体"/>
          <w:szCs w:val="21"/>
          <w:highlight w:val="none"/>
        </w:rPr>
      </w:pPr>
      <w:r>
        <w:rPr>
          <w:rFonts w:hint="eastAsia" w:ascii="宋体" w:hAnsi="宋体" w:cs="宋体"/>
          <w:szCs w:val="21"/>
          <w:highlight w:val="none"/>
        </w:rPr>
        <w:t>1.10.1 由发包人（或以发包人名义）编制的《发包人要求》和其他文件的著作权归属：</w:t>
      </w:r>
      <w:r>
        <w:rPr>
          <w:rFonts w:hint="eastAsia" w:cs="宋体"/>
          <w:szCs w:val="21"/>
          <w:highlight w:val="none"/>
          <w:u w:val="single"/>
        </w:rPr>
        <w:t>归发包人所有</w:t>
      </w:r>
      <w:r>
        <w:rPr>
          <w:rFonts w:hint="eastAsia" w:ascii="宋体" w:hAnsi="宋体" w:cs="宋体"/>
          <w:szCs w:val="21"/>
          <w:highlight w:val="none"/>
        </w:rPr>
        <w:t>。</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关于发包人提供的上述文件的使用限制的要求：未经发包人书面同意，承包人不得为了合同以外的目的而复制、使用上述文件或将之提供给任何第三方。</w:t>
      </w:r>
    </w:p>
    <w:p>
      <w:pPr>
        <w:spacing w:line="360" w:lineRule="auto"/>
        <w:ind w:firstLine="600"/>
        <w:rPr>
          <w:rFonts w:ascii="宋体" w:hAnsi="宋体" w:cs="宋体"/>
          <w:szCs w:val="21"/>
          <w:highlight w:val="none"/>
        </w:rPr>
      </w:pPr>
      <w:r>
        <w:rPr>
          <w:rFonts w:hint="eastAsia" w:ascii="宋体" w:hAnsi="宋体" w:cs="宋体"/>
          <w:szCs w:val="21"/>
          <w:highlight w:val="none"/>
        </w:rPr>
        <w:t>1.10.2 由承包人（或以承包人名义）为实施工程所编制的文件、承包人完成的设计工作成果和建造完成的建筑物的知识产权归属：</w:t>
      </w:r>
      <w:r>
        <w:rPr>
          <w:rFonts w:hint="eastAsia" w:cs="宋体"/>
          <w:szCs w:val="21"/>
          <w:highlight w:val="none"/>
          <w:u w:val="single"/>
        </w:rPr>
        <w:t>归发包人所有</w:t>
      </w:r>
      <w:r>
        <w:rPr>
          <w:rFonts w:hint="eastAsia" w:ascii="宋体" w:hAnsi="宋体" w:cs="宋体"/>
          <w:szCs w:val="21"/>
          <w:highlight w:val="none"/>
        </w:rPr>
        <w:t>。</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发包人可因实施工程的运行、调试、维修、改造等目的而复制、使用此类文件，但不能擅自修改或用于与合同无关的其他事项</w:t>
      </w:r>
      <w:r>
        <w:rPr>
          <w:rFonts w:hint="eastAsia" w:ascii="宋体" w:hAnsi="宋体" w:cs="宋体"/>
          <w:szCs w:val="21"/>
          <w:highlight w:val="none"/>
        </w:rPr>
        <w:t xml:space="preserve">。 </w:t>
      </w:r>
    </w:p>
    <w:p>
      <w:pPr>
        <w:spacing w:line="360" w:lineRule="auto"/>
        <w:ind w:firstLine="600"/>
        <w:rPr>
          <w:rFonts w:ascii="宋体" w:hAnsi="宋体" w:cs="宋体"/>
          <w:szCs w:val="21"/>
          <w:highlight w:val="none"/>
        </w:rPr>
      </w:pPr>
      <w:r>
        <w:rPr>
          <w:rFonts w:hint="eastAsia" w:ascii="宋体" w:hAnsi="宋体" w:cs="宋体"/>
          <w:szCs w:val="21"/>
          <w:highlight w:val="none"/>
        </w:rPr>
        <w:t>1.10.4 承包人在投标文件中采用的专利、专有技术、技术秘密的使用费的承担方式</w:t>
      </w:r>
      <w:r>
        <w:rPr>
          <w:rFonts w:hint="eastAsia" w:ascii="宋体" w:hAnsi="宋体" w:cs="宋体"/>
          <w:szCs w:val="21"/>
          <w:highlight w:val="none"/>
          <w:u w:val="single"/>
        </w:rPr>
        <w:t>承包人自行承担</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1.11 保密</w:t>
      </w:r>
    </w:p>
    <w:p>
      <w:pPr>
        <w:spacing w:line="360" w:lineRule="auto"/>
        <w:ind w:firstLine="600"/>
        <w:rPr>
          <w:rFonts w:ascii="宋体" w:hAnsi="宋体" w:cs="宋体"/>
          <w:szCs w:val="21"/>
          <w:highlight w:val="none"/>
        </w:rPr>
      </w:pPr>
      <w:r>
        <w:rPr>
          <w:rFonts w:hint="eastAsia" w:ascii="宋体" w:hAnsi="宋体" w:cs="宋体"/>
          <w:szCs w:val="21"/>
          <w:highlight w:val="none"/>
        </w:rPr>
        <w:t>双方订立的商业保密协议（名称）：，作为本合同附件。</w:t>
      </w:r>
    </w:p>
    <w:p>
      <w:pPr>
        <w:spacing w:line="360" w:lineRule="auto"/>
        <w:ind w:firstLine="600"/>
        <w:rPr>
          <w:rFonts w:ascii="宋体" w:hAnsi="宋体" w:cs="宋体"/>
          <w:szCs w:val="21"/>
          <w:highlight w:val="none"/>
        </w:rPr>
      </w:pPr>
      <w:r>
        <w:rPr>
          <w:rFonts w:hint="eastAsia" w:ascii="宋体" w:hAnsi="宋体" w:cs="宋体"/>
          <w:szCs w:val="21"/>
          <w:highlight w:val="none"/>
        </w:rPr>
        <w:t>双方订立的技术保密协议（名称）：，作为本合同附件。</w:t>
      </w:r>
    </w:p>
    <w:p>
      <w:pPr>
        <w:spacing w:line="360" w:lineRule="auto"/>
        <w:ind w:firstLine="600"/>
        <w:rPr>
          <w:rFonts w:ascii="宋体" w:hAnsi="宋体" w:cs="宋体"/>
          <w:szCs w:val="21"/>
          <w:highlight w:val="none"/>
        </w:rPr>
      </w:pPr>
      <w:r>
        <w:rPr>
          <w:rFonts w:hint="eastAsia" w:ascii="宋体" w:hAnsi="宋体" w:cs="宋体"/>
          <w:szCs w:val="21"/>
          <w:highlight w:val="none"/>
        </w:rPr>
        <w:t>1.13 责任限制</w:t>
      </w:r>
    </w:p>
    <w:p>
      <w:pPr>
        <w:spacing w:line="360" w:lineRule="auto"/>
        <w:ind w:firstLine="600"/>
        <w:rPr>
          <w:rFonts w:ascii="宋体" w:hAnsi="宋体" w:cs="宋体"/>
          <w:szCs w:val="21"/>
          <w:highlight w:val="none"/>
        </w:rPr>
      </w:pPr>
      <w:r>
        <w:rPr>
          <w:rFonts w:hint="eastAsia" w:ascii="宋体" w:hAnsi="宋体" w:cs="宋体"/>
          <w:szCs w:val="21"/>
          <w:highlight w:val="none"/>
        </w:rPr>
        <w:t>承包人对发包人赔偿责任的最高限额为</w:t>
      </w:r>
      <w:r>
        <w:rPr>
          <w:rFonts w:hint="eastAsia" w:cs="宋体"/>
          <w:szCs w:val="21"/>
          <w:highlight w:val="none"/>
          <w:u w:val="single"/>
        </w:rPr>
        <w:t>/</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1.14 建筑信息模型技术的应用</w:t>
      </w:r>
    </w:p>
    <w:p>
      <w:pPr>
        <w:spacing w:line="360" w:lineRule="auto"/>
        <w:ind w:firstLine="600"/>
        <w:rPr>
          <w:rFonts w:ascii="宋体" w:hAnsi="宋体" w:cs="宋体"/>
          <w:szCs w:val="21"/>
          <w:highlight w:val="none"/>
        </w:rPr>
      </w:pPr>
      <w:r>
        <w:rPr>
          <w:rFonts w:hint="eastAsia" w:ascii="宋体" w:hAnsi="宋体" w:cs="宋体"/>
          <w:szCs w:val="21"/>
          <w:highlight w:val="none"/>
        </w:rPr>
        <w:t>关于建筑信息模型技术的开发、使用、存储、传输、交付及费用约定如下：</w:t>
      </w:r>
      <w:r>
        <w:rPr>
          <w:rFonts w:hint="eastAsia" w:cs="宋体"/>
          <w:szCs w:val="21"/>
          <w:highlight w:val="none"/>
          <w:u w:val="single"/>
        </w:rPr>
        <w:t>/</w:t>
      </w:r>
      <w:r>
        <w:rPr>
          <w:rFonts w:hint="eastAsia" w:ascii="宋体" w:hAnsi="宋体" w:cs="宋体"/>
          <w:szCs w:val="21"/>
          <w:highlight w:val="none"/>
        </w:rPr>
        <w:t>。</w:t>
      </w:r>
    </w:p>
    <w:p>
      <w:pPr>
        <w:widowControl/>
        <w:tabs>
          <w:tab w:val="left" w:pos="993"/>
        </w:tabs>
        <w:spacing w:before="260" w:after="120" w:line="360" w:lineRule="auto"/>
        <w:jc w:val="left"/>
        <w:outlineLvl w:val="1"/>
        <w:rPr>
          <w:rFonts w:ascii="宋体" w:hAnsi="宋体" w:cs="宋体"/>
          <w:kern w:val="0"/>
          <w:szCs w:val="21"/>
          <w:highlight w:val="none"/>
        </w:rPr>
      </w:pPr>
      <w:bookmarkStart w:id="1095" w:name="_Toc27407"/>
      <w:bookmarkStart w:id="1096" w:name="_Toc109076899"/>
      <w:bookmarkStart w:id="1097" w:name="_Toc4483"/>
      <w:bookmarkStart w:id="1098" w:name="_Toc26113"/>
      <w:bookmarkStart w:id="1099" w:name="_Toc54862333"/>
      <w:bookmarkStart w:id="1100" w:name="_Toc32430"/>
      <w:r>
        <w:rPr>
          <w:rFonts w:hint="eastAsia" w:ascii="宋体" w:hAnsi="宋体" w:cs="宋体"/>
          <w:kern w:val="0"/>
          <w:szCs w:val="21"/>
          <w:highlight w:val="none"/>
        </w:rPr>
        <w:t>第2条 发包人</w:t>
      </w:r>
      <w:bookmarkEnd w:id="1095"/>
      <w:bookmarkEnd w:id="1096"/>
      <w:bookmarkEnd w:id="1097"/>
      <w:bookmarkEnd w:id="1098"/>
      <w:bookmarkEnd w:id="1099"/>
      <w:bookmarkEnd w:id="1100"/>
    </w:p>
    <w:p>
      <w:pPr>
        <w:spacing w:line="360" w:lineRule="auto"/>
        <w:ind w:firstLine="600"/>
        <w:rPr>
          <w:rFonts w:ascii="宋体" w:hAnsi="宋体" w:cs="宋体"/>
          <w:szCs w:val="21"/>
          <w:highlight w:val="none"/>
        </w:rPr>
      </w:pPr>
      <w:r>
        <w:rPr>
          <w:rFonts w:hint="eastAsia" w:ascii="宋体" w:hAnsi="宋体" w:cs="宋体"/>
          <w:szCs w:val="21"/>
          <w:highlight w:val="none"/>
        </w:rPr>
        <w:t>2.2 提供施工现场和工作条件</w:t>
      </w:r>
    </w:p>
    <w:p>
      <w:pPr>
        <w:spacing w:line="360" w:lineRule="auto"/>
        <w:ind w:firstLine="600"/>
        <w:rPr>
          <w:rFonts w:ascii="宋体" w:hAnsi="宋体" w:cs="宋体"/>
          <w:szCs w:val="21"/>
          <w:highlight w:val="none"/>
        </w:rPr>
      </w:pPr>
      <w:r>
        <w:rPr>
          <w:rFonts w:hint="eastAsia" w:ascii="宋体" w:hAnsi="宋体" w:cs="宋体"/>
          <w:szCs w:val="21"/>
          <w:highlight w:val="none"/>
        </w:rPr>
        <w:t>2.2.1 提供施工现场</w:t>
      </w:r>
    </w:p>
    <w:p>
      <w:pPr>
        <w:spacing w:line="360" w:lineRule="auto"/>
        <w:ind w:firstLine="600"/>
        <w:rPr>
          <w:rFonts w:ascii="宋体" w:hAnsi="宋体" w:cs="宋体"/>
          <w:szCs w:val="21"/>
          <w:highlight w:val="none"/>
        </w:rPr>
      </w:pPr>
      <w:r>
        <w:rPr>
          <w:rFonts w:hint="eastAsia" w:ascii="宋体" w:hAnsi="宋体" w:cs="宋体"/>
          <w:szCs w:val="21"/>
          <w:highlight w:val="none"/>
        </w:rPr>
        <w:t>关于发包人提供施工现场的范围和期限：</w:t>
      </w:r>
      <w:r>
        <w:rPr>
          <w:rFonts w:hint="eastAsia" w:ascii="宋体" w:hAnsi="宋体" w:cs="宋体"/>
          <w:szCs w:val="21"/>
          <w:highlight w:val="none"/>
          <w:u w:val="single"/>
        </w:rPr>
        <w:t xml:space="preserve"> 施工场地应当在监理人发出的开工令中载明的开工日期前 7 天具备施工条件并移交给承包人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2.2.2 提供工作条件</w:t>
      </w:r>
    </w:p>
    <w:p>
      <w:pPr>
        <w:spacing w:line="360" w:lineRule="auto"/>
        <w:ind w:firstLine="600"/>
        <w:rPr>
          <w:rFonts w:ascii="宋体" w:hAnsi="宋体" w:cs="宋体"/>
          <w:szCs w:val="21"/>
          <w:highlight w:val="none"/>
        </w:rPr>
      </w:pPr>
      <w:r>
        <w:rPr>
          <w:rFonts w:hint="eastAsia" w:ascii="宋体" w:hAnsi="宋体" w:cs="宋体"/>
          <w:szCs w:val="21"/>
          <w:highlight w:val="none"/>
        </w:rPr>
        <w:t>关于发包人应负责提供的工作条件包括：</w:t>
      </w:r>
    </w:p>
    <w:p>
      <w:pPr>
        <w:numPr>
          <w:ilvl w:val="0"/>
          <w:numId w:val="11"/>
        </w:numPr>
        <w:spacing w:line="360" w:lineRule="auto"/>
        <w:ind w:firstLine="420"/>
        <w:rPr>
          <w:rFonts w:ascii="宋体" w:hAnsi="宋体" w:cs="宋体"/>
          <w:szCs w:val="21"/>
          <w:highlight w:val="none"/>
          <w:u w:val="single"/>
        </w:rPr>
      </w:pPr>
      <w:r>
        <w:rPr>
          <w:rFonts w:hint="eastAsia" w:ascii="宋体" w:hAnsi="宋体" w:cs="宋体"/>
          <w:szCs w:val="21"/>
          <w:highlight w:val="none"/>
          <w:u w:val="single"/>
        </w:rPr>
        <w:t>办理土地征用、拆迁、平整工作场地等工作，使施工场地具备施工条件的时间：开工前提供具备施工条件的场地。</w:t>
      </w:r>
    </w:p>
    <w:p>
      <w:pPr>
        <w:numPr>
          <w:ilvl w:val="0"/>
          <w:numId w:val="11"/>
        </w:numPr>
        <w:spacing w:line="360" w:lineRule="auto"/>
        <w:ind w:firstLine="420"/>
        <w:rPr>
          <w:rFonts w:ascii="宋体" w:hAnsi="宋体" w:cs="宋体"/>
          <w:szCs w:val="21"/>
          <w:highlight w:val="none"/>
          <w:u w:val="single"/>
        </w:rPr>
      </w:pPr>
      <w:r>
        <w:rPr>
          <w:rFonts w:hint="eastAsia" w:ascii="宋体" w:hAnsi="宋体" w:cs="宋体"/>
          <w:szCs w:val="21"/>
          <w:highlight w:val="none"/>
          <w:u w:val="single"/>
        </w:rPr>
        <w:t xml:space="preserve">完成施工所需水、电、通讯线路接驳的时间及地点： /   </w:t>
      </w:r>
      <w:r>
        <w:rPr>
          <w:rFonts w:hint="eastAsia" w:ascii="宋体" w:hAnsi="宋体" w:cs="宋体"/>
          <w:szCs w:val="21"/>
          <w:highlight w:val="none"/>
        </w:rPr>
        <w:t>；</w:t>
      </w:r>
    </w:p>
    <w:p>
      <w:pPr>
        <w:numPr>
          <w:ilvl w:val="0"/>
          <w:numId w:val="11"/>
        </w:num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开工施工现场与城乡公共道路间的通道的约定： 发包人负责协调有关工作</w:t>
      </w:r>
      <w:r>
        <w:rPr>
          <w:rFonts w:hint="eastAsia" w:ascii="宋体" w:hAnsi="宋体" w:cs="宋体"/>
          <w:szCs w:val="21"/>
          <w:highlight w:val="none"/>
        </w:rPr>
        <w:t xml:space="preserve">； </w:t>
      </w:r>
    </w:p>
    <w:p>
      <w:pPr>
        <w:numPr>
          <w:ilvl w:val="0"/>
          <w:numId w:val="11"/>
        </w:num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提供有关资料的时间：工程开工前</w:t>
      </w:r>
      <w:r>
        <w:rPr>
          <w:rFonts w:hint="eastAsia" w:ascii="宋体" w:hAnsi="宋体" w:cs="宋体"/>
          <w:szCs w:val="21"/>
          <w:highlight w:val="none"/>
        </w:rPr>
        <w:t xml:space="preserve">； </w:t>
      </w:r>
    </w:p>
    <w:p>
      <w:pPr>
        <w:numPr>
          <w:ilvl w:val="0"/>
          <w:numId w:val="11"/>
        </w:num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办理有关所需证件的约定：/</w:t>
      </w:r>
      <w:r>
        <w:rPr>
          <w:rFonts w:hint="eastAsia" w:ascii="宋体" w:hAnsi="宋体" w:cs="宋体"/>
          <w:szCs w:val="21"/>
          <w:highlight w:val="none"/>
        </w:rPr>
        <w:t xml:space="preserve">； </w:t>
      </w:r>
    </w:p>
    <w:p>
      <w:pPr>
        <w:numPr>
          <w:ilvl w:val="0"/>
          <w:numId w:val="11"/>
        </w:num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现场交验的时间： /</w:t>
      </w:r>
      <w:r>
        <w:rPr>
          <w:rFonts w:hint="eastAsia" w:ascii="宋体" w:hAnsi="宋体" w:cs="宋体"/>
          <w:szCs w:val="21"/>
          <w:highlight w:val="none"/>
        </w:rPr>
        <w:t>；</w:t>
      </w:r>
    </w:p>
    <w:p>
      <w:pPr>
        <w:numPr>
          <w:ilvl w:val="0"/>
          <w:numId w:val="11"/>
        </w:num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提供施工设计图纸、设计文件的时间：/</w:t>
      </w:r>
      <w:r>
        <w:rPr>
          <w:rFonts w:hint="eastAsia" w:ascii="宋体" w:hAnsi="宋体" w:cs="宋体"/>
          <w:szCs w:val="21"/>
          <w:highlight w:val="none"/>
        </w:rPr>
        <w:t xml:space="preserve">； </w:t>
      </w:r>
    </w:p>
    <w:p>
      <w:pPr>
        <w:numPr>
          <w:ilvl w:val="0"/>
          <w:numId w:val="11"/>
        </w:num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组织图纸会审和设计交底的约定： /</w:t>
      </w:r>
      <w:r>
        <w:rPr>
          <w:rFonts w:hint="eastAsia" w:ascii="宋体" w:hAnsi="宋体" w:cs="宋体"/>
          <w:szCs w:val="21"/>
          <w:highlight w:val="none"/>
        </w:rPr>
        <w:t xml:space="preserve">； </w:t>
      </w:r>
    </w:p>
    <w:p>
      <w:pPr>
        <w:numPr>
          <w:ilvl w:val="0"/>
          <w:numId w:val="11"/>
        </w:num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协调处理施工场地周围地形关系问题和做好邻近建筑物、构筑物（包括文物保护建筑）、古树名木等的保护工作的约定：发包人负责协调有关工作。如由承包人负责实施保护工作，相关费用按实结算</w:t>
      </w:r>
      <w:r>
        <w:rPr>
          <w:rFonts w:hint="eastAsia" w:ascii="宋体" w:hAnsi="宋体" w:cs="宋体"/>
          <w:szCs w:val="21"/>
          <w:highlight w:val="none"/>
        </w:rPr>
        <w:t>；</w:t>
      </w:r>
    </w:p>
    <w:p>
      <w:pPr>
        <w:numPr>
          <w:ilvl w:val="0"/>
          <w:numId w:val="11"/>
        </w:num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所有工程报规、报建以及其他相关建设报批程序由发包人组织办理并提供相关资料和证件，承包人需派专人协助发包人实施具体工作，包括资料编制和递交申请等</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2.3 提供基础资料</w:t>
      </w:r>
    </w:p>
    <w:p>
      <w:pPr>
        <w:spacing w:line="360" w:lineRule="auto"/>
        <w:ind w:firstLine="600"/>
        <w:rPr>
          <w:rFonts w:ascii="宋体" w:hAnsi="宋体" w:cs="宋体"/>
          <w:szCs w:val="21"/>
          <w:highlight w:val="none"/>
        </w:rPr>
      </w:pPr>
      <w:r>
        <w:rPr>
          <w:rFonts w:hint="eastAsia" w:ascii="宋体" w:hAnsi="宋体" w:cs="宋体"/>
          <w:szCs w:val="21"/>
          <w:highlight w:val="none"/>
        </w:rPr>
        <w:t>关于发包人应提供的基础资料的范围和期限：</w:t>
      </w:r>
      <w:r>
        <w:rPr>
          <w:rFonts w:hint="eastAsia" w:ascii="宋体" w:hAnsi="宋体" w:cs="宋体"/>
          <w:szCs w:val="21"/>
          <w:highlight w:val="none"/>
          <w:u w:val="single"/>
        </w:rPr>
        <w:t>/</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2.5 支付合同价款</w:t>
      </w:r>
    </w:p>
    <w:p>
      <w:pPr>
        <w:spacing w:line="360" w:lineRule="auto"/>
        <w:ind w:firstLine="600"/>
        <w:rPr>
          <w:rFonts w:ascii="宋体" w:hAnsi="宋体" w:cs="宋体"/>
          <w:szCs w:val="21"/>
          <w:highlight w:val="none"/>
        </w:rPr>
      </w:pPr>
      <w:r>
        <w:rPr>
          <w:rFonts w:hint="eastAsia" w:ascii="宋体" w:hAnsi="宋体" w:cs="宋体"/>
          <w:szCs w:val="21"/>
          <w:highlight w:val="none"/>
        </w:rPr>
        <w:t>2.5.2 发包人提供资金来源证明及资金安排的期限要求：</w:t>
      </w:r>
      <w:r>
        <w:rPr>
          <w:rFonts w:hint="eastAsia" w:ascii="宋体" w:hAnsi="宋体" w:cs="宋体"/>
          <w:szCs w:val="21"/>
          <w:highlight w:val="none"/>
          <w:u w:val="single"/>
        </w:rPr>
        <w:t>/</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2.5.3 发包人提供支付担保的形式、期限、金额（或比例）：</w:t>
      </w:r>
      <w:r>
        <w:rPr>
          <w:rFonts w:hint="eastAsia" w:ascii="宋体" w:hAnsi="宋体" w:cs="宋体"/>
          <w:szCs w:val="21"/>
          <w:highlight w:val="none"/>
          <w:u w:val="single"/>
        </w:rPr>
        <w:t>/</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2.7 其他义务</w:t>
      </w:r>
    </w:p>
    <w:p>
      <w:pPr>
        <w:spacing w:line="360" w:lineRule="auto"/>
        <w:ind w:firstLine="600"/>
        <w:rPr>
          <w:rFonts w:ascii="宋体" w:hAnsi="宋体" w:cs="宋体"/>
          <w:szCs w:val="21"/>
          <w:highlight w:val="none"/>
        </w:rPr>
      </w:pPr>
      <w:r>
        <w:rPr>
          <w:rFonts w:hint="eastAsia" w:ascii="宋体" w:hAnsi="宋体" w:cs="宋体"/>
          <w:szCs w:val="21"/>
          <w:highlight w:val="none"/>
        </w:rPr>
        <w:t>发包人应履行的其他义务：</w:t>
      </w:r>
      <w:r>
        <w:rPr>
          <w:rFonts w:hint="eastAsia" w:ascii="宋体" w:hAnsi="宋体" w:cs="宋体"/>
          <w:szCs w:val="21"/>
          <w:highlight w:val="none"/>
          <w:u w:val="single"/>
        </w:rPr>
        <w:t>/</w:t>
      </w:r>
      <w:r>
        <w:rPr>
          <w:rFonts w:hint="eastAsia" w:ascii="宋体" w:hAnsi="宋体" w:cs="宋体"/>
          <w:szCs w:val="21"/>
          <w:highlight w:val="none"/>
        </w:rPr>
        <w:t>。</w:t>
      </w:r>
    </w:p>
    <w:p>
      <w:pPr>
        <w:widowControl/>
        <w:tabs>
          <w:tab w:val="left" w:pos="993"/>
        </w:tabs>
        <w:spacing w:before="260" w:after="120" w:line="360" w:lineRule="auto"/>
        <w:jc w:val="left"/>
        <w:outlineLvl w:val="1"/>
        <w:rPr>
          <w:rFonts w:ascii="宋体" w:hAnsi="宋体" w:cs="宋体"/>
          <w:kern w:val="0"/>
          <w:szCs w:val="21"/>
          <w:highlight w:val="none"/>
        </w:rPr>
      </w:pPr>
      <w:bookmarkStart w:id="1101" w:name="_Toc109076900"/>
      <w:bookmarkStart w:id="1102" w:name="_Toc14766"/>
      <w:bookmarkStart w:id="1103" w:name="_Toc17053"/>
      <w:bookmarkStart w:id="1104" w:name="_Toc6007"/>
      <w:bookmarkStart w:id="1105" w:name="_Toc54862334"/>
      <w:bookmarkStart w:id="1106" w:name="_Toc28685"/>
      <w:r>
        <w:rPr>
          <w:rFonts w:hint="eastAsia" w:ascii="宋体" w:hAnsi="宋体" w:cs="宋体"/>
          <w:kern w:val="0"/>
          <w:szCs w:val="21"/>
          <w:highlight w:val="none"/>
        </w:rPr>
        <w:t>第3条 发包人的管理</w:t>
      </w:r>
      <w:bookmarkEnd w:id="1101"/>
      <w:bookmarkEnd w:id="1102"/>
      <w:bookmarkEnd w:id="1103"/>
      <w:bookmarkEnd w:id="1104"/>
      <w:bookmarkEnd w:id="1105"/>
      <w:bookmarkEnd w:id="1106"/>
    </w:p>
    <w:p>
      <w:pPr>
        <w:spacing w:line="360" w:lineRule="auto"/>
        <w:ind w:firstLine="640"/>
        <w:rPr>
          <w:rFonts w:ascii="宋体" w:hAnsi="宋体" w:cs="宋体"/>
          <w:szCs w:val="21"/>
          <w:highlight w:val="none"/>
        </w:rPr>
      </w:pPr>
      <w:r>
        <w:rPr>
          <w:rFonts w:hint="eastAsia" w:ascii="宋体" w:hAnsi="宋体" w:cs="宋体"/>
          <w:szCs w:val="21"/>
          <w:highlight w:val="none"/>
        </w:rPr>
        <w:t>3.1 发包人代表</w:t>
      </w:r>
    </w:p>
    <w:p>
      <w:pPr>
        <w:spacing w:line="360" w:lineRule="auto"/>
        <w:ind w:firstLine="600"/>
        <w:rPr>
          <w:rFonts w:ascii="宋体" w:hAnsi="宋体" w:cs="宋体"/>
          <w:szCs w:val="21"/>
          <w:highlight w:val="none"/>
        </w:rPr>
      </w:pPr>
      <w:r>
        <w:rPr>
          <w:rFonts w:hint="eastAsia" w:ascii="宋体" w:hAnsi="宋体" w:cs="宋体"/>
          <w:szCs w:val="21"/>
          <w:highlight w:val="none"/>
        </w:rPr>
        <w:t>发包人代表的姓名：；</w:t>
      </w:r>
    </w:p>
    <w:p>
      <w:pPr>
        <w:spacing w:line="360" w:lineRule="auto"/>
        <w:ind w:firstLine="600"/>
        <w:rPr>
          <w:rFonts w:ascii="宋体" w:hAnsi="宋体" w:cs="宋体"/>
          <w:szCs w:val="21"/>
          <w:highlight w:val="none"/>
        </w:rPr>
      </w:pPr>
      <w:r>
        <w:rPr>
          <w:rFonts w:hint="eastAsia" w:ascii="宋体" w:hAnsi="宋体" w:cs="宋体"/>
          <w:szCs w:val="21"/>
          <w:highlight w:val="none"/>
        </w:rPr>
        <w:t>发包人代表的身份证号：；</w:t>
      </w:r>
    </w:p>
    <w:p>
      <w:pPr>
        <w:spacing w:line="360" w:lineRule="auto"/>
        <w:ind w:firstLine="600"/>
        <w:rPr>
          <w:rFonts w:ascii="宋体" w:hAnsi="宋体" w:cs="宋体"/>
          <w:szCs w:val="21"/>
          <w:highlight w:val="none"/>
        </w:rPr>
      </w:pPr>
      <w:r>
        <w:rPr>
          <w:rFonts w:hint="eastAsia" w:ascii="宋体" w:hAnsi="宋体" w:cs="宋体"/>
          <w:szCs w:val="21"/>
          <w:highlight w:val="none"/>
        </w:rPr>
        <w:t>发包人代表的职务：；</w:t>
      </w:r>
    </w:p>
    <w:p>
      <w:pPr>
        <w:spacing w:line="360" w:lineRule="auto"/>
        <w:ind w:firstLine="600"/>
        <w:rPr>
          <w:rFonts w:ascii="宋体" w:hAnsi="宋体" w:cs="宋体"/>
          <w:szCs w:val="21"/>
          <w:highlight w:val="none"/>
        </w:rPr>
      </w:pPr>
      <w:r>
        <w:rPr>
          <w:rFonts w:hint="eastAsia" w:ascii="宋体" w:hAnsi="宋体" w:cs="宋体"/>
          <w:szCs w:val="21"/>
          <w:highlight w:val="none"/>
        </w:rPr>
        <w:t>发包人代表的联系电话：；</w:t>
      </w:r>
    </w:p>
    <w:p>
      <w:pPr>
        <w:spacing w:line="360" w:lineRule="auto"/>
        <w:ind w:firstLine="600"/>
        <w:rPr>
          <w:rFonts w:ascii="宋体" w:hAnsi="宋体" w:cs="宋体"/>
          <w:szCs w:val="21"/>
          <w:highlight w:val="none"/>
        </w:rPr>
      </w:pPr>
      <w:r>
        <w:rPr>
          <w:rFonts w:hint="eastAsia" w:ascii="宋体" w:hAnsi="宋体" w:cs="宋体"/>
          <w:szCs w:val="21"/>
          <w:highlight w:val="none"/>
        </w:rPr>
        <w:t>发包人代表的电子邮箱：；</w:t>
      </w:r>
    </w:p>
    <w:p>
      <w:pPr>
        <w:spacing w:line="360" w:lineRule="auto"/>
        <w:ind w:firstLine="600"/>
        <w:rPr>
          <w:rFonts w:ascii="宋体" w:hAnsi="宋体" w:cs="宋体"/>
          <w:szCs w:val="21"/>
          <w:highlight w:val="none"/>
        </w:rPr>
      </w:pPr>
      <w:r>
        <w:rPr>
          <w:rFonts w:hint="eastAsia" w:ascii="宋体" w:hAnsi="宋体" w:cs="宋体"/>
          <w:szCs w:val="21"/>
          <w:highlight w:val="none"/>
        </w:rPr>
        <w:t>发包人代表的通信地址：；</w:t>
      </w:r>
    </w:p>
    <w:p>
      <w:pPr>
        <w:spacing w:line="360" w:lineRule="auto"/>
        <w:ind w:firstLine="600"/>
        <w:rPr>
          <w:rFonts w:ascii="宋体" w:hAnsi="宋体" w:cs="宋体"/>
          <w:szCs w:val="21"/>
          <w:highlight w:val="none"/>
        </w:rPr>
      </w:pPr>
      <w:r>
        <w:rPr>
          <w:rFonts w:hint="eastAsia" w:ascii="宋体" w:hAnsi="宋体" w:cs="宋体"/>
          <w:szCs w:val="21"/>
          <w:highlight w:val="none"/>
        </w:rPr>
        <w:t>发包人对发包人代表的授权范围如下：</w:t>
      </w:r>
      <w:r>
        <w:rPr>
          <w:rFonts w:hint="eastAsia" w:ascii="宋体" w:hAnsi="宋体" w:cs="宋体"/>
          <w:szCs w:val="21"/>
          <w:highlight w:val="none"/>
          <w:u w:val="single"/>
        </w:rPr>
        <w:t>①督促承包人按照工程总承包合同完成；②协调各有关单位工作；③工程进度与工程量的确认；④督促并控制工程进度、质量、投资等内容</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发包人代表的职责：</w:t>
      </w:r>
      <w:r>
        <w:rPr>
          <w:rFonts w:hint="eastAsia" w:ascii="宋体" w:hAnsi="宋体" w:cs="宋体"/>
          <w:szCs w:val="21"/>
          <w:highlight w:val="none"/>
          <w:u w:val="single"/>
        </w:rPr>
        <w:t xml:space="preserve">监督工程总承包合同实施；协调各有关单位工作；工程进度与工程量的确认；督促并控制工程进度、质量、投资等内容 </w:t>
      </w:r>
      <w:r>
        <w:rPr>
          <w:rFonts w:hint="eastAsia" w:ascii="宋体" w:hAnsi="宋体" w:cs="宋体"/>
          <w:szCs w:val="21"/>
          <w:highlight w:val="none"/>
        </w:rPr>
        <w:t>。</w:t>
      </w:r>
    </w:p>
    <w:p>
      <w:pPr>
        <w:spacing w:line="360" w:lineRule="auto"/>
        <w:ind w:firstLine="640"/>
        <w:rPr>
          <w:rFonts w:ascii="宋体" w:hAnsi="宋体" w:cs="宋体"/>
          <w:szCs w:val="21"/>
          <w:highlight w:val="none"/>
        </w:rPr>
      </w:pPr>
      <w:r>
        <w:rPr>
          <w:rFonts w:hint="eastAsia" w:ascii="宋体" w:hAnsi="宋体" w:cs="宋体"/>
          <w:szCs w:val="21"/>
          <w:highlight w:val="none"/>
        </w:rPr>
        <w:t>3.2 发包人人员</w:t>
      </w:r>
    </w:p>
    <w:p>
      <w:pPr>
        <w:spacing w:line="360" w:lineRule="auto"/>
        <w:ind w:firstLine="600"/>
        <w:rPr>
          <w:rFonts w:ascii="宋体" w:hAnsi="宋体" w:cs="宋体"/>
          <w:szCs w:val="21"/>
          <w:highlight w:val="none"/>
        </w:rPr>
      </w:pPr>
      <w:r>
        <w:rPr>
          <w:rFonts w:hint="eastAsia" w:ascii="宋体" w:hAnsi="宋体" w:cs="宋体"/>
          <w:szCs w:val="21"/>
          <w:highlight w:val="none"/>
        </w:rPr>
        <w:t>发包人人员姓名：；</w:t>
      </w:r>
    </w:p>
    <w:p>
      <w:pPr>
        <w:spacing w:line="360" w:lineRule="auto"/>
        <w:ind w:firstLine="600"/>
        <w:rPr>
          <w:rFonts w:ascii="宋体" w:hAnsi="宋体" w:cs="宋体"/>
          <w:szCs w:val="21"/>
          <w:highlight w:val="none"/>
        </w:rPr>
      </w:pPr>
      <w:r>
        <w:rPr>
          <w:rFonts w:hint="eastAsia" w:ascii="宋体" w:hAnsi="宋体" w:cs="宋体"/>
          <w:szCs w:val="21"/>
          <w:highlight w:val="none"/>
        </w:rPr>
        <w:t>发包人人员职务：；</w:t>
      </w:r>
    </w:p>
    <w:p>
      <w:pPr>
        <w:spacing w:line="360" w:lineRule="auto"/>
        <w:ind w:firstLine="600"/>
        <w:rPr>
          <w:rFonts w:ascii="宋体" w:hAnsi="宋体" w:cs="宋体"/>
          <w:szCs w:val="21"/>
          <w:highlight w:val="none"/>
        </w:rPr>
      </w:pPr>
      <w:r>
        <w:rPr>
          <w:rFonts w:hint="eastAsia" w:ascii="宋体" w:hAnsi="宋体" w:cs="宋体"/>
          <w:szCs w:val="21"/>
          <w:highlight w:val="none"/>
        </w:rPr>
        <w:t>发包人人员职责：。</w:t>
      </w:r>
    </w:p>
    <w:p>
      <w:pPr>
        <w:spacing w:line="360" w:lineRule="auto"/>
        <w:ind w:firstLine="640"/>
        <w:rPr>
          <w:rFonts w:ascii="宋体" w:hAnsi="宋体" w:cs="宋体"/>
          <w:szCs w:val="21"/>
          <w:highlight w:val="none"/>
        </w:rPr>
      </w:pPr>
      <w:r>
        <w:rPr>
          <w:rFonts w:hint="eastAsia" w:ascii="宋体" w:hAnsi="宋体" w:cs="宋体"/>
          <w:szCs w:val="21"/>
          <w:highlight w:val="none"/>
        </w:rPr>
        <w:t>3.3 工程师</w:t>
      </w:r>
    </w:p>
    <w:p>
      <w:pPr>
        <w:spacing w:line="360" w:lineRule="auto"/>
        <w:ind w:firstLine="600"/>
        <w:rPr>
          <w:rFonts w:ascii="宋体" w:hAnsi="宋体" w:cs="宋体"/>
          <w:szCs w:val="21"/>
          <w:highlight w:val="none"/>
        </w:rPr>
      </w:pPr>
      <w:r>
        <w:rPr>
          <w:rFonts w:hint="eastAsia" w:ascii="宋体" w:hAnsi="宋体" w:cs="宋体"/>
          <w:szCs w:val="21"/>
          <w:highlight w:val="none"/>
        </w:rPr>
        <w:t>3.3.1 工程师名称：；</w:t>
      </w:r>
    </w:p>
    <w:p>
      <w:pPr>
        <w:spacing w:line="360" w:lineRule="auto"/>
        <w:ind w:firstLine="600"/>
        <w:rPr>
          <w:rFonts w:ascii="宋体" w:hAnsi="宋体" w:cs="宋体"/>
          <w:szCs w:val="21"/>
          <w:highlight w:val="none"/>
        </w:rPr>
      </w:pPr>
      <w:r>
        <w:rPr>
          <w:rFonts w:hint="eastAsia" w:ascii="宋体" w:hAnsi="宋体" w:cs="宋体"/>
          <w:szCs w:val="21"/>
          <w:highlight w:val="none"/>
        </w:rPr>
        <w:t>工程师监督管理范围、内容：</w:t>
      </w:r>
      <w:r>
        <w:rPr>
          <w:rFonts w:hint="eastAsia" w:ascii="宋体" w:hAnsi="宋体" w:cs="宋体"/>
          <w:szCs w:val="21"/>
          <w:highlight w:val="none"/>
          <w:u w:val="single"/>
        </w:rPr>
        <w:t xml:space="preserve"> 按照发包人与监理人签订的合同条款约定</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工程师权限：</w:t>
      </w:r>
      <w:r>
        <w:rPr>
          <w:rFonts w:hint="eastAsia" w:ascii="宋体" w:hAnsi="宋体" w:cs="宋体"/>
          <w:szCs w:val="21"/>
          <w:highlight w:val="none"/>
          <w:u w:val="single"/>
        </w:rPr>
        <w:t xml:space="preserve"> 按照发包人与监理人签订的合同条款约定 </w:t>
      </w:r>
      <w:r>
        <w:rPr>
          <w:rFonts w:hint="eastAsia" w:ascii="宋体" w:hAnsi="宋体" w:cs="宋体"/>
          <w:szCs w:val="21"/>
          <w:highlight w:val="none"/>
        </w:rPr>
        <w:t>。</w:t>
      </w:r>
    </w:p>
    <w:p>
      <w:pPr>
        <w:spacing w:line="360" w:lineRule="auto"/>
        <w:ind w:firstLine="640"/>
        <w:rPr>
          <w:rFonts w:ascii="宋体" w:hAnsi="宋体" w:cs="宋体"/>
          <w:szCs w:val="21"/>
          <w:highlight w:val="none"/>
        </w:rPr>
      </w:pPr>
      <w:r>
        <w:rPr>
          <w:rFonts w:hint="eastAsia" w:ascii="宋体" w:hAnsi="宋体" w:cs="宋体"/>
          <w:szCs w:val="21"/>
          <w:highlight w:val="none"/>
        </w:rPr>
        <w:t>3.6 商定或确定</w:t>
      </w:r>
    </w:p>
    <w:p>
      <w:pPr>
        <w:spacing w:line="360" w:lineRule="auto"/>
        <w:ind w:firstLine="600"/>
        <w:rPr>
          <w:rFonts w:ascii="宋体" w:hAnsi="宋体" w:cs="宋体"/>
          <w:szCs w:val="21"/>
          <w:highlight w:val="none"/>
        </w:rPr>
      </w:pPr>
      <w:r>
        <w:rPr>
          <w:rFonts w:hint="eastAsia" w:ascii="宋体" w:hAnsi="宋体" w:cs="宋体"/>
          <w:szCs w:val="21"/>
          <w:highlight w:val="none"/>
        </w:rPr>
        <w:t>3.6.2 关于商定时间限制的具体约定：</w:t>
      </w:r>
      <w:r>
        <w:rPr>
          <w:rFonts w:hint="eastAsia" w:cs="宋体"/>
          <w:szCs w:val="21"/>
          <w:highlight w:val="none"/>
          <w:u w:val="single"/>
        </w:rPr>
        <w:t xml:space="preserve">/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3.6.3 关于商定或确定效力的具体约定：</w:t>
      </w:r>
      <w:r>
        <w:rPr>
          <w:rFonts w:hint="eastAsia" w:cs="宋体"/>
          <w:szCs w:val="21"/>
          <w:highlight w:val="none"/>
          <w:u w:val="single"/>
        </w:rPr>
        <w:t xml:space="preserve">/ </w:t>
      </w:r>
      <w:r>
        <w:rPr>
          <w:rFonts w:hint="eastAsia" w:ascii="宋体" w:hAnsi="宋体" w:cs="宋体"/>
          <w:szCs w:val="21"/>
          <w:highlight w:val="none"/>
        </w:rPr>
        <w:t>；关于对工程师的确定提出异议的具体约定：</w:t>
      </w:r>
      <w:r>
        <w:rPr>
          <w:rFonts w:hint="eastAsia" w:cs="宋体"/>
          <w:szCs w:val="21"/>
          <w:highlight w:val="none"/>
          <w:u w:val="single"/>
        </w:rPr>
        <w:t xml:space="preserve">/   </w:t>
      </w:r>
      <w:r>
        <w:rPr>
          <w:rFonts w:hint="eastAsia" w:ascii="宋体" w:hAnsi="宋体" w:cs="宋体"/>
          <w:szCs w:val="21"/>
          <w:highlight w:val="none"/>
        </w:rPr>
        <w:t>。</w:t>
      </w:r>
    </w:p>
    <w:p>
      <w:pPr>
        <w:spacing w:line="360" w:lineRule="auto"/>
        <w:ind w:firstLine="640"/>
        <w:rPr>
          <w:rFonts w:ascii="宋体" w:hAnsi="宋体" w:cs="宋体"/>
          <w:szCs w:val="21"/>
          <w:highlight w:val="none"/>
        </w:rPr>
      </w:pPr>
      <w:r>
        <w:rPr>
          <w:rFonts w:hint="eastAsia" w:ascii="宋体" w:hAnsi="宋体" w:cs="宋体"/>
          <w:szCs w:val="21"/>
          <w:highlight w:val="none"/>
        </w:rPr>
        <w:t>3.7 会议</w:t>
      </w:r>
    </w:p>
    <w:p>
      <w:pPr>
        <w:spacing w:line="360" w:lineRule="auto"/>
        <w:ind w:firstLine="600"/>
        <w:rPr>
          <w:rFonts w:ascii="宋体" w:hAnsi="宋体" w:cs="宋体"/>
          <w:szCs w:val="21"/>
          <w:highlight w:val="none"/>
        </w:rPr>
      </w:pPr>
      <w:r>
        <w:rPr>
          <w:rFonts w:hint="eastAsia" w:ascii="宋体" w:hAnsi="宋体" w:cs="宋体"/>
          <w:szCs w:val="21"/>
          <w:highlight w:val="none"/>
        </w:rPr>
        <w:t>3.7.1 关于召开会议的具体约定：</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3.7.2 关于保存和提供会议纪要的具体约定：</w:t>
      </w:r>
      <w:r>
        <w:rPr>
          <w:rFonts w:hint="eastAsia" w:cs="宋体"/>
          <w:szCs w:val="21"/>
          <w:highlight w:val="none"/>
          <w:u w:val="single"/>
        </w:rPr>
        <w:t xml:space="preserve">/ </w:t>
      </w:r>
      <w:r>
        <w:rPr>
          <w:rFonts w:hint="eastAsia" w:ascii="宋体" w:hAnsi="宋体" w:cs="宋体"/>
          <w:szCs w:val="21"/>
          <w:highlight w:val="none"/>
        </w:rPr>
        <w:t>。</w:t>
      </w:r>
    </w:p>
    <w:p>
      <w:pPr>
        <w:widowControl/>
        <w:tabs>
          <w:tab w:val="left" w:pos="993"/>
        </w:tabs>
        <w:spacing w:before="260" w:after="120" w:line="360" w:lineRule="auto"/>
        <w:jc w:val="left"/>
        <w:outlineLvl w:val="1"/>
        <w:rPr>
          <w:rFonts w:ascii="宋体" w:hAnsi="宋体" w:cs="宋体"/>
          <w:kern w:val="0"/>
          <w:szCs w:val="21"/>
          <w:highlight w:val="none"/>
        </w:rPr>
      </w:pPr>
      <w:bookmarkStart w:id="1107" w:name="_Toc26949"/>
      <w:bookmarkStart w:id="1108" w:name="_Toc54862335"/>
      <w:bookmarkStart w:id="1109" w:name="_Toc109076901"/>
      <w:bookmarkStart w:id="1110" w:name="_Toc10265"/>
      <w:bookmarkStart w:id="1111" w:name="_Toc1674"/>
      <w:bookmarkStart w:id="1112" w:name="_Toc29749"/>
      <w:r>
        <w:rPr>
          <w:rFonts w:hint="eastAsia" w:ascii="宋体" w:hAnsi="宋体" w:cs="宋体"/>
          <w:kern w:val="0"/>
          <w:szCs w:val="21"/>
          <w:highlight w:val="none"/>
        </w:rPr>
        <w:t>第4条 承包人</w:t>
      </w:r>
      <w:bookmarkEnd w:id="1107"/>
      <w:bookmarkEnd w:id="1108"/>
      <w:bookmarkEnd w:id="1109"/>
      <w:bookmarkEnd w:id="1110"/>
      <w:bookmarkEnd w:id="1111"/>
      <w:bookmarkEnd w:id="1112"/>
    </w:p>
    <w:p>
      <w:pPr>
        <w:spacing w:line="360" w:lineRule="auto"/>
        <w:ind w:firstLine="600"/>
        <w:rPr>
          <w:rFonts w:ascii="宋体" w:hAnsi="宋体" w:cs="宋体"/>
          <w:szCs w:val="21"/>
          <w:highlight w:val="none"/>
        </w:rPr>
      </w:pPr>
      <w:r>
        <w:rPr>
          <w:rFonts w:hint="eastAsia" w:ascii="宋体" w:hAnsi="宋体" w:cs="宋体"/>
          <w:szCs w:val="21"/>
          <w:highlight w:val="none"/>
        </w:rPr>
        <w:t>4.1 承包人的一般义务</w:t>
      </w:r>
    </w:p>
    <w:p>
      <w:pPr>
        <w:spacing w:line="360" w:lineRule="auto"/>
        <w:ind w:firstLine="600"/>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承包人应履行的一般义务：</w:t>
      </w:r>
    </w:p>
    <w:p>
      <w:pPr>
        <w:spacing w:line="360" w:lineRule="auto"/>
        <w:ind w:firstLine="600"/>
        <w:rPr>
          <w:rFonts w:ascii="宋体" w:hAnsi="宋体" w:cs="宋体"/>
          <w:szCs w:val="21"/>
          <w:highlight w:val="none"/>
          <w:u w:val="single"/>
        </w:rPr>
      </w:pPr>
      <w:r>
        <w:rPr>
          <w:rFonts w:hint="eastAsia" w:ascii="宋体" w:hAnsi="宋体" w:cs="宋体"/>
          <w:szCs w:val="21"/>
          <w:highlight w:val="none"/>
        </w:rPr>
        <w:t>（1）</w:t>
      </w:r>
      <w:r>
        <w:rPr>
          <w:rFonts w:hint="eastAsia" w:ascii="宋体" w:hAnsi="宋体" w:cs="宋体"/>
          <w:szCs w:val="21"/>
          <w:highlight w:val="none"/>
          <w:u w:val="single"/>
        </w:rPr>
        <w:t>完成各项承包工作，发包人不提供材料和工程设备，承包人应提供合同约定的工程设备和承包人文件，以及为完成合同工作所需的劳务、材料、施工设备和其他物品，并按合同约定负责临时设施的设计、施工、运行、维护、管理和拆除</w:t>
      </w:r>
      <w:r>
        <w:rPr>
          <w:rFonts w:hint="eastAsia" w:ascii="宋体" w:hAnsi="宋体" w:cs="宋体"/>
          <w:szCs w:val="21"/>
          <w:highlight w:val="none"/>
        </w:rPr>
        <w:t>。</w:t>
      </w:r>
    </w:p>
    <w:p>
      <w:pPr>
        <w:spacing w:line="360" w:lineRule="auto"/>
        <w:ind w:firstLine="600"/>
        <w:rPr>
          <w:rFonts w:ascii="宋体" w:hAnsi="宋体" w:cs="宋体"/>
          <w:szCs w:val="21"/>
          <w:highlight w:val="none"/>
          <w:u w:val="single"/>
        </w:rPr>
      </w:pPr>
      <w:r>
        <w:rPr>
          <w:rFonts w:hint="eastAsia" w:ascii="宋体" w:hAnsi="宋体" w:cs="宋体"/>
          <w:szCs w:val="21"/>
          <w:highlight w:val="none"/>
        </w:rPr>
        <w:t>（2）关于修建临时设施费用承担的约定：</w:t>
      </w:r>
      <w:r>
        <w:rPr>
          <w:rFonts w:hint="eastAsia" w:ascii="宋体" w:hAnsi="宋体" w:cs="宋体"/>
          <w:szCs w:val="21"/>
          <w:highlight w:val="none"/>
          <w:u w:val="single"/>
        </w:rPr>
        <w:t>承包人在概算的场地准备及临时设施费范围内修建临时设施的费用。</w:t>
      </w:r>
    </w:p>
    <w:p>
      <w:pPr>
        <w:spacing w:line="360" w:lineRule="auto"/>
        <w:ind w:firstLine="600"/>
        <w:rPr>
          <w:rFonts w:ascii="宋体" w:hAnsi="宋体" w:cs="宋体"/>
          <w:szCs w:val="21"/>
          <w:highlight w:val="none"/>
        </w:rPr>
      </w:pPr>
      <w:r>
        <w:rPr>
          <w:rFonts w:hint="eastAsia" w:ascii="宋体" w:hAnsi="宋体" w:cs="宋体"/>
          <w:szCs w:val="21"/>
          <w:highlight w:val="none"/>
          <w:u w:val="single"/>
        </w:rPr>
        <w:t>（3）发包人和监理人有权无偿使用承包人修建的临时道路和交通设施，不需要交纳任何费用</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（4）经合同双方商定，承包人应提交的报表类别、名称、要求、报告期、提交的时间和份数：</w:t>
      </w:r>
      <w:r>
        <w:rPr>
          <w:rFonts w:hint="eastAsia" w:ascii="宋体" w:hAnsi="宋体" w:cs="宋体"/>
          <w:szCs w:val="21"/>
          <w:highlight w:val="none"/>
          <w:u w:val="single"/>
        </w:rPr>
        <w:t>①管理人员架构表、施工组织设计、总进度计划在签订合同后 10 天内申报，经监理单位和发包人审批后执行；②承包人须于每月 25 日前向工程总监提供如下计划、报表，经监理单位审核后，报发包人批准后实施</w:t>
      </w:r>
      <w:r>
        <w:rPr>
          <w:rFonts w:hint="eastAsia" w:ascii="宋体" w:hAnsi="宋体" w:cs="宋体"/>
          <w:szCs w:val="21"/>
          <w:highlight w:val="none"/>
        </w:rPr>
        <w:t>：</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A、当月应完成的工程进度和实际完成进度统计报表一式四份（说明提前或拖延原因）（时间从上月 25 日至当月 24 日）；</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B、当月完成的工程量申报，要求分细项申报，并有完成金额一式四份 （时间从上月 25日至当月 24 日）；</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 xml:space="preserve">C、下月资金使用计划一式四份（时间从上月 25 日至当月 24 日）； </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D、下月施工进度计划一式四份（时间从上月 25 日至当月 24 日）；</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E、下月施工拟投入设备、劳动力计划一式四份（时间从上月 25 日至当月 24 日）；</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F、当月工程质量、安全生产、文明施工情况报告一式四份（时间从上月 25 日至当月 24日）；</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G、承包人负责向发包人提供工程事故报告一式四份（如有）</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H、承包人应在每月 25 日前向发包人提交对各专业间的组织管理、协调、配合等方面情况及所出现问题的专项报告。</w:t>
      </w:r>
    </w:p>
    <w:p>
      <w:pPr>
        <w:kinsoku w:val="0"/>
        <w:overflowPunct w:val="0"/>
        <w:spacing w:line="360" w:lineRule="auto"/>
        <w:ind w:left="212" w:right="44" w:firstLine="420" w:firstLineChars="200"/>
        <w:jc w:val="left"/>
        <w:rPr>
          <w:rFonts w:ascii="宋体" w:hAnsi="宋体" w:cs="宋体"/>
          <w:szCs w:val="21"/>
          <w:highlight w:val="none"/>
          <w:lang w:val="zh-CN" w:bidi="zh-CN"/>
        </w:rPr>
      </w:pPr>
      <w:r>
        <w:rPr>
          <w:rFonts w:ascii="宋体" w:hAnsi="宋体" w:cs="宋体"/>
          <w:szCs w:val="21"/>
          <w:highlight w:val="none"/>
          <w:lang w:val="zh-CN" w:bidi="zh-CN"/>
        </w:rPr>
        <w:t>（5）</w:t>
      </w:r>
      <w:r>
        <w:rPr>
          <w:rFonts w:hint="eastAsia" w:ascii="宋体" w:hAnsi="宋体" w:cs="宋体"/>
          <w:szCs w:val="21"/>
          <w:highlight w:val="none"/>
          <w:lang w:val="zh-CN" w:bidi="zh-CN"/>
        </w:rPr>
        <w:t>承包人提交的竣工资料的内容：</w:t>
      </w:r>
      <w:r>
        <w:rPr>
          <w:rFonts w:hint="eastAsia" w:ascii="宋体" w:hAnsi="宋体" w:cs="宋体"/>
          <w:szCs w:val="21"/>
          <w:highlight w:val="none"/>
          <w:u w:val="single"/>
          <w:lang w:val="zh-CN" w:bidi="zh-CN"/>
        </w:rPr>
        <w:t>按《广东省市政基础设施工程竣工验收技术资料统一用表》（2019版）内容，附完整的施工竣工图和其他相关文件</w:t>
      </w:r>
      <w:r>
        <w:rPr>
          <w:rFonts w:hint="eastAsia" w:ascii="宋体" w:hAnsi="宋体" w:cs="宋体"/>
          <w:szCs w:val="21"/>
          <w:highlight w:val="none"/>
          <w:lang w:val="zh-CN" w:bidi="zh-CN"/>
        </w:rPr>
        <w:t>。</w:t>
      </w:r>
    </w:p>
    <w:p>
      <w:pPr>
        <w:kinsoku w:val="0"/>
        <w:overflowPunct w:val="0"/>
        <w:spacing w:line="360" w:lineRule="auto"/>
        <w:ind w:left="212" w:right="3573" w:firstLine="420" w:firstLineChars="200"/>
        <w:jc w:val="left"/>
        <w:rPr>
          <w:rFonts w:ascii="宋体" w:hAnsi="宋体" w:cs="宋体"/>
          <w:w w:val="99"/>
          <w:szCs w:val="21"/>
          <w:highlight w:val="none"/>
          <w:lang w:val="zh-CN" w:bidi="zh-CN"/>
        </w:rPr>
      </w:pPr>
      <w:r>
        <w:rPr>
          <w:rFonts w:hint="eastAsia" w:ascii="宋体" w:hAnsi="宋体" w:cs="宋体"/>
          <w:szCs w:val="21"/>
          <w:highlight w:val="none"/>
          <w:lang w:val="zh-CN" w:bidi="zh-CN"/>
        </w:rPr>
        <w:t>承包人需要提交的竣工资料套数：</w:t>
      </w:r>
      <w:r>
        <w:rPr>
          <w:rFonts w:hint="eastAsia" w:ascii="宋体" w:hAnsi="宋体" w:cs="宋体"/>
          <w:szCs w:val="21"/>
          <w:highlight w:val="none"/>
          <w:u w:val="single"/>
          <w:lang w:val="zh-CN" w:bidi="zh-CN"/>
        </w:rPr>
        <w:t>4套</w:t>
      </w:r>
      <w:r>
        <w:rPr>
          <w:rFonts w:hint="eastAsia" w:ascii="宋体" w:hAnsi="宋体" w:cs="宋体"/>
          <w:szCs w:val="21"/>
          <w:highlight w:val="none"/>
          <w:lang w:val="zh-CN" w:bidi="zh-CN"/>
        </w:rPr>
        <w:t>。</w:t>
      </w:r>
    </w:p>
    <w:p>
      <w:pPr>
        <w:kinsoku w:val="0"/>
        <w:overflowPunct w:val="0"/>
        <w:spacing w:line="360" w:lineRule="auto"/>
        <w:ind w:left="212" w:right="3573" w:firstLine="420" w:firstLineChars="200"/>
        <w:jc w:val="left"/>
        <w:rPr>
          <w:rFonts w:ascii="宋体" w:hAnsi="宋体" w:cs="宋体"/>
          <w:szCs w:val="21"/>
          <w:highlight w:val="none"/>
          <w:lang w:val="zh-CN" w:bidi="zh-CN"/>
        </w:rPr>
      </w:pPr>
      <w:r>
        <w:rPr>
          <w:rFonts w:hint="eastAsia" w:ascii="宋体" w:hAnsi="宋体" w:cs="宋体"/>
          <w:szCs w:val="21"/>
          <w:highlight w:val="none"/>
          <w:lang w:val="zh-CN" w:bidi="zh-CN"/>
        </w:rPr>
        <w:t>承包人提交的竣工资料的费用承担：</w:t>
      </w:r>
      <w:r>
        <w:rPr>
          <w:rFonts w:hint="eastAsia" w:ascii="宋体" w:hAnsi="宋体" w:cs="宋体"/>
          <w:szCs w:val="21"/>
          <w:highlight w:val="none"/>
          <w:u w:val="single"/>
          <w:lang w:val="zh-CN" w:bidi="zh-CN"/>
        </w:rPr>
        <w:t>承包人负责</w:t>
      </w:r>
      <w:r>
        <w:rPr>
          <w:rFonts w:hint="eastAsia" w:ascii="宋体" w:hAnsi="宋体" w:cs="宋体"/>
          <w:szCs w:val="21"/>
          <w:highlight w:val="none"/>
          <w:lang w:val="zh-CN" w:bidi="zh-CN"/>
        </w:rPr>
        <w:t>。</w:t>
      </w:r>
    </w:p>
    <w:p>
      <w:pPr>
        <w:kinsoku w:val="0"/>
        <w:overflowPunct w:val="0"/>
        <w:spacing w:line="360" w:lineRule="auto"/>
        <w:ind w:left="212" w:right="44" w:firstLine="420" w:firstLineChars="200"/>
        <w:jc w:val="left"/>
        <w:rPr>
          <w:rFonts w:ascii="宋体" w:hAnsi="宋体" w:cs="宋体"/>
          <w:w w:val="99"/>
          <w:szCs w:val="21"/>
          <w:highlight w:val="none"/>
          <w:lang w:val="zh-CN" w:bidi="zh-CN"/>
        </w:rPr>
      </w:pPr>
      <w:r>
        <w:rPr>
          <w:rFonts w:hint="eastAsia" w:ascii="宋体" w:hAnsi="宋体" w:cs="宋体"/>
          <w:szCs w:val="21"/>
          <w:highlight w:val="none"/>
          <w:lang w:val="zh-CN" w:bidi="zh-CN"/>
        </w:rPr>
        <w:t>承包人提交的竣工资料移交时间：</w:t>
      </w:r>
      <w:r>
        <w:rPr>
          <w:rFonts w:hint="eastAsia" w:ascii="宋体" w:hAnsi="宋体" w:cs="宋体"/>
          <w:szCs w:val="21"/>
          <w:highlight w:val="none"/>
          <w:u w:val="single"/>
          <w:lang w:val="zh-CN" w:bidi="zh-CN"/>
        </w:rPr>
        <w:t>竣工验收合格后两个月内</w:t>
      </w:r>
      <w:r>
        <w:rPr>
          <w:rFonts w:hint="eastAsia" w:ascii="宋体" w:hAnsi="宋体" w:cs="宋体"/>
          <w:szCs w:val="21"/>
          <w:highlight w:val="none"/>
          <w:lang w:val="zh-CN" w:bidi="zh-CN"/>
        </w:rPr>
        <w:t>。</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承包人提交的竣工资料形式要求：</w:t>
      </w:r>
      <w:r>
        <w:rPr>
          <w:rFonts w:hint="eastAsia" w:ascii="宋体" w:hAnsi="宋体" w:cs="宋体"/>
          <w:szCs w:val="21"/>
          <w:highlight w:val="none"/>
          <w:u w:val="single"/>
        </w:rPr>
        <w:t>签章齐全的纸质文件装订成册和必要的电子文件。</w:t>
      </w:r>
    </w:p>
    <w:p>
      <w:pPr>
        <w:widowControl/>
        <w:spacing w:line="360" w:lineRule="auto"/>
        <w:ind w:firstLine="420"/>
        <w:jc w:val="left"/>
        <w:rPr>
          <w:rFonts w:ascii="宋体" w:hAnsi="宋体" w:cs="宋体"/>
          <w:szCs w:val="21"/>
          <w:highlight w:val="none"/>
          <w:lang w:val="zh-CN" w:bidi="zh-CN"/>
        </w:rPr>
      </w:pPr>
      <w:r>
        <w:rPr>
          <w:rFonts w:hint="eastAsia" w:ascii="宋体" w:hAnsi="宋体" w:cs="宋体"/>
          <w:szCs w:val="21"/>
          <w:highlight w:val="none"/>
          <w:lang w:bidi="zh-CN"/>
        </w:rPr>
        <w:t>本</w:t>
      </w:r>
      <w:r>
        <w:rPr>
          <w:rFonts w:hint="eastAsia" w:ascii="宋体" w:hAnsi="宋体" w:cs="宋体"/>
          <w:szCs w:val="21"/>
          <w:highlight w:val="none"/>
          <w:lang w:val="zh-CN" w:bidi="zh-CN"/>
        </w:rPr>
        <w:t>项目单独整理归档项目管理资料和验收资料，承包人承担本项目的工程档案资料收集、整理、归档及验收的全部费用。</w:t>
      </w:r>
    </w:p>
    <w:p>
      <w:pPr>
        <w:widowControl/>
        <w:spacing w:line="360" w:lineRule="auto"/>
        <w:ind w:firstLine="420"/>
        <w:jc w:val="left"/>
        <w:rPr>
          <w:rFonts w:ascii="宋体" w:hAnsi="宋体" w:cs="宋体"/>
          <w:szCs w:val="21"/>
          <w:highlight w:val="none"/>
          <w:lang w:val="zh-CN" w:bidi="zh-CN"/>
        </w:rPr>
      </w:pPr>
      <w:r>
        <w:rPr>
          <w:rFonts w:hint="eastAsia" w:ascii="宋体" w:hAnsi="宋体" w:cs="宋体"/>
          <w:szCs w:val="21"/>
          <w:highlight w:val="none"/>
          <w:lang w:val="zh-CN" w:bidi="zh-CN"/>
        </w:rPr>
        <w:t>4.1.2承包人应履行的其他义务：</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 xml:space="preserve"> 应提供计划、报表的名称及完成时间：签订合同 10 天内提供相关资料。</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承担施工安全保护工作及非夜间施工照明的责任和要求： 按有关规定在施工场地内设置安全设施及护栏、标志及灯光，确保行人、施工人员及车辆交通安全，如发生安全事故，属施工方责任的由承包人负责处理；所需费用考虑在投标报价中。如因发生工程安全事故而导致工程停工，应赔偿因此而造成发包人的经济损失。</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向发包人提供施工现场办公和生活的房屋设施的时间和要求：开工前 7 天，向发包人及监理人各提供一间不少于 20 平方米的办公室。</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 xml:space="preserve">已完工程成品保护的特殊要求及费用承担：在本工程完成并办理竣工验收前，本工程施工范围内的成品、半成品由承包人负责保护及承担相应费用。如发包人要求提前交付使用，应办理工程中间验收手续，中间验收后所发生的费用由发包人承担。 </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施工场地周围地下管线和邻近建筑物、构筑物（含文物保护建筑）、古树名木的保护要求及费用承担：承包人在施工过程中必须保护好工程施工范围内现有的建筑物、市政道路设施及有关管线，如有损坏，由承包人负责恢复及承担相关费用。在施工期间承包人必须做好保护措施，不得污染现有建（构）筑物、路面等市政设施及一切建筑</w:t>
      </w:r>
      <w:r>
        <w:rPr>
          <w:rFonts w:hint="eastAsia"/>
          <w:szCs w:val="21"/>
          <w:highlight w:val="none"/>
        </w:rPr>
        <w:t>成品。上述由承包人负责承担的费用在预算措施费中综合考虑，如</w:t>
      </w:r>
      <w:r>
        <w:rPr>
          <w:rFonts w:hint="eastAsia" w:ascii="宋体" w:hAnsi="宋体" w:cs="宋体"/>
          <w:szCs w:val="21"/>
          <w:highlight w:val="none"/>
          <w:lang w:bidi="zh-CN"/>
        </w:rPr>
        <w:t>发包人要求提前交付使用，应办理工程中间验收手续，中间验收后所发生的费用由发包人承担。</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办完施工场地交通、环境保护、施工噪声、安全文明施工等手续的时间：开工前14天。</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 xml:space="preserve">核对工程量清单的时间和要求：/。   </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双方约定承包人应做的其他工作：承包人按要求实施平安卡制度，并按平安卡制度的有关规定实施施工。</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推行银行代发工资制度，分包企业应书面委托总承包企业直接向农民工代发工资。</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承包人应落实国家和省建筑工人实名管理的要求，设置连续封闭围挡，在工地出入口设置考勤闸机，配备专职劳资管理人员，应用江门市房屋市政工程工人实名管理系统及时录入项目、工人及工资分账等信息，在项目实施过程中严格工人考勤和工资发放监管。</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承包人应与具备相应资格的运输企业、建筑废弃物处置场所签订建筑土方清运、建筑废弃物处置协议，确保运输车辆符合全密闭运输及安装卫星定位等技术要求。（依据：《广东省建设工程施工扬尘污染防治管理办法（试行）》）</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承包人在开工前应当编制施工现场扬尘控制专项方案，专项方案内容应按照《广东省建设工程施工扬尘污染防治管理办法（试行）》的要求，明确落实“六个百分百”的措施和管理制度。</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承包人应在施工现场按照《广东省建设工程施工扬尘污染防治管理办法（试行）》、《关于进一步推进我市建设施工现场扬尘在线监测和视频监控安装的通知》（江建函〔2018〕400号）的规定，安装扬尘和视频在线监控设备，并接入有关政府平台。（依据：《关于建设工程施工扬尘污染防治措施和用工实名管理费用计价有关事项的通知》（粤建标函〔2018〕106号））</w:t>
      </w:r>
    </w:p>
    <w:p>
      <w:pPr>
        <w:widowControl/>
        <w:numPr>
          <w:ilvl w:val="0"/>
          <w:numId w:val="12"/>
        </w:numPr>
        <w:spacing w:line="360" w:lineRule="auto"/>
        <w:ind w:firstLine="420" w:firstLineChars="200"/>
        <w:jc w:val="left"/>
        <w:rPr>
          <w:rFonts w:ascii="宋体" w:hAnsi="宋体" w:cs="宋体"/>
          <w:szCs w:val="21"/>
          <w:highlight w:val="none"/>
          <w:lang w:bidi="zh-CN"/>
        </w:rPr>
      </w:pPr>
      <w:r>
        <w:rPr>
          <w:rFonts w:hint="eastAsia" w:ascii="宋体" w:hAnsi="宋体" w:cs="宋体"/>
          <w:szCs w:val="21"/>
          <w:highlight w:val="none"/>
          <w:lang w:bidi="zh-CN"/>
        </w:rPr>
        <w:t>承包人应负责施工现场围挡按照《关于实施江门市房屋市政工程施工围挡改造提升工作的通知》（江建函〔2018〕902号）要求实施建设维护及公益广告发布工作。（依据：《关于建设工程施工扬尘污染防治措施和用工实名管理费用计价有关事项的通知》（粤建标函〔2018〕106号））</w:t>
      </w:r>
    </w:p>
    <w:p>
      <w:pPr>
        <w:widowControl/>
        <w:numPr>
          <w:ilvl w:val="0"/>
          <w:numId w:val="12"/>
        </w:numPr>
        <w:spacing w:line="360" w:lineRule="auto"/>
        <w:ind w:firstLine="420" w:firstLineChars="200"/>
        <w:jc w:val="left"/>
        <w:rPr>
          <w:highlight w:val="none"/>
        </w:rPr>
      </w:pPr>
      <w:r>
        <w:rPr>
          <w:rFonts w:hint="eastAsia" w:ascii="宋体" w:hAnsi="宋体" w:cs="宋体"/>
          <w:szCs w:val="21"/>
          <w:highlight w:val="none"/>
          <w:lang w:bidi="zh-CN"/>
        </w:rPr>
        <w:t>如项目需迁移或砍伐现场树木，承包人需按照《广东省城市绿化条例》、《关于进一步加强城市树木保护管理与城市绿化行政审批工作的通知》（江城管通〔2022〕54号）等相关文办理绿化审批手续，所需组织专家评审费用由承包人负责。</w:t>
      </w:r>
    </w:p>
    <w:p>
      <w:pPr>
        <w:spacing w:line="360" w:lineRule="auto"/>
        <w:ind w:firstLine="600"/>
        <w:rPr>
          <w:rFonts w:ascii="宋体" w:hAnsi="宋体" w:cs="宋体"/>
          <w:szCs w:val="21"/>
          <w:highlight w:val="none"/>
        </w:rPr>
      </w:pPr>
      <w:r>
        <w:rPr>
          <w:rFonts w:hint="eastAsia" w:ascii="宋体" w:hAnsi="宋体" w:cs="宋体"/>
          <w:szCs w:val="21"/>
          <w:highlight w:val="none"/>
        </w:rPr>
        <w:t>4.2 履约担保</w:t>
      </w:r>
    </w:p>
    <w:p>
      <w:pPr>
        <w:spacing w:line="360" w:lineRule="auto"/>
        <w:ind w:firstLine="600"/>
        <w:rPr>
          <w:rFonts w:ascii="宋体" w:hAnsi="宋体" w:cs="宋体"/>
          <w:szCs w:val="21"/>
          <w:highlight w:val="none"/>
        </w:rPr>
      </w:pPr>
      <w:r>
        <w:rPr>
          <w:rFonts w:hint="eastAsia" w:ascii="宋体" w:hAnsi="宋体" w:cs="宋体"/>
          <w:szCs w:val="21"/>
          <w:highlight w:val="none"/>
        </w:rPr>
        <w:t>承包人是否提供履约担保：</w:t>
      </w:r>
      <w:r>
        <w:rPr>
          <w:rFonts w:hint="eastAsia" w:cs="宋体"/>
          <w:szCs w:val="21"/>
          <w:highlight w:val="none"/>
          <w:u w:val="single"/>
        </w:rPr>
        <w:t>是</w:t>
      </w:r>
      <w:r>
        <w:rPr>
          <w:rFonts w:hint="eastAsia" w:ascii="宋体" w:hAnsi="宋体" w:cs="宋体"/>
          <w:szCs w:val="21"/>
          <w:highlight w:val="none"/>
        </w:rPr>
        <w:t>。</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履约担保的形式：银行转账、银行保函或工程保证保险。</w:t>
      </w:r>
    </w:p>
    <w:p>
      <w:pPr>
        <w:spacing w:line="360" w:lineRule="auto"/>
        <w:ind w:firstLine="600"/>
        <w:rPr>
          <w:rFonts w:ascii="宋体" w:hAnsi="宋体" w:cs="宋体"/>
          <w:szCs w:val="21"/>
          <w:highlight w:val="none"/>
        </w:rPr>
      </w:pPr>
      <w:r>
        <w:rPr>
          <w:rFonts w:hint="eastAsia" w:ascii="宋体" w:hAnsi="宋体" w:cs="宋体"/>
          <w:szCs w:val="21"/>
          <w:highlight w:val="none"/>
          <w:u w:val="single"/>
        </w:rPr>
        <w:t xml:space="preserve">履约担保的金额：建安工程费合同价的5%。银行保函必须为中国境内的中国银行、建设银行、工商银行、农业银行或江门市行政区域内具有办理保函业务资格的其他商业银行提供。保证保险具体按照《关于在全市房屋建筑和市政基础设施工程开展建设工程保证保险有关工作的通知》（江建函〔2018〕1343 号）的要求执行 </w:t>
      </w:r>
      <w:r>
        <w:rPr>
          <w:rFonts w:hint="eastAsia" w:ascii="宋体" w:hAnsi="宋体" w:cs="宋体"/>
          <w:szCs w:val="21"/>
          <w:highlight w:val="none"/>
        </w:rPr>
        <w:t>。</w:t>
      </w:r>
    </w:p>
    <w:p>
      <w:pPr>
        <w:kinsoku w:val="0"/>
        <w:overflowPunct w:val="0"/>
        <w:spacing w:line="360" w:lineRule="auto"/>
        <w:ind w:left="97" w:leftChars="46" w:firstLine="422" w:firstLineChars="200"/>
        <w:jc w:val="left"/>
        <w:rPr>
          <w:rFonts w:ascii="宋体" w:hAnsi="宋体" w:cs="宋体"/>
          <w:b/>
          <w:bCs/>
          <w:szCs w:val="21"/>
          <w:highlight w:val="none"/>
          <w:lang w:val="zh-CN" w:bidi="zh-CN"/>
        </w:rPr>
      </w:pPr>
      <w:r>
        <w:rPr>
          <w:rFonts w:hint="eastAsia" w:ascii="宋体" w:hAnsi="宋体" w:cs="宋体"/>
          <w:b/>
          <w:bCs/>
          <w:szCs w:val="21"/>
          <w:highlight w:val="none"/>
          <w:lang w:val="zh-CN" w:bidi="zh-CN"/>
        </w:rPr>
        <w:t>①采用银行转帐的：</w:t>
      </w:r>
    </w:p>
    <w:p>
      <w:pPr>
        <w:kinsoku w:val="0"/>
        <w:overflowPunct w:val="0"/>
        <w:spacing w:line="360" w:lineRule="auto"/>
        <w:ind w:left="97" w:leftChars="46" w:firstLine="422" w:firstLineChars="200"/>
        <w:jc w:val="left"/>
        <w:rPr>
          <w:rFonts w:ascii="宋体" w:hAnsi="宋体" w:cs="宋体"/>
          <w:b/>
          <w:bCs/>
          <w:szCs w:val="21"/>
          <w:highlight w:val="none"/>
          <w:lang w:bidi="zh-CN"/>
        </w:rPr>
      </w:pPr>
      <w:r>
        <w:rPr>
          <w:rFonts w:hint="eastAsia" w:ascii="宋体" w:hAnsi="宋体" w:cs="宋体"/>
          <w:b/>
          <w:bCs/>
          <w:szCs w:val="21"/>
          <w:highlight w:val="none"/>
          <w:lang w:val="zh-CN" w:bidi="zh-CN"/>
        </w:rPr>
        <w:t>开户银行：</w:t>
      </w:r>
      <w:r>
        <w:rPr>
          <w:rFonts w:hint="eastAsia" w:ascii="宋体" w:hAnsi="宋体" w:cs="宋体"/>
          <w:b/>
          <w:bCs/>
          <w:szCs w:val="21"/>
          <w:highlight w:val="none"/>
          <w:lang w:bidi="zh-CN"/>
        </w:rPr>
        <w:t xml:space="preserve"> </w:t>
      </w:r>
    </w:p>
    <w:p>
      <w:pPr>
        <w:kinsoku w:val="0"/>
        <w:overflowPunct w:val="0"/>
        <w:spacing w:line="360" w:lineRule="auto"/>
        <w:ind w:left="97" w:leftChars="46" w:firstLine="422" w:firstLineChars="200"/>
        <w:jc w:val="left"/>
        <w:rPr>
          <w:rFonts w:ascii="宋体" w:hAnsi="宋体" w:cs="宋体"/>
          <w:b/>
          <w:bCs/>
          <w:szCs w:val="21"/>
          <w:highlight w:val="none"/>
          <w:lang w:val="zh-CN" w:bidi="zh-CN"/>
        </w:rPr>
      </w:pPr>
      <w:r>
        <w:rPr>
          <w:rFonts w:hint="eastAsia" w:ascii="宋体" w:hAnsi="宋体" w:cs="宋体"/>
          <w:b/>
          <w:bCs/>
          <w:szCs w:val="21"/>
          <w:highlight w:val="none"/>
          <w:lang w:val="zh-CN" w:bidi="zh-CN"/>
        </w:rPr>
        <w:t>账    户：</w:t>
      </w:r>
      <w:r>
        <w:rPr>
          <w:rFonts w:hint="eastAsia" w:ascii="宋体" w:hAnsi="宋体" w:cs="宋体"/>
          <w:b/>
          <w:bCs/>
          <w:szCs w:val="21"/>
          <w:highlight w:val="none"/>
          <w:lang w:bidi="zh-CN"/>
        </w:rPr>
        <w:t xml:space="preserve"> </w:t>
      </w:r>
    </w:p>
    <w:p>
      <w:pPr>
        <w:kinsoku w:val="0"/>
        <w:overflowPunct w:val="0"/>
        <w:spacing w:line="360" w:lineRule="auto"/>
        <w:ind w:left="97" w:leftChars="46" w:firstLine="422" w:firstLineChars="200"/>
        <w:jc w:val="left"/>
        <w:rPr>
          <w:rFonts w:ascii="宋体" w:hAnsi="宋体" w:cs="宋体"/>
          <w:b/>
          <w:bCs/>
          <w:szCs w:val="21"/>
          <w:highlight w:val="none"/>
          <w:lang w:val="zh-CN" w:bidi="zh-CN"/>
        </w:rPr>
      </w:pPr>
      <w:r>
        <w:rPr>
          <w:rFonts w:hint="eastAsia" w:ascii="宋体" w:hAnsi="宋体" w:cs="宋体"/>
          <w:b/>
          <w:bCs/>
          <w:szCs w:val="21"/>
          <w:highlight w:val="none"/>
          <w:lang w:val="zh-CN" w:bidi="zh-CN"/>
        </w:rPr>
        <w:t xml:space="preserve">账    号： </w:t>
      </w:r>
    </w:p>
    <w:p>
      <w:pPr>
        <w:kinsoku w:val="0"/>
        <w:overflowPunct w:val="0"/>
        <w:spacing w:line="360" w:lineRule="auto"/>
        <w:ind w:left="97" w:leftChars="46" w:firstLine="422" w:firstLineChars="200"/>
        <w:jc w:val="left"/>
        <w:rPr>
          <w:rFonts w:ascii="宋体" w:hAnsi="宋体" w:cs="宋体"/>
          <w:b/>
          <w:bCs/>
          <w:szCs w:val="21"/>
          <w:highlight w:val="none"/>
          <w:lang w:val="zh-CN" w:bidi="zh-CN"/>
        </w:rPr>
      </w:pPr>
      <w:r>
        <w:rPr>
          <w:rFonts w:hint="eastAsia" w:ascii="宋体" w:hAnsi="宋体" w:cs="宋体"/>
          <w:b/>
          <w:bCs/>
          <w:szCs w:val="21"/>
          <w:highlight w:val="none"/>
          <w:lang w:val="zh-CN" w:bidi="zh-CN"/>
        </w:rPr>
        <w:t>②采用银行保函的：银行保函必须为广东省内的中国银行、建设银行、工商银行、农业银行或江门市行政区域内具有办理保函业务资格的其他商业银行提供。</w:t>
      </w:r>
    </w:p>
    <w:p>
      <w:pPr>
        <w:kinsoku w:val="0"/>
        <w:overflowPunct w:val="0"/>
        <w:spacing w:line="360" w:lineRule="auto"/>
        <w:ind w:left="97" w:leftChars="46" w:firstLine="422" w:firstLineChars="200"/>
        <w:jc w:val="left"/>
        <w:rPr>
          <w:rFonts w:ascii="宋体" w:hAnsi="宋体" w:cs="宋体"/>
          <w:b/>
          <w:bCs/>
          <w:szCs w:val="21"/>
          <w:highlight w:val="none"/>
          <w:lang w:val="zh-CN" w:bidi="zh-CN"/>
        </w:rPr>
      </w:pPr>
      <w:r>
        <w:rPr>
          <w:rFonts w:hint="eastAsia" w:ascii="宋体" w:hAnsi="宋体" w:cs="宋体"/>
          <w:b/>
          <w:bCs/>
          <w:szCs w:val="21"/>
          <w:highlight w:val="none"/>
          <w:lang w:val="zh-CN" w:bidi="zh-CN"/>
        </w:rPr>
        <w:t>③采用工程保证保险的，具体要求按《关于在全市房屋建筑和市政基础设施工程开展建设工程保证保险有关工作的通知（联合发文）（江建函【2018】1343）》的通知执行。</w:t>
      </w:r>
    </w:p>
    <w:p>
      <w:pPr>
        <w:spacing w:line="360" w:lineRule="auto"/>
        <w:jc w:val="left"/>
        <w:rPr>
          <w:rFonts w:ascii="宋体" w:hAnsi="宋体" w:cs="宋体"/>
          <w:szCs w:val="21"/>
          <w:highlight w:val="none"/>
          <w:u w:val="single"/>
        </w:rPr>
      </w:pPr>
      <w:r>
        <w:rPr>
          <w:rFonts w:hint="eastAsia" w:ascii="宋体" w:hAnsi="宋体" w:cs="宋体"/>
          <w:szCs w:val="21"/>
          <w:highlight w:val="none"/>
        </w:rPr>
        <w:t>履约担保的金额：（大写）</w:t>
      </w:r>
    </w:p>
    <w:p>
      <w:pPr>
        <w:spacing w:line="360" w:lineRule="auto"/>
        <w:ind w:firstLine="1680" w:firstLineChars="800"/>
        <w:jc w:val="left"/>
        <w:rPr>
          <w:rFonts w:ascii="宋体" w:hAnsi="宋体" w:cs="宋体"/>
          <w:szCs w:val="21"/>
          <w:highlight w:val="none"/>
        </w:rPr>
      </w:pPr>
      <w:r>
        <w:rPr>
          <w:rFonts w:hint="eastAsia" w:ascii="宋体" w:hAnsi="宋体" w:cs="宋体"/>
          <w:szCs w:val="21"/>
          <w:highlight w:val="none"/>
        </w:rPr>
        <w:t>（小写）</w:t>
      </w:r>
    </w:p>
    <w:p>
      <w:pPr>
        <w:spacing w:line="360" w:lineRule="auto"/>
        <w:jc w:val="left"/>
        <w:rPr>
          <w:rFonts w:ascii="宋体" w:hAnsi="宋体" w:cs="宋体"/>
          <w:szCs w:val="21"/>
          <w:highlight w:val="none"/>
        </w:rPr>
      </w:pPr>
      <w:r>
        <w:rPr>
          <w:rFonts w:hint="eastAsia" w:ascii="宋体" w:hAnsi="宋体" w:cs="宋体"/>
          <w:szCs w:val="21"/>
          <w:highlight w:val="none"/>
        </w:rPr>
        <w:t>提供履约担保的时间：</w:t>
      </w:r>
      <w:r>
        <w:rPr>
          <w:rFonts w:hint="eastAsia" w:ascii="宋体" w:hAnsi="宋体" w:cs="宋体"/>
          <w:szCs w:val="21"/>
          <w:highlight w:val="none"/>
          <w:u w:val="single"/>
        </w:rPr>
        <w:t>在签订合同前。</w:t>
      </w:r>
    </w:p>
    <w:p>
      <w:pPr>
        <w:spacing w:line="360" w:lineRule="auto"/>
        <w:jc w:val="left"/>
        <w:rPr>
          <w:rFonts w:ascii="宋体" w:hAnsi="宋体" w:cs="宋体"/>
          <w:szCs w:val="21"/>
          <w:highlight w:val="none"/>
        </w:rPr>
      </w:pPr>
      <w:r>
        <w:rPr>
          <w:rFonts w:hint="eastAsia" w:ascii="宋体" w:hAnsi="宋体" w:cs="宋体"/>
          <w:szCs w:val="21"/>
          <w:highlight w:val="none"/>
        </w:rPr>
        <w:t>履约担保退还时间的约定：</w:t>
      </w:r>
      <w:r>
        <w:rPr>
          <w:rFonts w:hint="eastAsia" w:ascii="宋体" w:hAnsi="宋体" w:cs="宋体"/>
          <w:szCs w:val="21"/>
          <w:highlight w:val="none"/>
          <w:u w:val="single"/>
        </w:rPr>
        <w:t>竣工验收合格后（且无违约记录）30天内，由承包人提出申请，经发包人审批后办理退回履约保证金手续</w:t>
      </w:r>
      <w:r>
        <w:rPr>
          <w:rFonts w:hint="eastAsia" w:ascii="宋体" w:hAnsi="宋体" w:cs="宋体"/>
          <w:szCs w:val="21"/>
          <w:highlight w:val="none"/>
        </w:rPr>
        <w:t>。</w:t>
      </w:r>
    </w:p>
    <w:p>
      <w:pPr>
        <w:spacing w:line="360" w:lineRule="auto"/>
        <w:jc w:val="left"/>
        <w:rPr>
          <w:highlight w:val="none"/>
        </w:rPr>
      </w:pPr>
      <w:r>
        <w:rPr>
          <w:rFonts w:hint="eastAsia" w:ascii="宋体" w:hAnsi="宋体" w:cs="宋体"/>
          <w:szCs w:val="21"/>
          <w:highlight w:val="none"/>
        </w:rPr>
        <w:t>保证保险担保退还时间的约定：</w:t>
      </w:r>
      <w:r>
        <w:rPr>
          <w:rFonts w:hint="eastAsia" w:ascii="宋体" w:hAnsi="宋体" w:cs="宋体"/>
          <w:szCs w:val="21"/>
          <w:highlight w:val="none"/>
          <w:u w:val="single"/>
        </w:rPr>
        <w:t>竣工验收合格后（且无违约记录）30天内，由承包人提出申请，经发包人审批后办理退回履约保证金手续</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4.3 工程总承包项目经理</w:t>
      </w:r>
    </w:p>
    <w:p>
      <w:pPr>
        <w:spacing w:line="360" w:lineRule="auto"/>
        <w:ind w:firstLine="600"/>
        <w:rPr>
          <w:rFonts w:ascii="宋体" w:hAnsi="宋体" w:cs="宋体"/>
          <w:szCs w:val="21"/>
          <w:highlight w:val="none"/>
        </w:rPr>
      </w:pPr>
      <w:r>
        <w:rPr>
          <w:rFonts w:hint="eastAsia" w:ascii="宋体" w:hAnsi="宋体" w:cs="宋体"/>
          <w:szCs w:val="21"/>
          <w:highlight w:val="none"/>
        </w:rPr>
        <w:t>4.3.1 工程总承包项目经理姓名：；</w:t>
      </w:r>
    </w:p>
    <w:p>
      <w:pPr>
        <w:spacing w:line="360" w:lineRule="auto"/>
        <w:ind w:firstLine="600"/>
        <w:rPr>
          <w:rFonts w:ascii="宋体" w:hAnsi="宋体" w:cs="宋体"/>
          <w:szCs w:val="21"/>
          <w:highlight w:val="none"/>
        </w:rPr>
      </w:pPr>
      <w:r>
        <w:rPr>
          <w:rFonts w:hint="eastAsia" w:ascii="宋体" w:hAnsi="宋体" w:cs="宋体"/>
          <w:szCs w:val="21"/>
          <w:highlight w:val="none"/>
        </w:rPr>
        <w:t>执业资格或职称类型：；</w:t>
      </w:r>
    </w:p>
    <w:p>
      <w:pPr>
        <w:spacing w:line="360" w:lineRule="auto"/>
        <w:ind w:firstLine="600"/>
        <w:rPr>
          <w:rFonts w:ascii="宋体" w:hAnsi="宋体" w:cs="宋体"/>
          <w:szCs w:val="21"/>
          <w:highlight w:val="none"/>
        </w:rPr>
      </w:pPr>
      <w:r>
        <w:rPr>
          <w:rFonts w:hint="eastAsia" w:ascii="宋体" w:hAnsi="宋体" w:cs="宋体"/>
          <w:szCs w:val="21"/>
          <w:highlight w:val="none"/>
        </w:rPr>
        <w:t>执业资格证或职称证号码：；</w:t>
      </w:r>
    </w:p>
    <w:p>
      <w:pPr>
        <w:spacing w:line="360" w:lineRule="auto"/>
        <w:ind w:firstLine="600"/>
        <w:rPr>
          <w:rFonts w:ascii="宋体" w:hAnsi="宋体" w:cs="宋体"/>
          <w:szCs w:val="21"/>
          <w:highlight w:val="none"/>
        </w:rPr>
      </w:pPr>
      <w:r>
        <w:rPr>
          <w:rFonts w:hint="eastAsia" w:ascii="宋体" w:hAnsi="宋体" w:cs="宋体"/>
          <w:szCs w:val="21"/>
          <w:highlight w:val="none"/>
        </w:rPr>
        <w:t>联系电话：；</w:t>
      </w:r>
    </w:p>
    <w:p>
      <w:pPr>
        <w:spacing w:line="360" w:lineRule="auto"/>
        <w:ind w:firstLine="600"/>
        <w:rPr>
          <w:rFonts w:ascii="宋体" w:hAnsi="宋体" w:cs="宋体"/>
          <w:szCs w:val="21"/>
          <w:highlight w:val="none"/>
        </w:rPr>
      </w:pPr>
      <w:r>
        <w:rPr>
          <w:rFonts w:hint="eastAsia" w:ascii="宋体" w:hAnsi="宋体" w:cs="宋体"/>
          <w:szCs w:val="21"/>
          <w:highlight w:val="none"/>
        </w:rPr>
        <w:t>电子邮箱：；</w:t>
      </w:r>
    </w:p>
    <w:p>
      <w:pPr>
        <w:spacing w:line="360" w:lineRule="auto"/>
        <w:ind w:firstLine="600"/>
        <w:rPr>
          <w:rFonts w:ascii="宋体" w:hAnsi="宋体" w:cs="宋体"/>
          <w:szCs w:val="21"/>
          <w:highlight w:val="none"/>
        </w:rPr>
      </w:pPr>
      <w:r>
        <w:rPr>
          <w:rFonts w:hint="eastAsia" w:ascii="宋体" w:hAnsi="宋体" w:cs="宋体"/>
          <w:szCs w:val="21"/>
          <w:highlight w:val="none"/>
        </w:rPr>
        <w:t>通信地址：。</w:t>
      </w:r>
    </w:p>
    <w:p>
      <w:pPr>
        <w:spacing w:line="360" w:lineRule="auto"/>
        <w:ind w:firstLine="600"/>
        <w:rPr>
          <w:rFonts w:ascii="宋体" w:hAnsi="宋体" w:cs="宋体"/>
          <w:szCs w:val="21"/>
          <w:highlight w:val="none"/>
        </w:rPr>
      </w:pPr>
      <w:r>
        <w:rPr>
          <w:rFonts w:hint="eastAsia" w:ascii="宋体" w:hAnsi="宋体" w:cs="宋体"/>
          <w:szCs w:val="21"/>
          <w:highlight w:val="none"/>
        </w:rPr>
        <w:t>承包人未提交劳动合同，以及没有为工程总承包项目经理缴纳社会保险证明的违约责任：</w:t>
      </w:r>
      <w:r>
        <w:rPr>
          <w:rFonts w:hint="eastAsia" w:cs="宋体"/>
          <w:szCs w:val="21"/>
          <w:highlight w:val="none"/>
          <w:u w:val="single"/>
        </w:rPr>
        <w:t>/</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4.3.2 工程总承包项目经理每月在现场的时间要求：</w:t>
      </w:r>
      <w:r>
        <w:rPr>
          <w:rFonts w:hint="eastAsia" w:ascii="宋体" w:hAnsi="宋体" w:cs="宋体"/>
          <w:szCs w:val="21"/>
          <w:highlight w:val="none"/>
          <w:u w:val="single"/>
        </w:rPr>
        <w:t xml:space="preserve"> 项目经理负责工程项目施工全过程及整个施工现场承担全面管理的责任和义务。项目经理必须保证每月 25 天以上驻工地现场</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工程总承包项目经理未经批准擅自离开施工现场的违约责任：</w:t>
      </w:r>
      <w:r>
        <w:rPr>
          <w:rFonts w:hint="eastAsia" w:ascii="宋体" w:hAnsi="宋体" w:cs="宋体"/>
          <w:szCs w:val="21"/>
          <w:highlight w:val="none"/>
          <w:u w:val="single"/>
        </w:rPr>
        <w:t xml:space="preserve"> 项目经理未经批准，无正当理由离开施工现场的，每次扣除 </w:t>
      </w:r>
      <w:r>
        <w:rPr>
          <w:rFonts w:ascii="宋体" w:hAnsi="宋体" w:cs="宋体"/>
          <w:szCs w:val="21"/>
          <w:highlight w:val="none"/>
          <w:u w:val="single"/>
        </w:rPr>
        <w:t>5</w:t>
      </w:r>
      <w:r>
        <w:rPr>
          <w:rFonts w:hint="eastAsia" w:ascii="宋体" w:hAnsi="宋体" w:cs="宋体"/>
          <w:szCs w:val="21"/>
          <w:highlight w:val="none"/>
          <w:u w:val="single"/>
        </w:rPr>
        <w:t xml:space="preserve">000 元违约金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4.3.3 承包人对工程总承包项目经理的授权范围:</w:t>
      </w:r>
      <w:r>
        <w:rPr>
          <w:rFonts w:hint="eastAsia" w:ascii="宋体" w:hAnsi="宋体" w:cs="宋体"/>
          <w:szCs w:val="21"/>
          <w:highlight w:val="none"/>
          <w:u w:val="single"/>
        </w:rPr>
        <w:t xml:space="preserve">   按通用合同条款执行  </w:t>
      </w:r>
      <w:r>
        <w:rPr>
          <w:rFonts w:hint="eastAsia" w:ascii="宋体" w:hAnsi="宋体" w:cs="宋体"/>
          <w:szCs w:val="21"/>
          <w:highlight w:val="none"/>
        </w:rPr>
        <w:t>。</w:t>
      </w:r>
    </w:p>
    <w:p>
      <w:pPr>
        <w:spacing w:line="360" w:lineRule="auto"/>
        <w:ind w:firstLine="600"/>
        <w:rPr>
          <w:rFonts w:ascii="宋体" w:hAnsi="宋体" w:cs="宋体"/>
          <w:szCs w:val="21"/>
          <w:highlight w:val="none"/>
          <w:u w:val="single"/>
        </w:rPr>
      </w:pPr>
      <w:r>
        <w:rPr>
          <w:rFonts w:hint="eastAsia" w:ascii="宋体" w:hAnsi="宋体" w:cs="宋体"/>
          <w:szCs w:val="21"/>
          <w:highlight w:val="none"/>
        </w:rPr>
        <w:t>4.3.4 承包人擅自更换工程总承包项目经理的违约责任：</w:t>
      </w:r>
      <w:r>
        <w:rPr>
          <w:rFonts w:hint="eastAsia" w:ascii="宋体" w:hAnsi="宋体" w:cs="宋体"/>
          <w:szCs w:val="21"/>
          <w:highlight w:val="none"/>
          <w:u w:val="single"/>
        </w:rPr>
        <w:t>承包人在投标时指定的项目经理，在工程交付使用前一般不得调整，确需调整的应经发包人同意才可调整，且调整后的人员须满足原招标文件要求及投标文件得分标准；每次调整均按5 万元/次的标准扣除违约金，并执行粤建市（2009）8 号文件，按规定办理有关手续；如人员更换属下列原因的，可免予处违约金：（1）重病或重伤（持有县、区以上医院证明）两个月以上不能履行职责；（2）因违法被责令停止执业的；（3）因犯罪被羁押或判刑的；（4）死亡。</w:t>
      </w:r>
    </w:p>
    <w:p>
      <w:pPr>
        <w:spacing w:line="360" w:lineRule="auto"/>
        <w:ind w:firstLine="630" w:firstLineChars="300"/>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如承包人需要更换工程总承包项目经理的，需达到以下条款之一，且经发包人同意，承包人才能对项目经理进行变更：</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)发包人与工程总承包项目经理受聘企业已解除承包合同的</w:t>
      </w:r>
      <w:r>
        <w:rPr>
          <w:rFonts w:ascii="宋体" w:hAnsi="宋体" w:cs="宋体"/>
          <w:szCs w:val="21"/>
          <w:highlight w:val="none"/>
        </w:rPr>
        <w:t>（</w:t>
      </w:r>
      <w:r>
        <w:rPr>
          <w:rFonts w:hint="eastAsia" w:ascii="宋体" w:hAnsi="宋体" w:cs="宋体"/>
          <w:szCs w:val="21"/>
          <w:highlight w:val="none"/>
        </w:rPr>
        <w:t>需提供相关证明材料原件</w:t>
      </w:r>
      <w:r>
        <w:rPr>
          <w:rFonts w:ascii="宋体" w:hAnsi="宋体" w:cs="宋体"/>
          <w:szCs w:val="21"/>
          <w:highlight w:val="none"/>
        </w:rPr>
        <w:t>）</w:t>
      </w:r>
      <w:r>
        <w:rPr>
          <w:rFonts w:hint="eastAsia" w:ascii="宋体" w:hAnsi="宋体" w:cs="宋体"/>
          <w:szCs w:val="21"/>
          <w:highlight w:val="none"/>
        </w:rPr>
        <w:t>；</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)因工作调动、辞职或被单位除名，且已解除劳动合同的(需提供相关证明材料原件。因工作调动调离原单位的，还须完成新注册单位名称变更登记)；</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)确因身体健康原因无法履行职责的(需提供地级市以上医院证明原件)；</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)被依法撤销注册或吊销符合本项目资格证书不能履行职责的；</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)受限制进入建筑市场等行政处罚，或者被依法采取强制措施的；</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6</w:t>
      </w:r>
      <w:r>
        <w:rPr>
          <w:rFonts w:hint="eastAsia" w:ascii="宋体" w:hAnsi="宋体" w:cs="宋体"/>
          <w:szCs w:val="21"/>
          <w:highlight w:val="none"/>
        </w:rPr>
        <w:t>)因不可抗力等特殊情况必须更换工程总承包项目经理的。</w:t>
      </w:r>
    </w:p>
    <w:p>
      <w:pPr>
        <w:spacing w:line="360" w:lineRule="auto"/>
        <w:ind w:firstLine="600"/>
        <w:rPr>
          <w:rFonts w:ascii="宋体" w:hAnsi="宋体" w:cs="宋体"/>
          <w:szCs w:val="21"/>
          <w:highlight w:val="none"/>
        </w:rPr>
      </w:pPr>
      <w:r>
        <w:rPr>
          <w:rFonts w:hint="eastAsia" w:ascii="宋体" w:hAnsi="宋体" w:cs="宋体"/>
          <w:szCs w:val="21"/>
          <w:highlight w:val="none"/>
        </w:rPr>
        <w:t>4.3.</w:t>
      </w:r>
      <w:r>
        <w:rPr>
          <w:rFonts w:ascii="宋体" w:hAnsi="宋体" w:cs="宋体"/>
          <w:szCs w:val="21"/>
          <w:highlight w:val="none"/>
        </w:rPr>
        <w:t>6</w:t>
      </w:r>
      <w:r>
        <w:rPr>
          <w:rFonts w:hint="eastAsia" w:ascii="宋体" w:hAnsi="宋体" w:cs="宋体"/>
          <w:szCs w:val="21"/>
          <w:highlight w:val="none"/>
        </w:rPr>
        <w:t>承包人无正当理由拒绝更换工程总承包项目经理的违约责任:</w:t>
      </w:r>
      <w:r>
        <w:rPr>
          <w:rFonts w:hint="eastAsia" w:ascii="宋体" w:hAnsi="宋体" w:cs="宋体"/>
          <w:szCs w:val="21"/>
          <w:highlight w:val="none"/>
          <w:u w:val="single"/>
        </w:rPr>
        <w:t xml:space="preserve"> 发包人有权单方面终止合同，由此产生的责任和损失均由承包人负责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4.4 承包人人员</w:t>
      </w:r>
    </w:p>
    <w:p>
      <w:pPr>
        <w:spacing w:line="360" w:lineRule="auto"/>
        <w:ind w:firstLine="600"/>
        <w:rPr>
          <w:rFonts w:ascii="宋体" w:hAnsi="宋体" w:cs="宋体"/>
          <w:szCs w:val="21"/>
          <w:highlight w:val="none"/>
        </w:rPr>
      </w:pPr>
      <w:r>
        <w:rPr>
          <w:rFonts w:hint="eastAsia" w:ascii="宋体" w:hAnsi="宋体" w:cs="宋体"/>
          <w:szCs w:val="21"/>
          <w:highlight w:val="none"/>
        </w:rPr>
        <w:t>4.4.1 人员安排</w:t>
      </w:r>
    </w:p>
    <w:p>
      <w:pPr>
        <w:spacing w:line="360" w:lineRule="auto"/>
        <w:ind w:firstLine="600"/>
        <w:rPr>
          <w:rFonts w:ascii="宋体" w:hAnsi="宋体" w:cs="宋体"/>
          <w:szCs w:val="21"/>
          <w:highlight w:val="none"/>
        </w:rPr>
      </w:pPr>
      <w:r>
        <w:rPr>
          <w:rFonts w:hint="eastAsia" w:ascii="宋体" w:hAnsi="宋体" w:cs="宋体"/>
          <w:szCs w:val="21"/>
          <w:highlight w:val="none"/>
        </w:rPr>
        <w:t>（1）承包人人员在承包人进场 7 个日历天内必须全部到位，并接受总监理工程师和发包人代表的查验。承包人委派的现场施工管理人员不得有兼职情况存在，并需接受监理单位的监督。承包人人员确须变更的，须经发包人同意。</w:t>
      </w:r>
    </w:p>
    <w:p>
      <w:pPr>
        <w:spacing w:line="360" w:lineRule="auto"/>
        <w:ind w:firstLine="600"/>
        <w:rPr>
          <w:rFonts w:ascii="宋体" w:hAnsi="宋体" w:cs="宋体"/>
          <w:szCs w:val="21"/>
          <w:highlight w:val="none"/>
        </w:rPr>
      </w:pPr>
      <w:r>
        <w:rPr>
          <w:rFonts w:hint="eastAsia" w:ascii="宋体" w:hAnsi="宋体" w:cs="宋体"/>
          <w:szCs w:val="21"/>
          <w:highlight w:val="none"/>
        </w:rPr>
        <w:t>（2）施工负责人及其他关键人员应长驻工地，并配胸卡、戴安全帽上岗。</w:t>
      </w:r>
    </w:p>
    <w:p>
      <w:pPr>
        <w:spacing w:line="360" w:lineRule="auto"/>
        <w:ind w:firstLine="600"/>
        <w:rPr>
          <w:rFonts w:ascii="宋体" w:hAnsi="宋体" w:cs="宋体"/>
          <w:szCs w:val="21"/>
          <w:highlight w:val="none"/>
        </w:rPr>
      </w:pPr>
      <w:r>
        <w:rPr>
          <w:rFonts w:hint="eastAsia" w:ascii="宋体" w:hAnsi="宋体" w:cs="宋体"/>
          <w:szCs w:val="21"/>
          <w:highlight w:val="none"/>
        </w:rPr>
        <w:t>（3）设计负责人必须是投标时承诺的人员。项目建设期间承包人应派遣设计代表，及时处理工地问题，提供全面细致的后期服务（后期服务工作所需费用包含在合同价款中，发包人不另行支付 ）。</w:t>
      </w:r>
    </w:p>
    <w:p>
      <w:pPr>
        <w:spacing w:line="360" w:lineRule="auto"/>
        <w:ind w:firstLine="600"/>
        <w:rPr>
          <w:rFonts w:ascii="宋体" w:hAnsi="宋体" w:cs="宋体"/>
          <w:szCs w:val="21"/>
          <w:highlight w:val="none"/>
        </w:rPr>
      </w:pPr>
      <w:r>
        <w:rPr>
          <w:rFonts w:hint="eastAsia" w:ascii="宋体" w:hAnsi="宋体" w:cs="宋体"/>
          <w:szCs w:val="21"/>
          <w:highlight w:val="none"/>
        </w:rPr>
        <w:t>（4）施工负责人等投标承诺关键人员必须驻工地现场。</w:t>
      </w:r>
    </w:p>
    <w:p>
      <w:pPr>
        <w:spacing w:line="360" w:lineRule="auto"/>
        <w:ind w:firstLine="600"/>
        <w:rPr>
          <w:rFonts w:ascii="宋体" w:hAnsi="宋体" w:cs="宋体"/>
          <w:szCs w:val="21"/>
          <w:highlight w:val="none"/>
        </w:rPr>
      </w:pPr>
      <w:r>
        <w:rPr>
          <w:rFonts w:hint="eastAsia" w:ascii="宋体" w:hAnsi="宋体" w:cs="宋体"/>
          <w:szCs w:val="21"/>
          <w:highlight w:val="none"/>
        </w:rPr>
        <w:t>（5）按照承包人投标书或月（半月）进度计划承诺用于本工程的施工人员，以不影响施工进度及质量为原</w:t>
      </w:r>
      <w:r>
        <w:rPr>
          <w:rFonts w:hint="eastAsia" w:ascii="宋体" w:hAnsi="宋体" w:cs="宋体"/>
          <w:szCs w:val="21"/>
          <w:highlight w:val="none"/>
          <w:u w:val="single"/>
        </w:rPr>
        <w:t>则按承诺的人员及时进场，若未经监理人同意而擅自减少、调离施工人员并经监理人书面通知后 1 天内仍未到位的，承包人承担违约金，按</w:t>
      </w:r>
      <w:r>
        <w:rPr>
          <w:rFonts w:ascii="宋体" w:hAnsi="宋体" w:cs="宋体"/>
          <w:szCs w:val="21"/>
          <w:highlight w:val="none"/>
          <w:u w:val="single"/>
        </w:rPr>
        <w:t>2</w:t>
      </w:r>
      <w:r>
        <w:rPr>
          <w:rFonts w:hint="eastAsia" w:ascii="宋体" w:hAnsi="宋体" w:cs="宋体"/>
          <w:szCs w:val="21"/>
          <w:highlight w:val="none"/>
          <w:u w:val="single"/>
        </w:rPr>
        <w:t>000 元/天扣除。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承包人提交项目管理机构及施工现场人员安排的报告的期限：</w:t>
      </w:r>
      <w:r>
        <w:rPr>
          <w:rFonts w:hint="eastAsia" w:ascii="宋体" w:hAnsi="宋体" w:cs="宋体"/>
          <w:szCs w:val="21"/>
          <w:highlight w:val="none"/>
          <w:u w:val="single"/>
        </w:rPr>
        <w:t xml:space="preserve"> 承包人根据设计任务建立项目组，须按投标文件中列明的相关人员报送设计负责人（根据项目类型具体指本合同中的设计负责人）、各专业设计负责人、其他参与设计工作的人员姓名、年龄、学历、专业、职称、职务、相关经历和主要技术成果以及在本项目中负责的设计任务等资料。承包人应进场 7 个日历天内提供进场一星期内提供人员、材料、机械设备进场计划表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承包人提交关键人员信息及注册执业资格等证明其具备担任关键人员能力的相关文件的期限：</w:t>
      </w:r>
      <w:r>
        <w:rPr>
          <w:rFonts w:hint="eastAsia" w:cs="宋体"/>
          <w:szCs w:val="21"/>
          <w:highlight w:val="none"/>
          <w:u w:val="single"/>
        </w:rPr>
        <w:t>开工前</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4.4.2 关键人员更换（</w:t>
      </w:r>
      <w:r>
        <w:rPr>
          <w:rFonts w:hint="eastAsia" w:ascii="宋体" w:hAnsi="宋体" w:cs="宋体"/>
          <w:szCs w:val="21"/>
          <w:highlight w:val="none"/>
          <w:u w:val="single"/>
        </w:rPr>
        <w:t>施工负责人、设计负责人、各专业设计负责人、项目主要施工管理人员）</w:t>
      </w:r>
    </w:p>
    <w:p>
      <w:pPr>
        <w:spacing w:line="360" w:lineRule="auto"/>
        <w:ind w:firstLine="600"/>
        <w:rPr>
          <w:rFonts w:cs="宋体"/>
          <w:szCs w:val="21"/>
          <w:highlight w:val="none"/>
          <w:u w:val="single"/>
        </w:rPr>
      </w:pPr>
      <w:r>
        <w:rPr>
          <w:rFonts w:hint="eastAsia" w:ascii="宋体" w:hAnsi="宋体" w:cs="宋体"/>
          <w:szCs w:val="21"/>
          <w:highlight w:val="none"/>
        </w:rPr>
        <w:t>承包人擅自更换关键人员的违约责任：①</w:t>
      </w:r>
      <w:r>
        <w:rPr>
          <w:rFonts w:hint="eastAsia" w:ascii="宋体" w:hAnsi="宋体" w:cs="宋体"/>
          <w:szCs w:val="21"/>
          <w:highlight w:val="none"/>
          <w:u w:val="single"/>
        </w:rPr>
        <w:t>承包人必须保证参与本项目设计人员的稳定性。承包人如需更换设计负责人应提前 7 个日历天以书面形式通知发包人并征得发包人同意后方可更换，更换设计负责人的，发包人有权按合同设计费暂定价的 5%但不超过 10 万元/次扣减设计费（非不可抗力除外）</w:t>
      </w:r>
      <w:r>
        <w:rPr>
          <w:rFonts w:hint="eastAsia" w:cs="宋体"/>
          <w:szCs w:val="21"/>
          <w:highlight w:val="none"/>
          <w:u w:val="single"/>
        </w:rPr>
        <w:t>；②承包人在投标时指定的施工负责人，在工程交付使用前一般不得调整，确需调整的应经发包人同意才可调整，且调整后的人员须满足原招标文件要求及投标文件得分标准；每次调整均按5 万元/次的标准扣除违约金，并执行粤建市（2009）8 号文件，按规定办理有关手续；如人员更换属下列原因的，可免予处违约金：（1）重病或重伤（持有县、区以上医院证明）两个月以上不能履行职责；（2）因违法被责令停止执业的；（3）因犯罪被羁押或判刑的；（4）死亡。</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如承包人需要更换关键人员的，需达到以下条款之一，且经发包人同意，承包人才能对关键人员进行变更：</w:t>
      </w:r>
    </w:p>
    <w:p>
      <w:pPr>
        <w:spacing w:line="360" w:lineRule="auto"/>
        <w:ind w:firstLine="567" w:firstLineChars="270"/>
        <w:rPr>
          <w:rFonts w:ascii="宋体" w:hAnsi="宋体" w:cs="宋体"/>
          <w:szCs w:val="21"/>
          <w:highlight w:val="none"/>
        </w:rPr>
      </w:pPr>
      <w:r>
        <w:rPr>
          <w:rFonts w:hint="eastAsia" w:ascii="宋体" w:hAnsi="宋体" w:cs="宋体"/>
          <w:szCs w:val="21"/>
          <w:highlight w:val="none"/>
        </w:rPr>
        <w:t>(1)发包人与项目关键人员受聘企业已解除承包合同的</w:t>
      </w:r>
      <w:r>
        <w:rPr>
          <w:rFonts w:ascii="宋体" w:hAnsi="宋体" w:cs="宋体"/>
          <w:szCs w:val="21"/>
          <w:highlight w:val="none"/>
        </w:rPr>
        <w:t>（</w:t>
      </w:r>
      <w:r>
        <w:rPr>
          <w:rFonts w:hint="eastAsia" w:ascii="宋体" w:hAnsi="宋体" w:cs="宋体"/>
          <w:szCs w:val="21"/>
          <w:highlight w:val="none"/>
        </w:rPr>
        <w:t>需提供相关证明材料原件</w:t>
      </w:r>
      <w:r>
        <w:rPr>
          <w:rFonts w:ascii="宋体" w:hAnsi="宋体" w:cs="宋体"/>
          <w:szCs w:val="21"/>
          <w:highlight w:val="none"/>
        </w:rPr>
        <w:t>）</w:t>
      </w:r>
      <w:r>
        <w:rPr>
          <w:rFonts w:hint="eastAsia" w:ascii="宋体" w:hAnsi="宋体" w:cs="宋体"/>
          <w:szCs w:val="21"/>
          <w:highlight w:val="none"/>
        </w:rPr>
        <w:t>；</w:t>
      </w:r>
    </w:p>
    <w:p>
      <w:pPr>
        <w:spacing w:line="360" w:lineRule="auto"/>
        <w:ind w:firstLine="567" w:firstLineChars="270"/>
        <w:rPr>
          <w:rFonts w:ascii="宋体" w:hAnsi="宋体" w:cs="宋体"/>
          <w:szCs w:val="21"/>
          <w:highlight w:val="none"/>
        </w:rPr>
      </w:pPr>
      <w:r>
        <w:rPr>
          <w:rFonts w:hint="eastAsia" w:ascii="宋体" w:hAnsi="宋体" w:cs="宋体"/>
          <w:szCs w:val="21"/>
          <w:highlight w:val="none"/>
        </w:rPr>
        <w:t>(2)因工作调动、辞职或被单位除名，且已解除劳动合同的(需提供相关证明材料原件。因工作调动调离原单位的，还须完成新注册单位名称变更登记)；</w:t>
      </w:r>
    </w:p>
    <w:p>
      <w:pPr>
        <w:spacing w:line="360" w:lineRule="auto"/>
        <w:ind w:firstLine="567" w:firstLineChars="270"/>
        <w:rPr>
          <w:rFonts w:ascii="宋体" w:hAnsi="宋体" w:cs="宋体"/>
          <w:szCs w:val="21"/>
          <w:highlight w:val="none"/>
        </w:rPr>
      </w:pPr>
      <w:r>
        <w:rPr>
          <w:rFonts w:hint="eastAsia" w:ascii="宋体" w:hAnsi="宋体" w:cs="宋体"/>
          <w:szCs w:val="21"/>
          <w:highlight w:val="none"/>
        </w:rPr>
        <w:t>(3)确因身体健康原因无法履行职责的(需提供地级市以上医院证明原件)；</w:t>
      </w:r>
    </w:p>
    <w:p>
      <w:pPr>
        <w:spacing w:line="360" w:lineRule="auto"/>
        <w:ind w:firstLine="567" w:firstLineChars="270"/>
        <w:rPr>
          <w:rFonts w:ascii="宋体" w:hAnsi="宋体" w:cs="宋体"/>
          <w:szCs w:val="21"/>
          <w:highlight w:val="none"/>
        </w:rPr>
      </w:pPr>
      <w:r>
        <w:rPr>
          <w:rFonts w:hint="eastAsia" w:ascii="宋体" w:hAnsi="宋体" w:cs="宋体"/>
          <w:szCs w:val="21"/>
          <w:highlight w:val="none"/>
        </w:rPr>
        <w:t>(4)被依法撤销注册或吊销符合本项目资格注册证书不能履行职责的；</w:t>
      </w:r>
    </w:p>
    <w:p>
      <w:pPr>
        <w:spacing w:line="360" w:lineRule="auto"/>
        <w:ind w:firstLine="567" w:firstLineChars="270"/>
        <w:rPr>
          <w:rFonts w:ascii="宋体" w:hAnsi="宋体" w:cs="宋体"/>
          <w:szCs w:val="21"/>
          <w:highlight w:val="none"/>
        </w:rPr>
      </w:pPr>
      <w:r>
        <w:rPr>
          <w:rFonts w:hint="eastAsia" w:ascii="宋体" w:hAnsi="宋体" w:cs="宋体"/>
          <w:szCs w:val="21"/>
          <w:highlight w:val="none"/>
        </w:rPr>
        <w:t>(5)受限制进入建筑市场等行政处罚，或者被依法采取强制措施的；</w:t>
      </w:r>
    </w:p>
    <w:p>
      <w:pPr>
        <w:spacing w:line="360" w:lineRule="auto"/>
        <w:ind w:firstLine="567" w:firstLineChars="270"/>
        <w:rPr>
          <w:rFonts w:cs="宋体"/>
          <w:szCs w:val="21"/>
          <w:highlight w:val="none"/>
          <w:u w:val="single"/>
        </w:rPr>
      </w:pPr>
      <w:r>
        <w:rPr>
          <w:rFonts w:hint="eastAsia" w:ascii="宋体" w:hAnsi="宋体" w:cs="宋体"/>
          <w:szCs w:val="21"/>
          <w:highlight w:val="none"/>
        </w:rPr>
        <w:t>(6)因不可抗力等特殊情况必须更换项目关键人员的。</w:t>
      </w:r>
    </w:p>
    <w:p>
      <w:pPr>
        <w:spacing w:line="360" w:lineRule="auto"/>
        <w:ind w:firstLine="600"/>
        <w:rPr>
          <w:rFonts w:ascii="宋体" w:hAnsi="宋体" w:cs="宋体"/>
          <w:szCs w:val="21"/>
          <w:highlight w:val="none"/>
        </w:rPr>
      </w:pPr>
      <w:r>
        <w:rPr>
          <w:rFonts w:hint="eastAsia" w:ascii="宋体" w:hAnsi="宋体" w:cs="宋体"/>
          <w:szCs w:val="21"/>
          <w:highlight w:val="none"/>
        </w:rPr>
        <w:t>承包人无正当理由拒绝撤换关键人员的违约责任：</w:t>
      </w:r>
    </w:p>
    <w:p>
      <w:pPr>
        <w:numPr>
          <w:ilvl w:val="0"/>
          <w:numId w:val="13"/>
        </w:num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发包人认为某个设计人员的现场配合服务态度和质量不符合现场工程施工需要和驻现场设计人员不称职时，承包人应当在收到发包人的书面通知后 5 天内更换，更换人员的资历不得低于本合同相应条款对各类设计人员资历规的要求，且更换人员须先经发包人确认。若承包人对发包人要求更换人员有异议时，可进行申诉，若申诉后发包人仍然要求更换，则承包人应无条件进行更换，否则视承包人该岗位人员从发包人发出更换通知的时间开始作擅自离岗处理。同时，应参照承包人擅自更换关键人员的违约责任的约定扣减设计费。</w:t>
      </w:r>
    </w:p>
    <w:p>
      <w:pPr>
        <w:numPr>
          <w:ilvl w:val="0"/>
          <w:numId w:val="13"/>
        </w:num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承包人无正当理由拒绝撤换主要设计人员的，发包人有权单方面终止合同，由此产生的责任和损失均由承包人负责。</w:t>
      </w:r>
    </w:p>
    <w:p>
      <w:pPr>
        <w:spacing w:line="360" w:lineRule="auto"/>
        <w:ind w:firstLine="600"/>
        <w:rPr>
          <w:rFonts w:ascii="宋体" w:hAnsi="宋体" w:cs="宋体"/>
          <w:szCs w:val="21"/>
          <w:highlight w:val="none"/>
        </w:rPr>
      </w:pPr>
      <w:r>
        <w:rPr>
          <w:rFonts w:hint="eastAsia" w:ascii="宋体" w:hAnsi="宋体" w:cs="宋体"/>
          <w:szCs w:val="21"/>
          <w:highlight w:val="none"/>
        </w:rPr>
        <w:t>4.4.3 现场管理关键人员在岗要求</w:t>
      </w:r>
    </w:p>
    <w:p>
      <w:pPr>
        <w:spacing w:line="360" w:lineRule="auto"/>
        <w:ind w:firstLine="600"/>
        <w:rPr>
          <w:rFonts w:ascii="宋体" w:hAnsi="宋体" w:cs="宋体"/>
          <w:szCs w:val="21"/>
          <w:highlight w:val="none"/>
        </w:rPr>
      </w:pPr>
      <w:r>
        <w:rPr>
          <w:rFonts w:hint="eastAsia" w:ascii="宋体" w:hAnsi="宋体" w:cs="宋体"/>
          <w:szCs w:val="21"/>
          <w:highlight w:val="none"/>
        </w:rPr>
        <w:t>承包人现场管理关键人员离开施工现场的批准要求：</w:t>
      </w:r>
      <w:r>
        <w:rPr>
          <w:rFonts w:hint="eastAsia" w:ascii="宋体" w:hAnsi="宋体" w:cs="宋体"/>
          <w:szCs w:val="21"/>
          <w:highlight w:val="none"/>
          <w:u w:val="single"/>
        </w:rPr>
        <w:t xml:space="preserve"> 关键人员短期离开工地时应委托其他有资质的人员代行其职，离岗两天以内的，需书面向现场监理请假，并提前一天向发包人报备；离岗两天及以上的，需书面向总监请假，并经发包人书面批准</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承包人现场管理关键人员擅自离开施工现场的违约责任：</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发包人如有需要应提前半天以书面或电子信息（不限于 QQ、微信、邮箱、短信等方式）通知承包人，承包人应委派相关专业设计人员准时到达现场，否则作擅自离岗处理。发包人有权对驻现场设计人员擅自离岗处以 1000 元/次/人扣减违约金。设计人员擅自离岗达 3 人/次以上（含 3 人/次），发包人发出一次警告书。</w:t>
      </w:r>
    </w:p>
    <w:p>
      <w:pPr>
        <w:spacing w:line="360" w:lineRule="auto"/>
        <w:ind w:firstLine="600"/>
        <w:rPr>
          <w:rFonts w:ascii="宋体" w:hAnsi="宋体" w:cs="宋体"/>
          <w:szCs w:val="21"/>
          <w:highlight w:val="none"/>
          <w:u w:val="single"/>
        </w:rPr>
      </w:pPr>
      <w:r>
        <w:rPr>
          <w:rFonts w:hint="eastAsia" w:ascii="宋体" w:hAnsi="宋体" w:cs="宋体"/>
          <w:szCs w:val="21"/>
          <w:highlight w:val="none"/>
          <w:u w:val="single"/>
        </w:rPr>
        <w:t xml:space="preserve">项目主要施工管理人员（包括项目技术负责人、专职安全员、施工员、材料员、机械管理员、质量员和资料员）如未经发包人书面同意而擅自离开的，发包人有权对项目技术负责人按 2000 元/天扣减违约金，其他每人按500 元/天扣减违约金。如人员更换属下列原因的，可免予处违约金：（1）因重病或重伤（持有县、区以上医院证明）两个月以上不能履行职责的；（2）因违法被责令停止执业的；（3）因犯罪被羁押或判刑的；（4）死亡。 </w:t>
      </w:r>
    </w:p>
    <w:p>
      <w:pPr>
        <w:spacing w:line="360" w:lineRule="auto"/>
        <w:ind w:firstLine="600"/>
        <w:rPr>
          <w:rFonts w:ascii="宋体" w:hAnsi="宋体" w:cs="宋体"/>
          <w:szCs w:val="21"/>
          <w:highlight w:val="none"/>
        </w:rPr>
      </w:pPr>
      <w:r>
        <w:rPr>
          <w:rFonts w:hint="eastAsia" w:ascii="宋体" w:hAnsi="宋体" w:cs="宋体"/>
          <w:szCs w:val="21"/>
          <w:highlight w:val="none"/>
        </w:rPr>
        <w:t>4.5 分包</w:t>
      </w:r>
    </w:p>
    <w:p>
      <w:pPr>
        <w:spacing w:line="360" w:lineRule="auto"/>
        <w:ind w:firstLine="600"/>
        <w:rPr>
          <w:rFonts w:ascii="宋体" w:hAnsi="宋体" w:cs="宋体"/>
          <w:szCs w:val="21"/>
          <w:highlight w:val="none"/>
        </w:rPr>
      </w:pPr>
      <w:r>
        <w:rPr>
          <w:rFonts w:hint="eastAsia" w:ascii="宋体" w:hAnsi="宋体" w:cs="宋体"/>
          <w:szCs w:val="21"/>
          <w:highlight w:val="none"/>
        </w:rPr>
        <w:t>4.5.1 一般约定</w:t>
      </w:r>
    </w:p>
    <w:p>
      <w:pPr>
        <w:spacing w:line="360" w:lineRule="auto"/>
        <w:ind w:firstLine="600"/>
        <w:rPr>
          <w:rFonts w:ascii="宋体" w:hAnsi="宋体" w:cs="宋体"/>
          <w:szCs w:val="21"/>
          <w:highlight w:val="none"/>
        </w:rPr>
      </w:pPr>
      <w:r>
        <w:rPr>
          <w:rFonts w:hint="eastAsia" w:ascii="宋体" w:hAnsi="宋体" w:cs="宋体"/>
          <w:szCs w:val="21"/>
          <w:highlight w:val="none"/>
        </w:rPr>
        <w:t>禁止分包的工程包括：</w:t>
      </w:r>
      <w:r>
        <w:rPr>
          <w:rFonts w:hint="eastAsia" w:ascii="宋体" w:hAnsi="宋体" w:cs="宋体"/>
          <w:szCs w:val="21"/>
          <w:highlight w:val="none"/>
          <w:u w:val="single"/>
        </w:rPr>
        <w:t xml:space="preserve"> 工程主体、关键性工作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4.5.2 分包的确定</w:t>
      </w:r>
    </w:p>
    <w:p>
      <w:pPr>
        <w:spacing w:line="360" w:lineRule="auto"/>
        <w:ind w:firstLine="600"/>
        <w:rPr>
          <w:rFonts w:ascii="宋体" w:hAnsi="宋体" w:cs="宋体"/>
          <w:szCs w:val="21"/>
          <w:highlight w:val="none"/>
        </w:rPr>
      </w:pPr>
      <w:r>
        <w:rPr>
          <w:rFonts w:hint="eastAsia" w:ascii="宋体" w:hAnsi="宋体" w:cs="宋体"/>
          <w:szCs w:val="21"/>
          <w:highlight w:val="none"/>
        </w:rPr>
        <w:t>允许分包的工程包括：</w:t>
      </w:r>
      <w:r>
        <w:rPr>
          <w:rFonts w:hint="eastAsia" w:ascii="宋体" w:hAnsi="宋体" w:cs="宋体"/>
          <w:szCs w:val="21"/>
          <w:highlight w:val="none"/>
          <w:u w:val="single"/>
        </w:rPr>
        <w:t xml:space="preserve"> 工程非主体、非关键性工作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其他关于分包的约定：</w:t>
      </w:r>
      <w:r>
        <w:rPr>
          <w:rFonts w:hint="eastAsia" w:ascii="宋体" w:hAnsi="宋体" w:cs="宋体"/>
          <w:szCs w:val="21"/>
          <w:highlight w:val="none"/>
          <w:u w:val="single"/>
        </w:rPr>
        <w:t xml:space="preserve">  经过发包人的书面同意，承包人可以将非主体、非关键性工作分包给有相应资质的分包单位，但分包人应当经过发包人审批。发包人有权拒绝承包人的分包请求和承包人选择的分包人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4.5.5 分包合同价款支付</w:t>
      </w:r>
    </w:p>
    <w:p>
      <w:pPr>
        <w:spacing w:line="360" w:lineRule="auto"/>
        <w:ind w:firstLine="600"/>
        <w:rPr>
          <w:rFonts w:ascii="宋体" w:hAnsi="宋体" w:cs="宋体"/>
          <w:szCs w:val="21"/>
          <w:highlight w:val="none"/>
        </w:rPr>
      </w:pPr>
      <w:r>
        <w:rPr>
          <w:rFonts w:hint="eastAsia" w:ascii="宋体" w:hAnsi="宋体" w:cs="宋体"/>
          <w:szCs w:val="21"/>
          <w:highlight w:val="none"/>
        </w:rPr>
        <w:t>关于分包合同价款支付的约定：</w:t>
      </w:r>
      <w:r>
        <w:rPr>
          <w:rFonts w:hint="eastAsia" w:cs="宋体"/>
          <w:szCs w:val="21"/>
          <w:highlight w:val="none"/>
          <w:u w:val="single"/>
        </w:rPr>
        <w:t>/</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4.6 联合体</w:t>
      </w:r>
    </w:p>
    <w:p>
      <w:pPr>
        <w:spacing w:line="360" w:lineRule="auto"/>
        <w:ind w:firstLine="600"/>
        <w:rPr>
          <w:rFonts w:ascii="宋体" w:hAnsi="宋体" w:cs="宋体"/>
          <w:szCs w:val="21"/>
          <w:highlight w:val="none"/>
        </w:rPr>
      </w:pPr>
      <w:r>
        <w:rPr>
          <w:rFonts w:hint="eastAsia" w:ascii="宋体" w:hAnsi="宋体" w:cs="宋体"/>
          <w:szCs w:val="21"/>
          <w:highlight w:val="none"/>
        </w:rPr>
        <w:t>4.6.2 联合体各成员的分工、费用收取、发票开具等事项：</w:t>
      </w:r>
      <w:r>
        <w:rPr>
          <w:rFonts w:hint="eastAsia" w:ascii="宋体" w:hAnsi="宋体" w:cs="宋体"/>
          <w:szCs w:val="21"/>
          <w:highlight w:val="none"/>
          <w:u w:val="single"/>
        </w:rPr>
        <w:t xml:space="preserve">（1）承包人为联合体单位，建安工程款由发包人支付至承包人指定的账户中。发包人应付的合同价款的施工工程款，除工人工资保证金、工人工资支付专户资金外，其他工程款项由发包人支付到承包人指定银行账号，并由收款单位向发包人提供对应金额的发票及缴交税款凭据。工人工资保证金账户和工人工资支付专户应由承包人的联合体施工方开设，工人工资保证金、工人工资支付专户资金按规定提出请款申请，经审批后由发包人直接支付至承包人指定的相应账户中，收款单位负责向发包人提供对应金额的发票及缴交税款凭据 </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ascii="宋体" w:hAnsi="宋体" w:cs="宋体"/>
          <w:szCs w:val="21"/>
          <w:highlight w:val="none"/>
        </w:rPr>
        <w:t xml:space="preserve">收款账号信息如下： </w:t>
      </w:r>
    </w:p>
    <w:p>
      <w:pPr>
        <w:spacing w:line="360" w:lineRule="auto"/>
        <w:ind w:firstLine="600"/>
        <w:rPr>
          <w:rFonts w:ascii="宋体" w:hAnsi="宋体" w:cs="宋体"/>
          <w:szCs w:val="21"/>
          <w:highlight w:val="none"/>
        </w:rPr>
      </w:pPr>
      <w:r>
        <w:rPr>
          <w:rFonts w:ascii="宋体" w:hAnsi="宋体" w:cs="宋体"/>
          <w:szCs w:val="21"/>
          <w:highlight w:val="none"/>
        </w:rPr>
        <w:t>户名：</w:t>
      </w:r>
    </w:p>
    <w:p>
      <w:pPr>
        <w:spacing w:line="360" w:lineRule="auto"/>
        <w:ind w:firstLine="600"/>
        <w:rPr>
          <w:rFonts w:ascii="宋体" w:hAnsi="宋体" w:cs="宋体"/>
          <w:szCs w:val="21"/>
          <w:highlight w:val="none"/>
        </w:rPr>
      </w:pPr>
      <w:r>
        <w:rPr>
          <w:rFonts w:ascii="宋体" w:hAnsi="宋体" w:cs="宋体"/>
          <w:szCs w:val="21"/>
          <w:highlight w:val="none"/>
        </w:rPr>
        <w:t>开户行：</w:t>
      </w:r>
    </w:p>
    <w:p>
      <w:pPr>
        <w:spacing w:line="360" w:lineRule="auto"/>
        <w:ind w:firstLine="600"/>
        <w:rPr>
          <w:rFonts w:ascii="宋体" w:hAnsi="宋体" w:cs="宋体"/>
          <w:szCs w:val="21"/>
          <w:highlight w:val="none"/>
          <w:u w:val="single"/>
        </w:rPr>
      </w:pPr>
      <w:r>
        <w:rPr>
          <w:rFonts w:ascii="宋体" w:hAnsi="宋体" w:cs="宋体"/>
          <w:szCs w:val="21"/>
          <w:highlight w:val="none"/>
        </w:rPr>
        <w:t>账号：</w:t>
      </w:r>
    </w:p>
    <w:p>
      <w:pPr>
        <w:spacing w:line="360" w:lineRule="auto"/>
        <w:ind w:firstLine="600"/>
        <w:rPr>
          <w:rFonts w:ascii="宋体" w:hAnsi="宋体" w:cs="宋体"/>
          <w:szCs w:val="21"/>
          <w:highlight w:val="none"/>
          <w:u w:val="single"/>
        </w:rPr>
      </w:pPr>
      <w:r>
        <w:rPr>
          <w:rFonts w:hint="eastAsia" w:cs="宋体"/>
          <w:szCs w:val="21"/>
          <w:highlight w:val="none"/>
          <w:u w:val="single"/>
        </w:rPr>
        <w:t>（2）</w:t>
      </w:r>
      <w:r>
        <w:rPr>
          <w:rFonts w:hint="eastAsia" w:ascii="宋体" w:hAnsi="宋体" w:cs="宋体"/>
          <w:szCs w:val="21"/>
          <w:highlight w:val="none"/>
          <w:u w:val="single"/>
        </w:rPr>
        <w:t>承包人在实施过程中就完成的合同价款中的工程设计费、建安工程费分别向发包人开具等额、合法、有效的增值税发票。承包人为联合体中标的，施工图设计费用由发包人支付至承包人联合体中的设计单位账户中。</w:t>
      </w:r>
    </w:p>
    <w:p>
      <w:pPr>
        <w:spacing w:line="360" w:lineRule="auto"/>
        <w:ind w:firstLine="420" w:firstLineChars="200"/>
        <w:rPr>
          <w:rFonts w:ascii="宋体" w:hAnsi="宋体" w:cs="宋体"/>
          <w:szCs w:val="21"/>
          <w:highlight w:val="none"/>
        </w:rPr>
      </w:pPr>
      <w:r>
        <w:rPr>
          <w:rFonts w:ascii="宋体" w:hAnsi="宋体" w:cs="宋体"/>
          <w:szCs w:val="21"/>
          <w:highlight w:val="none"/>
        </w:rPr>
        <w:t xml:space="preserve">收款账号信息如下：  </w:t>
      </w:r>
    </w:p>
    <w:p>
      <w:pPr>
        <w:spacing w:line="360" w:lineRule="auto"/>
        <w:ind w:firstLine="600"/>
        <w:rPr>
          <w:rFonts w:ascii="宋体" w:hAnsi="宋体" w:cs="宋体"/>
          <w:szCs w:val="21"/>
          <w:highlight w:val="none"/>
        </w:rPr>
      </w:pPr>
      <w:r>
        <w:rPr>
          <w:rFonts w:ascii="宋体" w:hAnsi="宋体" w:cs="宋体"/>
          <w:szCs w:val="21"/>
          <w:highlight w:val="none"/>
        </w:rPr>
        <w:t>户名：</w:t>
      </w:r>
    </w:p>
    <w:p>
      <w:pPr>
        <w:spacing w:line="360" w:lineRule="auto"/>
        <w:ind w:firstLine="600"/>
        <w:rPr>
          <w:rFonts w:ascii="宋体" w:hAnsi="宋体" w:cs="宋体"/>
          <w:szCs w:val="21"/>
          <w:highlight w:val="none"/>
        </w:rPr>
      </w:pPr>
      <w:r>
        <w:rPr>
          <w:rFonts w:ascii="宋体" w:hAnsi="宋体" w:cs="宋体"/>
          <w:szCs w:val="21"/>
          <w:highlight w:val="none"/>
        </w:rPr>
        <w:t>开户行：</w:t>
      </w:r>
    </w:p>
    <w:p>
      <w:pPr>
        <w:spacing w:line="360" w:lineRule="auto"/>
        <w:ind w:firstLine="600"/>
        <w:rPr>
          <w:rFonts w:ascii="宋体" w:hAnsi="宋体" w:cs="宋体"/>
          <w:szCs w:val="21"/>
          <w:highlight w:val="none"/>
          <w:u w:val="single"/>
        </w:rPr>
      </w:pPr>
      <w:r>
        <w:rPr>
          <w:rFonts w:ascii="宋体" w:hAnsi="宋体" w:cs="宋体"/>
          <w:szCs w:val="21"/>
          <w:highlight w:val="none"/>
        </w:rPr>
        <w:t>账号：</w:t>
      </w:r>
    </w:p>
    <w:p>
      <w:pPr>
        <w:numPr>
          <w:ilvl w:val="0"/>
          <w:numId w:val="13"/>
        </w:numPr>
        <w:spacing w:line="360" w:lineRule="auto"/>
        <w:ind w:firstLine="600"/>
        <w:rPr>
          <w:rFonts w:cs="宋体"/>
          <w:szCs w:val="21"/>
          <w:highlight w:val="none"/>
          <w:u w:val="single"/>
        </w:rPr>
      </w:pPr>
      <w:r>
        <w:rPr>
          <w:rFonts w:hint="eastAsia" w:cs="宋体"/>
          <w:szCs w:val="21"/>
          <w:highlight w:val="none"/>
          <w:u w:val="single"/>
        </w:rPr>
        <w:t>承包人的指定代收行为，不影响发包人按本合同向各卷合同相对方主张违约责任等合同权利。联合体中标的，</w:t>
      </w:r>
      <w:r>
        <w:rPr>
          <w:rFonts w:hint="eastAsia" w:ascii="宋体" w:hAnsi="宋体" w:cs="宋体"/>
          <w:szCs w:val="21"/>
          <w:highlight w:val="none"/>
          <w:u w:val="single"/>
        </w:rPr>
        <w:t>发包人</w:t>
      </w:r>
      <w:r>
        <w:rPr>
          <w:rFonts w:hint="eastAsia" w:cs="宋体"/>
          <w:szCs w:val="21"/>
          <w:highlight w:val="none"/>
          <w:u w:val="single"/>
        </w:rPr>
        <w:t>向指定代收账户付款后，承包人（联合体各方）不得以自身未实际收取款项为由拒绝履行本合同各卷合同的合同义务。</w:t>
      </w:r>
    </w:p>
    <w:p>
      <w:pPr>
        <w:numPr>
          <w:ilvl w:val="0"/>
          <w:numId w:val="13"/>
        </w:numPr>
        <w:spacing w:line="360" w:lineRule="auto"/>
        <w:ind w:firstLine="600"/>
        <w:rPr>
          <w:rFonts w:cs="宋体"/>
          <w:szCs w:val="21"/>
          <w:highlight w:val="none"/>
          <w:u w:val="single"/>
        </w:rPr>
      </w:pPr>
      <w:r>
        <w:rPr>
          <w:rFonts w:hint="eastAsia" w:cs="宋体"/>
          <w:szCs w:val="21"/>
          <w:highlight w:val="none"/>
          <w:u w:val="single"/>
        </w:rPr>
        <w:t>发包人在支付时承包人达到申请合同款项的相关条件后，向发包人提供相关证明资料，经发包人审核后，可提出资金支付申请，待发包人确认无误后并审批完成后承包人提供付款金额等额的增值税发票给</w:t>
      </w:r>
      <w:r>
        <w:rPr>
          <w:rFonts w:hint="eastAsia" w:ascii="宋体" w:hAnsi="宋体" w:cs="宋体"/>
          <w:szCs w:val="21"/>
          <w:highlight w:val="none"/>
          <w:u w:val="single"/>
        </w:rPr>
        <w:t>发包人</w:t>
      </w:r>
      <w:r>
        <w:rPr>
          <w:rFonts w:hint="eastAsia"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4.7 承包人现场查勘</w:t>
      </w:r>
    </w:p>
    <w:p>
      <w:pPr>
        <w:spacing w:line="360" w:lineRule="auto"/>
        <w:ind w:firstLine="600"/>
        <w:rPr>
          <w:rFonts w:ascii="宋体" w:hAnsi="宋体" w:cs="宋体"/>
          <w:szCs w:val="21"/>
          <w:highlight w:val="none"/>
        </w:rPr>
      </w:pPr>
      <w:r>
        <w:rPr>
          <w:rFonts w:hint="eastAsia" w:ascii="宋体" w:hAnsi="宋体" w:cs="宋体"/>
          <w:szCs w:val="21"/>
          <w:highlight w:val="none"/>
        </w:rPr>
        <w:t>4.7.1 双方当事人对现场查勘的责任承担的约定：</w:t>
      </w:r>
      <w:r>
        <w:rPr>
          <w:rFonts w:hint="eastAsia" w:cs="宋体"/>
          <w:szCs w:val="21"/>
          <w:highlight w:val="none"/>
          <w:u w:val="single"/>
        </w:rPr>
        <w:t>/</w:t>
      </w:r>
      <w:r>
        <w:rPr>
          <w:rFonts w:hint="eastAsia" w:ascii="宋体" w:hAnsi="宋体" w:cs="宋体"/>
          <w:szCs w:val="21"/>
          <w:highlight w:val="none"/>
        </w:rPr>
        <w:t>。</w:t>
      </w:r>
    </w:p>
    <w:p>
      <w:pPr>
        <w:spacing w:line="360" w:lineRule="auto"/>
        <w:ind w:firstLine="600"/>
        <w:rPr>
          <w:rFonts w:ascii="宋体" w:hAnsi="宋体" w:cs="宋体"/>
          <w:szCs w:val="21"/>
          <w:highlight w:val="none"/>
        </w:rPr>
      </w:pPr>
      <w:r>
        <w:rPr>
          <w:rFonts w:hint="eastAsia" w:ascii="宋体" w:hAnsi="宋体" w:cs="宋体"/>
          <w:szCs w:val="21"/>
          <w:highlight w:val="none"/>
        </w:rPr>
        <w:t>4.8 不可预见的困难</w:t>
      </w:r>
    </w:p>
    <w:p>
      <w:pPr>
        <w:spacing w:line="360" w:lineRule="auto"/>
        <w:ind w:firstLine="600"/>
        <w:rPr>
          <w:rFonts w:ascii="宋体" w:hAnsi="宋体" w:cs="宋体"/>
          <w:szCs w:val="21"/>
          <w:highlight w:val="none"/>
        </w:rPr>
      </w:pPr>
      <w:r>
        <w:rPr>
          <w:rFonts w:hint="eastAsia" w:ascii="宋体" w:hAnsi="宋体" w:cs="宋体"/>
          <w:szCs w:val="21"/>
          <w:highlight w:val="none"/>
        </w:rPr>
        <w:t>不可预见的困难包括：</w:t>
      </w:r>
      <w:r>
        <w:rPr>
          <w:rFonts w:hint="eastAsia" w:ascii="宋体" w:hAnsi="宋体" w:cs="宋体"/>
          <w:szCs w:val="21"/>
          <w:highlight w:val="none"/>
          <w:u w:val="single"/>
        </w:rPr>
        <w:t xml:space="preserve"> 按通用合同条款执行 </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13" w:name="_Toc22258"/>
      <w:bookmarkStart w:id="1114" w:name="_Toc109076902"/>
      <w:bookmarkStart w:id="1115" w:name="_Toc54862336"/>
      <w:bookmarkStart w:id="1116" w:name="_Toc26096"/>
      <w:bookmarkStart w:id="1117" w:name="_Toc2181"/>
      <w:bookmarkStart w:id="1118" w:name="_Toc15900"/>
      <w:r>
        <w:rPr>
          <w:rFonts w:hint="eastAsia" w:ascii="宋体" w:hAnsi="宋体" w:cs="宋体"/>
          <w:kern w:val="0"/>
          <w:szCs w:val="21"/>
          <w:highlight w:val="none"/>
        </w:rPr>
        <w:t>第5条 设计</w:t>
      </w:r>
      <w:bookmarkEnd w:id="1113"/>
      <w:bookmarkEnd w:id="1114"/>
      <w:bookmarkEnd w:id="1115"/>
      <w:bookmarkEnd w:id="1116"/>
      <w:bookmarkEnd w:id="1117"/>
      <w:bookmarkEnd w:id="1118"/>
    </w:p>
    <w:p>
      <w:pPr>
        <w:spacing w:line="360" w:lineRule="auto"/>
        <w:ind w:firstLine="600"/>
        <w:rPr>
          <w:rFonts w:ascii="宋体" w:hAnsi="宋体" w:cs="宋体"/>
          <w:szCs w:val="21"/>
          <w:highlight w:val="none"/>
        </w:rPr>
      </w:pPr>
      <w:r>
        <w:rPr>
          <w:rFonts w:hint="eastAsia" w:ascii="宋体" w:hAnsi="宋体" w:cs="宋体"/>
          <w:szCs w:val="21"/>
          <w:highlight w:val="none"/>
        </w:rPr>
        <w:t>5.1 承包人的设计义务</w:t>
      </w:r>
    </w:p>
    <w:p>
      <w:pPr>
        <w:spacing w:line="360" w:lineRule="auto"/>
        <w:ind w:firstLine="600"/>
        <w:rPr>
          <w:rFonts w:ascii="宋体" w:hAnsi="宋体" w:cs="宋体"/>
          <w:szCs w:val="21"/>
          <w:highlight w:val="none"/>
        </w:rPr>
      </w:pPr>
      <w:r>
        <w:rPr>
          <w:rFonts w:hint="eastAsia" w:ascii="宋体" w:hAnsi="宋体" w:cs="宋体"/>
          <w:szCs w:val="21"/>
          <w:highlight w:val="none"/>
        </w:rPr>
        <w:t>5.1.1本条款后补充以下内容。</w:t>
      </w:r>
    </w:p>
    <w:p>
      <w:pPr>
        <w:spacing w:line="360" w:lineRule="auto"/>
        <w:ind w:firstLine="600"/>
        <w:rPr>
          <w:rFonts w:ascii="宋体" w:hAnsi="宋体" w:cs="宋体"/>
          <w:szCs w:val="21"/>
          <w:highlight w:val="none"/>
        </w:rPr>
      </w:pPr>
      <w:r>
        <w:rPr>
          <w:rFonts w:hint="eastAsia" w:ascii="宋体" w:hAnsi="宋体" w:cs="宋体"/>
          <w:szCs w:val="21"/>
          <w:highlight w:val="none"/>
        </w:rPr>
        <w:t>5.1.1.1承包人应根据设计任务建立项目组，在本工程施工期间必须应发包人要求，有驻现场的办公场所及委派承担本项目设计相关专业的承包人员作为设计代表驻现场，提供现场服务。</w:t>
      </w:r>
    </w:p>
    <w:p>
      <w:pPr>
        <w:spacing w:line="360" w:lineRule="auto"/>
        <w:ind w:firstLine="600"/>
        <w:rPr>
          <w:rFonts w:ascii="宋体" w:hAnsi="宋体" w:cs="宋体"/>
          <w:szCs w:val="21"/>
          <w:highlight w:val="none"/>
        </w:rPr>
      </w:pPr>
      <w:r>
        <w:rPr>
          <w:rFonts w:hint="eastAsia" w:ascii="宋体" w:hAnsi="宋体" w:cs="宋体"/>
          <w:szCs w:val="21"/>
          <w:highlight w:val="none"/>
        </w:rPr>
        <w:t>5.1.1.2项目负责人、各专业设计负责人、驻场设计代表负责人，驻场设计代表的经验、能力、健康状况和现场配合服务态度应能够胜任所承担任务的设计、组织、计划、协调工作，根据本项目施工具体情况派 1～2名的设计代表驻场，且派驻施工现场的设计代表必须具备工程师或以上资格，必须在按照投标文件中提交的设计人员中安排。</w:t>
      </w:r>
    </w:p>
    <w:p>
      <w:pPr>
        <w:spacing w:line="360" w:lineRule="auto"/>
        <w:ind w:firstLine="600"/>
        <w:rPr>
          <w:rFonts w:ascii="宋体" w:hAnsi="宋体" w:cs="宋体"/>
          <w:szCs w:val="21"/>
          <w:highlight w:val="none"/>
        </w:rPr>
      </w:pPr>
      <w:r>
        <w:rPr>
          <w:rFonts w:hint="eastAsia" w:ascii="宋体" w:hAnsi="宋体" w:cs="宋体"/>
          <w:szCs w:val="21"/>
          <w:highlight w:val="none"/>
        </w:rPr>
        <w:t>5.1.1.3承包人须按投标文件中列明的相关人员报送项目负责人，各专业设计负责人，其他参与设计工作的人员姓名、年龄、学历、专业、职称、职务、相关经历和主要技术成果以及在本项目中负责的设计任务等资料（附表）。</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5.1.1.4驻场相关专业设计人员须在接发包人通知2 小时内到达现场，否则作擅自离岗处理。 </w:t>
      </w:r>
    </w:p>
    <w:p>
      <w:pPr>
        <w:spacing w:line="360" w:lineRule="auto"/>
        <w:ind w:firstLine="600"/>
        <w:rPr>
          <w:rFonts w:ascii="宋体" w:hAnsi="宋体" w:cs="宋体"/>
          <w:szCs w:val="21"/>
          <w:highlight w:val="none"/>
        </w:rPr>
      </w:pPr>
      <w:r>
        <w:rPr>
          <w:rFonts w:hint="eastAsia" w:ascii="宋体" w:hAnsi="宋体" w:cs="宋体"/>
          <w:szCs w:val="21"/>
          <w:highlight w:val="none"/>
        </w:rPr>
        <w:t>5.1.1.5发包人有权对驻现场设计人员擅自离岗处以1000元 /次·人的处罚。设计人员擅自离岗达3人·次以上（含 3人·次），发包人发出一次警告书。</w:t>
      </w:r>
    </w:p>
    <w:p>
      <w:pPr>
        <w:spacing w:line="360" w:lineRule="auto"/>
        <w:ind w:firstLine="600"/>
        <w:rPr>
          <w:rFonts w:ascii="宋体" w:hAnsi="宋体" w:cs="宋体"/>
          <w:szCs w:val="21"/>
          <w:highlight w:val="none"/>
        </w:rPr>
      </w:pPr>
      <w:r>
        <w:rPr>
          <w:rFonts w:hint="eastAsia" w:ascii="宋体" w:hAnsi="宋体" w:cs="宋体"/>
          <w:szCs w:val="21"/>
          <w:highlight w:val="none"/>
        </w:rPr>
        <w:t>5.1.1.6 承包人必须加强设计人员职业操守的教育，本项目设计人员需共同遵守设计人员职业道德守则，并严格遵守以下规定：</w:t>
      </w:r>
    </w:p>
    <w:p>
      <w:pPr>
        <w:spacing w:line="360" w:lineRule="auto"/>
        <w:ind w:firstLine="600"/>
        <w:rPr>
          <w:rFonts w:ascii="宋体" w:hAnsi="宋体" w:cs="宋体"/>
          <w:szCs w:val="21"/>
          <w:highlight w:val="none"/>
        </w:rPr>
      </w:pPr>
      <w:r>
        <w:rPr>
          <w:rFonts w:hint="eastAsia" w:ascii="宋体" w:hAnsi="宋体" w:cs="宋体"/>
          <w:szCs w:val="21"/>
          <w:highlight w:val="none"/>
        </w:rPr>
        <w:t>（1）严防重产值、轻质量倾向，确保公众人身及财产安全；</w:t>
      </w:r>
    </w:p>
    <w:p>
      <w:pPr>
        <w:spacing w:line="360" w:lineRule="auto"/>
        <w:ind w:firstLine="600"/>
        <w:rPr>
          <w:rFonts w:ascii="宋体" w:hAnsi="宋体" w:cs="宋体"/>
          <w:szCs w:val="21"/>
          <w:highlight w:val="none"/>
        </w:rPr>
      </w:pPr>
      <w:r>
        <w:rPr>
          <w:rFonts w:hint="eastAsia" w:ascii="宋体" w:hAnsi="宋体" w:cs="宋体"/>
          <w:szCs w:val="21"/>
          <w:highlight w:val="none"/>
        </w:rPr>
        <w:t>（2）禁止向发包人及施工单位推销材料、设备，或以倾向性、排他性设计变相推销；</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（3）禁止与材料、设备供应商串通，设计中选用价高质次的材料、设备； </w:t>
      </w:r>
    </w:p>
    <w:p>
      <w:pPr>
        <w:spacing w:line="360" w:lineRule="auto"/>
        <w:ind w:firstLine="600"/>
        <w:rPr>
          <w:rFonts w:ascii="宋体" w:hAnsi="宋体" w:cs="宋体"/>
          <w:szCs w:val="21"/>
          <w:highlight w:val="none"/>
        </w:rPr>
      </w:pPr>
      <w:r>
        <w:rPr>
          <w:rFonts w:hint="eastAsia" w:ascii="宋体" w:hAnsi="宋体" w:cs="宋体"/>
          <w:szCs w:val="21"/>
          <w:highlight w:val="none"/>
        </w:rPr>
        <w:t>（4）禁止与材料、设备供应商串通，在材料、设备的监造或调试过程中对不合格材料、设备产品进行包庇或以次充好，提高产品验收级别；</w:t>
      </w:r>
    </w:p>
    <w:p>
      <w:pPr>
        <w:spacing w:line="360" w:lineRule="auto"/>
        <w:ind w:firstLine="600"/>
        <w:rPr>
          <w:rFonts w:ascii="宋体" w:hAnsi="宋体" w:cs="宋体"/>
          <w:szCs w:val="21"/>
          <w:highlight w:val="none"/>
        </w:rPr>
      </w:pPr>
      <w:r>
        <w:rPr>
          <w:rFonts w:hint="eastAsia" w:ascii="宋体" w:hAnsi="宋体" w:cs="宋体"/>
          <w:szCs w:val="21"/>
          <w:highlight w:val="none"/>
        </w:rPr>
        <w:t>（5）禁止与施工单位串通，对不合格材料、设备、产品、工程进行包庇及验收；</w:t>
      </w:r>
    </w:p>
    <w:p>
      <w:pPr>
        <w:spacing w:line="360" w:lineRule="auto"/>
        <w:ind w:firstLine="600"/>
        <w:rPr>
          <w:rFonts w:ascii="宋体" w:hAnsi="宋体" w:cs="宋体"/>
          <w:szCs w:val="21"/>
          <w:highlight w:val="none"/>
        </w:rPr>
      </w:pPr>
      <w:r>
        <w:rPr>
          <w:rFonts w:hint="eastAsia" w:ascii="宋体" w:hAnsi="宋体" w:cs="宋体"/>
          <w:szCs w:val="21"/>
          <w:highlight w:val="none"/>
        </w:rPr>
        <w:t>（6）禁止与施工单位串通，对材料用量、工程量进行虚假签认；</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（7）禁止与施工单位串通，不合理提高施工难度及增加材料用量，以增大施工费用，获取不正当收益。 </w:t>
      </w:r>
    </w:p>
    <w:p>
      <w:pPr>
        <w:spacing w:line="360" w:lineRule="auto"/>
        <w:ind w:firstLine="600"/>
        <w:rPr>
          <w:rFonts w:ascii="宋体" w:hAnsi="宋体" w:cs="宋体"/>
          <w:szCs w:val="21"/>
          <w:highlight w:val="none"/>
        </w:rPr>
      </w:pPr>
      <w:r>
        <w:rPr>
          <w:rFonts w:hint="eastAsia" w:ascii="宋体" w:hAnsi="宋体" w:cs="宋体"/>
          <w:szCs w:val="21"/>
          <w:highlight w:val="none"/>
        </w:rPr>
        <w:t>5.1.1.7凡违背以上规定者，一经查实，发包人有权向有关部门反映情况，并发出警告书，追究承包人及有关责任人相关责任，要求赔偿相关损失。</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5.1.1.8 承包人根据合同约定及工期总体策划要求编制各阶段设计进度计划和各专业的出图计划，经发包人审查后执行。承包人根据设计进展编制短期设计计划，以使设计进度在受控状态下进行，同时便于发包人及时与承包人协调。 </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5.1.1.9设计应尽可能减少施工难度，为施工过程创造方便合理的施工条件；应尽量减少施工对城市交通、市民生活以及水利的干扰。 </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5.1.1.10设计单位需根据现场及周边环境开展设计工作，设计成果须体现周边环境的衔接。（包括道路、给排水等方面） </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5.1.1.11在设计各阶段，承包人应根据发包人或政府主管部门的意见，及时修改、完善设计，负责完成由于设计失误未获政府主管部门批准而出现的反复修改的工作。 </w:t>
      </w:r>
    </w:p>
    <w:p>
      <w:pPr>
        <w:spacing w:line="360" w:lineRule="auto"/>
        <w:ind w:firstLine="600"/>
        <w:rPr>
          <w:rFonts w:ascii="宋体" w:hAnsi="宋体" w:cs="宋体"/>
          <w:szCs w:val="21"/>
          <w:highlight w:val="none"/>
        </w:rPr>
      </w:pPr>
      <w:r>
        <w:rPr>
          <w:rFonts w:hint="eastAsia" w:ascii="宋体" w:hAnsi="宋体" w:cs="宋体"/>
          <w:szCs w:val="21"/>
          <w:highlight w:val="none"/>
        </w:rPr>
        <w:t>5.1.1.12承包人承诺在不降低发包人要求的主要设计指标的前提下，</w:t>
      </w:r>
      <w:r>
        <w:rPr>
          <w:rFonts w:hint="eastAsia" w:cs="宋体"/>
          <w:szCs w:val="21"/>
          <w:highlight w:val="none"/>
        </w:rPr>
        <w:t>设计人必须按照设计规范要求，结合工程现状实际，进行多方案比选和优化，严格按照建安费</w:t>
      </w:r>
      <w:r>
        <w:rPr>
          <w:rFonts w:hint="eastAsia" w:cs="宋体"/>
          <w:szCs w:val="21"/>
          <w:highlight w:val="none"/>
          <w:lang w:eastAsia="zh-CN"/>
        </w:rPr>
        <w:t>最高限价</w:t>
      </w:r>
      <w:r>
        <w:rPr>
          <w:rFonts w:hint="eastAsia" w:cs="宋体"/>
          <w:szCs w:val="21"/>
          <w:highlight w:val="none"/>
        </w:rPr>
        <w:t>进行限额设计，否则应无条件负责优化设计，直至达到符合设计限额的控制范围和发包人的要求为止，优化设计的时间包含在设计周期内。若通过优化设计后不能达到投资控制目标的，或因设计人原因导致设计不详及遗漏的，除无条件完善设计及按完善后的设计施工外，若造成工程投资增加设计工作量和施工工程量，发包人有权不予支付相关费用。承包人的设计必须满足发包人的使用要求，否则应无条件负责优化设计和改善</w:t>
      </w:r>
      <w:r>
        <w:rPr>
          <w:rFonts w:hint="eastAsia" w:ascii="宋体" w:hAnsi="宋体" w:cs="宋体"/>
          <w:szCs w:val="21"/>
          <w:highlight w:val="none"/>
        </w:rPr>
        <w:t>。因规划调整等客观原因导致投资估算或概算发生重大调整时，应按程序报批。承包人承诺工程投资为除征地、拆迁费用以外整个工程从筹建至竣工交付使用所需的工程直接费用，并承诺据此进行施工图设计，实行限额设计。</w:t>
      </w:r>
    </w:p>
    <w:p>
      <w:pPr>
        <w:spacing w:line="360" w:lineRule="auto"/>
        <w:ind w:firstLine="600"/>
        <w:rPr>
          <w:rFonts w:ascii="宋体" w:hAnsi="宋体" w:cs="宋体"/>
          <w:szCs w:val="21"/>
          <w:highlight w:val="none"/>
        </w:rPr>
      </w:pPr>
      <w:r>
        <w:rPr>
          <w:rFonts w:hint="eastAsia" w:ascii="宋体" w:hAnsi="宋体" w:cs="宋体"/>
          <w:szCs w:val="21"/>
          <w:highlight w:val="none"/>
        </w:rPr>
        <w:t>承包人应承诺如果根据承包人提供的施工图设计图纸编制的预算价超出中标价，承包人必须在不改变原方案设计的构想及设计理念、不降低设计质量标准及使用要求、不影响下一阶段交付设计文件的期限、不追加设计费用的情况下对施工图设计进行优化。</w:t>
      </w:r>
    </w:p>
    <w:p>
      <w:pPr>
        <w:spacing w:line="360" w:lineRule="auto"/>
        <w:ind w:firstLine="600"/>
        <w:rPr>
          <w:rFonts w:ascii="宋体" w:hAnsi="宋体" w:cs="宋体"/>
          <w:szCs w:val="21"/>
          <w:highlight w:val="none"/>
        </w:rPr>
      </w:pPr>
      <w:r>
        <w:rPr>
          <w:rFonts w:hint="eastAsia" w:ascii="宋体" w:hAnsi="宋体" w:cs="宋体"/>
          <w:szCs w:val="21"/>
          <w:highlight w:val="none"/>
        </w:rPr>
        <w:t>承包人应承诺有关设计的任何修改、变动或由于修改设计所引起的工艺、技术、材料、设备的变更均须经过发包人的同意。</w:t>
      </w:r>
    </w:p>
    <w:p>
      <w:pPr>
        <w:spacing w:line="360" w:lineRule="auto"/>
        <w:ind w:firstLine="600"/>
        <w:rPr>
          <w:rFonts w:ascii="宋体" w:hAnsi="宋体" w:cs="宋体"/>
          <w:szCs w:val="21"/>
          <w:highlight w:val="none"/>
        </w:rPr>
      </w:pPr>
      <w:r>
        <w:rPr>
          <w:rFonts w:hint="eastAsia" w:ascii="宋体" w:hAnsi="宋体" w:cs="宋体"/>
          <w:szCs w:val="21"/>
          <w:highlight w:val="none"/>
        </w:rPr>
        <w:t>承包人承诺在交付项目的部分或全部设计文件后,如有更好的新工艺、新技术、新材料、新设备等适用于本项目，将及时向发包人推荐并提供科学的评估。</w:t>
      </w:r>
    </w:p>
    <w:p>
      <w:pPr>
        <w:spacing w:line="360" w:lineRule="auto"/>
        <w:ind w:firstLine="600"/>
        <w:rPr>
          <w:rFonts w:ascii="宋体" w:hAnsi="宋体" w:cs="宋体"/>
          <w:szCs w:val="21"/>
          <w:highlight w:val="none"/>
        </w:rPr>
      </w:pPr>
      <w:r>
        <w:rPr>
          <w:rFonts w:hint="eastAsia" w:ascii="宋体" w:hAnsi="宋体" w:cs="宋体"/>
          <w:szCs w:val="21"/>
          <w:highlight w:val="none"/>
        </w:rPr>
        <w:t>施工图设计每次优化时间不超过7个日历天，优化设计的时间包含在设计周期内，承包人必须在签订合同后60日内完成设计工作，否则按合同约定承担违约责任。</w:t>
      </w:r>
    </w:p>
    <w:p>
      <w:pPr>
        <w:spacing w:line="360" w:lineRule="auto"/>
        <w:ind w:firstLine="600"/>
        <w:rPr>
          <w:rFonts w:ascii="宋体" w:hAnsi="宋体" w:cs="宋体"/>
          <w:szCs w:val="21"/>
          <w:highlight w:val="none"/>
        </w:rPr>
      </w:pPr>
      <w:r>
        <w:rPr>
          <w:rFonts w:hint="eastAsia" w:ascii="宋体" w:hAnsi="宋体" w:cs="宋体"/>
          <w:szCs w:val="21"/>
          <w:highlight w:val="none"/>
        </w:rPr>
        <w:t>5.1.1.13 承包人应按国家规定和合同约定的技术规范、标准进行设计，设计要合理、切合实际、可操作性强，使用性能满足要求。同时，按本合同规定的内容、时间及份数向发包人交付设计文件。并对提 交的设计文件的质量负责。</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5.1.1.14 承包人须提供设计所涉及的有关设计标准、标准图等一套。 </w:t>
      </w:r>
    </w:p>
    <w:p>
      <w:pPr>
        <w:spacing w:line="360" w:lineRule="auto"/>
        <w:ind w:firstLine="600"/>
        <w:rPr>
          <w:rFonts w:ascii="宋体" w:hAnsi="宋体" w:cs="宋体"/>
          <w:szCs w:val="21"/>
          <w:highlight w:val="none"/>
        </w:rPr>
      </w:pPr>
      <w:r>
        <w:rPr>
          <w:rFonts w:hint="eastAsia" w:ascii="宋体" w:hAnsi="宋体" w:cs="宋体"/>
          <w:szCs w:val="21"/>
          <w:highlight w:val="none"/>
        </w:rPr>
        <w:t>5.1.1.15对本项目设计时将遇到的技术特点、难点、重点进行详细分析并提出准确合理的解决方案。</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5.1.1.16 合同生效后，承包人要求终止或解除合同，应双倍返还发包人已支付的合同款项。 </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5.1.1.17设计合理使用年限按国家及地方有关技术规范。 </w:t>
      </w:r>
    </w:p>
    <w:p>
      <w:pPr>
        <w:spacing w:line="360" w:lineRule="auto"/>
        <w:ind w:firstLine="600"/>
        <w:rPr>
          <w:rFonts w:ascii="宋体" w:hAnsi="宋体" w:cs="宋体"/>
          <w:szCs w:val="21"/>
          <w:highlight w:val="none"/>
        </w:rPr>
      </w:pPr>
      <w:r>
        <w:rPr>
          <w:rFonts w:hint="eastAsia" w:ascii="宋体" w:hAnsi="宋体" w:cs="宋体"/>
          <w:szCs w:val="21"/>
          <w:highlight w:val="none"/>
        </w:rPr>
        <w:t>5.1.1.18承包人交付设计文件后，按规定参加有关上级的设计审查，并根据审查结论负责不超出招标文件范围的内容的必要调整补充。</w:t>
      </w:r>
    </w:p>
    <w:p>
      <w:pPr>
        <w:spacing w:line="360" w:lineRule="auto"/>
        <w:ind w:firstLine="600"/>
        <w:rPr>
          <w:rFonts w:ascii="宋体" w:hAnsi="宋体" w:cs="宋体"/>
          <w:szCs w:val="21"/>
          <w:highlight w:val="none"/>
        </w:rPr>
      </w:pPr>
      <w:r>
        <w:rPr>
          <w:rFonts w:hint="eastAsia" w:ascii="宋体" w:hAnsi="宋体" w:cs="宋体"/>
          <w:szCs w:val="21"/>
          <w:highlight w:val="none"/>
        </w:rPr>
        <w:t>5.1.1.19承包人按合同规定时限交付设计文件，配合施工，负责向发包人及施工单位进行设计交底，在软土地区路基施工阶段根据现场的地质状况、施工情况和监测信息，及时对原设计作校核、修改和补充（相关费用包含在合同价内），及时处理有关设计问题和参加竣工验收。</w:t>
      </w:r>
    </w:p>
    <w:p>
      <w:pPr>
        <w:spacing w:line="360" w:lineRule="auto"/>
        <w:ind w:firstLine="600"/>
        <w:rPr>
          <w:rFonts w:ascii="宋体" w:hAnsi="宋体" w:cs="宋体"/>
          <w:szCs w:val="21"/>
          <w:highlight w:val="none"/>
        </w:rPr>
      </w:pPr>
      <w:r>
        <w:rPr>
          <w:rFonts w:hint="eastAsia" w:ascii="宋体" w:hAnsi="宋体" w:cs="宋体"/>
          <w:szCs w:val="21"/>
          <w:highlight w:val="none"/>
        </w:rPr>
        <w:t xml:space="preserve">5.1.1.20 因设计人原因造成设计文件出现的遗漏或错误的，重大变更必须在收到甲方书面通知后5个工作日内完成修改及补充，一般变更必须在收到甲方书面通知后3个工作日内完成修改及补充，每延误一天，应减收该项目应收设计费的千分之二。由于设计人设计错误造成工程质量事故损失，设计人除负责采取补救措施外，应免收受损失部分的设计费，已开始施工的并根据损失程度向发包人支付相应损失的赔偿金。 </w:t>
      </w:r>
    </w:p>
    <w:p>
      <w:pPr>
        <w:spacing w:line="360" w:lineRule="auto"/>
        <w:ind w:firstLine="600"/>
        <w:rPr>
          <w:rFonts w:ascii="宋体" w:hAnsi="宋体" w:cs="宋体"/>
          <w:szCs w:val="21"/>
          <w:highlight w:val="none"/>
        </w:rPr>
      </w:pPr>
      <w:r>
        <w:rPr>
          <w:rFonts w:hint="eastAsia" w:ascii="宋体" w:hAnsi="宋体" w:cs="宋体"/>
          <w:szCs w:val="21"/>
          <w:highlight w:val="none"/>
        </w:rPr>
        <w:t>5.1.1.21由于承包人的原因，延误了设计文件交付时间或发包人和承包人双方商定完成的期限（包括施工过程中发出的修改通知），每延误一天扣5000元/天，最高不超过设计费合同价的5%。</w:t>
      </w:r>
    </w:p>
    <w:p>
      <w:pPr>
        <w:spacing w:line="360" w:lineRule="auto"/>
        <w:ind w:firstLine="600"/>
        <w:rPr>
          <w:rFonts w:ascii="宋体" w:hAnsi="宋体" w:cs="宋体"/>
          <w:szCs w:val="21"/>
          <w:highlight w:val="none"/>
        </w:rPr>
      </w:pPr>
      <w:r>
        <w:rPr>
          <w:rFonts w:hint="eastAsia" w:ascii="宋体" w:hAnsi="宋体" w:cs="宋体"/>
          <w:szCs w:val="21"/>
          <w:highlight w:val="none"/>
        </w:rPr>
        <w:t>5.1.1.22 承包人交付设计文件后，</w:t>
      </w:r>
      <w:r>
        <w:rPr>
          <w:rFonts w:hint="eastAsia"/>
          <w:highlight w:val="none"/>
        </w:rPr>
        <w:t>5个日历天内完成图纸审查出具审查报告，承包人应</w:t>
      </w:r>
      <w:r>
        <w:rPr>
          <w:rFonts w:hint="eastAsia" w:ascii="宋体" w:hAnsi="宋体" w:cs="宋体"/>
          <w:szCs w:val="21"/>
          <w:highlight w:val="none"/>
        </w:rPr>
        <w:t>按规定参加有关上级的设计审查并承担相关评审费用，并根据审查结论负责不超出原定范围的内容的必要调整补充。承包人按本合同规定时限交付设计文件，负责向发包人及施工单位进行设计交底、设计驻场配合、处理有关设计问题和参加竣工验收。若承包人不配合业主或行政主管部门组织的专家组等专业人员提出的相关论证意见修改而造成工期延误的，每延误一天扣5000元/天，最高不超过设计费合同价的5%。</w:t>
      </w:r>
    </w:p>
    <w:p>
      <w:pPr>
        <w:spacing w:line="360" w:lineRule="auto"/>
        <w:ind w:firstLine="600"/>
        <w:rPr>
          <w:rFonts w:ascii="宋体" w:hAnsi="宋体" w:cs="宋体"/>
          <w:szCs w:val="21"/>
          <w:highlight w:val="none"/>
        </w:rPr>
      </w:pPr>
      <w:r>
        <w:rPr>
          <w:rFonts w:hint="eastAsia" w:ascii="宋体" w:hAnsi="宋体" w:cs="宋体"/>
          <w:szCs w:val="21"/>
          <w:highlight w:val="none"/>
        </w:rPr>
        <w:t>5.1.1.23 在设计过程及施工过程中，发包人对承包人提出关于本项目设计的相关问题，承包人务必在知道问题之日起3天内进行答复，否则按5000 元 /次处罚。</w:t>
      </w:r>
    </w:p>
    <w:p>
      <w:pPr>
        <w:spacing w:line="360" w:lineRule="auto"/>
        <w:ind w:firstLine="480"/>
        <w:rPr>
          <w:rFonts w:ascii="宋体" w:hAnsi="宋体" w:cs="宋体"/>
          <w:szCs w:val="21"/>
          <w:highlight w:val="none"/>
        </w:rPr>
      </w:pPr>
      <w:r>
        <w:rPr>
          <w:rFonts w:hint="eastAsia" w:ascii="宋体" w:hAnsi="宋体" w:cs="宋体"/>
          <w:szCs w:val="21"/>
          <w:highlight w:val="none"/>
        </w:rPr>
        <w:t>5.1.1.24承包人需配合发包人办理有关许可、批准或备案手续。</w:t>
      </w:r>
    </w:p>
    <w:p>
      <w:pPr>
        <w:spacing w:line="360" w:lineRule="auto"/>
        <w:ind w:firstLine="480"/>
        <w:rPr>
          <w:rFonts w:ascii="宋体" w:hAnsi="宋体" w:cs="宋体"/>
          <w:szCs w:val="21"/>
          <w:highlight w:val="none"/>
        </w:rPr>
      </w:pPr>
      <w:r>
        <w:rPr>
          <w:rFonts w:hint="eastAsia" w:ascii="宋体" w:hAnsi="宋体" w:cs="宋体"/>
          <w:szCs w:val="21"/>
          <w:highlight w:val="none"/>
        </w:rPr>
        <w:t>5.1.1.25发包人要求承包人按照国家技术标准的下限值编制检测方案，并按下表内容提供检测项目的要求:</w:t>
      </w:r>
    </w:p>
    <w:p>
      <w:pPr>
        <w:spacing w:line="360" w:lineRule="auto"/>
        <w:ind w:left="1171" w:right="437"/>
        <w:jc w:val="center"/>
        <w:rPr>
          <w:rFonts w:ascii="宋体" w:hAnsi="宋体" w:cs="宋体"/>
          <w:sz w:val="28"/>
          <w:szCs w:val="28"/>
          <w:highlight w:val="none"/>
          <w:u w:val="single"/>
          <w:lang w:val="zh-CN" w:bidi="zh-CN"/>
        </w:rPr>
      </w:pPr>
    </w:p>
    <w:p>
      <w:pPr>
        <w:spacing w:line="360" w:lineRule="auto"/>
        <w:ind w:left="1171" w:right="437"/>
        <w:jc w:val="center"/>
        <w:rPr>
          <w:rFonts w:ascii="宋体" w:hAnsi="宋体" w:cs="宋体"/>
          <w:sz w:val="28"/>
          <w:szCs w:val="28"/>
          <w:highlight w:val="none"/>
          <w:u w:val="single"/>
          <w:lang w:val="zh-CN" w:bidi="zh-CN"/>
        </w:rPr>
      </w:pPr>
    </w:p>
    <w:p>
      <w:pPr>
        <w:spacing w:line="360" w:lineRule="auto"/>
        <w:ind w:left="1171" w:right="437"/>
        <w:jc w:val="center"/>
        <w:rPr>
          <w:rFonts w:ascii="宋体" w:hAnsi="宋体" w:cs="宋体"/>
          <w:sz w:val="28"/>
          <w:szCs w:val="28"/>
          <w:highlight w:val="none"/>
          <w:lang w:val="zh-CN" w:bidi="zh-CN"/>
        </w:rPr>
      </w:pPr>
      <w:r>
        <w:rPr>
          <w:rFonts w:ascii="宋体" w:hAnsi="宋体" w:cs="宋体"/>
          <w:sz w:val="28"/>
          <w:szCs w:val="28"/>
          <w:highlight w:val="none"/>
          <w:u w:val="single"/>
          <w:lang w:val="zh-CN" w:bidi="zh-CN"/>
        </w:rPr>
        <w:t>检测数量表</w:t>
      </w:r>
    </w:p>
    <w:tbl>
      <w:tblPr>
        <w:tblStyle w:val="16"/>
        <w:tblW w:w="80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1"/>
        <w:gridCol w:w="802"/>
        <w:gridCol w:w="1209"/>
        <w:gridCol w:w="783"/>
        <w:gridCol w:w="938"/>
        <w:gridCol w:w="1094"/>
        <w:gridCol w:w="1094"/>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801" w:type="dxa"/>
            <w:noWrap/>
          </w:tcPr>
          <w:p>
            <w:pPr>
              <w:spacing w:line="360" w:lineRule="auto"/>
              <w:ind w:left="108"/>
              <w:jc w:val="center"/>
              <w:rPr>
                <w:rFonts w:ascii="宋体" w:hAnsi="宋体" w:cs="宋体"/>
                <w:highlight w:val="none"/>
                <w:lang w:val="zh-CN" w:bidi="zh-CN"/>
              </w:rPr>
            </w:pPr>
            <w:r>
              <w:rPr>
                <w:rFonts w:ascii="宋体" w:hAnsi="宋体" w:cs="宋体"/>
                <w:highlight w:val="none"/>
                <w:u w:val="single"/>
                <w:lang w:val="zh-CN" w:bidi="zh-CN"/>
              </w:rPr>
              <w:t>序号</w:t>
            </w:r>
          </w:p>
        </w:tc>
        <w:tc>
          <w:tcPr>
            <w:tcW w:w="802" w:type="dxa"/>
            <w:noWrap/>
          </w:tcPr>
          <w:p>
            <w:pPr>
              <w:spacing w:line="360" w:lineRule="auto"/>
              <w:ind w:left="106"/>
              <w:jc w:val="center"/>
              <w:rPr>
                <w:rFonts w:ascii="宋体" w:hAnsi="宋体" w:cs="宋体"/>
                <w:highlight w:val="none"/>
                <w:lang w:val="zh-CN" w:bidi="zh-CN"/>
              </w:rPr>
            </w:pPr>
            <w:r>
              <w:rPr>
                <w:rFonts w:ascii="宋体" w:hAnsi="宋体" w:cs="宋体"/>
                <w:highlight w:val="none"/>
                <w:u w:val="single"/>
                <w:lang w:val="zh-CN" w:bidi="zh-CN"/>
              </w:rPr>
              <w:t>类型</w:t>
            </w:r>
          </w:p>
        </w:tc>
        <w:tc>
          <w:tcPr>
            <w:tcW w:w="1209" w:type="dxa"/>
            <w:noWrap/>
          </w:tcPr>
          <w:p>
            <w:pPr>
              <w:spacing w:line="360" w:lineRule="auto"/>
              <w:ind w:left="106"/>
              <w:jc w:val="center"/>
              <w:rPr>
                <w:rFonts w:ascii="宋体" w:hAnsi="宋体" w:cs="宋体"/>
                <w:highlight w:val="none"/>
                <w:lang w:val="zh-CN" w:bidi="zh-CN"/>
              </w:rPr>
            </w:pPr>
            <w:r>
              <w:rPr>
                <w:rFonts w:ascii="宋体" w:hAnsi="宋体" w:cs="宋体"/>
                <w:highlight w:val="none"/>
                <w:u w:val="single"/>
                <w:lang w:val="zh-CN" w:bidi="zh-CN"/>
              </w:rPr>
              <w:t>检测项目</w:t>
            </w:r>
          </w:p>
        </w:tc>
        <w:tc>
          <w:tcPr>
            <w:tcW w:w="783" w:type="dxa"/>
            <w:noWrap/>
          </w:tcPr>
          <w:p>
            <w:pPr>
              <w:spacing w:line="360" w:lineRule="auto"/>
              <w:ind w:left="107"/>
              <w:jc w:val="center"/>
              <w:rPr>
                <w:rFonts w:ascii="宋体" w:hAnsi="宋体" w:cs="宋体"/>
                <w:highlight w:val="none"/>
                <w:lang w:val="zh-CN" w:bidi="zh-CN"/>
              </w:rPr>
            </w:pPr>
            <w:r>
              <w:rPr>
                <w:rFonts w:ascii="宋体" w:hAnsi="宋体" w:cs="宋体"/>
                <w:highlight w:val="none"/>
                <w:u w:val="single"/>
                <w:lang w:val="zh-CN" w:bidi="zh-CN"/>
              </w:rPr>
              <w:t>单位</w:t>
            </w:r>
          </w:p>
        </w:tc>
        <w:tc>
          <w:tcPr>
            <w:tcW w:w="938" w:type="dxa"/>
            <w:noWrap/>
          </w:tcPr>
          <w:p>
            <w:pPr>
              <w:spacing w:line="360" w:lineRule="auto"/>
              <w:ind w:left="108"/>
              <w:jc w:val="center"/>
              <w:rPr>
                <w:rFonts w:ascii="宋体" w:hAnsi="宋体" w:cs="宋体"/>
                <w:highlight w:val="none"/>
                <w:lang w:val="zh-CN" w:bidi="zh-CN"/>
              </w:rPr>
            </w:pPr>
            <w:r>
              <w:rPr>
                <w:rFonts w:ascii="宋体" w:hAnsi="宋体" w:cs="宋体"/>
                <w:highlight w:val="none"/>
                <w:u w:val="single"/>
                <w:lang w:val="zh-CN" w:bidi="zh-CN"/>
              </w:rPr>
              <w:t>总数量</w:t>
            </w:r>
          </w:p>
        </w:tc>
        <w:tc>
          <w:tcPr>
            <w:tcW w:w="1094" w:type="dxa"/>
            <w:noWrap/>
          </w:tcPr>
          <w:p>
            <w:pPr>
              <w:spacing w:line="360" w:lineRule="auto"/>
              <w:ind w:left="108"/>
              <w:jc w:val="center"/>
              <w:rPr>
                <w:rFonts w:ascii="宋体" w:hAnsi="宋体" w:cs="宋体"/>
                <w:highlight w:val="none"/>
                <w:lang w:val="zh-CN" w:bidi="zh-CN"/>
              </w:rPr>
            </w:pPr>
            <w:r>
              <w:rPr>
                <w:rFonts w:ascii="宋体" w:hAnsi="宋体" w:cs="宋体"/>
                <w:highlight w:val="none"/>
                <w:u w:val="single"/>
                <w:lang w:val="zh-CN" w:bidi="zh-CN"/>
              </w:rPr>
              <w:t>检测数量</w:t>
            </w:r>
          </w:p>
        </w:tc>
        <w:tc>
          <w:tcPr>
            <w:tcW w:w="1094" w:type="dxa"/>
            <w:noWrap/>
          </w:tcPr>
          <w:p>
            <w:pPr>
              <w:spacing w:line="360" w:lineRule="auto"/>
              <w:ind w:left="108"/>
              <w:jc w:val="center"/>
              <w:rPr>
                <w:rFonts w:ascii="宋体" w:hAnsi="宋体" w:cs="宋体"/>
                <w:highlight w:val="none"/>
                <w:lang w:val="zh-CN" w:bidi="zh-CN"/>
              </w:rPr>
            </w:pPr>
            <w:r>
              <w:rPr>
                <w:rFonts w:ascii="宋体" w:hAnsi="宋体" w:cs="宋体"/>
                <w:highlight w:val="none"/>
                <w:u w:val="single"/>
                <w:lang w:val="zh-CN" w:bidi="zh-CN"/>
              </w:rPr>
              <w:t>检测频率</w:t>
            </w:r>
          </w:p>
        </w:tc>
        <w:tc>
          <w:tcPr>
            <w:tcW w:w="1348" w:type="dxa"/>
            <w:noWrap/>
          </w:tcPr>
          <w:p>
            <w:pPr>
              <w:spacing w:line="360" w:lineRule="auto"/>
              <w:ind w:left="108"/>
              <w:jc w:val="center"/>
              <w:rPr>
                <w:rFonts w:ascii="宋体" w:hAnsi="宋体" w:cs="宋体"/>
                <w:highlight w:val="none"/>
                <w:lang w:val="zh-CN" w:bidi="zh-CN"/>
              </w:rPr>
            </w:pPr>
            <w:r>
              <w:rPr>
                <w:rFonts w:ascii="宋体" w:hAnsi="宋体" w:cs="宋体"/>
                <w:highlight w:val="none"/>
                <w:u w:val="single"/>
                <w:lang w:val="zh-CN" w:bidi="zh-CN"/>
              </w:rPr>
              <w:t>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801" w:type="dxa"/>
            <w:noWrap/>
          </w:tcPr>
          <w:p>
            <w:pPr>
              <w:spacing w:line="360" w:lineRule="auto"/>
              <w:jc w:val="center"/>
              <w:rPr>
                <w:rFonts w:ascii="宋体" w:hAnsi="宋体" w:cs="宋体"/>
                <w:highlight w:val="none"/>
                <w:lang w:val="zh-CN" w:bidi="zh-CN"/>
              </w:rPr>
            </w:pPr>
          </w:p>
        </w:tc>
        <w:tc>
          <w:tcPr>
            <w:tcW w:w="802" w:type="dxa"/>
            <w:noWrap/>
          </w:tcPr>
          <w:p>
            <w:pPr>
              <w:spacing w:line="360" w:lineRule="auto"/>
              <w:jc w:val="center"/>
              <w:rPr>
                <w:rFonts w:ascii="宋体" w:hAnsi="宋体" w:cs="宋体"/>
                <w:highlight w:val="none"/>
                <w:lang w:val="zh-CN" w:bidi="zh-CN"/>
              </w:rPr>
            </w:pPr>
          </w:p>
        </w:tc>
        <w:tc>
          <w:tcPr>
            <w:tcW w:w="1209" w:type="dxa"/>
            <w:noWrap/>
          </w:tcPr>
          <w:p>
            <w:pPr>
              <w:spacing w:line="360" w:lineRule="auto"/>
              <w:jc w:val="center"/>
              <w:rPr>
                <w:rFonts w:ascii="宋体" w:hAnsi="宋体" w:cs="宋体"/>
                <w:highlight w:val="none"/>
                <w:lang w:val="zh-CN" w:bidi="zh-CN"/>
              </w:rPr>
            </w:pPr>
          </w:p>
        </w:tc>
        <w:tc>
          <w:tcPr>
            <w:tcW w:w="783" w:type="dxa"/>
            <w:noWrap/>
          </w:tcPr>
          <w:p>
            <w:pPr>
              <w:spacing w:line="360" w:lineRule="auto"/>
              <w:jc w:val="center"/>
              <w:rPr>
                <w:rFonts w:ascii="宋体" w:hAnsi="宋体" w:cs="宋体"/>
                <w:highlight w:val="none"/>
                <w:lang w:val="zh-CN" w:bidi="zh-CN"/>
              </w:rPr>
            </w:pPr>
          </w:p>
        </w:tc>
        <w:tc>
          <w:tcPr>
            <w:tcW w:w="938" w:type="dxa"/>
            <w:noWrap/>
          </w:tcPr>
          <w:p>
            <w:pPr>
              <w:spacing w:line="360" w:lineRule="auto"/>
              <w:jc w:val="center"/>
              <w:rPr>
                <w:rFonts w:ascii="宋体" w:hAnsi="宋体" w:cs="宋体"/>
                <w:highlight w:val="none"/>
                <w:lang w:val="zh-CN" w:bidi="zh-CN"/>
              </w:rPr>
            </w:pPr>
          </w:p>
        </w:tc>
        <w:tc>
          <w:tcPr>
            <w:tcW w:w="1094" w:type="dxa"/>
            <w:noWrap/>
          </w:tcPr>
          <w:p>
            <w:pPr>
              <w:spacing w:line="360" w:lineRule="auto"/>
              <w:jc w:val="center"/>
              <w:rPr>
                <w:rFonts w:ascii="宋体" w:hAnsi="宋体" w:cs="宋体"/>
                <w:highlight w:val="none"/>
                <w:lang w:val="zh-CN" w:bidi="zh-CN"/>
              </w:rPr>
            </w:pPr>
          </w:p>
        </w:tc>
        <w:tc>
          <w:tcPr>
            <w:tcW w:w="1094" w:type="dxa"/>
            <w:noWrap/>
          </w:tcPr>
          <w:p>
            <w:pPr>
              <w:spacing w:line="360" w:lineRule="auto"/>
              <w:jc w:val="center"/>
              <w:rPr>
                <w:rFonts w:ascii="宋体" w:hAnsi="宋体" w:cs="宋体"/>
                <w:highlight w:val="none"/>
                <w:lang w:val="zh-CN" w:bidi="zh-CN"/>
              </w:rPr>
            </w:pPr>
          </w:p>
        </w:tc>
        <w:tc>
          <w:tcPr>
            <w:tcW w:w="1348" w:type="dxa"/>
            <w:noWrap/>
          </w:tcPr>
          <w:p>
            <w:pPr>
              <w:spacing w:line="360" w:lineRule="auto"/>
              <w:jc w:val="center"/>
              <w:rPr>
                <w:rFonts w:ascii="宋体" w:hAnsi="宋体" w:cs="宋体"/>
                <w:highlight w:val="none"/>
                <w:lang w:val="zh-CN" w:bidi="zh-CN"/>
              </w:rPr>
            </w:pPr>
          </w:p>
        </w:tc>
      </w:tr>
    </w:tbl>
    <w:p>
      <w:pPr>
        <w:snapToGrid w:val="0"/>
        <w:spacing w:line="360" w:lineRule="auto"/>
        <w:ind w:firstLine="480"/>
        <w:contextualSpacing/>
        <w:rPr>
          <w:rFonts w:ascii="宋体" w:hAnsi="宋体" w:cs="宋体"/>
          <w:szCs w:val="21"/>
          <w:highlight w:val="none"/>
        </w:rPr>
      </w:pPr>
      <w:r>
        <w:rPr>
          <w:rFonts w:hint="eastAsia" w:ascii="宋体" w:hAnsi="宋体" w:cs="宋体"/>
          <w:szCs w:val="21"/>
          <w:highlight w:val="none"/>
        </w:rPr>
        <w:t>承包人提供修编后的施工图纸应标明承包人委托的有资质的检查单位按照国家规定最低标准编制的工程检测数量表，以及该检查单位注明的需检测的项目内容、检测项目依据、项目工程总数量、项目抽检频率、项目应检数量等。如因承包人原因导致项目检测数量不准确，而检测费用不足或超出的部分应由承包人负责。</w:t>
      </w:r>
    </w:p>
    <w:p>
      <w:pPr>
        <w:snapToGrid w:val="0"/>
        <w:spacing w:line="360" w:lineRule="auto"/>
        <w:ind w:firstLine="480"/>
        <w:contextualSpacing/>
        <w:rPr>
          <w:rFonts w:ascii="宋体" w:hAnsi="宋体" w:cs="宋体"/>
          <w:szCs w:val="21"/>
          <w:highlight w:val="none"/>
        </w:rPr>
      </w:pPr>
      <w:r>
        <w:rPr>
          <w:rFonts w:hint="eastAsia" w:ascii="宋体" w:hAnsi="宋体" w:cs="宋体"/>
          <w:szCs w:val="21"/>
          <w:highlight w:val="none"/>
        </w:rPr>
        <w:t>5.1.1.26工程设计费</w:t>
      </w:r>
      <w:r>
        <w:rPr>
          <w:rFonts w:hint="eastAsia" w:ascii="宋体" w:hAnsi="宋体" w:cs="宋体"/>
          <w:szCs w:val="21"/>
          <w:highlight w:val="none"/>
          <w:lang w:val="en-US" w:eastAsia="zh-CN"/>
        </w:rPr>
        <w:t>包</w:t>
      </w:r>
      <w:r>
        <w:rPr>
          <w:rFonts w:hint="eastAsia" w:ascii="宋体" w:hAnsi="宋体" w:cs="宋体"/>
          <w:szCs w:val="21"/>
          <w:highlight w:val="none"/>
        </w:rPr>
        <w:t>括施工图阶段的设计费、现场调查考察费、基础资料收集费、设计人员差旅费及完成该设计</w:t>
      </w:r>
      <w:r>
        <w:rPr>
          <w:rFonts w:hint="eastAsia" w:ascii="宋体" w:hAnsi="宋体" w:cs="宋体"/>
          <w:szCs w:val="21"/>
          <w:highlight w:val="none"/>
          <w:lang w:val="en-US" w:eastAsia="zh-CN"/>
        </w:rPr>
        <w:t>工</w:t>
      </w:r>
      <w:r>
        <w:rPr>
          <w:rFonts w:hint="eastAsia" w:ascii="宋体" w:hAnsi="宋体" w:cs="宋体"/>
          <w:szCs w:val="21"/>
          <w:highlight w:val="none"/>
        </w:rPr>
        <w:t>作应支付的所</w:t>
      </w:r>
      <w:r>
        <w:rPr>
          <w:rFonts w:hint="eastAsia" w:ascii="宋体" w:hAnsi="宋体" w:cs="宋体"/>
          <w:szCs w:val="21"/>
          <w:highlight w:val="none"/>
          <w:lang w:val="en-US" w:eastAsia="zh-CN"/>
        </w:rPr>
        <w:t>有</w:t>
      </w:r>
      <w:r>
        <w:rPr>
          <w:rFonts w:hint="eastAsia" w:ascii="宋体" w:hAnsi="宋体" w:cs="宋体"/>
          <w:szCs w:val="21"/>
          <w:highlight w:val="none"/>
        </w:rPr>
        <w:t>费</w:t>
      </w:r>
      <w:r>
        <w:rPr>
          <w:rFonts w:hint="eastAsia" w:ascii="宋体" w:hAnsi="宋体" w:cs="宋体"/>
          <w:szCs w:val="21"/>
          <w:highlight w:val="none"/>
          <w:lang w:val="en-US" w:eastAsia="zh-CN"/>
        </w:rPr>
        <w:t>用(含施工图预算编制费、设计变更预算编制费)</w:t>
      </w:r>
      <w:r>
        <w:rPr>
          <w:rFonts w:hint="eastAsia" w:ascii="宋体" w:hAnsi="宋体" w:cs="宋体"/>
          <w:szCs w:val="21"/>
          <w:highlight w:val="none"/>
        </w:rPr>
        <w:t>。</w:t>
      </w:r>
    </w:p>
    <w:p>
      <w:pPr>
        <w:snapToGrid w:val="0"/>
        <w:spacing w:line="360" w:lineRule="auto"/>
        <w:ind w:firstLine="480"/>
        <w:contextualSpacing/>
        <w:rPr>
          <w:rFonts w:ascii="宋体" w:hAnsi="宋体" w:cs="宋体"/>
          <w:szCs w:val="21"/>
          <w:highlight w:val="none"/>
        </w:rPr>
      </w:pPr>
      <w:r>
        <w:rPr>
          <w:rFonts w:hint="eastAsia" w:ascii="宋体" w:hAnsi="宋体" w:cs="宋体"/>
          <w:szCs w:val="21"/>
          <w:highlight w:val="none"/>
        </w:rPr>
        <w:t>5.1.1.27工程设计适用的技术标准：承包人完成设计工作所应遵守的法律以及技术标准，均应视为在基准日期适用的版本。基准日期之后，前述版本发生重大变化，或者有新的法律以及技术标准实施的，承包人应就推荐性标准向发包人提出遵守新标准的建议，对强制性的规定或标准应当遵照执行。费用包含在投标报价中。</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5.2 承包人文件审查</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5.2.1 承包人文件审查的期限：</w:t>
      </w:r>
      <w:r>
        <w:rPr>
          <w:rFonts w:hint="eastAsia" w:ascii="宋体" w:hAnsi="宋体" w:cs="宋体"/>
          <w:szCs w:val="21"/>
          <w:highlight w:val="none"/>
          <w:u w:val="single"/>
        </w:rPr>
        <w:t xml:space="preserve">按通用合同条款执行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5.2.2 审查会议的审查形式和时间安排为：</w:t>
      </w:r>
      <w:r>
        <w:rPr>
          <w:rFonts w:hint="eastAsia" w:ascii="宋体" w:hAnsi="宋体" w:cs="宋体"/>
          <w:szCs w:val="21"/>
          <w:highlight w:val="none"/>
          <w:u w:val="single"/>
        </w:rPr>
        <w:t xml:space="preserve">根据相关部门规定及要求进行安排 </w:t>
      </w:r>
      <w:r>
        <w:rPr>
          <w:rFonts w:hint="eastAsia" w:ascii="宋体" w:hAnsi="宋体" w:cs="宋体"/>
          <w:szCs w:val="21"/>
          <w:highlight w:val="none"/>
        </w:rPr>
        <w:t>，审查会议的相关费用由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5.2.3 关于第三方审查单位的约定：</w:t>
      </w:r>
      <w:r>
        <w:rPr>
          <w:rFonts w:hint="eastAsia" w:ascii="宋体" w:hAnsi="宋体" w:cs="宋体"/>
          <w:szCs w:val="21"/>
          <w:highlight w:val="none"/>
          <w:u w:val="single"/>
        </w:rPr>
        <w:t xml:space="preserve"> 按通用合同条款执行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5.3 培训</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培训的时长为</w:t>
      </w:r>
      <w:r>
        <w:rPr>
          <w:rFonts w:hint="eastAsia" w:ascii="宋体" w:hAnsi="宋体" w:cs="宋体"/>
          <w:szCs w:val="21"/>
          <w:highlight w:val="none"/>
          <w:u w:val="single"/>
        </w:rPr>
        <w:t xml:space="preserve"> /</w:t>
      </w:r>
      <w:r>
        <w:rPr>
          <w:rFonts w:hint="eastAsia" w:ascii="宋体" w:hAnsi="宋体" w:cs="宋体"/>
          <w:szCs w:val="21"/>
          <w:highlight w:val="none"/>
        </w:rPr>
        <w:t>，承包人应为培训提供的人员、设施和其它必要条件为</w:t>
      </w:r>
      <w:r>
        <w:rPr>
          <w:rFonts w:hint="eastAsia" w:ascii="宋体" w:hAnsi="宋体"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5.4 竣工文件</w:t>
      </w:r>
    </w:p>
    <w:p>
      <w:pPr>
        <w:pStyle w:val="13"/>
        <w:rPr>
          <w:highlight w:val="none"/>
        </w:rPr>
      </w:pP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5.4.1 竣工文件的形式、提供的份数、技术标准以及其它相关要求：</w:t>
      </w:r>
      <w:r>
        <w:rPr>
          <w:rFonts w:hint="eastAsia" w:ascii="宋体" w:hAnsi="宋体" w:cs="宋体"/>
          <w:szCs w:val="21"/>
          <w:highlight w:val="none"/>
          <w:u w:val="single"/>
        </w:rPr>
        <w:t xml:space="preserve"> 提供规范完整准确的竣工资料，包括但不限于：①竣工图五套（计算机软件出图），电子文件一套（通过审批后的纸质图纸扫描件，格式为 CAD 版和 PDF 版文件各一套）；②规范完整的竣工内业书面资料三套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5.4.3 关于竣工文件的其他约定：</w:t>
      </w:r>
      <w:r>
        <w:rPr>
          <w:rFonts w:hint="eastAsia" w:ascii="宋体" w:hAnsi="宋体" w:cs="宋体"/>
          <w:szCs w:val="21"/>
          <w:highlight w:val="none"/>
          <w:u w:val="single"/>
        </w:rPr>
        <w:t xml:space="preserve"> 按通用合同条款执行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5.5 操作和维修手册</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5.5.3 对最终操作和维修手册的约定：</w:t>
      </w:r>
      <w:r>
        <w:rPr>
          <w:rFonts w:hint="eastAsia" w:ascii="宋体" w:hAnsi="宋体" w:cs="宋体"/>
          <w:szCs w:val="21"/>
          <w:highlight w:val="none"/>
          <w:u w:val="single"/>
        </w:rPr>
        <w:t xml:space="preserve"> 按通用合同条款执行  </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19" w:name="_Toc109076903"/>
      <w:bookmarkStart w:id="1120" w:name="_Toc27676"/>
      <w:bookmarkStart w:id="1121" w:name="_Toc25218"/>
      <w:bookmarkStart w:id="1122" w:name="_Toc212"/>
      <w:bookmarkStart w:id="1123" w:name="_Toc31795"/>
      <w:bookmarkStart w:id="1124" w:name="_Toc54862337"/>
      <w:r>
        <w:rPr>
          <w:rFonts w:hint="eastAsia" w:ascii="宋体" w:hAnsi="宋体" w:cs="宋体"/>
          <w:kern w:val="0"/>
          <w:szCs w:val="21"/>
          <w:highlight w:val="none"/>
        </w:rPr>
        <w:t>第6条 材料、工程设备</w:t>
      </w:r>
      <w:bookmarkEnd w:id="1119"/>
      <w:bookmarkEnd w:id="1120"/>
      <w:bookmarkEnd w:id="1121"/>
      <w:bookmarkEnd w:id="1122"/>
      <w:bookmarkEnd w:id="1123"/>
      <w:bookmarkEnd w:id="1124"/>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6.1 实施方法</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双方当事人约定的实施方法、设备、设施和材料：</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6.2 材料和工程设备</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6.2.1 发包人提供的材料和工程设备</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发包人提供的材料和工程设备验收后，由</w:t>
      </w:r>
      <w:r>
        <w:rPr>
          <w:rFonts w:hint="eastAsia" w:ascii="宋体" w:hAnsi="宋体" w:cs="宋体"/>
          <w:szCs w:val="21"/>
          <w:highlight w:val="none"/>
          <w:u w:val="single"/>
        </w:rPr>
        <w:t xml:space="preserve"> 承包人 </w:t>
      </w:r>
      <w:r>
        <w:rPr>
          <w:rFonts w:hint="eastAsia" w:ascii="宋体" w:hAnsi="宋体" w:cs="宋体"/>
          <w:szCs w:val="21"/>
          <w:highlight w:val="none"/>
        </w:rPr>
        <w:t>负责接收、运输和保管。</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6.2.2 承包人提供的材料和工程设备</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材料和工程设备的类别、估算数量：</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竣工后试验的生产性材料的类别或（和）清单：</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left="212" w:firstLine="480"/>
        <w:contextualSpacing/>
        <w:rPr>
          <w:rFonts w:ascii="宋体" w:hAnsi="宋体" w:cs="宋体"/>
          <w:szCs w:val="21"/>
          <w:highlight w:val="none"/>
          <w:u w:val="single"/>
          <w:lang w:val="zh-CN" w:bidi="zh-CN"/>
        </w:rPr>
      </w:pPr>
      <w:r>
        <w:rPr>
          <w:rFonts w:hint="eastAsia" w:ascii="宋体" w:hAnsi="宋体" w:cs="宋体"/>
          <w:szCs w:val="21"/>
          <w:highlight w:val="none"/>
          <w:u w:val="single"/>
          <w:lang w:val="zh-CN" w:bidi="zh-CN"/>
        </w:rPr>
        <w:t>（1）承包人应将主要材料和工程设备的生产厂家（或供货人）及品牌、规格、型号、数量、质量验收标准和供货时间等报送监理人和发包人报备，承包人应提交相应的质量证明文件，确保满足合同约定的质量标准。监理人和发包人对主要材料和工程设备的报备并不能免除承包人的相关责任。</w:t>
      </w:r>
    </w:p>
    <w:p>
      <w:pPr>
        <w:snapToGrid w:val="0"/>
        <w:spacing w:line="360" w:lineRule="auto"/>
        <w:ind w:left="212" w:firstLine="480"/>
        <w:contextualSpacing/>
        <w:rPr>
          <w:rFonts w:ascii="宋体" w:hAnsi="宋体" w:cs="宋体"/>
          <w:szCs w:val="21"/>
          <w:highlight w:val="none"/>
          <w:u w:val="single"/>
          <w:lang w:val="zh-CN" w:bidi="zh-CN"/>
        </w:rPr>
      </w:pPr>
      <w:r>
        <w:rPr>
          <w:rFonts w:hint="eastAsia" w:ascii="宋体" w:hAnsi="宋体" w:cs="宋体"/>
          <w:szCs w:val="21"/>
          <w:highlight w:val="none"/>
          <w:u w:val="single"/>
          <w:lang w:val="zh-CN" w:bidi="zh-CN"/>
        </w:rPr>
        <w:t>（2）由承包人提供的材料和工程设备，承包人应提供相应合格证明和产品合格证书，按照国家现行规范进行材料和设备的质量检测并提交检测报告等资料，并会同监理人和发包人进行查验和交货验收。承包人进行的质量检测费用由承包人自行承担。</w:t>
      </w:r>
    </w:p>
    <w:p>
      <w:pPr>
        <w:snapToGrid w:val="0"/>
        <w:spacing w:line="360" w:lineRule="auto"/>
        <w:ind w:left="212" w:firstLine="480"/>
        <w:contextualSpacing/>
        <w:rPr>
          <w:rFonts w:ascii="宋体" w:hAnsi="宋体" w:cs="宋体"/>
          <w:szCs w:val="21"/>
          <w:highlight w:val="none"/>
          <w:u w:val="single"/>
          <w:lang w:val="zh-CN" w:bidi="zh-CN"/>
        </w:rPr>
      </w:pPr>
      <w:r>
        <w:rPr>
          <w:rFonts w:hint="eastAsia" w:ascii="宋体" w:hAnsi="宋体" w:cs="宋体"/>
          <w:szCs w:val="21"/>
          <w:highlight w:val="none"/>
          <w:u w:val="single"/>
          <w:lang w:val="zh-CN" w:bidi="zh-CN"/>
        </w:rPr>
        <w:t>（3）发包人有权委托具有相应资质的检测机构进行材料的抽样检验和工程设备的检验测试。检测机构根据与发包人签订的委托合同收取材料和工程设备的检验测试费用，检测合格的，由发包人承担；检测不合格的，由承包人承担。</w:t>
      </w:r>
    </w:p>
    <w:p>
      <w:pPr>
        <w:snapToGrid w:val="0"/>
        <w:spacing w:line="360" w:lineRule="auto"/>
        <w:ind w:left="212" w:firstLine="480"/>
        <w:contextualSpacing/>
        <w:rPr>
          <w:rFonts w:ascii="宋体" w:hAnsi="宋体" w:cs="宋体"/>
          <w:szCs w:val="21"/>
          <w:highlight w:val="none"/>
          <w:u w:val="single"/>
          <w:lang w:val="zh-CN" w:bidi="zh-CN"/>
        </w:rPr>
      </w:pPr>
      <w:r>
        <w:rPr>
          <w:rFonts w:hint="eastAsia" w:ascii="宋体" w:hAnsi="宋体" w:cs="宋体"/>
          <w:szCs w:val="21"/>
          <w:highlight w:val="none"/>
          <w:u w:val="single"/>
          <w:lang w:val="zh-CN" w:bidi="zh-CN"/>
        </w:rPr>
        <w:t>（4）未经监理人同意而擅自减少、更换主要施工机械，或把施工机械擅自调离现场且影响施工进度，在收到监理人书面通知后 3 天内仍未按要求进场者，承包人承担 500 元/台的违约金；同时承担因此对发包人及发包人造成的工期延误和经济损失。</w:t>
      </w:r>
    </w:p>
    <w:p>
      <w:pPr>
        <w:snapToGrid w:val="0"/>
        <w:spacing w:line="360" w:lineRule="auto"/>
        <w:ind w:left="212" w:firstLine="480"/>
        <w:contextualSpacing/>
        <w:rPr>
          <w:rFonts w:ascii="宋体" w:hAnsi="宋体" w:cs="宋体"/>
          <w:szCs w:val="21"/>
          <w:highlight w:val="none"/>
          <w:u w:val="single"/>
          <w:lang w:val="zh-CN" w:bidi="zh-CN"/>
        </w:rPr>
      </w:pPr>
      <w:r>
        <w:rPr>
          <w:rFonts w:hint="eastAsia" w:ascii="宋体" w:hAnsi="宋体" w:cs="宋体"/>
          <w:szCs w:val="21"/>
          <w:highlight w:val="none"/>
          <w:u w:val="single"/>
          <w:lang w:val="zh-CN" w:bidi="zh-CN"/>
        </w:rPr>
        <w:t>（5）如因货物运输、材料采购、设备租赁等导致其他方提出索赔，与发包人 无关，承包人自行与索赔方谈判并支付索赔款。</w:t>
      </w:r>
    </w:p>
    <w:p>
      <w:pPr>
        <w:snapToGrid w:val="0"/>
        <w:spacing w:line="360" w:lineRule="auto"/>
        <w:ind w:left="212" w:firstLine="480"/>
        <w:contextualSpacing/>
        <w:rPr>
          <w:rFonts w:ascii="宋体" w:hAnsi="宋体" w:cs="宋体"/>
          <w:szCs w:val="21"/>
          <w:highlight w:val="none"/>
          <w:u w:val="single"/>
          <w:lang w:val="zh-CN" w:bidi="zh-CN"/>
        </w:rPr>
      </w:pPr>
      <w:r>
        <w:rPr>
          <w:rFonts w:hint="eastAsia" w:ascii="宋体" w:hAnsi="宋体" w:cs="宋体"/>
          <w:szCs w:val="21"/>
          <w:highlight w:val="none"/>
          <w:u w:val="single"/>
          <w:lang w:val="zh-CN" w:bidi="zh-CN"/>
        </w:rPr>
        <w:t xml:space="preserve">（6）承包人应根据发包人要求，编制完善的项目采购计划（含材料清单），报送发包人作为监控承包人采购工作的依据。发包人有权要求承包人提供无标价的供货合同。 </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6.2.3 材料和工程设备的保管</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发包人供应的材料和工程设备的保管费用由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承包人提交保管、维护方案的时间：。</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发包人提供的库房、堆场、设施和设备：</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6.3 样品</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6.3.1 样品的报送与封存</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需要承包人报送样品的材料或工程设备，样品种类、名称、规格、数量：</w:t>
      </w:r>
      <w:r>
        <w:rPr>
          <w:rFonts w:hint="eastAsia" w:ascii="宋体" w:hAnsi="宋体" w:cs="宋体"/>
          <w:szCs w:val="21"/>
          <w:highlight w:val="none"/>
          <w:u w:val="single"/>
        </w:rPr>
        <w:t xml:space="preserve"> 按通用合同条款执行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6.4 质量检查</w:t>
      </w:r>
    </w:p>
    <w:p>
      <w:pPr>
        <w:rPr>
          <w:highlight w:val="none"/>
        </w:rPr>
      </w:pP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6.4.1 工程质量要求</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工程质量的特殊标准或要求：</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6.4.2 质量检查</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除通用合同条件已列明的质量检查的地点外，发包人有权进行质量检查的其他地点：</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6.4.3 隐蔽工程检查</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关于隐蔽工程和中间验收的特别约定：</w:t>
      </w:r>
      <w:r>
        <w:rPr>
          <w:rFonts w:hint="eastAsia" w:cs="宋体"/>
          <w:szCs w:val="21"/>
          <w:highlight w:val="none"/>
          <w:u w:val="single"/>
        </w:rPr>
        <w:t>按工程相关验收规范和要求</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6.5 由承包人试验和检验</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6.5.1 试验设备与试验人员</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试验的内容、时间和地点：</w:t>
      </w:r>
      <w:r>
        <w:rPr>
          <w:rFonts w:hint="eastAsia" w:ascii="宋体" w:hAnsi="宋体" w:cs="宋体"/>
          <w:szCs w:val="21"/>
          <w:highlight w:val="none"/>
          <w:u w:val="single"/>
        </w:rPr>
        <w:t xml:space="preserve"> 按工程实际需要和有关规定执行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试验所需要的试验设备、取样装置、试验场所和试验条件：</w:t>
      </w:r>
      <w:r>
        <w:rPr>
          <w:rFonts w:hint="eastAsia" w:ascii="宋体" w:hAnsi="宋体" w:cs="宋体"/>
          <w:szCs w:val="21"/>
          <w:highlight w:val="none"/>
          <w:u w:val="single"/>
        </w:rPr>
        <w:t xml:space="preserve"> 按工程实际需要和有关规定执行</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rPr>
        <w:t>试验和检验费用的计价原则：</w:t>
      </w:r>
      <w:r>
        <w:rPr>
          <w:rFonts w:hint="eastAsia" w:ascii="宋体" w:hAnsi="宋体" w:cs="宋体"/>
          <w:szCs w:val="21"/>
          <w:highlight w:val="none"/>
          <w:u w:val="single"/>
        </w:rPr>
        <w:t xml:space="preserve"> 按工程实际需要和有关规定执行 </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25" w:name="_Toc6447"/>
      <w:bookmarkStart w:id="1126" w:name="_Toc4986"/>
      <w:bookmarkStart w:id="1127" w:name="_Toc9186"/>
      <w:bookmarkStart w:id="1128" w:name="_Toc54862338"/>
      <w:bookmarkStart w:id="1129" w:name="_Toc31225"/>
      <w:bookmarkStart w:id="1130" w:name="_Toc109076904"/>
      <w:r>
        <w:rPr>
          <w:rFonts w:hint="eastAsia" w:ascii="宋体" w:hAnsi="宋体" w:cs="宋体"/>
          <w:kern w:val="0"/>
          <w:szCs w:val="21"/>
          <w:highlight w:val="none"/>
        </w:rPr>
        <w:t>第7条 施工</w:t>
      </w:r>
      <w:bookmarkEnd w:id="1125"/>
      <w:bookmarkEnd w:id="1126"/>
      <w:bookmarkEnd w:id="1127"/>
      <w:bookmarkEnd w:id="1128"/>
      <w:bookmarkEnd w:id="1129"/>
      <w:bookmarkEnd w:id="1130"/>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7.1 交通运输</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7.1.1 出入现场的权利</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关于出入现场的权利的约定：</w:t>
      </w:r>
      <w:r>
        <w:rPr>
          <w:rFonts w:hint="eastAsia" w:ascii="宋体" w:hAnsi="宋体" w:cs="宋体"/>
          <w:szCs w:val="21"/>
          <w:highlight w:val="none"/>
          <w:u w:val="single"/>
        </w:rPr>
        <w:t xml:space="preserve"> 承包人施工所需水、电、通讯线路由承包人负责并承担费用，费用包含在合同价款内；临时通道实施方案应先上报发包人确认，确认后由承包人负责修建并承担费用</w:t>
      </w:r>
      <w:r>
        <w:rPr>
          <w:rFonts w:ascii="宋体" w:hAnsi="宋体" w:cs="宋体"/>
          <w:szCs w:val="21"/>
          <w:highlight w:val="none"/>
          <w:u w:val="single"/>
        </w:rPr>
        <w:t>。</w:t>
      </w:r>
      <w:r>
        <w:rPr>
          <w:rFonts w:hint="eastAsia" w:ascii="宋体" w:hAnsi="宋体" w:cs="宋体"/>
          <w:szCs w:val="21"/>
          <w:highlight w:val="none"/>
          <w:u w:val="single"/>
        </w:rPr>
        <w:t xml:space="preserve">发包人协助承包人办理上述手续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7.1.2 场外交通</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关于场外交通的特别约定：</w:t>
      </w:r>
      <w:r>
        <w:rPr>
          <w:rFonts w:hint="eastAsia" w:ascii="宋体" w:hAnsi="宋体" w:cs="宋体"/>
          <w:szCs w:val="21"/>
          <w:highlight w:val="none"/>
          <w:u w:val="single"/>
        </w:rPr>
        <w:t xml:space="preserve"> 按通用合同条款执行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7.1.3 场内交通</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关于场内交通的特别约定：</w:t>
      </w:r>
      <w:r>
        <w:rPr>
          <w:rFonts w:hint="eastAsia" w:ascii="宋体" w:hAnsi="宋体" w:cs="宋体"/>
          <w:szCs w:val="21"/>
          <w:highlight w:val="none"/>
          <w:u w:val="single"/>
        </w:rPr>
        <w:t xml:space="preserve"> 按通用合同条款执行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关于场内交通与场外交通边界的约定：</w:t>
      </w:r>
      <w:r>
        <w:rPr>
          <w:rFonts w:hint="eastAsia" w:ascii="宋体" w:hAnsi="宋体" w:cs="宋体"/>
          <w:szCs w:val="21"/>
          <w:highlight w:val="none"/>
          <w:u w:val="single"/>
        </w:rPr>
        <w:t xml:space="preserve"> 按通用合同条款执行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7.1.4 超大件和超重件的运输</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运输超大件或超重件所需的道路和桥梁临时加固改造费用和其他有关费用由</w:t>
      </w:r>
      <w:r>
        <w:rPr>
          <w:rFonts w:hint="eastAsia" w:cs="宋体"/>
          <w:szCs w:val="21"/>
          <w:highlight w:val="none"/>
          <w:u w:val="single"/>
        </w:rPr>
        <w:t xml:space="preserve">/ </w:t>
      </w:r>
      <w:r>
        <w:rPr>
          <w:rFonts w:hint="eastAsia" w:ascii="宋体" w:hAnsi="宋体" w:cs="宋体"/>
          <w:szCs w:val="21"/>
          <w:highlight w:val="none"/>
        </w:rPr>
        <w:t>承担。</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7.2 施工设备和临时设施</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7.2.1 承包人提供的施工设备和临时设施</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临时设施的费用和临时占地手续和费用承担的特别约定：</w:t>
      </w:r>
      <w:r>
        <w:rPr>
          <w:rFonts w:hint="eastAsia" w:ascii="宋体" w:hAnsi="宋体" w:cs="宋体"/>
          <w:szCs w:val="21"/>
          <w:highlight w:val="none"/>
          <w:u w:val="single"/>
        </w:rPr>
        <w:t>施工所需水、电、通讯线路由承包人负责并承担费用，费用包含在合同价款内，不含场地以外的线路和接驳费用</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7.2.2 发包人提供的施工设备和临时设施</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发包人提供的施工设备或临时设施范围：</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7.3 现场合作</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关于现场合作费用的特别约定：</w:t>
      </w:r>
      <w:r>
        <w:rPr>
          <w:rFonts w:hint="eastAsia" w:ascii="宋体" w:hAnsi="宋体" w:cs="宋体"/>
          <w:szCs w:val="21"/>
          <w:highlight w:val="none"/>
          <w:u w:val="single"/>
        </w:rPr>
        <w:t xml:space="preserve"> 由承包人承担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7.4 测量放线</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7.4.1 关于测量放线的特别约定的技术规范：</w:t>
      </w:r>
      <w:r>
        <w:rPr>
          <w:rFonts w:hint="eastAsia" w:cs="宋体"/>
          <w:szCs w:val="21"/>
          <w:highlight w:val="none"/>
          <w:u w:val="single"/>
        </w:rPr>
        <w:t>/</w:t>
      </w:r>
      <w:r>
        <w:rPr>
          <w:rFonts w:hint="eastAsia" w:ascii="宋体" w:hAnsi="宋体" w:cs="宋体"/>
          <w:szCs w:val="21"/>
          <w:highlight w:val="none"/>
        </w:rPr>
        <w:t>。施工控制网资料的告知期限：</w:t>
      </w:r>
      <w:r>
        <w:rPr>
          <w:rFonts w:hint="eastAsia" w:ascii="宋体" w:hAnsi="宋体" w:cs="宋体"/>
          <w:szCs w:val="21"/>
          <w:highlight w:val="none"/>
          <w:u w:val="single"/>
        </w:rPr>
        <w:t xml:space="preserve"> 在开工前21 天内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7.5 现场劳动用工</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7.5.2 合同当事人对建筑工人工资清偿事宜和违约责任的约定：</w:t>
      </w:r>
    </w:p>
    <w:p>
      <w:pPr>
        <w:snapToGrid w:val="0"/>
        <w:ind w:left="212" w:firstLine="480"/>
        <w:contextualSpacing/>
        <w:rPr>
          <w:rFonts w:ascii="宋体" w:hAnsi="宋体" w:cs="宋体"/>
          <w:szCs w:val="21"/>
          <w:highlight w:val="none"/>
          <w:u w:val="single"/>
          <w:lang w:val="zh-CN" w:bidi="zh-CN"/>
        </w:rPr>
      </w:pPr>
      <w:r>
        <w:rPr>
          <w:rFonts w:hint="eastAsia" w:ascii="宋体" w:hAnsi="宋体" w:cs="宋体"/>
          <w:szCs w:val="21"/>
          <w:highlight w:val="none"/>
          <w:u w:val="single"/>
          <w:lang w:val="zh-CN" w:bidi="zh-CN"/>
        </w:rPr>
        <w:t>（1）承包人应当根据劳动合同约定的工人工资标准等内容，按照依法签订的集体合同或劳动合同约定的日期按月支付工资，并不得低于当地最低工资标准。</w:t>
      </w:r>
    </w:p>
    <w:p>
      <w:pPr>
        <w:snapToGrid w:val="0"/>
        <w:ind w:left="212" w:firstLine="480"/>
        <w:contextualSpacing/>
        <w:rPr>
          <w:rFonts w:ascii="宋体" w:hAnsi="宋体" w:cs="宋体"/>
          <w:szCs w:val="21"/>
          <w:highlight w:val="none"/>
          <w:u w:val="single"/>
          <w:lang w:val="zh-CN" w:bidi="zh-CN"/>
        </w:rPr>
      </w:pPr>
      <w:r>
        <w:rPr>
          <w:rFonts w:hint="eastAsia" w:ascii="宋体" w:hAnsi="宋体" w:cs="宋体"/>
          <w:szCs w:val="21"/>
          <w:highlight w:val="none"/>
          <w:u w:val="single"/>
          <w:lang w:val="zh-CN" w:bidi="zh-CN"/>
        </w:rPr>
        <w:t xml:space="preserve">（2）承包人支付工人工资应编制工资支付表，如实记录支付表，支付时间、支付对象、支付数额等工资支付情况，并保存备查。 </w:t>
      </w:r>
    </w:p>
    <w:p>
      <w:pPr>
        <w:snapToGrid w:val="0"/>
        <w:ind w:left="212" w:firstLine="480"/>
        <w:contextualSpacing/>
        <w:rPr>
          <w:rFonts w:ascii="宋体" w:hAnsi="宋体" w:cs="宋体"/>
          <w:szCs w:val="21"/>
          <w:highlight w:val="none"/>
          <w:u w:val="single"/>
          <w:lang w:val="zh-CN" w:bidi="zh-CN"/>
        </w:rPr>
      </w:pPr>
      <w:r>
        <w:rPr>
          <w:rFonts w:hint="eastAsia" w:ascii="宋体" w:hAnsi="宋体" w:cs="宋体"/>
          <w:szCs w:val="21"/>
          <w:highlight w:val="none"/>
          <w:u w:val="single"/>
          <w:lang w:val="zh-CN" w:bidi="zh-CN"/>
        </w:rPr>
        <w:t>（3）承包人对其专业分包或劳务分包单位工资支付进行监督，督促其依法支付工人工资。</w:t>
      </w:r>
    </w:p>
    <w:p>
      <w:pPr>
        <w:snapToGrid w:val="0"/>
        <w:ind w:left="212" w:firstLine="480"/>
        <w:contextualSpacing/>
        <w:rPr>
          <w:rFonts w:ascii="宋体" w:hAnsi="宋体" w:cs="宋体"/>
          <w:szCs w:val="21"/>
          <w:highlight w:val="none"/>
          <w:u w:val="single"/>
          <w:lang w:val="zh-CN" w:bidi="zh-CN"/>
        </w:rPr>
      </w:pPr>
      <w:r>
        <w:rPr>
          <w:rFonts w:hint="eastAsia" w:ascii="宋体" w:hAnsi="宋体" w:cs="宋体"/>
          <w:szCs w:val="21"/>
          <w:highlight w:val="none"/>
          <w:u w:val="single"/>
          <w:lang w:val="zh-CN" w:bidi="zh-CN"/>
        </w:rPr>
        <w:t>（4）承包人应按上述要求及国家、地方有关规定按时支付工人工资，否则，视为违约，承担相应违约责任。</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7.6 安全文明施工</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7.6.1 安全生产要求</w:t>
      </w:r>
    </w:p>
    <w:p>
      <w:pPr>
        <w:snapToGrid w:val="0"/>
        <w:spacing w:line="360" w:lineRule="auto"/>
        <w:ind w:left="124" w:leftChars="59" w:firstLine="600"/>
        <w:contextualSpacing/>
        <w:rPr>
          <w:rFonts w:ascii="宋体" w:hAnsi="宋体" w:cs="宋体"/>
          <w:szCs w:val="21"/>
          <w:highlight w:val="none"/>
        </w:rPr>
      </w:pPr>
      <w:r>
        <w:rPr>
          <w:rFonts w:hint="eastAsia" w:ascii="宋体" w:hAnsi="宋体" w:cs="宋体"/>
          <w:szCs w:val="21"/>
          <w:highlight w:val="none"/>
        </w:rPr>
        <w:t>合同当事人对安全施工的要求：</w:t>
      </w:r>
      <w:r>
        <w:rPr>
          <w:rFonts w:hint="eastAsia" w:ascii="宋体" w:hAnsi="宋体" w:cs="宋体"/>
          <w:szCs w:val="21"/>
          <w:highlight w:val="none"/>
          <w:u w:val="single"/>
        </w:rPr>
        <w:t xml:space="preserve"> 治安管理的约定：承包人须根据建设行政主管部门的要求，在施工现场安装视频监控设备</w:t>
      </w:r>
      <w:r>
        <w:rPr>
          <w:rFonts w:hint="eastAsia" w:cs="宋体"/>
          <w:szCs w:val="21"/>
          <w:highlight w:val="none"/>
          <w:u w:val="single"/>
        </w:rPr>
        <w:t>，</w:t>
      </w:r>
      <w:r>
        <w:rPr>
          <w:rFonts w:hint="eastAsia" w:ascii="宋体" w:hAnsi="宋体" w:cs="宋体"/>
          <w:szCs w:val="21"/>
          <w:highlight w:val="none"/>
          <w:u w:val="single"/>
        </w:rPr>
        <w:t xml:space="preserve">相关费用由承包人负责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7.6.3 文明施工</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合同当事人对文明施工的要求：</w:t>
      </w:r>
      <w:r>
        <w:rPr>
          <w:rFonts w:hint="eastAsia" w:ascii="宋体" w:hAnsi="宋体" w:cs="宋体"/>
          <w:szCs w:val="21"/>
          <w:highlight w:val="none"/>
          <w:u w:val="single"/>
        </w:rPr>
        <w:t>（1）安全文明施工的内容：无特别约定。（2）治安管理的约定：承包人须根据建设行政主管部门的要求，在施工现场安装视频监控设备</w:t>
      </w:r>
      <w:r>
        <w:rPr>
          <w:rFonts w:hint="eastAsia" w:cs="宋体"/>
          <w:szCs w:val="21"/>
          <w:highlight w:val="none"/>
          <w:u w:val="single"/>
        </w:rPr>
        <w:t>，</w:t>
      </w:r>
      <w:r>
        <w:rPr>
          <w:rFonts w:hint="eastAsia" w:ascii="宋体" w:hAnsi="宋体" w:cs="宋体"/>
          <w:szCs w:val="21"/>
          <w:highlight w:val="none"/>
          <w:u w:val="single"/>
        </w:rPr>
        <w:t>相关费用由承包人负责</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7.9 临时性公用设施</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关于临时性公用设施的特别约定：</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7.10 现场安保</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承包人现场安保义务的特别约定：</w:t>
      </w:r>
      <w:r>
        <w:rPr>
          <w:rFonts w:hint="eastAsia" w:ascii="宋体" w:hAnsi="宋体" w:cs="宋体"/>
          <w:szCs w:val="21"/>
          <w:highlight w:val="none"/>
          <w:u w:val="single"/>
        </w:rPr>
        <w:t xml:space="preserve"> 由承包人承担相关费用 </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31" w:name="_Toc9343"/>
      <w:bookmarkStart w:id="1132" w:name="_Toc54862339"/>
      <w:bookmarkStart w:id="1133" w:name="_Toc19642"/>
      <w:bookmarkStart w:id="1134" w:name="_Toc14824"/>
      <w:bookmarkStart w:id="1135" w:name="_Toc30261"/>
      <w:bookmarkStart w:id="1136" w:name="_Toc109076905"/>
      <w:r>
        <w:rPr>
          <w:rFonts w:hint="eastAsia" w:ascii="宋体" w:hAnsi="宋体" w:cs="宋体"/>
          <w:kern w:val="0"/>
          <w:szCs w:val="21"/>
          <w:highlight w:val="none"/>
        </w:rPr>
        <w:t>第8条 工期和进度</w:t>
      </w:r>
      <w:bookmarkEnd w:id="1131"/>
      <w:bookmarkEnd w:id="1132"/>
      <w:bookmarkEnd w:id="1133"/>
      <w:bookmarkEnd w:id="1134"/>
      <w:bookmarkEnd w:id="1135"/>
      <w:bookmarkEnd w:id="1136"/>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8.1 开始工作</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8.1.1 开始准备工作：</w:t>
      </w:r>
      <w:r>
        <w:rPr>
          <w:rFonts w:hint="eastAsia" w:ascii="宋体" w:hAnsi="宋体" w:cs="宋体"/>
          <w:szCs w:val="21"/>
          <w:highlight w:val="none"/>
          <w:u w:val="single"/>
        </w:rPr>
        <w:t xml:space="preserve"> 监理单位及发包人在具备开工条件5 个日历天内以书面形式确认并签发开工令。开工令签发后的 5 个日历天内承包人应保证进场开工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8.1.2 发包人可在计划开始工作之日起84日后发出开始工作通知的特殊情形：</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8.2 竣工日期</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竣工日期的约定：</w:t>
      </w:r>
      <w:r>
        <w:rPr>
          <w:rFonts w:hint="eastAsia" w:ascii="宋体" w:hAnsi="宋体" w:cs="宋体"/>
          <w:szCs w:val="21"/>
          <w:highlight w:val="none"/>
          <w:u w:val="single"/>
        </w:rPr>
        <w:t xml:space="preserve"> 合同协议书约定的工期竣工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8.3 项目实施计划</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8.3.1 项目实施计划的内容</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项目实施计划的内容：</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8.3.2 项目实施计划的提交和修改</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项目实施计划的提交及修改期限：</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8.4 项目进度计划</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8.4.1 工程师在收到进度计划后确认或提出修改意见的期限：</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8.4.2 进度计划的具体要求：</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关键路径及关键路径变化的确定原则：</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承包人提交项目进度计划的份数和时间：</w:t>
      </w:r>
      <w:r>
        <w:rPr>
          <w:rFonts w:hint="eastAsia" w:ascii="宋体" w:hAnsi="宋体" w:cs="宋体"/>
          <w:szCs w:val="21"/>
          <w:highlight w:val="none"/>
          <w:u w:val="single"/>
        </w:rPr>
        <w:t xml:space="preserve"> 合同签订后 14 天内提供 4 份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8.4.3 进度计划的修订</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承包人提交修订项目进度计划申请报告的期限：</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发包人批复修订项目进度计划申请报告的期限：</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承包人答复发包人提出修订合同计划的期限：</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8.5 进度报告</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进度报告的具体要求：</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（1）承包人进场 7 个日历天内应提供进场一星期内提供人员、材料、机械设备进场计划表。根据</w:t>
      </w:r>
      <w:r>
        <w:rPr>
          <w:rFonts w:hint="eastAsia" w:ascii="宋体" w:hAnsi="宋体" w:cs="宋体"/>
          <w:szCs w:val="21"/>
          <w:highlight w:val="none"/>
          <w:u w:val="single"/>
        </w:rPr>
        <w:t>发包人</w:t>
      </w:r>
      <w:r>
        <w:rPr>
          <w:rFonts w:hint="eastAsia" w:ascii="宋体" w:hAnsi="宋体" w:cs="宋体"/>
          <w:szCs w:val="21"/>
          <w:highlight w:val="none"/>
        </w:rPr>
        <w:t>结合建设条件制定的项目实施计划编制施工进度计划。报监理单位和发包人审批。审定后的施工总进度计划将作为控制施工进度的依据，承包人必须对施工进度进行动态管理，发现施工滞后必须及时作出调整和纠偏，并将调整报告和控制措施报监理单位和发包人审批，审定后方可实施。</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（2）承包人必须在每周五报送下周的施工进度计划、劳动力供应计划、主要材料供应计划、主要机具调配计划和资金使用计划，经监理单位和发包人审定后实施。</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3）月度计划：承包人应在每月25日前，根据总体工程进度计划要求编制月度计划，其格式和内容应符合监理工程师要求。计划应包括本月完成和下月预计完成的工程数量和工作量，及保证计划完成的措施，对未完成计划，应详明原因并提出加快进度的措施。承包人的施工总体计划、月度计划应按要求报监理工程师审核调整并报发包人批准后方能实施。工程进度计划的修订：承包人应在确保合同工期的前提下，每月对进度计划进行一次修订，并应在上一个进度计划的25日前提交给监理工程师审查。周计划：承包人应在每周五，根据总体工程进度计划和月度计划编制下周计划，其格式和内容应符合监理工程师要求。计划应包括本周完成和下周预计完成的工程数量和工作量，及保证计划完成的措施，对未完成计划，应详明原因并提出加快进度的措施。</w:t>
      </w:r>
    </w:p>
    <w:p>
      <w:pPr>
        <w:snapToGrid w:val="0"/>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 xml:space="preserve"> 8.7 工期延误</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8.7.2 因承包人原因导致工期延误</w:t>
      </w:r>
    </w:p>
    <w:p>
      <w:pPr>
        <w:snapToGrid w:val="0"/>
        <w:spacing w:line="360" w:lineRule="auto"/>
        <w:ind w:firstLine="600"/>
        <w:contextualSpacing/>
        <w:rPr>
          <w:highlight w:val="none"/>
          <w:u w:val="single"/>
        </w:rPr>
      </w:pPr>
      <w:r>
        <w:rPr>
          <w:rFonts w:ascii="宋体" w:hAnsi="宋体" w:cs="宋体"/>
          <w:szCs w:val="21"/>
          <w:highlight w:val="none"/>
          <w:u w:val="single"/>
        </w:rPr>
        <w:t>（1)</w:t>
      </w:r>
      <w:r>
        <w:rPr>
          <w:rFonts w:hint="eastAsia"/>
          <w:highlight w:val="none"/>
          <w:u w:val="single"/>
        </w:rPr>
        <w:t>本工程实施分部报建，自合同签订后15日内，完成基础报建并开始施工，每延期一天扣减 5000元违约金。</w:t>
      </w:r>
      <w:r>
        <w:rPr>
          <w:rFonts w:hint="eastAsia" w:ascii="宋体" w:hAnsi="宋体" w:cs="宋体"/>
          <w:szCs w:val="21"/>
          <w:highlight w:val="none"/>
          <w:u w:val="single"/>
        </w:rPr>
        <w:t>另外，承包人未交付基础部分设计文件的，发包人认为未具备开工条件，不允许开工，不予同意开工报审，由此引起的其他后果（如总工期延误），则按合同其他相关条款执行。承包人逾期交付工程设计文件的违约金的上限：设计费的5%</w:t>
      </w:r>
      <w:r>
        <w:rPr>
          <w:rFonts w:hint="eastAsia"/>
          <w:highlight w:val="none"/>
          <w:u w:val="single"/>
        </w:rPr>
        <w:t>。</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（2）本项目承包人</w:t>
      </w:r>
      <w:r>
        <w:rPr>
          <w:rFonts w:ascii="宋体" w:hAnsi="宋体" w:cs="宋体"/>
          <w:szCs w:val="21"/>
          <w:highlight w:val="none"/>
          <w:u w:val="single"/>
        </w:rPr>
        <w:t>（</w:t>
      </w:r>
      <w:r>
        <w:rPr>
          <w:rFonts w:hint="eastAsia" w:ascii="宋体" w:hAnsi="宋体" w:cs="宋体"/>
          <w:szCs w:val="21"/>
          <w:highlight w:val="none"/>
          <w:u w:val="single"/>
        </w:rPr>
        <w:t>设计方</w:t>
      </w:r>
      <w:r>
        <w:rPr>
          <w:rFonts w:ascii="宋体" w:hAnsi="宋体" w:cs="宋体"/>
          <w:szCs w:val="21"/>
          <w:highlight w:val="none"/>
          <w:u w:val="single"/>
        </w:rPr>
        <w:t>，</w:t>
      </w:r>
      <w:r>
        <w:rPr>
          <w:rFonts w:hint="eastAsia" w:ascii="宋体" w:hAnsi="宋体" w:cs="宋体"/>
          <w:szCs w:val="21"/>
          <w:highlight w:val="none"/>
          <w:u w:val="single"/>
        </w:rPr>
        <w:t>本条下同</w:t>
      </w:r>
      <w:r>
        <w:rPr>
          <w:rFonts w:ascii="宋体" w:hAnsi="宋体" w:cs="宋体"/>
          <w:szCs w:val="21"/>
          <w:highlight w:val="none"/>
          <w:u w:val="single"/>
        </w:rPr>
        <w:t>）</w:t>
      </w:r>
      <w:r>
        <w:rPr>
          <w:rFonts w:hint="eastAsia" w:ascii="宋体" w:hAnsi="宋体" w:cs="宋体"/>
          <w:szCs w:val="21"/>
          <w:highlight w:val="none"/>
          <w:u w:val="single"/>
        </w:rPr>
        <w:t>必须在签订合同后60日交付整套设计文件，由于承包人原因，未按约定的时间交付设计文件的，每延误一天，每延误一天扣5000元/天，最高不超过设计费合同价的5%，</w:t>
      </w:r>
      <w:r>
        <w:rPr>
          <w:rFonts w:hint="eastAsia" w:ascii="宋体" w:hAnsi="宋体" w:cs="宋体"/>
          <w:b/>
          <w:szCs w:val="21"/>
          <w:highlight w:val="none"/>
          <w:u w:val="single"/>
        </w:rPr>
        <w:t>逾期超过60天，发包人有权以书面通知书形式解除合同，通知到达承包人即生效，由此导致的一切损失由承包人负责。</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（3）本项目承包人</w:t>
      </w:r>
      <w:r>
        <w:rPr>
          <w:rFonts w:ascii="宋体" w:hAnsi="宋体" w:cs="宋体"/>
          <w:szCs w:val="21"/>
          <w:highlight w:val="none"/>
          <w:u w:val="single"/>
        </w:rPr>
        <w:t>（</w:t>
      </w:r>
      <w:r>
        <w:rPr>
          <w:rFonts w:hint="eastAsia" w:ascii="宋体" w:hAnsi="宋体" w:cs="宋体"/>
          <w:szCs w:val="21"/>
          <w:highlight w:val="none"/>
          <w:u w:val="single"/>
        </w:rPr>
        <w:t>施工方</w:t>
      </w:r>
      <w:r>
        <w:rPr>
          <w:rFonts w:ascii="宋体" w:hAnsi="宋体" w:cs="宋体"/>
          <w:szCs w:val="21"/>
          <w:highlight w:val="none"/>
          <w:u w:val="single"/>
        </w:rPr>
        <w:t>，</w:t>
      </w:r>
      <w:r>
        <w:rPr>
          <w:rFonts w:hint="eastAsia" w:ascii="宋体" w:hAnsi="宋体" w:cs="宋体"/>
          <w:szCs w:val="21"/>
          <w:highlight w:val="none"/>
          <w:u w:val="single"/>
        </w:rPr>
        <w:t>本条下同</w:t>
      </w:r>
      <w:r>
        <w:rPr>
          <w:rFonts w:ascii="宋体" w:hAnsi="宋体" w:cs="宋体"/>
          <w:szCs w:val="21"/>
          <w:highlight w:val="none"/>
          <w:u w:val="single"/>
        </w:rPr>
        <w:t>）</w:t>
      </w:r>
      <w:r>
        <w:rPr>
          <w:rFonts w:hint="eastAsia" w:ascii="宋体" w:hAnsi="宋体" w:cs="宋体"/>
          <w:szCs w:val="21"/>
          <w:highlight w:val="none"/>
          <w:u w:val="single"/>
        </w:rPr>
        <w:t>必须在设计文件审定后14日内完成施工组织设计并经监理单位下发工程开工令开始进场施工，由于承包人未能按约定时间完成节点工作（如交付工程设计文件、未按规定办理《施工许可证》），使开工时间延误，竣工日期不顺延，由于承包人原因导致的开工时间延误，发包人有权对承包人处以本项目总合同价的 0.1%/天（不少于 5000 元/天）的赔偿金，由此引起的其他后果（如总工期延误），则按合同其他相关条款执行。因承包人原因造成开工时间延误，逾期开工违约金的上限：合同价款的 10%，因发包人原因除外 。</w:t>
      </w:r>
    </w:p>
    <w:p>
      <w:pPr>
        <w:snapToGrid w:val="0"/>
        <w:spacing w:line="360" w:lineRule="auto"/>
        <w:ind w:firstLine="600"/>
        <w:contextualSpacing/>
        <w:rPr>
          <w:rFonts w:ascii="宋体" w:hAnsi="宋体" w:cs="宋体"/>
          <w:szCs w:val="21"/>
          <w:highlight w:val="none"/>
          <w:u w:val="single"/>
        </w:rPr>
      </w:pPr>
      <w:r>
        <w:rPr>
          <w:rFonts w:ascii="宋体" w:hAnsi="宋体" w:cs="宋体"/>
          <w:szCs w:val="21"/>
          <w:highlight w:val="none"/>
          <w:u w:val="single"/>
        </w:rPr>
        <w:t>（</w:t>
      </w:r>
      <w:r>
        <w:rPr>
          <w:rFonts w:hint="eastAsia" w:ascii="宋体" w:hAnsi="宋体" w:cs="宋体"/>
          <w:szCs w:val="21"/>
          <w:highlight w:val="none"/>
          <w:u w:val="single"/>
        </w:rPr>
        <w:t>4</w:t>
      </w:r>
      <w:r>
        <w:rPr>
          <w:rFonts w:ascii="宋体" w:hAnsi="宋体" w:cs="宋体"/>
          <w:szCs w:val="21"/>
          <w:highlight w:val="none"/>
          <w:u w:val="single"/>
        </w:rPr>
        <w:t>）因承包人原因造成工期延误的，每日历天应赔付额度为</w:t>
      </w:r>
      <w:r>
        <w:rPr>
          <w:rFonts w:hint="eastAsia" w:ascii="宋体" w:hAnsi="宋体" w:cs="宋体"/>
          <w:szCs w:val="21"/>
          <w:highlight w:val="none"/>
          <w:u w:val="single"/>
        </w:rPr>
        <w:t>合同价格的0.1%（不少于 5000 元/天），</w:t>
      </w:r>
      <w:r>
        <w:rPr>
          <w:highlight w:val="none"/>
          <w:u w:val="single"/>
        </w:rPr>
        <w:t>累计最高赔偿金额为合同协议书的合同价格的</w:t>
      </w:r>
      <w:r>
        <w:rPr>
          <w:rFonts w:hint="eastAsia"/>
          <w:highlight w:val="none"/>
          <w:u w:val="single"/>
        </w:rPr>
        <w:t>：</w:t>
      </w:r>
      <w:r>
        <w:rPr>
          <w:highlight w:val="none"/>
          <w:u w:val="single"/>
        </w:rPr>
        <w:t>10%</w:t>
      </w:r>
      <w:r>
        <w:rPr>
          <w:rFonts w:hint="eastAsia"/>
          <w:highlight w:val="none"/>
          <w:u w:val="single"/>
        </w:rPr>
        <w:t>；</w:t>
      </w:r>
      <w:r>
        <w:rPr>
          <w:rFonts w:ascii="宋体" w:hAnsi="宋体" w:cs="宋体"/>
          <w:szCs w:val="21"/>
          <w:highlight w:val="none"/>
          <w:u w:val="single"/>
        </w:rPr>
        <w:t xml:space="preserve">因发包人原因造成工期延误的，工期顺延； </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本</w:t>
      </w:r>
      <w:r>
        <w:rPr>
          <w:rFonts w:ascii="宋体" w:hAnsi="宋体" w:cs="宋体"/>
          <w:szCs w:val="21"/>
          <w:highlight w:val="none"/>
          <w:u w:val="single"/>
        </w:rPr>
        <w:t>工程每月的实际进度与审定的施工总进度计划对比，承包人应在工程延误后及时作出进度计划调整的，力争追回延误的工期。工程竣工验收后，将对实际总工期与审定的施工总进度计划的工期进行比较，</w:t>
      </w:r>
      <w:r>
        <w:rPr>
          <w:rFonts w:hint="eastAsia" w:ascii="宋体" w:hAnsi="宋体" w:cs="宋体"/>
          <w:szCs w:val="21"/>
          <w:highlight w:val="none"/>
          <w:u w:val="single"/>
        </w:rPr>
        <w:t>由于承包方原因造成的延误，</w:t>
      </w:r>
      <w:r>
        <w:rPr>
          <w:rFonts w:ascii="宋体" w:hAnsi="宋体" w:cs="宋体"/>
          <w:szCs w:val="21"/>
          <w:highlight w:val="none"/>
          <w:u w:val="single"/>
        </w:rPr>
        <w:t>按实际延误的工期总天数计算最后的扣减金额。在施工过程中，</w:t>
      </w:r>
      <w:r>
        <w:rPr>
          <w:rFonts w:hint="eastAsia" w:ascii="宋体" w:hAnsi="宋体" w:cs="宋体"/>
          <w:szCs w:val="21"/>
          <w:highlight w:val="none"/>
          <w:u w:val="single"/>
        </w:rPr>
        <w:t>由于承包方原因造成的延误，</w:t>
      </w:r>
      <w:r>
        <w:rPr>
          <w:rFonts w:ascii="宋体" w:hAnsi="宋体" w:cs="宋体"/>
          <w:szCs w:val="21"/>
          <w:highlight w:val="none"/>
          <w:u w:val="single"/>
        </w:rPr>
        <w:t>每月工期延误超过20天的，视为违约，发包人有权终止施工合同，没收履约保证金。</w:t>
      </w:r>
    </w:p>
    <w:p>
      <w:pPr>
        <w:snapToGrid w:val="0"/>
        <w:spacing w:line="360" w:lineRule="auto"/>
        <w:ind w:firstLine="600"/>
        <w:contextualSpacing/>
        <w:rPr>
          <w:rFonts w:ascii="宋体" w:hAnsi="宋体" w:cs="宋体"/>
          <w:szCs w:val="21"/>
          <w:highlight w:val="none"/>
          <w:u w:val="single"/>
        </w:rPr>
      </w:pPr>
      <w:r>
        <w:rPr>
          <w:rFonts w:ascii="宋体" w:hAnsi="宋体" w:cs="宋体"/>
          <w:szCs w:val="21"/>
          <w:highlight w:val="none"/>
          <w:u w:val="single"/>
        </w:rPr>
        <w:t>承包人在收到变更通知</w:t>
      </w:r>
      <w:r>
        <w:rPr>
          <w:rFonts w:hint="eastAsia" w:ascii="宋体" w:hAnsi="宋体" w:cs="宋体"/>
          <w:szCs w:val="21"/>
          <w:highlight w:val="none"/>
          <w:u w:val="single"/>
        </w:rPr>
        <w:t>单</w:t>
      </w:r>
      <w:r>
        <w:rPr>
          <w:rFonts w:ascii="宋体" w:hAnsi="宋体" w:cs="宋体"/>
          <w:szCs w:val="21"/>
          <w:highlight w:val="none"/>
          <w:u w:val="single"/>
        </w:rPr>
        <w:t>后 5 天内，</w:t>
      </w:r>
      <w:r>
        <w:rPr>
          <w:rFonts w:hint="eastAsia" w:ascii="宋体" w:hAnsi="宋体" w:cs="宋体"/>
          <w:szCs w:val="21"/>
          <w:highlight w:val="none"/>
          <w:u w:val="single"/>
        </w:rPr>
        <w:t>将工程变更报告</w:t>
      </w:r>
      <w:r>
        <w:rPr>
          <w:rFonts w:ascii="宋体" w:hAnsi="宋体" w:cs="宋体"/>
          <w:szCs w:val="21"/>
          <w:highlight w:val="none"/>
          <w:u w:val="single"/>
        </w:rPr>
        <w:t>提交给监理审核，每延期一天扣减 3000元。</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8.7.3 行政审批迟延</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行政审批报送的职责分工：。</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8.7.4 异常恶劣的气候条件</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双方约定视为异常恶劣的气候条件的情形：</w:t>
      </w:r>
    </w:p>
    <w:p>
      <w:pPr>
        <w:snapToGrid w:val="0"/>
        <w:spacing w:line="360" w:lineRule="auto"/>
        <w:ind w:left="600"/>
        <w:contextualSpacing/>
        <w:rPr>
          <w:rFonts w:ascii="宋体" w:hAnsi="宋体" w:cs="宋体"/>
          <w:szCs w:val="21"/>
          <w:highlight w:val="none"/>
          <w:u w:val="single"/>
        </w:rPr>
      </w:pPr>
      <w:r>
        <w:rPr>
          <w:rFonts w:hint="eastAsia" w:ascii="宋体" w:hAnsi="宋体" w:cs="宋体"/>
          <w:szCs w:val="21"/>
          <w:highlight w:val="none"/>
        </w:rPr>
        <w:t>（1）</w:t>
      </w:r>
      <w:r>
        <w:rPr>
          <w:rFonts w:hint="eastAsia" w:ascii="宋体" w:hAnsi="宋体" w:cs="宋体"/>
          <w:szCs w:val="21"/>
          <w:highlight w:val="none"/>
          <w:u w:val="single"/>
        </w:rPr>
        <w:t xml:space="preserve">异常天气： 仅指50年一遇以上（含50 年）的洪水、暴雨、雷击；10级（含本数）以上台风，直接淹没或 袭击工地为确保安全而停工。承包人应于洪水、台风、暴雨天气结束之日起七日内，向本地气象部门索取当地台风、暴雨天气资料或报告（含气象实况及对此分析的内容），连同施工日志、施工现场照片办理证据保全公证，方可认定为是不可抗力。 </w:t>
      </w:r>
    </w:p>
    <w:p>
      <w:pPr>
        <w:snapToGrid w:val="0"/>
        <w:spacing w:line="360" w:lineRule="auto"/>
        <w:ind w:left="600"/>
        <w:contextualSpacing/>
        <w:rPr>
          <w:rFonts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u w:val="single"/>
        </w:rPr>
        <w:t>里氏5级（含本数）以上地震。</w:t>
      </w:r>
    </w:p>
    <w:p>
      <w:pPr>
        <w:snapToGrid w:val="0"/>
        <w:spacing w:line="360" w:lineRule="auto"/>
        <w:ind w:left="600"/>
        <w:contextualSpacing/>
        <w:rPr>
          <w:rFonts w:ascii="宋体" w:hAnsi="宋体" w:cs="宋体"/>
          <w:szCs w:val="21"/>
          <w:highlight w:val="none"/>
        </w:rPr>
      </w:pPr>
      <w:r>
        <w:rPr>
          <w:rFonts w:hint="eastAsia" w:ascii="宋体" w:hAnsi="宋体" w:cs="宋体"/>
          <w:szCs w:val="21"/>
          <w:highlight w:val="none"/>
        </w:rPr>
        <w:t>8.8 工期提前</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8.8.2 承包人提前竣工的奖励：</w:t>
      </w:r>
      <w:r>
        <w:rPr>
          <w:rFonts w:hint="eastAsia" w:ascii="宋体" w:hAnsi="宋体" w:cs="宋体"/>
          <w:szCs w:val="21"/>
          <w:highlight w:val="none"/>
          <w:u w:val="single"/>
        </w:rPr>
        <w:t xml:space="preserve">  不支付奖励金  </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37" w:name="_Toc5273"/>
      <w:bookmarkStart w:id="1138" w:name="_Toc26885"/>
      <w:bookmarkStart w:id="1139" w:name="_Toc4458"/>
      <w:bookmarkStart w:id="1140" w:name="_Toc1994"/>
      <w:bookmarkStart w:id="1141" w:name="_Toc109076906"/>
      <w:bookmarkStart w:id="1142" w:name="_Toc54862340"/>
      <w:r>
        <w:rPr>
          <w:rFonts w:hint="eastAsia" w:ascii="宋体" w:hAnsi="宋体" w:cs="宋体"/>
          <w:kern w:val="0"/>
          <w:szCs w:val="21"/>
          <w:highlight w:val="none"/>
        </w:rPr>
        <w:t>第9条 竣工试验</w:t>
      </w:r>
      <w:bookmarkEnd w:id="1137"/>
      <w:bookmarkEnd w:id="1138"/>
      <w:bookmarkEnd w:id="1139"/>
      <w:bookmarkEnd w:id="1140"/>
      <w:bookmarkEnd w:id="1141"/>
      <w:bookmarkEnd w:id="1142"/>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9.1 竣工试验的义务</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9.1.3 竣工试验的阶段、内容和顺序：</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竣工试验的操作要求：</w:t>
      </w:r>
      <w:r>
        <w:rPr>
          <w:rFonts w:hint="eastAsia" w:cs="宋体"/>
          <w:szCs w:val="21"/>
          <w:highlight w:val="none"/>
          <w:u w:val="single"/>
        </w:rPr>
        <w:t>按通用条款执行</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43" w:name="_Toc4784273"/>
      <w:bookmarkEnd w:id="1143"/>
      <w:bookmarkStart w:id="1144" w:name="_Toc4784272"/>
      <w:bookmarkEnd w:id="1144"/>
      <w:bookmarkStart w:id="1145" w:name="_Toc109076907"/>
      <w:bookmarkStart w:id="1146" w:name="_Toc1553"/>
      <w:bookmarkStart w:id="1147" w:name="_Toc19296"/>
      <w:bookmarkStart w:id="1148" w:name="_Toc54862341"/>
      <w:bookmarkStart w:id="1149" w:name="_Toc19941"/>
      <w:bookmarkStart w:id="1150" w:name="_Toc19578"/>
      <w:r>
        <w:rPr>
          <w:rFonts w:hint="eastAsia" w:ascii="宋体" w:hAnsi="宋体" w:cs="宋体"/>
          <w:kern w:val="0"/>
          <w:szCs w:val="21"/>
          <w:highlight w:val="none"/>
        </w:rPr>
        <w:t>第10条 验收和工程接收</w:t>
      </w:r>
      <w:bookmarkEnd w:id="1145"/>
      <w:bookmarkEnd w:id="1146"/>
      <w:bookmarkEnd w:id="1147"/>
      <w:bookmarkEnd w:id="1148"/>
      <w:bookmarkEnd w:id="1149"/>
      <w:bookmarkEnd w:id="1150"/>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10.1 竣工验收</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10.1.2 关于竣工验收程序的约定：</w:t>
      </w:r>
      <w:r>
        <w:rPr>
          <w:rFonts w:hint="eastAsia" w:cs="宋体"/>
          <w:szCs w:val="21"/>
          <w:highlight w:val="none"/>
          <w:u w:val="single"/>
        </w:rPr>
        <w:t xml:space="preserve">按通用条款执行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bookmarkStart w:id="1151" w:name="_Hlk46406260"/>
      <w:r>
        <w:rPr>
          <w:rFonts w:hint="eastAsia" w:ascii="宋体" w:hAnsi="宋体" w:cs="宋体"/>
          <w:szCs w:val="21"/>
          <w:highlight w:val="none"/>
        </w:rPr>
        <w:t>发包人不按照合同约定组织竣工验收、颁发工程接受证书的违约金的计算方式：</w:t>
      </w:r>
      <w:r>
        <w:rPr>
          <w:rFonts w:hint="eastAsia" w:cs="宋体"/>
          <w:szCs w:val="21"/>
          <w:highlight w:val="none"/>
          <w:u w:val="single"/>
        </w:rPr>
        <w:t>无</w:t>
      </w:r>
      <w:r>
        <w:rPr>
          <w:rFonts w:hint="eastAsia" w:ascii="宋体" w:hAnsi="宋体" w:cs="宋体"/>
          <w:szCs w:val="21"/>
          <w:highlight w:val="none"/>
        </w:rPr>
        <w:t>。</w:t>
      </w:r>
    </w:p>
    <w:bookmarkEnd w:id="1151"/>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10.3</w:t>
      </w:r>
      <w:r>
        <w:rPr>
          <w:rFonts w:hint="eastAsia" w:ascii="宋体" w:hAnsi="宋体" w:cs="宋体"/>
          <w:szCs w:val="21"/>
          <w:highlight w:val="none"/>
        </w:rPr>
        <w:tab/>
      </w:r>
      <w:r>
        <w:rPr>
          <w:rFonts w:hint="eastAsia" w:ascii="宋体" w:hAnsi="宋体" w:cs="宋体"/>
          <w:szCs w:val="21"/>
          <w:highlight w:val="none"/>
        </w:rPr>
        <w:t xml:space="preserve"> 工程的接收</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10.3.1工程接收的先后顺序、时间安排和其他要求：</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10.3.2 接受工程时承包人需提交竣工验收资料的类别、内容、份数和提交时间：</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10.3.3 发包人逾期接收工程的违约责任：</w:t>
      </w:r>
      <w:r>
        <w:rPr>
          <w:rFonts w:hint="eastAsia" w:cs="宋体"/>
          <w:szCs w:val="21"/>
          <w:highlight w:val="none"/>
          <w:u w:val="single"/>
        </w:rPr>
        <w:t>无</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10.3.4 承包人无正当理由不移交工程的违约责任：</w:t>
      </w:r>
      <w:r>
        <w:rPr>
          <w:rFonts w:hint="eastAsia" w:ascii="宋体" w:hAnsi="宋体" w:cs="宋体"/>
          <w:szCs w:val="21"/>
          <w:highlight w:val="none"/>
          <w:u w:val="single"/>
        </w:rPr>
        <w:t xml:space="preserve"> 发包人有权解除合同，由此产生的一切后果及损失由承包人负责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10.4 接收证书</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10.4.1 工程接收证书颁发时间：</w:t>
      </w:r>
      <w:r>
        <w:rPr>
          <w:rFonts w:hint="eastAsia" w:cs="宋体"/>
          <w:szCs w:val="21"/>
          <w:highlight w:val="none"/>
          <w:u w:val="single"/>
        </w:rPr>
        <w:t>按通用条款执行</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10.5 竣工退场</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10.5.1 竣工退场的相关约定：</w:t>
      </w:r>
      <w:r>
        <w:rPr>
          <w:rFonts w:hint="eastAsia" w:ascii="宋体" w:hAnsi="宋体" w:cs="宋体"/>
          <w:szCs w:val="21"/>
          <w:highlight w:val="none"/>
          <w:u w:val="single"/>
        </w:rPr>
        <w:t xml:space="preserve"> 颁发工程接收证书后 14 天内竣工退场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10.5.3人员撤离</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工程师同意需在缺陷责任期内继续工作和使用的人员、施工设备和临时工程的内容：</w:t>
      </w:r>
      <w:r>
        <w:rPr>
          <w:rFonts w:hint="eastAsia" w:cs="宋体"/>
          <w:szCs w:val="21"/>
          <w:highlight w:val="none"/>
          <w:u w:val="single"/>
        </w:rPr>
        <w:t>/</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52" w:name="_Toc32265"/>
      <w:bookmarkStart w:id="1153" w:name="_Toc31836"/>
      <w:bookmarkStart w:id="1154" w:name="_Toc54862342"/>
      <w:bookmarkStart w:id="1155" w:name="_Toc12875"/>
      <w:bookmarkStart w:id="1156" w:name="_Toc109076908"/>
      <w:bookmarkStart w:id="1157" w:name="_Toc13839"/>
      <w:r>
        <w:rPr>
          <w:rFonts w:hint="eastAsia" w:ascii="宋体" w:hAnsi="宋体" w:cs="宋体"/>
          <w:kern w:val="0"/>
          <w:szCs w:val="21"/>
          <w:highlight w:val="none"/>
        </w:rPr>
        <w:t>第11条 缺陷责任与保修</w:t>
      </w:r>
      <w:bookmarkEnd w:id="1152"/>
      <w:bookmarkEnd w:id="1153"/>
      <w:bookmarkEnd w:id="1154"/>
      <w:bookmarkEnd w:id="1155"/>
      <w:bookmarkEnd w:id="1156"/>
      <w:bookmarkEnd w:id="1157"/>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11.2 缺陷责任期</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缺陷责任期的期限：</w:t>
      </w:r>
      <w:r>
        <w:rPr>
          <w:rFonts w:hint="eastAsia" w:ascii="宋体" w:hAnsi="宋体" w:cs="宋体"/>
          <w:szCs w:val="21"/>
          <w:highlight w:val="none"/>
          <w:u w:val="single"/>
        </w:rPr>
        <w:t xml:space="preserve"> 从工程通过竣工验收之日起 12 个月【由于承包人原因（包括无法达到验收条件）导致工程无法按规定期限进行竣工验收的，缺陷责任期从实际通过竣工验收之日起计，由于发包人原因导致工程无法按规定期限进行竣工验收的，以承包人提交竣工验收报告时间为竣工验收时间，并自动进入缺陷责任期 】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11.3 缺陷调查</w:t>
      </w:r>
    </w:p>
    <w:p>
      <w:pPr>
        <w:snapToGrid w:val="0"/>
        <w:spacing w:line="360" w:lineRule="auto"/>
        <w:ind w:firstLine="600"/>
        <w:contextualSpacing/>
        <w:rPr>
          <w:rFonts w:ascii="宋体" w:hAnsi="宋体" w:cs="宋体"/>
          <w:szCs w:val="21"/>
          <w:highlight w:val="none"/>
        </w:rPr>
      </w:pPr>
      <w:r>
        <w:rPr>
          <w:rFonts w:ascii="宋体" w:hAnsi="宋体" w:cs="宋体"/>
          <w:szCs w:val="21"/>
          <w:highlight w:val="none"/>
        </w:rPr>
        <w:t>11.3.2 缺陷责任</w:t>
      </w:r>
      <w:r>
        <w:rPr>
          <w:rFonts w:ascii="宋体" w:hAnsi="宋体" w:cs="宋体"/>
          <w:szCs w:val="21"/>
          <w:highlight w:val="none"/>
          <w:u w:val="single"/>
        </w:rPr>
        <w:t>（1）缺陷责任期内，由承包人原因造成的缺陷，承包人应负责维修，并承担鉴定及维修费用。如承包人不维修也不承担费用，</w:t>
      </w:r>
      <w:r>
        <w:rPr>
          <w:rFonts w:hint="eastAsia" w:ascii="宋体" w:hAnsi="宋体" w:cs="宋体"/>
          <w:szCs w:val="21"/>
          <w:highlight w:val="none"/>
          <w:u w:val="single"/>
        </w:rPr>
        <w:t>发包人</w:t>
      </w:r>
      <w:r>
        <w:rPr>
          <w:rFonts w:ascii="宋体" w:hAnsi="宋体" w:cs="宋体"/>
          <w:szCs w:val="21"/>
          <w:highlight w:val="none"/>
          <w:u w:val="single"/>
        </w:rPr>
        <w:t>可按合同约定从保证金或银行保函中扣除，费用超出保证金额的，</w:t>
      </w:r>
      <w:r>
        <w:rPr>
          <w:rFonts w:hint="eastAsia" w:ascii="宋体" w:hAnsi="宋体" w:cs="宋体"/>
          <w:szCs w:val="21"/>
          <w:highlight w:val="none"/>
          <w:u w:val="single"/>
        </w:rPr>
        <w:t>发包人</w:t>
      </w:r>
      <w:r>
        <w:rPr>
          <w:rFonts w:ascii="宋体" w:hAnsi="宋体" w:cs="宋体"/>
          <w:szCs w:val="21"/>
          <w:highlight w:val="none"/>
          <w:u w:val="single"/>
        </w:rPr>
        <w:t>可按合同约定向承包人进行索赔。承包人维修并承担相应费用后，不免除对工程的损失赔偿责任。（2）由他人原因造成的缺陷，发包人负责组织维修，</w:t>
      </w:r>
      <w:r>
        <w:rPr>
          <w:rFonts w:hint="eastAsia" w:ascii="宋体" w:hAnsi="宋体" w:cs="宋体"/>
          <w:szCs w:val="21"/>
          <w:highlight w:val="none"/>
          <w:u w:val="single"/>
        </w:rPr>
        <w:t>发包人</w:t>
      </w:r>
      <w:r>
        <w:rPr>
          <w:rFonts w:ascii="宋体" w:hAnsi="宋体" w:cs="宋体"/>
          <w:szCs w:val="21"/>
          <w:highlight w:val="none"/>
          <w:u w:val="single"/>
        </w:rPr>
        <w:t>承担该费用，且</w:t>
      </w:r>
      <w:r>
        <w:rPr>
          <w:rFonts w:hint="eastAsia" w:ascii="宋体" w:hAnsi="宋体" w:cs="宋体"/>
          <w:szCs w:val="21"/>
          <w:highlight w:val="none"/>
          <w:u w:val="single"/>
        </w:rPr>
        <w:t>发包人</w:t>
      </w:r>
      <w:r>
        <w:rPr>
          <w:rFonts w:ascii="宋体" w:hAnsi="宋体" w:cs="宋体"/>
          <w:szCs w:val="21"/>
          <w:highlight w:val="none"/>
          <w:u w:val="single"/>
        </w:rPr>
        <w:t>不得从保证金中扣除费用。（3）缺陷责任期内，承包人认真履行合同约定的责任，到期后，承包人向发包人申请返还保证金，发包人审批后同意，由</w:t>
      </w:r>
      <w:r>
        <w:rPr>
          <w:rFonts w:hint="eastAsia" w:ascii="宋体" w:hAnsi="宋体" w:cs="宋体"/>
          <w:szCs w:val="21"/>
          <w:highlight w:val="none"/>
          <w:u w:val="single"/>
        </w:rPr>
        <w:t>发包人</w:t>
      </w:r>
      <w:r>
        <w:rPr>
          <w:rFonts w:ascii="宋体" w:hAnsi="宋体" w:cs="宋体"/>
          <w:szCs w:val="21"/>
          <w:highlight w:val="none"/>
          <w:u w:val="single"/>
        </w:rPr>
        <w:t>返还承包人保证金。</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11.3.4 修复通知</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承包人收到保修通知并到达工程现场的合理时间：</w:t>
      </w:r>
      <w:r>
        <w:rPr>
          <w:rFonts w:hint="eastAsia" w:ascii="宋体" w:hAnsi="宋体" w:cs="宋体"/>
          <w:szCs w:val="21"/>
          <w:highlight w:val="none"/>
          <w:u w:val="single"/>
        </w:rPr>
        <w:t xml:space="preserve">发包人通知承包人后 72 小时内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11.6 缺陷责任期终止证书</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承包人应于缺陷责任期届满后</w:t>
      </w:r>
      <w:r>
        <w:rPr>
          <w:rFonts w:hint="eastAsia" w:cs="宋体"/>
          <w:szCs w:val="21"/>
          <w:highlight w:val="none"/>
          <w:u w:val="single"/>
        </w:rPr>
        <w:t>/</w:t>
      </w:r>
      <w:r>
        <w:rPr>
          <w:rFonts w:hint="eastAsia" w:ascii="宋体" w:hAnsi="宋体" w:cs="宋体"/>
          <w:szCs w:val="21"/>
          <w:highlight w:val="none"/>
        </w:rPr>
        <w:t>天内向发包人发出缺陷责任期届满通知，发包人应在收到缺陷责任期满通知后</w:t>
      </w:r>
      <w:r>
        <w:rPr>
          <w:rFonts w:hint="eastAsia" w:cs="宋体"/>
          <w:szCs w:val="21"/>
          <w:highlight w:val="none"/>
          <w:u w:val="single"/>
        </w:rPr>
        <w:t>/</w:t>
      </w:r>
      <w:r>
        <w:rPr>
          <w:rFonts w:hint="eastAsia" w:ascii="宋体" w:hAnsi="宋体" w:cs="宋体"/>
          <w:szCs w:val="21"/>
          <w:highlight w:val="none"/>
        </w:rPr>
        <w:t>天内核实承包人是否履行缺陷修复义务，承包人未能履行缺陷修复义务的，发包人有权扣除相应金额的维修费用。发包人应在收到缺陷责任期届满通知后</w:t>
      </w:r>
      <w:r>
        <w:rPr>
          <w:rFonts w:hint="eastAsia" w:ascii="宋体" w:hAnsi="宋体" w:cs="宋体"/>
          <w:szCs w:val="21"/>
          <w:highlight w:val="none"/>
          <w:u w:val="single"/>
        </w:rPr>
        <w:t>一个月</w:t>
      </w:r>
      <w:r>
        <w:rPr>
          <w:rFonts w:hint="eastAsia" w:ascii="宋体" w:hAnsi="宋体" w:cs="宋体"/>
          <w:szCs w:val="21"/>
          <w:highlight w:val="none"/>
        </w:rPr>
        <w:t>内，向承包人颁发缺陷责任期终止证书。</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11.7 保修责任</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工程质量保修范围、期限和责任为：</w:t>
      </w:r>
      <w:r>
        <w:rPr>
          <w:rFonts w:hint="eastAsia" w:ascii="宋体" w:hAnsi="宋体" w:cs="宋体"/>
          <w:szCs w:val="21"/>
          <w:highlight w:val="none"/>
          <w:u w:val="single"/>
        </w:rPr>
        <w:t xml:space="preserve"> 按保修书规定执行</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58" w:name="_Toc15453"/>
      <w:bookmarkStart w:id="1159" w:name="_Toc14940"/>
      <w:bookmarkStart w:id="1160" w:name="_Toc32260"/>
      <w:bookmarkStart w:id="1161" w:name="_Toc109076909"/>
      <w:bookmarkStart w:id="1162" w:name="_Toc54862343"/>
      <w:bookmarkStart w:id="1163" w:name="_Toc25768"/>
      <w:r>
        <w:rPr>
          <w:rFonts w:hint="eastAsia" w:ascii="宋体" w:hAnsi="宋体" w:cs="宋体"/>
          <w:kern w:val="0"/>
          <w:szCs w:val="21"/>
          <w:highlight w:val="none"/>
        </w:rPr>
        <w:t>第12条 竣工后试验</w:t>
      </w:r>
      <w:bookmarkEnd w:id="1158"/>
      <w:bookmarkEnd w:id="1159"/>
      <w:bookmarkEnd w:id="1160"/>
      <w:bookmarkEnd w:id="1161"/>
      <w:bookmarkEnd w:id="1162"/>
      <w:bookmarkEnd w:id="1163"/>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本合同工程是否包含竣工后试验：</w:t>
      </w:r>
      <w:r>
        <w:rPr>
          <w:rFonts w:hint="eastAsia" w:cs="宋体"/>
          <w:szCs w:val="21"/>
          <w:highlight w:val="none"/>
          <w:u w:val="single"/>
        </w:rPr>
        <w:t>否</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12.1 竣工后试验的程序</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cs="宋体"/>
          <w:szCs w:val="21"/>
          <w:highlight w:val="none"/>
          <w:u w:val="single"/>
        </w:rPr>
        <w:t>/</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64" w:name="_Toc18775"/>
      <w:bookmarkStart w:id="1165" w:name="_Toc15761"/>
      <w:bookmarkStart w:id="1166" w:name="_Toc54862344"/>
      <w:bookmarkStart w:id="1167" w:name="_Toc109076910"/>
      <w:bookmarkStart w:id="1168" w:name="_Toc29266"/>
      <w:bookmarkStart w:id="1169" w:name="_Toc12827"/>
      <w:r>
        <w:rPr>
          <w:rFonts w:hint="eastAsia" w:ascii="宋体" w:hAnsi="宋体" w:cs="宋体"/>
          <w:kern w:val="0"/>
          <w:szCs w:val="21"/>
          <w:highlight w:val="none"/>
        </w:rPr>
        <w:t>第13条 变更与调整</w:t>
      </w:r>
      <w:bookmarkEnd w:id="1164"/>
      <w:bookmarkEnd w:id="1165"/>
      <w:bookmarkEnd w:id="1166"/>
      <w:bookmarkEnd w:id="1167"/>
      <w:bookmarkEnd w:id="1168"/>
      <w:bookmarkEnd w:id="1169"/>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13.2 承包人的合理化建议</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13.2.2 监理人应在收到承包人提交的合理化建议后</w:t>
      </w:r>
      <w:r>
        <w:rPr>
          <w:rFonts w:ascii="宋体" w:hAnsi="宋体" w:cs="宋体"/>
          <w:szCs w:val="21"/>
          <w:highlight w:val="none"/>
          <w:u w:val="single"/>
        </w:rPr>
        <w:t>7</w:t>
      </w:r>
      <w:r>
        <w:rPr>
          <w:rFonts w:hint="eastAsia" w:ascii="宋体" w:hAnsi="宋体" w:cs="宋体"/>
          <w:szCs w:val="21"/>
          <w:highlight w:val="none"/>
        </w:rPr>
        <w:t>日内审查完毕并报送发包人，发现其中存在技术上的缺陷，应通知承包人修改。发包人应在收到监理人报送的合理化建议后</w:t>
      </w:r>
      <w:r>
        <w:rPr>
          <w:rFonts w:ascii="宋体" w:cs="宋体"/>
          <w:szCs w:val="21"/>
          <w:highlight w:val="none"/>
          <w:u w:val="single"/>
        </w:rPr>
        <w:t>7</w:t>
      </w:r>
      <w:r>
        <w:rPr>
          <w:rFonts w:hint="eastAsia" w:ascii="宋体" w:hAnsi="宋体" w:cs="宋体"/>
          <w:szCs w:val="21"/>
          <w:highlight w:val="none"/>
        </w:rPr>
        <w:t>日内审批完毕。合理化建议经发包人批准的，监理人应及时发出变更指示，由此引起的合同价格调整按照</w:t>
      </w:r>
      <w:r>
        <w:rPr>
          <w:rFonts w:hint="eastAsia" w:cs="宋体"/>
          <w:szCs w:val="21"/>
          <w:highlight w:val="none"/>
          <w:u w:val="single"/>
        </w:rPr>
        <w:t>专用合同条款</w:t>
      </w:r>
      <w:r>
        <w:rPr>
          <w:rFonts w:cs="宋体"/>
          <w:szCs w:val="21"/>
          <w:highlight w:val="none"/>
          <w:u w:val="single"/>
        </w:rPr>
        <w:t>13</w:t>
      </w:r>
      <w:r>
        <w:rPr>
          <w:rFonts w:hint="eastAsia" w:cs="宋体"/>
          <w:szCs w:val="21"/>
          <w:highlight w:val="none"/>
          <w:u w:val="single"/>
        </w:rPr>
        <w:t>.</w:t>
      </w:r>
      <w:r>
        <w:rPr>
          <w:rFonts w:cs="宋体"/>
          <w:szCs w:val="21"/>
          <w:highlight w:val="none"/>
          <w:u w:val="single"/>
        </w:rPr>
        <w:t>3</w:t>
      </w:r>
      <w:r>
        <w:rPr>
          <w:rFonts w:hint="eastAsia" w:cs="宋体"/>
          <w:szCs w:val="21"/>
          <w:highlight w:val="none"/>
          <w:u w:val="single"/>
        </w:rPr>
        <w:t>.</w:t>
      </w:r>
      <w:r>
        <w:rPr>
          <w:rFonts w:cs="宋体"/>
          <w:szCs w:val="21"/>
          <w:highlight w:val="none"/>
          <w:u w:val="single"/>
        </w:rPr>
        <w:t>3</w:t>
      </w:r>
      <w:r>
        <w:rPr>
          <w:rFonts w:hint="eastAsia" w:ascii="宋体" w:hAnsi="宋体" w:cs="宋体"/>
          <w:szCs w:val="21"/>
          <w:highlight w:val="none"/>
        </w:rPr>
        <w:t>执行。发包人不同意变更的，监理人应书面通知承包人</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13.2.3 承包人提出的合理化变更建议的利益分享约定：</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13.3 变更程序</w:t>
      </w:r>
    </w:p>
    <w:p>
      <w:pPr>
        <w:kinsoku w:val="0"/>
        <w:overflowPunct w:val="0"/>
        <w:snapToGrid w:val="0"/>
        <w:spacing w:line="360" w:lineRule="auto"/>
        <w:ind w:left="212" w:right="108" w:firstLine="480" w:firstLineChars="200"/>
        <w:contextualSpacing/>
        <w:jc w:val="left"/>
        <w:rPr>
          <w:rFonts w:ascii="宋体" w:hAnsi="宋体" w:cs="宋体"/>
          <w:sz w:val="24"/>
          <w:szCs w:val="21"/>
          <w:highlight w:val="none"/>
          <w:lang w:val="zh-CN" w:bidi="zh-CN"/>
        </w:rPr>
      </w:pPr>
      <w:r>
        <w:rPr>
          <w:rFonts w:hint="eastAsia" w:ascii="宋体" w:hAnsi="宋体" w:cs="宋体"/>
          <w:sz w:val="24"/>
          <w:szCs w:val="21"/>
          <w:highlight w:val="none"/>
          <w:lang w:val="zh-CN" w:bidi="zh-CN"/>
        </w:rPr>
        <w:t>1</w:t>
      </w:r>
      <w:r>
        <w:rPr>
          <w:rFonts w:ascii="宋体" w:hAnsi="宋体" w:cs="宋体"/>
          <w:sz w:val="24"/>
          <w:szCs w:val="21"/>
          <w:highlight w:val="none"/>
          <w:lang w:val="zh-CN" w:bidi="zh-CN"/>
        </w:rPr>
        <w:t>3</w:t>
      </w:r>
      <w:r>
        <w:rPr>
          <w:rFonts w:hint="eastAsia" w:ascii="宋体" w:hAnsi="宋体" w:cs="宋体"/>
          <w:sz w:val="24"/>
          <w:szCs w:val="21"/>
          <w:highlight w:val="none"/>
          <w:lang w:val="zh-CN" w:bidi="zh-CN"/>
        </w:rPr>
        <w:t>.</w:t>
      </w:r>
      <w:r>
        <w:rPr>
          <w:rFonts w:ascii="宋体" w:hAnsi="宋体" w:cs="宋体"/>
          <w:sz w:val="24"/>
          <w:szCs w:val="21"/>
          <w:highlight w:val="none"/>
          <w:lang w:val="zh-CN" w:bidi="zh-CN"/>
        </w:rPr>
        <w:t>3</w:t>
      </w:r>
      <w:r>
        <w:rPr>
          <w:rFonts w:hint="eastAsia" w:ascii="宋体" w:hAnsi="宋体" w:cs="宋体"/>
          <w:sz w:val="24"/>
          <w:szCs w:val="21"/>
          <w:highlight w:val="none"/>
          <w:lang w:val="zh-CN" w:bidi="zh-CN"/>
        </w:rPr>
        <w:t>.</w:t>
      </w:r>
      <w:r>
        <w:rPr>
          <w:rFonts w:ascii="宋体" w:hAnsi="宋体" w:cs="宋体"/>
          <w:sz w:val="24"/>
          <w:szCs w:val="21"/>
          <w:highlight w:val="none"/>
          <w:lang w:val="zh-CN" w:bidi="zh-CN"/>
        </w:rPr>
        <w:t>1</w:t>
      </w:r>
      <w:r>
        <w:rPr>
          <w:rFonts w:hint="eastAsia" w:ascii="宋体" w:hAnsi="宋体" w:cs="宋体"/>
          <w:sz w:val="24"/>
          <w:szCs w:val="21"/>
          <w:highlight w:val="none"/>
          <w:lang w:val="zh-CN" w:bidi="zh-CN"/>
        </w:rPr>
        <w:t>变更的范围</w:t>
      </w:r>
    </w:p>
    <w:p>
      <w:pPr>
        <w:tabs>
          <w:tab w:val="left" w:pos="3250"/>
        </w:tabs>
        <w:kinsoku w:val="0"/>
        <w:overflowPunct w:val="0"/>
        <w:snapToGrid w:val="0"/>
        <w:spacing w:line="360" w:lineRule="auto"/>
        <w:ind w:left="212" w:firstLine="240" w:firstLineChars="100"/>
        <w:contextualSpacing/>
        <w:jc w:val="left"/>
        <w:rPr>
          <w:rFonts w:ascii="宋体" w:hAnsi="宋体" w:cs="宋体"/>
          <w:sz w:val="24"/>
          <w:highlight w:val="none"/>
          <w:lang w:val="zh-CN" w:bidi="zh-CN"/>
        </w:rPr>
      </w:pPr>
      <w:r>
        <w:rPr>
          <w:rFonts w:hint="eastAsia" w:ascii="宋体" w:hAnsi="宋体" w:cs="宋体"/>
          <w:sz w:val="24"/>
          <w:szCs w:val="21"/>
          <w:highlight w:val="none"/>
          <w:lang w:val="zh-CN" w:bidi="zh-CN"/>
        </w:rPr>
        <w:t>关于变更的范围的约定：</w:t>
      </w:r>
      <w:bookmarkStart w:id="1170" w:name="10.4_变更估价"/>
      <w:bookmarkEnd w:id="1170"/>
      <w:r>
        <w:rPr>
          <w:rFonts w:hint="eastAsia" w:ascii="宋体" w:hAnsi="宋体" w:cs="宋体"/>
          <w:sz w:val="24"/>
          <w:szCs w:val="21"/>
          <w:highlight w:val="none"/>
          <w:u w:val="single"/>
          <w:lang w:val="zh-CN" w:bidi="zh-CN"/>
        </w:rPr>
        <w:t>对因发包人原因造成建设项目重大设计变更，可能造成投资扩大，或需改变支付方式等情形，须建立发包人、承包人、监理人及设计人联席会议共同审查、确认。</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13.3.</w:t>
      </w:r>
      <w:r>
        <w:rPr>
          <w:rFonts w:ascii="宋体" w:hAnsi="宋体" w:cs="宋体"/>
          <w:szCs w:val="21"/>
          <w:highlight w:val="none"/>
        </w:rPr>
        <w:t>2</w:t>
      </w:r>
      <w:r>
        <w:rPr>
          <w:rFonts w:hint="eastAsia" w:ascii="宋体" w:hAnsi="宋体" w:cs="宋体"/>
          <w:szCs w:val="21"/>
          <w:highlight w:val="none"/>
        </w:rPr>
        <w:t xml:space="preserve"> 变更估价原则</w:t>
      </w:r>
    </w:p>
    <w:p>
      <w:pPr>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变更或者增加工程的单价按照如下办法确定：</w:t>
      </w:r>
    </w:p>
    <w:p>
      <w:pPr>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（1）处理程序：</w:t>
      </w:r>
      <w:r>
        <w:rPr>
          <w:rFonts w:hint="eastAsia" w:ascii="宋体" w:hAnsi="宋体" w:cs="宋体"/>
          <w:szCs w:val="21"/>
          <w:highlight w:val="none"/>
          <w:u w:val="single"/>
        </w:rPr>
        <w:t>发生以上事件需经发包人、承包人、监理人及设计人确认。由承包人提供工程变更、索赔或现场签证的工程预算，需经监理人、发包人审核批准</w:t>
      </w:r>
      <w:r>
        <w:rPr>
          <w:rFonts w:hint="eastAsia" w:ascii="宋体" w:hAnsi="宋体" w:cs="宋体"/>
          <w:szCs w:val="21"/>
          <w:highlight w:val="none"/>
        </w:rPr>
        <w:t>。</w:t>
      </w:r>
    </w:p>
    <w:p>
      <w:pPr>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（2）工程变更、索赔或现场签证的工程的单价按照如下办法确定：</w:t>
      </w:r>
    </w:p>
    <w:p>
      <w:pPr>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A、</w:t>
      </w:r>
      <w:r>
        <w:rPr>
          <w:rFonts w:hint="eastAsia"/>
          <w:szCs w:val="21"/>
          <w:highlight w:val="none"/>
          <w:u w:val="single"/>
          <w:lang w:val="en-US" w:eastAsia="zh-CN"/>
        </w:rPr>
        <w:t>按《关于执行〈江门市政府投资管理办法〉有关问题的通知》有关规定执行的审核</w:t>
      </w:r>
      <w:r>
        <w:rPr>
          <w:rFonts w:hint="eastAsia" w:ascii="宋体" w:hAnsi="宋体" w:cs="宋体"/>
          <w:szCs w:val="21"/>
          <w:highlight w:val="none"/>
          <w:u w:val="single"/>
        </w:rPr>
        <w:t>预算书中有相同综合单价的，直接套用单价计算；</w:t>
      </w:r>
    </w:p>
    <w:p>
      <w:pPr>
        <w:snapToGrid w:val="0"/>
        <w:spacing w:line="360" w:lineRule="auto"/>
        <w:ind w:firstLine="420" w:firstLineChars="200"/>
        <w:contextualSpacing/>
        <w:jc w:val="left"/>
        <w:rPr>
          <w:rFonts w:hint="eastAsia" w:ascii="宋体" w:hAnsi="宋体" w:eastAsia="宋体" w:cs="宋体"/>
          <w:szCs w:val="21"/>
          <w:highlight w:val="none"/>
          <w:u w:val="single"/>
        </w:rPr>
      </w:pPr>
      <w:r>
        <w:rPr>
          <w:rFonts w:hint="eastAsia" w:ascii="宋体" w:hAnsi="宋体" w:cs="宋体"/>
          <w:szCs w:val="21"/>
          <w:highlight w:val="none"/>
        </w:rPr>
        <w:t>B、</w:t>
      </w:r>
      <w:r>
        <w:rPr>
          <w:rFonts w:hint="eastAsia"/>
          <w:szCs w:val="21"/>
          <w:highlight w:val="none"/>
          <w:u w:val="single"/>
          <w:lang w:val="en-US" w:eastAsia="zh-CN"/>
        </w:rPr>
        <w:t>按《关于执行〈江门市政府投资管理办法〉有关问题的通知》有关规定执行的审核</w:t>
      </w:r>
      <w:r>
        <w:rPr>
          <w:rFonts w:hint="eastAsia" w:ascii="宋体" w:hAnsi="宋体" w:cs="宋体"/>
          <w:szCs w:val="21"/>
          <w:highlight w:val="none"/>
          <w:u w:val="single"/>
        </w:rPr>
        <w:t>预算书中没有相同综合单价的，但按《建设工程工程量清单计价规范》（GB50500-2013）</w:t>
      </w:r>
      <w:r>
        <w:rPr>
          <w:rFonts w:ascii="宋体" w:hAnsi="宋体" w:cs="宋体"/>
          <w:szCs w:val="21"/>
          <w:highlight w:val="none"/>
          <w:u w:val="single"/>
        </w:rPr>
        <w:t>和2018年广东省系列定额</w:t>
      </w:r>
      <w:r>
        <w:rPr>
          <w:rFonts w:hint="eastAsia" w:ascii="宋体" w:hAnsi="宋体" w:cs="宋体"/>
          <w:szCs w:val="21"/>
          <w:highlight w:val="none"/>
          <w:u w:val="single"/>
        </w:rPr>
        <w:t>可计算该综合单价的，则由承包人按照江门市建设工程造价和房地产监测中心发布的《江门工程造价信息》开标当月信息价（其中材、机械价格按照恩平市当月信息价，恩平没有的按照江门市执行）计算，</w:t>
      </w:r>
      <w:r>
        <w:rPr>
          <w:rFonts w:hint="eastAsia" w:cs="宋体"/>
          <w:szCs w:val="21"/>
          <w:highlight w:val="none"/>
        </w:rPr>
        <w:t>如当月信息价未出，采用最近一期信息价，</w:t>
      </w:r>
      <w:r>
        <w:rPr>
          <w:rFonts w:hint="eastAsia" w:ascii="宋体" w:hAnsi="宋体" w:cs="宋体"/>
          <w:szCs w:val="21"/>
          <w:highlight w:val="none"/>
          <w:u w:val="single"/>
        </w:rPr>
        <w:t>并按中标下浮率下浮，并送发包人、监理人审核，该最终</w:t>
      </w:r>
      <w:r>
        <w:rPr>
          <w:rFonts w:hint="eastAsia" w:ascii="宋体" w:hAnsi="宋体" w:eastAsia="宋体" w:cs="宋体"/>
          <w:szCs w:val="21"/>
          <w:highlight w:val="none"/>
          <w:u w:val="single"/>
        </w:rPr>
        <w:t>的结算综合单价以</w:t>
      </w:r>
      <w:r>
        <w:rPr>
          <w:rFonts w:hint="eastAsia" w:ascii="宋体" w:hAnsi="宋体" w:eastAsia="宋体" w:cs="宋体"/>
          <w:szCs w:val="21"/>
          <w:highlight w:val="none"/>
          <w:u w:val="single"/>
          <w:lang w:val="en-US" w:eastAsia="zh-CN"/>
        </w:rPr>
        <w:t>《江门市</w:t>
      </w:r>
      <w:r>
        <w:rPr>
          <w:rFonts w:hint="eastAsia" w:ascii="宋体" w:hAnsi="宋体" w:eastAsia="宋体" w:cs="宋体"/>
          <w:szCs w:val="21"/>
          <w:highlight w:val="none"/>
          <w:u w:val="single"/>
        </w:rPr>
        <w:t>政府投资管理</w:t>
      </w:r>
      <w:r>
        <w:rPr>
          <w:rFonts w:hint="eastAsia" w:ascii="宋体" w:hAnsi="宋体" w:eastAsia="宋体" w:cs="宋体"/>
          <w:szCs w:val="21"/>
          <w:highlight w:val="none"/>
          <w:u w:val="single"/>
          <w:lang w:val="en-US" w:eastAsia="zh-CN"/>
        </w:rPr>
        <w:t>办法》</w:t>
      </w:r>
      <w:r>
        <w:rPr>
          <w:rFonts w:hint="eastAsia" w:ascii="宋体" w:hAnsi="宋体" w:eastAsia="宋体" w:cs="宋体"/>
          <w:szCs w:val="21"/>
          <w:highlight w:val="none"/>
          <w:u w:val="single"/>
        </w:rPr>
        <w:t>(江府[2020]7号)有关规定执行的审核为准。</w:t>
      </w:r>
    </w:p>
    <w:p>
      <w:pPr>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C、</w:t>
      </w:r>
      <w:r>
        <w:rPr>
          <w:rFonts w:hint="eastAsia"/>
          <w:szCs w:val="21"/>
          <w:highlight w:val="none"/>
          <w:u w:val="single"/>
          <w:lang w:val="en-US" w:eastAsia="zh-CN"/>
        </w:rPr>
        <w:t>按《关于执行〈江门市政府投资管理办法〉有关问题的通知》有关规定执行的审核</w:t>
      </w:r>
      <w:r>
        <w:rPr>
          <w:rFonts w:hint="eastAsia" w:ascii="宋体" w:hAnsi="宋体" w:cs="宋体"/>
          <w:szCs w:val="21"/>
          <w:highlight w:val="none"/>
          <w:u w:val="single"/>
        </w:rPr>
        <w:t>预算书中没有相同综合单价的，按《建设工程工程量清单计价规范》（GB50500-2013）</w:t>
      </w:r>
      <w:r>
        <w:rPr>
          <w:rFonts w:ascii="宋体" w:hAnsi="宋体" w:cs="宋体"/>
          <w:szCs w:val="21"/>
          <w:highlight w:val="none"/>
          <w:u w:val="single"/>
        </w:rPr>
        <w:t>和2018年广东省系列定额</w:t>
      </w:r>
      <w:r>
        <w:rPr>
          <w:rFonts w:hint="eastAsia" w:ascii="宋体" w:hAnsi="宋体" w:cs="宋体"/>
          <w:szCs w:val="21"/>
          <w:highlight w:val="none"/>
          <w:u w:val="single"/>
        </w:rPr>
        <w:t>也无法计算该综合单价的，则由承包人按开标当月采用材料信息价格的月份计算，并按中标下浮率下浮，其中，人工和材料价格采用江门市建设工程造价和房地产监测中心（按开标当月的月份）发布的江门市建设工程人工工资和一般建筑材料市场参考价</w:t>
      </w:r>
      <w:r>
        <w:rPr>
          <w:rFonts w:hint="eastAsia" w:ascii="宋体" w:hAnsi="宋体" w:cs="宋体"/>
          <w:szCs w:val="21"/>
          <w:highlight w:val="none"/>
        </w:rPr>
        <w:t>，当江门信息价缺项时，由承包人采取询价或市场调查等方式来确定信息价，报发、承包双方和监理方三方共同确认。</w:t>
      </w:r>
    </w:p>
    <w:p>
      <w:pPr>
        <w:snapToGrid w:val="0"/>
        <w:spacing w:line="360" w:lineRule="auto"/>
        <w:ind w:firstLine="420" w:firstLineChars="200"/>
        <w:contextualSpacing/>
        <w:jc w:val="left"/>
        <w:rPr>
          <w:rFonts w:ascii="宋体" w:hAnsi="宋体" w:cs="宋体"/>
          <w:szCs w:val="21"/>
          <w:highlight w:val="none"/>
          <w:u w:val="single"/>
        </w:rPr>
      </w:pPr>
      <w:r>
        <w:rPr>
          <w:rFonts w:hint="eastAsia" w:ascii="宋体" w:hAnsi="宋体" w:cs="宋体"/>
          <w:szCs w:val="21"/>
          <w:highlight w:val="none"/>
        </w:rPr>
        <w:t>备注：</w:t>
      </w:r>
      <w:r>
        <w:rPr>
          <w:rFonts w:hint="eastAsia" w:ascii="宋体" w:hAnsi="宋体" w:cs="宋体"/>
          <w:szCs w:val="21"/>
          <w:highlight w:val="none"/>
          <w:u w:val="single"/>
        </w:rPr>
        <w:t>上述综合单价须考虑</w:t>
      </w:r>
      <w:r>
        <w:rPr>
          <w:rFonts w:hint="eastAsia" w:cs="宋体"/>
          <w:szCs w:val="21"/>
          <w:highlight w:val="none"/>
          <w:u w:val="single"/>
        </w:rPr>
        <w:t>中标下浮率</w:t>
      </w:r>
      <w:r>
        <w:rPr>
          <w:rFonts w:hint="eastAsia" w:ascii="宋体" w:hAnsi="宋体" w:cs="宋体"/>
          <w:szCs w:val="21"/>
          <w:highlight w:val="none"/>
          <w:u w:val="singl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13.4 暂估价</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13.4.1 依法必须招标的暂估价项目</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承包人可以参与投标的暂估价项目范围：。</w:t>
      </w:r>
    </w:p>
    <w:p>
      <w:pPr>
        <w:snapToGrid w:val="0"/>
        <w:spacing w:line="360" w:lineRule="auto"/>
        <w:ind w:firstLine="600"/>
        <w:contextualSpacing/>
        <w:rPr>
          <w:rFonts w:ascii="宋体" w:hAnsi="宋体" w:cs="宋体"/>
          <w:szCs w:val="21"/>
          <w:highlight w:val="none"/>
        </w:rPr>
      </w:pPr>
      <w:bookmarkStart w:id="1171" w:name="第14条_合同价格与支付"/>
      <w:bookmarkEnd w:id="1171"/>
      <w:r>
        <w:rPr>
          <w:rFonts w:hint="eastAsia" w:ascii="宋体" w:hAnsi="宋体" w:cs="宋体"/>
          <w:szCs w:val="21"/>
          <w:highlight w:val="none"/>
        </w:rPr>
        <w:t>承包人不得参与投标的暂估价项目范围：</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招投标程序及其他约定：。</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13.4.2 不属于依法必须招标的暂估价项目</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不属于依法必须招标的暂估价项目的协商及估价的约定：</w:t>
      </w:r>
      <w:r>
        <w:rPr>
          <w:rFonts w:ascii="宋体" w:hAnsi="宋体"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13.5 暂列金额</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其他关于暂列金额使用的约定：</w:t>
      </w:r>
      <w:r>
        <w:rPr>
          <w:rFonts w:hint="eastAsia" w:ascii="宋体" w:hAnsi="宋体" w:cs="宋体"/>
          <w:szCs w:val="21"/>
          <w:highlight w:val="none"/>
          <w:u w:val="single"/>
        </w:rPr>
        <w:t xml:space="preserve">  /  </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13.8 市场价格波动引起的调整</w:t>
      </w:r>
    </w:p>
    <w:p>
      <w:pPr>
        <w:snapToGrid w:val="0"/>
        <w:spacing w:line="360" w:lineRule="auto"/>
        <w:ind w:firstLine="630" w:firstLineChars="300"/>
        <w:contextualSpacing/>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3</w:t>
      </w:r>
      <w:r>
        <w:rPr>
          <w:rFonts w:hint="eastAsia" w:ascii="宋体" w:hAnsi="宋体" w:cs="宋体"/>
          <w:szCs w:val="21"/>
          <w:highlight w:val="none"/>
        </w:rPr>
        <w:t>.</w:t>
      </w:r>
      <w:r>
        <w:rPr>
          <w:rFonts w:ascii="宋体" w:hAnsi="宋体" w:cs="宋体"/>
          <w:szCs w:val="21"/>
          <w:highlight w:val="none"/>
        </w:rPr>
        <w:t>8</w:t>
      </w:r>
      <w:r>
        <w:rPr>
          <w:rFonts w:hint="eastAsia" w:ascii="宋体" w:hAnsi="宋体" w:cs="宋体"/>
          <w:szCs w:val="21"/>
          <w:highlight w:val="none"/>
        </w:rPr>
        <w:t>.1物价波动引起的价格调整</w:t>
      </w:r>
    </w:p>
    <w:p>
      <w:pPr>
        <w:tabs>
          <w:tab w:val="left" w:pos="4404"/>
          <w:tab w:val="left" w:pos="5664"/>
        </w:tabs>
        <w:kinsoku w:val="0"/>
        <w:overflowPunct w:val="0"/>
        <w:snapToGrid w:val="0"/>
        <w:spacing w:line="360" w:lineRule="auto"/>
        <w:ind w:firstLine="420" w:firstLineChars="200"/>
        <w:contextualSpacing/>
        <w:jc w:val="left"/>
        <w:rPr>
          <w:rFonts w:ascii="宋体" w:hAnsi="宋体" w:cs="黑体"/>
          <w:szCs w:val="21"/>
          <w:highlight w:val="none"/>
        </w:rPr>
      </w:pPr>
      <w:r>
        <w:rPr>
          <w:rFonts w:hint="eastAsia" w:ascii="宋体" w:hAnsi="宋体" w:cs="黑体"/>
          <w:szCs w:val="21"/>
          <w:highlight w:val="none"/>
        </w:rPr>
        <w:t>市场价格波动是否调整合同价格的约定：采用造价信息进行价格</w:t>
      </w:r>
      <w:r>
        <w:rPr>
          <w:rFonts w:hint="eastAsia" w:ascii="宋体" w:hAnsi="宋体" w:cs="黑体"/>
          <w:szCs w:val="21"/>
          <w:highlight w:val="none"/>
          <w:u w:val="single"/>
        </w:rPr>
        <w:t>调整</w:t>
      </w:r>
      <w:r>
        <w:rPr>
          <w:rFonts w:hint="eastAsia" w:ascii="宋体" w:hAnsi="宋体" w:cs="黑体"/>
          <w:szCs w:val="21"/>
          <w:highlight w:val="none"/>
        </w:rPr>
        <w:t>。在整个工程建设期内，仅对主要材料（</w:t>
      </w:r>
      <w:r>
        <w:rPr>
          <w:rFonts w:hint="eastAsia" w:ascii="宋体" w:hAnsi="宋体" w:cs="黑体"/>
          <w:szCs w:val="21"/>
          <w:highlight w:val="none"/>
          <w:u w:val="single"/>
        </w:rPr>
        <w:t>指</w:t>
      </w:r>
      <w:r>
        <w:rPr>
          <w:rFonts w:hint="eastAsia" w:ascii="宋体" w:hAnsi="宋体" w:cs="宋体"/>
          <w:szCs w:val="21"/>
          <w:highlight w:val="none"/>
          <w:u w:val="single"/>
        </w:rPr>
        <w:t>水泥、中砂和粗砂、碎石和毛石、商品混凝土、钢材、混凝土管和塑料管、砌块和砖</w:t>
      </w:r>
      <w:r>
        <w:rPr>
          <w:rFonts w:hint="eastAsia" w:ascii="宋体" w:hAnsi="宋体" w:cs="黑体"/>
          <w:szCs w:val="21"/>
          <w:highlight w:val="none"/>
        </w:rPr>
        <w:t>）价格予以调整。</w:t>
      </w:r>
    </w:p>
    <w:p>
      <w:pPr>
        <w:tabs>
          <w:tab w:val="left" w:pos="4404"/>
          <w:tab w:val="left" w:pos="5664"/>
        </w:tabs>
        <w:kinsoku w:val="0"/>
        <w:overflowPunct w:val="0"/>
        <w:snapToGrid w:val="0"/>
        <w:spacing w:line="360" w:lineRule="auto"/>
        <w:ind w:firstLine="420" w:firstLineChars="200"/>
        <w:contextualSpacing/>
        <w:jc w:val="left"/>
        <w:rPr>
          <w:rFonts w:ascii="宋体" w:hAnsi="宋体" w:cs="黑体"/>
          <w:szCs w:val="21"/>
          <w:highlight w:val="none"/>
        </w:rPr>
      </w:pPr>
      <w:r>
        <w:rPr>
          <w:rFonts w:hint="eastAsia" w:ascii="宋体" w:hAnsi="宋体" w:cs="黑体"/>
          <w:szCs w:val="21"/>
          <w:highlight w:val="none"/>
          <w:u w:val="none"/>
        </w:rPr>
        <w:t>（1）</w:t>
      </w:r>
      <w:r>
        <w:rPr>
          <w:rFonts w:hint="eastAsia"/>
          <w:szCs w:val="21"/>
          <w:highlight w:val="none"/>
          <w:lang w:val="en-US" w:eastAsia="zh-CN"/>
        </w:rPr>
        <w:t>按《关于执行〈江门市政府投资管理办法〉有关问题的通知》有关规定执行的审核</w:t>
      </w:r>
      <w:r>
        <w:rPr>
          <w:rFonts w:hint="eastAsia" w:ascii="宋体" w:hAnsi="宋体" w:cs="黑体"/>
          <w:szCs w:val="21"/>
          <w:highlight w:val="none"/>
          <w:u w:val="none"/>
        </w:rPr>
        <w:t>预</w:t>
      </w:r>
      <w:r>
        <w:rPr>
          <w:rFonts w:hint="eastAsia" w:ascii="宋体" w:hAnsi="宋体" w:cs="黑体"/>
          <w:szCs w:val="21"/>
          <w:highlight w:val="none"/>
        </w:rPr>
        <w:t>算书中载明的主要材料予以调差，价格调差在结算时统一调整。</w:t>
      </w:r>
    </w:p>
    <w:p>
      <w:pPr>
        <w:tabs>
          <w:tab w:val="left" w:pos="4404"/>
          <w:tab w:val="left" w:pos="5664"/>
        </w:tabs>
        <w:kinsoku w:val="0"/>
        <w:overflowPunct w:val="0"/>
        <w:snapToGrid w:val="0"/>
        <w:spacing w:line="360" w:lineRule="auto"/>
        <w:ind w:firstLine="420" w:firstLineChars="200"/>
        <w:contextualSpacing/>
        <w:jc w:val="left"/>
        <w:rPr>
          <w:rFonts w:ascii="宋体" w:hAnsi="宋体" w:cs="黑体"/>
          <w:szCs w:val="21"/>
          <w:highlight w:val="none"/>
        </w:rPr>
      </w:pPr>
      <w:r>
        <w:rPr>
          <w:rFonts w:hint="eastAsia" w:ascii="宋体" w:hAnsi="宋体" w:cs="黑体"/>
          <w:szCs w:val="21"/>
          <w:highlight w:val="none"/>
        </w:rPr>
        <w:t>（2）以江门市建设工程造价和房地产监测中心开标当月发布的江门市建设工程人工工资和一般建筑材料市场参考价为基准价。</w:t>
      </w:r>
    </w:p>
    <w:p>
      <w:pPr>
        <w:tabs>
          <w:tab w:val="left" w:pos="4404"/>
          <w:tab w:val="left" w:pos="5664"/>
        </w:tabs>
        <w:kinsoku w:val="0"/>
        <w:overflowPunct w:val="0"/>
        <w:snapToGrid w:val="0"/>
        <w:spacing w:line="360" w:lineRule="auto"/>
        <w:ind w:firstLine="420" w:firstLineChars="200"/>
        <w:contextualSpacing/>
        <w:jc w:val="left"/>
        <w:rPr>
          <w:rFonts w:ascii="宋体" w:hAnsi="宋体" w:cs="黑体"/>
          <w:szCs w:val="21"/>
          <w:highlight w:val="none"/>
        </w:rPr>
      </w:pPr>
      <w:r>
        <w:rPr>
          <w:rFonts w:hint="eastAsia" w:ascii="宋体" w:hAnsi="宋体" w:cs="黑体"/>
          <w:szCs w:val="21"/>
          <w:highlight w:val="none"/>
        </w:rPr>
        <w:t>（3）发生工程变更或发现工程量偏差、漏项等情况的材料单价，纳入调整范围（以实际发生当月信息价调差）。</w:t>
      </w:r>
    </w:p>
    <w:p>
      <w:pPr>
        <w:tabs>
          <w:tab w:val="left" w:pos="4404"/>
          <w:tab w:val="left" w:pos="5664"/>
        </w:tabs>
        <w:kinsoku w:val="0"/>
        <w:overflowPunct w:val="0"/>
        <w:snapToGrid w:val="0"/>
        <w:spacing w:line="360" w:lineRule="auto"/>
        <w:ind w:firstLine="420" w:firstLineChars="200"/>
        <w:contextualSpacing/>
        <w:jc w:val="left"/>
        <w:rPr>
          <w:rFonts w:ascii="宋体" w:hAnsi="宋体" w:cs="黑体"/>
          <w:szCs w:val="21"/>
          <w:highlight w:val="none"/>
        </w:rPr>
      </w:pPr>
      <w:r>
        <w:rPr>
          <w:rFonts w:ascii="宋体" w:hAnsi="宋体" w:cs="黑体"/>
          <w:szCs w:val="21"/>
          <w:highlight w:val="none"/>
        </w:rPr>
        <w:t>（4）</w:t>
      </w:r>
      <w:r>
        <w:rPr>
          <w:rFonts w:hint="eastAsia" w:ascii="宋体" w:hAnsi="宋体" w:cs="宋体"/>
          <w:szCs w:val="21"/>
          <w:highlight w:val="none"/>
        </w:rPr>
        <w:t>江门市建设工程人工工资和一般建筑材料市场参考价缺项的材料（无论是否属于预算书中载明的主要材料），均不予调整。</w:t>
      </w:r>
    </w:p>
    <w:p>
      <w:pPr>
        <w:tabs>
          <w:tab w:val="left" w:pos="4404"/>
          <w:tab w:val="left" w:pos="5664"/>
        </w:tabs>
        <w:kinsoku w:val="0"/>
        <w:overflowPunct w:val="0"/>
        <w:snapToGrid w:val="0"/>
        <w:spacing w:line="360" w:lineRule="auto"/>
        <w:ind w:firstLine="420" w:firstLineChars="200"/>
        <w:contextualSpacing/>
        <w:jc w:val="left"/>
        <w:rPr>
          <w:rFonts w:ascii="宋体" w:hAnsi="宋体" w:cs="黑体"/>
          <w:szCs w:val="21"/>
          <w:highlight w:val="none"/>
        </w:rPr>
      </w:pPr>
      <w:r>
        <w:rPr>
          <w:rFonts w:hint="eastAsia" w:ascii="宋体" w:hAnsi="宋体" w:cs="黑体"/>
          <w:szCs w:val="21"/>
          <w:highlight w:val="none"/>
        </w:rPr>
        <w:t>（</w:t>
      </w:r>
      <w:r>
        <w:rPr>
          <w:rFonts w:ascii="宋体" w:hAnsi="宋体" w:cs="黑体"/>
          <w:szCs w:val="21"/>
          <w:highlight w:val="none"/>
        </w:rPr>
        <w:t>5</w:t>
      </w:r>
      <w:r>
        <w:rPr>
          <w:rFonts w:hint="eastAsia" w:ascii="宋体" w:hAnsi="宋体" w:cs="黑体"/>
          <w:szCs w:val="21"/>
          <w:highlight w:val="none"/>
        </w:rPr>
        <w:t>）物价涨跌引起的合同价款调整按以下约定执行：</w:t>
      </w:r>
    </w:p>
    <w:p>
      <w:pPr>
        <w:tabs>
          <w:tab w:val="left" w:pos="4404"/>
          <w:tab w:val="left" w:pos="5664"/>
        </w:tabs>
        <w:kinsoku w:val="0"/>
        <w:overflowPunct w:val="0"/>
        <w:snapToGrid w:val="0"/>
        <w:spacing w:line="360" w:lineRule="auto"/>
        <w:ind w:firstLine="420" w:firstLineChars="200"/>
        <w:contextualSpacing/>
        <w:jc w:val="left"/>
        <w:rPr>
          <w:rFonts w:ascii="宋体" w:hAnsi="宋体" w:cs="黑体"/>
          <w:szCs w:val="21"/>
          <w:highlight w:val="none"/>
        </w:rPr>
      </w:pPr>
      <w:r>
        <w:rPr>
          <w:rFonts w:hint="eastAsia" w:ascii="宋体" w:hAnsi="宋体" w:cs="黑体"/>
          <w:szCs w:val="21"/>
          <w:highlight w:val="none"/>
        </w:rPr>
        <w:t>本合同实施期间，当施工期间市场物价发生涨落，引起工程所在地工程造价管理机构发布的价格信息中材料价格变化（提高或降低）超过5%时，为体现风险共担原则，物价变化引起合同价款的调整，以基准单价为调价基础，按施工周期平均值计算主要材料的涨落幅度，材料物价涨落部分根据上款调整后再按中标下浮率下浮，并参考国家现行税率计算税金。</w:t>
      </w:r>
    </w:p>
    <w:p>
      <w:pPr>
        <w:tabs>
          <w:tab w:val="left" w:pos="4404"/>
          <w:tab w:val="left" w:pos="5664"/>
        </w:tabs>
        <w:kinsoku w:val="0"/>
        <w:overflowPunct w:val="0"/>
        <w:snapToGrid w:val="0"/>
        <w:spacing w:line="360" w:lineRule="auto"/>
        <w:ind w:firstLine="420" w:firstLineChars="200"/>
        <w:contextualSpacing/>
        <w:jc w:val="left"/>
        <w:rPr>
          <w:rFonts w:ascii="宋体" w:hAnsi="宋体" w:cs="黑体"/>
          <w:szCs w:val="21"/>
          <w:highlight w:val="none"/>
        </w:rPr>
      </w:pPr>
      <w:r>
        <w:rPr>
          <w:rFonts w:hint="eastAsia" w:ascii="宋体" w:hAnsi="宋体" w:cs="黑体"/>
          <w:szCs w:val="21"/>
          <w:highlight w:val="none"/>
        </w:rPr>
        <w:t>基准单价与施工周期工程造价管理机构发布的材料价格信息参考价平均值相比，涨落幅度小于等于5%时，不作调整；当涨落幅度大于5%时，超过5%的部分据实调整。</w:t>
      </w:r>
    </w:p>
    <w:p>
      <w:pPr>
        <w:tabs>
          <w:tab w:val="left" w:pos="4404"/>
          <w:tab w:val="left" w:pos="5664"/>
        </w:tabs>
        <w:kinsoku w:val="0"/>
        <w:overflowPunct w:val="0"/>
        <w:snapToGrid w:val="0"/>
        <w:spacing w:line="360" w:lineRule="auto"/>
        <w:ind w:firstLine="420" w:firstLineChars="200"/>
        <w:contextualSpacing/>
        <w:jc w:val="left"/>
        <w:rPr>
          <w:szCs w:val="21"/>
          <w:highlight w:val="none"/>
        </w:rPr>
      </w:pPr>
      <w:r>
        <w:rPr>
          <w:szCs w:val="21"/>
          <w:highlight w:val="none"/>
        </w:rPr>
        <w:t>（6）</w:t>
      </w:r>
      <w:r>
        <w:rPr>
          <w:rFonts w:hint="eastAsia"/>
          <w:szCs w:val="21"/>
          <w:highlight w:val="none"/>
        </w:rPr>
        <w:t>超出计划工期的市场价格波动是否调整合同价格的约定：</w:t>
      </w:r>
    </w:p>
    <w:p>
      <w:pPr>
        <w:tabs>
          <w:tab w:val="left" w:pos="4404"/>
          <w:tab w:val="left" w:pos="5664"/>
        </w:tabs>
        <w:kinsoku w:val="0"/>
        <w:overflowPunct w:val="0"/>
        <w:snapToGrid w:val="0"/>
        <w:spacing w:line="360" w:lineRule="auto"/>
        <w:ind w:left="212" w:firstLine="420" w:firstLineChars="200"/>
        <w:contextualSpacing/>
        <w:jc w:val="left"/>
        <w:rPr>
          <w:rFonts w:ascii="宋体" w:hAnsi="宋体" w:cs="宋体"/>
          <w:szCs w:val="21"/>
          <w:highlight w:val="none"/>
          <w:u w:val="single"/>
          <w:lang w:val="zh-CN" w:bidi="zh-CN"/>
        </w:rPr>
      </w:pPr>
      <w:r>
        <w:rPr>
          <w:rFonts w:hint="eastAsia" w:ascii="宋体" w:hAnsi="宋体" w:cs="宋体"/>
          <w:szCs w:val="21"/>
          <w:highlight w:val="none"/>
          <w:lang w:val="zh-CN" w:bidi="zh-CN"/>
        </w:rPr>
        <w:t>①因发包人原因造成</w:t>
      </w:r>
      <w:r>
        <w:rPr>
          <w:rFonts w:hint="eastAsia" w:ascii="宋体" w:hAnsi="宋体" w:cs="宋体"/>
          <w:szCs w:val="21"/>
          <w:highlight w:val="none"/>
          <w:u w:val="single"/>
          <w:lang w:val="zh-CN" w:bidi="zh-CN"/>
        </w:rPr>
        <w:t>工期延误的，按专用合同条款第1</w:t>
      </w:r>
      <w:r>
        <w:rPr>
          <w:rFonts w:ascii="宋体" w:hAnsi="宋体" w:cs="宋体"/>
          <w:szCs w:val="21"/>
          <w:highlight w:val="none"/>
          <w:u w:val="single"/>
          <w:lang w:val="zh-CN" w:bidi="zh-CN"/>
        </w:rPr>
        <w:t>3</w:t>
      </w:r>
      <w:r>
        <w:rPr>
          <w:rFonts w:hint="eastAsia" w:ascii="宋体" w:hAnsi="宋体" w:cs="宋体"/>
          <w:szCs w:val="21"/>
          <w:highlight w:val="none"/>
          <w:u w:val="single"/>
          <w:lang w:val="zh-CN" w:bidi="zh-CN"/>
        </w:rPr>
        <w:t>.</w:t>
      </w:r>
      <w:r>
        <w:rPr>
          <w:rFonts w:ascii="宋体" w:hAnsi="宋体" w:cs="宋体"/>
          <w:szCs w:val="21"/>
          <w:highlight w:val="none"/>
          <w:u w:val="single"/>
          <w:lang w:val="zh-CN" w:bidi="zh-CN"/>
        </w:rPr>
        <w:t>8</w:t>
      </w:r>
      <w:r>
        <w:rPr>
          <w:rFonts w:hint="eastAsia" w:ascii="宋体" w:hAnsi="宋体" w:cs="宋体"/>
          <w:szCs w:val="21"/>
          <w:highlight w:val="none"/>
          <w:u w:val="single"/>
          <w:lang w:val="zh-CN" w:bidi="zh-CN"/>
        </w:rPr>
        <w:t>.</w:t>
      </w:r>
      <w:r>
        <w:rPr>
          <w:rFonts w:ascii="宋体" w:hAnsi="宋体" w:cs="宋体"/>
          <w:szCs w:val="21"/>
          <w:highlight w:val="none"/>
          <w:u w:val="single"/>
          <w:lang w:val="zh-CN" w:bidi="zh-CN"/>
        </w:rPr>
        <w:t>1</w:t>
      </w:r>
      <w:r>
        <w:rPr>
          <w:rFonts w:hint="eastAsia" w:ascii="宋体" w:hAnsi="宋体" w:cs="宋体"/>
          <w:szCs w:val="21"/>
          <w:highlight w:val="none"/>
          <w:u w:val="single"/>
          <w:lang w:val="zh-CN" w:bidi="zh-CN"/>
        </w:rPr>
        <w:t>条执行；</w:t>
      </w:r>
    </w:p>
    <w:p>
      <w:pPr>
        <w:tabs>
          <w:tab w:val="left" w:pos="4404"/>
          <w:tab w:val="left" w:pos="5664"/>
        </w:tabs>
        <w:kinsoku w:val="0"/>
        <w:overflowPunct w:val="0"/>
        <w:snapToGrid w:val="0"/>
        <w:spacing w:line="360" w:lineRule="auto"/>
        <w:ind w:left="212" w:firstLine="420" w:firstLineChars="200"/>
        <w:contextualSpacing/>
        <w:jc w:val="left"/>
        <w:rPr>
          <w:rFonts w:ascii="宋体" w:hAnsi="宋体" w:cs="宋体"/>
          <w:szCs w:val="21"/>
          <w:highlight w:val="none"/>
          <w:u w:val="single"/>
          <w:lang w:val="zh-CN" w:bidi="zh-CN"/>
        </w:rPr>
      </w:pPr>
      <w:r>
        <w:rPr>
          <w:rFonts w:hint="eastAsia" w:ascii="宋体" w:hAnsi="宋体" w:cs="宋体"/>
          <w:szCs w:val="21"/>
          <w:highlight w:val="none"/>
          <w:u w:val="single"/>
          <w:lang w:val="zh-CN" w:bidi="zh-CN"/>
        </w:rPr>
        <w:t>②因承包人原因造成工期延误的，则对原约定竣工日期后继续施工的工程，应按基准单价与延误后的施工周期工程造价管理机构发布的材料价格信息参考价平均值中较低的价格执行。</w:t>
      </w:r>
    </w:p>
    <w:p>
      <w:pPr>
        <w:snapToGrid w:val="0"/>
        <w:spacing w:line="360" w:lineRule="auto"/>
        <w:ind w:firstLine="630" w:firstLineChars="300"/>
        <w:contextualSpacing/>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3</w:t>
      </w:r>
      <w:r>
        <w:rPr>
          <w:rFonts w:hint="eastAsia" w:ascii="宋体" w:hAnsi="宋体" w:cs="宋体"/>
          <w:szCs w:val="21"/>
          <w:highlight w:val="none"/>
        </w:rPr>
        <w:t>.</w:t>
      </w:r>
      <w:r>
        <w:rPr>
          <w:rFonts w:ascii="宋体" w:hAnsi="宋体" w:cs="宋体"/>
          <w:szCs w:val="21"/>
          <w:highlight w:val="none"/>
        </w:rPr>
        <w:t>8</w:t>
      </w: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法律变化引起的价格调整</w:t>
      </w:r>
    </w:p>
    <w:p>
      <w:pPr>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如果合同实施期间的政策性、法规更改引起的工程费用发生除上述第1</w:t>
      </w:r>
      <w:r>
        <w:rPr>
          <w:rFonts w:ascii="宋体" w:hAnsi="宋体" w:cs="宋体"/>
          <w:szCs w:val="21"/>
          <w:highlight w:val="none"/>
        </w:rPr>
        <w:t>3</w:t>
      </w:r>
      <w:r>
        <w:rPr>
          <w:rFonts w:hint="eastAsia" w:ascii="宋体" w:hAnsi="宋体" w:cs="宋体"/>
          <w:szCs w:val="21"/>
          <w:highlight w:val="none"/>
        </w:rPr>
        <w:t>.</w:t>
      </w:r>
      <w:r>
        <w:rPr>
          <w:rFonts w:ascii="宋体" w:hAnsi="宋体" w:cs="宋体"/>
          <w:szCs w:val="21"/>
          <w:highlight w:val="none"/>
        </w:rPr>
        <w:t>8</w:t>
      </w: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条规定以外的变化时，政策性、法规文件更改前已实施的工程费用按原综合单价不变；政策性、法规文件更改生效后没有实施的工程，且新的政策性、法规文件规定可以调整工程综合单价的，则按新政策性、法规文件的规定调整工程综合单价。</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72" w:name="_Toc20614"/>
      <w:bookmarkStart w:id="1173" w:name="_Toc15554"/>
      <w:bookmarkStart w:id="1174" w:name="_Toc109076911"/>
      <w:bookmarkStart w:id="1175" w:name="_Toc10194"/>
      <w:r>
        <w:rPr>
          <w:rFonts w:hint="eastAsia" w:ascii="宋体" w:hAnsi="宋体" w:cs="宋体"/>
          <w:kern w:val="0"/>
          <w:szCs w:val="21"/>
          <w:highlight w:val="none"/>
        </w:rPr>
        <w:t>第14条 合同价格与支付</w:t>
      </w:r>
      <w:bookmarkEnd w:id="1172"/>
      <w:bookmarkEnd w:id="1173"/>
      <w:bookmarkEnd w:id="1174"/>
      <w:bookmarkEnd w:id="1175"/>
    </w:p>
    <w:p>
      <w:pPr>
        <w:snapToGrid w:val="0"/>
        <w:spacing w:line="360" w:lineRule="auto"/>
        <w:ind w:firstLine="600"/>
        <w:contextualSpacing/>
        <w:rPr>
          <w:rFonts w:cs="宋体"/>
          <w:szCs w:val="21"/>
          <w:highlight w:val="none"/>
        </w:rPr>
      </w:pPr>
      <w:r>
        <w:rPr>
          <w:rFonts w:hint="eastAsia" w:ascii="宋体" w:hAnsi="宋体" w:cs="宋体"/>
          <w:szCs w:val="21"/>
          <w:highlight w:val="none"/>
        </w:rPr>
        <w:t>14.1 合同价格形式</w:t>
      </w:r>
    </w:p>
    <w:p>
      <w:pPr>
        <w:snapToGrid w:val="0"/>
        <w:spacing w:line="360" w:lineRule="auto"/>
        <w:ind w:firstLine="600"/>
        <w:contextualSpacing/>
        <w:rPr>
          <w:rFonts w:cs="宋体"/>
          <w:szCs w:val="21"/>
          <w:highlight w:val="none"/>
        </w:rPr>
      </w:pPr>
      <w:r>
        <w:rPr>
          <w:rFonts w:hint="eastAsia" w:cs="宋体"/>
          <w:szCs w:val="21"/>
          <w:highlight w:val="none"/>
        </w:rPr>
        <w:t>14.1.1 关于合同价格形式的约定：</w:t>
      </w:r>
      <w:r>
        <w:rPr>
          <w:rFonts w:hint="eastAsia" w:cs="宋体"/>
          <w:szCs w:val="21"/>
          <w:highlight w:val="none"/>
          <w:u w:val="single"/>
        </w:rPr>
        <w:t xml:space="preserve">  按照本合同专用条款14.1.1.1、14.1.1.2执行 </w:t>
      </w:r>
      <w:r>
        <w:rPr>
          <w:rFonts w:hint="eastAsia" w:cs="宋体"/>
          <w:szCs w:val="21"/>
          <w:highlight w:val="none"/>
        </w:rPr>
        <w:t>。</w:t>
      </w:r>
    </w:p>
    <w:p>
      <w:pPr>
        <w:snapToGrid w:val="0"/>
        <w:spacing w:line="360" w:lineRule="auto"/>
        <w:ind w:firstLine="600"/>
        <w:contextualSpacing/>
        <w:rPr>
          <w:rFonts w:cs="宋体"/>
          <w:bCs/>
          <w:szCs w:val="21"/>
          <w:highlight w:val="none"/>
          <w:u w:val="none"/>
        </w:rPr>
      </w:pPr>
      <w:r>
        <w:rPr>
          <w:rFonts w:hint="eastAsia" w:cs="宋体"/>
          <w:bCs/>
          <w:szCs w:val="21"/>
          <w:highlight w:val="none"/>
        </w:rPr>
        <w:t>14.1.1.1设计费合同价为总价合同，施工图设计费最结算价=工程设计收费基价参照《工程勘察设计收费标准》（2002 年修订本）进行计算</w:t>
      </w:r>
      <w:r>
        <w:rPr>
          <w:rFonts w:hint="eastAsia" w:cs="宋体"/>
          <w:bCs/>
          <w:szCs w:val="21"/>
          <w:highlight w:val="none"/>
          <w:u w:val="none"/>
        </w:rPr>
        <w:t>，以</w:t>
      </w:r>
      <w:r>
        <w:rPr>
          <w:rFonts w:hint="eastAsia"/>
          <w:szCs w:val="21"/>
          <w:highlight w:val="none"/>
          <w:lang w:val="en-US" w:eastAsia="zh-CN"/>
        </w:rPr>
        <w:t>按《关于执行〈江门市政府投资管理办法〉有关问题的通知》有关规定执行的审核</w:t>
      </w:r>
      <w:r>
        <w:rPr>
          <w:rFonts w:hint="eastAsia" w:cs="宋体"/>
          <w:bCs/>
          <w:szCs w:val="21"/>
          <w:highlight w:val="none"/>
          <w:u w:val="none"/>
        </w:rPr>
        <w:t>工程建安费预算价为计算额。设计费最终结算金额=工程设计收费基价×专业调整系数（</w:t>
      </w:r>
      <w:r>
        <w:rPr>
          <w:rFonts w:cs="宋体"/>
          <w:bCs/>
          <w:szCs w:val="21"/>
          <w:highlight w:val="none"/>
          <w:u w:val="none"/>
        </w:rPr>
        <w:t>1.0</w:t>
      </w:r>
      <w:r>
        <w:rPr>
          <w:rFonts w:hint="eastAsia" w:cs="宋体"/>
          <w:bCs/>
          <w:szCs w:val="21"/>
          <w:highlight w:val="none"/>
          <w:u w:val="none"/>
        </w:rPr>
        <w:t>）×工程复杂调整系数（1.0）×附加调整系数（</w:t>
      </w:r>
      <w:r>
        <w:rPr>
          <w:rFonts w:cs="宋体"/>
          <w:bCs/>
          <w:szCs w:val="21"/>
          <w:highlight w:val="none"/>
          <w:u w:val="none"/>
        </w:rPr>
        <w:t>1.0</w:t>
      </w:r>
      <w:r>
        <w:rPr>
          <w:rFonts w:hint="eastAsia" w:cs="宋体"/>
          <w:bCs/>
          <w:szCs w:val="21"/>
          <w:highlight w:val="none"/>
          <w:u w:val="none"/>
        </w:rPr>
        <w:t>）×55%×（1-设计费投标下浮率）。</w:t>
      </w:r>
    </w:p>
    <w:p>
      <w:pPr>
        <w:snapToGrid w:val="0"/>
        <w:spacing w:line="360" w:lineRule="auto"/>
        <w:ind w:firstLine="600"/>
        <w:contextualSpacing/>
        <w:rPr>
          <w:rFonts w:cs="宋体"/>
          <w:szCs w:val="21"/>
          <w:highlight w:val="none"/>
        </w:rPr>
      </w:pPr>
      <w:r>
        <w:rPr>
          <w:rFonts w:hint="eastAsia" w:cs="宋体"/>
          <w:szCs w:val="21"/>
          <w:highlight w:val="none"/>
          <w:u w:val="none"/>
        </w:rPr>
        <w:t>14.1.1.2建安工程费合同价款采用单价合同，且施工图预算审定后的合同工程量清单各项综合单价＝</w:t>
      </w:r>
      <w:r>
        <w:rPr>
          <w:rFonts w:hint="eastAsia" w:cs="宋体"/>
          <w:bCs/>
          <w:szCs w:val="21"/>
          <w:highlight w:val="none"/>
          <w:u w:val="none"/>
        </w:rPr>
        <w:t>以</w:t>
      </w:r>
      <w:r>
        <w:rPr>
          <w:rFonts w:hint="eastAsia"/>
          <w:szCs w:val="21"/>
          <w:highlight w:val="none"/>
          <w:lang w:val="en-US" w:eastAsia="zh-CN"/>
        </w:rPr>
        <w:t>按《关于执行〈江门市政府投资管理办法〉有关问题的通知》有关规定执行的审核</w:t>
      </w:r>
      <w:r>
        <w:rPr>
          <w:rFonts w:hint="eastAsia" w:cs="宋体"/>
          <w:szCs w:val="21"/>
          <w:highlight w:val="none"/>
          <w:u w:val="none"/>
        </w:rPr>
        <w:t>工程预</w:t>
      </w:r>
      <w:r>
        <w:rPr>
          <w:rFonts w:hint="eastAsia" w:cs="宋体"/>
          <w:szCs w:val="21"/>
          <w:highlight w:val="none"/>
        </w:rPr>
        <w:t>算书中的各项综合单价×（1－中标下浮率）。</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14.1.2 关于合同价格调整的约定：</w:t>
      </w:r>
      <w:r>
        <w:rPr>
          <w:rFonts w:hint="eastAsia" w:ascii="宋体" w:hAnsi="宋体" w:cs="宋体"/>
          <w:szCs w:val="21"/>
          <w:highlight w:val="none"/>
          <w:u w:val="single"/>
        </w:rPr>
        <w:t xml:space="preserve"> 按</w:t>
      </w:r>
      <w:r>
        <w:rPr>
          <w:rFonts w:hint="eastAsia" w:cs="宋体"/>
          <w:szCs w:val="21"/>
          <w:highlight w:val="none"/>
          <w:u w:val="single"/>
        </w:rPr>
        <w:t>专用</w:t>
      </w:r>
      <w:r>
        <w:rPr>
          <w:rFonts w:hint="eastAsia" w:ascii="宋体" w:hAnsi="宋体" w:cs="宋体"/>
          <w:szCs w:val="21"/>
          <w:highlight w:val="none"/>
          <w:u w:val="single"/>
        </w:rPr>
        <w:t>条款</w:t>
      </w:r>
      <w:r>
        <w:rPr>
          <w:rFonts w:hint="eastAsia" w:cs="宋体"/>
          <w:szCs w:val="21"/>
          <w:highlight w:val="none"/>
          <w:u w:val="single"/>
        </w:rPr>
        <w:t>13.8</w:t>
      </w:r>
      <w:r>
        <w:rPr>
          <w:rFonts w:hint="eastAsia" w:ascii="宋体" w:hAnsi="宋体" w:cs="宋体"/>
          <w:szCs w:val="21"/>
          <w:highlight w:val="none"/>
          <w:u w:val="single"/>
        </w:rPr>
        <w:t xml:space="preserve">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14.1.3 按实际完成的工程量支付工程价款的计量方法、估价方法：</w:t>
      </w:r>
      <w:r>
        <w:rPr>
          <w:rFonts w:hint="eastAsia" w:ascii="宋体" w:hAnsi="宋体" w:cs="宋体"/>
          <w:szCs w:val="21"/>
          <w:highlight w:val="none"/>
          <w:u w:val="single"/>
        </w:rPr>
        <w:t xml:space="preserve"> 按本合同有关条款执行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14.2 预付款</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14.2.1 预付款支付</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rPr>
        <w:t>（1）</w:t>
      </w:r>
      <w:r>
        <w:rPr>
          <w:rFonts w:hint="eastAsia" w:ascii="宋体" w:hAnsi="宋体" w:cs="宋体"/>
          <w:szCs w:val="21"/>
          <w:highlight w:val="none"/>
          <w:u w:val="single"/>
        </w:rPr>
        <w:t>工程设计费预付款为合同设计费总额的</w:t>
      </w:r>
      <w:r>
        <w:rPr>
          <w:rFonts w:ascii="宋体" w:hAnsi="宋体" w:cs="宋体"/>
          <w:szCs w:val="21"/>
          <w:highlight w:val="none"/>
          <w:u w:val="single"/>
        </w:rPr>
        <w:t>30%</w:t>
      </w:r>
      <w:r>
        <w:rPr>
          <w:rFonts w:hint="eastAsia" w:ascii="宋体" w:hAnsi="宋体" w:cs="宋体"/>
          <w:szCs w:val="21"/>
          <w:highlight w:val="none"/>
          <w:u w:val="singl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u w:val="single"/>
        </w:rPr>
        <w:t>（2）建安工程费预付款为建安工程费签约合同价的</w:t>
      </w:r>
      <w:r>
        <w:rPr>
          <w:rFonts w:ascii="宋体" w:hAnsi="宋体" w:cs="宋体"/>
          <w:szCs w:val="21"/>
          <w:highlight w:val="none"/>
          <w:u w:val="single"/>
        </w:rPr>
        <w:t>3</w:t>
      </w:r>
      <w:r>
        <w:rPr>
          <w:rFonts w:hint="eastAsia" w:ascii="宋体" w:hAnsi="宋体" w:cs="宋体"/>
          <w:szCs w:val="21"/>
          <w:highlight w:val="none"/>
          <w:u w:val="single"/>
        </w:rPr>
        <w:t>0%，包含专用条款的 21.2条及专用条款 21.3 条的约定工人工资保证金支付所需资金</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（4）预付款支付期限：</w:t>
      </w:r>
      <w:r>
        <w:rPr>
          <w:rFonts w:hint="eastAsia" w:ascii="宋体" w:hAnsi="宋体" w:cs="宋体"/>
          <w:szCs w:val="21"/>
          <w:highlight w:val="none"/>
          <w:u w:val="single"/>
        </w:rPr>
        <w:t xml:space="preserve"> 签订合同后，承包商提交支付申请后 30工作日内支付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（5）预付款扣回的方式：</w:t>
      </w:r>
      <w:r>
        <w:rPr>
          <w:rFonts w:hint="eastAsia" w:ascii="宋体" w:hAnsi="宋体" w:cs="宋体"/>
          <w:szCs w:val="21"/>
          <w:highlight w:val="none"/>
          <w:u w:val="single"/>
        </w:rPr>
        <w:t>从工程进度款中每次等比例扣回</w:t>
      </w:r>
      <w:r>
        <w:rPr>
          <w:rFonts w:hint="eastAsia"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14.2.2预付款担保</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提供预付款担保期限：</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预付款担保形式：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14.3 工程进度款</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14.3.1 工程进度付款申请</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工程进度付款申请方式：</w:t>
      </w:r>
      <w:r>
        <w:rPr>
          <w:rFonts w:hint="eastAsia" w:ascii="宋体" w:hAnsi="宋体" w:cs="宋体"/>
          <w:szCs w:val="21"/>
          <w:highlight w:val="none"/>
          <w:u w:val="single"/>
        </w:rPr>
        <w:t xml:space="preserve"> 书面形式，本项目需单独办理预付款、进度款及结算款的请款申请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承包人提交进度付款申请单的格式、内容、份数和时间：。</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进度付款申请单应包括的内容：</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(1) 截至本次付款周期已完成工作对应的金额；</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w:t>
      </w:r>
      <w:r>
        <w:rPr>
          <w:rFonts w:hint="eastAsia" w:cs="宋体"/>
          <w:szCs w:val="21"/>
          <w:highlight w:val="none"/>
          <w:u w:val="single"/>
        </w:rPr>
        <w:t>2</w:t>
      </w:r>
      <w:r>
        <w:rPr>
          <w:rFonts w:hint="eastAsia" w:ascii="宋体" w:hAnsi="宋体" w:cs="宋体"/>
          <w:szCs w:val="21"/>
          <w:highlight w:val="none"/>
          <w:u w:val="single"/>
        </w:rPr>
        <w:t>) 根据约定应支付的预付款和扣减的返还预付款；</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w:t>
      </w:r>
      <w:r>
        <w:rPr>
          <w:rFonts w:hint="eastAsia" w:cs="宋体"/>
          <w:szCs w:val="21"/>
          <w:highlight w:val="none"/>
          <w:u w:val="single"/>
        </w:rPr>
        <w:t>3</w:t>
      </w:r>
      <w:r>
        <w:rPr>
          <w:rFonts w:hint="eastAsia" w:ascii="宋体" w:hAnsi="宋体" w:cs="宋体"/>
          <w:szCs w:val="21"/>
          <w:highlight w:val="none"/>
          <w:u w:val="single"/>
        </w:rPr>
        <w:t>) 对已签发的进度款支付证书中出现错误的修正，应在本次进度付款中支付或扣除的金额；</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w:t>
      </w:r>
      <w:r>
        <w:rPr>
          <w:rFonts w:hint="eastAsia" w:cs="宋体"/>
          <w:szCs w:val="21"/>
          <w:highlight w:val="none"/>
          <w:u w:val="single"/>
        </w:rPr>
        <w:t>4</w:t>
      </w:r>
      <w:r>
        <w:rPr>
          <w:rFonts w:hint="eastAsia" w:ascii="宋体" w:hAnsi="宋体" w:cs="宋体"/>
          <w:szCs w:val="21"/>
          <w:highlight w:val="none"/>
          <w:u w:val="single"/>
        </w:rPr>
        <w:t>) 根据合同约定应增加和扣减的其他金额 。</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14.3.2 进度付款审核和支付</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进度付款的审核方式和支付的约定：</w:t>
      </w:r>
    </w:p>
    <w:p>
      <w:pPr>
        <w:snapToGrid w:val="0"/>
        <w:spacing w:line="360" w:lineRule="auto"/>
        <w:ind w:firstLine="600"/>
        <w:contextualSpacing/>
        <w:rPr>
          <w:rFonts w:ascii="宋体" w:hAnsi="宋体" w:cs="宋体"/>
          <w:szCs w:val="21"/>
          <w:highlight w:val="none"/>
        </w:rPr>
      </w:pPr>
      <w:r>
        <w:rPr>
          <w:rFonts w:hint="eastAsia" w:cs="宋体"/>
          <w:szCs w:val="21"/>
          <w:highlight w:val="none"/>
        </w:rPr>
        <w:t>14.3.2.1</w:t>
      </w:r>
      <w:r>
        <w:rPr>
          <w:rFonts w:hint="eastAsia" w:ascii="宋体" w:hAnsi="宋体" w:cs="宋体"/>
          <w:szCs w:val="21"/>
          <w:highlight w:val="none"/>
        </w:rPr>
        <w:t>工程设计费进度款的支付</w:t>
      </w:r>
    </w:p>
    <w:p>
      <w:pPr>
        <w:snapToGrid w:val="0"/>
        <w:spacing w:line="360" w:lineRule="auto"/>
        <w:ind w:firstLine="600"/>
        <w:contextualSpacing/>
        <w:rPr>
          <w:rFonts w:ascii="宋体" w:hAnsi="宋体" w:cs="宋体"/>
          <w:szCs w:val="21"/>
          <w:highlight w:val="none"/>
          <w:u w:val="single"/>
        </w:rPr>
      </w:pPr>
      <w:r>
        <w:rPr>
          <w:rFonts w:ascii="宋体" w:hAnsi="宋体" w:cs="宋体"/>
          <w:szCs w:val="21"/>
          <w:highlight w:val="none"/>
          <w:u w:val="single"/>
        </w:rPr>
        <w:t>（1）设计费：经发包人、承包人双方确认，如果发包人委托承包人负责施工图设计、</w:t>
      </w:r>
      <w:r>
        <w:rPr>
          <w:rFonts w:ascii="宋体" w:hAnsi="宋体" w:cs="宋体"/>
          <w:szCs w:val="21"/>
          <w:highlight w:val="none"/>
          <w:u w:val="single"/>
          <w:lang w:val="zh-CN"/>
        </w:rPr>
        <w:t>施工配合阶段的设计服务，各阶段的设计费比例为：预付款占本合同设计费总额的</w:t>
      </w:r>
      <w:r>
        <w:rPr>
          <w:rFonts w:hint="eastAsia" w:ascii="宋体" w:hAnsi="宋体" w:cs="宋体"/>
          <w:szCs w:val="21"/>
          <w:highlight w:val="none"/>
          <w:u w:val="single"/>
        </w:rPr>
        <w:t>30</w:t>
      </w:r>
      <w:r>
        <w:rPr>
          <w:rFonts w:ascii="宋体" w:hAnsi="宋体" w:cs="宋体"/>
          <w:szCs w:val="21"/>
          <w:highlight w:val="none"/>
          <w:u w:val="single"/>
          <w:lang w:val="zh-CN"/>
        </w:rPr>
        <w:t>%，施工图设计阶段的设计费共占本合同设计费总额的</w:t>
      </w:r>
      <w:r>
        <w:rPr>
          <w:rFonts w:hint="eastAsia" w:ascii="宋体" w:hAnsi="宋体" w:cs="宋体"/>
          <w:szCs w:val="21"/>
          <w:highlight w:val="none"/>
          <w:u w:val="single"/>
        </w:rPr>
        <w:t>70</w:t>
      </w:r>
      <w:r>
        <w:rPr>
          <w:rFonts w:ascii="宋体" w:hAnsi="宋体" w:cs="宋体"/>
          <w:szCs w:val="21"/>
          <w:highlight w:val="none"/>
          <w:u w:val="single"/>
          <w:lang w:val="zh-CN"/>
        </w:rPr>
        <w:t>%，施工配合阶段占本合同设计费总额的</w:t>
      </w:r>
      <w:r>
        <w:rPr>
          <w:rFonts w:hint="eastAsia" w:ascii="宋体" w:hAnsi="宋体" w:cs="宋体"/>
          <w:szCs w:val="21"/>
          <w:highlight w:val="none"/>
          <w:u w:val="single"/>
        </w:rPr>
        <w:t>1</w:t>
      </w:r>
      <w:r>
        <w:rPr>
          <w:rFonts w:ascii="宋体" w:hAnsi="宋体" w:cs="宋体"/>
          <w:szCs w:val="21"/>
          <w:highlight w:val="none"/>
          <w:u w:val="single"/>
          <w:lang w:val="zh-CN"/>
        </w:rPr>
        <w:t>7%；工</w:t>
      </w:r>
      <w:r>
        <w:rPr>
          <w:rFonts w:ascii="宋体" w:hAnsi="宋体" w:cs="宋体"/>
          <w:szCs w:val="21"/>
          <w:highlight w:val="none"/>
          <w:u w:val="single"/>
        </w:rPr>
        <w:t>程缺陷责任期满后占本合同设计费总额 3%，如果发包人委托承包人负责部分工程设计服务，则每个阶段的设计费</w:t>
      </w:r>
      <w:r>
        <w:rPr>
          <w:rFonts w:ascii="宋体" w:hAnsi="宋体" w:cs="宋体"/>
          <w:szCs w:val="21"/>
          <w:highlight w:val="none"/>
          <w:u w:val="single"/>
          <w:lang w:val="zh-CN"/>
        </w:rPr>
        <w:t>占本合同设计费总额的</w:t>
      </w:r>
      <w:r>
        <w:rPr>
          <w:rFonts w:hint="eastAsia" w:ascii="宋体" w:hAnsi="宋体" w:cs="宋体"/>
          <w:szCs w:val="21"/>
          <w:highlight w:val="none"/>
          <w:u w:val="single"/>
          <w:lang w:val="en-US" w:eastAsia="zh-CN"/>
        </w:rPr>
        <w:t>70</w:t>
      </w:r>
      <w:r>
        <w:rPr>
          <w:rFonts w:ascii="宋体" w:hAnsi="宋体" w:cs="宋体"/>
          <w:szCs w:val="21"/>
          <w:highlight w:val="none"/>
          <w:u w:val="single"/>
          <w:lang w:val="zh-CN"/>
        </w:rPr>
        <w:t>%</w:t>
      </w:r>
      <w:r>
        <w:rPr>
          <w:rFonts w:ascii="宋体" w:hAnsi="宋体" w:cs="宋体"/>
          <w:szCs w:val="21"/>
          <w:highlight w:val="none"/>
          <w:u w:val="single"/>
        </w:rPr>
        <w:t>。</w:t>
      </w:r>
    </w:p>
    <w:p>
      <w:pPr>
        <w:snapToGrid w:val="0"/>
        <w:spacing w:line="360" w:lineRule="auto"/>
        <w:ind w:firstLine="600"/>
        <w:contextualSpacing/>
        <w:rPr>
          <w:rFonts w:ascii="宋体" w:hAnsi="宋体" w:cs="宋体"/>
          <w:szCs w:val="21"/>
          <w:highlight w:val="none"/>
          <w:u w:val="single"/>
        </w:rPr>
      </w:pPr>
      <w:r>
        <w:rPr>
          <w:rFonts w:ascii="宋体" w:hAnsi="宋体" w:cs="宋体"/>
          <w:szCs w:val="21"/>
          <w:highlight w:val="none"/>
          <w:u w:val="single"/>
        </w:rPr>
        <w:t>具体支付时间如下：</w:t>
      </w:r>
    </w:p>
    <w:p>
      <w:pPr>
        <w:snapToGrid w:val="0"/>
        <w:spacing w:line="360" w:lineRule="auto"/>
        <w:ind w:firstLine="600"/>
        <w:contextualSpacing/>
        <w:rPr>
          <w:rFonts w:ascii="宋体" w:hAnsi="宋体" w:cs="宋体"/>
          <w:szCs w:val="21"/>
          <w:highlight w:val="none"/>
          <w:u w:val="single"/>
        </w:rPr>
      </w:pPr>
      <w:r>
        <w:rPr>
          <w:rFonts w:ascii="宋体" w:hAnsi="宋体" w:cs="宋体"/>
          <w:szCs w:val="21"/>
          <w:highlight w:val="none"/>
          <w:u w:val="single"/>
        </w:rPr>
        <w:t>①签订合同并收到承包人设计费申请后</w:t>
      </w:r>
      <w:r>
        <w:rPr>
          <w:rFonts w:hint="eastAsia" w:ascii="宋体" w:hAnsi="宋体" w:cs="宋体"/>
          <w:szCs w:val="21"/>
          <w:highlight w:val="none"/>
          <w:u w:val="single"/>
        </w:rPr>
        <w:t>30</w:t>
      </w:r>
      <w:r>
        <w:rPr>
          <w:rFonts w:ascii="宋体" w:hAnsi="宋体" w:cs="宋体"/>
          <w:szCs w:val="21"/>
          <w:highlight w:val="none"/>
          <w:u w:val="single"/>
        </w:rPr>
        <w:t>天内，发包人向承包人支付设计费总额的</w:t>
      </w:r>
      <w:r>
        <w:rPr>
          <w:rFonts w:hint="eastAsia" w:ascii="宋体" w:hAnsi="宋体" w:cs="宋体"/>
          <w:szCs w:val="21"/>
          <w:highlight w:val="none"/>
          <w:u w:val="single"/>
        </w:rPr>
        <w:t>30</w:t>
      </w:r>
      <w:r>
        <w:rPr>
          <w:rFonts w:ascii="宋体" w:hAnsi="宋体" w:cs="宋体"/>
          <w:szCs w:val="21"/>
          <w:highlight w:val="none"/>
          <w:u w:val="single"/>
        </w:rPr>
        <w:t>% 作为预付款。</w:t>
      </w:r>
    </w:p>
    <w:p>
      <w:pPr>
        <w:snapToGrid w:val="0"/>
        <w:spacing w:line="360" w:lineRule="auto"/>
        <w:ind w:firstLine="600"/>
        <w:contextualSpacing/>
        <w:rPr>
          <w:rFonts w:ascii="宋体" w:hAnsi="宋体" w:cs="宋体"/>
          <w:szCs w:val="21"/>
          <w:highlight w:val="none"/>
          <w:u w:val="single"/>
        </w:rPr>
      </w:pPr>
      <w:r>
        <w:rPr>
          <w:rFonts w:ascii="宋体" w:hAnsi="宋体" w:cs="宋体"/>
          <w:szCs w:val="21"/>
          <w:highlight w:val="none"/>
          <w:u w:val="single"/>
        </w:rPr>
        <w:t>②施工图设计文件通过审查经发承包双方确认后</w:t>
      </w:r>
      <w:r>
        <w:rPr>
          <w:rFonts w:hint="eastAsia" w:ascii="宋体" w:hAnsi="宋体" w:cs="宋体"/>
          <w:szCs w:val="21"/>
          <w:highlight w:val="none"/>
          <w:u w:val="single"/>
        </w:rPr>
        <w:t>30</w:t>
      </w:r>
      <w:r>
        <w:rPr>
          <w:rFonts w:ascii="宋体" w:hAnsi="宋体" w:cs="宋体"/>
          <w:szCs w:val="21"/>
          <w:highlight w:val="none"/>
          <w:u w:val="single"/>
        </w:rPr>
        <w:t xml:space="preserve">天内，发包人向承包人支付至设计费总额的 </w:t>
      </w:r>
      <w:r>
        <w:rPr>
          <w:rFonts w:hint="eastAsia" w:ascii="宋体" w:hAnsi="宋体" w:cs="宋体"/>
          <w:szCs w:val="21"/>
          <w:highlight w:val="none"/>
          <w:u w:val="single"/>
        </w:rPr>
        <w:t>80</w:t>
      </w:r>
      <w:r>
        <w:rPr>
          <w:rFonts w:ascii="宋体" w:hAnsi="宋体" w:cs="宋体"/>
          <w:szCs w:val="21"/>
          <w:highlight w:val="none"/>
          <w:u w:val="single"/>
        </w:rPr>
        <w:t>%。</w:t>
      </w:r>
      <w:r>
        <w:rPr>
          <w:rFonts w:hint="eastAsia" w:ascii="宋体" w:hAnsi="宋体" w:cs="宋体"/>
          <w:szCs w:val="21"/>
          <w:highlight w:val="none"/>
          <w:u w:val="single"/>
        </w:rPr>
        <w:t>通过审查指取得施工图合格证；非设计人原因导致不能取得施工图合格证的，设计人按施工图审查意见修改后提交正式版施工图视为审图通过；</w:t>
      </w:r>
    </w:p>
    <w:p>
      <w:pPr>
        <w:snapToGrid w:val="0"/>
        <w:spacing w:line="360" w:lineRule="auto"/>
        <w:ind w:firstLine="600"/>
        <w:contextualSpacing/>
        <w:rPr>
          <w:rFonts w:ascii="宋体" w:hAnsi="宋体" w:cs="宋体"/>
          <w:szCs w:val="21"/>
          <w:highlight w:val="none"/>
          <w:u w:val="single"/>
        </w:rPr>
      </w:pPr>
      <w:r>
        <w:rPr>
          <w:rFonts w:ascii="宋体" w:hAnsi="宋体" w:cs="宋体"/>
          <w:szCs w:val="21"/>
          <w:highlight w:val="none"/>
          <w:u w:val="single"/>
        </w:rPr>
        <w:t>③工程竣工验收合格后</w:t>
      </w:r>
      <w:r>
        <w:rPr>
          <w:rFonts w:hint="eastAsia" w:ascii="宋体" w:hAnsi="宋体" w:cs="宋体"/>
          <w:szCs w:val="21"/>
          <w:highlight w:val="none"/>
          <w:u w:val="single"/>
        </w:rPr>
        <w:t>30</w:t>
      </w:r>
      <w:r>
        <w:rPr>
          <w:rFonts w:ascii="宋体" w:hAnsi="宋体" w:cs="宋体"/>
          <w:szCs w:val="21"/>
          <w:highlight w:val="none"/>
          <w:u w:val="single"/>
        </w:rPr>
        <w:t>天内，发包人向承包人支付至设计费总额的 97%。</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④</w:t>
      </w:r>
      <w:r>
        <w:rPr>
          <w:rFonts w:ascii="宋体" w:hAnsi="宋体" w:cs="宋体"/>
          <w:szCs w:val="21"/>
          <w:highlight w:val="none"/>
          <w:u w:val="single"/>
        </w:rPr>
        <w:t>工程缺陷责任期满后，发包人向承包人支付至设计费总额的 100% 。</w:t>
      </w:r>
    </w:p>
    <w:p>
      <w:pPr>
        <w:snapToGrid w:val="0"/>
        <w:spacing w:line="360" w:lineRule="auto"/>
        <w:ind w:firstLine="600"/>
        <w:contextualSpacing/>
        <w:rPr>
          <w:rFonts w:ascii="宋体" w:hAnsi="宋体" w:cs="宋体"/>
          <w:szCs w:val="21"/>
          <w:highlight w:val="none"/>
        </w:rPr>
      </w:pPr>
      <w:r>
        <w:rPr>
          <w:rFonts w:ascii="宋体" w:hAnsi="宋体" w:cs="宋体"/>
          <w:szCs w:val="21"/>
          <w:highlight w:val="none"/>
        </w:rPr>
        <w:t xml:space="preserve">14.3.2.2 建安工程费进度款的支付 </w:t>
      </w:r>
      <w:r>
        <w:rPr>
          <w:rFonts w:hint="eastAsia" w:ascii="宋体" w:hAnsi="宋体" w:cs="宋体"/>
          <w:szCs w:val="21"/>
          <w:highlight w:val="none"/>
        </w:rPr>
        <w:t>：</w:t>
      </w:r>
      <w:r>
        <w:rPr>
          <w:rFonts w:hint="eastAsia" w:ascii="宋体" w:hAnsi="宋体" w:cs="宋体"/>
          <w:szCs w:val="21"/>
          <w:highlight w:val="none"/>
          <w:u w:val="single"/>
        </w:rPr>
        <w:t>以月为单位。</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（1）具体为：</w:t>
      </w:r>
      <w:r>
        <w:rPr>
          <w:rFonts w:hint="eastAsia" w:ascii="宋体" w:hAnsi="宋体" w:cs="宋体"/>
          <w:szCs w:val="21"/>
          <w:highlight w:val="none"/>
          <w:u w:val="single"/>
        </w:rPr>
        <w:t>双方约定的工程款（进度款）支付的方式和时间：工程进度款必须在施工单位对已完成的工程量进行质量自检合格并经监理工程师、发包人现场管理员进行质量认可签证的基础上,由承包人于每月 28 日前上报已完成的工程量给监理单位审核，由监理单位将已审核的工程量报发包人签注认可，当工程完成进度款超过当期应扣除工程预付款后，经发包人审批确认后，申请支付实际完成工程量的85%进度款；如在本月 28 日前，未能上报已完成的工程量的，将转入下月报送。工程完工后支付至实际完成工程量且不高于合同价的90%，在工程竣工验收合格并</w:t>
      </w:r>
      <w:r>
        <w:rPr>
          <w:rFonts w:hint="eastAsia" w:cs="宋体"/>
          <w:bCs/>
          <w:szCs w:val="21"/>
          <w:highlight w:val="none"/>
          <w:u w:val="single"/>
        </w:rPr>
        <w:t>以</w:t>
      </w:r>
      <w:r>
        <w:rPr>
          <w:rFonts w:hint="eastAsia"/>
          <w:szCs w:val="21"/>
          <w:highlight w:val="none"/>
          <w:u w:val="single"/>
          <w:lang w:val="en-US" w:eastAsia="zh-CN"/>
        </w:rPr>
        <w:t>按《关于执行〈江门市政府投资管理办法〉有关问题的通知》有关规定执行的审核</w:t>
      </w:r>
      <w:r>
        <w:rPr>
          <w:rFonts w:hint="eastAsia" w:ascii="宋体" w:hAnsi="宋体" w:cs="宋体"/>
          <w:szCs w:val="21"/>
          <w:highlight w:val="none"/>
          <w:u w:val="single"/>
        </w:rPr>
        <w:t>审定</w:t>
      </w:r>
      <w:r>
        <w:rPr>
          <w:rFonts w:hint="eastAsia" w:ascii="宋体" w:hAnsi="宋体" w:cs="宋体"/>
          <w:szCs w:val="21"/>
          <w:highlight w:val="none"/>
          <w:u w:val="single"/>
          <w:lang w:val="en-US" w:eastAsia="zh-CN"/>
        </w:rPr>
        <w:t>后，</w:t>
      </w:r>
      <w:r>
        <w:rPr>
          <w:rFonts w:hint="eastAsia" w:ascii="宋体" w:hAnsi="宋体" w:cs="宋体"/>
          <w:szCs w:val="21"/>
          <w:highlight w:val="none"/>
          <w:u w:val="single"/>
        </w:rPr>
        <w:t>按审定的结算价支付至97%，余下3%留作质量保证金，质量保证金在工程缺陷责任期满后经复核符合原定质量要求30天内一次性无息返还给承包人。</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u w:val="single"/>
        </w:rPr>
        <w:t>支付给承包人的工程资金，发包人按该笔工程资金20%的比例，将资金划入承包人设立的工人工资支付专用帐户。</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14.4 付款计划表</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14.4.1 付款计划表的编制要求：</w:t>
      </w:r>
      <w:r>
        <w:rPr>
          <w:rFonts w:hint="eastAsia" w:ascii="宋体" w:hAnsi="宋体" w:cs="宋体"/>
          <w:szCs w:val="21"/>
          <w:highlight w:val="none"/>
          <w:u w:val="single"/>
        </w:rPr>
        <w:t xml:space="preserve"> 按发包人要求</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14.4.2 付款计划表的编制与审批</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付款计划表的编制：</w:t>
      </w:r>
      <w:r>
        <w:rPr>
          <w:rFonts w:hint="eastAsia" w:ascii="宋体" w:hAnsi="宋体" w:cs="宋体"/>
          <w:szCs w:val="21"/>
          <w:highlight w:val="none"/>
          <w:u w:val="single"/>
        </w:rPr>
        <w:t xml:space="preserve"> 由承包人根据本合同付款要求编制后提供发包人审核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14.5 竣工结算</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14.5.1 竣工结算申请</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承包人提交竣工结算申请的时间：</w:t>
      </w:r>
    </w:p>
    <w:p>
      <w:pPr>
        <w:numPr>
          <w:ilvl w:val="0"/>
          <w:numId w:val="14"/>
        </w:numPr>
        <w:snapToGrid w:val="0"/>
        <w:spacing w:line="360" w:lineRule="auto"/>
        <w:ind w:firstLine="420" w:firstLineChars="200"/>
        <w:contextualSpacing/>
        <w:rPr>
          <w:rFonts w:ascii="宋体" w:hAnsi="宋体" w:cs="宋体"/>
          <w:szCs w:val="21"/>
          <w:highlight w:val="none"/>
          <w:u w:val="none"/>
        </w:rPr>
      </w:pPr>
      <w:r>
        <w:rPr>
          <w:rFonts w:hint="eastAsia" w:ascii="宋体" w:cs="宋体"/>
          <w:szCs w:val="21"/>
          <w:highlight w:val="none"/>
          <w:u w:val="single"/>
        </w:rPr>
        <w:t>承包人应在竣工验收合格后30日内上报竣工结算文件</w:t>
      </w:r>
      <w:r>
        <w:rPr>
          <w:rFonts w:hint="eastAsia" w:ascii="宋体" w:hAnsi="宋体" w:cs="宋体"/>
          <w:szCs w:val="21"/>
          <w:highlight w:val="none"/>
        </w:rPr>
        <w:t>，由发包人将结</w:t>
      </w:r>
      <w:r>
        <w:rPr>
          <w:rFonts w:hint="eastAsia" w:ascii="宋体" w:hAnsi="宋体" w:cs="宋体"/>
          <w:szCs w:val="21"/>
          <w:highlight w:val="none"/>
          <w:u w:val="none"/>
        </w:rPr>
        <w:t>算文件</w:t>
      </w:r>
      <w:r>
        <w:rPr>
          <w:rFonts w:hint="eastAsia" w:ascii="宋体" w:hAnsi="宋体" w:cs="宋体"/>
          <w:szCs w:val="21"/>
          <w:highlight w:val="none"/>
          <w:u w:val="none"/>
          <w:lang w:val="en-US" w:eastAsia="zh-CN"/>
        </w:rPr>
        <w:t>委托咨询单位审核，发包人确认后，按《关于执行〈江门市政府投资管理办法〉有关问题的通知》规定报有关部门审核执行</w:t>
      </w:r>
      <w:r>
        <w:rPr>
          <w:rFonts w:hint="eastAsia" w:ascii="宋体" w:hAnsi="宋体" w:cs="宋体"/>
          <w:szCs w:val="21"/>
          <w:highlight w:val="none"/>
          <w:u w:val="none"/>
        </w:rPr>
        <w:t>。在发包人收到《关于工程造价审核定案征求意见书》 后 5 个工作日内，发包人和承包人必须办妥工程审核结算定案手续，否则，以《关于工程造价审核定案征求意见书》中的初步定案价为工程结算定案价；发包人和承包人对工程结算初步定案价有争议的，必须在 5 个工作日内书面提出，由三方（发包人、承包人</w:t>
      </w:r>
      <w:r>
        <w:rPr>
          <w:rFonts w:hint="eastAsia" w:ascii="宋体" w:hAnsi="宋体" w:cs="宋体"/>
          <w:szCs w:val="21"/>
          <w:highlight w:val="none"/>
          <w:u w:val="none"/>
          <w:lang w:eastAsia="zh-CN"/>
        </w:rPr>
        <w:t>、</w:t>
      </w:r>
      <w:r>
        <w:rPr>
          <w:rFonts w:hint="eastAsia"/>
          <w:szCs w:val="21"/>
          <w:highlight w:val="none"/>
          <w:lang w:val="en-US" w:eastAsia="zh-CN"/>
        </w:rPr>
        <w:t>按《关于执行〈江门市政府投资管理办法〉有关问题的通知》有关规定执行的审核</w:t>
      </w:r>
      <w:r>
        <w:rPr>
          <w:rFonts w:hint="eastAsia" w:ascii="宋体" w:hAnsi="宋体" w:cs="宋体"/>
          <w:szCs w:val="21"/>
          <w:highlight w:val="none"/>
          <w:u w:val="none"/>
        </w:rPr>
        <w:t xml:space="preserve">或其委托的结算评审机构）在 10 天内协商解决。 </w:t>
      </w:r>
    </w:p>
    <w:p>
      <w:pPr>
        <w:numPr>
          <w:ilvl w:val="0"/>
          <w:numId w:val="14"/>
        </w:numPr>
        <w:snapToGrid w:val="0"/>
        <w:spacing w:line="360" w:lineRule="auto"/>
        <w:ind w:firstLine="420" w:firstLineChars="200"/>
        <w:contextualSpacing/>
        <w:rPr>
          <w:rFonts w:ascii="宋体" w:hAnsi="宋体" w:cs="宋体"/>
          <w:szCs w:val="21"/>
          <w:highlight w:val="none"/>
          <w:u w:val="none"/>
        </w:rPr>
      </w:pPr>
      <w:r>
        <w:rPr>
          <w:rFonts w:hint="eastAsia" w:ascii="宋体" w:hAnsi="宋体" w:cs="宋体"/>
          <w:szCs w:val="21"/>
          <w:highlight w:val="none"/>
          <w:u w:val="none"/>
        </w:rPr>
        <w:t>承包人未在本款规定的时间内递交竣工结算文件，经发包人催促后仍未递交或没有明确答复的，造价工程师可根据自己掌握的资料编制竣工结算文件报发包人，由发包人送建设单位确认，</w:t>
      </w:r>
      <w:r>
        <w:rPr>
          <w:rFonts w:hint="eastAsia"/>
          <w:szCs w:val="21"/>
          <w:highlight w:val="none"/>
          <w:lang w:val="en-US" w:eastAsia="zh-CN"/>
        </w:rPr>
        <w:t>按《关于执行〈江门市政府投资管理办法〉有关问题的通知》有关规定执行的审核</w:t>
      </w:r>
      <w:r>
        <w:rPr>
          <w:rFonts w:hint="eastAsia" w:ascii="宋体" w:hAnsi="宋体" w:cs="宋体"/>
          <w:szCs w:val="21"/>
          <w:highlight w:val="none"/>
          <w:u w:val="none"/>
        </w:rPr>
        <w:t>后作为办理竣工结算和支付结算款的依据，承包人应予以认可。</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竣工结算申请的资料清单和份数：</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竣工结算申请单的内容应包括：</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14.5.2 竣工结算审核</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发包人审批竣工付款申请单的期限：</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发包人完成竣工付款的期限：</w:t>
      </w:r>
      <w:r>
        <w:rPr>
          <w:rFonts w:hint="eastAsia" w:ascii="宋体" w:hAnsi="宋体" w:cs="宋体"/>
          <w:szCs w:val="21"/>
          <w:highlight w:val="none"/>
          <w:u w:val="single"/>
        </w:rPr>
        <w:t xml:space="preserve"> 因发包人财政资金拨付进度原因而导致延期的，双方另行协商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关于竣工付款证书异议部分复核的方式和程序：</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在结算过程中，按《关于完善建设工程价款结算有关办法的通知》（财建〔2022〕183号）执行，若发生进度款支付超出实际已完成工程价款的情况，承包单位应按固定在结算后30日内向发包单位返还多收到的工程进度款。</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14.6 质量保证金</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14.6.1 承包人提供质量保证金的方式</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质量保证金采用以下第</w:t>
      </w:r>
      <w:r>
        <w:rPr>
          <w:rFonts w:hint="eastAsia" w:cs="宋体"/>
          <w:szCs w:val="21"/>
          <w:highlight w:val="none"/>
          <w:u w:val="single"/>
        </w:rPr>
        <w:t>（3）</w:t>
      </w:r>
      <w:r>
        <w:rPr>
          <w:rFonts w:hint="eastAsia" w:ascii="宋体" w:hAnsi="宋体" w:cs="宋体"/>
          <w:szCs w:val="21"/>
          <w:highlight w:val="none"/>
        </w:rPr>
        <w:t>种方式：</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 工程质量保证担保，保证金额为：</w:t>
      </w:r>
      <w:r>
        <w:rPr>
          <w:rFonts w:hint="eastAsia" w:ascii="宋体" w:hAnsi="宋体" w:cs="宋体"/>
          <w:szCs w:val="21"/>
          <w:highlight w:val="none"/>
          <w:u w:val="single"/>
        </w:rPr>
        <w:t>工程质量保证金为</w:t>
      </w:r>
      <w:r>
        <w:rPr>
          <w:rFonts w:hint="eastAsia"/>
          <w:szCs w:val="21"/>
          <w:highlight w:val="none"/>
          <w:u w:val="single"/>
          <w:lang w:val="en-US" w:eastAsia="zh-CN"/>
        </w:rPr>
        <w:t>按《关于执行〈江门市政府投资管理办法〉有关问题的通知》有关规定执行的审核</w:t>
      </w:r>
      <w:r>
        <w:rPr>
          <w:rFonts w:hint="eastAsia" w:ascii="宋体" w:hAnsi="宋体" w:cs="宋体"/>
          <w:szCs w:val="21"/>
          <w:highlight w:val="none"/>
          <w:u w:val="single"/>
        </w:rPr>
        <w:t xml:space="preserve">工程结算定案价的 3％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 xml:space="preserve">(2) </w:t>
      </w:r>
      <w:r>
        <w:rPr>
          <w:rFonts w:hint="eastAsia" w:cs="宋体"/>
          <w:szCs w:val="21"/>
          <w:highlight w:val="none"/>
          <w:u w:val="single"/>
        </w:rPr>
        <w:t>3</w:t>
      </w:r>
      <w:r>
        <w:rPr>
          <w:rFonts w:hint="eastAsia" w:ascii="宋体" w:hAnsi="宋体" w:cs="宋体"/>
          <w:szCs w:val="21"/>
          <w:highlight w:val="none"/>
        </w:rPr>
        <w:t>%的工程款；</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(3) 其他方式：</w:t>
      </w:r>
      <w:r>
        <w:rPr>
          <w:rFonts w:hint="eastAsia" w:ascii="宋体" w:hAnsi="宋体" w:cs="宋体"/>
          <w:szCs w:val="21"/>
          <w:highlight w:val="none"/>
          <w:u w:val="single"/>
          <w:lang w:val="en-US" w:eastAsia="zh-CN"/>
        </w:rPr>
        <w:t xml:space="preserve">    /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14.6.2 质量保证金的预留</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质量保证金的预留采取以下第</w:t>
      </w:r>
      <w:r>
        <w:rPr>
          <w:rFonts w:hint="eastAsia" w:cs="宋体"/>
          <w:szCs w:val="21"/>
          <w:highlight w:val="none"/>
          <w:u w:val="single"/>
        </w:rPr>
        <w:t>（3）</w:t>
      </w:r>
      <w:r>
        <w:rPr>
          <w:rFonts w:hint="eastAsia" w:ascii="宋体" w:hAnsi="宋体" w:cs="宋体"/>
          <w:szCs w:val="21"/>
          <w:highlight w:val="none"/>
        </w:rPr>
        <w:t>种方式：</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 在支付工程进度款时逐次预留的质量保证金的比例：，在此情形下，质量保证金的计算基数不包括预付款的支付、扣回以及价格调整的金额；</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(2) 工程竣工结算时一次性预留专用合同条件第14.6.1项第(2)目约定的工程款预留比例的质量保证金；</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 xml:space="preserve">(3) 其他预留方式: </w:t>
      </w:r>
      <w:r>
        <w:rPr>
          <w:rFonts w:hint="eastAsia" w:ascii="宋体" w:hAnsi="宋体" w:cs="宋体"/>
          <w:szCs w:val="21"/>
          <w:highlight w:val="none"/>
          <w:u w:val="single"/>
        </w:rPr>
        <w:t xml:space="preserve"> 由承包人按结算定案价的 3%提供工程质量保证金保函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关于质量保证金的补充约定：</w:t>
      </w:r>
      <w:r>
        <w:rPr>
          <w:rFonts w:hint="eastAsia" w:ascii="宋体" w:hAnsi="宋体" w:cs="宋体"/>
          <w:szCs w:val="21"/>
          <w:highlight w:val="none"/>
          <w:u w:val="single"/>
        </w:rPr>
        <w:t xml:space="preserve"> 缺陷责任期满验收合格后一次性无息返还。在专用条款约定的缺陷责任期终止并验收合格后的 30 天内，发包人应将剩余的质量保证金无息返还给承包人。剩余质量保证金的返还，并不能免除承包人按照合同约定应承担的质量保修责任和应履行的质量保修义务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14.7 最终结清</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14.7.1 最终结清申请单</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当事人双方关于最终结清申请的其他约定：</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14.7.2 最终结清证书和支付</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当事人双方关于最终结清支付的其他约定：</w:t>
      </w:r>
      <w:r>
        <w:rPr>
          <w:rFonts w:hint="eastAsia" w:ascii="宋体" w:hAnsi="宋体" w:cs="宋体"/>
          <w:szCs w:val="21"/>
          <w:highlight w:val="none"/>
          <w:u w:val="single"/>
        </w:rPr>
        <w:t xml:space="preserve"> 因发包人财政资金拨付进度原因而导致延期的，双方另行协商</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76" w:name="_Toc13701"/>
      <w:bookmarkStart w:id="1177" w:name="_Toc54862346"/>
      <w:bookmarkStart w:id="1178" w:name="_Toc6479"/>
      <w:bookmarkStart w:id="1179" w:name="_Toc14723"/>
      <w:bookmarkStart w:id="1180" w:name="_Toc109076912"/>
      <w:bookmarkStart w:id="1181" w:name="_Toc31942"/>
      <w:r>
        <w:rPr>
          <w:rFonts w:hint="eastAsia" w:ascii="宋体" w:hAnsi="宋体" w:cs="宋体"/>
          <w:kern w:val="0"/>
          <w:szCs w:val="21"/>
          <w:highlight w:val="none"/>
        </w:rPr>
        <w:t>第15条 违约</w:t>
      </w:r>
      <w:bookmarkEnd w:id="1176"/>
      <w:bookmarkEnd w:id="1177"/>
      <w:bookmarkEnd w:id="1178"/>
      <w:bookmarkEnd w:id="1179"/>
      <w:bookmarkEnd w:id="1180"/>
      <w:bookmarkEnd w:id="1181"/>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15.1 发包人违约</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15.1.1 发包人违约的情形</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发包人违约的其他情形</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15.1.3 发包人违约的责任</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发包人违约责任的承担方式和计算方法：</w:t>
      </w:r>
      <w:r>
        <w:rPr>
          <w:rFonts w:hint="eastAsia" w:ascii="宋体" w:hAnsi="宋体" w:cs="宋体"/>
          <w:szCs w:val="21"/>
          <w:highlight w:val="none"/>
          <w:u w:val="single"/>
        </w:rPr>
        <w:t xml:space="preserve">  在合同履行期间，发包人要求终止或解除合同，按承包人已完成工作量参照设计比例支付工程设计费，不另行支付设计人违约金。承包人未开始设计工作的，发包人不另作补偿；单设计人应退回已支付的款项。承包人完成工程设计并经审查合格,发包人支付至暂定工程设计费的 70%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15.2 承包人违约</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15.2.1 承包人违约的情形</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承包人违约的其他情形：</w:t>
      </w:r>
      <w:r>
        <w:rPr>
          <w:rFonts w:hint="eastAsia" w:ascii="宋体" w:hAnsi="宋体" w:cs="宋体"/>
          <w:szCs w:val="21"/>
          <w:highlight w:val="none"/>
          <w:u w:val="single"/>
        </w:rPr>
        <w:t>除通用合同条件约定外，</w:t>
      </w:r>
      <w:r>
        <w:rPr>
          <w:rFonts w:hint="eastAsia" w:cs="宋体"/>
          <w:szCs w:val="21"/>
          <w:highlight w:val="none"/>
          <w:u w:val="single"/>
        </w:rPr>
        <w:t>另</w:t>
      </w:r>
      <w:r>
        <w:rPr>
          <w:rFonts w:hint="eastAsia" w:ascii="宋体" w:hAnsi="宋体" w:cs="宋体"/>
          <w:szCs w:val="21"/>
          <w:highlight w:val="none"/>
          <w:u w:val="single"/>
        </w:rPr>
        <w:t>增加：（1）承包人违反关于承包人项目经理管理规定；（2）承包人违反关于承包人人员管理规定；（3）承包人未按期支付民工工资的；（4）承包人提供的结算资料弄虚作假的。</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15.2.2 通知改正</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发包人通知承包人改正的合理期限是：</w:t>
      </w:r>
      <w:r>
        <w:rPr>
          <w:rFonts w:hint="eastAsia" w:ascii="宋体" w:hAnsi="宋体" w:cs="宋体"/>
          <w:szCs w:val="21"/>
          <w:highlight w:val="none"/>
          <w:u w:val="single"/>
        </w:rPr>
        <w:t xml:space="preserve"> 承包人发生违约行为时，监理人应及时向承包人发出书面警告，限令其在收到书面警告后的 2 天内予以整改，并按合同的有关规定执行。承包人应立即采取有效措施认真整改，并尽可能挽回由于违约造成的延误和损失。由于承包人采取整改措施所增加的费用，应由承包人承担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15.2.3 承包人违约的责任</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承包人违约责任的承担方式和计算方法：</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1.设计部分违约责任</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（1）承包人支付发包人的违约金：合同生效后，承包人要求终止或解除合同，承包人应退还已收到的工程设计费、按已收到工程设计费一倍支付违约金并承担发包人相应损失。</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（2）承包人未经发包人同意擅自对工程设计进行分包的违约责任：发包人有权解除合同，承包人应当退还已收到的所有工程设计费，由此产生的一切后果及损失由承包人负责。</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3）因承包人原因造成工程设计文件出现的遗漏或错误的，重大变更必须在收到发包人书面通知后5个工作日内完成修改及补充，一般变更必须在收到发包人书面通知后3个工作日内完成修改及补充，每延误一天，应扣除该项目应收工程设计费的千分之五，扣除额直至该项目应收工程设计费的30%止。由于承包人工程设计错误造成工程质量事故损失，承包人除负责采取补救措施外，发包人有权每次扣减项目合同价2%的工程设计费，已开始施工的并根据损失程度向发包人支付相应损失的赔偿金。</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（4）由于承包人的原因，延误了工程设计文件交付时间或发包人和承包人双方商定完成的期限（包括施工过程中发出的修改通知），每延误一天扣5000元/天，最高不超过设计费合同价的5%。</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①违约金计算方法。由发包人委托建设行政主管部门认可的造价咨询机构对工程量偏差部分计价，按计算出的偏差金额的1%扣除工程设计费，扣除额直至该项目应收工程设计费的40%止。</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5）承包人交付设计文件后，5个日历天内完成图纸审查出具审查报告，承包人应按规定参加有关上级的设计审查并承担相关评审费用，并根据审查结论负责不超出原定范围的内容的必要调整补充。承包人按本合同规定时限交付设计文件，负责向发包人及施工单位进行设计交底、设计驻场配合、处理有关设计问题和参加竣工验收。若承包人不配合业主或行政主管部门组织的专家组等专业人员提出的相关论证意见修改而造成工期延误的，每延误一天扣5000元/天，最高不超过设计费合同价的5%。</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（6）在工程设计过程及施工过程中，发包人对承包人提出关于本项目设计的相关问题，承包人务必在知道问题之日起7 天内进行答复，否则工程设计费的1%至5%/次扣减工程设计费用。最高不超过设计合同价的50%。</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（7）关于工程设计后因设计原因导致的变更、漏项，当工程总结算价与施工合同价款（另除工程预留金）相比，超过10%（含10%）时，则扣除相同比例的工程设计费，扣除额直至工程设计费审定价的30%止。</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8）如发生安全事故，属承包人工程设计责任的，由承包人负责处理，发包人有权按照工程设计费10%/次扣减违约金，所需费用应考虑在合同价款中。若因发生工程安全事故造成工程停工或造成工期延误，除采取补救措施外，还应赔偿因此造成发包人的经济损失，情节严重，发包人有权按照项目合同价10%-30%每次扣减违约金。并根据损失程度向发包人支付相应损失的赔偿金。最高不超过设计合同价的50%。</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9）承包人必须按合同规定向发包人交付工程设计成果文件，对设计深度和质量负责。如因工程设计文件未获政府部门批准，承包人应承担反复修改设计的工作的责任。未经发包人书面同意，不得对已批准的设计文件作修改，否则承包人需承担后果。若经发包人发现，扣除项目设计合同价的3%/处，扣费次数不设上限。最高不超过设计合同价的50%。</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（10）在工程设计过程及施工过程中，发包人对承包人提出关于本项目工程设计的相关要求，承包人务必在规定时间内进行工程设计，否则按设计合同价1%-5%/次扣减违约金。最高不超过设计合同价的50%。</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（11）承包人必须按发包人规定的时间内对工程设计进行深度变更，否则按设计合同价1%-5%/次扣减违约金。最高不超过设计合同价的50%。</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2.施工部分违约责任</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（1）承包人在施工过程中，必须保证及时向发包人和监理单位提交材料报验资料、工程分项分部和整体的验收资料，并及时办理隐蔽工程验收和工程结算，否则发包人有权拒付下一期工程进度款。</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（2）为了本工程的质量和工期，本工程收取工程履约保证金。若承包人有以下违约条件之一，发包人则不予退回工程履约保证金给承包人并扣减费用：</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A.工程质量不符合招标文件质量标准和要求，按招标文件的有关规定处理。</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B.承包人使用不符合施工图及图集要求的构件。</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C.对监理工程师发出的整改通知书，在规定时间内拒不执行的。</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D.发生拖欠工资导致窝工、罢工、停工或集体上访的。</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E.承包人在中途自动离场的，没收工程履约保证金。</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F.发生施工安全事故导致工程停工的，没收工程履约保证金。</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G.因承包人的自身原因停工、罢工等影响工期进度、工期质量的将进行处理并追究法律责任。</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H.为了避免拖欠工程款的情况发生，承包人签订施工合同时应在合同中明确本单位的开户银行及账户，且必须与承包人投标文件中明确的开户银行及账户相同，不得以其分公司、经营部或经销部等账户名称代替。</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I. 联合体成员中的施工单位与劳务分包人签订协议，劳务分包人与建筑工人签订用工合同，均须明确工资计算方法、明确建筑工人工资“月结月清”的支付方案等，并报联合体牵头人和发包人备案。实行建筑工人工资发放公示制度，对建筑工人的工资发放情况在工地现场公示三日以上。否则，没收履约保证金。</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（3）为了本工程的质量和工期，若承包人有以下违约条件之一，发包人有权在扣除相应的违约金：</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A.施工期间必须保持周围环境的清洁，所需费用应考虑在合同价款书中。如承包人在接到发包人或监理单位的书面通知四小时内未进行清洁或清洁不彻底的，发包人将委托其他单位进行清洁，所产生的费用由承包人承担，并扣除1‰-5‰/次。最高不超过工程款的</w:t>
      </w:r>
      <w:r>
        <w:rPr>
          <w:rFonts w:ascii="宋体" w:hAnsi="宋体" w:cs="宋体"/>
          <w:szCs w:val="21"/>
          <w:highlight w:val="none"/>
          <w:u w:val="single"/>
        </w:rPr>
        <w:t>5</w:t>
      </w:r>
      <w:r>
        <w:rPr>
          <w:rFonts w:hint="eastAsia" w:ascii="宋体" w:hAnsi="宋体" w:cs="宋体"/>
          <w:szCs w:val="21"/>
          <w:highlight w:val="none"/>
          <w:u w:val="single"/>
        </w:rPr>
        <w:t>%。</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B.施工期间必须保证现有设施、建筑物、成品及半成品不受污染和破坏。如承包人在接到发包人或监理单位的通知（含口头通知）两小时内未进行补救措施而造成永久性污染的，除无偿采取补救措施外，每次扣除1‰-5‰/次；造成破坏的视损坏程度给予无偿更换或作相应的赔偿。</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C.本工程所使用的散体物料运输车辆必须符合市区散体物料运输的有关规定，保证所有车辆能干净上路，不得发生余泥（物料）的洒漏事故，并派足够工作人员对运输车辆的运输路径进行保洁或清理。若发生洒漏或带泥上路而承包人不能及时清理的，每次扣除1‰-5‰/次。最高不超过工程款的</w:t>
      </w:r>
      <w:r>
        <w:rPr>
          <w:rFonts w:ascii="宋体" w:hAnsi="宋体" w:cs="宋体"/>
          <w:szCs w:val="21"/>
          <w:highlight w:val="none"/>
          <w:u w:val="single"/>
        </w:rPr>
        <w:t>5</w:t>
      </w:r>
      <w:r>
        <w:rPr>
          <w:rFonts w:hint="eastAsia" w:ascii="宋体" w:hAnsi="宋体" w:cs="宋体"/>
          <w:szCs w:val="21"/>
          <w:highlight w:val="none"/>
          <w:u w:val="single"/>
        </w:rPr>
        <w:t>%。</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D.在施工过程中，发包人和监理公司提出有关质量、安全、文明等问题要求整改返工的，承包人必须立即整改，否则发包人有权将按照1‰-5‰/次的标准扣除。最高不超过工程款的</w:t>
      </w:r>
      <w:r>
        <w:rPr>
          <w:rFonts w:ascii="宋体" w:hAnsi="宋体" w:cs="宋体"/>
          <w:szCs w:val="21"/>
          <w:highlight w:val="none"/>
          <w:u w:val="single"/>
        </w:rPr>
        <w:t>5</w:t>
      </w:r>
      <w:r>
        <w:rPr>
          <w:rFonts w:hint="eastAsia" w:ascii="宋体" w:hAnsi="宋体" w:cs="宋体"/>
          <w:szCs w:val="21"/>
          <w:highlight w:val="none"/>
          <w:u w:val="single"/>
        </w:rPr>
        <w:t>%。同时，发包人有权委托有资质的第三方进行整改；因此给发包人造成损失的，承包人还应当承担赔偿责任。</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（4）在施工过程中，承包人在收到发包人通过书面、微信等方式传达的通知后，应及时执行或整改，并达到发包人的要求。若未能及时执行或整改的，每次扣除1‰-5‰/次。最高不超过工程款的</w:t>
      </w:r>
      <w:r>
        <w:rPr>
          <w:rFonts w:ascii="宋体" w:hAnsi="宋体" w:cs="宋体"/>
          <w:szCs w:val="21"/>
          <w:highlight w:val="none"/>
          <w:u w:val="single"/>
        </w:rPr>
        <w:t>5</w:t>
      </w:r>
      <w:r>
        <w:rPr>
          <w:rFonts w:hint="eastAsia" w:ascii="宋体" w:hAnsi="宋体" w:cs="宋体"/>
          <w:szCs w:val="21"/>
          <w:highlight w:val="none"/>
          <w:u w:val="single"/>
        </w:rPr>
        <w:t>%。</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（5）承包人存在下列问题的，应当承担如下违约责任：</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工程开始施工时，施工负责人及技术负责人不能及时到位，每延期一天，承包人向发包人支付5000 元/天的违约金。</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（6）工程开始施工时，施工负责人及技术负责人按《（江建[2014]7）附件1 江门市公有资金投资工程及公共工程管理人员在岗信息管理办法》执行，少于办法要求在岗天数发包人有权按每天5000 元/天的违约金。</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u w:val="single"/>
        </w:rPr>
        <w:t>（7）承包人有责任和义务对现有地下（或地上）管线采取保护措施，并保证其不损毁能继续正常工作，若出现安全事故对社会造成不良影响，发包人有权按照1‰-5‰/次扣减违约金；情节严重，按照合同价2%每次扣减违约金。所需费用在合同价款中综合考虑。最高不超过工程款的</w:t>
      </w:r>
      <w:r>
        <w:rPr>
          <w:rFonts w:ascii="宋体" w:hAnsi="宋体" w:cs="宋体"/>
          <w:szCs w:val="21"/>
          <w:highlight w:val="none"/>
          <w:u w:val="single"/>
        </w:rPr>
        <w:t>5</w:t>
      </w:r>
      <w:r>
        <w:rPr>
          <w:rFonts w:hint="eastAsia" w:ascii="宋体" w:hAnsi="宋体" w:cs="宋体"/>
          <w:szCs w:val="21"/>
          <w:highlight w:val="none"/>
          <w:u w:val="singl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u w:val="single"/>
        </w:rPr>
        <w:t>（8）在施工过程中，发包人在日常工作检查中向承包人发出《项目安全/质量检查整改通知单》并明确整改期限，若在期限内仍未能及时执行或整改的，第一次扣除10000元；第二次扣除30000元，若未能及时执行或整改的次数达到3次或以上时，每次扣除50000元。</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82" w:name="_Toc1695"/>
      <w:bookmarkStart w:id="1183" w:name="_Toc54862347"/>
      <w:bookmarkStart w:id="1184" w:name="_Toc2082"/>
      <w:bookmarkStart w:id="1185" w:name="_Toc24223"/>
      <w:bookmarkStart w:id="1186" w:name="_Toc109076913"/>
      <w:bookmarkStart w:id="1187" w:name="_Toc12002"/>
      <w:r>
        <w:rPr>
          <w:rFonts w:hint="eastAsia" w:ascii="宋体" w:hAnsi="宋体" w:cs="宋体"/>
          <w:kern w:val="0"/>
          <w:szCs w:val="21"/>
          <w:highlight w:val="none"/>
        </w:rPr>
        <w:t>第16条 合同解除</w:t>
      </w:r>
      <w:bookmarkEnd w:id="1182"/>
      <w:bookmarkEnd w:id="1183"/>
      <w:bookmarkEnd w:id="1184"/>
      <w:bookmarkEnd w:id="1185"/>
      <w:bookmarkEnd w:id="1186"/>
      <w:bookmarkEnd w:id="1187"/>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16.1 由发包人解除合同</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16.1.1 因承包人违约解除合同</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双方约定可由发包人解除合同的其他事由：</w:t>
      </w:r>
      <w:r>
        <w:rPr>
          <w:rFonts w:hint="eastAsia" w:ascii="宋体" w:hAnsi="宋体" w:cs="宋体"/>
          <w:szCs w:val="21"/>
          <w:highlight w:val="none"/>
          <w:u w:val="single"/>
        </w:rPr>
        <w:t xml:space="preserve"> 执行本项目期间，如发现承包人有违约情况，并经发包人发出警告书 3 封以上（含 3 封），或因设计严重错误等原因造成本工程重大损失，承包人须除按上述条款赔偿损失外，发包人有权单方面解除合同，同时承包人应承担一切责任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16.2 由承包人解除合同</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16.2.1 因发包人违约解除合同</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双方约定可由承包人解除合同的其他事由：</w:t>
      </w:r>
      <w:r>
        <w:rPr>
          <w:rFonts w:hint="eastAsia" w:ascii="宋体" w:hAnsi="宋体" w:cs="宋体"/>
          <w:szCs w:val="21"/>
          <w:highlight w:val="none"/>
          <w:u w:val="single"/>
        </w:rPr>
        <w:t>：合同生效后，承包人因自身原因或无其他正当理由要求终止或解除合同，应双倍返还发包人已支付的合同款项</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88" w:name="_Toc16732"/>
      <w:bookmarkStart w:id="1189" w:name="_Toc54862348"/>
      <w:bookmarkStart w:id="1190" w:name="_Toc109076914"/>
      <w:bookmarkStart w:id="1191" w:name="_Toc14831"/>
      <w:bookmarkStart w:id="1192" w:name="_Toc19554"/>
      <w:bookmarkStart w:id="1193" w:name="_Toc3144"/>
      <w:r>
        <w:rPr>
          <w:rFonts w:hint="eastAsia" w:ascii="宋体" w:hAnsi="宋体" w:cs="宋体"/>
          <w:kern w:val="0"/>
          <w:szCs w:val="21"/>
          <w:highlight w:val="none"/>
        </w:rPr>
        <w:t>第17条 不可抗力</w:t>
      </w:r>
      <w:bookmarkEnd w:id="1188"/>
      <w:bookmarkEnd w:id="1189"/>
      <w:bookmarkEnd w:id="1190"/>
      <w:bookmarkEnd w:id="1191"/>
      <w:bookmarkEnd w:id="1192"/>
      <w:bookmarkEnd w:id="1193"/>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17.1 不可抗力的定义</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除通用合同条件约定的不可抗力事件之外，视为不可抗力的其他情形：</w:t>
      </w:r>
      <w:r>
        <w:rPr>
          <w:rFonts w:hint="eastAsia" w:ascii="宋体" w:hAnsi="宋体" w:cs="宋体"/>
          <w:szCs w:val="21"/>
          <w:highlight w:val="none"/>
          <w:u w:val="single"/>
        </w:rPr>
        <w:t xml:space="preserve"> （1）异常天气：仅指 50 年（ 含 50 年）一 遇以上的洪水或 10 级（ 含 10 级）以上的台风。因异常天气袭击工地为确保安全而停工的，承包人应于 台风、洪水天气结束之日起七日内，向当地气象部门索取当地台风、暴雨天气资料或报告（含气象实况及 对此分析的内容），连同施工日志、施工现场照片办理证据保全公证，方可认定为是不可抗力。（2）里 氏 5 级（含本数）以上地震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17.6 因不可抗力解除合同</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合同解除后，发包人应当在商定或确定发包人应支付款项后的</w:t>
      </w:r>
      <w:r>
        <w:rPr>
          <w:rFonts w:hint="eastAsia" w:cs="宋体"/>
          <w:szCs w:val="21"/>
          <w:highlight w:val="none"/>
          <w:u w:val="single"/>
        </w:rPr>
        <w:t>60</w:t>
      </w:r>
      <w:r>
        <w:rPr>
          <w:rFonts w:hint="eastAsia" w:ascii="宋体" w:hAnsi="宋体" w:cs="宋体"/>
          <w:szCs w:val="21"/>
          <w:highlight w:val="none"/>
        </w:rPr>
        <w:t>天内完成款项的支付。</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194" w:name="_Toc4784277"/>
      <w:bookmarkEnd w:id="1194"/>
      <w:bookmarkStart w:id="1195" w:name="_Toc4784276"/>
      <w:bookmarkEnd w:id="1195"/>
      <w:bookmarkStart w:id="1196" w:name="_Toc6580"/>
      <w:bookmarkStart w:id="1197" w:name="_Toc109076915"/>
      <w:bookmarkStart w:id="1198" w:name="_Toc30334"/>
      <w:bookmarkStart w:id="1199" w:name="_Toc13372"/>
      <w:bookmarkStart w:id="1200" w:name="_Toc23624"/>
      <w:bookmarkStart w:id="1201" w:name="_Toc54862349"/>
      <w:r>
        <w:rPr>
          <w:rFonts w:hint="eastAsia" w:ascii="宋体" w:hAnsi="宋体" w:cs="宋体"/>
          <w:kern w:val="0"/>
          <w:szCs w:val="21"/>
          <w:highlight w:val="none"/>
        </w:rPr>
        <w:t>第18条 保险</w:t>
      </w:r>
      <w:bookmarkEnd w:id="1196"/>
      <w:bookmarkEnd w:id="1197"/>
      <w:bookmarkEnd w:id="1198"/>
      <w:bookmarkEnd w:id="1199"/>
      <w:bookmarkEnd w:id="1200"/>
      <w:bookmarkEnd w:id="1201"/>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18.1 设计和工程保险</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18.1.1 双方当事人关于设计和工程保险的特别约定：</w:t>
      </w:r>
    </w:p>
    <w:p>
      <w:pPr>
        <w:snapToGrid w:val="0"/>
        <w:spacing w:line="360" w:lineRule="auto"/>
        <w:ind w:firstLine="600"/>
        <w:contextualSpacing/>
        <w:rPr>
          <w:rFonts w:ascii="宋体" w:hAnsi="宋体" w:cs="宋体"/>
          <w:szCs w:val="21"/>
          <w:highlight w:val="none"/>
          <w:u w:val="single"/>
        </w:rPr>
      </w:pPr>
      <w:r>
        <w:rPr>
          <w:rFonts w:hint="eastAsia" w:ascii="宋体" w:hAnsi="宋体" w:cs="宋体"/>
          <w:szCs w:val="21"/>
          <w:highlight w:val="none"/>
        </w:rPr>
        <w:t>承包人应按照下列规定办理保险，并支付保险费：</w:t>
      </w:r>
      <w:r>
        <w:rPr>
          <w:rFonts w:hint="eastAsia" w:ascii="宋体" w:cs="宋体"/>
          <w:szCs w:val="21"/>
          <w:highlight w:val="none"/>
          <w:u w:val="single"/>
        </w:rPr>
        <w:t>保险费纳入总造价。</w:t>
      </w:r>
    </w:p>
    <w:p>
      <w:pPr>
        <w:numPr>
          <w:ilvl w:val="0"/>
          <w:numId w:val="15"/>
        </w:numPr>
        <w:snapToGrid w:val="0"/>
        <w:spacing w:line="360" w:lineRule="auto"/>
        <w:ind w:left="5" w:firstLine="415"/>
        <w:contextualSpacing/>
        <w:rPr>
          <w:rFonts w:ascii="宋体" w:hAnsi="宋体" w:cs="宋体"/>
          <w:szCs w:val="21"/>
          <w:highlight w:val="none"/>
          <w:u w:val="single"/>
        </w:rPr>
      </w:pPr>
      <w:r>
        <w:rPr>
          <w:rFonts w:hint="eastAsia" w:ascii="宋体" w:hAnsi="宋体" w:cs="宋体"/>
          <w:szCs w:val="21"/>
          <w:highlight w:val="none"/>
          <w:u w:val="single"/>
        </w:rPr>
        <w:t xml:space="preserve">工程开工前，为合同工程办理建筑工程一切险、安装工程一切险、安全生产责任保险； </w:t>
      </w:r>
    </w:p>
    <w:p>
      <w:pPr>
        <w:numPr>
          <w:ilvl w:val="0"/>
          <w:numId w:val="15"/>
        </w:numPr>
        <w:snapToGrid w:val="0"/>
        <w:spacing w:line="360" w:lineRule="auto"/>
        <w:ind w:left="5" w:firstLine="415"/>
        <w:contextualSpacing/>
        <w:rPr>
          <w:rFonts w:ascii="宋体" w:hAnsi="宋体" w:cs="宋体"/>
          <w:szCs w:val="21"/>
          <w:highlight w:val="none"/>
          <w:u w:val="single"/>
        </w:rPr>
      </w:pPr>
      <w:r>
        <w:rPr>
          <w:rFonts w:hint="eastAsia" w:ascii="宋体" w:hAnsi="宋体" w:cs="宋体"/>
          <w:szCs w:val="21"/>
          <w:highlight w:val="none"/>
          <w:u w:val="single"/>
        </w:rPr>
        <w:t xml:space="preserve">工程开工前，为施工场地内的自有人员（包括监理工程师、造价工程师在内）办理工伤保险、意外伤害保险； </w:t>
      </w:r>
    </w:p>
    <w:p>
      <w:pPr>
        <w:numPr>
          <w:ilvl w:val="0"/>
          <w:numId w:val="15"/>
        </w:numPr>
        <w:snapToGrid w:val="0"/>
        <w:spacing w:line="360" w:lineRule="auto"/>
        <w:ind w:left="5" w:firstLine="415"/>
        <w:contextualSpacing/>
        <w:rPr>
          <w:rFonts w:ascii="宋体" w:hAnsi="宋体" w:cs="宋体"/>
          <w:szCs w:val="21"/>
          <w:highlight w:val="none"/>
          <w:u w:val="single"/>
        </w:rPr>
      </w:pPr>
      <w:r>
        <w:rPr>
          <w:rFonts w:hint="eastAsia" w:ascii="宋体" w:hAnsi="宋体" w:cs="宋体"/>
          <w:szCs w:val="21"/>
          <w:highlight w:val="none"/>
          <w:u w:val="single"/>
        </w:rPr>
        <w:t>为运至施工场地内用于永久工程的材料和待安装工程设备办理保险。保险期从办理保险之日起至工程竣工合格之日止。</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18.1.2 双方当事人关于第三方责任险的特别约定：</w:t>
      </w:r>
      <w:r>
        <w:rPr>
          <w:rFonts w:hint="eastAsia" w:ascii="宋体" w:hAnsi="宋体" w:cs="宋体"/>
          <w:szCs w:val="21"/>
          <w:highlight w:val="none"/>
          <w:u w:val="single"/>
        </w:rPr>
        <w:t xml:space="preserve"> 承包人为第三者办理第三者责任险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18.2 工伤和意外伤害保险</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18.2.3 关于工伤保险和意外伤害保险的特别约定：</w:t>
      </w:r>
    </w:p>
    <w:p>
      <w:pPr>
        <w:snapToGrid w:val="0"/>
        <w:spacing w:line="360" w:lineRule="auto"/>
        <w:ind w:firstLine="600"/>
        <w:contextualSpacing/>
        <w:rPr>
          <w:rFonts w:ascii="宋体" w:cs="宋体"/>
          <w:szCs w:val="21"/>
          <w:highlight w:val="none"/>
          <w:u w:val="single"/>
        </w:rPr>
      </w:pPr>
      <w:r>
        <w:rPr>
          <w:rFonts w:hint="eastAsia" w:ascii="宋体" w:cs="宋体"/>
          <w:szCs w:val="21"/>
          <w:highlight w:val="none"/>
          <w:u w:val="single"/>
        </w:rPr>
        <w:t>①承包人必须依法严格履行为职工和从业人员办理工伤保险，缴纳工伤保险费、意外伤害保险的法定义务，为施工期间指定的工作和生活区域内从事与建筑施工直接相关工作的作业人员和管理人员办理工伤保险、建筑意外伤害保险。</w:t>
      </w:r>
    </w:p>
    <w:p>
      <w:pPr>
        <w:snapToGrid w:val="0"/>
        <w:spacing w:line="360" w:lineRule="auto"/>
        <w:ind w:firstLine="600"/>
        <w:contextualSpacing/>
        <w:rPr>
          <w:rFonts w:ascii="宋体" w:cs="宋体"/>
          <w:szCs w:val="21"/>
          <w:highlight w:val="none"/>
          <w:u w:val="single"/>
        </w:rPr>
      </w:pPr>
      <w:r>
        <w:rPr>
          <w:rFonts w:hint="eastAsia" w:ascii="宋体" w:cs="宋体"/>
          <w:szCs w:val="21"/>
          <w:highlight w:val="none"/>
          <w:u w:val="single"/>
        </w:rPr>
        <w:t>②承包人必须购买整个施工期间全部现场机构雇用人员的人身意外伤害险（即建筑工程施工人员团体人身意外保险），保险费用由承包人承担。保险已含在合同价内，发包人不另行支付。工程所在地建设主管部门要求承包人必须办理的险种，该险种的保险费用已含在本合同价中；在本合同工程的施工和缺陷修复过程中，发包人对承包人雇员的人身死亡或伤残，或财产(设备)的损失或损害不予赔偿；发包人也不承担承包人与此有关的索赔、损害、赔偿及诉讼等费用和其他任何法律责任。</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18.3 货物保险</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关于承包人应为其施工设备、材料、工程设备和临时工程等办理财产保险的特别约定：</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18.4 其他保险</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关于其他保险的约定：</w:t>
      </w:r>
      <w:r>
        <w:rPr>
          <w:rFonts w:hint="eastAsia" w:ascii="宋体" w:hAnsi="宋体" w:cs="宋体"/>
          <w:szCs w:val="21"/>
          <w:highlight w:val="none"/>
          <w:u w:val="single"/>
        </w:rPr>
        <w:t xml:space="preserve"> ①由于按合同条款规定的任何一种已投保的不可抗力（或发包人风险）造成的损失或损害，承包人应在事故发生后及时报告监理人和保险公司并向保险公司提出索赔。不能从保险公司收回的免赔额部分由承包人自己承担。②在工程施工期间，如因承包人未购买保险，而造成人员或设备的损害时，发包人有权扣除相应金额（按照国家相关标准）向当事人代为赔偿 </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18.5 对各项保险的一般要求</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18.5.2 保险凭证</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保险单的条件：。</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18.5.4 通知义务</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关于变更保险合同时的通知义务的约定：</w:t>
      </w:r>
      <w:r>
        <w:rPr>
          <w:rFonts w:hint="eastAsia" w:cs="宋体"/>
          <w:szCs w:val="21"/>
          <w:highlight w:val="none"/>
          <w:u w:val="single"/>
        </w:rPr>
        <w:t>/</w:t>
      </w:r>
      <w:r>
        <w:rPr>
          <w:rFonts w:hint="eastAsia" w:ascii="宋体" w:hAnsi="宋体" w:cs="宋体"/>
          <w:szCs w:val="21"/>
          <w:highlight w:val="none"/>
        </w:rPr>
        <w:t>。</w:t>
      </w:r>
    </w:p>
    <w:p>
      <w:pPr>
        <w:widowControl/>
        <w:tabs>
          <w:tab w:val="left" w:pos="993"/>
        </w:tabs>
        <w:adjustRightInd w:val="0"/>
        <w:snapToGrid w:val="0"/>
        <w:spacing w:afterLines="50" w:line="360" w:lineRule="auto"/>
        <w:outlineLvl w:val="1"/>
        <w:rPr>
          <w:rFonts w:ascii="宋体" w:hAnsi="宋体" w:cs="宋体"/>
          <w:kern w:val="0"/>
          <w:szCs w:val="21"/>
          <w:highlight w:val="none"/>
        </w:rPr>
      </w:pPr>
      <w:bookmarkStart w:id="1202" w:name="_Toc7294"/>
      <w:bookmarkStart w:id="1203" w:name="_Toc28655"/>
      <w:bookmarkStart w:id="1204" w:name="_Toc16553"/>
      <w:bookmarkStart w:id="1205" w:name="_Toc109076916"/>
      <w:bookmarkStart w:id="1206" w:name="_Toc20496"/>
      <w:bookmarkStart w:id="1207" w:name="_Toc54862350"/>
      <w:r>
        <w:rPr>
          <w:rFonts w:hint="eastAsia" w:ascii="宋体" w:hAnsi="宋体" w:cs="宋体"/>
          <w:kern w:val="0"/>
          <w:szCs w:val="21"/>
          <w:highlight w:val="none"/>
        </w:rPr>
        <w:t>第20条 争议解决</w:t>
      </w:r>
      <w:bookmarkEnd w:id="1202"/>
      <w:bookmarkEnd w:id="1203"/>
      <w:bookmarkEnd w:id="1204"/>
      <w:bookmarkEnd w:id="1205"/>
      <w:bookmarkEnd w:id="1206"/>
      <w:bookmarkEnd w:id="1207"/>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20.3 争议评审</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 xml:space="preserve">合同当事人是否同意将工程争议提交争议评审小组决定： </w:t>
      </w:r>
      <w:r>
        <w:rPr>
          <w:rFonts w:hint="eastAsia" w:cs="宋体"/>
          <w:szCs w:val="21"/>
          <w:highlight w:val="none"/>
          <w:u w:val="single"/>
        </w:rPr>
        <w:t>是</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20.3.1 争议评审小组的确定</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争议评审小组成员的人数：</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争议评审小组成员的确定：</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选定争议避免/评审组的期限：</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评审机构：</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其他事项的约定：</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争议评审员报酬的承担人：</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20.3.2 争议的避免</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发包人和承包人是否均出席争议避免的非正式讨论：</w:t>
      </w:r>
      <w:r>
        <w:rPr>
          <w:rFonts w:hint="eastAsia" w:cs="宋体"/>
          <w:szCs w:val="21"/>
          <w:highlight w:val="none"/>
          <w:u w:val="single"/>
        </w:rPr>
        <w:t>是</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20.3.3 争议评审小组的决定</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关于争议评审小组的决定的特别约定：</w:t>
      </w:r>
      <w:r>
        <w:rPr>
          <w:rFonts w:hint="eastAsia" w:cs="宋体"/>
          <w:szCs w:val="21"/>
          <w:highlight w:val="none"/>
          <w:u w:val="single"/>
        </w:rPr>
        <w:t>/</w:t>
      </w:r>
      <w:r>
        <w:rPr>
          <w:rFonts w:hint="eastAsia" w:ascii="宋体" w:hAnsi="宋体" w:cs="宋体"/>
          <w:szCs w:val="21"/>
          <w:highlight w:val="none"/>
        </w:rPr>
        <w:t>。</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20.4 仲裁或诉讼</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因合同及合同有关事项发生的争议，按下列第</w:t>
      </w:r>
      <w:r>
        <w:rPr>
          <w:rFonts w:hint="eastAsia" w:cs="宋体"/>
          <w:szCs w:val="21"/>
          <w:highlight w:val="none"/>
          <w:u w:val="single"/>
        </w:rPr>
        <w:t>（2）</w:t>
      </w:r>
      <w:r>
        <w:rPr>
          <w:rFonts w:hint="eastAsia" w:ascii="宋体" w:hAnsi="宋体" w:cs="宋体"/>
          <w:szCs w:val="21"/>
          <w:highlight w:val="none"/>
        </w:rPr>
        <w:t>种方式解决：</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（1）向</w:t>
      </w:r>
      <w:r>
        <w:rPr>
          <w:rFonts w:hint="eastAsia" w:cs="宋体"/>
          <w:szCs w:val="21"/>
          <w:highlight w:val="none"/>
          <w:u w:val="single"/>
        </w:rPr>
        <w:t>江门</w:t>
      </w:r>
      <w:r>
        <w:rPr>
          <w:rFonts w:hint="eastAsia" w:ascii="宋体" w:hAnsi="宋体" w:cs="宋体"/>
          <w:szCs w:val="21"/>
          <w:highlight w:val="none"/>
        </w:rPr>
        <w:t>仲裁委员会申请仲裁；</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（2）向</w:t>
      </w:r>
      <w:r>
        <w:rPr>
          <w:rFonts w:hint="eastAsia" w:cs="宋体"/>
          <w:szCs w:val="21"/>
          <w:highlight w:val="none"/>
          <w:u w:val="single"/>
        </w:rPr>
        <w:t>项目所在地</w:t>
      </w:r>
      <w:r>
        <w:rPr>
          <w:rFonts w:hint="eastAsia" w:ascii="宋体" w:hAnsi="宋体" w:cs="宋体"/>
          <w:szCs w:val="21"/>
          <w:highlight w:val="none"/>
        </w:rPr>
        <w:t>人民法院起诉。</w:t>
      </w:r>
    </w:p>
    <w:p>
      <w:pPr>
        <w:widowControl/>
        <w:tabs>
          <w:tab w:val="left" w:pos="993"/>
        </w:tabs>
        <w:adjustRightInd w:val="0"/>
        <w:snapToGrid w:val="0"/>
        <w:spacing w:afterLines="50" w:line="360" w:lineRule="auto"/>
        <w:outlineLvl w:val="1"/>
        <w:rPr>
          <w:rFonts w:ascii="宋体" w:hAnsi="宋体" w:cs="宋体"/>
          <w:kern w:val="0"/>
          <w:szCs w:val="21"/>
          <w:highlight w:val="none"/>
          <w:lang w:val="zh-CN"/>
        </w:rPr>
      </w:pPr>
      <w:bookmarkStart w:id="1208" w:name="_Toc506"/>
      <w:bookmarkStart w:id="1209" w:name="_Toc7888"/>
      <w:bookmarkStart w:id="1210" w:name="_Toc7959"/>
      <w:bookmarkStart w:id="1211" w:name="_Toc1313"/>
      <w:bookmarkStart w:id="1212" w:name="_Toc109076917"/>
      <w:r>
        <w:rPr>
          <w:rFonts w:hint="eastAsia" w:ascii="宋体" w:hAnsi="宋体" w:cs="宋体"/>
          <w:kern w:val="0"/>
          <w:szCs w:val="21"/>
          <w:highlight w:val="none"/>
          <w:lang w:val="zh-CN"/>
        </w:rPr>
        <w:t>第 2</w:t>
      </w:r>
      <w:r>
        <w:rPr>
          <w:rFonts w:hint="eastAsia" w:ascii="宋体" w:hAnsi="宋体" w:cs="宋体"/>
          <w:kern w:val="0"/>
          <w:szCs w:val="21"/>
          <w:highlight w:val="none"/>
        </w:rPr>
        <w:t>1</w:t>
      </w:r>
      <w:r>
        <w:rPr>
          <w:rFonts w:hint="eastAsia" w:ascii="宋体" w:hAnsi="宋体" w:cs="宋体"/>
          <w:kern w:val="0"/>
          <w:szCs w:val="21"/>
          <w:highlight w:val="none"/>
          <w:lang w:val="zh-CN"/>
        </w:rPr>
        <w:t>条</w:t>
      </w:r>
      <w:r>
        <w:rPr>
          <w:rFonts w:hint="eastAsia" w:ascii="宋体" w:hAnsi="宋体" w:cs="宋体"/>
          <w:kern w:val="0"/>
          <w:szCs w:val="21"/>
          <w:highlight w:val="none"/>
          <w:lang w:val="zh-CN"/>
        </w:rPr>
        <w:tab/>
      </w:r>
      <w:r>
        <w:rPr>
          <w:rFonts w:hint="eastAsia" w:ascii="宋体" w:hAnsi="宋体" w:cs="宋体"/>
          <w:kern w:val="0"/>
          <w:szCs w:val="21"/>
          <w:highlight w:val="none"/>
          <w:lang w:val="zh-CN"/>
        </w:rPr>
        <w:t>补充条款</w:t>
      </w:r>
      <w:bookmarkEnd w:id="1208"/>
      <w:bookmarkEnd w:id="1209"/>
      <w:bookmarkEnd w:id="1210"/>
      <w:bookmarkEnd w:id="1211"/>
      <w:bookmarkEnd w:id="1212"/>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.1承包合同工程的内容及合同工作范围划分：施工范围的具体位置及可交付承包人施工安排的用地范围由承包人根据现场勘察情况报发包人同意确定。</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.2按《关于在全市房屋建筑和市政基础设施工程开展建设工程保证保险有关工作的通知》（江建函〔2018〕1343 号）的要求，需要交纳建筑施工企业工资保证金的承包人，向项目所在地人力资源和社会保障部门提供工人工资支付保证保险，保险额度须满足《江门市人力资源和社会保障局 江门市住房和城乡建设局 江门市交通运输局 江门市水利局关于转发《广东省建设工程领域农民工工资支付保证金管理办法》的通知》（江人社发〔2021〕102 号）文件的要求。该保证保险只能用于支付承包人工人被拖欠的工资，不能用于抵押担保。不符合文件要求的不执行。</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按江门市人力资源和社会保障局和江门市住房和城乡建设局联合印发的《关于印发江门市建设领域工人工资支付分账管理实施方案的通知》（江人社发〔2016〕242 号）的要求，施工单位与发包人在签订项目施工合同的同时，应与当地代理银行共同签订《工资支付专用账户管理协议书》，先提交当地人力资源社会保障部门备案后，再报建设项目主管部门备案。施工单位应当通过工资支付专用账户，按工资发放周期及代理银行的要求提交《工资发放计划表》，依法按时足额将工人工资直接支付到工人的工资个人账户。发包人按工程总价款（不扣除暂列金额）的 4%，在项目开工前划入承包人设立的工人工资支付专用帐户。</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.4</w:t>
      </w:r>
      <w:r>
        <w:rPr>
          <w:rFonts w:hint="eastAsia" w:ascii="宋体" w:hAnsi="宋体" w:cs="宋体"/>
          <w:szCs w:val="21"/>
          <w:highlight w:val="none"/>
        </w:rPr>
        <w:t>工程结算</w:t>
      </w:r>
    </w:p>
    <w:p>
      <w:pPr>
        <w:snapToGrid w:val="0"/>
        <w:spacing w:line="36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w:t>
      </w:r>
      <w:r>
        <w:rPr>
          <w:rFonts w:hint="eastAsia" w:ascii="宋体" w:hAnsi="宋体" w:cs="宋体"/>
          <w:szCs w:val="21"/>
          <w:highlight w:val="none"/>
          <w:lang w:val="zh-CN"/>
        </w:rPr>
        <w:t xml:space="preserve">）建安工程费竣工结算时，按实际完成并经发包人、监理人、承包人三方确认的工程内容及工程量（工程量按竣工图计算，不能在竣工图反映的项目的工程量，由发包人通过变更、洽商、签证、打桩记录、经审核的施工方案、现场施工记录等工程过程记录资料确定）进行结算。 </w:t>
      </w:r>
    </w:p>
    <w:p>
      <w:pPr>
        <w:snapToGrid w:val="0"/>
        <w:spacing w:line="36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w:t>
      </w:r>
      <w:r>
        <w:rPr>
          <w:rFonts w:hint="eastAsia" w:ascii="宋体" w:hAnsi="宋体" w:cs="宋体"/>
          <w:szCs w:val="21"/>
          <w:highlight w:val="none"/>
          <w:lang w:val="zh-CN"/>
        </w:rPr>
        <w:t xml:space="preserve">）施工过程中有设计变更或根据实际情况需要变更或有工程签证的，按项目合同专用条款规定进行调整。 </w:t>
      </w:r>
    </w:p>
    <w:p>
      <w:pPr>
        <w:snapToGrid w:val="0"/>
        <w:spacing w:line="36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 xml:space="preserve">）市场价格波动引起的调整按项目合同专用条款规定进行调整。 </w:t>
      </w:r>
    </w:p>
    <w:p>
      <w:pPr>
        <w:snapToGrid w:val="0"/>
        <w:spacing w:line="36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4</w:t>
      </w:r>
      <w:r>
        <w:rPr>
          <w:rFonts w:hint="eastAsia" w:ascii="宋体" w:hAnsi="宋体" w:cs="宋体"/>
          <w:szCs w:val="21"/>
          <w:highlight w:val="none"/>
          <w:lang w:val="zh-CN"/>
        </w:rPr>
        <w:t>）建安工程费用竣工结算时，绿色施工安全防护措施费、规费及税金在结算时根据竣工结算审核期间的国家相关法律法规要求计取。</w:t>
      </w:r>
    </w:p>
    <w:p>
      <w:pPr>
        <w:snapToGrid w:val="0"/>
        <w:spacing w:line="36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5</w:t>
      </w:r>
      <w:r>
        <w:rPr>
          <w:rFonts w:hint="eastAsia" w:ascii="宋体" w:hAnsi="宋体" w:cs="宋体"/>
          <w:szCs w:val="21"/>
          <w:highlight w:val="none"/>
          <w:lang w:val="zh-CN"/>
        </w:rPr>
        <w:t>）如因项目实施调整等原因，需暂停或搁置本项目的全部或部分，承包人不得提出异议。双方按照实际已完成并经发包人、监理人、承包人三方确认的工程量，根据上述约定进行结算。</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21.</w:t>
      </w:r>
      <w:r>
        <w:rPr>
          <w:rFonts w:hint="eastAsia" w:ascii="宋体" w:hAnsi="宋体" w:cs="宋体"/>
          <w:szCs w:val="21"/>
          <w:highlight w:val="none"/>
        </w:rPr>
        <w:t>5</w:t>
      </w:r>
      <w:r>
        <w:rPr>
          <w:rFonts w:hint="eastAsia" w:ascii="宋体" w:hAnsi="宋体" w:cs="宋体"/>
          <w:szCs w:val="21"/>
          <w:highlight w:val="none"/>
          <w:lang w:val="zh-CN"/>
        </w:rPr>
        <w:t>承包人在开工前需对工程周边受影响的原有建筑物、设施及其他结构物进行调查和记录，上报发包人。如有需要，由发包人组织评估，承包人根据评估结果制定保护方案并实施保护和过程监测，费用由</w:t>
      </w:r>
      <w:r>
        <w:rPr>
          <w:rFonts w:hint="eastAsia" w:ascii="宋体" w:hAnsi="宋体" w:cs="宋体"/>
          <w:szCs w:val="21"/>
          <w:highlight w:val="none"/>
        </w:rPr>
        <w:t>发包人</w:t>
      </w:r>
      <w:r>
        <w:rPr>
          <w:rFonts w:hint="eastAsia" w:ascii="宋体" w:hAnsi="宋体" w:cs="宋体"/>
          <w:szCs w:val="21"/>
          <w:highlight w:val="none"/>
          <w:lang w:val="zh-CN"/>
        </w:rPr>
        <w:t>承担。对已完工部分工程涉及原有建筑物、设施及其他结构物保护不足产生影响的，由发包人协调，原实施单位处理。</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21.</w:t>
      </w:r>
      <w:r>
        <w:rPr>
          <w:rFonts w:hint="eastAsia" w:ascii="宋体" w:hAnsi="宋体" w:cs="宋体"/>
          <w:szCs w:val="21"/>
          <w:highlight w:val="none"/>
        </w:rPr>
        <w:t>6</w:t>
      </w:r>
      <w:r>
        <w:rPr>
          <w:rFonts w:hint="eastAsia" w:ascii="宋体" w:hAnsi="宋体" w:cs="宋体"/>
          <w:szCs w:val="21"/>
          <w:highlight w:val="none"/>
          <w:lang w:val="zh-CN"/>
        </w:rPr>
        <w:t>承包人在施工前须复测现状地面、现有管线和两侧建筑地台标高，若有偏差，须通知设计单位进行调整。</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21.</w:t>
      </w:r>
      <w:r>
        <w:rPr>
          <w:rFonts w:hint="eastAsia" w:ascii="宋体" w:hAnsi="宋体" w:cs="宋体"/>
          <w:szCs w:val="21"/>
          <w:highlight w:val="none"/>
        </w:rPr>
        <w:t>7</w:t>
      </w:r>
      <w:r>
        <w:rPr>
          <w:rFonts w:hint="eastAsia" w:ascii="宋体" w:hAnsi="宋体" w:cs="宋体"/>
          <w:szCs w:val="21"/>
          <w:highlight w:val="none"/>
          <w:lang w:val="zh-CN"/>
        </w:rPr>
        <w:t>因承包人原因导致工程施工破坏的构筑物（如围墙）、市政设施等，承包人需按原样或设计图纸要求恢复，有关费用已包含在合同价款中。</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在施工过程中可能出现与其他单位的交叉作业，承包人必须积极配合发包人，做好协调管理和交叉施工的配合，并做好成品保护，确保在建项目不受其他单位的施工影响。若承包人施工过程中或配合其他单位交叉施工中需要发包人协调的，需及时上报发包人或监理单位，由发包人或监理单位组织“施工协调会”解决问题。</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21.</w:t>
      </w:r>
      <w:r>
        <w:rPr>
          <w:rFonts w:hint="eastAsia" w:ascii="宋体" w:hAnsi="宋体" w:cs="宋体"/>
          <w:szCs w:val="21"/>
          <w:highlight w:val="none"/>
        </w:rPr>
        <w:t>8</w:t>
      </w:r>
      <w:r>
        <w:rPr>
          <w:rFonts w:hint="eastAsia" w:ascii="宋体" w:hAnsi="宋体" w:cs="宋体"/>
          <w:szCs w:val="21"/>
          <w:highlight w:val="none"/>
          <w:lang w:val="zh-CN"/>
        </w:rPr>
        <w:t>承包人须根据现场实际情况依据中华人民共和国住房和城乡建设部《关于印发&lt; 危险性较多的发分部分项工程安全管理办法&gt;的通知》（建质[2009]87 号）、《建筑基坑支护技术规程》（JGJ20-99）及国家相关技术规范的要求编制专项施工支护方案，得到项目监理的认可后（按规定需进行专家论证的则进行专家论证），方能施工，期间产生的费用（如施工图设计（修编）费、场地费、</w:t>
      </w:r>
      <w:r>
        <w:rPr>
          <w:rFonts w:hint="eastAsia" w:ascii="宋体" w:hAnsi="宋体" w:cs="宋体"/>
          <w:szCs w:val="21"/>
          <w:highlight w:val="none"/>
        </w:rPr>
        <w:t>专家费</w:t>
      </w:r>
      <w:r>
        <w:rPr>
          <w:rFonts w:hint="eastAsia" w:ascii="宋体" w:hAnsi="宋体" w:cs="宋体"/>
          <w:szCs w:val="21"/>
          <w:highlight w:val="none"/>
          <w:lang w:val="zh-CN"/>
        </w:rPr>
        <w:t>等）由承包人负责。专项施工支护方案除应具备常规的内容外，还应当包括执行规范、规程、设计中所规定的施工程序的技术措施；土方开挖及运输方案；控制地面堆载、地表水、地下水的措施；对邻近建（构）筑物的保护措施；应急抢修措施等内容。</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w:t>
      </w:r>
      <w:r>
        <w:rPr>
          <w:rFonts w:hint="eastAsia" w:ascii="宋体" w:hAnsi="宋体" w:cs="宋体"/>
          <w:szCs w:val="21"/>
          <w:highlight w:val="none"/>
        </w:rPr>
        <w:t>9</w:t>
      </w:r>
      <w:r>
        <w:rPr>
          <w:rFonts w:hint="eastAsia" w:ascii="宋体" w:hAnsi="宋体" w:cs="宋体"/>
          <w:szCs w:val="21"/>
          <w:highlight w:val="none"/>
          <w:lang w:val="zh-CN"/>
        </w:rPr>
        <w:t>本工程范围内可能有各种地下和架空管线需要搬迁、改造及预埋，承包人在投标时所报总报价及总工期应包括各专业管线施工所带来的影响因素在内。</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.1</w:t>
      </w:r>
      <w:r>
        <w:rPr>
          <w:rFonts w:hint="eastAsia" w:ascii="宋体" w:hAnsi="宋体" w:cs="宋体"/>
          <w:szCs w:val="21"/>
          <w:highlight w:val="none"/>
        </w:rPr>
        <w:t>0</w:t>
      </w:r>
      <w:r>
        <w:rPr>
          <w:rFonts w:hint="eastAsia" w:ascii="宋体" w:hAnsi="宋体" w:cs="宋体"/>
          <w:szCs w:val="21"/>
          <w:highlight w:val="none"/>
          <w:lang w:val="zh-CN"/>
        </w:rPr>
        <w:t>承包人在投标报价中必须考虑实际施工中的自备发电机发电施工费用，在施工中一般不进行停电补工期的签证。</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.1</w:t>
      </w:r>
      <w:r>
        <w:rPr>
          <w:rFonts w:hint="eastAsia" w:ascii="宋体" w:hAnsi="宋体" w:cs="宋体"/>
          <w:szCs w:val="21"/>
          <w:highlight w:val="none"/>
        </w:rPr>
        <w:t>1</w:t>
      </w:r>
      <w:r>
        <w:rPr>
          <w:rFonts w:hint="eastAsia" w:ascii="宋体" w:hAnsi="宋体" w:cs="宋体"/>
          <w:szCs w:val="21"/>
          <w:highlight w:val="none"/>
          <w:lang w:val="zh-CN"/>
        </w:rPr>
        <w:t>承包人如在投标前先到工地现场踏勘，以充分了解工地位置，施工用水、用电、道路、场地限制等及任何其他足以影响承包价的情况，任何因忽视或误解工地情况而导致的索赔、增加造价、工期延长申请等将不被批准。</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20.1</w:t>
      </w:r>
      <w:r>
        <w:rPr>
          <w:rFonts w:hint="eastAsia" w:ascii="宋体" w:hAnsi="宋体" w:cs="宋体"/>
          <w:szCs w:val="21"/>
          <w:highlight w:val="none"/>
        </w:rPr>
        <w:t>2</w:t>
      </w:r>
      <w:r>
        <w:rPr>
          <w:rFonts w:hint="eastAsia" w:ascii="宋体" w:hAnsi="宋体" w:cs="宋体"/>
          <w:szCs w:val="21"/>
          <w:highlight w:val="none"/>
          <w:lang w:val="zh-CN"/>
        </w:rPr>
        <w:t>工程的安全文明施工应达到《建筑施工安全检查标准》（JGJ59-2011）及其它现行的安全标准和安全生产目标。安全防护、文明施工措施费的管理按“关于印发《广东省建设厅建筑工程安全防护、文明施工措施费用管理办法》的通知”（粤建管字[2007]39 号）的规定执行。</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.1</w:t>
      </w:r>
      <w:r>
        <w:rPr>
          <w:rFonts w:hint="eastAsia" w:ascii="宋体" w:hAnsi="宋体" w:cs="宋体"/>
          <w:szCs w:val="21"/>
          <w:highlight w:val="none"/>
        </w:rPr>
        <w:t>3</w:t>
      </w:r>
      <w:r>
        <w:rPr>
          <w:rFonts w:hint="eastAsia" w:ascii="宋体" w:hAnsi="宋体" w:cs="宋体"/>
          <w:szCs w:val="21"/>
          <w:highlight w:val="none"/>
          <w:lang w:val="zh-CN"/>
        </w:rPr>
        <w:t>承包人必须将本工程的原材料按相关规范的要求进行送检（检测单位必须是具备质量认证合格条件的第三方），送检时要求有监理人员见证，检测费用由承包人承担，应考虑在投标报价中。如承包人在接到发包人或监理单位通知要求的时间内未进行检测的，监理单位可委托具备检测条件的单位进行检测，所需费用按检测项目的费用双倍计算。</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.1</w:t>
      </w:r>
      <w:r>
        <w:rPr>
          <w:rFonts w:hint="eastAsia" w:ascii="宋体" w:hAnsi="宋体" w:cs="宋体"/>
          <w:szCs w:val="21"/>
          <w:highlight w:val="none"/>
        </w:rPr>
        <w:t>4</w:t>
      </w:r>
      <w:r>
        <w:rPr>
          <w:rFonts w:hint="eastAsia" w:ascii="宋体" w:hAnsi="宋体" w:cs="宋体"/>
          <w:szCs w:val="21"/>
          <w:highlight w:val="none"/>
          <w:lang w:val="zh-CN"/>
        </w:rPr>
        <w:t>对于本工程的原材料和相关规范规定必须检测的项目，在施工过程中发包人、监理单位有权按照一定的比例独立进行平行检测。在任何情况下，平行检测均不免除承包人自身按施工规范进行自检、检测的责任。本项目相关检测项目，承包人应提供具有相应检测资质单位出具的合格的检测报告。</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w:t>
      </w:r>
      <w:r>
        <w:rPr>
          <w:rFonts w:hint="eastAsia" w:ascii="宋体" w:hAnsi="宋体" w:cs="宋体"/>
          <w:szCs w:val="21"/>
          <w:highlight w:val="none"/>
        </w:rPr>
        <w:t>15</w:t>
      </w:r>
      <w:r>
        <w:rPr>
          <w:rFonts w:hint="eastAsia" w:ascii="宋体" w:hAnsi="宋体" w:cs="宋体"/>
          <w:szCs w:val="21"/>
          <w:highlight w:val="none"/>
          <w:lang w:val="zh-CN"/>
        </w:rPr>
        <w:t>承包人将自行负责临时场地排水，不能因此作为雨天无法施工的借口。所需费用由承包人承担，考虑在投标报价内。</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.1</w:t>
      </w:r>
      <w:r>
        <w:rPr>
          <w:rFonts w:hint="eastAsia" w:ascii="宋体" w:hAnsi="宋体" w:cs="宋体"/>
          <w:szCs w:val="21"/>
          <w:highlight w:val="none"/>
        </w:rPr>
        <w:t>6</w:t>
      </w:r>
      <w:r>
        <w:rPr>
          <w:rFonts w:hint="eastAsia" w:ascii="宋体" w:hAnsi="宋体" w:cs="宋体"/>
          <w:szCs w:val="21"/>
          <w:highlight w:val="none"/>
          <w:lang w:val="zh-CN"/>
        </w:rPr>
        <w:t>分部分项工程施工不合格者，承包人须重新按有关规定、规范进行返工，保修期相应顺延。</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.1</w:t>
      </w:r>
      <w:r>
        <w:rPr>
          <w:rFonts w:hint="eastAsia" w:ascii="宋体" w:hAnsi="宋体" w:cs="宋体"/>
          <w:szCs w:val="21"/>
          <w:highlight w:val="none"/>
        </w:rPr>
        <w:t>7</w:t>
      </w:r>
      <w:r>
        <w:rPr>
          <w:rFonts w:hint="eastAsia" w:ascii="宋体" w:hAnsi="宋体" w:cs="宋体"/>
          <w:szCs w:val="21"/>
          <w:highlight w:val="none"/>
          <w:lang w:val="zh-CN"/>
        </w:rPr>
        <w:t>在施工期间必须保证工程周边道路的正常交通。施工前，承包人应提交临时的施工封路措施，需报交警部门同意后，并在交警部门指导下，设置必要的告示牌及导向标志，费用应考虑在投标报价之内，由此造成的工期延误由承包人承担。</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.1</w:t>
      </w:r>
      <w:r>
        <w:rPr>
          <w:rFonts w:hint="eastAsia" w:ascii="宋体" w:hAnsi="宋体" w:cs="宋体"/>
          <w:szCs w:val="21"/>
          <w:highlight w:val="none"/>
        </w:rPr>
        <w:t>8</w:t>
      </w:r>
      <w:r>
        <w:rPr>
          <w:rFonts w:hint="eastAsia" w:ascii="宋体" w:hAnsi="宋体" w:cs="宋体"/>
          <w:szCs w:val="21"/>
          <w:highlight w:val="none"/>
          <w:lang w:val="zh-CN"/>
        </w:rPr>
        <w:t>本工程施工报建过程中需交纳的基金性费用（如新型墙体材料基金、散装水泥基金等）由承包人缴纳，待工程完成并办理竣工验收后，由发包人协助承包人向有关部门申请退回有关(基金性)费用。</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w:t>
      </w:r>
      <w:r>
        <w:rPr>
          <w:rFonts w:hint="eastAsia" w:ascii="宋体" w:hAnsi="宋体" w:cs="宋体"/>
          <w:szCs w:val="21"/>
          <w:highlight w:val="none"/>
        </w:rPr>
        <w:t>19</w:t>
      </w:r>
      <w:r>
        <w:rPr>
          <w:rFonts w:hint="eastAsia" w:ascii="宋体" w:hAnsi="宋体" w:cs="宋体"/>
          <w:szCs w:val="21"/>
          <w:highlight w:val="none"/>
          <w:lang w:val="zh-CN"/>
        </w:rPr>
        <w:t>承包人在投标报价时必须考虑与周边建筑物、路口顺接及原有下水道的衔接，该部分费用在结算时不再调整或补回。新、旧道路交接处须按现状平顺连接，承包人施工期间应认真复核现场标高，保证路口接顺段不积水。</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.2</w:t>
      </w:r>
      <w:r>
        <w:rPr>
          <w:rFonts w:hint="eastAsia" w:ascii="宋体" w:hAnsi="宋体" w:cs="宋体"/>
          <w:szCs w:val="21"/>
          <w:highlight w:val="none"/>
        </w:rPr>
        <w:t>0</w:t>
      </w:r>
      <w:r>
        <w:rPr>
          <w:rFonts w:hint="eastAsia" w:ascii="宋体" w:hAnsi="宋体" w:cs="宋体"/>
          <w:szCs w:val="21"/>
          <w:highlight w:val="none"/>
          <w:lang w:val="zh-CN"/>
        </w:rPr>
        <w:t>承包人在施工前须复测现状地面、现有管线和两侧建筑内地台标高，若设计路边线比内地台高，须通知设计单位进行调整。</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有关的约束条款和违约处理规定</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1）承包人在施工过程中，必须保证及时向发包人和监理单位提交材料报验资料、工程分项分部和整体的验收资料，并及时办理隐蔽工程验收和工程结算，否则将按照一定的程度扣除相当的金额，并有权拒付下一期工程进度款。</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（2）为了本工程的质量和工期，本工程收取工程履约保证金。若承包人有以下违约条件之一，发包人则不予退回工程履约保证金给承包人并扣减费用：</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A.工程质量不符合招标文件质量标准和要求，按招标文件的有关规定处理。</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B.承包人使用不符合施工图及图集要求的构件，按情节的轻重处理。</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C.对监理工程师发出的整改通知书，在规定时间内拒不执行的，按情节的轻重处理。</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D.发生拖欠工资导致窝工、罢工、停工或集体上访的，按情节的轻重处理。</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E.承包人在中途自动离场的，没收工程履约保证金。</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F.发生施工安全事故导致工程停工的，没收工程履约保证金。</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G.因承包人的自身原因停工、罢工等影响工期进度、工期质量的将视情节的轻重进行处理并追究法律责任。</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H.承包人必须在工程完工45 日内办妥工程竣工验收手续，否则如属于承包人原因造成的延误，则属违约，详见承包人违约事项处理明细表。且因此而造成的一切损失及影响由承包人负责，工验收所需的时间由投标人考虑在总施工工期内。</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I.为了避免拖欠工程款的情况发生，承包人须与发包人共同明确承包人的开户银行及账户。</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J.施工期间必须保持周围环境的清洁，所需费用应考虑在投标报价书中。如承包人在接到发包人或监理单位的书面通知四小时内未进行清洁或清洁不彻底的，详见承包人违约事项处理明细表。</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K.施工期间必须保证现有设施、建筑物、成品及半成品不受污染和破坏。如承包人在接到发包人或监理单位的通知（含口头通知）两小时内未进行补救措施而造成永久性污染的，除无偿采取补救措施外，详见承包人违约事项处理明细表。造成破坏的视损坏程度给予无偿更换或作相应的赔偿。</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L.非正常工作时段须控制工作噪音。若影响周边居民，受到投诉时详见承包人违约事项处理明细表。</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M.本工程所使用的散体物料运输车辆必须符合市区散体物料运输的有关规定，保证所有车辆能干净上路，不得发生余泥（物料）的洒漏事故，并派足够工作人员对运输车辆的运输路径进行保洁或清理。若发生洒漏或带泥上路而承包人不能及时清理的，详见承包人违约事项处理明细表。</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N.在施工过程中，发包人和监理公司提出有关质量、安全、文明等问题要求整改返工的， 承包人必须立即整改。</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.2</w:t>
      </w:r>
      <w:r>
        <w:rPr>
          <w:rFonts w:hint="eastAsia" w:ascii="宋体" w:hAnsi="宋体" w:cs="宋体"/>
          <w:szCs w:val="21"/>
          <w:highlight w:val="none"/>
        </w:rPr>
        <w:t>2</w:t>
      </w:r>
      <w:r>
        <w:rPr>
          <w:rFonts w:hint="eastAsia" w:ascii="宋体" w:hAnsi="宋体" w:cs="宋体"/>
          <w:szCs w:val="21"/>
          <w:highlight w:val="none"/>
          <w:lang w:val="zh-CN"/>
        </w:rPr>
        <w:t>承包人必须做好本工程的投资控制，建立相应的台账，在每月 25 号前向发包人汇报当月的资金使用情况，并保持其持续有效直至工程结算完成。</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20.2</w:t>
      </w:r>
      <w:r>
        <w:rPr>
          <w:rFonts w:hint="eastAsia" w:ascii="宋体" w:hAnsi="宋体" w:cs="宋体"/>
          <w:szCs w:val="21"/>
          <w:highlight w:val="none"/>
        </w:rPr>
        <w:t>3</w:t>
      </w:r>
      <w:r>
        <w:rPr>
          <w:rFonts w:hint="eastAsia" w:ascii="宋体" w:hAnsi="宋体" w:cs="宋体"/>
          <w:szCs w:val="21"/>
          <w:highlight w:val="none"/>
          <w:lang w:val="zh-CN"/>
        </w:rPr>
        <w:t>本项目的室内、室外供电、智能管线等专业工程的验收（包括所用材料的质量、施工质量、验收资料等）和产权移交必须达到有关供水、供电、广电网络等部门的要求。有关产权移交手续由承包人协助办理完成，并将完成产权移交手续后的通电、通水、通网作为本工程综合验收的前提条件之一，承包人作为施工总承包应对专业工程的施工质量和施工安全负连带责任。</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.2</w:t>
      </w:r>
      <w:r>
        <w:rPr>
          <w:rFonts w:hint="eastAsia" w:ascii="宋体" w:hAnsi="宋体" w:cs="宋体"/>
          <w:szCs w:val="21"/>
          <w:highlight w:val="none"/>
        </w:rPr>
        <w:t>4</w:t>
      </w:r>
      <w:r>
        <w:rPr>
          <w:rFonts w:hint="eastAsia" w:ascii="宋体" w:hAnsi="宋体" w:cs="宋体"/>
          <w:szCs w:val="21"/>
          <w:highlight w:val="none"/>
          <w:lang w:val="zh-CN"/>
        </w:rPr>
        <w:t>本项目施工现场原有的室内垃圾杂物和建筑垃圾由承包人负责清理，投标人在报价时需考虑在投标总价内。</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.2</w:t>
      </w:r>
      <w:r>
        <w:rPr>
          <w:rFonts w:hint="eastAsia" w:ascii="宋体" w:hAnsi="宋体" w:cs="宋体"/>
          <w:szCs w:val="21"/>
          <w:highlight w:val="none"/>
        </w:rPr>
        <w:t>5</w:t>
      </w:r>
      <w:r>
        <w:rPr>
          <w:rFonts w:hint="eastAsia" w:ascii="宋体" w:hAnsi="宋体" w:cs="宋体"/>
          <w:szCs w:val="21"/>
          <w:highlight w:val="none"/>
          <w:lang w:val="zh-CN"/>
        </w:rPr>
        <w:t>本工程承包范围内的排水管道、综合管线须与市政管道、管线连接的，所需的市政道路占路、交警报批等手续和相应的报批占用道路费用在综合报价内考虑。</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.2</w:t>
      </w:r>
      <w:r>
        <w:rPr>
          <w:rFonts w:hint="eastAsia" w:ascii="宋体" w:hAnsi="宋体" w:cs="宋体"/>
          <w:szCs w:val="21"/>
          <w:highlight w:val="none"/>
        </w:rPr>
        <w:t>6</w:t>
      </w:r>
      <w:r>
        <w:rPr>
          <w:rFonts w:hint="eastAsia" w:ascii="宋体" w:hAnsi="宋体" w:cs="宋体"/>
          <w:szCs w:val="21"/>
          <w:highlight w:val="none"/>
          <w:lang w:val="zh-CN"/>
        </w:rPr>
        <w:t>通用条款中提及的所有违约金由发包人根据合同约定和相关法律法规执行。</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.2</w:t>
      </w:r>
      <w:r>
        <w:rPr>
          <w:rFonts w:hint="eastAsia" w:ascii="宋体" w:hAnsi="宋体" w:cs="宋体"/>
          <w:szCs w:val="21"/>
          <w:highlight w:val="none"/>
        </w:rPr>
        <w:t>7</w:t>
      </w:r>
      <w:r>
        <w:rPr>
          <w:rFonts w:hint="eastAsia" w:ascii="宋体" w:hAnsi="宋体" w:cs="宋体"/>
          <w:szCs w:val="21"/>
          <w:highlight w:val="none"/>
          <w:lang w:val="zh-CN"/>
        </w:rPr>
        <w:t>关于竣工资料的编制要求：</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（1）施工中没有设计变更，施工后由承包人在发包人提供的施工图纸加盖竣工图章；</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（2）施工中只有零星的少量设计变更，承包人在施工图变更位置注明，并连同经发包人同意的变更签证和设计变更通知书，由承包人加盖竣工图章；</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（3）施工中对原设计变更较多，原施工图难于作为竣工图，应由发包人组织重新绘制竣工图，承包人承担相应费用，由承包人加盖竣工图章；</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4）承包人在竣工验收时，应向发包人提供按国家有关部门的规格要求编制成册的工程竣工图及有关的技术档案资料一式四份。为免影响工程的竣工验收，若在规定时间内，承包人未能按要求把竣工资料整理完成并提交给发</w:t>
      </w:r>
      <w:r>
        <w:rPr>
          <w:rFonts w:hint="eastAsia" w:ascii="宋体" w:hAnsi="宋体" w:cs="宋体"/>
          <w:szCs w:val="21"/>
          <w:highlight w:val="none"/>
        </w:rPr>
        <w:t>包</w:t>
      </w:r>
      <w:r>
        <w:rPr>
          <w:rFonts w:hint="eastAsia" w:ascii="宋体" w:hAnsi="宋体" w:cs="宋体"/>
          <w:szCs w:val="21"/>
          <w:highlight w:val="none"/>
          <w:lang w:val="zh-CN"/>
        </w:rPr>
        <w:t>人，发包人将自行聘请其他有能力的单位协助整理竣工资料，所需的费用由承包人（5）竣工图的编制按上述要求编制外，还需加盖建设、监理单位公章及相关人员签章。</w:t>
      </w:r>
    </w:p>
    <w:p>
      <w:pPr>
        <w:snapToGrid w:val="0"/>
        <w:spacing w:line="360" w:lineRule="auto"/>
        <w:ind w:firstLine="600"/>
        <w:contextualSpacing/>
        <w:rPr>
          <w:rFonts w:ascii="宋体" w:hAnsi="宋体" w:cs="宋体"/>
          <w:szCs w:val="21"/>
          <w:highlight w:val="none"/>
          <w:lang w:val="zh-CN"/>
        </w:rPr>
      </w:pPr>
      <w:r>
        <w:rPr>
          <w:rFonts w:hint="eastAsia" w:ascii="宋体" w:hAnsi="宋体" w:cs="宋体"/>
          <w:szCs w:val="21"/>
          <w:highlight w:val="none"/>
          <w:lang w:val="zh-CN"/>
        </w:rPr>
        <w:t>本项目的竣工图由承包人的施工方进行编制，该费用包含在投标报价中，发包人不再另行支付。</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lang w:val="zh-CN"/>
        </w:rPr>
        <w:t>2</w:t>
      </w:r>
      <w:r>
        <w:rPr>
          <w:rFonts w:hint="eastAsia" w:ascii="宋体" w:hAnsi="宋体" w:cs="宋体"/>
          <w:szCs w:val="21"/>
          <w:highlight w:val="none"/>
        </w:rPr>
        <w:t>1</w:t>
      </w:r>
      <w:r>
        <w:rPr>
          <w:rFonts w:hint="eastAsia" w:ascii="宋体" w:hAnsi="宋体" w:cs="宋体"/>
          <w:szCs w:val="21"/>
          <w:highlight w:val="none"/>
          <w:lang w:val="zh-CN"/>
        </w:rPr>
        <w:t>.2</w:t>
      </w:r>
      <w:r>
        <w:rPr>
          <w:rFonts w:hint="eastAsia" w:ascii="宋体" w:hAnsi="宋体" w:cs="宋体"/>
          <w:szCs w:val="21"/>
          <w:highlight w:val="none"/>
        </w:rPr>
        <w:t>8</w:t>
      </w:r>
      <w:r>
        <w:rPr>
          <w:rFonts w:hint="eastAsia" w:ascii="宋体" w:hAnsi="宋体" w:cs="宋体"/>
          <w:szCs w:val="21"/>
          <w:highlight w:val="none"/>
          <w:lang w:val="zh-CN"/>
        </w:rPr>
        <w:t>本项目在预算与结算的计价过程中不考虑赶工措施费，其费用由承包人自行考虑，承包人不得因工期问题向发包人要求补偿或索赔。</w:t>
      </w:r>
    </w:p>
    <w:p>
      <w:pPr>
        <w:snapToGrid w:val="0"/>
        <w:spacing w:line="360" w:lineRule="auto"/>
        <w:ind w:firstLine="600"/>
        <w:contextualSpacing/>
        <w:rPr>
          <w:rFonts w:ascii="宋体" w:hAnsi="宋体" w:cs="宋体"/>
          <w:szCs w:val="21"/>
          <w:highlight w:val="none"/>
        </w:rPr>
      </w:pPr>
      <w:r>
        <w:rPr>
          <w:rFonts w:hint="eastAsia" w:ascii="宋体" w:hAnsi="宋体" w:cs="宋体"/>
          <w:szCs w:val="21"/>
          <w:highlight w:val="none"/>
        </w:rPr>
        <w:t>21.29工程实施过程中，要求承包人在每月10日前提供上个月已完成的各分项分部工程施工资料给监理单位确认。除特殊原因外，在竣工验收后办理工程结算时不允许出现承包人与监理单位对工程量的异议问题。若出现异议或由此造成工程结算延误的，发包人追究责任单位的责任并视情节轻重进行违约金扣减。</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21.30项目实施过程中的各类专项方案等评审会议所发生费用（如评审会务费、评审专家费等）由承包人负责，所需费用已包含在合同价款中。</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21.31承包人须在发包人要求的时间内在规定建设信息网http://www.gdcic.netd的三库一平台系统完成满足项目报建人员的登记工作。</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21.32承包人在获得工程验收证书前，必须将工程操作维护手册和其他规定提交给发包人（其详细程度应满足操作、维护、调整、拆卸等工作需要）。</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21.33本项目关于计算利息的内容，不按通用条款，统一无需支付利息。</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 xml:space="preserve">21.34若本项目因政府、政策等客观原因延期开工或暂时停工，承包人应无条件配合，承包人不得向发包人索赔。 </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21.35因承包人原因造成工期延误，该工期延误导致的价格波动风险，发包人不接受该部分内容所产生的任何费用索赔。</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21.36发包人有权对本工程建设规模和范围根据工程实际情况作出调整，发包人不接受该部分内容所产生的任何费用索赔。</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21.37承包人在按审查合格的施工图购置各项设备前，须向发包人提供各项设备购置计划和相关资料（含主要设备的品牌、型号、技术参数等），经发包人和监理同意后方可购置，否则发包人有权不予结算。</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21.38本项目履约过程中的违约金、赔偿金由发包人根据合同约定和相关法律法规执行，但扣减金额不超过合同服务酬金结算价的30%。</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21.39承包人在投标报价中必须考虑疫情防控及创文等措施事宜，所需费用已包含在投标报价中。</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21.40承包人编制的设计图纸、施工图预算中出现下列情况：</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（1）漏项缺项；（2）工程量计算错误（误差在 5%以上）；（3）综合单价重大偏差等情况时，视为总承包人自身的责任，总承包人应对其完成和提交的设计文件、造价成果的质量负责。</w:t>
      </w:r>
    </w:p>
    <w:p>
      <w:pPr>
        <w:snapToGrid w:val="0"/>
        <w:spacing w:line="360" w:lineRule="auto"/>
        <w:ind w:firstLine="567" w:firstLineChars="270"/>
        <w:contextualSpacing/>
        <w:rPr>
          <w:rFonts w:ascii="宋体" w:hAnsi="宋体" w:cs="宋体"/>
          <w:szCs w:val="21"/>
          <w:highlight w:val="none"/>
        </w:rPr>
      </w:pPr>
      <w:r>
        <w:rPr>
          <w:rFonts w:hint="eastAsia" w:ascii="宋体" w:hAnsi="宋体" w:cs="宋体"/>
          <w:szCs w:val="21"/>
          <w:highlight w:val="none"/>
        </w:rPr>
        <w:t>21.41.承包人编制文件资料的遗漏、错误、偏差等，发包人视该项遗漏或错误造成的费用已包含在施工图预算的其他项目中，发包人将不再另行支付。除按照工程变更规定的工程量增减外，总价合同各项目的工程量应为承包人用于结算的最终工程。</w:t>
      </w:r>
    </w:p>
    <w:p>
      <w:pPr>
        <w:snapToGrid w:val="0"/>
        <w:spacing w:line="360" w:lineRule="auto"/>
        <w:ind w:firstLine="567" w:firstLineChars="270"/>
        <w:contextualSpacing/>
        <w:rPr>
          <w:rFonts w:ascii="宋体" w:hAnsi="宋体" w:cs="宋体"/>
          <w:szCs w:val="21"/>
          <w:highlight w:val="none"/>
        </w:rPr>
      </w:pPr>
      <w:r>
        <w:rPr>
          <w:rFonts w:ascii="宋体" w:hAnsi="宋体" w:cs="宋体"/>
          <w:szCs w:val="21"/>
          <w:highlight w:val="none"/>
        </w:rPr>
        <w:t>21</w:t>
      </w:r>
      <w:r>
        <w:rPr>
          <w:rFonts w:hint="eastAsia" w:ascii="宋体" w:hAnsi="宋体" w:cs="宋体"/>
          <w:szCs w:val="21"/>
          <w:highlight w:val="none"/>
        </w:rPr>
        <w:t>.42其他约定</w:t>
      </w:r>
    </w:p>
    <w:p>
      <w:pPr>
        <w:snapToGrid w:val="0"/>
        <w:spacing w:line="360" w:lineRule="auto"/>
        <w:ind w:firstLine="567" w:firstLineChars="270"/>
        <w:contextualSpacing/>
        <w:rPr>
          <w:rFonts w:ascii="宋体" w:hAnsi="宋体" w:cs="宋体"/>
          <w:szCs w:val="21"/>
          <w:highlight w:val="none"/>
        </w:rPr>
      </w:pPr>
      <w:r>
        <w:rPr>
          <w:szCs w:val="21"/>
          <w:highlight w:val="none"/>
        </w:rPr>
        <w:t>（</w:t>
      </w:r>
      <w:r>
        <w:rPr>
          <w:rFonts w:hint="eastAsia"/>
          <w:szCs w:val="21"/>
          <w:highlight w:val="none"/>
        </w:rPr>
        <w:t>1</w:t>
      </w:r>
      <w:r>
        <w:rPr>
          <w:szCs w:val="21"/>
          <w:highlight w:val="none"/>
        </w:rPr>
        <w:t>）</w:t>
      </w:r>
      <w:r>
        <w:rPr>
          <w:rFonts w:hint="eastAsia"/>
          <w:szCs w:val="21"/>
          <w:highlight w:val="none"/>
        </w:rPr>
        <w:t>如因本合同项下工程发生承包人直接或变相转包、分包，而致发包人被实际施工人、转包人、分包人及其他第三方提起诉讼、仲裁或申请执行的，发包人所产生的诉讼费、仲裁费、律师费、保全费、调查费、差旅费等所有支出均由承包人全额承担。</w:t>
      </w:r>
    </w:p>
    <w:p>
      <w:pPr>
        <w:snapToGrid w:val="0"/>
        <w:spacing w:line="360" w:lineRule="auto"/>
        <w:ind w:firstLine="567" w:firstLineChars="270"/>
        <w:contextualSpacing/>
        <w:rPr>
          <w:szCs w:val="21"/>
          <w:highlight w:val="none"/>
          <w:lang w:val="zh-CN"/>
        </w:rPr>
      </w:pPr>
      <w:r>
        <w:rPr>
          <w:rFonts w:hint="eastAsia"/>
          <w:szCs w:val="21"/>
          <w:highlight w:val="none"/>
          <w:lang w:val="zh-CN"/>
        </w:rPr>
        <w:t>如因承包人欠付第三方款项或其应对第三人承担经济责任，而致第三方在诉讼、仲裁或执行等司法程序中向发包人主张权利的，发包人所产生的诉讼费、仲裁费、律师费、保全费、调查费、差旅费等所有支出均由承包人全额承担。</w:t>
      </w:r>
    </w:p>
    <w:p>
      <w:pPr>
        <w:snapToGrid w:val="0"/>
        <w:spacing w:line="360" w:lineRule="auto"/>
        <w:ind w:firstLine="567" w:firstLineChars="270"/>
        <w:contextualSpacing/>
        <w:rPr>
          <w:szCs w:val="21"/>
          <w:highlight w:val="none"/>
          <w:lang w:val="zh-CN"/>
        </w:rPr>
      </w:pPr>
      <w:r>
        <w:rPr>
          <w:rFonts w:hint="eastAsia"/>
          <w:szCs w:val="21"/>
          <w:highlight w:val="none"/>
          <w:lang w:val="zh-CN"/>
        </w:rPr>
        <w:t>（</w:t>
      </w:r>
      <w:r>
        <w:rPr>
          <w:rFonts w:hint="eastAsia"/>
          <w:szCs w:val="21"/>
          <w:highlight w:val="none"/>
        </w:rPr>
        <w:t>2</w:t>
      </w:r>
      <w:r>
        <w:rPr>
          <w:rFonts w:hint="eastAsia"/>
          <w:szCs w:val="21"/>
          <w:highlight w:val="none"/>
          <w:lang w:val="zh-CN"/>
        </w:rPr>
        <w:t>）本合同未约定或约定与政府相关规定不一致的，按政府现行文件执行。</w:t>
      </w: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widowControl/>
        <w:numPr>
          <w:ilvl w:val="0"/>
          <w:numId w:val="16"/>
        </w:numPr>
        <w:adjustRightInd w:val="0"/>
        <w:snapToGrid w:val="0"/>
        <w:spacing w:after="50" w:line="360" w:lineRule="auto"/>
        <w:outlineLvl w:val="1"/>
        <w:rPr>
          <w:rFonts w:ascii="宋体" w:hAnsi="宋体" w:cs="宋体"/>
          <w:b/>
          <w:bCs/>
          <w:szCs w:val="21"/>
          <w:highlight w:val="none"/>
          <w:lang w:val="zh-CN" w:bidi="zh-CN"/>
        </w:rPr>
      </w:pPr>
      <w:bookmarkStart w:id="1213" w:name="_Toc2359"/>
      <w:bookmarkStart w:id="1214" w:name="_Toc109076918"/>
      <w:bookmarkStart w:id="1215" w:name="_Toc1207"/>
      <w:bookmarkStart w:id="1216" w:name="_Toc54862351"/>
      <w:bookmarkStart w:id="1217" w:name="_Toc1077"/>
      <w:bookmarkStart w:id="1218" w:name="_Toc5117"/>
      <w:r>
        <w:rPr>
          <w:rFonts w:hint="eastAsia" w:ascii="宋体" w:hAnsi="宋体" w:cs="宋体"/>
          <w:b/>
          <w:bCs/>
          <w:szCs w:val="21"/>
          <w:highlight w:val="none"/>
          <w:lang w:val="zh-CN" w:bidi="zh-CN"/>
        </w:rPr>
        <w:t>专用合同条件附件</w:t>
      </w:r>
      <w:bookmarkEnd w:id="1213"/>
      <w:bookmarkEnd w:id="1214"/>
      <w:bookmarkEnd w:id="1215"/>
      <w:bookmarkEnd w:id="1216"/>
      <w:bookmarkEnd w:id="1217"/>
      <w:bookmarkEnd w:id="1218"/>
    </w:p>
    <w:p>
      <w:pPr>
        <w:spacing w:line="360" w:lineRule="auto"/>
        <w:rPr>
          <w:rFonts w:ascii="宋体" w:hAnsi="宋体" w:cs="宋体"/>
          <w:szCs w:val="21"/>
          <w:highlight w:val="none"/>
        </w:rPr>
      </w:pPr>
    </w:p>
    <w:p>
      <w:pPr>
        <w:spacing w:line="360" w:lineRule="auto"/>
        <w:ind w:firstLine="600"/>
        <w:rPr>
          <w:rFonts w:ascii="宋体" w:hAnsi="宋体" w:cs="宋体"/>
          <w:szCs w:val="21"/>
          <w:highlight w:val="none"/>
        </w:rPr>
      </w:pPr>
      <w:r>
        <w:rPr>
          <w:rFonts w:hint="eastAsia" w:ascii="宋体" w:hAnsi="宋体" w:cs="宋体"/>
          <w:szCs w:val="21"/>
          <w:highlight w:val="none"/>
        </w:rPr>
        <w:t>附件1：发包人要求</w:t>
      </w:r>
    </w:p>
    <w:p>
      <w:pPr>
        <w:spacing w:line="360" w:lineRule="auto"/>
        <w:ind w:firstLine="600"/>
        <w:outlineLvl w:val="2"/>
        <w:rPr>
          <w:rFonts w:ascii="宋体" w:hAnsi="宋体" w:cs="宋体"/>
          <w:szCs w:val="21"/>
          <w:highlight w:val="none"/>
        </w:rPr>
      </w:pPr>
      <w:bookmarkStart w:id="1219" w:name="_Toc31678"/>
      <w:bookmarkStart w:id="1220" w:name="_Toc9793"/>
      <w:bookmarkStart w:id="1221" w:name="_Toc415"/>
      <w:r>
        <w:rPr>
          <w:rFonts w:hint="eastAsia" w:ascii="宋体" w:hAnsi="宋体" w:cs="宋体"/>
          <w:szCs w:val="21"/>
          <w:highlight w:val="none"/>
        </w:rPr>
        <w:t>附件2：发包人供应材料设备一览表</w:t>
      </w:r>
      <w:bookmarkEnd w:id="1219"/>
      <w:bookmarkEnd w:id="1220"/>
      <w:bookmarkEnd w:id="1221"/>
    </w:p>
    <w:p>
      <w:pPr>
        <w:spacing w:line="360" w:lineRule="auto"/>
        <w:ind w:firstLine="600"/>
        <w:rPr>
          <w:rFonts w:ascii="宋体" w:hAnsi="宋体" w:cs="宋体"/>
          <w:szCs w:val="21"/>
          <w:highlight w:val="none"/>
        </w:rPr>
      </w:pPr>
      <w:r>
        <w:rPr>
          <w:rFonts w:hint="eastAsia" w:ascii="宋体" w:hAnsi="宋体" w:cs="宋体"/>
          <w:szCs w:val="21"/>
          <w:highlight w:val="none"/>
        </w:rPr>
        <w:t>附件3：工程质量保修书</w:t>
      </w:r>
    </w:p>
    <w:p>
      <w:pPr>
        <w:spacing w:line="360" w:lineRule="auto"/>
        <w:ind w:firstLine="600"/>
        <w:rPr>
          <w:rFonts w:ascii="宋体" w:hAnsi="宋体" w:cs="宋体"/>
          <w:szCs w:val="21"/>
          <w:highlight w:val="none"/>
        </w:rPr>
      </w:pPr>
      <w:r>
        <w:rPr>
          <w:rFonts w:hint="eastAsia" w:ascii="宋体" w:hAnsi="宋体" w:cs="宋体"/>
          <w:szCs w:val="21"/>
          <w:highlight w:val="none"/>
        </w:rPr>
        <w:t>附件4：主要建设工程文件目录</w:t>
      </w:r>
    </w:p>
    <w:p>
      <w:pPr>
        <w:spacing w:line="360" w:lineRule="auto"/>
        <w:ind w:firstLine="600"/>
        <w:rPr>
          <w:rFonts w:ascii="宋体" w:hAnsi="宋体" w:cs="宋体"/>
          <w:szCs w:val="21"/>
          <w:highlight w:val="none"/>
        </w:rPr>
      </w:pPr>
      <w:r>
        <w:rPr>
          <w:rFonts w:hint="eastAsia" w:ascii="宋体" w:hAnsi="宋体" w:cs="宋体"/>
          <w:szCs w:val="21"/>
          <w:highlight w:val="none"/>
        </w:rPr>
        <w:t>附件5：承包人主要管理人员表</w:t>
      </w:r>
    </w:p>
    <w:p>
      <w:pPr>
        <w:spacing w:line="360" w:lineRule="auto"/>
        <w:ind w:firstLine="600"/>
        <w:rPr>
          <w:rFonts w:ascii="宋体" w:hAnsi="宋体" w:cs="宋体"/>
          <w:szCs w:val="21"/>
          <w:highlight w:val="none"/>
        </w:rPr>
      </w:pPr>
      <w:r>
        <w:rPr>
          <w:rFonts w:hint="eastAsia" w:ascii="宋体" w:hAnsi="宋体" w:cs="宋体"/>
          <w:szCs w:val="21"/>
          <w:highlight w:val="none"/>
        </w:rPr>
        <w:t>附件6：价格指数权重表</w:t>
      </w:r>
    </w:p>
    <w:p>
      <w:pPr>
        <w:pStyle w:val="13"/>
        <w:rPr>
          <w:highlight w:val="none"/>
        </w:rPr>
        <w:sectPr>
          <w:pgSz w:w="11910" w:h="16840"/>
          <w:pgMar w:top="1360" w:right="1134" w:bottom="1120" w:left="1134" w:header="0" w:footer="919" w:gutter="0"/>
          <w:cols w:space="0" w:num="1"/>
        </w:sectPr>
      </w:pPr>
    </w:p>
    <w:p>
      <w:pPr>
        <w:pStyle w:val="8"/>
        <w:spacing w:before="40"/>
        <w:ind w:left="55"/>
        <w:jc w:val="center"/>
        <w:rPr>
          <w:rFonts w:ascii="宋体" w:hAnsi="宋体" w:eastAsia="宋体" w:cs="宋体"/>
          <w:sz w:val="24"/>
          <w:szCs w:val="24"/>
          <w:highlight w:val="none"/>
        </w:rPr>
      </w:pPr>
      <w:bookmarkStart w:id="1222" w:name="专用合同条件附件"/>
      <w:bookmarkEnd w:id="1222"/>
      <w:bookmarkStart w:id="1223" w:name="附件1_《发包人要求》"/>
      <w:bookmarkEnd w:id="1223"/>
      <w:r>
        <w:rPr>
          <w:rFonts w:hint="eastAsia" w:ascii="宋体" w:hAnsi="宋体" w:eastAsia="宋体" w:cs="宋体"/>
          <w:sz w:val="24"/>
          <w:szCs w:val="24"/>
          <w:highlight w:val="none"/>
        </w:rPr>
        <w:t>附件 1 《发包人要求》</w:t>
      </w:r>
    </w:p>
    <w:p>
      <w:pPr>
        <w:pStyle w:val="11"/>
        <w:spacing w:before="2"/>
        <w:rPr>
          <w:rFonts w:ascii="宋体" w:hAnsi="宋体" w:cs="宋体"/>
          <w:b/>
          <w:sz w:val="24"/>
          <w:highlight w:val="none"/>
        </w:rPr>
      </w:pPr>
    </w:p>
    <w:p>
      <w:pPr>
        <w:pStyle w:val="11"/>
        <w:spacing w:before="1" w:line="242" w:lineRule="auto"/>
        <w:ind w:left="412" w:right="352" w:firstLine="600"/>
        <w:rPr>
          <w:rFonts w:ascii="宋体" w:hAnsi="宋体" w:cs="宋体"/>
          <w:sz w:val="24"/>
          <w:highlight w:val="none"/>
        </w:rPr>
      </w:pPr>
      <w:r>
        <w:rPr>
          <w:rFonts w:hint="eastAsia" w:ascii="宋体" w:hAnsi="宋体" w:cs="宋体"/>
          <w:sz w:val="24"/>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pStyle w:val="11"/>
        <w:spacing w:before="1" w:line="242" w:lineRule="auto"/>
        <w:ind w:right="352" w:firstLine="480" w:firstLineChars="200"/>
        <w:rPr>
          <w:rFonts w:ascii="宋体" w:hAnsi="宋体" w:cs="宋体"/>
          <w:sz w:val="24"/>
          <w:highlight w:val="none"/>
        </w:rPr>
      </w:pPr>
      <w:r>
        <w:rPr>
          <w:rFonts w:hint="eastAsia" w:ascii="宋体" w:hAnsi="宋体" w:cs="宋体"/>
          <w:sz w:val="24"/>
          <w:highlight w:val="none"/>
        </w:rPr>
        <w:t xml:space="preserve">《发包人要求》通常包括但不限于以下内容： </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一、功能要求</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（一）工程目的。</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（二）工程规模。</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（三）性能保证指标（性能保证表）。</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（四）产能保证指标。</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二、工程范围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（一）概述</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（二）包括的工作</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1.永久工程的设计、采购、施工范围。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2.临时工程的设计与施工范围。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3.竣工验收工作范围。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4.技术服务工作范围。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5.培训工作范围。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6.保修工作范围。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（三）工作界区</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（四）发包人提供的现场条件</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1.施工用电。</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2.施工用水。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3.施工排水。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4.施工道路。</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（五）发包人提供的技术文件</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除另有批准外，承包人的工作需要遵照发包人的下列技术文件:</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1.发包人需求任务书。</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2.发包人已完成的设计文件。</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 xml:space="preserve">三、工艺安排或要求（如有） </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四、时间要求</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（一）开始工作时间。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（二）设计完成时间。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（三）进度计划。</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（四）竣工时间。</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（五）缺陷责任期。</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（六）其他时间要求。</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五、技术要求</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（一）设计阶段和设计任务。</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（二）设计标准和规范。</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（三）技术标准和要求。</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（四）质量标准。</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（五）设计、施工和设备监造、试验（如有）。</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（六）样品。</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（七）发包人提供的其他条件，如发包人或其委托的第三人提供的设计、工艺包、用于试验检验的工器具等，以及据此对承包人提出的予以配套的要求。</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六、竣工试验</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（一）第一阶段，如对单车试验等的要求，包括试验前准备。</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（二）第二阶段，如对联动试车、投料试车等的要求，包括人员、设备、材料、燃料、电力、消耗品、工具等必要条件。</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（三）第三阶段，如对性能测试及其他竣工试验的要求，包括产能指标、产品质量标准、运营指标、环保指标等。</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七、竣工验收</w:t>
      </w:r>
    </w:p>
    <w:p>
      <w:pPr>
        <w:pStyle w:val="11"/>
        <w:spacing w:before="2" w:line="242" w:lineRule="auto"/>
        <w:ind w:left="479" w:leftChars="228" w:right="7082"/>
        <w:rPr>
          <w:rFonts w:ascii="宋体" w:hAnsi="宋体" w:cs="宋体"/>
          <w:sz w:val="24"/>
          <w:highlight w:val="none"/>
        </w:rPr>
      </w:pPr>
      <w:r>
        <w:rPr>
          <w:rFonts w:hint="eastAsia" w:ascii="宋体" w:hAnsi="宋体" w:cs="宋体"/>
          <w:sz w:val="24"/>
          <w:highlight w:val="none"/>
        </w:rPr>
        <w:t>八、竣工后试验（如有</w:t>
      </w:r>
      <w:r>
        <w:rPr>
          <w:rFonts w:hint="eastAsia" w:ascii="宋体" w:hAnsi="宋体" w:cs="宋体"/>
          <w:spacing w:val="-12"/>
          <w:sz w:val="24"/>
          <w:highlight w:val="none"/>
        </w:rPr>
        <w:t>）</w:t>
      </w:r>
      <w:r>
        <w:rPr>
          <w:rFonts w:hint="eastAsia" w:ascii="宋体" w:hAnsi="宋体" w:cs="宋体"/>
          <w:sz w:val="24"/>
          <w:highlight w:val="none"/>
        </w:rPr>
        <w:t>九、文件要求</w:t>
      </w:r>
    </w:p>
    <w:p>
      <w:pPr>
        <w:pStyle w:val="11"/>
        <w:spacing w:before="1"/>
        <w:ind w:firstLine="480" w:firstLineChars="200"/>
        <w:rPr>
          <w:rFonts w:ascii="宋体" w:hAnsi="宋体" w:cs="宋体"/>
          <w:sz w:val="24"/>
          <w:highlight w:val="none"/>
        </w:rPr>
      </w:pPr>
      <w:r>
        <w:rPr>
          <w:rFonts w:hint="eastAsia" w:ascii="宋体" w:hAnsi="宋体" w:cs="宋体"/>
          <w:sz w:val="24"/>
          <w:highlight w:val="none"/>
        </w:rPr>
        <w:t>（一）设计文件，及其相关审批、核准、备案要求。</w:t>
      </w:r>
    </w:p>
    <w:p>
      <w:pPr>
        <w:pStyle w:val="11"/>
        <w:spacing w:before="2"/>
        <w:ind w:firstLine="480" w:firstLineChars="200"/>
        <w:rPr>
          <w:rFonts w:ascii="宋体" w:hAnsi="宋体" w:cs="宋体"/>
          <w:sz w:val="24"/>
          <w:highlight w:val="none"/>
        </w:rPr>
      </w:pPr>
      <w:r>
        <w:rPr>
          <w:rFonts w:hint="eastAsia" w:ascii="宋体" w:hAnsi="宋体" w:cs="宋体"/>
          <w:sz w:val="24"/>
          <w:highlight w:val="none"/>
        </w:rPr>
        <w:t>（二）沟通计划。</w:t>
      </w:r>
    </w:p>
    <w:p>
      <w:pPr>
        <w:pStyle w:val="11"/>
        <w:spacing w:before="5"/>
        <w:ind w:firstLine="480" w:firstLineChars="200"/>
        <w:rPr>
          <w:rFonts w:ascii="宋体" w:hAnsi="宋体" w:cs="宋体"/>
          <w:sz w:val="24"/>
          <w:highlight w:val="none"/>
        </w:rPr>
      </w:pPr>
      <w:r>
        <w:rPr>
          <w:rFonts w:hint="eastAsia" w:ascii="宋体" w:hAnsi="宋体" w:cs="宋体"/>
          <w:sz w:val="24"/>
          <w:highlight w:val="none"/>
        </w:rPr>
        <w:t>（三）风险管理计划。</w:t>
      </w:r>
    </w:p>
    <w:p>
      <w:pPr>
        <w:pStyle w:val="11"/>
        <w:spacing w:before="4"/>
        <w:ind w:firstLine="480" w:firstLineChars="200"/>
        <w:rPr>
          <w:rFonts w:ascii="宋体" w:hAnsi="宋体" w:cs="宋体"/>
          <w:sz w:val="24"/>
          <w:highlight w:val="none"/>
        </w:rPr>
      </w:pPr>
      <w:r>
        <w:rPr>
          <w:rFonts w:hint="eastAsia" w:ascii="宋体" w:hAnsi="宋体" w:cs="宋体"/>
          <w:sz w:val="24"/>
          <w:highlight w:val="none"/>
        </w:rPr>
        <w:t>（四）竣工文件和工程的其他记录。</w:t>
      </w:r>
    </w:p>
    <w:p>
      <w:pPr>
        <w:pStyle w:val="11"/>
        <w:spacing w:before="2"/>
        <w:ind w:firstLine="480" w:firstLineChars="200"/>
        <w:rPr>
          <w:rFonts w:ascii="宋体" w:hAnsi="宋体" w:cs="宋体"/>
          <w:sz w:val="24"/>
          <w:highlight w:val="none"/>
        </w:rPr>
      </w:pPr>
      <w:r>
        <w:rPr>
          <w:rFonts w:hint="eastAsia" w:ascii="宋体" w:hAnsi="宋体" w:cs="宋体"/>
          <w:sz w:val="24"/>
          <w:highlight w:val="none"/>
        </w:rPr>
        <w:t>（五）操作和维修手册。</w:t>
      </w:r>
    </w:p>
    <w:p>
      <w:pPr>
        <w:pStyle w:val="11"/>
        <w:spacing w:before="3" w:line="244" w:lineRule="auto"/>
        <w:ind w:left="479" w:leftChars="228" w:right="7082"/>
        <w:rPr>
          <w:rFonts w:ascii="宋体" w:hAnsi="宋体" w:cs="宋体"/>
          <w:sz w:val="24"/>
          <w:highlight w:val="none"/>
        </w:rPr>
      </w:pPr>
      <w:r>
        <w:rPr>
          <w:rFonts w:hint="eastAsia" w:ascii="宋体" w:hAnsi="宋体" w:cs="宋体"/>
          <w:sz w:val="24"/>
          <w:highlight w:val="none"/>
        </w:rPr>
        <w:t>（六）其他承包人文件。十、工程项目管理规定</w:t>
      </w:r>
    </w:p>
    <w:p>
      <w:pPr>
        <w:pStyle w:val="11"/>
        <w:spacing w:line="265" w:lineRule="exact"/>
        <w:ind w:firstLine="480" w:firstLineChars="200"/>
        <w:rPr>
          <w:rFonts w:ascii="宋体" w:hAnsi="宋体" w:cs="宋体"/>
          <w:sz w:val="24"/>
          <w:highlight w:val="none"/>
        </w:rPr>
      </w:pPr>
      <w:r>
        <w:rPr>
          <w:rFonts w:hint="eastAsia" w:ascii="宋体" w:hAnsi="宋体" w:cs="宋体"/>
          <w:sz w:val="24"/>
          <w:highlight w:val="none"/>
        </w:rPr>
        <w:t>（一）质量。</w:t>
      </w:r>
    </w:p>
    <w:p>
      <w:pPr>
        <w:pStyle w:val="11"/>
        <w:spacing w:before="4"/>
        <w:ind w:firstLine="480" w:firstLineChars="200"/>
        <w:rPr>
          <w:rFonts w:ascii="宋体" w:hAnsi="宋体" w:cs="宋体"/>
          <w:sz w:val="24"/>
          <w:highlight w:val="none"/>
        </w:rPr>
      </w:pPr>
      <w:r>
        <w:rPr>
          <w:rFonts w:hint="eastAsia" w:ascii="宋体" w:hAnsi="宋体" w:cs="宋体"/>
          <w:sz w:val="24"/>
          <w:highlight w:val="none"/>
        </w:rPr>
        <w:t>（二）进度，包括里程碑进度计划（如果有）。</w:t>
      </w:r>
    </w:p>
    <w:p>
      <w:pPr>
        <w:pStyle w:val="11"/>
        <w:spacing w:before="2"/>
        <w:ind w:firstLine="480" w:firstLineChars="200"/>
        <w:rPr>
          <w:rFonts w:ascii="宋体" w:hAnsi="宋体" w:cs="宋体"/>
          <w:sz w:val="24"/>
          <w:highlight w:val="none"/>
        </w:rPr>
      </w:pPr>
      <w:r>
        <w:rPr>
          <w:rFonts w:hint="eastAsia" w:ascii="宋体" w:hAnsi="宋体" w:cs="宋体"/>
          <w:sz w:val="24"/>
          <w:highlight w:val="none"/>
        </w:rPr>
        <w:t>（三）支付。</w:t>
      </w:r>
    </w:p>
    <w:p>
      <w:pPr>
        <w:pStyle w:val="11"/>
        <w:spacing w:before="5"/>
        <w:ind w:firstLine="480" w:firstLineChars="200"/>
        <w:rPr>
          <w:rFonts w:ascii="宋体" w:hAnsi="宋体" w:cs="宋体"/>
          <w:sz w:val="24"/>
          <w:highlight w:val="none"/>
        </w:rPr>
      </w:pPr>
      <w:r>
        <w:rPr>
          <w:rFonts w:hint="eastAsia" w:ascii="宋体" w:hAnsi="宋体" w:cs="宋体"/>
          <w:sz w:val="24"/>
          <w:highlight w:val="none"/>
        </w:rPr>
        <w:t>（四）HSE（健康、安全与环境管理体系）。</w:t>
      </w:r>
    </w:p>
    <w:p>
      <w:pPr>
        <w:pStyle w:val="11"/>
        <w:spacing w:before="2"/>
        <w:ind w:firstLine="480" w:firstLineChars="200"/>
        <w:rPr>
          <w:rFonts w:ascii="宋体" w:hAnsi="宋体" w:cs="宋体"/>
          <w:sz w:val="24"/>
          <w:highlight w:val="none"/>
        </w:rPr>
      </w:pPr>
      <w:r>
        <w:rPr>
          <w:rFonts w:hint="eastAsia" w:ascii="宋体" w:hAnsi="宋体" w:cs="宋体"/>
          <w:sz w:val="24"/>
          <w:highlight w:val="none"/>
        </w:rPr>
        <w:t>（五）沟通。</w:t>
      </w:r>
    </w:p>
    <w:p>
      <w:pPr>
        <w:pStyle w:val="11"/>
        <w:spacing w:before="5" w:line="242" w:lineRule="auto"/>
        <w:ind w:left="479" w:leftChars="228" w:right="7922"/>
        <w:rPr>
          <w:rFonts w:ascii="宋体" w:hAnsi="宋体" w:cs="宋体"/>
          <w:sz w:val="24"/>
          <w:highlight w:val="none"/>
        </w:rPr>
      </w:pPr>
      <w:r>
        <w:rPr>
          <w:rFonts w:hint="eastAsia" w:ascii="宋体" w:hAnsi="宋体" w:cs="宋体"/>
          <w:sz w:val="24"/>
          <w:highlight w:val="none"/>
        </w:rPr>
        <w:t xml:space="preserve">（六）变更。 </w:t>
      </w:r>
      <w:r>
        <w:rPr>
          <w:rFonts w:hint="eastAsia" w:ascii="宋体" w:hAnsi="宋体" w:cs="宋体"/>
          <w:sz w:val="24"/>
          <w:highlight w:val="none"/>
        </w:rPr>
        <w:br w:type="textWrapping"/>
      </w:r>
      <w:r>
        <w:rPr>
          <w:rFonts w:hint="eastAsia" w:ascii="宋体" w:hAnsi="宋体" w:cs="宋体"/>
          <w:spacing w:val="-2"/>
          <w:sz w:val="24"/>
          <w:highlight w:val="none"/>
        </w:rPr>
        <w:t>十一、其他要求</w:t>
      </w:r>
    </w:p>
    <w:p>
      <w:pPr>
        <w:pStyle w:val="11"/>
        <w:spacing w:line="268" w:lineRule="exact"/>
        <w:ind w:firstLine="480" w:firstLineChars="200"/>
        <w:rPr>
          <w:rFonts w:ascii="宋体" w:hAnsi="宋体" w:cs="宋体"/>
          <w:sz w:val="24"/>
          <w:highlight w:val="none"/>
        </w:rPr>
      </w:pPr>
      <w:r>
        <w:rPr>
          <w:rFonts w:hint="eastAsia" w:ascii="宋体" w:hAnsi="宋体" w:cs="宋体"/>
          <w:sz w:val="24"/>
          <w:highlight w:val="none"/>
        </w:rPr>
        <w:t>（一）对承包人的主要人员资格要求。</w:t>
      </w:r>
    </w:p>
    <w:p>
      <w:pPr>
        <w:pStyle w:val="11"/>
        <w:spacing w:before="4"/>
        <w:ind w:firstLine="480" w:firstLineChars="200"/>
        <w:rPr>
          <w:rFonts w:ascii="宋体" w:hAnsi="宋体" w:cs="宋体"/>
          <w:sz w:val="24"/>
          <w:highlight w:val="none"/>
        </w:rPr>
      </w:pPr>
      <w:r>
        <w:rPr>
          <w:rFonts w:hint="eastAsia" w:ascii="宋体" w:hAnsi="宋体" w:cs="宋体"/>
          <w:sz w:val="24"/>
          <w:highlight w:val="none"/>
        </w:rPr>
        <w:t>（二）相关审批、核准和备案手续的办理。</w:t>
      </w:r>
    </w:p>
    <w:p>
      <w:pPr>
        <w:pStyle w:val="11"/>
        <w:spacing w:before="5"/>
        <w:ind w:firstLine="480" w:firstLineChars="200"/>
        <w:rPr>
          <w:rFonts w:ascii="宋体" w:hAnsi="宋体" w:cs="宋体"/>
          <w:sz w:val="24"/>
          <w:highlight w:val="none"/>
        </w:rPr>
      </w:pPr>
      <w:r>
        <w:rPr>
          <w:rFonts w:hint="eastAsia" w:ascii="宋体" w:hAnsi="宋体" w:cs="宋体"/>
          <w:sz w:val="24"/>
          <w:highlight w:val="none"/>
        </w:rPr>
        <w:t>（三）对项目业主人员的操作培训。</w:t>
      </w:r>
    </w:p>
    <w:p>
      <w:pPr>
        <w:pStyle w:val="11"/>
        <w:spacing w:before="2"/>
        <w:ind w:firstLine="480" w:firstLineChars="200"/>
        <w:rPr>
          <w:rFonts w:ascii="宋体" w:hAnsi="宋体" w:cs="宋体"/>
          <w:sz w:val="24"/>
          <w:highlight w:val="none"/>
        </w:rPr>
      </w:pPr>
      <w:r>
        <w:rPr>
          <w:rFonts w:hint="eastAsia" w:ascii="宋体" w:hAnsi="宋体" w:cs="宋体"/>
          <w:sz w:val="24"/>
          <w:highlight w:val="none"/>
        </w:rPr>
        <w:t>（四）分包。</w:t>
      </w:r>
    </w:p>
    <w:p>
      <w:pPr>
        <w:pStyle w:val="11"/>
        <w:spacing w:before="4"/>
        <w:ind w:firstLine="480" w:firstLineChars="200"/>
        <w:rPr>
          <w:rFonts w:ascii="宋体" w:hAnsi="宋体" w:cs="宋体"/>
          <w:sz w:val="24"/>
          <w:highlight w:val="none"/>
        </w:rPr>
      </w:pPr>
      <w:r>
        <w:rPr>
          <w:rFonts w:hint="eastAsia" w:ascii="宋体" w:hAnsi="宋体" w:cs="宋体"/>
          <w:sz w:val="24"/>
          <w:highlight w:val="none"/>
        </w:rPr>
        <w:t>（五）设备供应商。</w:t>
      </w:r>
    </w:p>
    <w:p>
      <w:pPr>
        <w:pStyle w:val="11"/>
        <w:spacing w:before="2"/>
        <w:ind w:firstLine="480" w:firstLineChars="200"/>
        <w:rPr>
          <w:rFonts w:ascii="宋体" w:hAnsi="宋体" w:cs="宋体"/>
          <w:sz w:val="24"/>
          <w:highlight w:val="none"/>
        </w:rPr>
      </w:pPr>
      <w:r>
        <w:rPr>
          <w:rFonts w:hint="eastAsia" w:ascii="宋体" w:hAnsi="宋体" w:cs="宋体"/>
          <w:sz w:val="24"/>
          <w:highlight w:val="none"/>
        </w:rPr>
        <w:t>（六）缺陷责任期的服务要求。</w:t>
      </w:r>
    </w:p>
    <w:p>
      <w:pPr>
        <w:rPr>
          <w:rFonts w:ascii="宋体" w:hAnsi="宋体" w:cs="宋体"/>
          <w:sz w:val="24"/>
          <w:highlight w:val="none"/>
        </w:rPr>
        <w:sectPr>
          <w:pgSz w:w="11910" w:h="16840"/>
          <w:pgMar w:top="1360" w:right="1134" w:bottom="1120" w:left="1134" w:header="0" w:footer="919" w:gutter="0"/>
          <w:cols w:space="0" w:num="1"/>
        </w:sectPr>
      </w:pPr>
    </w:p>
    <w:p>
      <w:pPr>
        <w:pStyle w:val="8"/>
        <w:spacing w:before="70"/>
        <w:ind w:left="55"/>
        <w:jc w:val="center"/>
        <w:rPr>
          <w:rFonts w:ascii="宋体" w:hAnsi="宋体" w:eastAsia="宋体" w:cs="宋体"/>
          <w:sz w:val="24"/>
          <w:szCs w:val="24"/>
          <w:highlight w:val="none"/>
        </w:rPr>
      </w:pPr>
      <w:bookmarkStart w:id="1224" w:name="附件2_发包人供应材料设备一览表"/>
      <w:bookmarkEnd w:id="1224"/>
      <w:r>
        <w:rPr>
          <w:rFonts w:hint="eastAsia" w:ascii="宋体" w:hAnsi="宋体" w:eastAsia="宋体" w:cs="宋体"/>
          <w:sz w:val="24"/>
          <w:szCs w:val="24"/>
          <w:highlight w:val="none"/>
        </w:rPr>
        <w:t>附件 2 发包人供应材料设备一览表</w:t>
      </w:r>
    </w:p>
    <w:p>
      <w:pPr>
        <w:pStyle w:val="11"/>
        <w:spacing w:before="2"/>
        <w:rPr>
          <w:rFonts w:ascii="宋体" w:hAnsi="宋体" w:cs="宋体"/>
          <w:b/>
          <w:sz w:val="24"/>
          <w:highlight w:val="none"/>
        </w:rPr>
      </w:pPr>
    </w:p>
    <w:tbl>
      <w:tblPr>
        <w:tblStyle w:val="16"/>
        <w:tblW w:w="0" w:type="auto"/>
        <w:tblInd w:w="6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52"/>
        <w:gridCol w:w="1165"/>
        <w:gridCol w:w="1126"/>
        <w:gridCol w:w="567"/>
        <w:gridCol w:w="686"/>
        <w:gridCol w:w="992"/>
        <w:gridCol w:w="1134"/>
        <w:gridCol w:w="1134"/>
        <w:gridCol w:w="1134"/>
        <w:gridCol w:w="70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552" w:type="dxa"/>
            <w:tcBorders>
              <w:bottom w:val="double" w:color="000000" w:sz="2" w:space="0"/>
              <w:right w:val="single" w:color="000000" w:sz="6" w:space="0"/>
            </w:tcBorders>
          </w:tcPr>
          <w:p>
            <w:pPr>
              <w:pStyle w:val="21"/>
              <w:spacing w:before="136"/>
              <w:ind w:left="64"/>
              <w:rPr>
                <w:rFonts w:ascii="宋体" w:hAnsi="宋体" w:cs="宋体"/>
                <w:highlight w:val="none"/>
              </w:rPr>
            </w:pPr>
            <w:r>
              <w:rPr>
                <w:rFonts w:hint="eastAsia" w:ascii="宋体" w:hAnsi="宋体" w:cs="宋体"/>
                <w:highlight w:val="none"/>
              </w:rPr>
              <w:t>序号</w:t>
            </w:r>
          </w:p>
        </w:tc>
        <w:tc>
          <w:tcPr>
            <w:tcW w:w="1165" w:type="dxa"/>
            <w:tcBorders>
              <w:left w:val="single" w:color="000000" w:sz="6" w:space="0"/>
              <w:bottom w:val="double" w:color="000000" w:sz="2" w:space="0"/>
              <w:right w:val="single" w:color="000000" w:sz="6" w:space="0"/>
            </w:tcBorders>
          </w:tcPr>
          <w:p>
            <w:pPr>
              <w:pStyle w:val="21"/>
              <w:spacing w:before="2" w:line="242" w:lineRule="auto"/>
              <w:ind w:left="379" w:right="36" w:hanging="317"/>
              <w:rPr>
                <w:rFonts w:ascii="宋体" w:hAnsi="宋体" w:cs="宋体"/>
                <w:highlight w:val="none"/>
              </w:rPr>
            </w:pPr>
            <w:r>
              <w:rPr>
                <w:rFonts w:hint="eastAsia" w:ascii="宋体" w:hAnsi="宋体" w:cs="宋体"/>
                <w:highlight w:val="none"/>
              </w:rPr>
              <w:t>材料、设备品种</w:t>
            </w:r>
          </w:p>
        </w:tc>
        <w:tc>
          <w:tcPr>
            <w:tcW w:w="1126" w:type="dxa"/>
            <w:tcBorders>
              <w:left w:val="single" w:color="000000" w:sz="6" w:space="0"/>
              <w:bottom w:val="double" w:color="000000" w:sz="2" w:space="0"/>
              <w:right w:val="single" w:color="000000" w:sz="6" w:space="0"/>
            </w:tcBorders>
          </w:tcPr>
          <w:p>
            <w:pPr>
              <w:pStyle w:val="21"/>
              <w:spacing w:before="136"/>
              <w:ind w:left="150"/>
              <w:rPr>
                <w:rFonts w:ascii="宋体" w:hAnsi="宋体" w:cs="宋体"/>
                <w:highlight w:val="none"/>
              </w:rPr>
            </w:pPr>
            <w:r>
              <w:rPr>
                <w:rFonts w:hint="eastAsia" w:ascii="宋体" w:hAnsi="宋体" w:cs="宋体"/>
                <w:highlight w:val="none"/>
              </w:rPr>
              <w:t>规格型号</w:t>
            </w:r>
          </w:p>
        </w:tc>
        <w:tc>
          <w:tcPr>
            <w:tcW w:w="567" w:type="dxa"/>
            <w:tcBorders>
              <w:left w:val="single" w:color="000000" w:sz="6" w:space="0"/>
              <w:bottom w:val="double" w:color="000000" w:sz="2" w:space="0"/>
              <w:right w:val="single" w:color="000000" w:sz="6" w:space="0"/>
            </w:tcBorders>
          </w:tcPr>
          <w:p>
            <w:pPr>
              <w:pStyle w:val="21"/>
              <w:spacing w:before="136"/>
              <w:ind w:left="80"/>
              <w:rPr>
                <w:rFonts w:ascii="宋体" w:hAnsi="宋体" w:cs="宋体"/>
                <w:highlight w:val="none"/>
              </w:rPr>
            </w:pPr>
            <w:r>
              <w:rPr>
                <w:rFonts w:hint="eastAsia" w:ascii="宋体" w:hAnsi="宋体" w:cs="宋体"/>
                <w:highlight w:val="none"/>
              </w:rPr>
              <w:t>单位</w:t>
            </w:r>
          </w:p>
        </w:tc>
        <w:tc>
          <w:tcPr>
            <w:tcW w:w="686" w:type="dxa"/>
            <w:tcBorders>
              <w:left w:val="single" w:color="000000" w:sz="6" w:space="0"/>
              <w:bottom w:val="double" w:color="000000" w:sz="2" w:space="0"/>
              <w:right w:val="single" w:color="000000" w:sz="6" w:space="0"/>
            </w:tcBorders>
          </w:tcPr>
          <w:p>
            <w:pPr>
              <w:pStyle w:val="21"/>
              <w:spacing w:before="136"/>
              <w:ind w:left="139"/>
              <w:rPr>
                <w:rFonts w:ascii="宋体" w:hAnsi="宋体" w:cs="宋体"/>
                <w:highlight w:val="none"/>
              </w:rPr>
            </w:pPr>
            <w:r>
              <w:rPr>
                <w:rFonts w:hint="eastAsia" w:ascii="宋体" w:hAnsi="宋体" w:cs="宋体"/>
                <w:highlight w:val="none"/>
              </w:rPr>
              <w:t>数量</w:t>
            </w:r>
          </w:p>
        </w:tc>
        <w:tc>
          <w:tcPr>
            <w:tcW w:w="992" w:type="dxa"/>
            <w:tcBorders>
              <w:left w:val="single" w:color="000000" w:sz="6" w:space="0"/>
              <w:bottom w:val="double" w:color="000000" w:sz="2" w:space="0"/>
              <w:right w:val="single" w:color="000000" w:sz="6" w:space="0"/>
            </w:tcBorders>
          </w:tcPr>
          <w:p>
            <w:pPr>
              <w:pStyle w:val="21"/>
              <w:spacing w:before="136"/>
              <w:ind w:left="34"/>
              <w:rPr>
                <w:rFonts w:ascii="宋体" w:hAnsi="宋体" w:cs="宋体"/>
                <w:highlight w:val="none"/>
              </w:rPr>
            </w:pPr>
            <w:r>
              <w:rPr>
                <w:rFonts w:hint="eastAsia" w:ascii="宋体" w:hAnsi="宋体" w:cs="宋体"/>
                <w:highlight w:val="none"/>
              </w:rPr>
              <w:t>单价（元</w:t>
            </w:r>
          </w:p>
        </w:tc>
        <w:tc>
          <w:tcPr>
            <w:tcW w:w="1134" w:type="dxa"/>
            <w:tcBorders>
              <w:left w:val="single" w:color="000000" w:sz="6" w:space="0"/>
              <w:bottom w:val="double" w:color="000000" w:sz="2" w:space="0"/>
              <w:right w:val="single" w:color="000000" w:sz="6" w:space="0"/>
            </w:tcBorders>
          </w:tcPr>
          <w:p>
            <w:pPr>
              <w:pStyle w:val="21"/>
              <w:spacing w:before="136"/>
              <w:ind w:left="-127"/>
              <w:rPr>
                <w:rFonts w:ascii="宋体" w:hAnsi="宋体" w:cs="宋体"/>
                <w:highlight w:val="none"/>
              </w:rPr>
            </w:pPr>
            <w:r>
              <w:rPr>
                <w:rFonts w:hint="eastAsia" w:ascii="宋体" w:hAnsi="宋体" w:cs="宋体"/>
                <w:highlight w:val="none"/>
              </w:rPr>
              <w:t>） 质量等级</w:t>
            </w:r>
          </w:p>
        </w:tc>
        <w:tc>
          <w:tcPr>
            <w:tcW w:w="1134" w:type="dxa"/>
            <w:tcBorders>
              <w:left w:val="single" w:color="000000" w:sz="6" w:space="0"/>
              <w:bottom w:val="double" w:color="000000" w:sz="2" w:space="0"/>
              <w:right w:val="single" w:color="000000" w:sz="6" w:space="0"/>
            </w:tcBorders>
          </w:tcPr>
          <w:p>
            <w:pPr>
              <w:pStyle w:val="21"/>
              <w:spacing w:before="136"/>
              <w:ind w:left="152"/>
              <w:rPr>
                <w:rFonts w:ascii="宋体" w:hAnsi="宋体" w:cs="宋体"/>
                <w:highlight w:val="none"/>
              </w:rPr>
            </w:pPr>
            <w:r>
              <w:rPr>
                <w:rFonts w:hint="eastAsia" w:ascii="宋体" w:hAnsi="宋体" w:cs="宋体"/>
                <w:highlight w:val="none"/>
              </w:rPr>
              <w:t>供应时间</w:t>
            </w:r>
          </w:p>
        </w:tc>
        <w:tc>
          <w:tcPr>
            <w:tcW w:w="1134" w:type="dxa"/>
            <w:tcBorders>
              <w:left w:val="single" w:color="000000" w:sz="6" w:space="0"/>
              <w:bottom w:val="double" w:color="000000" w:sz="2" w:space="0"/>
              <w:right w:val="single" w:color="000000" w:sz="6" w:space="0"/>
            </w:tcBorders>
          </w:tcPr>
          <w:p>
            <w:pPr>
              <w:pStyle w:val="21"/>
              <w:spacing w:before="136"/>
              <w:ind w:left="153"/>
              <w:rPr>
                <w:rFonts w:ascii="宋体" w:hAnsi="宋体" w:cs="宋体"/>
                <w:highlight w:val="none"/>
              </w:rPr>
            </w:pPr>
            <w:r>
              <w:rPr>
                <w:rFonts w:hint="eastAsia" w:ascii="宋体" w:hAnsi="宋体" w:cs="宋体"/>
                <w:highlight w:val="none"/>
              </w:rPr>
              <w:t>送达地点</w:t>
            </w:r>
          </w:p>
        </w:tc>
        <w:tc>
          <w:tcPr>
            <w:tcW w:w="709" w:type="dxa"/>
            <w:tcBorders>
              <w:left w:val="single" w:color="000000" w:sz="6" w:space="0"/>
              <w:bottom w:val="double" w:color="000000" w:sz="2" w:space="0"/>
            </w:tcBorders>
          </w:tcPr>
          <w:p>
            <w:pPr>
              <w:pStyle w:val="21"/>
              <w:spacing w:before="136"/>
              <w:ind w:left="150"/>
              <w:rPr>
                <w:rFonts w:ascii="宋体" w:hAnsi="宋体" w:cs="宋体"/>
                <w:highlight w:val="none"/>
              </w:rPr>
            </w:pPr>
            <w:r>
              <w:rPr>
                <w:rFonts w:hint="eastAsia" w:ascii="宋体" w:hAnsi="宋体" w:cs="宋体"/>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double" w:color="000000" w:sz="2" w:space="0"/>
              <w:bottom w:val="single" w:color="000000" w:sz="6" w:space="0"/>
              <w:right w:val="single" w:color="000000" w:sz="6" w:space="0"/>
            </w:tcBorders>
          </w:tcPr>
          <w:p>
            <w:pPr>
              <w:pStyle w:val="21"/>
              <w:rPr>
                <w:rFonts w:ascii="宋体" w:hAnsi="宋体" w:cs="宋体"/>
                <w:highlight w:val="none"/>
              </w:rPr>
            </w:pPr>
          </w:p>
        </w:tc>
        <w:tc>
          <w:tcPr>
            <w:tcW w:w="1165"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double" w:color="000000" w:sz="2"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552"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552" w:type="dxa"/>
            <w:tcBorders>
              <w:top w:val="single" w:color="000000" w:sz="6" w:space="0"/>
              <w:right w:val="single" w:color="000000" w:sz="6" w:space="0"/>
            </w:tcBorders>
          </w:tcPr>
          <w:p>
            <w:pPr>
              <w:pStyle w:val="21"/>
              <w:rPr>
                <w:rFonts w:ascii="宋体" w:hAnsi="宋体" w:cs="宋体"/>
                <w:highlight w:val="none"/>
              </w:rPr>
            </w:pPr>
          </w:p>
        </w:tc>
        <w:tc>
          <w:tcPr>
            <w:tcW w:w="1165"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1126"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567"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686"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992"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709" w:type="dxa"/>
            <w:tcBorders>
              <w:top w:val="single" w:color="000000" w:sz="6" w:space="0"/>
              <w:left w:val="single" w:color="000000" w:sz="6" w:space="0"/>
            </w:tcBorders>
          </w:tcPr>
          <w:p>
            <w:pPr>
              <w:pStyle w:val="21"/>
              <w:rPr>
                <w:rFonts w:ascii="宋体" w:hAnsi="宋体" w:cs="宋体"/>
                <w:highlight w:val="none"/>
              </w:rPr>
            </w:pPr>
          </w:p>
        </w:tc>
      </w:tr>
    </w:tbl>
    <w:p>
      <w:pPr>
        <w:rPr>
          <w:rFonts w:ascii="宋体" w:hAnsi="宋体" w:cs="宋体"/>
          <w:sz w:val="24"/>
          <w:highlight w:val="none"/>
        </w:rPr>
        <w:sectPr>
          <w:pgSz w:w="11910" w:h="16840"/>
          <w:pgMar w:top="1580" w:right="1134" w:bottom="1120" w:left="1134" w:header="0" w:footer="919" w:gutter="0"/>
          <w:cols w:space="0" w:num="1"/>
        </w:sectPr>
      </w:pPr>
    </w:p>
    <w:p>
      <w:pPr>
        <w:keepNext/>
        <w:keepLines/>
        <w:widowControl/>
        <w:tabs>
          <w:tab w:val="left" w:pos="1134"/>
        </w:tabs>
        <w:spacing w:before="260" w:after="120" w:line="360" w:lineRule="auto"/>
        <w:jc w:val="center"/>
        <w:outlineLvl w:val="1"/>
        <w:rPr>
          <w:rFonts w:ascii="宋体" w:hAnsi="宋体"/>
          <w:b/>
          <w:kern w:val="0"/>
          <w:szCs w:val="21"/>
          <w:highlight w:val="none"/>
        </w:rPr>
      </w:pPr>
      <w:bookmarkStart w:id="1225" w:name="_Toc24320"/>
      <w:bookmarkStart w:id="1226" w:name="_Toc1876"/>
      <w:bookmarkStart w:id="1227" w:name="_Toc2403"/>
      <w:r>
        <w:rPr>
          <w:rFonts w:hint="eastAsia" w:ascii="宋体" w:hAnsi="宋体"/>
          <w:b/>
          <w:kern w:val="0"/>
          <w:szCs w:val="21"/>
          <w:highlight w:val="none"/>
        </w:rPr>
        <w:t>附件3 房屋建筑工程质量保修书</w:t>
      </w:r>
      <w:bookmarkEnd w:id="1225"/>
      <w:bookmarkEnd w:id="1226"/>
      <w:bookmarkEnd w:id="1227"/>
    </w:p>
    <w:p>
      <w:pPr>
        <w:widowControl/>
        <w:autoSpaceDE w:val="0"/>
        <w:autoSpaceDN w:val="0"/>
        <w:spacing w:line="300" w:lineRule="exact"/>
        <w:jc w:val="left"/>
        <w:rPr>
          <w:szCs w:val="21"/>
          <w:highlight w:val="none"/>
        </w:rPr>
      </w:pPr>
      <w:r>
        <w:rPr>
          <w:rFonts w:hint="eastAsia" w:ascii="宋体" w:hAnsi="宋体" w:cs="宋体"/>
          <w:kern w:val="0"/>
          <w:szCs w:val="21"/>
          <w:highlight w:val="none"/>
        </w:rPr>
        <w:t>发包人（全称）：</w:t>
      </w:r>
    </w:p>
    <w:p>
      <w:pPr>
        <w:widowControl/>
        <w:autoSpaceDE w:val="0"/>
        <w:autoSpaceDN w:val="0"/>
        <w:spacing w:line="300" w:lineRule="exact"/>
        <w:jc w:val="left"/>
        <w:rPr>
          <w:szCs w:val="21"/>
          <w:highlight w:val="none"/>
        </w:rPr>
      </w:pPr>
      <w:r>
        <w:rPr>
          <w:rFonts w:hint="eastAsia" w:ascii="宋体" w:hAnsi="宋体" w:cs="宋体"/>
          <w:kern w:val="0"/>
          <w:szCs w:val="21"/>
          <w:highlight w:val="none"/>
        </w:rPr>
        <w:t xml:space="preserve">承包人（全称）： </w:t>
      </w:r>
    </w:p>
    <w:p>
      <w:pPr>
        <w:widowControl/>
        <w:autoSpaceDE w:val="0"/>
        <w:autoSpaceDN w:val="0"/>
        <w:spacing w:line="300" w:lineRule="exact"/>
        <w:ind w:firstLine="420" w:firstLineChars="200"/>
        <w:jc w:val="left"/>
        <w:rPr>
          <w:szCs w:val="21"/>
          <w:highlight w:val="none"/>
        </w:rPr>
      </w:pPr>
      <w:r>
        <w:rPr>
          <w:rFonts w:hint="eastAsia" w:ascii="宋体" w:hAnsi="宋体" w:cs="宋体"/>
          <w:kern w:val="0"/>
          <w:szCs w:val="21"/>
          <w:highlight w:val="none"/>
        </w:rPr>
        <w:t xml:space="preserve">发包人、承包人根据《中华人民共和国建筑法》、《建设工程质量管理条例》和《房屋建筑工程质量保修办法》，经协商一致，对 </w:t>
      </w:r>
      <w:r>
        <w:rPr>
          <w:rFonts w:hint="eastAsia" w:ascii="宋体" w:hAnsi="宋体" w:cs="宋体"/>
          <w:kern w:val="0"/>
          <w:szCs w:val="21"/>
          <w:highlight w:val="none"/>
          <w:u w:val="single"/>
        </w:rPr>
        <w:t>(工程名称)</w:t>
      </w:r>
      <w:r>
        <w:rPr>
          <w:rFonts w:hint="eastAsia" w:ascii="宋体" w:hAnsi="宋体" w:cs="宋体"/>
          <w:kern w:val="0"/>
          <w:szCs w:val="21"/>
          <w:highlight w:val="none"/>
        </w:rPr>
        <w:t xml:space="preserve">签订保修书。 </w:t>
      </w:r>
    </w:p>
    <w:p>
      <w:pPr>
        <w:widowControl/>
        <w:autoSpaceDE w:val="0"/>
        <w:autoSpaceDN w:val="0"/>
        <w:spacing w:line="300" w:lineRule="exact"/>
        <w:jc w:val="left"/>
        <w:outlineLvl w:val="1"/>
        <w:rPr>
          <w:szCs w:val="21"/>
          <w:highlight w:val="none"/>
        </w:rPr>
      </w:pPr>
      <w:bookmarkStart w:id="1228" w:name="_Toc27328"/>
      <w:bookmarkStart w:id="1229" w:name="_Toc21192"/>
      <w:bookmarkStart w:id="1230" w:name="_Toc7224"/>
      <w:r>
        <w:rPr>
          <w:rFonts w:hint="eastAsia" w:ascii="宋体" w:hAnsi="宋体" w:cs="宋体"/>
          <w:b/>
          <w:kern w:val="0"/>
          <w:szCs w:val="21"/>
          <w:highlight w:val="none"/>
        </w:rPr>
        <w:t>一、工程保修范围和内容</w:t>
      </w:r>
      <w:bookmarkEnd w:id="1228"/>
      <w:bookmarkEnd w:id="1229"/>
      <w:bookmarkEnd w:id="1230"/>
    </w:p>
    <w:p>
      <w:pPr>
        <w:widowControl/>
        <w:autoSpaceDE w:val="0"/>
        <w:autoSpaceDN w:val="0"/>
        <w:spacing w:line="300" w:lineRule="exact"/>
        <w:ind w:firstLine="420" w:firstLineChars="200"/>
        <w:jc w:val="left"/>
        <w:rPr>
          <w:szCs w:val="21"/>
          <w:highlight w:val="none"/>
        </w:rPr>
      </w:pPr>
      <w:r>
        <w:rPr>
          <w:rFonts w:hint="eastAsia" w:ascii="宋体" w:hAnsi="宋体" w:cs="宋体"/>
          <w:kern w:val="0"/>
          <w:szCs w:val="21"/>
          <w:highlight w:val="none"/>
        </w:rPr>
        <w:t xml:space="preserve">承包人在保修期内，按照有关法律、法规、规章的管理规定和双方约定，承担本工程保修责任。 </w:t>
      </w:r>
    </w:p>
    <w:p>
      <w:pPr>
        <w:widowControl/>
        <w:autoSpaceDE w:val="0"/>
        <w:autoSpaceDN w:val="0"/>
        <w:spacing w:line="300" w:lineRule="exact"/>
        <w:ind w:firstLine="420" w:firstLineChars="200"/>
        <w:jc w:val="left"/>
        <w:rPr>
          <w:szCs w:val="21"/>
          <w:highlight w:val="none"/>
          <w:u w:val="single"/>
        </w:rPr>
      </w:pPr>
      <w:r>
        <w:rPr>
          <w:rFonts w:hint="eastAsia" w:ascii="宋体" w:hAnsi="宋体" w:cs="宋体"/>
          <w:kern w:val="0"/>
          <w:szCs w:val="21"/>
          <w:highlight w:val="none"/>
        </w:rPr>
        <w:t xml:space="preserve">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rFonts w:hint="eastAsia" w:ascii="宋体" w:hAnsi="宋体" w:cs="宋体"/>
          <w:kern w:val="0"/>
          <w:szCs w:val="21"/>
          <w:highlight w:val="none"/>
          <w:u w:val="single"/>
        </w:rPr>
        <w:t xml:space="preserve">          </w:t>
      </w:r>
      <w:r>
        <w:rPr>
          <w:rFonts w:hint="eastAsia"/>
          <w:szCs w:val="21"/>
          <w:highlight w:val="none"/>
        </w:rPr>
        <w:t>。</w:t>
      </w:r>
    </w:p>
    <w:p>
      <w:pPr>
        <w:widowControl/>
        <w:autoSpaceDE w:val="0"/>
        <w:autoSpaceDN w:val="0"/>
        <w:spacing w:line="300" w:lineRule="exact"/>
        <w:jc w:val="left"/>
        <w:outlineLvl w:val="1"/>
        <w:rPr>
          <w:szCs w:val="21"/>
          <w:highlight w:val="none"/>
        </w:rPr>
      </w:pPr>
      <w:bookmarkStart w:id="1231" w:name="_Toc13513"/>
      <w:bookmarkStart w:id="1232" w:name="_Toc22944"/>
      <w:bookmarkStart w:id="1233" w:name="_Toc15228"/>
      <w:r>
        <w:rPr>
          <w:rFonts w:hint="eastAsia" w:ascii="宋体" w:hAnsi="宋体" w:cs="宋体"/>
          <w:b/>
          <w:kern w:val="0"/>
          <w:szCs w:val="21"/>
          <w:highlight w:val="none"/>
        </w:rPr>
        <w:t>二、保修期</w:t>
      </w:r>
      <w:bookmarkEnd w:id="1231"/>
      <w:bookmarkEnd w:id="1232"/>
      <w:bookmarkEnd w:id="1233"/>
    </w:p>
    <w:p>
      <w:pPr>
        <w:widowControl/>
        <w:autoSpaceDE w:val="0"/>
        <w:autoSpaceDN w:val="0"/>
        <w:spacing w:line="3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双方根据《建设工程质量管理条例》及有关规定，约定本工程的保修期如下： </w:t>
      </w:r>
    </w:p>
    <w:p>
      <w:pPr>
        <w:widowControl/>
        <w:autoSpaceDE w:val="0"/>
        <w:autoSpaceDN w:val="0"/>
        <w:spacing w:line="300" w:lineRule="exact"/>
        <w:jc w:val="left"/>
        <w:rPr>
          <w:szCs w:val="21"/>
          <w:highlight w:val="none"/>
        </w:rPr>
      </w:pPr>
      <w:r>
        <w:rPr>
          <w:rFonts w:hint="eastAsia" w:ascii="宋体" w:hAnsi="宋体" w:cs="宋体"/>
          <w:kern w:val="0"/>
          <w:szCs w:val="21"/>
          <w:highlight w:val="none"/>
        </w:rPr>
        <w:t xml:space="preserve">1、地基基础工程和主体结构工程为设计文件规定的该工程合理使用年限； </w:t>
      </w:r>
    </w:p>
    <w:p>
      <w:pPr>
        <w:widowControl/>
        <w:autoSpaceDE w:val="0"/>
        <w:autoSpaceDN w:val="0"/>
        <w:spacing w:line="300" w:lineRule="exact"/>
        <w:jc w:val="left"/>
        <w:rPr>
          <w:szCs w:val="21"/>
          <w:highlight w:val="none"/>
        </w:rPr>
      </w:pPr>
      <w:r>
        <w:rPr>
          <w:rFonts w:hint="eastAsia" w:ascii="宋体" w:hAnsi="宋体" w:cs="宋体"/>
          <w:kern w:val="0"/>
          <w:szCs w:val="21"/>
          <w:highlight w:val="none"/>
        </w:rPr>
        <w:t>2、屋面防水工程、有防水要求的卫生间、房间和外墙面的防渗漏为</w:t>
      </w:r>
      <w:r>
        <w:rPr>
          <w:rFonts w:hint="eastAsia" w:ascii="宋体" w:hAnsi="宋体" w:cs="宋体"/>
          <w:kern w:val="0"/>
          <w:szCs w:val="21"/>
          <w:highlight w:val="none"/>
          <w:u w:val="single"/>
        </w:rPr>
        <w:t xml:space="preserve"> 5 </w:t>
      </w:r>
      <w:r>
        <w:rPr>
          <w:rFonts w:hint="eastAsia" w:ascii="宋体" w:hAnsi="宋体" w:cs="宋体"/>
          <w:kern w:val="0"/>
          <w:szCs w:val="21"/>
          <w:highlight w:val="none"/>
        </w:rPr>
        <w:t xml:space="preserve">年； </w:t>
      </w:r>
    </w:p>
    <w:p>
      <w:pPr>
        <w:widowControl/>
        <w:autoSpaceDE w:val="0"/>
        <w:autoSpaceDN w:val="0"/>
        <w:spacing w:line="300" w:lineRule="exact"/>
        <w:jc w:val="left"/>
        <w:rPr>
          <w:szCs w:val="21"/>
          <w:highlight w:val="none"/>
        </w:rPr>
      </w:pPr>
      <w:r>
        <w:rPr>
          <w:rFonts w:hint="eastAsia" w:ascii="宋体" w:hAnsi="宋体" w:cs="宋体"/>
          <w:kern w:val="0"/>
          <w:szCs w:val="21"/>
          <w:highlight w:val="none"/>
        </w:rPr>
        <w:t>3、装修工程为</w:t>
      </w:r>
      <w:r>
        <w:rPr>
          <w:rFonts w:hint="eastAsia" w:ascii="宋体" w:hAnsi="宋体" w:cs="宋体"/>
          <w:kern w:val="0"/>
          <w:szCs w:val="21"/>
          <w:highlight w:val="none"/>
          <w:u w:val="single"/>
        </w:rPr>
        <w:t xml:space="preserve"> 2 </w:t>
      </w:r>
      <w:r>
        <w:rPr>
          <w:rFonts w:hint="eastAsia" w:ascii="宋体" w:hAnsi="宋体" w:cs="宋体"/>
          <w:kern w:val="0"/>
          <w:szCs w:val="21"/>
          <w:highlight w:val="none"/>
        </w:rPr>
        <w:t xml:space="preserve">年； </w:t>
      </w:r>
    </w:p>
    <w:p>
      <w:pPr>
        <w:widowControl/>
        <w:autoSpaceDE w:val="0"/>
        <w:autoSpaceDN w:val="0"/>
        <w:spacing w:line="300" w:lineRule="exact"/>
        <w:jc w:val="left"/>
        <w:rPr>
          <w:szCs w:val="21"/>
          <w:highlight w:val="none"/>
        </w:rPr>
      </w:pPr>
      <w:r>
        <w:rPr>
          <w:rFonts w:hint="eastAsia" w:ascii="宋体" w:hAnsi="宋体" w:cs="宋体"/>
          <w:kern w:val="0"/>
          <w:szCs w:val="21"/>
          <w:highlight w:val="none"/>
        </w:rPr>
        <w:t>4、电气管线、给排水管道、设备安装工程为</w:t>
      </w:r>
      <w:r>
        <w:rPr>
          <w:rFonts w:hint="eastAsia" w:ascii="宋体" w:hAnsi="宋体" w:cs="宋体"/>
          <w:kern w:val="0"/>
          <w:szCs w:val="21"/>
          <w:highlight w:val="none"/>
          <w:u w:val="single"/>
        </w:rPr>
        <w:t>2</w:t>
      </w:r>
      <w:r>
        <w:rPr>
          <w:rFonts w:hint="eastAsia" w:ascii="宋体" w:hAnsi="宋体" w:cs="宋体"/>
          <w:kern w:val="0"/>
          <w:szCs w:val="21"/>
          <w:highlight w:val="none"/>
        </w:rPr>
        <w:t xml:space="preserve">年； </w:t>
      </w:r>
    </w:p>
    <w:p>
      <w:pPr>
        <w:widowControl/>
        <w:autoSpaceDE w:val="0"/>
        <w:autoSpaceDN w:val="0"/>
        <w:spacing w:line="300" w:lineRule="exact"/>
        <w:jc w:val="left"/>
        <w:rPr>
          <w:szCs w:val="21"/>
          <w:highlight w:val="none"/>
        </w:rPr>
      </w:pPr>
      <w:r>
        <w:rPr>
          <w:rFonts w:hint="eastAsia" w:ascii="宋体" w:hAnsi="宋体" w:cs="宋体"/>
          <w:kern w:val="0"/>
          <w:szCs w:val="21"/>
          <w:highlight w:val="none"/>
        </w:rPr>
        <w:t>5、供热与供冷系统为</w:t>
      </w:r>
      <w:r>
        <w:rPr>
          <w:rFonts w:hint="eastAsia" w:ascii="宋体" w:hAnsi="宋体" w:cs="宋体"/>
          <w:kern w:val="0"/>
          <w:szCs w:val="21"/>
          <w:highlight w:val="none"/>
          <w:u w:val="single"/>
        </w:rPr>
        <w:t>2</w:t>
      </w:r>
      <w:r>
        <w:rPr>
          <w:rFonts w:hint="eastAsia" w:ascii="宋体" w:hAnsi="宋体" w:cs="宋体"/>
          <w:kern w:val="0"/>
          <w:szCs w:val="21"/>
          <w:highlight w:val="none"/>
        </w:rPr>
        <w:t xml:space="preserve">个采暖期、供冷期； </w:t>
      </w:r>
    </w:p>
    <w:p>
      <w:pPr>
        <w:widowControl/>
        <w:autoSpaceDE w:val="0"/>
        <w:autoSpaceDN w:val="0"/>
        <w:spacing w:line="300" w:lineRule="exact"/>
        <w:jc w:val="left"/>
        <w:rPr>
          <w:szCs w:val="21"/>
          <w:highlight w:val="none"/>
        </w:rPr>
      </w:pPr>
      <w:r>
        <w:rPr>
          <w:rFonts w:hint="eastAsia" w:ascii="宋体" w:hAnsi="宋体" w:cs="宋体"/>
          <w:kern w:val="0"/>
          <w:szCs w:val="21"/>
          <w:highlight w:val="none"/>
        </w:rPr>
        <w:t>6、住宅小区内的给排水设施、道路等配套工程为</w:t>
      </w:r>
      <w:r>
        <w:rPr>
          <w:rFonts w:hint="eastAsia" w:ascii="宋体" w:hAnsi="宋体" w:cs="宋体"/>
          <w:kern w:val="0"/>
          <w:szCs w:val="21"/>
          <w:highlight w:val="none"/>
          <w:u w:val="single"/>
        </w:rPr>
        <w:t>2</w:t>
      </w:r>
      <w:r>
        <w:rPr>
          <w:rFonts w:hint="eastAsia" w:ascii="宋体" w:hAnsi="宋体" w:cs="宋体"/>
          <w:kern w:val="0"/>
          <w:szCs w:val="21"/>
          <w:highlight w:val="none"/>
        </w:rPr>
        <w:t xml:space="preserve">年； </w:t>
      </w:r>
    </w:p>
    <w:p>
      <w:pPr>
        <w:widowControl/>
        <w:autoSpaceDE w:val="0"/>
        <w:autoSpaceDN w:val="0"/>
        <w:spacing w:line="300" w:lineRule="exact"/>
        <w:jc w:val="left"/>
        <w:rPr>
          <w:szCs w:val="21"/>
          <w:highlight w:val="none"/>
        </w:rPr>
      </w:pPr>
      <w:r>
        <w:rPr>
          <w:rFonts w:hint="eastAsia" w:ascii="宋体" w:hAnsi="宋体" w:cs="宋体"/>
          <w:kern w:val="0"/>
          <w:szCs w:val="21"/>
          <w:highlight w:val="none"/>
        </w:rPr>
        <w:t>7、其他项目保修期限约定如下：</w:t>
      </w:r>
      <w:r>
        <w:rPr>
          <w:rFonts w:hint="eastAsia" w:ascii="宋体" w:hAnsi="宋体" w:cs="宋体"/>
          <w:kern w:val="0"/>
          <w:szCs w:val="21"/>
          <w:highlight w:val="none"/>
          <w:u w:val="single"/>
        </w:rPr>
        <w:t>道路工程（软基、路基、路面）、市政管网工程（给水、雨污水、综合管线）、交通工程、照明工程为2年，绿化工程为 6 个月</w:t>
      </w:r>
      <w:r>
        <w:rPr>
          <w:rFonts w:hint="eastAsia" w:ascii="宋体" w:hAnsi="宋体" w:cs="宋体"/>
          <w:kern w:val="0"/>
          <w:szCs w:val="21"/>
          <w:highlight w:val="none"/>
        </w:rPr>
        <w:t xml:space="preserve">。 </w:t>
      </w:r>
    </w:p>
    <w:p>
      <w:pPr>
        <w:widowControl/>
        <w:autoSpaceDE w:val="0"/>
        <w:autoSpaceDN w:val="0"/>
        <w:spacing w:line="300" w:lineRule="exact"/>
        <w:jc w:val="left"/>
        <w:outlineLvl w:val="1"/>
        <w:rPr>
          <w:szCs w:val="21"/>
          <w:highlight w:val="none"/>
        </w:rPr>
      </w:pPr>
      <w:bookmarkStart w:id="1234" w:name="_Toc5729"/>
      <w:bookmarkStart w:id="1235" w:name="_Toc32729"/>
      <w:bookmarkStart w:id="1236" w:name="_Toc17404"/>
      <w:r>
        <w:rPr>
          <w:rFonts w:hint="eastAsia" w:ascii="宋体" w:hAnsi="宋体" w:cs="宋体"/>
          <w:b/>
          <w:kern w:val="0"/>
          <w:szCs w:val="21"/>
          <w:highlight w:val="none"/>
        </w:rPr>
        <w:t>三、缺陷责任期</w:t>
      </w:r>
      <w:bookmarkEnd w:id="1234"/>
      <w:bookmarkEnd w:id="1235"/>
      <w:bookmarkEnd w:id="1236"/>
    </w:p>
    <w:p>
      <w:pPr>
        <w:widowControl/>
        <w:autoSpaceDE w:val="0"/>
        <w:autoSpaceDN w:val="0"/>
        <w:spacing w:line="3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工程缺陷责任期为 24 个月，缺陷责任期自工程实际竣工之日起计算。单位工程先于全部工程进行验收，单位工程缺陷责任期自单位工程验收合格之日起算。 </w:t>
      </w:r>
    </w:p>
    <w:p>
      <w:pPr>
        <w:widowControl/>
        <w:autoSpaceDE w:val="0"/>
        <w:autoSpaceDN w:val="0"/>
        <w:spacing w:line="3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缺陷责任期终止后，发包人应退还：□剩余的质量保证金；□质量保证保险单。 </w:t>
      </w:r>
    </w:p>
    <w:p>
      <w:pPr>
        <w:widowControl/>
        <w:autoSpaceDE w:val="0"/>
        <w:autoSpaceDN w:val="0"/>
        <w:spacing w:line="300" w:lineRule="exact"/>
        <w:jc w:val="left"/>
        <w:outlineLvl w:val="1"/>
        <w:rPr>
          <w:szCs w:val="21"/>
          <w:highlight w:val="none"/>
        </w:rPr>
      </w:pPr>
      <w:bookmarkStart w:id="1237" w:name="_Toc23458"/>
      <w:bookmarkStart w:id="1238" w:name="_Toc14795"/>
      <w:bookmarkStart w:id="1239" w:name="_Toc28396"/>
      <w:r>
        <w:rPr>
          <w:rFonts w:hint="eastAsia" w:ascii="宋体" w:hAnsi="宋体" w:cs="宋体"/>
          <w:b/>
          <w:kern w:val="0"/>
          <w:szCs w:val="21"/>
          <w:highlight w:val="none"/>
        </w:rPr>
        <w:t>四、保修责任</w:t>
      </w:r>
      <w:bookmarkEnd w:id="1237"/>
      <w:bookmarkEnd w:id="1238"/>
      <w:bookmarkEnd w:id="1239"/>
    </w:p>
    <w:p>
      <w:pPr>
        <w:widowControl/>
        <w:autoSpaceDE w:val="0"/>
        <w:autoSpaceDN w:val="0"/>
        <w:spacing w:line="3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1、属于责任范围、内容的项目，承包人应当在接到保修通知之日起 7 天内派人保修。承包人不在约定期限内派人保修的，发包人可以委托他人修理，维修所需费用在工程保修金中扣减。 </w:t>
      </w:r>
    </w:p>
    <w:p>
      <w:pPr>
        <w:widowControl/>
        <w:autoSpaceDE w:val="0"/>
        <w:autoSpaceDN w:val="0"/>
        <w:spacing w:line="3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2、发生紧急抢修事故的，承包人在接到事故通知后，应当立即到达事故现场抢修。 </w:t>
      </w:r>
    </w:p>
    <w:p>
      <w:pPr>
        <w:widowControl/>
        <w:autoSpaceDE w:val="0"/>
        <w:autoSpaceDN w:val="0"/>
        <w:spacing w:line="3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对于涉及结构安全的质量问题，应当按照《房屋建筑工程质量保修办法》的规定，立即向当地建设行政主管部门报告，采取安全防范措施；由原设计人或者具有相应资质等级的设计人提出保修方案，承包人实施保修。 </w:t>
      </w:r>
    </w:p>
    <w:p>
      <w:pPr>
        <w:widowControl/>
        <w:autoSpaceDE w:val="0"/>
        <w:autoSpaceDN w:val="0"/>
        <w:spacing w:line="300" w:lineRule="exact"/>
        <w:ind w:firstLine="420" w:firstLineChars="200"/>
        <w:jc w:val="left"/>
        <w:outlineLvl w:val="2"/>
        <w:rPr>
          <w:rFonts w:ascii="宋体" w:hAnsi="宋体" w:cs="宋体"/>
          <w:kern w:val="0"/>
          <w:szCs w:val="21"/>
          <w:highlight w:val="none"/>
        </w:rPr>
      </w:pPr>
      <w:bookmarkStart w:id="1240" w:name="_Toc2885"/>
      <w:bookmarkStart w:id="1241" w:name="_Toc17205"/>
      <w:bookmarkStart w:id="1242" w:name="_Toc28242"/>
      <w:r>
        <w:rPr>
          <w:rFonts w:hint="eastAsia" w:ascii="宋体" w:hAnsi="宋体" w:cs="宋体"/>
          <w:kern w:val="0"/>
          <w:szCs w:val="21"/>
          <w:highlight w:val="none"/>
        </w:rPr>
        <w:t>4、质量保修完成后，由发包人组织验收</w:t>
      </w:r>
      <w:bookmarkEnd w:id="1240"/>
      <w:r>
        <w:rPr>
          <w:rFonts w:hint="eastAsia" w:ascii="宋体" w:hAnsi="宋体" w:cs="宋体"/>
          <w:kern w:val="0"/>
          <w:szCs w:val="21"/>
          <w:highlight w:val="none"/>
        </w:rPr>
        <w:t>。</w:t>
      </w:r>
      <w:bookmarkEnd w:id="1241"/>
      <w:bookmarkEnd w:id="1242"/>
    </w:p>
    <w:p>
      <w:pPr>
        <w:widowControl/>
        <w:autoSpaceDE w:val="0"/>
        <w:autoSpaceDN w:val="0"/>
        <w:spacing w:line="300" w:lineRule="exact"/>
        <w:jc w:val="left"/>
        <w:outlineLvl w:val="1"/>
        <w:rPr>
          <w:szCs w:val="21"/>
          <w:highlight w:val="none"/>
        </w:rPr>
      </w:pPr>
      <w:bookmarkStart w:id="1243" w:name="_Toc15006"/>
      <w:bookmarkStart w:id="1244" w:name="_Toc27392"/>
      <w:bookmarkStart w:id="1245" w:name="_Toc12571"/>
      <w:r>
        <w:rPr>
          <w:rFonts w:hint="eastAsia" w:ascii="宋体" w:hAnsi="宋体" w:cs="宋体"/>
          <w:b/>
          <w:kern w:val="0"/>
          <w:szCs w:val="21"/>
          <w:highlight w:val="none"/>
        </w:rPr>
        <w:t>五、保修费用</w:t>
      </w:r>
      <w:bookmarkEnd w:id="1243"/>
      <w:bookmarkEnd w:id="1244"/>
      <w:bookmarkEnd w:id="1245"/>
    </w:p>
    <w:p>
      <w:pPr>
        <w:widowControl/>
        <w:autoSpaceDE w:val="0"/>
        <w:autoSpaceDN w:val="0"/>
        <w:spacing w:line="3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保修费用由造成质量缺陷的责任方承担。 </w:t>
      </w:r>
    </w:p>
    <w:p>
      <w:pPr>
        <w:widowControl/>
        <w:autoSpaceDE w:val="0"/>
        <w:autoSpaceDN w:val="0"/>
        <w:spacing w:line="300" w:lineRule="exact"/>
        <w:jc w:val="left"/>
        <w:outlineLvl w:val="1"/>
        <w:rPr>
          <w:szCs w:val="21"/>
          <w:highlight w:val="none"/>
        </w:rPr>
      </w:pPr>
      <w:bookmarkStart w:id="1246" w:name="_Toc23002"/>
      <w:bookmarkStart w:id="1247" w:name="_Toc31864"/>
      <w:bookmarkStart w:id="1248" w:name="_Toc29013"/>
      <w:r>
        <w:rPr>
          <w:rFonts w:hint="eastAsia" w:ascii="宋体" w:hAnsi="宋体" w:cs="宋体"/>
          <w:b/>
          <w:kern w:val="0"/>
          <w:szCs w:val="21"/>
          <w:highlight w:val="none"/>
        </w:rPr>
        <w:t>六、其他</w:t>
      </w:r>
      <w:bookmarkEnd w:id="1246"/>
      <w:bookmarkEnd w:id="1247"/>
      <w:bookmarkEnd w:id="1248"/>
    </w:p>
    <w:p>
      <w:pPr>
        <w:widowControl/>
        <w:autoSpaceDE w:val="0"/>
        <w:autoSpaceDN w:val="0"/>
        <w:spacing w:line="300" w:lineRule="exact"/>
        <w:ind w:firstLine="420" w:firstLineChars="200"/>
        <w:jc w:val="left"/>
        <w:rPr>
          <w:szCs w:val="21"/>
          <w:highlight w:val="none"/>
          <w:u w:val="single"/>
        </w:rPr>
      </w:pPr>
      <w:r>
        <w:rPr>
          <w:rFonts w:hint="eastAsia" w:ascii="宋体" w:hAnsi="宋体" w:cs="宋体"/>
          <w:kern w:val="0"/>
          <w:szCs w:val="21"/>
          <w:highlight w:val="none"/>
        </w:rPr>
        <w:t xml:space="preserve">双方约定的其他工程保修责任事项： </w:t>
      </w:r>
      <w:r>
        <w:rPr>
          <w:rFonts w:hint="eastAsia"/>
          <w:szCs w:val="21"/>
          <w:highlight w:val="none"/>
        </w:rPr>
        <w:t>。</w:t>
      </w:r>
    </w:p>
    <w:p>
      <w:pPr>
        <w:widowControl/>
        <w:autoSpaceDE w:val="0"/>
        <w:autoSpaceDN w:val="0"/>
        <w:spacing w:line="3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本工程保修书，由施工合同发包人、承包人双方在竣工验收前共同签署，作为施工合同附件，其有效期限至保修期满。 </w:t>
      </w:r>
    </w:p>
    <w:p>
      <w:pPr>
        <w:widowControl/>
        <w:jc w:val="left"/>
        <w:rPr>
          <w:rFonts w:ascii="宋体" w:hAnsi="宋体" w:cs="宋体"/>
          <w:kern w:val="0"/>
          <w:szCs w:val="21"/>
          <w:highlight w:val="none"/>
        </w:rPr>
      </w:pPr>
    </w:p>
    <w:p>
      <w:pPr>
        <w:widowControl/>
        <w:jc w:val="left"/>
        <w:rPr>
          <w:rFonts w:ascii="宋体" w:hAnsi="宋体" w:cs="宋体"/>
          <w:kern w:val="0"/>
          <w:szCs w:val="21"/>
          <w:highlight w:val="none"/>
        </w:rPr>
      </w:pPr>
    </w:p>
    <w:p>
      <w:pPr>
        <w:widowControl/>
        <w:jc w:val="left"/>
        <w:rPr>
          <w:szCs w:val="21"/>
          <w:highlight w:val="none"/>
        </w:rPr>
      </w:pPr>
      <w:r>
        <w:rPr>
          <w:rFonts w:hint="eastAsia" w:ascii="宋体" w:hAnsi="宋体" w:cs="宋体"/>
          <w:kern w:val="0"/>
          <w:szCs w:val="21"/>
          <w:highlight w:val="none"/>
        </w:rPr>
        <w:t xml:space="preserve">发 包 人（公章）：                                承 包 人（公章）： </w:t>
      </w:r>
    </w:p>
    <w:p>
      <w:pPr>
        <w:widowControl/>
        <w:jc w:val="left"/>
        <w:rPr>
          <w:szCs w:val="21"/>
          <w:highlight w:val="none"/>
        </w:rPr>
      </w:pPr>
      <w:r>
        <w:rPr>
          <w:rFonts w:hint="eastAsia" w:ascii="宋体" w:hAnsi="宋体" w:cs="宋体"/>
          <w:kern w:val="0"/>
          <w:szCs w:val="21"/>
          <w:highlight w:val="none"/>
        </w:rPr>
        <w:t>法定代表人（签字）：                              法定代表人（签字）：</w:t>
      </w:r>
    </w:p>
    <w:p>
      <w:pPr>
        <w:rPr>
          <w:rFonts w:ascii="宋体" w:hAnsi="宋体" w:cs="宋体"/>
          <w:sz w:val="24"/>
          <w:highlight w:val="none"/>
        </w:rPr>
        <w:sectPr>
          <w:pgSz w:w="11910" w:h="16840"/>
          <w:pgMar w:top="1360" w:right="1134" w:bottom="1120" w:left="1134" w:header="0" w:footer="919" w:gutter="0"/>
          <w:cols w:space="0" w:num="1"/>
        </w:sectPr>
      </w:pPr>
      <w:r>
        <w:rPr>
          <w:rFonts w:hint="eastAsia" w:ascii="宋体" w:hAnsi="宋体" w:cs="宋体"/>
          <w:kern w:val="0"/>
          <w:szCs w:val="21"/>
          <w:highlight w:val="none"/>
        </w:rPr>
        <w:t xml:space="preserve">年 月 日                                           年 月 日 </w:t>
      </w:r>
    </w:p>
    <w:p>
      <w:pPr>
        <w:pStyle w:val="8"/>
        <w:spacing w:before="40"/>
        <w:ind w:left="58"/>
        <w:jc w:val="center"/>
        <w:rPr>
          <w:rFonts w:ascii="宋体" w:hAnsi="宋体" w:eastAsia="宋体" w:cs="宋体"/>
          <w:sz w:val="24"/>
          <w:szCs w:val="24"/>
          <w:highlight w:val="none"/>
        </w:rPr>
      </w:pPr>
      <w:bookmarkStart w:id="1249" w:name="附件4_主要建设工程文件目录"/>
      <w:bookmarkEnd w:id="1249"/>
      <w:r>
        <w:rPr>
          <w:rFonts w:hint="eastAsia" w:ascii="宋体" w:hAnsi="宋体" w:eastAsia="宋体" w:cs="宋体"/>
          <w:sz w:val="24"/>
          <w:szCs w:val="24"/>
          <w:highlight w:val="none"/>
        </w:rPr>
        <w:t>附件 4 主要建设工程文件目录</w:t>
      </w:r>
    </w:p>
    <w:p>
      <w:pPr>
        <w:pStyle w:val="11"/>
        <w:spacing w:before="3"/>
        <w:rPr>
          <w:rFonts w:ascii="宋体" w:hAnsi="宋体" w:cs="宋体"/>
          <w:b/>
          <w:sz w:val="24"/>
          <w:highlight w:val="none"/>
        </w:rPr>
      </w:pPr>
    </w:p>
    <w:tbl>
      <w:tblPr>
        <w:tblStyle w:val="16"/>
        <w:tblW w:w="0" w:type="auto"/>
        <w:tblInd w:w="6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25"/>
        <w:gridCol w:w="1276"/>
        <w:gridCol w:w="1450"/>
        <w:gridCol w:w="1243"/>
        <w:gridCol w:w="1450"/>
        <w:gridCol w:w="16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trPr>
        <w:tc>
          <w:tcPr>
            <w:tcW w:w="2125" w:type="dxa"/>
            <w:tcBorders>
              <w:bottom w:val="double" w:color="000000" w:sz="2" w:space="0"/>
              <w:right w:val="single" w:color="000000" w:sz="6" w:space="0"/>
            </w:tcBorders>
          </w:tcPr>
          <w:p>
            <w:pPr>
              <w:pStyle w:val="21"/>
              <w:spacing w:before="1"/>
              <w:ind w:left="640"/>
              <w:rPr>
                <w:rFonts w:ascii="宋体" w:hAnsi="宋体" w:cs="宋体"/>
                <w:highlight w:val="none"/>
              </w:rPr>
            </w:pPr>
            <w:r>
              <w:rPr>
                <w:rFonts w:hint="eastAsia" w:ascii="宋体" w:hAnsi="宋体" w:cs="宋体"/>
                <w:highlight w:val="none"/>
              </w:rPr>
              <w:t>文件名称</w:t>
            </w:r>
          </w:p>
        </w:tc>
        <w:tc>
          <w:tcPr>
            <w:tcW w:w="1276" w:type="dxa"/>
            <w:tcBorders>
              <w:left w:val="single" w:color="000000" w:sz="6" w:space="0"/>
              <w:bottom w:val="double" w:color="000000" w:sz="2" w:space="0"/>
              <w:right w:val="single" w:color="000000" w:sz="6" w:space="0"/>
            </w:tcBorders>
          </w:tcPr>
          <w:p>
            <w:pPr>
              <w:pStyle w:val="21"/>
              <w:spacing w:before="1"/>
              <w:ind w:left="435"/>
              <w:rPr>
                <w:rFonts w:ascii="宋体" w:hAnsi="宋体" w:cs="宋体"/>
                <w:highlight w:val="none"/>
              </w:rPr>
            </w:pPr>
            <w:r>
              <w:rPr>
                <w:rFonts w:hint="eastAsia" w:ascii="宋体" w:hAnsi="宋体" w:cs="宋体"/>
                <w:highlight w:val="none"/>
              </w:rPr>
              <w:t>套数</w:t>
            </w:r>
          </w:p>
        </w:tc>
        <w:tc>
          <w:tcPr>
            <w:tcW w:w="1450" w:type="dxa"/>
            <w:tcBorders>
              <w:left w:val="single" w:color="000000" w:sz="6" w:space="0"/>
              <w:bottom w:val="double" w:color="000000" w:sz="2" w:space="0"/>
              <w:right w:val="single" w:color="000000" w:sz="6" w:space="0"/>
            </w:tcBorders>
          </w:tcPr>
          <w:p>
            <w:pPr>
              <w:pStyle w:val="21"/>
              <w:spacing w:before="1"/>
              <w:ind w:left="206"/>
              <w:rPr>
                <w:rFonts w:ascii="宋体" w:hAnsi="宋体" w:cs="宋体"/>
                <w:highlight w:val="none"/>
              </w:rPr>
            </w:pPr>
            <w:r>
              <w:rPr>
                <w:rFonts w:hint="eastAsia" w:ascii="宋体" w:hAnsi="宋体" w:cs="宋体"/>
                <w:highlight w:val="none"/>
              </w:rPr>
              <w:t>费用（元）</w:t>
            </w:r>
          </w:p>
        </w:tc>
        <w:tc>
          <w:tcPr>
            <w:tcW w:w="1243" w:type="dxa"/>
            <w:tcBorders>
              <w:left w:val="single" w:color="000000" w:sz="6" w:space="0"/>
              <w:bottom w:val="double" w:color="000000" w:sz="2" w:space="0"/>
              <w:right w:val="single" w:color="000000" w:sz="6" w:space="0"/>
            </w:tcBorders>
          </w:tcPr>
          <w:p>
            <w:pPr>
              <w:pStyle w:val="21"/>
              <w:spacing w:before="1"/>
              <w:ind w:left="417"/>
              <w:rPr>
                <w:rFonts w:ascii="宋体" w:hAnsi="宋体" w:cs="宋体"/>
                <w:highlight w:val="none"/>
              </w:rPr>
            </w:pPr>
            <w:r>
              <w:rPr>
                <w:rFonts w:hint="eastAsia" w:ascii="宋体" w:hAnsi="宋体" w:cs="宋体"/>
                <w:highlight w:val="none"/>
              </w:rPr>
              <w:t>质量</w:t>
            </w:r>
          </w:p>
        </w:tc>
        <w:tc>
          <w:tcPr>
            <w:tcW w:w="1450" w:type="dxa"/>
            <w:tcBorders>
              <w:left w:val="single" w:color="000000" w:sz="6" w:space="0"/>
              <w:bottom w:val="double" w:color="000000" w:sz="2" w:space="0"/>
              <w:right w:val="single" w:color="000000" w:sz="6" w:space="0"/>
            </w:tcBorders>
          </w:tcPr>
          <w:p>
            <w:pPr>
              <w:pStyle w:val="21"/>
              <w:spacing w:before="1"/>
              <w:ind w:left="311"/>
              <w:rPr>
                <w:rFonts w:ascii="宋体" w:hAnsi="宋体" w:cs="宋体"/>
                <w:highlight w:val="none"/>
              </w:rPr>
            </w:pPr>
            <w:r>
              <w:rPr>
                <w:rFonts w:hint="eastAsia" w:ascii="宋体" w:hAnsi="宋体" w:cs="宋体"/>
                <w:highlight w:val="none"/>
              </w:rPr>
              <w:t>移交时间</w:t>
            </w:r>
          </w:p>
        </w:tc>
        <w:tc>
          <w:tcPr>
            <w:tcW w:w="1670" w:type="dxa"/>
            <w:tcBorders>
              <w:left w:val="single" w:color="000000" w:sz="6" w:space="0"/>
              <w:bottom w:val="double" w:color="000000" w:sz="2" w:space="0"/>
            </w:tcBorders>
          </w:tcPr>
          <w:p>
            <w:pPr>
              <w:pStyle w:val="21"/>
              <w:spacing w:before="1"/>
              <w:ind w:left="527"/>
              <w:rPr>
                <w:rFonts w:ascii="宋体" w:hAnsi="宋体" w:cs="宋体"/>
                <w:highlight w:val="none"/>
              </w:rPr>
            </w:pPr>
            <w:r>
              <w:rPr>
                <w:rFonts w:hint="eastAsia" w:ascii="宋体" w:hAnsi="宋体" w:cs="宋体"/>
                <w:highlight w:val="none"/>
              </w:rPr>
              <w:t>责任人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double" w:color="000000" w:sz="2" w:space="0"/>
              <w:bottom w:val="single" w:color="000000" w:sz="6" w:space="0"/>
              <w:right w:val="single" w:color="000000" w:sz="6" w:space="0"/>
            </w:tcBorders>
          </w:tcPr>
          <w:p>
            <w:pPr>
              <w:pStyle w:val="21"/>
              <w:rPr>
                <w:rFonts w:ascii="宋体" w:hAnsi="宋体" w:cs="宋体"/>
                <w:highlight w:val="none"/>
              </w:rPr>
            </w:pPr>
          </w:p>
        </w:tc>
        <w:tc>
          <w:tcPr>
            <w:tcW w:w="1276"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double" w:color="000000" w:sz="2"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double" w:color="000000" w:sz="2"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5" w:type="dxa"/>
            <w:tcBorders>
              <w:top w:val="single" w:color="000000" w:sz="6" w:space="0"/>
              <w:bottom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5" w:type="dxa"/>
            <w:tcBorders>
              <w:top w:val="single" w:color="000000" w:sz="6" w:space="0"/>
              <w:right w:val="single" w:color="000000" w:sz="6" w:space="0"/>
            </w:tcBorders>
          </w:tcPr>
          <w:p>
            <w:pPr>
              <w:pStyle w:val="21"/>
              <w:rPr>
                <w:rFonts w:ascii="宋体" w:hAnsi="宋体" w:cs="宋体"/>
                <w:highlight w:val="none"/>
              </w:rPr>
            </w:pPr>
          </w:p>
        </w:tc>
        <w:tc>
          <w:tcPr>
            <w:tcW w:w="1276"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1243"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1450"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1670" w:type="dxa"/>
            <w:tcBorders>
              <w:top w:val="single" w:color="000000" w:sz="6" w:space="0"/>
              <w:left w:val="single" w:color="000000" w:sz="6" w:space="0"/>
            </w:tcBorders>
          </w:tcPr>
          <w:p>
            <w:pPr>
              <w:pStyle w:val="21"/>
              <w:rPr>
                <w:rFonts w:ascii="宋体" w:hAnsi="宋体" w:cs="宋体"/>
                <w:highlight w:val="none"/>
              </w:rPr>
            </w:pPr>
          </w:p>
        </w:tc>
      </w:tr>
    </w:tbl>
    <w:p>
      <w:pPr>
        <w:rPr>
          <w:rFonts w:ascii="宋体" w:hAnsi="宋体" w:cs="宋体"/>
          <w:sz w:val="24"/>
          <w:highlight w:val="none"/>
        </w:rPr>
        <w:sectPr>
          <w:pgSz w:w="11910" w:h="16840"/>
          <w:pgMar w:top="1360" w:right="1134" w:bottom="1120" w:left="1134" w:header="0" w:footer="919" w:gutter="0"/>
          <w:cols w:space="0" w:num="1"/>
        </w:sectPr>
      </w:pPr>
    </w:p>
    <w:p>
      <w:pPr>
        <w:pStyle w:val="8"/>
        <w:spacing w:before="40"/>
        <w:ind w:left="58"/>
        <w:jc w:val="center"/>
        <w:rPr>
          <w:rFonts w:ascii="宋体" w:hAnsi="宋体" w:eastAsia="宋体" w:cs="宋体"/>
          <w:sz w:val="24"/>
          <w:szCs w:val="24"/>
          <w:highlight w:val="none"/>
        </w:rPr>
      </w:pPr>
      <w:bookmarkStart w:id="1250" w:name="附件6_价格指数权重表"/>
      <w:bookmarkEnd w:id="1250"/>
      <w:bookmarkStart w:id="1251" w:name="附件5_承包人主要管理人员表"/>
      <w:bookmarkEnd w:id="1251"/>
      <w:r>
        <w:rPr>
          <w:rFonts w:hint="eastAsia" w:ascii="宋体" w:hAnsi="宋体" w:eastAsia="宋体" w:cs="宋体"/>
          <w:sz w:val="24"/>
          <w:szCs w:val="24"/>
          <w:highlight w:val="none"/>
        </w:rPr>
        <w:t>附件 5 承包人主要管理人员表</w:t>
      </w:r>
    </w:p>
    <w:p>
      <w:pPr>
        <w:pStyle w:val="11"/>
        <w:spacing w:before="3"/>
        <w:rPr>
          <w:rFonts w:ascii="宋体" w:hAnsi="宋体" w:cs="宋体"/>
          <w:b/>
          <w:sz w:val="24"/>
          <w:highlight w:val="none"/>
        </w:rPr>
      </w:pPr>
    </w:p>
    <w:tbl>
      <w:tblPr>
        <w:tblStyle w:val="16"/>
        <w:tblW w:w="0" w:type="auto"/>
        <w:tblInd w:w="4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47"/>
        <w:gridCol w:w="1276"/>
        <w:gridCol w:w="1134"/>
        <w:gridCol w:w="1134"/>
        <w:gridCol w:w="389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trPr>
        <w:tc>
          <w:tcPr>
            <w:tcW w:w="1647" w:type="dxa"/>
            <w:tcBorders>
              <w:bottom w:val="double" w:color="000000" w:sz="2" w:space="0"/>
              <w:right w:val="single" w:color="000000" w:sz="6" w:space="0"/>
            </w:tcBorders>
          </w:tcPr>
          <w:p>
            <w:pPr>
              <w:pStyle w:val="21"/>
              <w:tabs>
                <w:tab w:val="left" w:pos="631"/>
              </w:tabs>
              <w:spacing w:before="1"/>
              <w:ind w:right="194"/>
              <w:jc w:val="right"/>
              <w:rPr>
                <w:rFonts w:ascii="宋体" w:hAnsi="宋体" w:cs="宋体"/>
                <w:highlight w:val="none"/>
              </w:rPr>
            </w:pPr>
            <w:r>
              <w:rPr>
                <w:rFonts w:hint="eastAsia" w:ascii="宋体" w:hAnsi="宋体" w:cs="宋体"/>
                <w:highlight w:val="none"/>
              </w:rPr>
              <w:t>名</w:t>
            </w:r>
            <w:r>
              <w:rPr>
                <w:rFonts w:hint="eastAsia" w:ascii="宋体" w:hAnsi="宋体" w:cs="宋体"/>
                <w:highlight w:val="none"/>
              </w:rPr>
              <w:tab/>
            </w:r>
            <w:r>
              <w:rPr>
                <w:rFonts w:hint="eastAsia" w:ascii="宋体" w:hAnsi="宋体" w:cs="宋体"/>
                <w:w w:val="95"/>
                <w:highlight w:val="none"/>
              </w:rPr>
              <w:t>称</w:t>
            </w:r>
          </w:p>
        </w:tc>
        <w:tc>
          <w:tcPr>
            <w:tcW w:w="1276" w:type="dxa"/>
            <w:tcBorders>
              <w:left w:val="single" w:color="000000" w:sz="6" w:space="0"/>
              <w:bottom w:val="double" w:color="000000" w:sz="2" w:space="0"/>
              <w:right w:val="single" w:color="000000" w:sz="6" w:space="0"/>
            </w:tcBorders>
          </w:tcPr>
          <w:p>
            <w:pPr>
              <w:pStyle w:val="21"/>
              <w:spacing w:before="1"/>
              <w:ind w:left="455"/>
              <w:rPr>
                <w:rFonts w:ascii="宋体" w:hAnsi="宋体" w:cs="宋体"/>
                <w:highlight w:val="none"/>
              </w:rPr>
            </w:pPr>
            <w:r>
              <w:rPr>
                <w:rFonts w:hint="eastAsia" w:ascii="宋体" w:hAnsi="宋体" w:cs="宋体"/>
                <w:highlight w:val="none"/>
              </w:rPr>
              <w:t>姓名</w:t>
            </w:r>
          </w:p>
        </w:tc>
        <w:tc>
          <w:tcPr>
            <w:tcW w:w="1134" w:type="dxa"/>
            <w:tcBorders>
              <w:left w:val="single" w:color="000000" w:sz="6" w:space="0"/>
              <w:bottom w:val="double" w:color="000000" w:sz="2" w:space="0"/>
              <w:right w:val="single" w:color="000000" w:sz="6" w:space="0"/>
            </w:tcBorders>
          </w:tcPr>
          <w:p>
            <w:pPr>
              <w:pStyle w:val="21"/>
              <w:spacing w:before="1"/>
              <w:ind w:left="453"/>
              <w:rPr>
                <w:rFonts w:ascii="宋体" w:hAnsi="宋体" w:cs="宋体"/>
                <w:highlight w:val="none"/>
              </w:rPr>
            </w:pPr>
            <w:r>
              <w:rPr>
                <w:rFonts w:hint="eastAsia" w:ascii="宋体" w:hAnsi="宋体" w:cs="宋体"/>
                <w:highlight w:val="none"/>
              </w:rPr>
              <w:t>职务</w:t>
            </w:r>
          </w:p>
        </w:tc>
        <w:tc>
          <w:tcPr>
            <w:tcW w:w="1134" w:type="dxa"/>
            <w:tcBorders>
              <w:left w:val="single" w:color="000000" w:sz="6" w:space="0"/>
              <w:bottom w:val="double" w:color="000000" w:sz="2" w:space="0"/>
              <w:right w:val="single" w:color="000000" w:sz="6" w:space="0"/>
            </w:tcBorders>
          </w:tcPr>
          <w:p>
            <w:pPr>
              <w:pStyle w:val="21"/>
              <w:spacing w:before="1"/>
              <w:ind w:left="455"/>
              <w:rPr>
                <w:rFonts w:ascii="宋体" w:hAnsi="宋体" w:cs="宋体"/>
                <w:highlight w:val="none"/>
              </w:rPr>
            </w:pPr>
            <w:r>
              <w:rPr>
                <w:rFonts w:hint="eastAsia" w:ascii="宋体" w:hAnsi="宋体" w:cs="宋体"/>
                <w:highlight w:val="none"/>
              </w:rPr>
              <w:t>职称</w:t>
            </w:r>
          </w:p>
        </w:tc>
        <w:tc>
          <w:tcPr>
            <w:tcW w:w="3896" w:type="dxa"/>
            <w:tcBorders>
              <w:left w:val="single" w:color="000000" w:sz="6" w:space="0"/>
              <w:bottom w:val="double" w:color="000000" w:sz="2" w:space="0"/>
            </w:tcBorders>
          </w:tcPr>
          <w:p>
            <w:pPr>
              <w:pStyle w:val="21"/>
              <w:spacing w:before="1"/>
              <w:ind w:left="453"/>
              <w:rPr>
                <w:rFonts w:ascii="宋体" w:hAnsi="宋体" w:cs="宋体"/>
                <w:highlight w:val="none"/>
              </w:rPr>
            </w:pPr>
            <w:r>
              <w:rPr>
                <w:rFonts w:hint="eastAsia" w:ascii="宋体" w:hAnsi="宋体" w:cs="宋体"/>
                <w:highlight w:val="none"/>
              </w:rPr>
              <w:t>主要资历、经验及承担过的项目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9087" w:type="dxa"/>
            <w:gridSpan w:val="5"/>
            <w:tcBorders>
              <w:top w:val="double" w:color="000000" w:sz="2" w:space="0"/>
              <w:bottom w:val="single" w:color="000000" w:sz="6" w:space="0"/>
            </w:tcBorders>
          </w:tcPr>
          <w:p>
            <w:pPr>
              <w:pStyle w:val="21"/>
              <w:spacing w:before="1"/>
              <w:ind w:left="446"/>
              <w:rPr>
                <w:rFonts w:ascii="宋体" w:hAnsi="宋体" w:cs="宋体"/>
                <w:highlight w:val="none"/>
              </w:rPr>
            </w:pPr>
            <w:r>
              <w:rPr>
                <w:rFonts w:hint="eastAsia" w:ascii="宋体" w:hAnsi="宋体" w:cs="宋体"/>
                <w:highlight w:val="none"/>
              </w:rPr>
              <w:t>一、总部人员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1647" w:type="dxa"/>
            <w:tcBorders>
              <w:top w:val="single" w:color="000000" w:sz="6" w:space="0"/>
              <w:bottom w:val="single" w:color="000000" w:sz="6" w:space="0"/>
              <w:right w:val="single" w:color="000000" w:sz="6" w:space="0"/>
            </w:tcBorders>
          </w:tcPr>
          <w:p>
            <w:pPr>
              <w:pStyle w:val="21"/>
              <w:spacing w:before="1"/>
              <w:ind w:left="330"/>
              <w:rPr>
                <w:rFonts w:ascii="宋体" w:hAnsi="宋体" w:cs="宋体"/>
                <w:highlight w:val="none"/>
              </w:rPr>
            </w:pPr>
            <w:r>
              <w:rPr>
                <w:rFonts w:hint="eastAsia" w:ascii="宋体" w:hAnsi="宋体" w:cs="宋体"/>
                <w:highlight w:val="none"/>
              </w:rPr>
              <w:t>项目主管</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1647" w:type="dxa"/>
            <w:vMerge w:val="restart"/>
            <w:tcBorders>
              <w:top w:val="single" w:color="000000" w:sz="6" w:space="0"/>
              <w:bottom w:val="single" w:color="000000" w:sz="6" w:space="0"/>
              <w:right w:val="single" w:color="000000" w:sz="6" w:space="0"/>
            </w:tcBorders>
          </w:tcPr>
          <w:p>
            <w:pPr>
              <w:pStyle w:val="21"/>
              <w:spacing w:before="6"/>
              <w:rPr>
                <w:rFonts w:ascii="宋体" w:hAnsi="宋体" w:cs="宋体"/>
                <w:b/>
                <w:highlight w:val="none"/>
              </w:rPr>
            </w:pPr>
          </w:p>
          <w:p>
            <w:pPr>
              <w:pStyle w:val="21"/>
              <w:ind w:left="330"/>
              <w:rPr>
                <w:rFonts w:ascii="宋体" w:hAnsi="宋体" w:cs="宋体"/>
                <w:highlight w:val="none"/>
              </w:rPr>
            </w:pPr>
            <w:r>
              <w:rPr>
                <w:rFonts w:hint="eastAsia" w:ascii="宋体" w:hAnsi="宋体" w:cs="宋体"/>
                <w:highlight w:val="none"/>
              </w:rPr>
              <w:t>其他人员</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1647" w:type="dxa"/>
            <w:vMerge w:val="continue"/>
            <w:tcBorders>
              <w:top w:val="nil"/>
              <w:bottom w:val="single" w:color="000000" w:sz="6" w:space="0"/>
              <w:right w:val="single" w:color="000000" w:sz="6" w:space="0"/>
            </w:tcBorders>
          </w:tcPr>
          <w:p>
            <w:pPr>
              <w:rPr>
                <w:rFonts w:ascii="宋体" w:hAnsi="宋体" w:cs="宋体"/>
                <w:sz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1647" w:type="dxa"/>
            <w:vMerge w:val="continue"/>
            <w:tcBorders>
              <w:top w:val="nil"/>
              <w:bottom w:val="single" w:color="000000" w:sz="6" w:space="0"/>
              <w:right w:val="single" w:color="000000" w:sz="6" w:space="0"/>
            </w:tcBorders>
          </w:tcPr>
          <w:p>
            <w:pPr>
              <w:rPr>
                <w:rFonts w:ascii="宋体" w:hAnsi="宋体" w:cs="宋体"/>
                <w:sz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trPr>
        <w:tc>
          <w:tcPr>
            <w:tcW w:w="9087" w:type="dxa"/>
            <w:gridSpan w:val="5"/>
            <w:tcBorders>
              <w:top w:val="single" w:color="000000" w:sz="6" w:space="0"/>
              <w:bottom w:val="single" w:color="000000" w:sz="6" w:space="0"/>
            </w:tcBorders>
          </w:tcPr>
          <w:p>
            <w:pPr>
              <w:pStyle w:val="21"/>
              <w:ind w:left="446"/>
              <w:rPr>
                <w:rFonts w:ascii="宋体" w:hAnsi="宋体" w:cs="宋体"/>
                <w:highlight w:val="none"/>
              </w:rPr>
            </w:pPr>
            <w:r>
              <w:rPr>
                <w:rFonts w:hint="eastAsia" w:ascii="宋体" w:hAnsi="宋体" w:cs="宋体"/>
                <w:highlight w:val="none"/>
              </w:rPr>
              <w:t>二、现场人员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5" w:hRule="atLeast"/>
        </w:trPr>
        <w:tc>
          <w:tcPr>
            <w:tcW w:w="1647" w:type="dxa"/>
            <w:tcBorders>
              <w:top w:val="single" w:color="000000" w:sz="6" w:space="0"/>
              <w:bottom w:val="single" w:color="000000" w:sz="6" w:space="0"/>
              <w:right w:val="single" w:color="000000" w:sz="6" w:space="0"/>
            </w:tcBorders>
          </w:tcPr>
          <w:p>
            <w:pPr>
              <w:pStyle w:val="21"/>
              <w:spacing w:before="1"/>
              <w:ind w:left="204" w:right="187"/>
              <w:jc w:val="center"/>
              <w:rPr>
                <w:rFonts w:ascii="宋体" w:hAnsi="宋体" w:cs="宋体"/>
                <w:highlight w:val="none"/>
              </w:rPr>
            </w:pPr>
            <w:r>
              <w:rPr>
                <w:rFonts w:hint="eastAsia" w:ascii="宋体" w:hAnsi="宋体" w:cs="宋体"/>
                <w:highlight w:val="none"/>
              </w:rPr>
              <w:t>工程总承包项目经理</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1647" w:type="dxa"/>
            <w:tcBorders>
              <w:top w:val="single" w:color="000000" w:sz="6" w:space="0"/>
              <w:bottom w:val="single" w:color="000000" w:sz="6" w:space="0"/>
              <w:right w:val="single" w:color="000000" w:sz="6" w:space="0"/>
            </w:tcBorders>
          </w:tcPr>
          <w:p>
            <w:pPr>
              <w:pStyle w:val="21"/>
              <w:spacing w:before="1"/>
              <w:ind w:left="204" w:right="187"/>
              <w:jc w:val="center"/>
              <w:rPr>
                <w:rFonts w:ascii="宋体" w:hAnsi="宋体" w:cs="宋体"/>
                <w:highlight w:val="none"/>
              </w:rPr>
            </w:pPr>
            <w:r>
              <w:rPr>
                <w:rFonts w:hint="eastAsia" w:ascii="宋体" w:hAnsi="宋体" w:cs="宋体"/>
                <w:highlight w:val="none"/>
              </w:rPr>
              <w:t>设计负责人</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1647" w:type="dxa"/>
            <w:tcBorders>
              <w:top w:val="single" w:color="000000" w:sz="6" w:space="0"/>
              <w:bottom w:val="single" w:color="000000" w:sz="6" w:space="0"/>
              <w:right w:val="single" w:color="000000" w:sz="6" w:space="0"/>
            </w:tcBorders>
          </w:tcPr>
          <w:p>
            <w:pPr>
              <w:pStyle w:val="21"/>
              <w:spacing w:before="1"/>
              <w:ind w:left="204" w:right="187"/>
              <w:jc w:val="center"/>
              <w:rPr>
                <w:rFonts w:ascii="宋体" w:hAnsi="宋体" w:cs="宋体"/>
                <w:highlight w:val="none"/>
              </w:rPr>
            </w:pPr>
            <w:r>
              <w:rPr>
                <w:rFonts w:hint="eastAsia" w:ascii="宋体" w:hAnsi="宋体" w:cs="宋体"/>
                <w:highlight w:val="none"/>
              </w:rPr>
              <w:t>采购负责人</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1647" w:type="dxa"/>
            <w:tcBorders>
              <w:top w:val="single" w:color="000000" w:sz="6" w:space="0"/>
              <w:bottom w:val="single" w:color="000000" w:sz="6" w:space="0"/>
              <w:right w:val="single" w:color="000000" w:sz="6" w:space="0"/>
            </w:tcBorders>
          </w:tcPr>
          <w:p>
            <w:pPr>
              <w:pStyle w:val="21"/>
              <w:spacing w:before="1"/>
              <w:ind w:left="204" w:right="187"/>
              <w:jc w:val="center"/>
              <w:rPr>
                <w:rFonts w:ascii="宋体" w:hAnsi="宋体" w:cs="宋体"/>
                <w:highlight w:val="none"/>
              </w:rPr>
            </w:pPr>
            <w:r>
              <w:rPr>
                <w:rFonts w:hint="eastAsia" w:ascii="宋体" w:hAnsi="宋体" w:cs="宋体"/>
                <w:highlight w:val="none"/>
              </w:rPr>
              <w:t>施工负责人</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1647" w:type="dxa"/>
            <w:tcBorders>
              <w:top w:val="single" w:color="000000" w:sz="6" w:space="0"/>
              <w:bottom w:val="single" w:color="000000" w:sz="6" w:space="0"/>
              <w:right w:val="single" w:color="000000" w:sz="6" w:space="0"/>
            </w:tcBorders>
          </w:tcPr>
          <w:p>
            <w:pPr>
              <w:pStyle w:val="21"/>
              <w:spacing w:before="1"/>
              <w:ind w:left="204" w:right="187"/>
              <w:jc w:val="center"/>
              <w:rPr>
                <w:rFonts w:ascii="宋体" w:hAnsi="宋体" w:cs="宋体"/>
                <w:highlight w:val="none"/>
              </w:rPr>
            </w:pPr>
            <w:r>
              <w:rPr>
                <w:rFonts w:hint="eastAsia" w:ascii="宋体" w:hAnsi="宋体" w:cs="宋体"/>
                <w:highlight w:val="none"/>
              </w:rPr>
              <w:t>技术负责人</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1647" w:type="dxa"/>
            <w:tcBorders>
              <w:top w:val="single" w:color="000000" w:sz="6" w:space="0"/>
              <w:bottom w:val="single" w:color="000000" w:sz="6" w:space="0"/>
              <w:right w:val="single" w:color="000000" w:sz="6" w:space="0"/>
            </w:tcBorders>
          </w:tcPr>
          <w:p>
            <w:pPr>
              <w:pStyle w:val="21"/>
              <w:spacing w:before="1"/>
              <w:ind w:left="204" w:right="187"/>
              <w:jc w:val="center"/>
              <w:rPr>
                <w:rFonts w:ascii="宋体" w:hAnsi="宋体" w:cs="宋体"/>
                <w:highlight w:val="none"/>
              </w:rPr>
            </w:pPr>
            <w:r>
              <w:rPr>
                <w:rFonts w:hint="eastAsia" w:ascii="宋体" w:hAnsi="宋体" w:cs="宋体"/>
                <w:highlight w:val="none"/>
              </w:rPr>
              <w:t>造价管理</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trPr>
        <w:tc>
          <w:tcPr>
            <w:tcW w:w="1647" w:type="dxa"/>
            <w:tcBorders>
              <w:top w:val="single" w:color="000000" w:sz="6" w:space="0"/>
              <w:bottom w:val="single" w:color="000000" w:sz="6" w:space="0"/>
              <w:right w:val="single" w:color="000000" w:sz="6" w:space="0"/>
            </w:tcBorders>
          </w:tcPr>
          <w:p>
            <w:pPr>
              <w:pStyle w:val="21"/>
              <w:spacing w:before="1"/>
              <w:ind w:left="204" w:right="187"/>
              <w:jc w:val="center"/>
              <w:rPr>
                <w:rFonts w:ascii="宋体" w:hAnsi="宋体" w:cs="宋体"/>
                <w:highlight w:val="none"/>
              </w:rPr>
            </w:pPr>
            <w:r>
              <w:rPr>
                <w:rFonts w:hint="eastAsia" w:ascii="宋体" w:hAnsi="宋体" w:cs="宋体"/>
                <w:highlight w:val="none"/>
              </w:rPr>
              <w:t>质量管理</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1647" w:type="dxa"/>
            <w:tcBorders>
              <w:top w:val="single" w:color="000000" w:sz="6" w:space="0"/>
              <w:bottom w:val="single" w:color="000000" w:sz="6" w:space="0"/>
              <w:right w:val="single" w:color="000000" w:sz="6" w:space="0"/>
            </w:tcBorders>
          </w:tcPr>
          <w:p>
            <w:pPr>
              <w:pStyle w:val="21"/>
              <w:spacing w:before="1"/>
              <w:ind w:left="204" w:right="187"/>
              <w:jc w:val="center"/>
              <w:rPr>
                <w:rFonts w:ascii="宋体" w:hAnsi="宋体" w:cs="宋体"/>
                <w:highlight w:val="none"/>
              </w:rPr>
            </w:pPr>
            <w:r>
              <w:rPr>
                <w:rFonts w:hint="eastAsia" w:ascii="宋体" w:hAnsi="宋体" w:cs="宋体"/>
                <w:highlight w:val="none"/>
              </w:rPr>
              <w:t>计划管理</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trPr>
        <w:tc>
          <w:tcPr>
            <w:tcW w:w="1647" w:type="dxa"/>
            <w:tcBorders>
              <w:top w:val="single" w:color="000000" w:sz="6" w:space="0"/>
              <w:bottom w:val="single" w:color="000000" w:sz="6" w:space="0"/>
              <w:right w:val="single" w:color="000000" w:sz="6" w:space="0"/>
            </w:tcBorders>
          </w:tcPr>
          <w:p>
            <w:pPr>
              <w:pStyle w:val="21"/>
              <w:spacing w:before="1"/>
              <w:ind w:left="330"/>
              <w:rPr>
                <w:rFonts w:ascii="宋体" w:hAnsi="宋体" w:cs="宋体"/>
                <w:highlight w:val="none"/>
              </w:rPr>
            </w:pPr>
            <w:r>
              <w:rPr>
                <w:rFonts w:hint="eastAsia" w:ascii="宋体" w:hAnsi="宋体" w:cs="宋体"/>
                <w:highlight w:val="none"/>
              </w:rPr>
              <w:t>安全管理</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4" w:hRule="atLeast"/>
        </w:trPr>
        <w:tc>
          <w:tcPr>
            <w:tcW w:w="1647" w:type="dxa"/>
            <w:vMerge w:val="restart"/>
            <w:tcBorders>
              <w:top w:val="single" w:color="000000" w:sz="6" w:space="0"/>
              <w:right w:val="single" w:color="000000" w:sz="6" w:space="0"/>
            </w:tcBorders>
          </w:tcPr>
          <w:p>
            <w:pPr>
              <w:pStyle w:val="21"/>
              <w:rPr>
                <w:rFonts w:ascii="宋体" w:hAnsi="宋体" w:cs="宋体"/>
                <w:b/>
                <w:highlight w:val="none"/>
              </w:rPr>
            </w:pPr>
          </w:p>
          <w:p>
            <w:pPr>
              <w:pStyle w:val="21"/>
              <w:rPr>
                <w:rFonts w:ascii="宋体" w:hAnsi="宋体" w:cs="宋体"/>
                <w:b/>
                <w:highlight w:val="none"/>
              </w:rPr>
            </w:pPr>
          </w:p>
          <w:p>
            <w:pPr>
              <w:pStyle w:val="21"/>
              <w:rPr>
                <w:rFonts w:ascii="宋体" w:hAnsi="宋体" w:cs="宋体"/>
                <w:b/>
                <w:highlight w:val="none"/>
              </w:rPr>
            </w:pPr>
          </w:p>
          <w:p>
            <w:pPr>
              <w:pStyle w:val="21"/>
              <w:spacing w:before="158"/>
              <w:ind w:left="330"/>
              <w:rPr>
                <w:rFonts w:ascii="宋体" w:hAnsi="宋体" w:cs="宋体"/>
                <w:highlight w:val="none"/>
              </w:rPr>
            </w:pPr>
            <w:r>
              <w:rPr>
                <w:rFonts w:hint="eastAsia" w:ascii="宋体" w:hAnsi="宋体" w:cs="宋体"/>
                <w:highlight w:val="none"/>
              </w:rPr>
              <w:t>其他人员</w:t>
            </w: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6" w:hRule="atLeast"/>
        </w:trPr>
        <w:tc>
          <w:tcPr>
            <w:tcW w:w="1647" w:type="dxa"/>
            <w:vMerge w:val="continue"/>
            <w:tcBorders>
              <w:top w:val="nil"/>
              <w:right w:val="single" w:color="000000" w:sz="6" w:space="0"/>
            </w:tcBorders>
          </w:tcPr>
          <w:p>
            <w:pPr>
              <w:rPr>
                <w:rFonts w:ascii="宋体" w:hAnsi="宋体" w:cs="宋体"/>
                <w:sz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6" w:hRule="atLeast"/>
        </w:trPr>
        <w:tc>
          <w:tcPr>
            <w:tcW w:w="1647" w:type="dxa"/>
            <w:vMerge w:val="continue"/>
            <w:tcBorders>
              <w:top w:val="nil"/>
              <w:right w:val="single" w:color="000000" w:sz="6" w:space="0"/>
            </w:tcBorders>
          </w:tcPr>
          <w:p>
            <w:pPr>
              <w:rPr>
                <w:rFonts w:ascii="宋体" w:hAnsi="宋体" w:cs="宋体"/>
                <w:sz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6" w:hRule="atLeast"/>
        </w:trPr>
        <w:tc>
          <w:tcPr>
            <w:tcW w:w="1647" w:type="dxa"/>
            <w:vMerge w:val="continue"/>
            <w:tcBorders>
              <w:top w:val="nil"/>
              <w:right w:val="single" w:color="000000" w:sz="6" w:space="0"/>
            </w:tcBorders>
          </w:tcPr>
          <w:p>
            <w:pPr>
              <w:rPr>
                <w:rFonts w:ascii="宋体" w:hAnsi="宋体" w:cs="宋体"/>
                <w:sz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trPr>
        <w:tc>
          <w:tcPr>
            <w:tcW w:w="1647" w:type="dxa"/>
            <w:vMerge w:val="continue"/>
            <w:tcBorders>
              <w:top w:val="nil"/>
              <w:right w:val="single" w:color="000000" w:sz="6" w:space="0"/>
            </w:tcBorders>
          </w:tcPr>
          <w:p>
            <w:pPr>
              <w:rPr>
                <w:rFonts w:ascii="宋体" w:hAnsi="宋体" w:cs="宋体"/>
                <w:sz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bottom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bottom w:val="single" w:color="000000" w:sz="6" w:space="0"/>
            </w:tcBorders>
          </w:tcPr>
          <w:p>
            <w:pPr>
              <w:pStyle w:val="21"/>
              <w:rPr>
                <w:rFonts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3" w:hRule="atLeast"/>
        </w:trPr>
        <w:tc>
          <w:tcPr>
            <w:tcW w:w="1647" w:type="dxa"/>
            <w:vMerge w:val="continue"/>
            <w:tcBorders>
              <w:top w:val="nil"/>
              <w:right w:val="single" w:color="000000" w:sz="6" w:space="0"/>
            </w:tcBorders>
          </w:tcPr>
          <w:p>
            <w:pPr>
              <w:rPr>
                <w:rFonts w:ascii="宋体" w:hAnsi="宋体" w:cs="宋体"/>
                <w:sz w:val="24"/>
                <w:highlight w:val="none"/>
              </w:rPr>
            </w:pPr>
          </w:p>
        </w:tc>
        <w:tc>
          <w:tcPr>
            <w:tcW w:w="1276"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1134" w:type="dxa"/>
            <w:tcBorders>
              <w:top w:val="single" w:color="000000" w:sz="6" w:space="0"/>
              <w:left w:val="single" w:color="000000" w:sz="6" w:space="0"/>
              <w:right w:val="single" w:color="000000" w:sz="6" w:space="0"/>
            </w:tcBorders>
          </w:tcPr>
          <w:p>
            <w:pPr>
              <w:pStyle w:val="21"/>
              <w:rPr>
                <w:rFonts w:ascii="宋体" w:hAnsi="宋体" w:cs="宋体"/>
                <w:highlight w:val="none"/>
              </w:rPr>
            </w:pPr>
          </w:p>
        </w:tc>
        <w:tc>
          <w:tcPr>
            <w:tcW w:w="3896" w:type="dxa"/>
            <w:tcBorders>
              <w:top w:val="single" w:color="000000" w:sz="6" w:space="0"/>
              <w:left w:val="single" w:color="000000" w:sz="6" w:space="0"/>
            </w:tcBorders>
          </w:tcPr>
          <w:p>
            <w:pPr>
              <w:pStyle w:val="21"/>
              <w:rPr>
                <w:rFonts w:ascii="宋体" w:hAnsi="宋体" w:cs="宋体"/>
                <w:highlight w:val="none"/>
              </w:rPr>
            </w:pPr>
          </w:p>
        </w:tc>
      </w:tr>
    </w:tbl>
    <w:p>
      <w:pPr>
        <w:rPr>
          <w:rFonts w:ascii="宋体" w:hAnsi="宋体" w:cs="宋体"/>
          <w:sz w:val="24"/>
          <w:highlight w:val="none"/>
        </w:rPr>
        <w:sectPr>
          <w:pgSz w:w="11910" w:h="16840"/>
          <w:pgMar w:top="1360" w:right="1134" w:bottom="1100" w:left="1134" w:header="0" w:footer="919" w:gutter="0"/>
          <w:cols w:space="0" w:num="1"/>
        </w:sectPr>
      </w:pPr>
    </w:p>
    <w:p>
      <w:pPr>
        <w:pStyle w:val="8"/>
        <w:spacing w:before="54"/>
        <w:ind w:left="55"/>
        <w:jc w:val="center"/>
        <w:rPr>
          <w:rFonts w:ascii="宋体" w:hAnsi="宋体" w:eastAsia="宋体" w:cs="宋体"/>
          <w:sz w:val="24"/>
          <w:szCs w:val="24"/>
          <w:highlight w:val="none"/>
        </w:rPr>
      </w:pPr>
      <w:r>
        <w:rPr>
          <w:rFonts w:hint="eastAsia" w:ascii="宋体" w:hAnsi="宋体" w:eastAsia="宋体" w:cs="宋体"/>
          <w:sz w:val="24"/>
          <w:szCs w:val="24"/>
          <w:highlight w:val="none"/>
        </w:rPr>
        <w:t>附件 6 价格指数权重表</w:t>
      </w:r>
    </w:p>
    <w:p>
      <w:pPr>
        <w:pStyle w:val="11"/>
        <w:spacing w:before="2"/>
        <w:rPr>
          <w:rFonts w:ascii="宋体" w:hAnsi="宋体" w:cs="宋体"/>
          <w:b/>
          <w:sz w:val="24"/>
          <w:highlight w:val="none"/>
        </w:rPr>
      </w:pPr>
    </w:p>
    <w:tbl>
      <w:tblPr>
        <w:tblStyle w:val="16"/>
        <w:tblW w:w="0" w:type="auto"/>
        <w:tblInd w:w="10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584"/>
        <w:gridCol w:w="876"/>
        <w:gridCol w:w="1215"/>
        <w:gridCol w:w="1080"/>
        <w:gridCol w:w="1215"/>
        <w:gridCol w:w="123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29" w:type="dxa"/>
            <w:vMerge w:val="restart"/>
          </w:tcPr>
          <w:p>
            <w:pPr>
              <w:pStyle w:val="21"/>
              <w:spacing w:line="269" w:lineRule="exact"/>
              <w:ind w:left="106"/>
              <w:rPr>
                <w:rFonts w:ascii="宋体" w:hAnsi="宋体" w:cs="宋体"/>
                <w:highlight w:val="none"/>
              </w:rPr>
            </w:pPr>
            <w:r>
              <w:rPr>
                <w:rFonts w:hint="eastAsia" w:ascii="宋体" w:hAnsi="宋体" w:cs="宋体"/>
                <w:highlight w:val="none"/>
              </w:rPr>
              <w:t>序号</w:t>
            </w:r>
          </w:p>
        </w:tc>
        <w:tc>
          <w:tcPr>
            <w:tcW w:w="1460" w:type="dxa"/>
            <w:gridSpan w:val="2"/>
            <w:vMerge w:val="restart"/>
          </w:tcPr>
          <w:p>
            <w:pPr>
              <w:pStyle w:val="21"/>
              <w:spacing w:line="269" w:lineRule="exact"/>
              <w:ind w:left="108"/>
              <w:rPr>
                <w:rFonts w:ascii="宋体" w:hAnsi="宋体" w:cs="宋体"/>
                <w:highlight w:val="none"/>
              </w:rPr>
            </w:pPr>
            <w:r>
              <w:rPr>
                <w:rFonts w:hint="eastAsia" w:ascii="宋体" w:hAnsi="宋体" w:cs="宋体"/>
                <w:highlight w:val="none"/>
              </w:rPr>
              <w:t>名称</w:t>
            </w:r>
          </w:p>
        </w:tc>
        <w:tc>
          <w:tcPr>
            <w:tcW w:w="2295" w:type="dxa"/>
            <w:gridSpan w:val="2"/>
          </w:tcPr>
          <w:p>
            <w:pPr>
              <w:pStyle w:val="21"/>
              <w:spacing w:line="269" w:lineRule="exact"/>
              <w:ind w:left="107"/>
              <w:rPr>
                <w:rFonts w:ascii="宋体" w:hAnsi="宋体" w:cs="宋体"/>
                <w:highlight w:val="none"/>
              </w:rPr>
            </w:pPr>
            <w:r>
              <w:rPr>
                <w:rFonts w:hint="eastAsia" w:ascii="宋体" w:hAnsi="宋体" w:cs="宋体"/>
                <w:highlight w:val="none"/>
              </w:rPr>
              <w:t>变更权重 B</w:t>
            </w:r>
          </w:p>
        </w:tc>
        <w:tc>
          <w:tcPr>
            <w:tcW w:w="2445" w:type="dxa"/>
            <w:gridSpan w:val="2"/>
          </w:tcPr>
          <w:p>
            <w:pPr>
              <w:pStyle w:val="21"/>
              <w:spacing w:line="269" w:lineRule="exact"/>
              <w:ind w:left="106"/>
              <w:rPr>
                <w:rFonts w:ascii="宋体" w:hAnsi="宋体" w:cs="宋体"/>
                <w:highlight w:val="none"/>
              </w:rPr>
            </w:pPr>
            <w:r>
              <w:rPr>
                <w:rFonts w:hint="eastAsia" w:ascii="宋体" w:hAnsi="宋体" w:cs="宋体"/>
                <w:highlight w:val="none"/>
              </w:rPr>
              <w:t>基本价格指数 F0</w:t>
            </w:r>
          </w:p>
        </w:tc>
        <w:tc>
          <w:tcPr>
            <w:tcW w:w="1380" w:type="dxa"/>
          </w:tcPr>
          <w:p>
            <w:pPr>
              <w:pStyle w:val="21"/>
              <w:spacing w:line="269" w:lineRule="exact"/>
              <w:ind w:left="107"/>
              <w:rPr>
                <w:rFonts w:ascii="宋体" w:hAnsi="宋体" w:cs="宋体"/>
                <w:highlight w:val="none"/>
              </w:rPr>
            </w:pPr>
            <w:r>
              <w:rPr>
                <w:rFonts w:hint="eastAsia" w:ascii="宋体" w:hAnsi="宋体" w:cs="宋体"/>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29" w:type="dxa"/>
            <w:vMerge w:val="continue"/>
            <w:tcBorders>
              <w:top w:val="nil"/>
            </w:tcBorders>
          </w:tcPr>
          <w:p>
            <w:pPr>
              <w:rPr>
                <w:rFonts w:ascii="宋体" w:hAnsi="宋体" w:cs="宋体"/>
                <w:sz w:val="24"/>
                <w:highlight w:val="none"/>
              </w:rPr>
            </w:pPr>
          </w:p>
        </w:tc>
        <w:tc>
          <w:tcPr>
            <w:tcW w:w="1460" w:type="dxa"/>
            <w:gridSpan w:val="2"/>
            <w:vMerge w:val="continue"/>
            <w:tcBorders>
              <w:top w:val="nil"/>
            </w:tcBorders>
          </w:tcPr>
          <w:p>
            <w:pPr>
              <w:rPr>
                <w:rFonts w:ascii="宋体" w:hAnsi="宋体" w:cs="宋体"/>
                <w:sz w:val="24"/>
                <w:highlight w:val="none"/>
              </w:rPr>
            </w:pPr>
          </w:p>
        </w:tc>
        <w:tc>
          <w:tcPr>
            <w:tcW w:w="1215" w:type="dxa"/>
          </w:tcPr>
          <w:p>
            <w:pPr>
              <w:pStyle w:val="21"/>
              <w:spacing w:line="268" w:lineRule="exact"/>
              <w:ind w:left="107"/>
              <w:rPr>
                <w:rFonts w:ascii="宋体" w:hAnsi="宋体" w:cs="宋体"/>
                <w:highlight w:val="none"/>
              </w:rPr>
            </w:pPr>
            <w:r>
              <w:rPr>
                <w:rFonts w:hint="eastAsia" w:ascii="宋体" w:hAnsi="宋体" w:cs="宋体"/>
                <w:highlight w:val="none"/>
              </w:rPr>
              <w:t>代号</w:t>
            </w:r>
          </w:p>
        </w:tc>
        <w:tc>
          <w:tcPr>
            <w:tcW w:w="1080" w:type="dxa"/>
          </w:tcPr>
          <w:p>
            <w:pPr>
              <w:pStyle w:val="21"/>
              <w:spacing w:line="268" w:lineRule="exact"/>
              <w:ind w:left="106"/>
              <w:rPr>
                <w:rFonts w:ascii="宋体" w:hAnsi="宋体" w:cs="宋体"/>
                <w:highlight w:val="none"/>
              </w:rPr>
            </w:pPr>
            <w:r>
              <w:rPr>
                <w:rFonts w:hint="eastAsia" w:ascii="宋体" w:hAnsi="宋体" w:cs="宋体"/>
                <w:highlight w:val="none"/>
              </w:rPr>
              <w:t>权重</w:t>
            </w:r>
          </w:p>
        </w:tc>
        <w:tc>
          <w:tcPr>
            <w:tcW w:w="1215" w:type="dxa"/>
          </w:tcPr>
          <w:p>
            <w:pPr>
              <w:pStyle w:val="21"/>
              <w:spacing w:line="268" w:lineRule="exact"/>
              <w:ind w:left="106"/>
              <w:rPr>
                <w:rFonts w:ascii="宋体" w:hAnsi="宋体" w:cs="宋体"/>
                <w:highlight w:val="none"/>
              </w:rPr>
            </w:pPr>
            <w:r>
              <w:rPr>
                <w:rFonts w:hint="eastAsia" w:ascii="宋体" w:hAnsi="宋体" w:cs="宋体"/>
                <w:highlight w:val="none"/>
              </w:rPr>
              <w:t>代号</w:t>
            </w:r>
          </w:p>
        </w:tc>
        <w:tc>
          <w:tcPr>
            <w:tcW w:w="1230" w:type="dxa"/>
          </w:tcPr>
          <w:p>
            <w:pPr>
              <w:pStyle w:val="21"/>
              <w:spacing w:line="268" w:lineRule="exact"/>
              <w:ind w:left="108"/>
              <w:rPr>
                <w:rFonts w:ascii="宋体" w:hAnsi="宋体" w:cs="宋体"/>
                <w:highlight w:val="none"/>
              </w:rPr>
            </w:pPr>
            <w:r>
              <w:rPr>
                <w:rFonts w:hint="eastAsia" w:ascii="宋体" w:hAnsi="宋体" w:cs="宋体"/>
                <w:highlight w:val="none"/>
              </w:rPr>
              <w:t>指数</w:t>
            </w:r>
          </w:p>
        </w:tc>
        <w:tc>
          <w:tcPr>
            <w:tcW w:w="1380" w:type="dxa"/>
          </w:tcPr>
          <w:p>
            <w:pPr>
              <w:pStyle w:val="21"/>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829" w:type="dxa"/>
          </w:tcPr>
          <w:p>
            <w:pPr>
              <w:pStyle w:val="21"/>
              <w:rPr>
                <w:rFonts w:ascii="宋体" w:hAnsi="宋体" w:cs="宋体"/>
                <w:highlight w:val="none"/>
              </w:rPr>
            </w:pPr>
          </w:p>
        </w:tc>
        <w:tc>
          <w:tcPr>
            <w:tcW w:w="584" w:type="dxa"/>
            <w:vMerge w:val="restart"/>
          </w:tcPr>
          <w:p>
            <w:pPr>
              <w:pStyle w:val="21"/>
              <w:spacing w:line="242" w:lineRule="auto"/>
              <w:ind w:left="108" w:right="254"/>
              <w:jc w:val="both"/>
              <w:rPr>
                <w:rFonts w:ascii="宋体" w:hAnsi="宋体" w:cs="宋体"/>
                <w:highlight w:val="none"/>
              </w:rPr>
            </w:pPr>
            <w:r>
              <w:rPr>
                <w:rFonts w:hint="eastAsia" w:ascii="宋体" w:hAnsi="宋体" w:cs="宋体"/>
                <w:highlight w:val="none"/>
              </w:rPr>
              <w:t>变值部分</w:t>
            </w:r>
          </w:p>
        </w:tc>
        <w:tc>
          <w:tcPr>
            <w:tcW w:w="876" w:type="dxa"/>
          </w:tcPr>
          <w:p>
            <w:pPr>
              <w:pStyle w:val="21"/>
              <w:rPr>
                <w:rFonts w:ascii="宋体" w:hAnsi="宋体" w:cs="宋体"/>
                <w:highlight w:val="none"/>
              </w:rPr>
            </w:pPr>
          </w:p>
        </w:tc>
        <w:tc>
          <w:tcPr>
            <w:tcW w:w="1215" w:type="dxa"/>
          </w:tcPr>
          <w:p>
            <w:pPr>
              <w:pStyle w:val="21"/>
              <w:spacing w:line="252" w:lineRule="exact"/>
              <w:ind w:left="107"/>
              <w:rPr>
                <w:rFonts w:ascii="宋体" w:hAnsi="宋体" w:cs="宋体"/>
                <w:highlight w:val="none"/>
              </w:rPr>
            </w:pPr>
            <w:r>
              <w:rPr>
                <w:rFonts w:hint="eastAsia" w:ascii="宋体" w:hAnsi="宋体" w:cs="宋体"/>
                <w:highlight w:val="none"/>
              </w:rPr>
              <w:t>B1</w:t>
            </w:r>
          </w:p>
        </w:tc>
        <w:tc>
          <w:tcPr>
            <w:tcW w:w="1080" w:type="dxa"/>
          </w:tcPr>
          <w:p>
            <w:pPr>
              <w:pStyle w:val="21"/>
              <w:rPr>
                <w:rFonts w:ascii="宋体" w:hAnsi="宋体" w:cs="宋体"/>
                <w:highlight w:val="none"/>
              </w:rPr>
            </w:pPr>
          </w:p>
        </w:tc>
        <w:tc>
          <w:tcPr>
            <w:tcW w:w="1215" w:type="dxa"/>
          </w:tcPr>
          <w:p>
            <w:pPr>
              <w:pStyle w:val="21"/>
              <w:spacing w:line="252" w:lineRule="exact"/>
              <w:ind w:left="106"/>
              <w:rPr>
                <w:rFonts w:ascii="宋体" w:hAnsi="宋体" w:cs="宋体"/>
                <w:highlight w:val="none"/>
              </w:rPr>
            </w:pPr>
            <w:r>
              <w:rPr>
                <w:rFonts w:hint="eastAsia" w:ascii="宋体" w:hAnsi="宋体" w:cs="宋体"/>
                <w:highlight w:val="none"/>
              </w:rPr>
              <w:t>F01</w:t>
            </w:r>
          </w:p>
        </w:tc>
        <w:tc>
          <w:tcPr>
            <w:tcW w:w="1230" w:type="dxa"/>
          </w:tcPr>
          <w:p>
            <w:pPr>
              <w:pStyle w:val="21"/>
              <w:rPr>
                <w:rFonts w:ascii="宋体" w:hAnsi="宋体" w:cs="宋体"/>
                <w:highlight w:val="none"/>
              </w:rPr>
            </w:pPr>
          </w:p>
        </w:tc>
        <w:tc>
          <w:tcPr>
            <w:tcW w:w="1380" w:type="dxa"/>
          </w:tcPr>
          <w:p>
            <w:pPr>
              <w:pStyle w:val="21"/>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829" w:type="dxa"/>
          </w:tcPr>
          <w:p>
            <w:pPr>
              <w:pStyle w:val="21"/>
              <w:rPr>
                <w:rFonts w:ascii="宋体" w:hAnsi="宋体" w:cs="宋体"/>
                <w:highlight w:val="none"/>
              </w:rPr>
            </w:pPr>
          </w:p>
        </w:tc>
        <w:tc>
          <w:tcPr>
            <w:tcW w:w="584" w:type="dxa"/>
            <w:vMerge w:val="continue"/>
            <w:tcBorders>
              <w:top w:val="nil"/>
            </w:tcBorders>
          </w:tcPr>
          <w:p>
            <w:pPr>
              <w:rPr>
                <w:rFonts w:ascii="宋体" w:hAnsi="宋体" w:cs="宋体"/>
                <w:sz w:val="24"/>
                <w:highlight w:val="none"/>
              </w:rPr>
            </w:pPr>
          </w:p>
        </w:tc>
        <w:tc>
          <w:tcPr>
            <w:tcW w:w="876" w:type="dxa"/>
          </w:tcPr>
          <w:p>
            <w:pPr>
              <w:pStyle w:val="21"/>
              <w:rPr>
                <w:rFonts w:ascii="宋体" w:hAnsi="宋体" w:cs="宋体"/>
                <w:highlight w:val="none"/>
              </w:rPr>
            </w:pPr>
          </w:p>
        </w:tc>
        <w:tc>
          <w:tcPr>
            <w:tcW w:w="1215" w:type="dxa"/>
          </w:tcPr>
          <w:p>
            <w:pPr>
              <w:pStyle w:val="21"/>
              <w:spacing w:line="252" w:lineRule="exact"/>
              <w:ind w:left="107"/>
              <w:rPr>
                <w:rFonts w:ascii="宋体" w:hAnsi="宋体" w:cs="宋体"/>
                <w:highlight w:val="none"/>
              </w:rPr>
            </w:pPr>
            <w:r>
              <w:rPr>
                <w:rFonts w:hint="eastAsia" w:ascii="宋体" w:hAnsi="宋体" w:cs="宋体"/>
                <w:highlight w:val="none"/>
              </w:rPr>
              <w:t>B2</w:t>
            </w:r>
          </w:p>
        </w:tc>
        <w:tc>
          <w:tcPr>
            <w:tcW w:w="1080" w:type="dxa"/>
          </w:tcPr>
          <w:p>
            <w:pPr>
              <w:pStyle w:val="21"/>
              <w:rPr>
                <w:rFonts w:ascii="宋体" w:hAnsi="宋体" w:cs="宋体"/>
                <w:highlight w:val="none"/>
              </w:rPr>
            </w:pPr>
          </w:p>
        </w:tc>
        <w:tc>
          <w:tcPr>
            <w:tcW w:w="1215" w:type="dxa"/>
          </w:tcPr>
          <w:p>
            <w:pPr>
              <w:pStyle w:val="21"/>
              <w:spacing w:line="252" w:lineRule="exact"/>
              <w:ind w:left="106"/>
              <w:rPr>
                <w:rFonts w:ascii="宋体" w:hAnsi="宋体" w:cs="宋体"/>
                <w:highlight w:val="none"/>
              </w:rPr>
            </w:pPr>
            <w:r>
              <w:rPr>
                <w:rFonts w:hint="eastAsia" w:ascii="宋体" w:hAnsi="宋体" w:cs="宋体"/>
                <w:highlight w:val="none"/>
              </w:rPr>
              <w:t>F02</w:t>
            </w:r>
          </w:p>
        </w:tc>
        <w:tc>
          <w:tcPr>
            <w:tcW w:w="1230" w:type="dxa"/>
          </w:tcPr>
          <w:p>
            <w:pPr>
              <w:pStyle w:val="21"/>
              <w:rPr>
                <w:rFonts w:ascii="宋体" w:hAnsi="宋体" w:cs="宋体"/>
                <w:highlight w:val="none"/>
              </w:rPr>
            </w:pPr>
          </w:p>
        </w:tc>
        <w:tc>
          <w:tcPr>
            <w:tcW w:w="1380" w:type="dxa"/>
          </w:tcPr>
          <w:p>
            <w:pPr>
              <w:pStyle w:val="21"/>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829" w:type="dxa"/>
          </w:tcPr>
          <w:p>
            <w:pPr>
              <w:pStyle w:val="21"/>
              <w:rPr>
                <w:rFonts w:ascii="宋体" w:hAnsi="宋体" w:cs="宋体"/>
                <w:highlight w:val="none"/>
              </w:rPr>
            </w:pPr>
          </w:p>
        </w:tc>
        <w:tc>
          <w:tcPr>
            <w:tcW w:w="584" w:type="dxa"/>
            <w:vMerge w:val="continue"/>
            <w:tcBorders>
              <w:top w:val="nil"/>
            </w:tcBorders>
          </w:tcPr>
          <w:p>
            <w:pPr>
              <w:rPr>
                <w:rFonts w:ascii="宋体" w:hAnsi="宋体" w:cs="宋体"/>
                <w:sz w:val="24"/>
                <w:highlight w:val="none"/>
              </w:rPr>
            </w:pPr>
          </w:p>
        </w:tc>
        <w:tc>
          <w:tcPr>
            <w:tcW w:w="876" w:type="dxa"/>
          </w:tcPr>
          <w:p>
            <w:pPr>
              <w:pStyle w:val="21"/>
              <w:rPr>
                <w:rFonts w:ascii="宋体" w:hAnsi="宋体" w:cs="宋体"/>
                <w:highlight w:val="none"/>
              </w:rPr>
            </w:pPr>
          </w:p>
        </w:tc>
        <w:tc>
          <w:tcPr>
            <w:tcW w:w="1215" w:type="dxa"/>
          </w:tcPr>
          <w:p>
            <w:pPr>
              <w:pStyle w:val="21"/>
              <w:spacing w:before="1" w:line="251" w:lineRule="exact"/>
              <w:ind w:left="107"/>
              <w:rPr>
                <w:rFonts w:ascii="宋体" w:hAnsi="宋体" w:cs="宋体"/>
                <w:highlight w:val="none"/>
              </w:rPr>
            </w:pPr>
            <w:r>
              <w:rPr>
                <w:rFonts w:hint="eastAsia" w:ascii="宋体" w:hAnsi="宋体" w:cs="宋体"/>
                <w:highlight w:val="none"/>
              </w:rPr>
              <w:t>B3</w:t>
            </w:r>
          </w:p>
        </w:tc>
        <w:tc>
          <w:tcPr>
            <w:tcW w:w="1080" w:type="dxa"/>
          </w:tcPr>
          <w:p>
            <w:pPr>
              <w:pStyle w:val="21"/>
              <w:rPr>
                <w:rFonts w:ascii="宋体" w:hAnsi="宋体" w:cs="宋体"/>
                <w:highlight w:val="none"/>
              </w:rPr>
            </w:pPr>
          </w:p>
        </w:tc>
        <w:tc>
          <w:tcPr>
            <w:tcW w:w="1215" w:type="dxa"/>
          </w:tcPr>
          <w:p>
            <w:pPr>
              <w:pStyle w:val="21"/>
              <w:spacing w:before="1" w:line="251" w:lineRule="exact"/>
              <w:ind w:left="106"/>
              <w:rPr>
                <w:rFonts w:ascii="宋体" w:hAnsi="宋体" w:cs="宋体"/>
                <w:highlight w:val="none"/>
              </w:rPr>
            </w:pPr>
            <w:r>
              <w:rPr>
                <w:rFonts w:hint="eastAsia" w:ascii="宋体" w:hAnsi="宋体" w:cs="宋体"/>
                <w:highlight w:val="none"/>
              </w:rPr>
              <w:t>F03</w:t>
            </w:r>
          </w:p>
        </w:tc>
        <w:tc>
          <w:tcPr>
            <w:tcW w:w="1230" w:type="dxa"/>
          </w:tcPr>
          <w:p>
            <w:pPr>
              <w:pStyle w:val="21"/>
              <w:rPr>
                <w:rFonts w:ascii="宋体" w:hAnsi="宋体" w:cs="宋体"/>
                <w:highlight w:val="none"/>
              </w:rPr>
            </w:pPr>
          </w:p>
        </w:tc>
        <w:tc>
          <w:tcPr>
            <w:tcW w:w="1380" w:type="dxa"/>
          </w:tcPr>
          <w:p>
            <w:pPr>
              <w:pStyle w:val="21"/>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829" w:type="dxa"/>
          </w:tcPr>
          <w:p>
            <w:pPr>
              <w:pStyle w:val="21"/>
              <w:rPr>
                <w:rFonts w:ascii="宋体" w:hAnsi="宋体" w:cs="宋体"/>
                <w:highlight w:val="none"/>
              </w:rPr>
            </w:pPr>
          </w:p>
        </w:tc>
        <w:tc>
          <w:tcPr>
            <w:tcW w:w="584" w:type="dxa"/>
            <w:vMerge w:val="continue"/>
            <w:tcBorders>
              <w:top w:val="nil"/>
            </w:tcBorders>
          </w:tcPr>
          <w:p>
            <w:pPr>
              <w:rPr>
                <w:rFonts w:ascii="宋体" w:hAnsi="宋体" w:cs="宋体"/>
                <w:sz w:val="24"/>
                <w:highlight w:val="none"/>
              </w:rPr>
            </w:pPr>
          </w:p>
        </w:tc>
        <w:tc>
          <w:tcPr>
            <w:tcW w:w="876" w:type="dxa"/>
          </w:tcPr>
          <w:p>
            <w:pPr>
              <w:pStyle w:val="21"/>
              <w:rPr>
                <w:rFonts w:ascii="宋体" w:hAnsi="宋体" w:cs="宋体"/>
                <w:highlight w:val="none"/>
              </w:rPr>
            </w:pPr>
          </w:p>
        </w:tc>
        <w:tc>
          <w:tcPr>
            <w:tcW w:w="1215" w:type="dxa"/>
          </w:tcPr>
          <w:p>
            <w:pPr>
              <w:pStyle w:val="21"/>
              <w:spacing w:line="252" w:lineRule="exact"/>
              <w:ind w:left="107"/>
              <w:rPr>
                <w:rFonts w:ascii="宋体" w:hAnsi="宋体" w:cs="宋体"/>
                <w:highlight w:val="none"/>
              </w:rPr>
            </w:pPr>
            <w:r>
              <w:rPr>
                <w:rFonts w:hint="eastAsia" w:ascii="宋体" w:hAnsi="宋体" w:cs="宋体"/>
                <w:highlight w:val="none"/>
              </w:rPr>
              <w:t>B4</w:t>
            </w:r>
          </w:p>
        </w:tc>
        <w:tc>
          <w:tcPr>
            <w:tcW w:w="1080" w:type="dxa"/>
          </w:tcPr>
          <w:p>
            <w:pPr>
              <w:pStyle w:val="21"/>
              <w:rPr>
                <w:rFonts w:ascii="宋体" w:hAnsi="宋体" w:cs="宋体"/>
                <w:highlight w:val="none"/>
              </w:rPr>
            </w:pPr>
          </w:p>
        </w:tc>
        <w:tc>
          <w:tcPr>
            <w:tcW w:w="1215" w:type="dxa"/>
          </w:tcPr>
          <w:p>
            <w:pPr>
              <w:pStyle w:val="21"/>
              <w:spacing w:line="252" w:lineRule="exact"/>
              <w:ind w:left="106"/>
              <w:rPr>
                <w:rFonts w:ascii="宋体" w:hAnsi="宋体" w:cs="宋体"/>
                <w:highlight w:val="none"/>
              </w:rPr>
            </w:pPr>
            <w:r>
              <w:rPr>
                <w:rFonts w:hint="eastAsia" w:ascii="宋体" w:hAnsi="宋体" w:cs="宋体"/>
                <w:highlight w:val="none"/>
              </w:rPr>
              <w:t>F04</w:t>
            </w:r>
          </w:p>
        </w:tc>
        <w:tc>
          <w:tcPr>
            <w:tcW w:w="1230" w:type="dxa"/>
          </w:tcPr>
          <w:p>
            <w:pPr>
              <w:pStyle w:val="21"/>
              <w:rPr>
                <w:rFonts w:ascii="宋体" w:hAnsi="宋体" w:cs="宋体"/>
                <w:highlight w:val="none"/>
              </w:rPr>
            </w:pPr>
          </w:p>
        </w:tc>
        <w:tc>
          <w:tcPr>
            <w:tcW w:w="1380" w:type="dxa"/>
          </w:tcPr>
          <w:p>
            <w:pPr>
              <w:pStyle w:val="21"/>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829" w:type="dxa"/>
          </w:tcPr>
          <w:p>
            <w:pPr>
              <w:pStyle w:val="21"/>
              <w:rPr>
                <w:rFonts w:ascii="宋体" w:hAnsi="宋体" w:cs="宋体"/>
                <w:highlight w:val="none"/>
              </w:rPr>
            </w:pPr>
          </w:p>
        </w:tc>
        <w:tc>
          <w:tcPr>
            <w:tcW w:w="584" w:type="dxa"/>
            <w:vMerge w:val="continue"/>
            <w:tcBorders>
              <w:top w:val="nil"/>
            </w:tcBorders>
          </w:tcPr>
          <w:p>
            <w:pPr>
              <w:rPr>
                <w:rFonts w:ascii="宋体" w:hAnsi="宋体" w:cs="宋体"/>
                <w:sz w:val="24"/>
                <w:highlight w:val="none"/>
              </w:rPr>
            </w:pPr>
          </w:p>
        </w:tc>
        <w:tc>
          <w:tcPr>
            <w:tcW w:w="876" w:type="dxa"/>
          </w:tcPr>
          <w:p>
            <w:pPr>
              <w:pStyle w:val="21"/>
              <w:rPr>
                <w:rFonts w:ascii="宋体" w:hAnsi="宋体" w:cs="宋体"/>
                <w:highlight w:val="none"/>
              </w:rPr>
            </w:pPr>
          </w:p>
        </w:tc>
        <w:tc>
          <w:tcPr>
            <w:tcW w:w="1215" w:type="dxa"/>
          </w:tcPr>
          <w:p>
            <w:pPr>
              <w:pStyle w:val="21"/>
              <w:rPr>
                <w:rFonts w:ascii="宋体" w:hAnsi="宋体" w:cs="宋体"/>
                <w:highlight w:val="none"/>
              </w:rPr>
            </w:pPr>
          </w:p>
        </w:tc>
        <w:tc>
          <w:tcPr>
            <w:tcW w:w="1080" w:type="dxa"/>
          </w:tcPr>
          <w:p>
            <w:pPr>
              <w:pStyle w:val="21"/>
              <w:rPr>
                <w:rFonts w:ascii="宋体" w:hAnsi="宋体" w:cs="宋体"/>
                <w:highlight w:val="none"/>
              </w:rPr>
            </w:pPr>
          </w:p>
        </w:tc>
        <w:tc>
          <w:tcPr>
            <w:tcW w:w="1215" w:type="dxa"/>
          </w:tcPr>
          <w:p>
            <w:pPr>
              <w:pStyle w:val="21"/>
              <w:rPr>
                <w:rFonts w:ascii="宋体" w:hAnsi="宋体" w:cs="宋体"/>
                <w:highlight w:val="none"/>
              </w:rPr>
            </w:pPr>
          </w:p>
        </w:tc>
        <w:tc>
          <w:tcPr>
            <w:tcW w:w="1230" w:type="dxa"/>
          </w:tcPr>
          <w:p>
            <w:pPr>
              <w:pStyle w:val="21"/>
              <w:rPr>
                <w:rFonts w:ascii="宋体" w:hAnsi="宋体" w:cs="宋体"/>
                <w:highlight w:val="none"/>
              </w:rPr>
            </w:pPr>
          </w:p>
        </w:tc>
        <w:tc>
          <w:tcPr>
            <w:tcW w:w="1380" w:type="dxa"/>
          </w:tcPr>
          <w:p>
            <w:pPr>
              <w:pStyle w:val="21"/>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829" w:type="dxa"/>
          </w:tcPr>
          <w:p>
            <w:pPr>
              <w:pStyle w:val="21"/>
              <w:rPr>
                <w:rFonts w:ascii="宋体" w:hAnsi="宋体" w:cs="宋体"/>
                <w:highlight w:val="none"/>
              </w:rPr>
            </w:pPr>
          </w:p>
        </w:tc>
        <w:tc>
          <w:tcPr>
            <w:tcW w:w="584" w:type="dxa"/>
            <w:vMerge w:val="continue"/>
            <w:tcBorders>
              <w:top w:val="nil"/>
            </w:tcBorders>
          </w:tcPr>
          <w:p>
            <w:pPr>
              <w:rPr>
                <w:rFonts w:ascii="宋体" w:hAnsi="宋体" w:cs="宋体"/>
                <w:sz w:val="24"/>
                <w:highlight w:val="none"/>
              </w:rPr>
            </w:pPr>
          </w:p>
        </w:tc>
        <w:tc>
          <w:tcPr>
            <w:tcW w:w="876" w:type="dxa"/>
          </w:tcPr>
          <w:p>
            <w:pPr>
              <w:pStyle w:val="21"/>
              <w:rPr>
                <w:rFonts w:ascii="宋体" w:hAnsi="宋体" w:cs="宋体"/>
                <w:highlight w:val="none"/>
              </w:rPr>
            </w:pPr>
          </w:p>
        </w:tc>
        <w:tc>
          <w:tcPr>
            <w:tcW w:w="1215" w:type="dxa"/>
          </w:tcPr>
          <w:p>
            <w:pPr>
              <w:pStyle w:val="21"/>
              <w:rPr>
                <w:rFonts w:ascii="宋体" w:hAnsi="宋体" w:cs="宋体"/>
                <w:highlight w:val="none"/>
              </w:rPr>
            </w:pPr>
          </w:p>
        </w:tc>
        <w:tc>
          <w:tcPr>
            <w:tcW w:w="1080" w:type="dxa"/>
          </w:tcPr>
          <w:p>
            <w:pPr>
              <w:pStyle w:val="21"/>
              <w:rPr>
                <w:rFonts w:ascii="宋体" w:hAnsi="宋体" w:cs="宋体"/>
                <w:highlight w:val="none"/>
              </w:rPr>
            </w:pPr>
          </w:p>
        </w:tc>
        <w:tc>
          <w:tcPr>
            <w:tcW w:w="1215" w:type="dxa"/>
          </w:tcPr>
          <w:p>
            <w:pPr>
              <w:pStyle w:val="21"/>
              <w:rPr>
                <w:rFonts w:ascii="宋体" w:hAnsi="宋体" w:cs="宋体"/>
                <w:highlight w:val="none"/>
              </w:rPr>
            </w:pPr>
          </w:p>
        </w:tc>
        <w:tc>
          <w:tcPr>
            <w:tcW w:w="1230" w:type="dxa"/>
          </w:tcPr>
          <w:p>
            <w:pPr>
              <w:pStyle w:val="21"/>
              <w:rPr>
                <w:rFonts w:ascii="宋体" w:hAnsi="宋体" w:cs="宋体"/>
                <w:highlight w:val="none"/>
              </w:rPr>
            </w:pPr>
          </w:p>
        </w:tc>
        <w:tc>
          <w:tcPr>
            <w:tcW w:w="1380" w:type="dxa"/>
          </w:tcPr>
          <w:p>
            <w:pPr>
              <w:pStyle w:val="21"/>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89" w:type="dxa"/>
            <w:gridSpan w:val="3"/>
          </w:tcPr>
          <w:p>
            <w:pPr>
              <w:pStyle w:val="21"/>
              <w:spacing w:line="252" w:lineRule="exact"/>
              <w:ind w:left="106"/>
              <w:rPr>
                <w:rFonts w:ascii="宋体" w:hAnsi="宋体" w:cs="宋体"/>
                <w:highlight w:val="none"/>
              </w:rPr>
            </w:pPr>
          </w:p>
          <w:p>
            <w:pPr>
              <w:pStyle w:val="21"/>
              <w:spacing w:line="252" w:lineRule="exact"/>
              <w:ind w:left="106"/>
              <w:rPr>
                <w:rFonts w:ascii="宋体" w:hAnsi="宋体" w:cs="宋体"/>
                <w:highlight w:val="none"/>
              </w:rPr>
            </w:pPr>
            <w:r>
              <w:rPr>
                <w:rFonts w:hint="eastAsia" w:ascii="宋体" w:hAnsi="宋体" w:cs="宋体"/>
                <w:highlight w:val="none"/>
              </w:rPr>
              <w:t>定值部分权重 A</w:t>
            </w:r>
          </w:p>
        </w:tc>
        <w:tc>
          <w:tcPr>
            <w:tcW w:w="1215" w:type="dxa"/>
          </w:tcPr>
          <w:p>
            <w:pPr>
              <w:pStyle w:val="21"/>
              <w:rPr>
                <w:rFonts w:ascii="宋体" w:hAnsi="宋体" w:cs="宋体"/>
                <w:highlight w:val="none"/>
              </w:rPr>
            </w:pPr>
          </w:p>
        </w:tc>
        <w:tc>
          <w:tcPr>
            <w:tcW w:w="1080" w:type="dxa"/>
          </w:tcPr>
          <w:p>
            <w:pPr>
              <w:pStyle w:val="21"/>
              <w:rPr>
                <w:rFonts w:ascii="宋体" w:hAnsi="宋体" w:cs="宋体"/>
                <w:highlight w:val="none"/>
              </w:rPr>
            </w:pPr>
          </w:p>
        </w:tc>
        <w:tc>
          <w:tcPr>
            <w:tcW w:w="1215" w:type="dxa"/>
          </w:tcPr>
          <w:p>
            <w:pPr>
              <w:pStyle w:val="21"/>
              <w:rPr>
                <w:rFonts w:ascii="宋体" w:hAnsi="宋体" w:cs="宋体"/>
                <w:highlight w:val="none"/>
              </w:rPr>
            </w:pPr>
          </w:p>
        </w:tc>
        <w:tc>
          <w:tcPr>
            <w:tcW w:w="1230" w:type="dxa"/>
          </w:tcPr>
          <w:p>
            <w:pPr>
              <w:pStyle w:val="21"/>
              <w:rPr>
                <w:rFonts w:ascii="宋体" w:hAnsi="宋体" w:cs="宋体"/>
                <w:highlight w:val="none"/>
              </w:rPr>
            </w:pPr>
          </w:p>
        </w:tc>
        <w:tc>
          <w:tcPr>
            <w:tcW w:w="1380" w:type="dxa"/>
          </w:tcPr>
          <w:p>
            <w:pPr>
              <w:pStyle w:val="21"/>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289" w:type="dxa"/>
            <w:gridSpan w:val="3"/>
          </w:tcPr>
          <w:p>
            <w:pPr>
              <w:pStyle w:val="21"/>
              <w:spacing w:before="1" w:line="251" w:lineRule="exact"/>
              <w:ind w:left="106"/>
              <w:rPr>
                <w:rFonts w:ascii="宋体" w:hAnsi="宋体" w:cs="宋体"/>
                <w:highlight w:val="none"/>
              </w:rPr>
            </w:pPr>
            <w:r>
              <w:rPr>
                <w:rFonts w:hint="eastAsia" w:ascii="宋体" w:hAnsi="宋体" w:cs="宋体"/>
                <w:highlight w:val="none"/>
              </w:rPr>
              <w:t>合计</w:t>
            </w:r>
          </w:p>
        </w:tc>
        <w:tc>
          <w:tcPr>
            <w:tcW w:w="2295" w:type="dxa"/>
            <w:gridSpan w:val="2"/>
          </w:tcPr>
          <w:p>
            <w:pPr>
              <w:pStyle w:val="21"/>
              <w:rPr>
                <w:rFonts w:ascii="宋体" w:hAnsi="宋体" w:cs="宋体"/>
                <w:highlight w:val="none"/>
              </w:rPr>
            </w:pPr>
          </w:p>
        </w:tc>
        <w:tc>
          <w:tcPr>
            <w:tcW w:w="2445" w:type="dxa"/>
            <w:gridSpan w:val="2"/>
          </w:tcPr>
          <w:p>
            <w:pPr>
              <w:pStyle w:val="21"/>
              <w:rPr>
                <w:rFonts w:ascii="宋体" w:hAnsi="宋体" w:cs="宋体"/>
                <w:highlight w:val="none"/>
              </w:rPr>
            </w:pPr>
          </w:p>
        </w:tc>
        <w:tc>
          <w:tcPr>
            <w:tcW w:w="1380" w:type="dxa"/>
          </w:tcPr>
          <w:p>
            <w:pPr>
              <w:pStyle w:val="21"/>
              <w:rPr>
                <w:rFonts w:ascii="宋体" w:hAnsi="宋体" w:cs="宋体"/>
                <w:highlight w:val="none"/>
              </w:rPr>
            </w:pPr>
          </w:p>
        </w:tc>
      </w:tr>
    </w:tbl>
    <w:p>
      <w:pPr>
        <w:pStyle w:val="2"/>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spacing w:line="440" w:lineRule="exact"/>
        <w:jc w:val="center"/>
        <w:rPr>
          <w:sz w:val="20"/>
          <w:szCs w:val="20"/>
          <w:highlight w:val="none"/>
        </w:rPr>
      </w:pPr>
    </w:p>
    <w:p>
      <w:pPr>
        <w:spacing w:line="440" w:lineRule="exact"/>
        <w:jc w:val="center"/>
        <w:rPr>
          <w:sz w:val="20"/>
          <w:szCs w:val="20"/>
          <w:highlight w:val="none"/>
        </w:rPr>
      </w:pPr>
    </w:p>
    <w:p>
      <w:pPr>
        <w:spacing w:line="440" w:lineRule="exact"/>
        <w:jc w:val="center"/>
        <w:rPr>
          <w:sz w:val="20"/>
          <w:szCs w:val="20"/>
          <w:highlight w:val="none"/>
        </w:rPr>
      </w:pPr>
    </w:p>
    <w:p>
      <w:pPr>
        <w:pStyle w:val="2"/>
        <w:numPr>
          <w:ilvl w:val="0"/>
          <w:numId w:val="17"/>
        </w:numPr>
        <w:jc w:val="center"/>
        <w:rPr>
          <w:highlight w:val="none"/>
        </w:rPr>
      </w:pPr>
      <w:bookmarkStart w:id="1252" w:name="_Toc247527820"/>
      <w:bookmarkStart w:id="1253" w:name="_Toc474319762"/>
      <w:bookmarkStart w:id="1254" w:name="_Toc152045782"/>
      <w:bookmarkStart w:id="1255" w:name="_Toc247514233"/>
      <w:bookmarkStart w:id="1256" w:name="_Toc152042571"/>
      <w:bookmarkStart w:id="1257" w:name="_Toc144974851"/>
      <w:bookmarkStart w:id="1258" w:name="_Toc28404"/>
      <w:r>
        <w:rPr>
          <w:rFonts w:hint="eastAsia"/>
          <w:highlight w:val="none"/>
        </w:rPr>
        <w:t xml:space="preserve"> </w:t>
      </w:r>
      <w:bookmarkEnd w:id="1252"/>
      <w:bookmarkEnd w:id="1253"/>
      <w:bookmarkEnd w:id="1254"/>
      <w:bookmarkEnd w:id="1255"/>
      <w:bookmarkEnd w:id="1256"/>
      <w:bookmarkEnd w:id="1257"/>
      <w:bookmarkStart w:id="1259" w:name="_Toc7693"/>
      <w:r>
        <w:rPr>
          <w:rFonts w:hint="eastAsia"/>
          <w:highlight w:val="none"/>
        </w:rPr>
        <w:t>招标人提供的资料（另册）</w:t>
      </w:r>
      <w:bookmarkEnd w:id="1258"/>
      <w:bookmarkEnd w:id="1259"/>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r>
        <w:rPr>
          <w:highlight w:val="none"/>
        </w:rPr>
        <w:br w:type="page"/>
      </w:r>
    </w:p>
    <w:p>
      <w:pPr>
        <w:spacing w:beforeLines="50"/>
        <w:jc w:val="center"/>
        <w:rPr>
          <w:b/>
          <w:bCs/>
          <w:sz w:val="36"/>
          <w:szCs w:val="36"/>
          <w:highlight w:val="none"/>
        </w:rPr>
      </w:pPr>
      <w:r>
        <w:rPr>
          <w:rFonts w:hint="eastAsia"/>
          <w:b/>
          <w:bCs/>
          <w:sz w:val="36"/>
          <w:szCs w:val="36"/>
          <w:highlight w:val="none"/>
          <w:lang w:val="en-US" w:eastAsia="zh-CN"/>
        </w:rPr>
        <w:t>设计</w:t>
      </w:r>
      <w:r>
        <w:rPr>
          <w:rFonts w:hint="eastAsia"/>
          <w:b/>
          <w:bCs/>
          <w:sz w:val="36"/>
          <w:szCs w:val="36"/>
          <w:highlight w:val="none"/>
        </w:rPr>
        <w:t>任务书</w:t>
      </w:r>
    </w:p>
    <w:p>
      <w:pPr>
        <w:pStyle w:val="3"/>
        <w:spacing w:line="324" w:lineRule="auto"/>
        <w:rPr>
          <w:rFonts w:eastAsia="宋体"/>
          <w:sz w:val="24"/>
          <w:szCs w:val="24"/>
          <w:highlight w:val="none"/>
        </w:rPr>
      </w:pPr>
      <w:r>
        <w:rPr>
          <w:rFonts w:hint="eastAsia" w:eastAsia="宋体"/>
          <w:sz w:val="24"/>
          <w:szCs w:val="24"/>
          <w:highlight w:val="none"/>
        </w:rPr>
        <w:t>1、项目概况</w:t>
      </w:r>
    </w:p>
    <w:p>
      <w:pPr>
        <w:spacing w:line="324" w:lineRule="auto"/>
        <w:ind w:firstLine="482"/>
        <w:rPr>
          <w:highlight w:val="none"/>
        </w:rPr>
      </w:pPr>
      <w:r>
        <w:rPr>
          <w:rFonts w:hint="eastAsia"/>
          <w:b/>
          <w:bCs/>
          <w:highlight w:val="none"/>
        </w:rPr>
        <w:t>项目名称：</w:t>
      </w:r>
      <w:r>
        <w:rPr>
          <w:rFonts w:hint="eastAsia"/>
          <w:szCs w:val="21"/>
          <w:highlight w:val="none"/>
        </w:rPr>
        <w:t xml:space="preserve">恩平工业园大槐片区（塘冲）基础设施建设项目设计施工总承包 </w:t>
      </w:r>
    </w:p>
    <w:p>
      <w:pPr>
        <w:spacing w:line="324" w:lineRule="auto"/>
        <w:ind w:firstLine="482"/>
        <w:rPr>
          <w:szCs w:val="21"/>
          <w:highlight w:val="none"/>
        </w:rPr>
      </w:pPr>
      <w:r>
        <w:rPr>
          <w:rFonts w:hint="eastAsia"/>
          <w:b/>
          <w:bCs/>
          <w:highlight w:val="none"/>
        </w:rPr>
        <w:t>项目业主：</w:t>
      </w:r>
      <w:r>
        <w:rPr>
          <w:rFonts w:hint="eastAsia"/>
          <w:szCs w:val="21"/>
          <w:highlight w:val="none"/>
        </w:rPr>
        <w:t>恩平市产业园区开发建设有限公司</w:t>
      </w:r>
    </w:p>
    <w:p>
      <w:pPr>
        <w:spacing w:line="324" w:lineRule="auto"/>
        <w:ind w:firstLine="482"/>
        <w:rPr>
          <w:highlight w:val="none"/>
        </w:rPr>
      </w:pPr>
      <w:r>
        <w:rPr>
          <w:rFonts w:hint="eastAsia"/>
          <w:b/>
          <w:bCs/>
          <w:highlight w:val="none"/>
        </w:rPr>
        <w:t>地理位置：</w:t>
      </w:r>
      <w:r>
        <w:rPr>
          <w:rFonts w:hint="eastAsia"/>
          <w:szCs w:val="21"/>
          <w:highlight w:val="none"/>
        </w:rPr>
        <w:t>位于广东恩平工业园大槐片区</w:t>
      </w:r>
    </w:p>
    <w:p>
      <w:pPr>
        <w:pStyle w:val="3"/>
        <w:spacing w:line="324" w:lineRule="auto"/>
        <w:rPr>
          <w:rFonts w:eastAsia="宋体"/>
          <w:sz w:val="24"/>
          <w:szCs w:val="24"/>
          <w:highlight w:val="none"/>
        </w:rPr>
      </w:pPr>
      <w:r>
        <w:rPr>
          <w:rFonts w:hint="eastAsia" w:eastAsia="宋体"/>
          <w:sz w:val="24"/>
          <w:szCs w:val="24"/>
          <w:highlight w:val="none"/>
        </w:rPr>
        <w:t>2、设计工作内容及范围</w:t>
      </w:r>
    </w:p>
    <w:p>
      <w:pPr>
        <w:ind w:firstLine="480"/>
        <w:rPr>
          <w:rFonts w:hint="eastAsia"/>
          <w:highlight w:val="none"/>
        </w:rPr>
      </w:pPr>
      <w:r>
        <w:rPr>
          <w:rFonts w:hint="eastAsia"/>
          <w:highlight w:val="none"/>
        </w:rPr>
        <w:t>恩平工业园大槐片区（塘冲）基础设施建设项目，路线总长2458.4米，涉及5条道路，其中工业二部（A路）长207.589米，工业三路（B路）长为277.498米，工业四路（C路）长228.594米，工业五路（D路）总长为758.433米，槐东二路（E路）长为986.245米。均采用相同技术标准，路基宽度均为24米，道路等级为城市次干路，设计速度均按30 km/h，路面结构为水泥混凝土路面。</w:t>
      </w:r>
    </w:p>
    <w:p>
      <w:pPr>
        <w:ind w:firstLine="480"/>
        <w:rPr>
          <w:rFonts w:hint="eastAsia"/>
          <w:highlight w:val="none"/>
        </w:rPr>
      </w:pPr>
      <w:r>
        <w:rPr>
          <w:rFonts w:hint="eastAsia"/>
          <w:highlight w:val="none"/>
        </w:rPr>
        <w:t>工作内容涉及专业：主要内容包括：道路工程、桥涵工程、给排水工程、交通（监控）工程、电气工程、管线综合工程等（包括燃气等专业）。</w:t>
      </w:r>
    </w:p>
    <w:p>
      <w:pPr>
        <w:ind w:firstLine="480"/>
        <w:rPr>
          <w:rFonts w:hint="eastAsia"/>
          <w:highlight w:val="none"/>
        </w:rPr>
      </w:pPr>
      <w:r>
        <w:rPr>
          <w:rFonts w:hint="eastAsia"/>
          <w:highlight w:val="none"/>
        </w:rPr>
        <w:t>招标范围：</w:t>
      </w:r>
      <w:r>
        <w:rPr>
          <w:rFonts w:hint="eastAsia"/>
          <w:szCs w:val="21"/>
          <w:highlight w:val="none"/>
        </w:rPr>
        <w:t>完成本项目的设计（施工图设计、施工配合、现场服务等相关服务）、</w:t>
      </w:r>
      <w:r>
        <w:rPr>
          <w:rFonts w:hint="eastAsia"/>
          <w:color w:val="auto"/>
          <w:szCs w:val="21"/>
          <w:highlight w:val="none"/>
        </w:rPr>
        <w:t>施工（工程施工范围包括</w:t>
      </w:r>
      <w:r>
        <w:rPr>
          <w:color w:val="auto"/>
          <w:szCs w:val="21"/>
          <w:highlight w:val="none"/>
        </w:rPr>
        <w:t>工程图纸设计范围内的所有工程内容</w:t>
      </w:r>
      <w:r>
        <w:rPr>
          <w:rFonts w:hint="eastAsia"/>
          <w:color w:val="auto"/>
          <w:szCs w:val="21"/>
          <w:highlight w:val="none"/>
        </w:rPr>
        <w:t>）、工程竣工验收一次性通过验收（合格），</w:t>
      </w:r>
      <w:r>
        <w:rPr>
          <w:rFonts w:hint="eastAsia"/>
          <w:color w:val="auto"/>
          <w:szCs w:val="21"/>
          <w:highlight w:val="none"/>
          <w:lang w:eastAsia="zh-CN"/>
        </w:rPr>
        <w:t>施工图预结算编制、</w:t>
      </w:r>
      <w:r>
        <w:rPr>
          <w:rFonts w:hint="eastAsia"/>
          <w:color w:val="auto"/>
          <w:szCs w:val="21"/>
          <w:highlight w:val="none"/>
        </w:rPr>
        <w:t>工程保修期内的缺陷修复和保修等</w:t>
      </w:r>
      <w:r>
        <w:rPr>
          <w:rFonts w:hint="eastAsia"/>
          <w:color w:val="auto"/>
          <w:szCs w:val="21"/>
          <w:highlight w:val="none"/>
          <w:lang w:eastAsia="zh-CN"/>
        </w:rPr>
        <w:t>全过程服务</w:t>
      </w:r>
      <w:r>
        <w:rPr>
          <w:rFonts w:hint="eastAsia"/>
          <w:color w:val="auto"/>
          <w:szCs w:val="21"/>
          <w:highlight w:val="none"/>
        </w:rPr>
        <w:t>。</w:t>
      </w:r>
    </w:p>
    <w:p>
      <w:pPr>
        <w:ind w:firstLine="480"/>
        <w:rPr>
          <w:rFonts w:hint="eastAsia"/>
          <w:highlight w:val="none"/>
        </w:rPr>
      </w:pPr>
      <w:r>
        <w:rPr>
          <w:rFonts w:hint="eastAsia"/>
          <w:highlight w:val="none"/>
        </w:rPr>
        <w:t>招标内容：施工图设计、施工一体化招标。</w:t>
      </w:r>
    </w:p>
    <w:p>
      <w:pPr>
        <w:pStyle w:val="3"/>
        <w:spacing w:line="324" w:lineRule="auto"/>
        <w:rPr>
          <w:rFonts w:eastAsia="宋体"/>
          <w:sz w:val="24"/>
          <w:szCs w:val="24"/>
          <w:highlight w:val="none"/>
        </w:rPr>
      </w:pPr>
      <w:r>
        <w:rPr>
          <w:rFonts w:hint="eastAsia" w:eastAsia="宋体"/>
          <w:sz w:val="24"/>
          <w:szCs w:val="24"/>
          <w:highlight w:val="none"/>
        </w:rPr>
        <w:t>3、工程投资</w:t>
      </w:r>
    </w:p>
    <w:p>
      <w:pPr>
        <w:ind w:firstLine="480"/>
        <w:rPr>
          <w:rFonts w:hint="eastAsia"/>
          <w:highlight w:val="none"/>
        </w:rPr>
      </w:pPr>
      <w:r>
        <w:rPr>
          <w:rFonts w:hint="eastAsia"/>
          <w:highlight w:val="none"/>
        </w:rPr>
        <w:t>项目</w:t>
      </w:r>
      <w:r>
        <w:rPr>
          <w:rFonts w:hint="eastAsia"/>
          <w:szCs w:val="21"/>
          <w:highlight w:val="none"/>
          <w:lang w:val="en-US" w:eastAsia="zh-CN"/>
        </w:rPr>
        <w:t>概算</w:t>
      </w:r>
      <w:r>
        <w:rPr>
          <w:rFonts w:hint="eastAsia"/>
          <w:highlight w:val="none"/>
        </w:rPr>
        <w:t>总投资约8946.97万元，其中建筑安装工程费用7370.45万元，设计费用约145.03万元（设计费包含施工图设计费）。</w:t>
      </w:r>
    </w:p>
    <w:p>
      <w:pPr>
        <w:ind w:firstLine="480"/>
        <w:rPr>
          <w:rFonts w:hint="eastAsia"/>
          <w:highlight w:val="none"/>
        </w:rPr>
      </w:pPr>
      <w:r>
        <w:rPr>
          <w:rFonts w:hint="eastAsia"/>
          <w:highlight w:val="none"/>
        </w:rPr>
        <w:t>建设资金来源：通过统筹各级财政资金和申请发行新债券资金解决。</w:t>
      </w:r>
    </w:p>
    <w:p>
      <w:pPr>
        <w:pStyle w:val="3"/>
        <w:spacing w:line="324" w:lineRule="auto"/>
        <w:rPr>
          <w:rFonts w:eastAsia="宋体"/>
          <w:sz w:val="24"/>
          <w:szCs w:val="24"/>
          <w:highlight w:val="none"/>
        </w:rPr>
      </w:pPr>
      <w:r>
        <w:rPr>
          <w:rFonts w:hint="eastAsia" w:eastAsia="宋体"/>
          <w:sz w:val="24"/>
          <w:szCs w:val="24"/>
          <w:highlight w:val="none"/>
        </w:rPr>
        <w:t>4、设计相关规范标准</w:t>
      </w:r>
    </w:p>
    <w:p>
      <w:pPr>
        <w:numPr>
          <w:ilvl w:val="0"/>
          <w:numId w:val="18"/>
        </w:numPr>
        <w:spacing w:line="324" w:lineRule="auto"/>
        <w:ind w:firstLine="480"/>
        <w:rPr>
          <w:highlight w:val="none"/>
        </w:rPr>
      </w:pPr>
      <w:r>
        <w:rPr>
          <w:highlight w:val="none"/>
        </w:rPr>
        <w:t>《市政工程勘察规范》（CJJ 56-2012）</w:t>
      </w:r>
    </w:p>
    <w:p>
      <w:pPr>
        <w:numPr>
          <w:ilvl w:val="0"/>
          <w:numId w:val="18"/>
        </w:numPr>
        <w:spacing w:line="324" w:lineRule="auto"/>
        <w:ind w:firstLine="480"/>
        <w:rPr>
          <w:highlight w:val="none"/>
        </w:rPr>
      </w:pPr>
      <w:r>
        <w:rPr>
          <w:highlight w:val="none"/>
        </w:rPr>
        <w:t>《市政公用工程设计文件编制深度规定》（2013年版）；</w:t>
      </w:r>
    </w:p>
    <w:p>
      <w:pPr>
        <w:numPr>
          <w:ilvl w:val="0"/>
          <w:numId w:val="18"/>
        </w:numPr>
        <w:spacing w:line="324" w:lineRule="auto"/>
        <w:ind w:firstLine="480"/>
        <w:rPr>
          <w:highlight w:val="none"/>
        </w:rPr>
      </w:pPr>
      <w:r>
        <w:rPr>
          <w:highlight w:val="none"/>
        </w:rPr>
        <w:t>《室外排水设计标准》（GB50014-2021）；</w:t>
      </w:r>
    </w:p>
    <w:p>
      <w:pPr>
        <w:numPr>
          <w:ilvl w:val="0"/>
          <w:numId w:val="18"/>
        </w:numPr>
        <w:spacing w:line="324" w:lineRule="auto"/>
        <w:ind w:firstLine="480"/>
        <w:rPr>
          <w:highlight w:val="none"/>
        </w:rPr>
      </w:pPr>
      <w:r>
        <w:rPr>
          <w:highlight w:val="none"/>
        </w:rPr>
        <w:t>《城市工程管线综合规划规范》（GB50289-2016）；</w:t>
      </w:r>
    </w:p>
    <w:p>
      <w:pPr>
        <w:numPr>
          <w:ilvl w:val="0"/>
          <w:numId w:val="18"/>
        </w:numPr>
        <w:spacing w:line="324" w:lineRule="auto"/>
        <w:ind w:firstLine="480"/>
        <w:rPr>
          <w:highlight w:val="none"/>
        </w:rPr>
      </w:pPr>
      <w:r>
        <w:rPr>
          <w:highlight w:val="none"/>
        </w:rPr>
        <w:t>《城市排水工程规划规范》（GB50318-2017）；</w:t>
      </w:r>
    </w:p>
    <w:p>
      <w:pPr>
        <w:numPr>
          <w:ilvl w:val="0"/>
          <w:numId w:val="18"/>
        </w:numPr>
        <w:spacing w:line="324" w:lineRule="auto"/>
        <w:ind w:firstLine="480"/>
        <w:rPr>
          <w:highlight w:val="none"/>
        </w:rPr>
      </w:pPr>
      <w:r>
        <w:rPr>
          <w:highlight w:val="none"/>
        </w:rPr>
        <w:t>《城镇给水排水技术规范》（GB50788-2012）；</w:t>
      </w:r>
    </w:p>
    <w:p>
      <w:pPr>
        <w:numPr>
          <w:ilvl w:val="0"/>
          <w:numId w:val="18"/>
        </w:numPr>
        <w:spacing w:line="324" w:lineRule="auto"/>
        <w:ind w:firstLine="480"/>
        <w:rPr>
          <w:highlight w:val="none"/>
        </w:rPr>
      </w:pPr>
      <w:r>
        <w:rPr>
          <w:highlight w:val="none"/>
        </w:rPr>
        <w:t>《给水排水管道工程施工及验收规范》（GB50268-2008）；</w:t>
      </w:r>
    </w:p>
    <w:p>
      <w:pPr>
        <w:numPr>
          <w:ilvl w:val="0"/>
          <w:numId w:val="18"/>
        </w:numPr>
        <w:spacing w:line="324" w:lineRule="auto"/>
        <w:ind w:firstLine="480"/>
        <w:rPr>
          <w:highlight w:val="none"/>
        </w:rPr>
      </w:pPr>
      <w:r>
        <w:rPr>
          <w:highlight w:val="none"/>
        </w:rPr>
        <w:t>《污水排入城镇下水道水质标准》（GB/T31962-2015）；</w:t>
      </w:r>
    </w:p>
    <w:p>
      <w:pPr>
        <w:numPr>
          <w:ilvl w:val="0"/>
          <w:numId w:val="18"/>
        </w:numPr>
        <w:spacing w:line="324" w:lineRule="auto"/>
        <w:ind w:firstLine="480"/>
        <w:rPr>
          <w:highlight w:val="none"/>
        </w:rPr>
      </w:pPr>
      <w:r>
        <w:rPr>
          <w:highlight w:val="none"/>
        </w:rPr>
        <w:t>《混凝土和钢筋混凝土排水管》（GB/T11836-2009）；</w:t>
      </w:r>
    </w:p>
    <w:p>
      <w:pPr>
        <w:numPr>
          <w:ilvl w:val="0"/>
          <w:numId w:val="18"/>
        </w:numPr>
        <w:spacing w:line="324" w:lineRule="auto"/>
        <w:ind w:firstLine="480"/>
        <w:rPr>
          <w:highlight w:val="none"/>
        </w:rPr>
      </w:pPr>
      <w:r>
        <w:rPr>
          <w:highlight w:val="none"/>
        </w:rPr>
        <w:t>《给水排水工程构筑物结构设计规范》（GB50069-2002）；</w:t>
      </w:r>
    </w:p>
    <w:p>
      <w:pPr>
        <w:numPr>
          <w:ilvl w:val="0"/>
          <w:numId w:val="18"/>
        </w:numPr>
        <w:spacing w:line="324" w:lineRule="auto"/>
        <w:ind w:firstLine="480"/>
        <w:rPr>
          <w:highlight w:val="none"/>
        </w:rPr>
      </w:pPr>
      <w:r>
        <w:rPr>
          <w:highlight w:val="none"/>
        </w:rPr>
        <w:t>《建筑给水排水设计标准》（GB50015-2019）；</w:t>
      </w:r>
    </w:p>
    <w:p>
      <w:pPr>
        <w:numPr>
          <w:ilvl w:val="0"/>
          <w:numId w:val="18"/>
        </w:numPr>
        <w:spacing w:line="324" w:lineRule="auto"/>
        <w:ind w:firstLine="480"/>
        <w:rPr>
          <w:highlight w:val="none"/>
        </w:rPr>
      </w:pPr>
      <w:r>
        <w:rPr>
          <w:highlight w:val="none"/>
        </w:rPr>
        <w:t>《井盖设施建设技术规范》（DBJ440100/T160-2013）；</w:t>
      </w:r>
    </w:p>
    <w:p>
      <w:pPr>
        <w:numPr>
          <w:ilvl w:val="0"/>
          <w:numId w:val="18"/>
        </w:numPr>
        <w:spacing w:line="324" w:lineRule="auto"/>
        <w:ind w:firstLine="480"/>
        <w:rPr>
          <w:highlight w:val="none"/>
        </w:rPr>
      </w:pPr>
      <w:r>
        <w:rPr>
          <w:highlight w:val="none"/>
        </w:rPr>
        <w:t>《城市道路交通工程项目规范》（GB55011-2021）；</w:t>
      </w:r>
    </w:p>
    <w:p>
      <w:pPr>
        <w:numPr>
          <w:ilvl w:val="0"/>
          <w:numId w:val="18"/>
        </w:numPr>
        <w:spacing w:line="324" w:lineRule="auto"/>
        <w:ind w:firstLine="480"/>
        <w:rPr>
          <w:highlight w:val="none"/>
        </w:rPr>
      </w:pPr>
      <w:r>
        <w:rPr>
          <w:highlight w:val="none"/>
        </w:rPr>
        <w:t>《城市道路工程设计规范》（CJJ37-2012）（2016年版）；</w:t>
      </w:r>
    </w:p>
    <w:p>
      <w:pPr>
        <w:numPr>
          <w:ilvl w:val="0"/>
          <w:numId w:val="18"/>
        </w:numPr>
        <w:spacing w:line="324" w:lineRule="auto"/>
        <w:ind w:firstLine="480"/>
        <w:rPr>
          <w:highlight w:val="none"/>
        </w:rPr>
      </w:pPr>
      <w:r>
        <w:rPr>
          <w:highlight w:val="none"/>
        </w:rPr>
        <w:t>《城市道路路线设计规范》（CJJ193-2012）；</w:t>
      </w:r>
    </w:p>
    <w:p>
      <w:pPr>
        <w:numPr>
          <w:ilvl w:val="0"/>
          <w:numId w:val="18"/>
        </w:numPr>
        <w:spacing w:line="324" w:lineRule="auto"/>
        <w:ind w:firstLine="480"/>
        <w:rPr>
          <w:highlight w:val="none"/>
        </w:rPr>
      </w:pPr>
      <w:r>
        <w:rPr>
          <w:highlight w:val="none"/>
        </w:rPr>
        <w:t>《城市道路交叉口设计规程》（CJJ152—2010）；</w:t>
      </w:r>
    </w:p>
    <w:p>
      <w:pPr>
        <w:numPr>
          <w:ilvl w:val="0"/>
          <w:numId w:val="18"/>
        </w:numPr>
        <w:spacing w:line="324" w:lineRule="auto"/>
        <w:ind w:firstLine="480"/>
        <w:rPr>
          <w:highlight w:val="none"/>
        </w:rPr>
      </w:pPr>
      <w:r>
        <w:rPr>
          <w:highlight w:val="none"/>
        </w:rPr>
        <w:t>《城市道路路基设计规范》（CJJ194—2013）；</w:t>
      </w:r>
    </w:p>
    <w:p>
      <w:pPr>
        <w:numPr>
          <w:ilvl w:val="0"/>
          <w:numId w:val="18"/>
        </w:numPr>
        <w:spacing w:line="324" w:lineRule="auto"/>
        <w:ind w:firstLine="480"/>
        <w:rPr>
          <w:highlight w:val="none"/>
        </w:rPr>
      </w:pPr>
      <w:r>
        <w:rPr>
          <w:highlight w:val="none"/>
        </w:rPr>
        <w:t>《城镇道路路面设计规范》（CJJ169-2012）；</w:t>
      </w:r>
    </w:p>
    <w:p>
      <w:pPr>
        <w:numPr>
          <w:ilvl w:val="0"/>
          <w:numId w:val="18"/>
        </w:numPr>
        <w:spacing w:line="324" w:lineRule="auto"/>
        <w:ind w:firstLine="480"/>
        <w:rPr>
          <w:highlight w:val="none"/>
        </w:rPr>
      </w:pPr>
      <w:r>
        <w:rPr>
          <w:highlight w:val="none"/>
        </w:rPr>
        <w:t>《城市道路掘路修复技术规范》（DBJ440100T 15-2008）；</w:t>
      </w:r>
    </w:p>
    <w:p>
      <w:pPr>
        <w:numPr>
          <w:ilvl w:val="0"/>
          <w:numId w:val="18"/>
        </w:numPr>
        <w:spacing w:line="324" w:lineRule="auto"/>
        <w:ind w:firstLine="480"/>
        <w:rPr>
          <w:highlight w:val="none"/>
        </w:rPr>
      </w:pPr>
      <w:r>
        <w:rPr>
          <w:highlight w:val="none"/>
        </w:rPr>
        <w:t>《城镇道路养护技术规范》（CJJ 36-2006）；</w:t>
      </w:r>
    </w:p>
    <w:p>
      <w:pPr>
        <w:numPr>
          <w:ilvl w:val="0"/>
          <w:numId w:val="18"/>
        </w:numPr>
        <w:spacing w:line="324" w:lineRule="auto"/>
        <w:ind w:firstLine="480"/>
        <w:rPr>
          <w:highlight w:val="none"/>
        </w:rPr>
      </w:pPr>
      <w:r>
        <w:rPr>
          <w:highlight w:val="none"/>
        </w:rPr>
        <w:t>《无障碍设计规范》（GB50763-2012）；</w:t>
      </w:r>
    </w:p>
    <w:p>
      <w:pPr>
        <w:numPr>
          <w:ilvl w:val="0"/>
          <w:numId w:val="18"/>
        </w:numPr>
        <w:spacing w:line="324" w:lineRule="auto"/>
        <w:ind w:firstLine="480"/>
        <w:rPr>
          <w:highlight w:val="none"/>
        </w:rPr>
      </w:pPr>
      <w:r>
        <w:rPr>
          <w:highlight w:val="none"/>
        </w:rPr>
        <w:t>《城市道路交通设施设计规范》（GB 50688-2011）（2019年版）；</w:t>
      </w:r>
    </w:p>
    <w:p>
      <w:pPr>
        <w:numPr>
          <w:ilvl w:val="0"/>
          <w:numId w:val="18"/>
        </w:numPr>
        <w:spacing w:line="324" w:lineRule="auto"/>
        <w:ind w:firstLine="480"/>
        <w:rPr>
          <w:highlight w:val="none"/>
        </w:rPr>
      </w:pPr>
      <w:r>
        <w:rPr>
          <w:highlight w:val="none"/>
        </w:rPr>
        <w:t>《道路交通标志和标线》（GB5768-2009）；</w:t>
      </w:r>
    </w:p>
    <w:p>
      <w:pPr>
        <w:numPr>
          <w:ilvl w:val="0"/>
          <w:numId w:val="18"/>
        </w:numPr>
        <w:spacing w:line="324" w:lineRule="auto"/>
        <w:ind w:firstLine="480"/>
        <w:rPr>
          <w:highlight w:val="none"/>
        </w:rPr>
      </w:pPr>
      <w:r>
        <w:rPr>
          <w:highlight w:val="none"/>
        </w:rPr>
        <w:t>《城市道路交通标志和标线设置规范》（GB51038-2015）；</w:t>
      </w:r>
    </w:p>
    <w:p>
      <w:pPr>
        <w:numPr>
          <w:ilvl w:val="0"/>
          <w:numId w:val="18"/>
        </w:numPr>
        <w:spacing w:line="324" w:lineRule="auto"/>
        <w:ind w:firstLine="480"/>
        <w:rPr>
          <w:highlight w:val="none"/>
        </w:rPr>
      </w:pPr>
      <w:r>
        <w:rPr>
          <w:highlight w:val="none"/>
        </w:rPr>
        <w:t>《城市道路施工作业交通组织规范》（GAT 900-2010）；</w:t>
      </w:r>
    </w:p>
    <w:p>
      <w:pPr>
        <w:numPr>
          <w:ilvl w:val="0"/>
          <w:numId w:val="18"/>
        </w:numPr>
        <w:spacing w:line="324" w:lineRule="auto"/>
        <w:ind w:firstLine="480"/>
        <w:rPr>
          <w:highlight w:val="none"/>
        </w:rPr>
      </w:pPr>
      <w:r>
        <w:rPr>
          <w:highlight w:val="none"/>
        </w:rPr>
        <w:t>《市政工程设计概算编制办法》建标[2011]1号；</w:t>
      </w:r>
    </w:p>
    <w:p>
      <w:pPr>
        <w:numPr>
          <w:ilvl w:val="0"/>
          <w:numId w:val="18"/>
        </w:numPr>
        <w:spacing w:line="324" w:lineRule="auto"/>
        <w:ind w:firstLine="480"/>
        <w:rPr>
          <w:highlight w:val="none"/>
        </w:rPr>
      </w:pPr>
      <w:r>
        <w:rPr>
          <w:highlight w:val="none"/>
        </w:rPr>
        <w:t>《城市道路照明设计标准》（CJJ45-2015）；</w:t>
      </w:r>
    </w:p>
    <w:p>
      <w:pPr>
        <w:numPr>
          <w:ilvl w:val="0"/>
          <w:numId w:val="18"/>
        </w:numPr>
        <w:spacing w:line="324" w:lineRule="auto"/>
        <w:ind w:firstLine="480"/>
        <w:rPr>
          <w:highlight w:val="none"/>
        </w:rPr>
      </w:pPr>
      <w:r>
        <w:rPr>
          <w:highlight w:val="none"/>
        </w:rPr>
        <w:t>《城市道路照明工程施工及验收规程》（CJJ89-2012）；</w:t>
      </w:r>
    </w:p>
    <w:p>
      <w:pPr>
        <w:pStyle w:val="3"/>
        <w:spacing w:line="324" w:lineRule="auto"/>
        <w:rPr>
          <w:rFonts w:eastAsia="宋体"/>
          <w:sz w:val="24"/>
          <w:szCs w:val="24"/>
          <w:highlight w:val="none"/>
        </w:rPr>
      </w:pPr>
      <w:r>
        <w:rPr>
          <w:rFonts w:hint="eastAsia" w:eastAsia="宋体"/>
          <w:sz w:val="24"/>
          <w:szCs w:val="24"/>
          <w:highlight w:val="none"/>
        </w:rPr>
        <w:t>5、</w:t>
      </w:r>
      <w:r>
        <w:rPr>
          <w:rFonts w:eastAsia="宋体"/>
          <w:sz w:val="24"/>
          <w:szCs w:val="24"/>
          <w:highlight w:val="none"/>
        </w:rPr>
        <w:t>设计要求</w:t>
      </w:r>
    </w:p>
    <w:p>
      <w:pPr>
        <w:ind w:firstLine="480"/>
        <w:rPr>
          <w:rFonts w:hint="eastAsia"/>
          <w:highlight w:val="none"/>
        </w:rPr>
      </w:pPr>
      <w:r>
        <w:rPr>
          <w:rFonts w:hint="eastAsia"/>
          <w:highlight w:val="none"/>
        </w:rPr>
        <w:t>质量标准：达到国家、省或行业现行的工程设计准则和相关规范要求，满足招标人的功能需求，并通过招标人及有关部门或专业机构的审查。</w:t>
      </w:r>
    </w:p>
    <w:p>
      <w:pPr>
        <w:pStyle w:val="3"/>
        <w:spacing w:line="324" w:lineRule="auto"/>
        <w:rPr>
          <w:rFonts w:eastAsia="宋体"/>
          <w:sz w:val="24"/>
          <w:szCs w:val="24"/>
          <w:highlight w:val="none"/>
        </w:rPr>
      </w:pPr>
      <w:r>
        <w:rPr>
          <w:rFonts w:hint="eastAsia" w:eastAsia="宋体"/>
          <w:sz w:val="24"/>
          <w:szCs w:val="24"/>
          <w:highlight w:val="none"/>
        </w:rPr>
        <w:t>6、质量要求</w:t>
      </w:r>
    </w:p>
    <w:p>
      <w:pPr>
        <w:ind w:firstLine="480"/>
        <w:rPr>
          <w:highlight w:val="none"/>
        </w:rPr>
      </w:pPr>
      <w:r>
        <w:rPr>
          <w:rFonts w:hint="eastAsia"/>
          <w:highlight w:val="none"/>
        </w:rPr>
        <w:t>符合现行国家有关施工验收规范的要求，一次性通过验收合格。</w:t>
      </w:r>
    </w:p>
    <w:p>
      <w:pPr>
        <w:pStyle w:val="3"/>
        <w:spacing w:line="324" w:lineRule="auto"/>
        <w:rPr>
          <w:rFonts w:eastAsia="宋体"/>
          <w:sz w:val="24"/>
          <w:szCs w:val="24"/>
          <w:highlight w:val="none"/>
        </w:rPr>
      </w:pPr>
      <w:r>
        <w:rPr>
          <w:rFonts w:hint="eastAsia" w:eastAsia="宋体"/>
          <w:sz w:val="24"/>
          <w:szCs w:val="24"/>
          <w:highlight w:val="none"/>
        </w:rPr>
        <w:t>7、基础资料</w:t>
      </w:r>
    </w:p>
    <w:p>
      <w:pPr>
        <w:ind w:firstLine="480"/>
        <w:rPr>
          <w:highlight w:val="none"/>
        </w:rPr>
      </w:pPr>
      <w:r>
        <w:rPr>
          <w:rFonts w:hint="eastAsia"/>
          <w:highlight w:val="none"/>
        </w:rPr>
        <w:t>以建设单位提供的资料为准。</w:t>
      </w:r>
    </w:p>
    <w:p>
      <w:pPr>
        <w:ind w:firstLine="480"/>
        <w:rPr>
          <w:highlight w:val="none"/>
        </w:rPr>
      </w:pPr>
    </w:p>
    <w:p>
      <w:pPr>
        <w:autoSpaceDE w:val="0"/>
        <w:autoSpaceDN w:val="0"/>
        <w:adjustRightInd w:val="0"/>
        <w:spacing w:line="360" w:lineRule="auto"/>
        <w:jc w:val="left"/>
        <w:rPr>
          <w:rFonts w:ascii="宋体" w:hAnsi="宋体" w:cs="宋体"/>
          <w:color w:val="000000"/>
          <w:szCs w:val="21"/>
          <w:highlight w:val="none"/>
        </w:rPr>
      </w:pPr>
    </w:p>
    <w:p>
      <w:pPr>
        <w:pStyle w:val="2"/>
        <w:jc w:val="center"/>
        <w:rPr>
          <w:highlight w:val="none"/>
        </w:rPr>
      </w:pPr>
      <w:bookmarkStart w:id="1260" w:name="_Toc247514245"/>
      <w:bookmarkStart w:id="1261" w:name="_Toc5342"/>
      <w:bookmarkStart w:id="1262" w:name="_Toc6726"/>
      <w:bookmarkStart w:id="1263" w:name="_Toc247527826"/>
      <w:r>
        <w:rPr>
          <w:highlight w:val="none"/>
        </w:rPr>
        <w:br w:type="page"/>
      </w:r>
      <w:r>
        <w:rPr>
          <w:rFonts w:hint="eastAsia"/>
          <w:highlight w:val="none"/>
        </w:rPr>
        <w:t>第六章  投标文件格式</w:t>
      </w:r>
      <w:bookmarkEnd w:id="1260"/>
      <w:bookmarkEnd w:id="1261"/>
      <w:bookmarkEnd w:id="1262"/>
      <w:bookmarkEnd w:id="1263"/>
    </w:p>
    <w:p>
      <w:pPr>
        <w:spacing w:line="400" w:lineRule="exact"/>
        <w:jc w:val="center"/>
        <w:rPr>
          <w:kern w:val="1"/>
          <w:sz w:val="32"/>
          <w:szCs w:val="32"/>
          <w:highlight w:val="none"/>
        </w:rPr>
      </w:pPr>
    </w:p>
    <w:p>
      <w:pPr>
        <w:spacing w:line="440" w:lineRule="exact"/>
        <w:jc w:val="center"/>
        <w:rPr>
          <w:szCs w:val="21"/>
          <w:highlight w:val="none"/>
        </w:rPr>
      </w:pPr>
    </w:p>
    <w:p>
      <w:pPr>
        <w:spacing w:line="440" w:lineRule="exact"/>
        <w:ind w:firstLine="420" w:firstLineChars="200"/>
        <w:rPr>
          <w:szCs w:val="21"/>
          <w:highlight w:val="none"/>
        </w:rPr>
      </w:pPr>
    </w:p>
    <w:p>
      <w:pPr>
        <w:spacing w:line="440" w:lineRule="exact"/>
        <w:ind w:firstLine="420" w:firstLineChars="200"/>
        <w:rPr>
          <w:szCs w:val="21"/>
          <w:highlight w:val="none"/>
        </w:rPr>
      </w:pPr>
    </w:p>
    <w:p>
      <w:pPr>
        <w:spacing w:line="440" w:lineRule="exact"/>
        <w:ind w:firstLine="420" w:firstLineChars="200"/>
        <w:rPr>
          <w:szCs w:val="21"/>
          <w:highlight w:val="none"/>
        </w:rPr>
      </w:pPr>
    </w:p>
    <w:p>
      <w:pPr>
        <w:spacing w:line="440" w:lineRule="exact"/>
        <w:ind w:firstLine="420" w:firstLineChars="200"/>
        <w:rPr>
          <w:szCs w:val="21"/>
          <w:highlight w:val="none"/>
        </w:rPr>
      </w:pPr>
    </w:p>
    <w:p>
      <w:pPr>
        <w:spacing w:line="440" w:lineRule="exact"/>
        <w:ind w:firstLine="420" w:firstLineChars="200"/>
        <w:rPr>
          <w:szCs w:val="21"/>
          <w:highlight w:val="none"/>
        </w:rPr>
      </w:pPr>
    </w:p>
    <w:p>
      <w:pPr>
        <w:spacing w:line="440" w:lineRule="exact"/>
        <w:ind w:firstLine="420" w:firstLineChars="200"/>
        <w:rPr>
          <w:szCs w:val="21"/>
          <w:highlight w:val="none"/>
        </w:rPr>
      </w:pPr>
    </w:p>
    <w:p>
      <w:pPr>
        <w:spacing w:line="440" w:lineRule="exact"/>
        <w:ind w:firstLine="420" w:firstLineChars="200"/>
        <w:rPr>
          <w:szCs w:val="21"/>
          <w:highlight w:val="none"/>
        </w:rPr>
      </w:pPr>
    </w:p>
    <w:p>
      <w:pPr>
        <w:spacing w:line="440" w:lineRule="exact"/>
        <w:ind w:firstLine="420" w:firstLineChars="200"/>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spacing w:line="440" w:lineRule="exact"/>
        <w:jc w:val="right"/>
        <w:rPr>
          <w:rFonts w:ascii="宋体" w:hAnsi="宋体"/>
          <w:sz w:val="28"/>
          <w:szCs w:val="28"/>
          <w:highlight w:val="none"/>
        </w:rPr>
      </w:pPr>
    </w:p>
    <w:p>
      <w:pPr>
        <w:spacing w:line="440" w:lineRule="exact"/>
        <w:jc w:val="right"/>
        <w:rPr>
          <w:rFonts w:ascii="宋体" w:hAnsi="宋体"/>
          <w:sz w:val="28"/>
          <w:szCs w:val="28"/>
          <w:highlight w:val="none"/>
        </w:rPr>
      </w:pPr>
    </w:p>
    <w:p>
      <w:pPr>
        <w:pStyle w:val="13"/>
        <w:rPr>
          <w:rFonts w:hAnsi="宋体"/>
          <w:sz w:val="28"/>
          <w:szCs w:val="28"/>
          <w:highlight w:val="none"/>
        </w:rPr>
      </w:pPr>
    </w:p>
    <w:p>
      <w:pPr>
        <w:rPr>
          <w:rFonts w:ascii="宋体" w:hAnsi="宋体"/>
          <w:sz w:val="28"/>
          <w:szCs w:val="28"/>
          <w:highlight w:val="none"/>
        </w:rPr>
      </w:pPr>
    </w:p>
    <w:p>
      <w:pPr>
        <w:pStyle w:val="13"/>
        <w:rPr>
          <w:rFonts w:hAnsi="宋体"/>
          <w:sz w:val="28"/>
          <w:szCs w:val="28"/>
          <w:highlight w:val="none"/>
        </w:rPr>
      </w:pPr>
    </w:p>
    <w:p>
      <w:pPr>
        <w:rPr>
          <w:rFonts w:ascii="宋体" w:hAnsi="宋体"/>
          <w:sz w:val="28"/>
          <w:szCs w:val="28"/>
          <w:highlight w:val="none"/>
        </w:rPr>
      </w:pPr>
    </w:p>
    <w:p>
      <w:pPr>
        <w:pStyle w:val="13"/>
        <w:rPr>
          <w:rFonts w:hAnsi="宋体"/>
          <w:sz w:val="28"/>
          <w:szCs w:val="28"/>
          <w:highlight w:val="none"/>
        </w:rPr>
      </w:pPr>
    </w:p>
    <w:p>
      <w:pPr>
        <w:rPr>
          <w:rFonts w:ascii="宋体" w:hAnsi="宋体"/>
          <w:sz w:val="28"/>
          <w:szCs w:val="28"/>
          <w:highlight w:val="none"/>
        </w:rPr>
      </w:pPr>
    </w:p>
    <w:p>
      <w:pPr>
        <w:pStyle w:val="13"/>
        <w:rPr>
          <w:rFonts w:hAnsi="宋体"/>
          <w:sz w:val="28"/>
          <w:szCs w:val="28"/>
          <w:highlight w:val="none"/>
        </w:rPr>
      </w:pPr>
    </w:p>
    <w:p>
      <w:pPr>
        <w:rPr>
          <w:rFonts w:ascii="宋体" w:hAnsi="宋体"/>
          <w:sz w:val="28"/>
          <w:szCs w:val="28"/>
          <w:highlight w:val="none"/>
        </w:rPr>
      </w:pPr>
    </w:p>
    <w:p>
      <w:pPr>
        <w:pStyle w:val="13"/>
        <w:rPr>
          <w:rFonts w:hAnsi="宋体"/>
          <w:sz w:val="28"/>
          <w:szCs w:val="28"/>
          <w:highlight w:val="none"/>
        </w:rPr>
      </w:pPr>
    </w:p>
    <w:p>
      <w:pPr>
        <w:rPr>
          <w:rFonts w:ascii="宋体" w:hAnsi="宋体"/>
          <w:sz w:val="28"/>
          <w:szCs w:val="28"/>
          <w:highlight w:val="none"/>
        </w:rPr>
      </w:pPr>
    </w:p>
    <w:p>
      <w:pPr>
        <w:pStyle w:val="13"/>
        <w:rPr>
          <w:rFonts w:hAnsi="宋体"/>
          <w:sz w:val="28"/>
          <w:szCs w:val="28"/>
          <w:highlight w:val="none"/>
        </w:rPr>
      </w:pPr>
    </w:p>
    <w:p>
      <w:pPr>
        <w:spacing w:line="440" w:lineRule="exact"/>
        <w:jc w:val="right"/>
        <w:rPr>
          <w:rFonts w:ascii="宋体" w:hAnsi="宋体"/>
          <w:sz w:val="30"/>
          <w:szCs w:val="30"/>
          <w:highlight w:val="none"/>
        </w:rPr>
      </w:pPr>
      <w:r>
        <w:rPr>
          <w:rFonts w:hint="eastAsia" w:ascii="宋体" w:hAnsi="宋体"/>
          <w:sz w:val="30"/>
          <w:szCs w:val="30"/>
          <w:highlight w:val="none"/>
        </w:rPr>
        <w:t>（正本/副本）</w:t>
      </w:r>
    </w:p>
    <w:p>
      <w:pPr>
        <w:spacing w:line="400" w:lineRule="exact"/>
        <w:rPr>
          <w:highlight w:val="none"/>
        </w:rPr>
      </w:pPr>
    </w:p>
    <w:p>
      <w:pPr>
        <w:spacing w:line="440" w:lineRule="exact"/>
        <w:rPr>
          <w:rFonts w:eastAsia="黑体"/>
          <w:sz w:val="20"/>
          <w:szCs w:val="20"/>
          <w:highlight w:val="none"/>
        </w:rPr>
      </w:pPr>
    </w:p>
    <w:p>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（项目名称）</w:t>
      </w:r>
      <w:r>
        <w:rPr>
          <w:rFonts w:hint="eastAsia" w:eastAsia="黑体"/>
          <w:sz w:val="28"/>
          <w:szCs w:val="28"/>
          <w:highlight w:val="none"/>
        </w:rPr>
        <w:t>设计施工总承包投</w:t>
      </w:r>
      <w:r>
        <w:rPr>
          <w:rFonts w:eastAsia="黑体"/>
          <w:sz w:val="28"/>
          <w:szCs w:val="28"/>
          <w:highlight w:val="none"/>
        </w:rPr>
        <w:t>标</w:t>
      </w:r>
    </w:p>
    <w:p>
      <w:pPr>
        <w:rPr>
          <w:rFonts w:eastAsia="黑体"/>
          <w:sz w:val="20"/>
          <w:szCs w:val="20"/>
          <w:highlight w:val="none"/>
        </w:rPr>
      </w:pPr>
    </w:p>
    <w:p>
      <w:pPr>
        <w:rPr>
          <w:rFonts w:eastAsia="黑体"/>
          <w:sz w:val="20"/>
          <w:szCs w:val="20"/>
          <w:highlight w:val="none"/>
        </w:rPr>
      </w:pPr>
    </w:p>
    <w:p>
      <w:pPr>
        <w:jc w:val="center"/>
        <w:rPr>
          <w:rFonts w:eastAsia="黑体"/>
          <w:sz w:val="44"/>
          <w:szCs w:val="44"/>
          <w:highlight w:val="none"/>
        </w:rPr>
      </w:pPr>
      <w:r>
        <w:rPr>
          <w:rFonts w:hint="eastAsia" w:eastAsia="黑体"/>
          <w:sz w:val="44"/>
          <w:szCs w:val="44"/>
          <w:highlight w:val="none"/>
        </w:rPr>
        <w:t>资格审查商务投标文件</w:t>
      </w:r>
    </w:p>
    <w:p>
      <w:pPr>
        <w:jc w:val="center"/>
        <w:rPr>
          <w:rFonts w:eastAsia="黑体"/>
          <w:sz w:val="44"/>
          <w:szCs w:val="44"/>
          <w:highlight w:val="none"/>
        </w:rPr>
      </w:pPr>
      <w:r>
        <w:rPr>
          <w:rFonts w:hint="eastAsia" w:eastAsia="黑体"/>
          <w:sz w:val="44"/>
          <w:szCs w:val="44"/>
          <w:highlight w:val="none"/>
        </w:rPr>
        <w:t xml:space="preserve"> </w:t>
      </w:r>
    </w:p>
    <w:p>
      <w:pPr>
        <w:jc w:val="center"/>
        <w:rPr>
          <w:rFonts w:eastAsia="黑体"/>
          <w:sz w:val="44"/>
          <w:szCs w:val="44"/>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tabs>
          <w:tab w:val="left" w:pos="7367"/>
          <w:tab w:val="left" w:pos="8234"/>
        </w:tabs>
        <w:kinsoku w:val="0"/>
        <w:overflowPunct w:val="0"/>
        <w:autoSpaceDE w:val="0"/>
        <w:autoSpaceDN w:val="0"/>
        <w:adjustRightInd w:val="0"/>
        <w:spacing w:line="408" w:lineRule="auto"/>
        <w:ind w:left="112" w:right="108" w:hanging="112"/>
        <w:rPr>
          <w:rFonts w:ascii="宋体" w:hAnsi="宋体"/>
          <w:sz w:val="28"/>
          <w:highlight w:val="none"/>
        </w:rPr>
      </w:pPr>
      <w:r>
        <w:rPr>
          <w:rFonts w:hint="eastAsia" w:ascii="宋体" w:hAnsi="宋体"/>
          <w:spacing w:val="-2"/>
          <w:sz w:val="28"/>
          <w:highlight w:val="none"/>
        </w:rPr>
        <w:t>投标人：</w:t>
      </w:r>
      <w:r>
        <w:rPr>
          <w:rFonts w:ascii="宋体" w:hAnsi="宋体"/>
          <w:spacing w:val="-2"/>
          <w:sz w:val="28"/>
          <w:highlight w:val="none"/>
          <w:u w:val="single"/>
        </w:rPr>
        <w:tab/>
      </w:r>
      <w:r>
        <w:rPr>
          <w:rFonts w:hint="eastAsia" w:ascii="宋体" w:hAnsi="宋体"/>
          <w:spacing w:val="-2"/>
          <w:sz w:val="28"/>
          <w:highlight w:val="none"/>
        </w:rPr>
        <w:t>（盖单位章）</w:t>
      </w:r>
      <w:r>
        <w:rPr>
          <w:rFonts w:hint="eastAsia" w:ascii="宋体" w:hAnsi="宋体"/>
          <w:sz w:val="28"/>
          <w:highlight w:val="none"/>
        </w:rPr>
        <w:t xml:space="preserve"> </w:t>
      </w:r>
    </w:p>
    <w:p>
      <w:pPr>
        <w:tabs>
          <w:tab w:val="left" w:pos="7367"/>
          <w:tab w:val="left" w:pos="8234"/>
        </w:tabs>
        <w:kinsoku w:val="0"/>
        <w:overflowPunct w:val="0"/>
        <w:autoSpaceDE w:val="0"/>
        <w:autoSpaceDN w:val="0"/>
        <w:adjustRightInd w:val="0"/>
        <w:spacing w:line="408" w:lineRule="auto"/>
        <w:ind w:left="112" w:right="108" w:hanging="142"/>
        <w:jc w:val="center"/>
        <w:rPr>
          <w:rFonts w:ascii="宋体" w:hAnsi="宋体"/>
          <w:sz w:val="28"/>
          <w:highlight w:val="none"/>
        </w:rPr>
      </w:pPr>
      <w:r>
        <w:rPr>
          <w:rFonts w:hint="eastAsia" w:ascii="宋体" w:hAnsi="宋体"/>
          <w:spacing w:val="-3"/>
          <w:sz w:val="28"/>
          <w:highlight w:val="none"/>
        </w:rPr>
        <w:t>法定代表人或其委托代理人：</w:t>
      </w:r>
      <w:r>
        <w:rPr>
          <w:rFonts w:ascii="宋体" w:hAnsi="宋体"/>
          <w:spacing w:val="-3"/>
          <w:sz w:val="28"/>
          <w:highlight w:val="none"/>
          <w:u w:val="single"/>
        </w:rPr>
        <w:tab/>
      </w:r>
      <w:r>
        <w:rPr>
          <w:rFonts w:hint="eastAsia" w:ascii="宋体" w:hAnsi="宋体"/>
          <w:sz w:val="28"/>
          <w:highlight w:val="none"/>
        </w:rPr>
        <w:t xml:space="preserve">（签字或盖章） </w:t>
      </w:r>
    </w:p>
    <w:p>
      <w:pPr>
        <w:tabs>
          <w:tab w:val="left" w:pos="7367"/>
          <w:tab w:val="left" w:pos="8234"/>
        </w:tabs>
        <w:kinsoku w:val="0"/>
        <w:overflowPunct w:val="0"/>
        <w:autoSpaceDE w:val="0"/>
        <w:autoSpaceDN w:val="0"/>
        <w:adjustRightInd w:val="0"/>
        <w:spacing w:line="408" w:lineRule="auto"/>
        <w:ind w:left="112" w:right="108" w:hanging="142"/>
        <w:jc w:val="center"/>
        <w:rPr>
          <w:rFonts w:ascii="黑体" w:hAnsi="黑体" w:eastAsia="黑体"/>
          <w:spacing w:val="-2"/>
          <w:sz w:val="28"/>
          <w:highlight w:val="none"/>
        </w:rPr>
      </w:pPr>
    </w:p>
    <w:p>
      <w:pPr>
        <w:kinsoku w:val="0"/>
        <w:overflowPunct w:val="0"/>
        <w:autoSpaceDE w:val="0"/>
        <w:autoSpaceDN w:val="0"/>
        <w:adjustRightInd w:val="0"/>
        <w:rPr>
          <w:rFonts w:ascii="黑体" w:hAnsi="黑体" w:eastAsia="黑体"/>
          <w:sz w:val="20"/>
          <w:highlight w:val="none"/>
        </w:rPr>
      </w:pPr>
    </w:p>
    <w:p>
      <w:pPr>
        <w:kinsoku w:val="0"/>
        <w:overflowPunct w:val="0"/>
        <w:autoSpaceDE w:val="0"/>
        <w:autoSpaceDN w:val="0"/>
        <w:adjustRightInd w:val="0"/>
        <w:rPr>
          <w:rFonts w:ascii="黑体" w:hAnsi="黑体" w:eastAsia="黑体"/>
          <w:sz w:val="20"/>
          <w:highlight w:val="none"/>
        </w:rPr>
      </w:pPr>
    </w:p>
    <w:p>
      <w:pPr>
        <w:kinsoku w:val="0"/>
        <w:overflowPunct w:val="0"/>
        <w:autoSpaceDE w:val="0"/>
        <w:autoSpaceDN w:val="0"/>
        <w:adjustRightInd w:val="0"/>
        <w:spacing w:before="6"/>
        <w:rPr>
          <w:rFonts w:ascii="黑体" w:hAnsi="黑体" w:eastAsia="黑体"/>
          <w:sz w:val="20"/>
          <w:highlight w:val="none"/>
        </w:rPr>
      </w:pPr>
    </w:p>
    <w:p>
      <w:pPr>
        <w:tabs>
          <w:tab w:val="left" w:pos="3599"/>
          <w:tab w:val="left" w:pos="4999"/>
          <w:tab w:val="left" w:pos="6539"/>
        </w:tabs>
        <w:kinsoku w:val="0"/>
        <w:overflowPunct w:val="0"/>
        <w:autoSpaceDE w:val="0"/>
        <w:autoSpaceDN w:val="0"/>
        <w:adjustRightInd w:val="0"/>
        <w:spacing w:before="14"/>
        <w:ind w:left="2478" w:right="153"/>
        <w:rPr>
          <w:rFonts w:ascii="黑体" w:hAnsi="黑体" w:eastAsia="黑体"/>
          <w:sz w:val="28"/>
          <w:highlight w:val="none"/>
        </w:rPr>
      </w:pPr>
      <w:r>
        <w:rPr>
          <w:rFonts w:eastAsia="Times New Roman"/>
          <w:sz w:val="28"/>
          <w:highlight w:val="none"/>
          <w:u w:val="single"/>
        </w:rPr>
        <w:t xml:space="preserve"> </w:t>
      </w:r>
      <w:r>
        <w:rPr>
          <w:rFonts w:eastAsia="Times New Roman"/>
          <w:sz w:val="28"/>
          <w:highlight w:val="none"/>
          <w:u w:val="single"/>
        </w:rPr>
        <w:tab/>
      </w:r>
      <w:r>
        <w:rPr>
          <w:rFonts w:hint="eastAsia" w:ascii="黑体" w:hAnsi="黑体" w:eastAsia="黑体"/>
          <w:spacing w:val="-1"/>
          <w:sz w:val="28"/>
          <w:highlight w:val="none"/>
        </w:rPr>
        <w:t>年</w:t>
      </w:r>
      <w:r>
        <w:rPr>
          <w:rFonts w:eastAsia="Times New Roman"/>
          <w:spacing w:val="-1"/>
          <w:sz w:val="28"/>
          <w:highlight w:val="none"/>
          <w:u w:val="single"/>
        </w:rPr>
        <w:tab/>
      </w:r>
      <w:r>
        <w:rPr>
          <w:rFonts w:hint="eastAsia" w:ascii="黑体" w:hAnsi="黑体" w:eastAsia="黑体"/>
          <w:spacing w:val="-1"/>
          <w:sz w:val="28"/>
          <w:highlight w:val="none"/>
        </w:rPr>
        <w:t>月</w:t>
      </w:r>
      <w:r>
        <w:rPr>
          <w:rFonts w:eastAsia="Times New Roman"/>
          <w:spacing w:val="-1"/>
          <w:sz w:val="28"/>
          <w:highlight w:val="none"/>
          <w:u w:val="single"/>
        </w:rPr>
        <w:tab/>
      </w:r>
      <w:r>
        <w:rPr>
          <w:rFonts w:hint="eastAsia" w:ascii="黑体" w:hAnsi="黑体" w:eastAsia="黑体"/>
          <w:sz w:val="28"/>
          <w:highlight w:val="none"/>
        </w:rPr>
        <w:t>日</w:t>
      </w:r>
    </w:p>
    <w:p>
      <w:pPr>
        <w:tabs>
          <w:tab w:val="left" w:pos="3599"/>
          <w:tab w:val="left" w:pos="4999"/>
          <w:tab w:val="left" w:pos="6539"/>
        </w:tabs>
        <w:kinsoku w:val="0"/>
        <w:overflowPunct w:val="0"/>
        <w:spacing w:before="14"/>
        <w:ind w:left="2478" w:right="153"/>
        <w:rPr>
          <w:rFonts w:ascii="黑体" w:hAnsi="黑体" w:eastAsia="黑体"/>
          <w:sz w:val="28"/>
          <w:highlight w:val="none"/>
        </w:rPr>
        <w:sectPr>
          <w:footerReference r:id="rId9" w:type="default"/>
          <w:pgSz w:w="11910" w:h="16840"/>
          <w:pgMar w:top="1580" w:right="1134" w:bottom="1160" w:left="1134" w:header="0" w:footer="978" w:gutter="0"/>
          <w:cols w:space="0" w:num="1"/>
        </w:sectPr>
      </w:pPr>
    </w:p>
    <w:p>
      <w:pPr>
        <w:spacing w:line="400" w:lineRule="exact"/>
        <w:rPr>
          <w:b/>
          <w:bCs/>
          <w:sz w:val="28"/>
          <w:szCs w:val="28"/>
          <w:highlight w:val="none"/>
        </w:rPr>
      </w:pPr>
      <w:r>
        <w:rPr>
          <w:rFonts w:hint="eastAsia"/>
          <w:highlight w:val="none"/>
        </w:rPr>
        <w:t xml:space="preserve">                 </w:t>
      </w:r>
      <w:r>
        <w:rPr>
          <w:rFonts w:hint="eastAsia" w:ascii="宋体" w:hAnsi="宋体"/>
          <w:sz w:val="30"/>
          <w:szCs w:val="30"/>
          <w:highlight w:val="none"/>
        </w:rPr>
        <w:t xml:space="preserve">  </w:t>
      </w:r>
    </w:p>
    <w:p>
      <w:pPr>
        <w:ind w:left="720" w:hanging="720"/>
        <w:jc w:val="center"/>
        <w:rPr>
          <w:sz w:val="48"/>
          <w:highlight w:val="none"/>
        </w:rPr>
      </w:pPr>
      <w:r>
        <w:rPr>
          <w:rFonts w:hint="eastAsia"/>
          <w:sz w:val="48"/>
          <w:highlight w:val="none"/>
        </w:rPr>
        <w:t>目</w:t>
      </w:r>
      <w:r>
        <w:rPr>
          <w:sz w:val="48"/>
          <w:highlight w:val="none"/>
        </w:rPr>
        <w:t xml:space="preserve">  </w:t>
      </w:r>
      <w:r>
        <w:rPr>
          <w:rFonts w:hint="eastAsia"/>
          <w:sz w:val="48"/>
          <w:highlight w:val="none"/>
        </w:rPr>
        <w:t>录</w:t>
      </w:r>
    </w:p>
    <w:p>
      <w:pPr>
        <w:spacing w:line="360" w:lineRule="auto"/>
        <w:ind w:firstLine="415" w:firstLineChars="198"/>
        <w:rPr>
          <w:rFonts w:ascii="宋体" w:hAnsi="宋体"/>
          <w:iCs/>
          <w:szCs w:val="21"/>
          <w:highlight w:val="none"/>
        </w:rPr>
      </w:pPr>
    </w:p>
    <w:p>
      <w:pPr>
        <w:spacing w:line="360" w:lineRule="auto"/>
        <w:ind w:firstLine="415" w:firstLineChars="198"/>
        <w:rPr>
          <w:rFonts w:ascii="宋体" w:hAnsi="宋体"/>
          <w:iCs/>
          <w:szCs w:val="21"/>
          <w:highlight w:val="none"/>
        </w:rPr>
      </w:pPr>
      <w:r>
        <w:rPr>
          <w:rFonts w:hint="eastAsia" w:ascii="宋体" w:hAnsi="宋体"/>
          <w:iCs/>
          <w:szCs w:val="21"/>
          <w:highlight w:val="none"/>
        </w:rPr>
        <w:t>一、</w:t>
      </w:r>
      <w:r>
        <w:rPr>
          <w:rFonts w:hint="eastAsia" w:ascii="宋体" w:hAnsi="宋体"/>
          <w:szCs w:val="21"/>
          <w:highlight w:val="none"/>
        </w:rPr>
        <w:t>投标函及投标函附录</w:t>
      </w:r>
    </w:p>
    <w:p>
      <w:pPr>
        <w:spacing w:line="360" w:lineRule="auto"/>
        <w:ind w:firstLine="420" w:firstLineChars="200"/>
        <w:rPr>
          <w:rFonts w:ascii="宋体" w:hAnsi="宋体"/>
          <w:szCs w:val="21"/>
          <w:highlight w:val="none"/>
        </w:rPr>
      </w:pPr>
      <w:r>
        <w:rPr>
          <w:rFonts w:hint="eastAsia" w:ascii="宋体" w:hAnsi="宋体"/>
          <w:szCs w:val="21"/>
          <w:highlight w:val="none"/>
        </w:rPr>
        <w:t>二、法定代表人身份证明书、投标文件签署授权委托书；（若为联合体投标，由牵头人提供即可）</w:t>
      </w:r>
    </w:p>
    <w:p>
      <w:pPr>
        <w:spacing w:line="360" w:lineRule="auto"/>
        <w:ind w:firstLine="420"/>
        <w:rPr>
          <w:rFonts w:ascii="宋体" w:hAnsi="宋体"/>
          <w:szCs w:val="21"/>
          <w:highlight w:val="none"/>
        </w:rPr>
      </w:pPr>
      <w:r>
        <w:rPr>
          <w:rFonts w:hint="eastAsia" w:ascii="宋体" w:hAnsi="宋体"/>
          <w:szCs w:val="21"/>
          <w:highlight w:val="none"/>
        </w:rPr>
        <w:t>三、联合体协议书（如有）</w:t>
      </w:r>
    </w:p>
    <w:p>
      <w:pPr>
        <w:spacing w:line="360" w:lineRule="auto"/>
        <w:ind w:firstLine="420"/>
        <w:rPr>
          <w:rFonts w:ascii="宋体" w:hAnsi="宋体"/>
          <w:szCs w:val="21"/>
          <w:highlight w:val="none"/>
        </w:rPr>
      </w:pPr>
      <w:r>
        <w:rPr>
          <w:rFonts w:hint="eastAsia" w:ascii="宋体" w:hAnsi="宋体"/>
          <w:szCs w:val="21"/>
          <w:highlight w:val="none"/>
        </w:rPr>
        <w:t>四、投标保证金（附投标保证金的递交证明文件）</w:t>
      </w:r>
    </w:p>
    <w:p>
      <w:pPr>
        <w:spacing w:line="360" w:lineRule="auto"/>
        <w:ind w:firstLine="415" w:firstLineChars="198"/>
        <w:rPr>
          <w:rFonts w:ascii="宋体" w:hAnsi="宋体"/>
          <w:szCs w:val="21"/>
          <w:highlight w:val="none"/>
        </w:rPr>
      </w:pPr>
      <w:r>
        <w:rPr>
          <w:rFonts w:hint="eastAsia" w:ascii="宋体" w:hAnsi="宋体"/>
          <w:szCs w:val="21"/>
          <w:highlight w:val="none"/>
        </w:rPr>
        <w:t>五、工程承诺书参考格式</w:t>
      </w:r>
    </w:p>
    <w:p>
      <w:pPr>
        <w:spacing w:line="360" w:lineRule="auto"/>
        <w:ind w:firstLine="415" w:firstLineChars="198"/>
        <w:rPr>
          <w:rFonts w:ascii="宋体" w:hAnsi="宋体"/>
          <w:szCs w:val="21"/>
          <w:highlight w:val="none"/>
        </w:rPr>
      </w:pPr>
      <w:r>
        <w:rPr>
          <w:rFonts w:hint="eastAsia" w:ascii="宋体" w:hAnsi="宋体"/>
          <w:szCs w:val="21"/>
          <w:highlight w:val="none"/>
        </w:rPr>
        <w:t>六、投标人诚信承诺书参考格式</w:t>
      </w:r>
    </w:p>
    <w:p>
      <w:pPr>
        <w:spacing w:line="360" w:lineRule="auto"/>
        <w:ind w:firstLine="415" w:firstLineChars="198"/>
        <w:rPr>
          <w:rFonts w:ascii="宋体" w:hAnsi="宋体"/>
          <w:szCs w:val="21"/>
          <w:highlight w:val="none"/>
        </w:rPr>
      </w:pPr>
      <w:r>
        <w:rPr>
          <w:rFonts w:hint="eastAsia" w:ascii="宋体" w:hAnsi="宋体"/>
          <w:szCs w:val="21"/>
          <w:highlight w:val="none"/>
        </w:rPr>
        <w:t>七、资格审查资料（参考格式）</w:t>
      </w:r>
    </w:p>
    <w:p>
      <w:pPr>
        <w:spacing w:line="360" w:lineRule="auto"/>
        <w:ind w:firstLine="415" w:firstLineChars="198"/>
        <w:rPr>
          <w:rFonts w:ascii="宋体" w:hAnsi="宋体"/>
          <w:szCs w:val="21"/>
          <w:highlight w:val="none"/>
        </w:rPr>
      </w:pPr>
      <w:r>
        <w:rPr>
          <w:rFonts w:hint="eastAsia" w:ascii="宋体" w:hAnsi="宋体"/>
          <w:szCs w:val="21"/>
          <w:highlight w:val="none"/>
        </w:rPr>
        <w:t>八、其他资信或信誉资料</w:t>
      </w:r>
    </w:p>
    <w:p>
      <w:pPr>
        <w:spacing w:line="360" w:lineRule="auto"/>
        <w:ind w:firstLine="415" w:firstLineChars="198"/>
        <w:rPr>
          <w:rFonts w:ascii="宋体" w:hAnsi="宋体"/>
          <w:szCs w:val="21"/>
          <w:highlight w:val="none"/>
        </w:rPr>
      </w:pPr>
      <w:r>
        <w:rPr>
          <w:rFonts w:hint="eastAsia" w:ascii="宋体" w:hAnsi="宋体"/>
          <w:szCs w:val="21"/>
          <w:highlight w:val="none"/>
        </w:rPr>
        <w:t>九、投标人认为有必要提供的其他资料</w:t>
      </w:r>
    </w:p>
    <w:p>
      <w:pPr>
        <w:jc w:val="center"/>
        <w:rPr>
          <w:highlight w:val="none"/>
        </w:rPr>
      </w:pPr>
      <w:r>
        <w:rPr>
          <w:highlight w:val="none"/>
        </w:rPr>
        <w:br w:type="page"/>
      </w:r>
      <w:bookmarkStart w:id="1264" w:name="_Toc487131595"/>
      <w:bookmarkStart w:id="1265" w:name="_Toc487202729"/>
      <w:bookmarkStart w:id="1266" w:name="_Toc29662"/>
      <w:bookmarkStart w:id="1267" w:name="_Toc469606199"/>
      <w:bookmarkStart w:id="1268" w:name="_Toc487562880"/>
      <w:bookmarkStart w:id="1269" w:name="_Toc24443"/>
      <w:r>
        <w:rPr>
          <w:rFonts w:hint="eastAsia"/>
          <w:highlight w:val="none"/>
        </w:rPr>
        <w:t>一、</w:t>
      </w:r>
      <w:r>
        <w:rPr>
          <w:rFonts w:ascii="黑体" w:hAnsi="黑体" w:eastAsia="黑体"/>
          <w:sz w:val="28"/>
          <w:szCs w:val="28"/>
          <w:highlight w:val="none"/>
        </w:rPr>
        <w:t>投标函</w:t>
      </w:r>
      <w:bookmarkEnd w:id="1264"/>
      <w:bookmarkEnd w:id="1265"/>
      <w:bookmarkEnd w:id="1266"/>
      <w:bookmarkEnd w:id="1267"/>
      <w:bookmarkEnd w:id="1268"/>
      <w:bookmarkEnd w:id="1269"/>
    </w:p>
    <w:p>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（招标人名称）</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在考察现场并充分研究</w:t>
      </w:r>
      <w:r>
        <w:rPr>
          <w:rFonts w:hint="eastAsia" w:ascii="宋体" w:hAnsi="宋体"/>
          <w:szCs w:val="21"/>
          <w:highlight w:val="none"/>
          <w:u w:val="single"/>
        </w:rPr>
        <w:t xml:space="preserve">                 </w:t>
      </w:r>
      <w:r>
        <w:rPr>
          <w:rFonts w:hint="eastAsia" w:ascii="宋体" w:hAnsi="宋体"/>
          <w:szCs w:val="21"/>
          <w:highlight w:val="none"/>
        </w:rPr>
        <w:t>（项目名称）（以下简称“本工程”）招标文件的全部内容后，我方将响应招标文件的全部规定，并承诺若中标后将按招标文件的规定执行，我方报价为：</w:t>
      </w:r>
    </w:p>
    <w:p>
      <w:pPr>
        <w:autoSpaceDE w:val="0"/>
        <w:autoSpaceDN w:val="0"/>
        <w:adjustRightInd w:val="0"/>
        <w:spacing w:line="340" w:lineRule="exact"/>
        <w:jc w:val="center"/>
        <w:rPr>
          <w:b/>
          <w:bCs/>
          <w:kern w:val="0"/>
          <w:szCs w:val="21"/>
          <w:highlight w:val="none"/>
        </w:rPr>
      </w:pPr>
      <w:r>
        <w:rPr>
          <w:b/>
          <w:bCs/>
          <w:kern w:val="0"/>
          <w:szCs w:val="21"/>
          <w:highlight w:val="none"/>
        </w:rPr>
        <w:t>投标报价</w:t>
      </w:r>
      <w:r>
        <w:rPr>
          <w:rFonts w:hint="eastAsia"/>
          <w:b/>
          <w:bCs/>
          <w:kern w:val="0"/>
          <w:szCs w:val="21"/>
          <w:highlight w:val="none"/>
        </w:rPr>
        <w:t>总</w:t>
      </w:r>
      <w:r>
        <w:rPr>
          <w:b/>
          <w:bCs/>
          <w:kern w:val="0"/>
          <w:szCs w:val="21"/>
          <w:highlight w:val="none"/>
        </w:rPr>
        <w:t>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60"/>
        <w:gridCol w:w="654"/>
        <w:gridCol w:w="1896"/>
        <w:gridCol w:w="210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82" w:type="dxa"/>
            <w:vAlign w:val="center"/>
          </w:tcPr>
          <w:p>
            <w:pPr>
              <w:jc w:val="center"/>
              <w:rPr>
                <w:rFonts w:ascii="宋体" w:hAnsi="宋体"/>
                <w:szCs w:val="21"/>
                <w:highlight w:val="none"/>
              </w:rPr>
            </w:pPr>
            <w:r>
              <w:rPr>
                <w:rFonts w:hint="eastAsia" w:ascii="宋体" w:hAnsi="宋体"/>
                <w:szCs w:val="21"/>
                <w:highlight w:val="none"/>
              </w:rPr>
              <w:t>序号</w:t>
            </w:r>
          </w:p>
        </w:tc>
        <w:tc>
          <w:tcPr>
            <w:tcW w:w="1914" w:type="dxa"/>
            <w:gridSpan w:val="2"/>
            <w:vAlign w:val="center"/>
          </w:tcPr>
          <w:p>
            <w:pPr>
              <w:jc w:val="center"/>
              <w:rPr>
                <w:rFonts w:ascii="宋体" w:hAnsi="宋体"/>
                <w:szCs w:val="21"/>
                <w:highlight w:val="none"/>
              </w:rPr>
            </w:pPr>
            <w:r>
              <w:rPr>
                <w:rFonts w:hint="eastAsia" w:ascii="宋体" w:hAnsi="宋体"/>
                <w:szCs w:val="21"/>
                <w:highlight w:val="none"/>
              </w:rPr>
              <w:t>投标报价项目</w:t>
            </w:r>
          </w:p>
        </w:tc>
        <w:tc>
          <w:tcPr>
            <w:tcW w:w="1896" w:type="dxa"/>
            <w:vAlign w:val="center"/>
          </w:tcPr>
          <w:p>
            <w:pPr>
              <w:jc w:val="center"/>
              <w:rPr>
                <w:rFonts w:ascii="宋体" w:hAnsi="宋体"/>
                <w:szCs w:val="21"/>
                <w:highlight w:val="none"/>
              </w:rPr>
            </w:pPr>
            <w:r>
              <w:rPr>
                <w:rFonts w:hint="eastAsia" w:ascii="宋体" w:hAnsi="宋体"/>
                <w:bCs/>
                <w:szCs w:val="21"/>
                <w:highlight w:val="none"/>
              </w:rPr>
              <w:t>投标下浮率</w:t>
            </w:r>
          </w:p>
        </w:tc>
        <w:tc>
          <w:tcPr>
            <w:tcW w:w="2100" w:type="dxa"/>
            <w:vAlign w:val="center"/>
          </w:tcPr>
          <w:p>
            <w:pPr>
              <w:jc w:val="center"/>
              <w:rPr>
                <w:rFonts w:ascii="宋体" w:hAnsi="宋体"/>
                <w:bCs/>
                <w:szCs w:val="21"/>
                <w:highlight w:val="none"/>
              </w:rPr>
            </w:pPr>
            <w:r>
              <w:rPr>
                <w:highlight w:val="none"/>
              </w:rPr>
              <w:t>投标报价</w:t>
            </w:r>
            <w:r>
              <w:rPr>
                <w:rFonts w:hint="eastAsia"/>
                <w:highlight w:val="none"/>
              </w:rPr>
              <w:t>（元）</w:t>
            </w:r>
          </w:p>
        </w:tc>
        <w:tc>
          <w:tcPr>
            <w:tcW w:w="3240" w:type="dxa"/>
            <w:vAlign w:val="center"/>
          </w:tcPr>
          <w:p>
            <w:pPr>
              <w:jc w:val="center"/>
              <w:rPr>
                <w:rFonts w:ascii="宋体" w:hAnsi="宋体"/>
                <w:bCs/>
                <w:szCs w:val="21"/>
                <w:highlight w:val="none"/>
              </w:rPr>
            </w:pPr>
            <w:r>
              <w:rPr>
                <w:rFonts w:hint="eastAsia" w:ascii="宋体" w:hAnsi="宋体"/>
                <w:szCs w:val="21"/>
                <w:highlight w:val="none"/>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82" w:type="dxa"/>
            <w:vAlign w:val="center"/>
          </w:tcPr>
          <w:p>
            <w:pPr>
              <w:jc w:val="center"/>
              <w:rPr>
                <w:rFonts w:ascii="宋体" w:hAnsi="宋体"/>
                <w:szCs w:val="21"/>
                <w:highlight w:val="none"/>
              </w:rPr>
            </w:pPr>
            <w:r>
              <w:rPr>
                <w:rFonts w:hint="eastAsia" w:ascii="宋体" w:hAnsi="宋体"/>
                <w:szCs w:val="21"/>
                <w:highlight w:val="none"/>
              </w:rPr>
              <w:t>1</w:t>
            </w:r>
          </w:p>
        </w:tc>
        <w:tc>
          <w:tcPr>
            <w:tcW w:w="1914" w:type="dxa"/>
            <w:gridSpan w:val="2"/>
            <w:vAlign w:val="center"/>
          </w:tcPr>
          <w:p>
            <w:pPr>
              <w:jc w:val="center"/>
              <w:rPr>
                <w:rFonts w:ascii="宋体" w:hAnsi="宋体"/>
                <w:szCs w:val="21"/>
                <w:highlight w:val="none"/>
              </w:rPr>
            </w:pPr>
            <w:r>
              <w:rPr>
                <w:rFonts w:hint="eastAsia" w:ascii="宋体" w:hAnsi="宋体"/>
                <w:szCs w:val="21"/>
                <w:highlight w:val="none"/>
              </w:rPr>
              <w:t>设计部分投标下浮率</w:t>
            </w:r>
          </w:p>
        </w:tc>
        <w:tc>
          <w:tcPr>
            <w:tcW w:w="1896" w:type="dxa"/>
            <w:vAlign w:val="center"/>
          </w:tcPr>
          <w:p>
            <w:pPr>
              <w:jc w:val="center"/>
              <w:rPr>
                <w:rFonts w:ascii="宋体" w:hAnsi="宋体"/>
                <w:bCs/>
                <w:szCs w:val="21"/>
                <w:highlight w:val="none"/>
                <w:u w:val="single"/>
              </w:rPr>
            </w:pPr>
            <w:r>
              <w:rPr>
                <w:rFonts w:hint="eastAsia" w:ascii="宋体" w:hAnsi="宋体"/>
                <w:bCs/>
                <w:szCs w:val="21"/>
                <w:highlight w:val="none"/>
              </w:rPr>
              <w:t>大写：百分之</w:t>
            </w:r>
          </w:p>
          <w:p>
            <w:pPr>
              <w:jc w:val="center"/>
              <w:rPr>
                <w:rFonts w:ascii="宋体" w:hAnsi="宋体"/>
                <w:szCs w:val="21"/>
                <w:highlight w:val="none"/>
              </w:rPr>
            </w:pPr>
            <w:r>
              <w:rPr>
                <w:rFonts w:hint="eastAsia" w:ascii="宋体" w:hAnsi="宋体"/>
                <w:bCs/>
                <w:szCs w:val="21"/>
                <w:highlight w:val="none"/>
              </w:rPr>
              <w:t>小写：</w:t>
            </w:r>
            <w:r>
              <w:rPr>
                <w:rFonts w:hint="eastAsia" w:ascii="宋体" w:hAnsi="宋体"/>
                <w:bCs/>
                <w:szCs w:val="21"/>
                <w:highlight w:val="none"/>
                <w:u w:val="single"/>
              </w:rPr>
              <w:t xml:space="preserve">     </w:t>
            </w:r>
            <w:r>
              <w:rPr>
                <w:rFonts w:hint="eastAsia" w:ascii="宋体" w:hAnsi="宋体"/>
                <w:bCs/>
                <w:szCs w:val="21"/>
                <w:highlight w:val="none"/>
              </w:rPr>
              <w:t>%</w:t>
            </w:r>
          </w:p>
        </w:tc>
        <w:tc>
          <w:tcPr>
            <w:tcW w:w="2100" w:type="dxa"/>
            <w:vAlign w:val="center"/>
          </w:tcPr>
          <w:p>
            <w:pPr>
              <w:pStyle w:val="21"/>
              <w:tabs>
                <w:tab w:val="left" w:pos="2103"/>
                <w:tab w:val="left" w:pos="2154"/>
              </w:tabs>
              <w:spacing w:before="98"/>
              <w:ind w:left="3" w:right="563"/>
              <w:jc w:val="center"/>
              <w:rPr>
                <w:sz w:val="21"/>
                <w:highlight w:val="none"/>
                <w:u w:val="single"/>
              </w:rPr>
            </w:pPr>
            <w:r>
              <w:rPr>
                <w:sz w:val="21"/>
                <w:highlight w:val="none"/>
              </w:rPr>
              <w:t>小写：</w:t>
            </w:r>
            <w:r>
              <w:rPr>
                <w:sz w:val="21"/>
                <w:highlight w:val="none"/>
                <w:u w:val="single"/>
              </w:rPr>
              <w:tab/>
            </w:r>
          </w:p>
          <w:p>
            <w:pPr>
              <w:pStyle w:val="21"/>
              <w:tabs>
                <w:tab w:val="left" w:pos="2103"/>
                <w:tab w:val="left" w:pos="2154"/>
              </w:tabs>
              <w:spacing w:before="98"/>
              <w:ind w:left="3" w:right="563"/>
              <w:jc w:val="center"/>
              <w:rPr>
                <w:rFonts w:ascii="宋体" w:hAnsi="宋体"/>
                <w:bCs/>
                <w:szCs w:val="21"/>
                <w:highlight w:val="none"/>
              </w:rPr>
            </w:pPr>
            <w:r>
              <w:rPr>
                <w:sz w:val="21"/>
                <w:highlight w:val="none"/>
              </w:rPr>
              <w:t>大写：</w:t>
            </w:r>
            <w:r>
              <w:rPr>
                <w:sz w:val="21"/>
                <w:highlight w:val="none"/>
                <w:u w:val="single"/>
              </w:rPr>
              <w:tab/>
            </w:r>
          </w:p>
        </w:tc>
        <w:tc>
          <w:tcPr>
            <w:tcW w:w="3240" w:type="dxa"/>
            <w:vAlign w:val="center"/>
          </w:tcPr>
          <w:p>
            <w:pPr>
              <w:jc w:val="center"/>
              <w:rPr>
                <w:rFonts w:ascii="宋体" w:hAnsi="宋体"/>
                <w:bCs/>
                <w:szCs w:val="21"/>
                <w:highlight w:val="none"/>
              </w:rPr>
            </w:pPr>
            <w:r>
              <w:rPr>
                <w:rFonts w:hint="eastAsia" w:ascii="宋体" w:hAnsi="宋体"/>
                <w:szCs w:val="21"/>
                <w:highlight w:val="none"/>
              </w:rPr>
              <w:t>设计费报价=设计部分</w:t>
            </w:r>
            <w:r>
              <w:rPr>
                <w:rFonts w:hint="eastAsia" w:ascii="宋体" w:hAnsi="宋体"/>
                <w:szCs w:val="21"/>
                <w:highlight w:val="none"/>
                <w:lang w:eastAsia="zh-CN"/>
              </w:rPr>
              <w:t>最高限价</w:t>
            </w:r>
            <w:r>
              <w:rPr>
                <w:rFonts w:hint="eastAsia" w:ascii="宋体" w:hAnsi="宋体"/>
                <w:szCs w:val="21"/>
                <w:highlight w:val="none"/>
              </w:rPr>
              <w:t>×（1－投标下浮率）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82" w:type="dxa"/>
            <w:vAlign w:val="center"/>
          </w:tcPr>
          <w:p>
            <w:pPr>
              <w:jc w:val="center"/>
              <w:rPr>
                <w:rFonts w:ascii="宋体" w:hAnsi="宋体"/>
                <w:szCs w:val="21"/>
                <w:highlight w:val="none"/>
              </w:rPr>
            </w:pPr>
            <w:r>
              <w:rPr>
                <w:rFonts w:ascii="宋体" w:hAnsi="宋体"/>
                <w:szCs w:val="21"/>
                <w:highlight w:val="none"/>
              </w:rPr>
              <w:t>2</w:t>
            </w:r>
          </w:p>
        </w:tc>
        <w:tc>
          <w:tcPr>
            <w:tcW w:w="1914" w:type="dxa"/>
            <w:gridSpan w:val="2"/>
            <w:vAlign w:val="center"/>
          </w:tcPr>
          <w:p>
            <w:pPr>
              <w:jc w:val="center"/>
              <w:rPr>
                <w:rFonts w:ascii="宋体" w:hAnsi="宋体"/>
                <w:szCs w:val="21"/>
                <w:highlight w:val="none"/>
              </w:rPr>
            </w:pPr>
            <w:r>
              <w:rPr>
                <w:rFonts w:hint="eastAsia" w:ascii="宋体" w:hAnsi="宋体"/>
                <w:szCs w:val="21"/>
                <w:highlight w:val="none"/>
              </w:rPr>
              <w:t>施工建安部分投标下浮率</w:t>
            </w:r>
          </w:p>
        </w:tc>
        <w:tc>
          <w:tcPr>
            <w:tcW w:w="1896" w:type="dxa"/>
            <w:vAlign w:val="center"/>
          </w:tcPr>
          <w:p>
            <w:pPr>
              <w:jc w:val="center"/>
              <w:rPr>
                <w:rFonts w:ascii="宋体" w:hAnsi="宋体"/>
                <w:bCs/>
                <w:szCs w:val="21"/>
                <w:highlight w:val="none"/>
                <w:u w:val="single"/>
              </w:rPr>
            </w:pPr>
            <w:r>
              <w:rPr>
                <w:rFonts w:hint="eastAsia" w:ascii="宋体" w:hAnsi="宋体"/>
                <w:bCs/>
                <w:szCs w:val="21"/>
                <w:highlight w:val="none"/>
              </w:rPr>
              <w:t>大写：百分之</w:t>
            </w:r>
          </w:p>
          <w:p>
            <w:pPr>
              <w:jc w:val="center"/>
              <w:rPr>
                <w:rFonts w:ascii="宋体" w:hAnsi="宋体"/>
                <w:szCs w:val="21"/>
                <w:highlight w:val="none"/>
              </w:rPr>
            </w:pPr>
            <w:r>
              <w:rPr>
                <w:rFonts w:hint="eastAsia" w:ascii="宋体" w:hAnsi="宋体"/>
                <w:bCs/>
                <w:szCs w:val="21"/>
                <w:highlight w:val="none"/>
              </w:rPr>
              <w:t>小写：</w:t>
            </w:r>
            <w:r>
              <w:rPr>
                <w:rFonts w:hint="eastAsia" w:ascii="宋体" w:hAnsi="宋体"/>
                <w:bCs/>
                <w:szCs w:val="21"/>
                <w:highlight w:val="none"/>
                <w:u w:val="single"/>
              </w:rPr>
              <w:t xml:space="preserve">     </w:t>
            </w:r>
            <w:r>
              <w:rPr>
                <w:rFonts w:hint="eastAsia" w:ascii="宋体" w:hAnsi="宋体"/>
                <w:bCs/>
                <w:szCs w:val="21"/>
                <w:highlight w:val="none"/>
              </w:rPr>
              <w:t>%</w:t>
            </w:r>
          </w:p>
        </w:tc>
        <w:tc>
          <w:tcPr>
            <w:tcW w:w="2100" w:type="dxa"/>
            <w:vAlign w:val="center"/>
          </w:tcPr>
          <w:p>
            <w:pPr>
              <w:pStyle w:val="21"/>
              <w:tabs>
                <w:tab w:val="left" w:pos="2103"/>
                <w:tab w:val="left" w:pos="2154"/>
              </w:tabs>
              <w:spacing w:before="98"/>
              <w:ind w:left="3" w:right="563"/>
              <w:jc w:val="center"/>
              <w:rPr>
                <w:sz w:val="21"/>
                <w:highlight w:val="none"/>
                <w:u w:val="single"/>
              </w:rPr>
            </w:pPr>
            <w:r>
              <w:rPr>
                <w:sz w:val="21"/>
                <w:highlight w:val="none"/>
              </w:rPr>
              <w:t>小写：</w:t>
            </w:r>
            <w:r>
              <w:rPr>
                <w:sz w:val="21"/>
                <w:highlight w:val="none"/>
                <w:u w:val="single"/>
              </w:rPr>
              <w:tab/>
            </w:r>
          </w:p>
          <w:p>
            <w:pPr>
              <w:pStyle w:val="21"/>
              <w:tabs>
                <w:tab w:val="left" w:pos="2103"/>
                <w:tab w:val="left" w:pos="2154"/>
              </w:tabs>
              <w:spacing w:before="98"/>
              <w:ind w:left="3" w:right="563"/>
              <w:jc w:val="center"/>
              <w:rPr>
                <w:rFonts w:ascii="宋体" w:hAnsi="宋体"/>
                <w:bCs/>
                <w:szCs w:val="21"/>
                <w:highlight w:val="none"/>
              </w:rPr>
            </w:pPr>
            <w:r>
              <w:rPr>
                <w:sz w:val="21"/>
                <w:highlight w:val="none"/>
              </w:rPr>
              <w:t>大写：</w:t>
            </w:r>
            <w:r>
              <w:rPr>
                <w:sz w:val="21"/>
                <w:highlight w:val="none"/>
                <w:u w:val="single"/>
              </w:rPr>
              <w:tab/>
            </w:r>
          </w:p>
        </w:tc>
        <w:tc>
          <w:tcPr>
            <w:tcW w:w="3240" w:type="dxa"/>
            <w:vAlign w:val="center"/>
          </w:tcPr>
          <w:p>
            <w:pPr>
              <w:jc w:val="center"/>
              <w:rPr>
                <w:rFonts w:ascii="宋体" w:hAnsi="宋体"/>
                <w:bCs/>
                <w:szCs w:val="21"/>
                <w:highlight w:val="none"/>
              </w:rPr>
            </w:pPr>
            <w:r>
              <w:rPr>
                <w:rFonts w:hint="eastAsia" w:ascii="宋体" w:hAnsi="宋体"/>
                <w:szCs w:val="21"/>
                <w:highlight w:val="none"/>
              </w:rPr>
              <w:t>建安工程费报价=施工建安部分</w:t>
            </w:r>
            <w:r>
              <w:rPr>
                <w:rFonts w:hint="eastAsia" w:ascii="宋体" w:hAnsi="宋体"/>
                <w:szCs w:val="21"/>
                <w:highlight w:val="none"/>
                <w:lang w:eastAsia="zh-CN"/>
              </w:rPr>
              <w:t>最高限价</w:t>
            </w:r>
            <w:r>
              <w:rPr>
                <w:rFonts w:hint="eastAsia" w:ascii="宋体" w:hAnsi="宋体"/>
                <w:szCs w:val="21"/>
                <w:highlight w:val="none"/>
              </w:rPr>
              <w:t>×（1－投标下浮率）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82" w:type="dxa"/>
            <w:vAlign w:val="center"/>
          </w:tcPr>
          <w:p>
            <w:pPr>
              <w:jc w:val="center"/>
              <w:rPr>
                <w:rFonts w:ascii="宋体" w:hAnsi="宋体"/>
                <w:szCs w:val="21"/>
                <w:highlight w:val="none"/>
              </w:rPr>
            </w:pPr>
            <w:r>
              <w:rPr>
                <w:rFonts w:hint="eastAsia" w:ascii="宋体" w:hAnsi="宋体"/>
                <w:szCs w:val="21"/>
                <w:highlight w:val="none"/>
              </w:rPr>
              <w:t>3</w:t>
            </w:r>
          </w:p>
        </w:tc>
        <w:tc>
          <w:tcPr>
            <w:tcW w:w="3810" w:type="dxa"/>
            <w:gridSpan w:val="3"/>
            <w:vAlign w:val="center"/>
          </w:tcPr>
          <w:p>
            <w:pPr>
              <w:jc w:val="center"/>
              <w:rPr>
                <w:rFonts w:ascii="宋体" w:hAnsi="宋体"/>
                <w:bCs/>
                <w:szCs w:val="21"/>
                <w:highlight w:val="none"/>
              </w:rPr>
            </w:pPr>
            <w:r>
              <w:rPr>
                <w:highlight w:val="none"/>
              </w:rPr>
              <w:t>投标总价合计</w:t>
            </w:r>
            <w:r>
              <w:rPr>
                <w:rFonts w:hint="eastAsia"/>
                <w:highlight w:val="none"/>
              </w:rPr>
              <w:t>（元）</w:t>
            </w:r>
          </w:p>
        </w:tc>
        <w:tc>
          <w:tcPr>
            <w:tcW w:w="5340" w:type="dxa"/>
            <w:gridSpan w:val="2"/>
            <w:vAlign w:val="center"/>
          </w:tcPr>
          <w:p>
            <w:pPr>
              <w:pStyle w:val="21"/>
              <w:tabs>
                <w:tab w:val="left" w:pos="2103"/>
                <w:tab w:val="left" w:pos="2154"/>
              </w:tabs>
              <w:spacing w:before="98"/>
              <w:ind w:left="3" w:right="563"/>
              <w:jc w:val="both"/>
              <w:rPr>
                <w:rFonts w:ascii="宋体" w:hAnsi="宋体"/>
                <w:szCs w:val="21"/>
                <w:highlight w:val="none"/>
              </w:rPr>
            </w:pPr>
            <w:r>
              <w:rPr>
                <w:sz w:val="21"/>
                <w:highlight w:val="none"/>
              </w:rPr>
              <w:t>小写：</w:t>
            </w:r>
            <w:r>
              <w:rPr>
                <w:sz w:val="21"/>
                <w:highlight w:val="none"/>
                <w:u w:val="single"/>
              </w:rPr>
              <w:t xml:space="preserve"> </w:t>
            </w:r>
            <w:r>
              <w:rPr>
                <w:sz w:val="21"/>
                <w:highlight w:val="none"/>
                <w:u w:val="single"/>
              </w:rPr>
              <w:tab/>
            </w:r>
            <w:r>
              <w:rPr>
                <w:sz w:val="21"/>
                <w:highlight w:val="none"/>
              </w:rPr>
              <w:t>大写：</w:t>
            </w:r>
            <w:r>
              <w:rPr>
                <w:sz w:val="21"/>
                <w:highlight w:val="none"/>
                <w:u w:val="single"/>
              </w:rPr>
              <w:tab/>
            </w:r>
            <w:r>
              <w:rPr>
                <w:rFonts w:hint="eastAsia"/>
                <w:sz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82" w:type="dxa"/>
            <w:vAlign w:val="center"/>
          </w:tcPr>
          <w:p>
            <w:pPr>
              <w:jc w:val="center"/>
              <w:rPr>
                <w:rFonts w:ascii="宋体" w:hAnsi="宋体"/>
                <w:szCs w:val="21"/>
                <w:highlight w:val="none"/>
              </w:rPr>
            </w:pPr>
            <w:r>
              <w:rPr>
                <w:rFonts w:hint="eastAsia" w:ascii="宋体" w:hAnsi="宋体"/>
                <w:szCs w:val="21"/>
                <w:highlight w:val="none"/>
              </w:rPr>
              <w:t>4</w:t>
            </w:r>
          </w:p>
        </w:tc>
        <w:tc>
          <w:tcPr>
            <w:tcW w:w="1260" w:type="dxa"/>
            <w:vAlign w:val="center"/>
          </w:tcPr>
          <w:p>
            <w:pPr>
              <w:spacing w:line="540" w:lineRule="exact"/>
              <w:jc w:val="center"/>
              <w:rPr>
                <w:rFonts w:ascii="宋体" w:hAnsi="宋体"/>
                <w:szCs w:val="21"/>
                <w:highlight w:val="none"/>
              </w:rPr>
            </w:pPr>
            <w:r>
              <w:rPr>
                <w:rFonts w:hint="eastAsia" w:ascii="宋体" w:hAnsi="宋体"/>
                <w:szCs w:val="21"/>
                <w:highlight w:val="none"/>
              </w:rPr>
              <w:t>工期</w:t>
            </w:r>
          </w:p>
        </w:tc>
        <w:tc>
          <w:tcPr>
            <w:tcW w:w="7890" w:type="dxa"/>
            <w:gridSpan w:val="4"/>
            <w:vAlign w:val="center"/>
          </w:tcPr>
          <w:p>
            <w:pPr>
              <w:spacing w:line="380" w:lineRule="exact"/>
              <w:rPr>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szCs w:val="21"/>
                <w:highlight w:val="none"/>
              </w:rPr>
              <w:t>日历天</w:t>
            </w:r>
            <w:r>
              <w:rPr>
                <w:rFonts w:hint="eastAsia" w:ascii="宋体" w:hAnsi="宋体"/>
                <w:szCs w:val="21"/>
                <w:highlight w:val="none"/>
              </w:rPr>
              <w:t>（</w:t>
            </w:r>
            <w:r>
              <w:rPr>
                <w:rFonts w:ascii="宋体" w:hAnsi="宋体"/>
                <w:szCs w:val="21"/>
                <w:highlight w:val="none"/>
              </w:rPr>
              <w:t>总工期</w:t>
            </w:r>
            <w:r>
              <w:rPr>
                <w:rFonts w:hint="eastAsia" w:ascii="宋体" w:hAnsi="宋体"/>
                <w:szCs w:val="21"/>
                <w:highlight w:val="none"/>
              </w:rPr>
              <w:t>含设计</w:t>
            </w:r>
            <w:r>
              <w:rPr>
                <w:rFonts w:hint="eastAsia" w:ascii="宋体" w:hAnsi="宋体"/>
                <w:szCs w:val="21"/>
                <w:highlight w:val="none"/>
                <w:u w:val="single"/>
              </w:rPr>
              <w:t xml:space="preserve">   </w:t>
            </w:r>
            <w:r>
              <w:rPr>
                <w:rFonts w:hint="eastAsia" w:ascii="宋体" w:hAnsi="宋体"/>
                <w:szCs w:val="21"/>
                <w:highlight w:val="none"/>
              </w:rPr>
              <w:t xml:space="preserve"> 日历天，施工期为</w:t>
            </w:r>
            <w:r>
              <w:rPr>
                <w:rFonts w:hint="eastAsia" w:ascii="宋体" w:hAnsi="宋体"/>
                <w:szCs w:val="21"/>
                <w:highlight w:val="none"/>
                <w:u w:val="single"/>
              </w:rPr>
              <w:t xml:space="preserve">   </w:t>
            </w:r>
            <w:r>
              <w:rPr>
                <w:rFonts w:hint="eastAsia" w:ascii="宋体" w:hAnsi="宋体"/>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82" w:type="dxa"/>
            <w:vMerge w:val="restart"/>
            <w:vAlign w:val="center"/>
          </w:tcPr>
          <w:p>
            <w:pPr>
              <w:jc w:val="center"/>
              <w:rPr>
                <w:rFonts w:ascii="宋体" w:hAnsi="宋体"/>
                <w:szCs w:val="21"/>
                <w:highlight w:val="none"/>
              </w:rPr>
            </w:pPr>
            <w:r>
              <w:rPr>
                <w:rFonts w:hint="eastAsia" w:ascii="宋体" w:hAnsi="宋体"/>
                <w:szCs w:val="21"/>
                <w:highlight w:val="none"/>
              </w:rPr>
              <w:t>5</w:t>
            </w:r>
          </w:p>
        </w:tc>
        <w:tc>
          <w:tcPr>
            <w:tcW w:w="1260" w:type="dxa"/>
            <w:vMerge w:val="restart"/>
            <w:vAlign w:val="center"/>
          </w:tcPr>
          <w:p>
            <w:pPr>
              <w:spacing w:line="540" w:lineRule="exact"/>
              <w:jc w:val="center"/>
              <w:rPr>
                <w:rFonts w:ascii="宋体" w:hAnsi="宋体"/>
                <w:szCs w:val="21"/>
                <w:highlight w:val="none"/>
              </w:rPr>
            </w:pPr>
            <w:r>
              <w:rPr>
                <w:rFonts w:hint="eastAsia" w:ascii="宋体" w:hAnsi="宋体"/>
                <w:szCs w:val="21"/>
                <w:highlight w:val="none"/>
              </w:rPr>
              <w:t>质量标准</w:t>
            </w:r>
          </w:p>
        </w:tc>
        <w:tc>
          <w:tcPr>
            <w:tcW w:w="7890" w:type="dxa"/>
            <w:gridSpan w:val="4"/>
            <w:vAlign w:val="center"/>
          </w:tcPr>
          <w:p>
            <w:pPr>
              <w:jc w:val="center"/>
              <w:rPr>
                <w:rFonts w:ascii="宋体" w:hAnsi="宋体" w:cs="宋体"/>
                <w:szCs w:val="21"/>
                <w:highlight w:val="none"/>
              </w:rPr>
            </w:pPr>
            <w:r>
              <w:rPr>
                <w:rFonts w:hint="eastAsia" w:ascii="宋体" w:hAnsi="宋体" w:cs="宋体"/>
                <w:szCs w:val="21"/>
                <w:highlight w:val="none"/>
              </w:rPr>
              <w:t>（1）设计要求的质量标准：达到国家、省或行业现行的工程设计准则和相关规范要求，满足招标人的功能需求，并通过招标人及有关部门或专业机构的审查。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82" w:type="dxa"/>
            <w:vMerge w:val="continue"/>
            <w:vAlign w:val="center"/>
          </w:tcPr>
          <w:p>
            <w:pPr>
              <w:jc w:val="center"/>
              <w:rPr>
                <w:rFonts w:ascii="宋体" w:hAnsi="宋体"/>
                <w:szCs w:val="21"/>
                <w:highlight w:val="none"/>
              </w:rPr>
            </w:pPr>
          </w:p>
        </w:tc>
        <w:tc>
          <w:tcPr>
            <w:tcW w:w="1260" w:type="dxa"/>
            <w:vMerge w:val="continue"/>
            <w:vAlign w:val="center"/>
          </w:tcPr>
          <w:p>
            <w:pPr>
              <w:spacing w:line="540" w:lineRule="exact"/>
              <w:jc w:val="center"/>
              <w:rPr>
                <w:rFonts w:ascii="宋体" w:hAnsi="宋体"/>
                <w:szCs w:val="21"/>
                <w:highlight w:val="none"/>
              </w:rPr>
            </w:pPr>
          </w:p>
        </w:tc>
        <w:tc>
          <w:tcPr>
            <w:tcW w:w="7890" w:type="dxa"/>
            <w:gridSpan w:val="4"/>
            <w:vAlign w:val="center"/>
          </w:tcPr>
          <w:p>
            <w:pPr>
              <w:jc w:val="center"/>
              <w:rPr>
                <w:szCs w:val="21"/>
                <w:highlight w:val="none"/>
              </w:rPr>
            </w:pPr>
            <w:r>
              <w:rPr>
                <w:rFonts w:hint="eastAsia"/>
                <w:szCs w:val="21"/>
                <w:highlight w:val="none"/>
              </w:rPr>
              <w:t>（</w:t>
            </w:r>
            <w:r>
              <w:rPr>
                <w:szCs w:val="21"/>
                <w:highlight w:val="none"/>
              </w:rPr>
              <w:t>2</w:t>
            </w:r>
            <w:r>
              <w:rPr>
                <w:rFonts w:hint="eastAsia"/>
                <w:szCs w:val="21"/>
                <w:highlight w:val="none"/>
              </w:rPr>
              <w:t>）施工质量要求：符合现行国家有关施工验收规范的要求，一次性通过验收合格。</w:t>
            </w:r>
          </w:p>
        </w:tc>
      </w:tr>
    </w:tbl>
    <w:p>
      <w:pPr>
        <w:spacing w:line="360" w:lineRule="auto"/>
        <w:ind w:firstLine="420" w:firstLineChars="200"/>
        <w:rPr>
          <w:rFonts w:ascii="宋体" w:hAnsi="宋体"/>
          <w:szCs w:val="21"/>
          <w:highlight w:val="none"/>
        </w:rPr>
      </w:pPr>
      <w:r>
        <w:rPr>
          <w:rFonts w:hint="eastAsia" w:ascii="宋体" w:hAnsi="宋体"/>
          <w:szCs w:val="21"/>
          <w:highlight w:val="none"/>
        </w:rPr>
        <w:t>2．我方承诺在招标文件规定的投标有效期（90 天）内不修改、撤销投标文件。</w:t>
      </w:r>
    </w:p>
    <w:p>
      <w:pPr>
        <w:spacing w:line="360" w:lineRule="auto"/>
        <w:ind w:firstLine="420" w:firstLineChars="200"/>
        <w:rPr>
          <w:rFonts w:ascii="宋体" w:hAnsi="宋体"/>
          <w:szCs w:val="21"/>
          <w:highlight w:val="none"/>
        </w:rPr>
      </w:pPr>
      <w:r>
        <w:rPr>
          <w:rFonts w:hint="eastAsia" w:ascii="宋体" w:hAnsi="宋体"/>
          <w:szCs w:val="21"/>
          <w:highlight w:val="none"/>
        </w:rPr>
        <w:t>3．随同本投标函提交投标保证金一份，金额为人民币（大写）</w:t>
      </w:r>
      <w:r>
        <w:rPr>
          <w:rFonts w:hint="eastAsia" w:ascii="宋体" w:hAnsi="宋体"/>
          <w:szCs w:val="21"/>
          <w:highlight w:val="none"/>
          <w:u w:val="single"/>
        </w:rPr>
        <w:t xml:space="preserve">       </w:t>
      </w:r>
      <w:r>
        <w:rPr>
          <w:rFonts w:hint="eastAsia" w:ascii="宋体" w:hAnsi="宋体"/>
          <w:szCs w:val="21"/>
          <w:highlight w:val="none"/>
        </w:rPr>
        <w:t>（¥ ）</w:t>
      </w:r>
      <w:r>
        <w:rPr>
          <w:rFonts w:hint="eastAsia" w:ascii="宋体" w:hAnsi="宋体"/>
          <w:szCs w:val="21"/>
          <w:highlight w:val="none"/>
          <w:u w:val="single"/>
        </w:rPr>
        <w:t xml:space="preserve">     </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4．如我方中标：</w:t>
      </w:r>
    </w:p>
    <w:p>
      <w:pPr>
        <w:spacing w:line="360" w:lineRule="auto"/>
        <w:ind w:firstLine="420" w:firstLineChars="200"/>
        <w:rPr>
          <w:rFonts w:ascii="宋体" w:hAnsi="宋体"/>
          <w:szCs w:val="21"/>
          <w:highlight w:val="none"/>
        </w:rPr>
      </w:pPr>
      <w:r>
        <w:rPr>
          <w:rFonts w:hint="eastAsia" w:ascii="宋体" w:hAnsi="宋体"/>
          <w:szCs w:val="21"/>
          <w:highlight w:val="none"/>
        </w:rPr>
        <w:t>（1）我方承诺在收到中标通知书后，在中标通知书规定的期限内与你方签订合同。</w:t>
      </w:r>
    </w:p>
    <w:p>
      <w:pPr>
        <w:spacing w:line="360" w:lineRule="auto"/>
        <w:ind w:firstLine="420" w:firstLineChars="200"/>
        <w:rPr>
          <w:rFonts w:ascii="宋体" w:hAnsi="宋体"/>
          <w:szCs w:val="21"/>
          <w:highlight w:val="none"/>
        </w:rPr>
      </w:pPr>
      <w:r>
        <w:rPr>
          <w:rFonts w:hint="eastAsia" w:ascii="宋体" w:hAnsi="宋体"/>
          <w:szCs w:val="21"/>
          <w:highlight w:val="none"/>
        </w:rPr>
        <w:t>（2）随同本投标函递交的投标函附录属于合同文件的组成部分。</w:t>
      </w:r>
    </w:p>
    <w:p>
      <w:pPr>
        <w:spacing w:line="360" w:lineRule="auto"/>
        <w:ind w:firstLine="420" w:firstLineChars="200"/>
        <w:rPr>
          <w:rFonts w:ascii="宋体" w:hAnsi="宋体"/>
          <w:szCs w:val="21"/>
          <w:highlight w:val="none"/>
        </w:rPr>
      </w:pPr>
      <w:r>
        <w:rPr>
          <w:rFonts w:hint="eastAsia" w:ascii="宋体" w:hAnsi="宋体"/>
          <w:szCs w:val="21"/>
          <w:highlight w:val="none"/>
        </w:rPr>
        <w:t>（3）我方承诺按照招标文件规定向你方递交履约担保。</w:t>
      </w:r>
    </w:p>
    <w:p>
      <w:pPr>
        <w:spacing w:line="360" w:lineRule="auto"/>
        <w:ind w:firstLine="420" w:firstLineChars="200"/>
        <w:rPr>
          <w:rFonts w:ascii="宋体" w:hAnsi="宋体"/>
          <w:szCs w:val="21"/>
          <w:highlight w:val="none"/>
        </w:rPr>
      </w:pPr>
      <w:r>
        <w:rPr>
          <w:rFonts w:hint="eastAsia" w:ascii="宋体" w:hAnsi="宋体"/>
          <w:szCs w:val="21"/>
          <w:highlight w:val="none"/>
        </w:rPr>
        <w:t>（4）我方承诺在合同约定的期限内完成并移交全部合同工程。</w:t>
      </w:r>
    </w:p>
    <w:p>
      <w:pPr>
        <w:spacing w:line="360" w:lineRule="auto"/>
        <w:ind w:firstLine="420" w:firstLineChars="200"/>
        <w:rPr>
          <w:rFonts w:ascii="宋体" w:hAnsi="宋体"/>
          <w:szCs w:val="21"/>
          <w:highlight w:val="none"/>
        </w:rPr>
      </w:pPr>
      <w:r>
        <w:rPr>
          <w:rFonts w:hint="eastAsia" w:ascii="宋体" w:hAnsi="宋体"/>
          <w:szCs w:val="21"/>
          <w:highlight w:val="none"/>
        </w:rPr>
        <w:t>5．我方在此声明，所递交的投标文件及有关资料内容完整、真实和准确，且不存在第二章“投标人</w:t>
      </w:r>
    </w:p>
    <w:p>
      <w:pPr>
        <w:spacing w:line="360" w:lineRule="auto"/>
        <w:ind w:firstLine="420" w:firstLineChars="200"/>
        <w:rPr>
          <w:rFonts w:ascii="宋体" w:hAnsi="宋体"/>
          <w:szCs w:val="21"/>
          <w:highlight w:val="none"/>
        </w:rPr>
      </w:pPr>
      <w:r>
        <w:rPr>
          <w:rFonts w:hint="eastAsia" w:ascii="宋体" w:hAnsi="宋体"/>
          <w:szCs w:val="21"/>
          <w:highlight w:val="none"/>
        </w:rPr>
        <w:t>须知”第 1.4.3 项和第 1.4.4 项规定的任何一种情形。</w:t>
      </w:r>
    </w:p>
    <w:p>
      <w:pPr>
        <w:numPr>
          <w:ilvl w:val="0"/>
          <w:numId w:val="19"/>
        </w:numPr>
        <w:ind w:firstLine="210" w:firstLineChars="1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（其他补充说明）。</w:t>
      </w:r>
    </w:p>
    <w:p>
      <w:pPr>
        <w:jc w:val="right"/>
        <w:rPr>
          <w:rFonts w:ascii="宋体" w:hAnsi="宋体"/>
          <w:szCs w:val="21"/>
          <w:highlight w:val="none"/>
        </w:rPr>
      </w:pPr>
    </w:p>
    <w:p>
      <w:pPr>
        <w:spacing w:line="360" w:lineRule="auto"/>
        <w:jc w:val="right"/>
        <w:rPr>
          <w:rFonts w:ascii="宋体" w:hAnsi="宋体"/>
          <w:szCs w:val="21"/>
          <w:highlight w:val="none"/>
        </w:rPr>
      </w:pPr>
      <w:r>
        <w:rPr>
          <w:rFonts w:hint="eastAsia" w:ascii="宋体" w:hAnsi="宋体"/>
          <w:szCs w:val="21"/>
          <w:highlight w:val="none"/>
        </w:rPr>
        <w:t>投 标 人：</w:t>
      </w:r>
      <w:r>
        <w:rPr>
          <w:rFonts w:hint="eastAsia" w:ascii="宋体" w:hAnsi="宋体"/>
          <w:szCs w:val="21"/>
          <w:highlight w:val="none"/>
          <w:u w:val="single"/>
        </w:rPr>
        <w:t xml:space="preserve">                           </w:t>
      </w:r>
      <w:r>
        <w:rPr>
          <w:rFonts w:hint="eastAsia" w:ascii="宋体" w:hAnsi="宋体"/>
          <w:szCs w:val="21"/>
          <w:highlight w:val="none"/>
        </w:rPr>
        <w:t xml:space="preserve"> （盖单位公章）</w:t>
      </w:r>
    </w:p>
    <w:p>
      <w:pPr>
        <w:spacing w:line="360" w:lineRule="auto"/>
        <w:jc w:val="right"/>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 xml:space="preserve"> （签字或印章）</w:t>
      </w:r>
    </w:p>
    <w:p>
      <w:pPr>
        <w:spacing w:line="360" w:lineRule="auto"/>
        <w:jc w:val="center"/>
        <w:rPr>
          <w:rFonts w:ascii="宋体" w:hAnsi="宋体"/>
          <w:strike/>
          <w:szCs w:val="21"/>
          <w:highlight w:val="none"/>
        </w:rPr>
      </w:pPr>
      <w:r>
        <w:rPr>
          <w:rFonts w:hint="eastAsia" w:ascii="宋体" w:hAnsi="宋体"/>
          <w:strike/>
          <w:szCs w:val="21"/>
          <w:highlight w:val="none"/>
          <w:u w:val="single"/>
        </w:rPr>
        <w:t xml:space="preserve"> </w:t>
      </w:r>
    </w:p>
    <w:p>
      <w:pPr>
        <w:spacing w:line="360" w:lineRule="auto"/>
        <w:jc w:val="center"/>
        <w:rPr>
          <w:rFonts w:ascii="宋体" w:hAnsi="宋体"/>
          <w:sz w:val="28"/>
          <w:szCs w:val="28"/>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 日</w:t>
      </w:r>
      <w:r>
        <w:rPr>
          <w:szCs w:val="21"/>
          <w:highlight w:val="none"/>
        </w:rPr>
        <w:br w:type="page"/>
      </w:r>
      <w:r>
        <w:rPr>
          <w:rFonts w:hint="eastAsia" w:ascii="宋体" w:hAnsi="宋体"/>
          <w:sz w:val="28"/>
          <w:szCs w:val="28"/>
          <w:highlight w:val="none"/>
        </w:rPr>
        <w:t>（二）</w:t>
      </w:r>
      <w:r>
        <w:rPr>
          <w:rFonts w:ascii="宋体" w:hAnsi="宋体"/>
          <w:sz w:val="28"/>
          <w:szCs w:val="28"/>
          <w:highlight w:val="none"/>
        </w:rPr>
        <w:t>投标函</w:t>
      </w:r>
      <w:r>
        <w:rPr>
          <w:rFonts w:hint="eastAsia" w:ascii="宋体" w:hAnsi="宋体"/>
          <w:sz w:val="28"/>
          <w:szCs w:val="28"/>
          <w:highlight w:val="none"/>
        </w:rPr>
        <w:t>附录</w:t>
      </w:r>
    </w:p>
    <w:p>
      <w:pPr>
        <w:jc w:val="left"/>
        <w:rPr>
          <w:rFonts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ascii="宋体" w:hAnsi="宋体"/>
          <w:sz w:val="24"/>
          <w:highlight w:val="none"/>
          <w:u w:val="single"/>
        </w:rPr>
        <w:t xml:space="preserve">             </w:t>
      </w:r>
    </w:p>
    <w:p>
      <w:pPr>
        <w:jc w:val="left"/>
        <w:rPr>
          <w:rFonts w:ascii="宋体" w:hAnsi="宋体"/>
          <w:sz w:val="24"/>
          <w:highlight w:val="none"/>
          <w:u w:val="singl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2268"/>
        <w:gridCol w:w="226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auto"/>
              <w:jc w:val="center"/>
              <w:rPr>
                <w:rFonts w:ascii="宋体" w:hAnsi="宋体"/>
                <w:sz w:val="24"/>
                <w:highlight w:val="none"/>
              </w:rPr>
            </w:pPr>
            <w:r>
              <w:rPr>
                <w:rFonts w:hint="eastAsia" w:ascii="宋体" w:hAnsi="宋体"/>
                <w:sz w:val="24"/>
                <w:highlight w:val="none"/>
              </w:rPr>
              <w:t>序号</w:t>
            </w:r>
          </w:p>
        </w:tc>
        <w:tc>
          <w:tcPr>
            <w:tcW w:w="3119" w:type="dxa"/>
            <w:vAlign w:val="center"/>
          </w:tcPr>
          <w:p>
            <w:pPr>
              <w:spacing w:line="480" w:lineRule="auto"/>
              <w:jc w:val="center"/>
              <w:rPr>
                <w:rFonts w:ascii="宋体" w:hAnsi="宋体"/>
                <w:sz w:val="24"/>
                <w:highlight w:val="none"/>
              </w:rPr>
            </w:pPr>
            <w:r>
              <w:rPr>
                <w:rFonts w:hint="eastAsia" w:ascii="宋体" w:hAnsi="宋体"/>
                <w:sz w:val="24"/>
                <w:highlight w:val="none"/>
              </w:rPr>
              <w:t>名称</w:t>
            </w:r>
          </w:p>
        </w:tc>
        <w:tc>
          <w:tcPr>
            <w:tcW w:w="2268" w:type="dxa"/>
            <w:vAlign w:val="center"/>
          </w:tcPr>
          <w:p>
            <w:pPr>
              <w:spacing w:line="480" w:lineRule="auto"/>
              <w:jc w:val="center"/>
              <w:rPr>
                <w:rFonts w:ascii="宋体" w:hAnsi="宋体"/>
                <w:sz w:val="24"/>
                <w:highlight w:val="none"/>
              </w:rPr>
            </w:pPr>
            <w:r>
              <w:rPr>
                <w:rFonts w:hint="eastAsia" w:ascii="宋体" w:hAnsi="宋体"/>
                <w:sz w:val="24"/>
                <w:highlight w:val="none"/>
              </w:rPr>
              <w:t>约定内容</w:t>
            </w:r>
          </w:p>
        </w:tc>
        <w:tc>
          <w:tcPr>
            <w:tcW w:w="2268" w:type="dxa"/>
            <w:vAlign w:val="center"/>
          </w:tcPr>
          <w:p>
            <w:pPr>
              <w:spacing w:line="480" w:lineRule="auto"/>
              <w:jc w:val="center"/>
              <w:rPr>
                <w:rFonts w:ascii="宋体" w:hAnsi="宋体"/>
                <w:sz w:val="24"/>
                <w:highlight w:val="none"/>
              </w:rPr>
            </w:pPr>
            <w:r>
              <w:rPr>
                <w:rFonts w:hint="eastAsia" w:ascii="宋体" w:hAnsi="宋体"/>
                <w:sz w:val="24"/>
                <w:highlight w:val="none"/>
              </w:rPr>
              <w:t>证书编号</w:t>
            </w:r>
          </w:p>
        </w:tc>
        <w:tc>
          <w:tcPr>
            <w:tcW w:w="1382" w:type="dxa"/>
            <w:vAlign w:val="center"/>
          </w:tcPr>
          <w:p>
            <w:pPr>
              <w:spacing w:line="480" w:lineRule="auto"/>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auto"/>
              <w:jc w:val="center"/>
              <w:rPr>
                <w:rFonts w:ascii="宋体" w:hAnsi="宋体"/>
                <w:sz w:val="24"/>
                <w:highlight w:val="none"/>
              </w:rPr>
            </w:pPr>
            <w:r>
              <w:rPr>
                <w:rFonts w:hint="eastAsia" w:ascii="宋体" w:hAnsi="宋体"/>
                <w:sz w:val="24"/>
                <w:highlight w:val="none"/>
              </w:rPr>
              <w:t>1</w:t>
            </w:r>
          </w:p>
        </w:tc>
        <w:tc>
          <w:tcPr>
            <w:tcW w:w="3119" w:type="dxa"/>
            <w:vAlign w:val="center"/>
          </w:tcPr>
          <w:p>
            <w:pPr>
              <w:spacing w:line="480" w:lineRule="auto"/>
              <w:jc w:val="left"/>
              <w:rPr>
                <w:rFonts w:ascii="宋体" w:hAnsi="宋体"/>
                <w:sz w:val="24"/>
                <w:highlight w:val="none"/>
              </w:rPr>
            </w:pPr>
            <w:r>
              <w:rPr>
                <w:rFonts w:hint="eastAsia" w:ascii="宋体" w:hAnsi="宋体"/>
                <w:sz w:val="24"/>
                <w:highlight w:val="none"/>
              </w:rPr>
              <w:t>工程总承包项目经理</w:t>
            </w:r>
          </w:p>
        </w:tc>
        <w:tc>
          <w:tcPr>
            <w:tcW w:w="2268" w:type="dxa"/>
            <w:vAlign w:val="center"/>
          </w:tcPr>
          <w:p>
            <w:pPr>
              <w:spacing w:line="480" w:lineRule="auto"/>
              <w:jc w:val="left"/>
              <w:rPr>
                <w:rFonts w:ascii="宋体" w:hAnsi="宋体"/>
                <w:sz w:val="24"/>
                <w:highlight w:val="none"/>
                <w:u w:val="single"/>
              </w:rPr>
            </w:pPr>
            <w:r>
              <w:rPr>
                <w:rFonts w:hint="eastAsia" w:ascii="宋体" w:hAnsi="宋体"/>
                <w:sz w:val="24"/>
                <w:highlight w:val="none"/>
              </w:rPr>
              <w:t>姓名：</w:t>
            </w:r>
            <w:r>
              <w:rPr>
                <w:rFonts w:hint="eastAsia" w:ascii="宋体" w:hAnsi="宋体"/>
                <w:sz w:val="24"/>
                <w:highlight w:val="none"/>
                <w:u w:val="single"/>
              </w:rPr>
              <w:t xml:space="preserve"> </w:t>
            </w:r>
            <w:r>
              <w:rPr>
                <w:rFonts w:ascii="宋体" w:hAnsi="宋体"/>
                <w:sz w:val="24"/>
                <w:highlight w:val="none"/>
                <w:u w:val="single"/>
              </w:rPr>
              <w:t xml:space="preserve">        </w:t>
            </w:r>
          </w:p>
        </w:tc>
        <w:tc>
          <w:tcPr>
            <w:tcW w:w="2268" w:type="dxa"/>
            <w:vAlign w:val="center"/>
          </w:tcPr>
          <w:p>
            <w:pPr>
              <w:spacing w:line="480" w:lineRule="auto"/>
              <w:jc w:val="left"/>
              <w:rPr>
                <w:rFonts w:ascii="宋体" w:hAnsi="宋体"/>
                <w:sz w:val="24"/>
                <w:highlight w:val="none"/>
              </w:rPr>
            </w:pPr>
          </w:p>
        </w:tc>
        <w:tc>
          <w:tcPr>
            <w:tcW w:w="1382" w:type="dxa"/>
            <w:vAlign w:val="center"/>
          </w:tcPr>
          <w:p>
            <w:pPr>
              <w:spacing w:line="480" w:lineRule="auto"/>
              <w:jc w:val="lef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auto"/>
              <w:jc w:val="center"/>
              <w:rPr>
                <w:rFonts w:ascii="宋体" w:hAnsi="宋体"/>
                <w:sz w:val="24"/>
                <w:highlight w:val="none"/>
              </w:rPr>
            </w:pPr>
            <w:r>
              <w:rPr>
                <w:rFonts w:ascii="宋体" w:hAnsi="宋体"/>
                <w:sz w:val="24"/>
                <w:highlight w:val="none"/>
              </w:rPr>
              <w:t>2</w:t>
            </w:r>
          </w:p>
        </w:tc>
        <w:tc>
          <w:tcPr>
            <w:tcW w:w="3119" w:type="dxa"/>
            <w:vAlign w:val="center"/>
          </w:tcPr>
          <w:p>
            <w:pPr>
              <w:spacing w:line="480" w:lineRule="auto"/>
              <w:jc w:val="left"/>
              <w:rPr>
                <w:rFonts w:ascii="宋体" w:hAnsi="宋体"/>
                <w:sz w:val="24"/>
                <w:highlight w:val="none"/>
              </w:rPr>
            </w:pPr>
            <w:r>
              <w:rPr>
                <w:rFonts w:hint="eastAsia" w:ascii="宋体" w:hAnsi="宋体"/>
                <w:sz w:val="24"/>
                <w:highlight w:val="none"/>
              </w:rPr>
              <w:t>施工负责人</w:t>
            </w:r>
          </w:p>
        </w:tc>
        <w:tc>
          <w:tcPr>
            <w:tcW w:w="2268" w:type="dxa"/>
            <w:vAlign w:val="center"/>
          </w:tcPr>
          <w:p>
            <w:pPr>
              <w:spacing w:line="480" w:lineRule="auto"/>
              <w:jc w:val="left"/>
              <w:rPr>
                <w:rFonts w:ascii="宋体" w:hAnsi="宋体"/>
                <w:sz w:val="24"/>
                <w:highlight w:val="none"/>
              </w:rPr>
            </w:pPr>
            <w:r>
              <w:rPr>
                <w:rFonts w:hint="eastAsia" w:ascii="宋体" w:hAnsi="宋体"/>
                <w:sz w:val="24"/>
                <w:highlight w:val="none"/>
              </w:rPr>
              <w:t>姓名：</w:t>
            </w:r>
            <w:r>
              <w:rPr>
                <w:rFonts w:hint="eastAsia" w:ascii="宋体" w:hAnsi="宋体"/>
                <w:sz w:val="24"/>
                <w:highlight w:val="none"/>
                <w:u w:val="single"/>
              </w:rPr>
              <w:t xml:space="preserve"> </w:t>
            </w:r>
            <w:r>
              <w:rPr>
                <w:rFonts w:ascii="宋体" w:hAnsi="宋体"/>
                <w:sz w:val="24"/>
                <w:highlight w:val="none"/>
                <w:u w:val="single"/>
              </w:rPr>
              <w:t xml:space="preserve">        </w:t>
            </w:r>
          </w:p>
        </w:tc>
        <w:tc>
          <w:tcPr>
            <w:tcW w:w="2268" w:type="dxa"/>
            <w:vAlign w:val="center"/>
          </w:tcPr>
          <w:p>
            <w:pPr>
              <w:spacing w:line="480" w:lineRule="auto"/>
              <w:jc w:val="left"/>
              <w:rPr>
                <w:rFonts w:ascii="宋体" w:hAnsi="宋体"/>
                <w:sz w:val="24"/>
                <w:highlight w:val="none"/>
              </w:rPr>
            </w:pPr>
          </w:p>
        </w:tc>
        <w:tc>
          <w:tcPr>
            <w:tcW w:w="1382" w:type="dxa"/>
            <w:vAlign w:val="center"/>
          </w:tcPr>
          <w:p>
            <w:pPr>
              <w:spacing w:line="480" w:lineRule="auto"/>
              <w:jc w:val="lef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auto"/>
              <w:jc w:val="center"/>
              <w:rPr>
                <w:rFonts w:ascii="宋体" w:hAnsi="宋体"/>
                <w:sz w:val="24"/>
                <w:highlight w:val="none"/>
              </w:rPr>
            </w:pPr>
            <w:r>
              <w:rPr>
                <w:rFonts w:hint="eastAsia" w:ascii="宋体" w:hAnsi="宋体"/>
                <w:sz w:val="24"/>
                <w:highlight w:val="none"/>
              </w:rPr>
              <w:t>3</w:t>
            </w:r>
          </w:p>
        </w:tc>
        <w:tc>
          <w:tcPr>
            <w:tcW w:w="3119" w:type="dxa"/>
            <w:vAlign w:val="center"/>
          </w:tcPr>
          <w:p>
            <w:pPr>
              <w:spacing w:line="480" w:lineRule="auto"/>
              <w:jc w:val="left"/>
              <w:rPr>
                <w:rFonts w:ascii="宋体" w:hAnsi="宋体"/>
                <w:sz w:val="24"/>
                <w:highlight w:val="none"/>
              </w:rPr>
            </w:pPr>
            <w:r>
              <w:rPr>
                <w:rFonts w:hint="eastAsia" w:ascii="宋体" w:hAnsi="宋体"/>
                <w:sz w:val="24"/>
                <w:highlight w:val="none"/>
              </w:rPr>
              <w:t>设计负责人</w:t>
            </w:r>
          </w:p>
        </w:tc>
        <w:tc>
          <w:tcPr>
            <w:tcW w:w="2268" w:type="dxa"/>
            <w:vAlign w:val="center"/>
          </w:tcPr>
          <w:p>
            <w:pPr>
              <w:spacing w:line="480" w:lineRule="auto"/>
              <w:jc w:val="left"/>
              <w:rPr>
                <w:rFonts w:ascii="宋体" w:hAnsi="宋体"/>
                <w:sz w:val="24"/>
                <w:highlight w:val="none"/>
              </w:rPr>
            </w:pPr>
            <w:r>
              <w:rPr>
                <w:rFonts w:hint="eastAsia" w:ascii="宋体" w:hAnsi="宋体"/>
                <w:sz w:val="24"/>
                <w:highlight w:val="none"/>
              </w:rPr>
              <w:t>姓名：</w:t>
            </w:r>
            <w:r>
              <w:rPr>
                <w:rFonts w:hint="eastAsia" w:ascii="宋体" w:hAnsi="宋体"/>
                <w:sz w:val="24"/>
                <w:highlight w:val="none"/>
                <w:u w:val="single"/>
              </w:rPr>
              <w:t xml:space="preserve"> </w:t>
            </w:r>
            <w:r>
              <w:rPr>
                <w:rFonts w:ascii="宋体" w:hAnsi="宋体"/>
                <w:sz w:val="24"/>
                <w:highlight w:val="none"/>
                <w:u w:val="single"/>
              </w:rPr>
              <w:t xml:space="preserve">        </w:t>
            </w:r>
          </w:p>
        </w:tc>
        <w:tc>
          <w:tcPr>
            <w:tcW w:w="2268" w:type="dxa"/>
            <w:vAlign w:val="center"/>
          </w:tcPr>
          <w:p>
            <w:pPr>
              <w:spacing w:line="480" w:lineRule="auto"/>
              <w:jc w:val="left"/>
              <w:rPr>
                <w:rFonts w:ascii="宋体" w:hAnsi="宋体"/>
                <w:sz w:val="24"/>
                <w:highlight w:val="none"/>
              </w:rPr>
            </w:pPr>
          </w:p>
        </w:tc>
        <w:tc>
          <w:tcPr>
            <w:tcW w:w="1382" w:type="dxa"/>
            <w:vAlign w:val="center"/>
          </w:tcPr>
          <w:p>
            <w:pPr>
              <w:spacing w:line="480" w:lineRule="auto"/>
              <w:jc w:val="lef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auto"/>
              <w:jc w:val="center"/>
              <w:rPr>
                <w:rFonts w:ascii="宋体" w:hAnsi="宋体"/>
                <w:sz w:val="24"/>
                <w:highlight w:val="none"/>
              </w:rPr>
            </w:pPr>
            <w:r>
              <w:rPr>
                <w:rFonts w:hint="eastAsia" w:ascii="宋体" w:hAnsi="宋体"/>
                <w:sz w:val="24"/>
                <w:highlight w:val="none"/>
              </w:rPr>
              <w:t>4</w:t>
            </w:r>
          </w:p>
        </w:tc>
        <w:tc>
          <w:tcPr>
            <w:tcW w:w="3119" w:type="dxa"/>
            <w:vAlign w:val="center"/>
          </w:tcPr>
          <w:p>
            <w:pPr>
              <w:spacing w:line="480" w:lineRule="auto"/>
              <w:jc w:val="left"/>
              <w:rPr>
                <w:rFonts w:ascii="宋体" w:hAnsi="宋体"/>
                <w:sz w:val="24"/>
                <w:highlight w:val="none"/>
              </w:rPr>
            </w:pPr>
            <w:r>
              <w:rPr>
                <w:rFonts w:hint="eastAsia" w:ascii="宋体" w:hAnsi="宋体"/>
                <w:sz w:val="24"/>
                <w:highlight w:val="none"/>
              </w:rPr>
              <w:t>施工技术负责人</w:t>
            </w:r>
          </w:p>
        </w:tc>
        <w:tc>
          <w:tcPr>
            <w:tcW w:w="2268" w:type="dxa"/>
            <w:vAlign w:val="center"/>
          </w:tcPr>
          <w:p>
            <w:pPr>
              <w:spacing w:line="480" w:lineRule="auto"/>
              <w:jc w:val="left"/>
              <w:rPr>
                <w:rFonts w:ascii="宋体" w:hAnsi="宋体"/>
                <w:sz w:val="24"/>
                <w:highlight w:val="none"/>
              </w:rPr>
            </w:pPr>
            <w:r>
              <w:rPr>
                <w:rFonts w:hint="eastAsia" w:ascii="宋体" w:hAnsi="宋体"/>
                <w:sz w:val="24"/>
                <w:highlight w:val="none"/>
              </w:rPr>
              <w:t>姓名：</w:t>
            </w:r>
            <w:r>
              <w:rPr>
                <w:rFonts w:hint="eastAsia" w:ascii="宋体" w:hAnsi="宋体"/>
                <w:sz w:val="24"/>
                <w:highlight w:val="none"/>
                <w:u w:val="single"/>
              </w:rPr>
              <w:t xml:space="preserve"> </w:t>
            </w:r>
            <w:r>
              <w:rPr>
                <w:rFonts w:ascii="宋体" w:hAnsi="宋体"/>
                <w:sz w:val="24"/>
                <w:highlight w:val="none"/>
                <w:u w:val="single"/>
              </w:rPr>
              <w:t xml:space="preserve">        </w:t>
            </w:r>
          </w:p>
        </w:tc>
        <w:tc>
          <w:tcPr>
            <w:tcW w:w="2268" w:type="dxa"/>
            <w:vAlign w:val="center"/>
          </w:tcPr>
          <w:p>
            <w:pPr>
              <w:spacing w:line="480" w:lineRule="auto"/>
              <w:jc w:val="left"/>
              <w:rPr>
                <w:rFonts w:ascii="宋体" w:hAnsi="宋体"/>
                <w:sz w:val="24"/>
                <w:highlight w:val="none"/>
              </w:rPr>
            </w:pPr>
          </w:p>
        </w:tc>
        <w:tc>
          <w:tcPr>
            <w:tcW w:w="1382" w:type="dxa"/>
            <w:vAlign w:val="center"/>
          </w:tcPr>
          <w:p>
            <w:pPr>
              <w:spacing w:line="480" w:lineRule="auto"/>
              <w:jc w:val="left"/>
              <w:rPr>
                <w:rFonts w:ascii="宋体" w:hAnsi="宋体"/>
                <w:sz w:val="24"/>
                <w:highlight w:val="none"/>
              </w:rPr>
            </w:pPr>
          </w:p>
        </w:tc>
      </w:tr>
    </w:tbl>
    <w:p>
      <w:pPr>
        <w:jc w:val="left"/>
        <w:rPr>
          <w:rFonts w:ascii="宋体" w:hAnsi="宋体"/>
          <w:sz w:val="24"/>
          <w:highlight w:val="none"/>
        </w:rPr>
      </w:pPr>
    </w:p>
    <w:p>
      <w:pPr>
        <w:jc w:val="left"/>
        <w:rPr>
          <w:szCs w:val="21"/>
          <w:highlight w:val="none"/>
        </w:rPr>
      </w:pPr>
      <w:r>
        <w:rPr>
          <w:rFonts w:hint="eastAsia"/>
          <w:szCs w:val="21"/>
          <w:highlight w:val="none"/>
        </w:rPr>
        <w:t>注：投标人在响应招标文件中规定的实质性要求和条件的基础上，可做出其他有利于招标人的承诺。此类</w:t>
      </w:r>
    </w:p>
    <w:p>
      <w:pPr>
        <w:jc w:val="left"/>
        <w:rPr>
          <w:szCs w:val="21"/>
          <w:highlight w:val="none"/>
        </w:rPr>
      </w:pPr>
      <w:r>
        <w:rPr>
          <w:rFonts w:hint="eastAsia"/>
          <w:szCs w:val="21"/>
          <w:highlight w:val="none"/>
        </w:rPr>
        <w:t>承诺可在本表中予以补充填写。本表内容不作为否决性条款，仅供招标人在签订合同时参考使用。招标人</w:t>
      </w:r>
    </w:p>
    <w:p>
      <w:pPr>
        <w:jc w:val="left"/>
        <w:rPr>
          <w:rFonts w:ascii="宋体"/>
          <w:szCs w:val="21"/>
          <w:highlight w:val="none"/>
        </w:rPr>
      </w:pPr>
      <w:r>
        <w:rPr>
          <w:rFonts w:hint="eastAsia"/>
          <w:szCs w:val="21"/>
          <w:highlight w:val="none"/>
        </w:rPr>
        <w:t>在签订合同时可使用、也可不使用本表内容。</w:t>
      </w:r>
      <w:r>
        <w:rPr>
          <w:szCs w:val="21"/>
          <w:highlight w:val="none"/>
        </w:rPr>
        <w:br w:type="page"/>
      </w:r>
      <w:r>
        <w:rPr>
          <w:rFonts w:hint="eastAsia"/>
          <w:b/>
          <w:sz w:val="28"/>
          <w:szCs w:val="28"/>
          <w:highlight w:val="none"/>
        </w:rPr>
        <w:t>二、法定代表人身份证明及授权委托书（参考格式）</w:t>
      </w:r>
    </w:p>
    <w:p>
      <w:pPr>
        <w:pStyle w:val="5"/>
        <w:ind w:firstLine="0" w:firstLineChars="0"/>
        <w:rPr>
          <w:highlight w:val="none"/>
        </w:rPr>
      </w:pPr>
    </w:p>
    <w:p>
      <w:pPr>
        <w:pStyle w:val="5"/>
        <w:rPr>
          <w:highlight w:val="none"/>
        </w:rPr>
      </w:pPr>
    </w:p>
    <w:p>
      <w:pPr>
        <w:pStyle w:val="5"/>
        <w:rPr>
          <w:highlight w:val="none"/>
        </w:rPr>
      </w:pPr>
    </w:p>
    <w:p>
      <w:pPr>
        <w:jc w:val="center"/>
        <w:rPr>
          <w:highlight w:val="none"/>
        </w:rPr>
      </w:pPr>
      <w:bookmarkStart w:id="1270" w:name="_Toc250"/>
      <w:bookmarkStart w:id="1271" w:name="_Toc24356"/>
      <w:bookmarkStart w:id="1272" w:name="_Toc487562883"/>
      <w:bookmarkStart w:id="1273" w:name="_Toc4366"/>
      <w:bookmarkStart w:id="1274" w:name="_Toc518383114"/>
      <w:bookmarkStart w:id="1275" w:name="_Toc487131598"/>
      <w:bookmarkStart w:id="1276" w:name="_Toc487202732"/>
      <w:r>
        <w:rPr>
          <w:rFonts w:hint="eastAsia"/>
          <w:highlight w:val="none"/>
        </w:rPr>
        <w:t>法定代表人身份证明书</w:t>
      </w:r>
      <w:bookmarkEnd w:id="1270"/>
      <w:bookmarkEnd w:id="1271"/>
      <w:bookmarkEnd w:id="1272"/>
      <w:bookmarkEnd w:id="1273"/>
      <w:bookmarkEnd w:id="1274"/>
      <w:bookmarkEnd w:id="1275"/>
      <w:bookmarkEnd w:id="1276"/>
    </w:p>
    <w:p>
      <w:pPr>
        <w:jc w:val="center"/>
        <w:rPr>
          <w:rFonts w:ascii="宋体" w:hAnsi="宋体"/>
          <w:b/>
          <w:sz w:val="36"/>
          <w:highlight w:val="none"/>
        </w:rPr>
      </w:pPr>
    </w:p>
    <w:p>
      <w:pPr>
        <w:jc w:val="center"/>
        <w:rPr>
          <w:rFonts w:ascii="宋体" w:hAnsi="宋体"/>
          <w:b/>
          <w:szCs w:val="21"/>
          <w:highlight w:val="none"/>
        </w:rPr>
      </w:pPr>
    </w:p>
    <w:p>
      <w:pPr>
        <w:rPr>
          <w:rFonts w:ascii="宋体" w:hAnsi="宋体"/>
          <w:b/>
          <w:szCs w:val="21"/>
          <w:highlight w:val="none"/>
        </w:rPr>
      </w:pPr>
    </w:p>
    <w:p>
      <w:pPr>
        <w:ind w:firstLine="612"/>
        <w:rPr>
          <w:rFonts w:ascii="宋体" w:hAnsi="宋体"/>
          <w:szCs w:val="21"/>
          <w:highlight w:val="none"/>
        </w:rPr>
      </w:pPr>
      <w:r>
        <w:rPr>
          <w:rFonts w:hint="eastAsia" w:ascii="宋体" w:hAnsi="宋体"/>
          <w:szCs w:val="21"/>
          <w:highlight w:val="none"/>
        </w:rPr>
        <w:t>单位名称：</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ind w:firstLine="612"/>
        <w:rPr>
          <w:rFonts w:ascii="宋体" w:hAnsi="宋体"/>
          <w:szCs w:val="21"/>
          <w:highlight w:val="none"/>
        </w:rPr>
      </w:pPr>
    </w:p>
    <w:p>
      <w:pPr>
        <w:ind w:firstLine="610"/>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ind w:firstLine="610"/>
        <w:rPr>
          <w:rFonts w:ascii="宋体" w:hAnsi="宋体"/>
          <w:szCs w:val="21"/>
          <w:highlight w:val="none"/>
        </w:rPr>
      </w:pPr>
    </w:p>
    <w:p>
      <w:pPr>
        <w:ind w:firstLine="610"/>
        <w:rPr>
          <w:rFonts w:ascii="宋体" w:hAnsi="宋体"/>
          <w:szCs w:val="21"/>
          <w:highlight w:val="none"/>
          <w:u w:val="single"/>
        </w:rPr>
      </w:pPr>
      <w:r>
        <w:rPr>
          <w:rFonts w:hint="eastAsia" w:ascii="宋体" w:hAnsi="宋体"/>
          <w:szCs w:val="21"/>
          <w:highlight w:val="none"/>
        </w:rPr>
        <w:t>地</w:t>
      </w:r>
      <w:r>
        <w:rPr>
          <w:rFonts w:ascii="宋体" w:hAnsi="宋体"/>
          <w:szCs w:val="21"/>
          <w:highlight w:val="none"/>
        </w:rPr>
        <w:t xml:space="preserve">    址：</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ind w:firstLine="610"/>
        <w:rPr>
          <w:rFonts w:ascii="宋体" w:hAnsi="宋体"/>
          <w:szCs w:val="21"/>
          <w:highlight w:val="none"/>
        </w:rPr>
      </w:pPr>
    </w:p>
    <w:p>
      <w:pPr>
        <w:ind w:firstLine="610"/>
        <w:rPr>
          <w:rFonts w:ascii="宋体" w:hAnsi="宋体"/>
          <w:szCs w:val="21"/>
          <w:highlight w:val="none"/>
        </w:rPr>
      </w:pPr>
      <w:r>
        <w:rPr>
          <w:rFonts w:hint="eastAsia" w:ascii="宋体" w:hAnsi="宋体"/>
          <w:szCs w:val="21"/>
          <w:highlight w:val="none"/>
        </w:rPr>
        <w:t>成立时间：</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w:t>
      </w:r>
    </w:p>
    <w:p>
      <w:pPr>
        <w:ind w:firstLine="610"/>
        <w:rPr>
          <w:rFonts w:ascii="宋体" w:hAnsi="宋体"/>
          <w:szCs w:val="21"/>
          <w:highlight w:val="none"/>
        </w:rPr>
      </w:pPr>
    </w:p>
    <w:p>
      <w:pPr>
        <w:ind w:firstLine="610"/>
        <w:rPr>
          <w:rFonts w:ascii="宋体" w:hAnsi="宋体"/>
          <w:szCs w:val="21"/>
          <w:highlight w:val="none"/>
          <w:u w:val="single"/>
        </w:rPr>
      </w:pPr>
      <w:r>
        <w:rPr>
          <w:rFonts w:hint="eastAsia" w:ascii="宋体" w:hAnsi="宋体"/>
          <w:szCs w:val="21"/>
          <w:highlight w:val="none"/>
        </w:rPr>
        <w:t>经营期限：</w:t>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p>
    <w:p>
      <w:pPr>
        <w:ind w:firstLine="610"/>
        <w:rPr>
          <w:rFonts w:ascii="宋体" w:hAnsi="宋体"/>
          <w:szCs w:val="21"/>
          <w:highlight w:val="none"/>
        </w:rPr>
      </w:pPr>
    </w:p>
    <w:p>
      <w:pPr>
        <w:ind w:firstLine="610"/>
        <w:rPr>
          <w:rFonts w:ascii="宋体" w:hAnsi="宋体"/>
          <w:szCs w:val="21"/>
          <w:highlight w:val="none"/>
          <w:u w:val="single"/>
        </w:rPr>
      </w:pPr>
      <w:r>
        <w:rPr>
          <w:rFonts w:hint="eastAsia" w:ascii="宋体" w:hAnsi="宋体"/>
          <w:szCs w:val="21"/>
          <w:highlight w:val="none"/>
        </w:rPr>
        <w:t>姓</w:t>
      </w:r>
      <w:r>
        <w:rPr>
          <w:rFonts w:ascii="宋体" w:hAnsi="宋体"/>
          <w:szCs w:val="21"/>
          <w:highlight w:val="none"/>
        </w:rPr>
        <w:t xml:space="preserve">    名：</w:t>
      </w:r>
      <w:r>
        <w:rPr>
          <w:rFonts w:ascii="宋体" w:hAnsi="宋体"/>
          <w:szCs w:val="21"/>
          <w:highlight w:val="none"/>
          <w:u w:val="single"/>
        </w:rPr>
        <w:t xml:space="preserve">          </w:t>
      </w:r>
      <w:r>
        <w:rPr>
          <w:rFonts w:ascii="宋体" w:hAnsi="宋体"/>
          <w:szCs w:val="21"/>
          <w:highlight w:val="none"/>
        </w:rPr>
        <w:t xml:space="preserve"> 性别：</w:t>
      </w:r>
      <w:r>
        <w:rPr>
          <w:rFonts w:ascii="宋体" w:hAnsi="宋体"/>
          <w:szCs w:val="21"/>
          <w:highlight w:val="none"/>
          <w:u w:val="single"/>
        </w:rPr>
        <w:t xml:space="preserve">        </w:t>
      </w:r>
      <w:r>
        <w:rPr>
          <w:rFonts w:ascii="宋体" w:hAnsi="宋体"/>
          <w:szCs w:val="21"/>
          <w:highlight w:val="none"/>
        </w:rPr>
        <w:t>年龄：</w:t>
      </w:r>
      <w:r>
        <w:rPr>
          <w:rFonts w:ascii="宋体" w:hAnsi="宋体"/>
          <w:szCs w:val="21"/>
          <w:highlight w:val="none"/>
          <w:u w:val="single"/>
        </w:rPr>
        <w:t xml:space="preserve">          </w:t>
      </w:r>
      <w:r>
        <w:rPr>
          <w:rFonts w:ascii="宋体" w:hAnsi="宋体"/>
          <w:szCs w:val="21"/>
          <w:highlight w:val="none"/>
        </w:rPr>
        <w:t xml:space="preserve"> 职务：</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p>
    <w:p>
      <w:pPr>
        <w:ind w:firstLine="610"/>
        <w:rPr>
          <w:rFonts w:ascii="宋体" w:hAnsi="宋体"/>
          <w:szCs w:val="21"/>
          <w:highlight w:val="none"/>
        </w:rPr>
      </w:pPr>
    </w:p>
    <w:p>
      <w:pPr>
        <w:ind w:firstLine="610"/>
        <w:rPr>
          <w:rFonts w:ascii="宋体" w:hAnsi="宋体"/>
          <w:szCs w:val="21"/>
          <w:highlight w:val="none"/>
        </w:rPr>
      </w:pPr>
      <w:r>
        <w:rPr>
          <w:rFonts w:hint="eastAsia" w:ascii="宋体" w:hAnsi="宋体"/>
          <w:szCs w:val="21"/>
          <w:highlight w:val="none"/>
        </w:rPr>
        <w:t>系</w:t>
      </w:r>
      <w:r>
        <w:rPr>
          <w:rFonts w:ascii="宋体" w:hAnsi="宋体"/>
          <w:szCs w:val="21"/>
          <w:highlight w:val="none"/>
          <w:u w:val="single"/>
        </w:rPr>
        <w:t xml:space="preserve">          （投标人单位名称）         </w:t>
      </w:r>
      <w:r>
        <w:rPr>
          <w:rFonts w:hint="eastAsia" w:ascii="宋体" w:hAnsi="宋体"/>
          <w:szCs w:val="21"/>
          <w:highlight w:val="none"/>
        </w:rPr>
        <w:t>的法定代表人。</w:t>
      </w:r>
    </w:p>
    <w:p>
      <w:pPr>
        <w:ind w:firstLine="610"/>
        <w:rPr>
          <w:rFonts w:ascii="宋体" w:hAnsi="宋体"/>
          <w:szCs w:val="21"/>
          <w:highlight w:val="none"/>
        </w:rPr>
      </w:pPr>
    </w:p>
    <w:p>
      <w:pPr>
        <w:ind w:firstLine="610"/>
        <w:rPr>
          <w:rFonts w:ascii="宋体" w:hAnsi="宋体"/>
          <w:szCs w:val="21"/>
          <w:highlight w:val="none"/>
        </w:rPr>
      </w:pPr>
      <w:r>
        <w:rPr>
          <w:rFonts w:hint="eastAsia" w:ascii="宋体" w:hAnsi="宋体"/>
          <w:szCs w:val="21"/>
          <w:highlight w:val="none"/>
        </w:rPr>
        <w:t>特此证明。</w:t>
      </w:r>
    </w:p>
    <w:p>
      <w:pPr>
        <w:tabs>
          <w:tab w:val="left" w:pos="720"/>
          <w:tab w:val="left" w:pos="900"/>
        </w:tabs>
        <w:ind w:firstLine="420" w:firstLineChars="200"/>
        <w:rPr>
          <w:rFonts w:ascii="宋体" w:hAnsi="宋体"/>
          <w:szCs w:val="21"/>
          <w:highlight w:val="none"/>
        </w:rPr>
      </w:pPr>
    </w:p>
    <w:p>
      <w:pPr>
        <w:tabs>
          <w:tab w:val="left" w:pos="720"/>
          <w:tab w:val="left" w:pos="900"/>
        </w:tabs>
        <w:ind w:firstLine="420" w:firstLineChars="200"/>
        <w:rPr>
          <w:rFonts w:ascii="宋体" w:hAnsi="宋体"/>
          <w:szCs w:val="21"/>
          <w:highlight w:val="none"/>
        </w:rPr>
      </w:pPr>
    </w:p>
    <w:p>
      <w:pPr>
        <w:tabs>
          <w:tab w:val="left" w:pos="720"/>
          <w:tab w:val="left" w:pos="900"/>
        </w:tabs>
        <w:ind w:firstLine="420" w:firstLineChars="200"/>
        <w:rPr>
          <w:rFonts w:ascii="宋体" w:hAnsi="宋体"/>
          <w:szCs w:val="21"/>
          <w:highlight w:val="none"/>
        </w:rPr>
      </w:pPr>
    </w:p>
    <w:p>
      <w:pPr>
        <w:tabs>
          <w:tab w:val="left" w:pos="720"/>
          <w:tab w:val="left" w:pos="900"/>
        </w:tabs>
        <w:ind w:firstLine="3990" w:firstLineChars="1900"/>
        <w:rPr>
          <w:rFonts w:ascii="宋体" w:hAnsi="宋体"/>
          <w:szCs w:val="21"/>
          <w:highlight w:val="none"/>
        </w:rPr>
      </w:pPr>
    </w:p>
    <w:p>
      <w:pPr>
        <w:tabs>
          <w:tab w:val="left" w:pos="720"/>
          <w:tab w:val="left" w:pos="900"/>
        </w:tabs>
        <w:ind w:firstLine="3990" w:firstLineChars="1900"/>
        <w:rPr>
          <w:rFonts w:ascii="宋体" w:hAnsi="宋体"/>
          <w:szCs w:val="21"/>
          <w:highlight w:val="none"/>
        </w:rPr>
      </w:pPr>
    </w:p>
    <w:p>
      <w:pPr>
        <w:tabs>
          <w:tab w:val="left" w:pos="720"/>
          <w:tab w:val="left" w:pos="900"/>
        </w:tabs>
        <w:ind w:firstLine="4410" w:firstLineChars="2100"/>
        <w:rPr>
          <w:rFonts w:ascii="宋体" w:hAnsi="宋体"/>
          <w:szCs w:val="21"/>
          <w:highlight w:val="none"/>
        </w:rPr>
      </w:pPr>
      <w:r>
        <w:rPr>
          <w:rFonts w:hint="eastAsia" w:ascii="宋体" w:hAnsi="宋体"/>
          <w:szCs w:val="21"/>
          <w:highlight w:val="none"/>
        </w:rPr>
        <w:t>投标人：</w:t>
      </w:r>
      <w:r>
        <w:rPr>
          <w:rFonts w:ascii="宋体" w:hAnsi="宋体"/>
          <w:szCs w:val="21"/>
          <w:highlight w:val="none"/>
          <w:u w:val="single"/>
        </w:rPr>
        <w:t xml:space="preserve">             （盖公章）</w:t>
      </w:r>
    </w:p>
    <w:p>
      <w:pPr>
        <w:tabs>
          <w:tab w:val="left" w:pos="720"/>
          <w:tab w:val="left" w:pos="900"/>
        </w:tabs>
        <w:ind w:firstLine="4410" w:firstLineChars="2100"/>
        <w:rPr>
          <w:szCs w:val="21"/>
          <w:highlight w:val="none"/>
        </w:rPr>
      </w:pPr>
      <w:r>
        <w:rPr>
          <w:rFonts w:hint="eastAsia" w:ascii="宋体" w:hAnsi="宋体"/>
          <w:szCs w:val="21"/>
          <w:highlight w:val="none"/>
        </w:rPr>
        <w:t>日</w:t>
      </w:r>
      <w:r>
        <w:rPr>
          <w:rFonts w:ascii="宋体" w:hAnsi="宋体"/>
          <w:szCs w:val="21"/>
          <w:highlight w:val="none"/>
        </w:rPr>
        <w:t xml:space="preserve">    期：</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pPr>
        <w:rPr>
          <w:szCs w:val="21"/>
          <w:highlight w:val="none"/>
        </w:rPr>
      </w:pPr>
    </w:p>
    <w:p>
      <w:pPr>
        <w:tabs>
          <w:tab w:val="left" w:pos="1800"/>
        </w:tabs>
        <w:rPr>
          <w:highlight w:val="none"/>
        </w:rPr>
      </w:pPr>
    </w:p>
    <w:p>
      <w:pPr>
        <w:tabs>
          <w:tab w:val="left" w:pos="1800"/>
        </w:tabs>
        <w:rPr>
          <w:highlight w:val="none"/>
        </w:rPr>
      </w:pPr>
    </w:p>
    <w:p>
      <w:pPr>
        <w:tabs>
          <w:tab w:val="left" w:pos="1800"/>
        </w:tabs>
        <w:rPr>
          <w:highlight w:val="none"/>
        </w:rPr>
      </w:pPr>
    </w:p>
    <w:p>
      <w:pPr>
        <w:pStyle w:val="11"/>
        <w:kinsoku w:val="0"/>
        <w:overflowPunct w:val="0"/>
        <w:ind w:right="210" w:rightChars="100"/>
        <w:jc w:val="center"/>
        <w:rPr>
          <w:highlight w:val="none"/>
        </w:rPr>
      </w:pPr>
      <w:r>
        <w:rPr>
          <w:rFonts w:hint="eastAsia"/>
          <w:highlight w:val="none"/>
        </w:rPr>
        <w:t>（法定代表人身份证明书由牵头人提供）</w:t>
      </w:r>
    </w:p>
    <w:p>
      <w:pPr>
        <w:tabs>
          <w:tab w:val="left" w:pos="1800"/>
        </w:tabs>
        <w:rPr>
          <w:highlight w:val="none"/>
        </w:rPr>
      </w:pPr>
    </w:p>
    <w:p>
      <w:pPr>
        <w:tabs>
          <w:tab w:val="left" w:pos="1800"/>
        </w:tabs>
        <w:rPr>
          <w:highlight w:val="none"/>
        </w:rPr>
      </w:pPr>
    </w:p>
    <w:p>
      <w:pPr>
        <w:tabs>
          <w:tab w:val="left" w:pos="1800"/>
        </w:tabs>
        <w:rPr>
          <w:highlight w:val="none"/>
        </w:rPr>
      </w:pPr>
    </w:p>
    <w:p>
      <w:pPr>
        <w:tabs>
          <w:tab w:val="left" w:pos="1800"/>
        </w:tabs>
        <w:rPr>
          <w:highlight w:val="none"/>
        </w:rPr>
      </w:pPr>
    </w:p>
    <w:p>
      <w:pPr>
        <w:tabs>
          <w:tab w:val="left" w:pos="1800"/>
        </w:tabs>
        <w:rPr>
          <w:highlight w:val="none"/>
        </w:rPr>
      </w:pPr>
    </w:p>
    <w:p>
      <w:pPr>
        <w:tabs>
          <w:tab w:val="left" w:pos="1800"/>
        </w:tabs>
        <w:rPr>
          <w:highlight w:val="none"/>
        </w:rPr>
      </w:pPr>
    </w:p>
    <w:p>
      <w:pPr>
        <w:tabs>
          <w:tab w:val="left" w:pos="1800"/>
        </w:tabs>
        <w:rPr>
          <w:highlight w:val="none"/>
        </w:rPr>
      </w:pPr>
    </w:p>
    <w:p>
      <w:pPr>
        <w:jc w:val="center"/>
        <w:rPr>
          <w:b/>
          <w:sz w:val="28"/>
          <w:szCs w:val="28"/>
          <w:highlight w:val="none"/>
        </w:rPr>
      </w:pPr>
      <w:bookmarkStart w:id="1277" w:name="_Toc518383115"/>
      <w:bookmarkStart w:id="1278" w:name="_Toc487131599"/>
      <w:bookmarkStart w:id="1279" w:name="_Toc487202733"/>
      <w:bookmarkStart w:id="1280" w:name="_Toc5398"/>
      <w:bookmarkStart w:id="1281" w:name="_Toc20536"/>
      <w:bookmarkStart w:id="1282" w:name="_Toc21442"/>
      <w:bookmarkStart w:id="1283" w:name="_Toc487562884"/>
    </w:p>
    <w:p>
      <w:pPr>
        <w:jc w:val="center"/>
        <w:rPr>
          <w:b/>
          <w:sz w:val="28"/>
          <w:szCs w:val="28"/>
          <w:highlight w:val="none"/>
        </w:rPr>
      </w:pPr>
    </w:p>
    <w:p>
      <w:pPr>
        <w:jc w:val="center"/>
        <w:rPr>
          <w:b/>
          <w:sz w:val="28"/>
          <w:szCs w:val="28"/>
          <w:highlight w:val="none"/>
        </w:rPr>
      </w:pPr>
    </w:p>
    <w:p>
      <w:pPr>
        <w:jc w:val="center"/>
        <w:rPr>
          <w:b/>
          <w:sz w:val="28"/>
          <w:szCs w:val="28"/>
          <w:highlight w:val="none"/>
        </w:rPr>
      </w:pPr>
    </w:p>
    <w:p>
      <w:pPr>
        <w:jc w:val="center"/>
        <w:rPr>
          <w:b/>
          <w:sz w:val="28"/>
          <w:szCs w:val="28"/>
          <w:highlight w:val="none"/>
        </w:rPr>
      </w:pPr>
    </w:p>
    <w:p>
      <w:pPr>
        <w:jc w:val="center"/>
        <w:rPr>
          <w:b/>
          <w:sz w:val="28"/>
          <w:szCs w:val="28"/>
          <w:highlight w:val="none"/>
        </w:rPr>
      </w:pPr>
    </w:p>
    <w:p>
      <w:pPr>
        <w:jc w:val="center"/>
        <w:rPr>
          <w:b/>
          <w:sz w:val="28"/>
          <w:szCs w:val="28"/>
          <w:highlight w:val="none"/>
        </w:rPr>
      </w:pPr>
    </w:p>
    <w:p>
      <w:pPr>
        <w:jc w:val="center"/>
        <w:rPr>
          <w:b/>
          <w:sz w:val="28"/>
          <w:szCs w:val="28"/>
          <w:highlight w:val="none"/>
        </w:rPr>
      </w:pPr>
    </w:p>
    <w:p>
      <w:pPr>
        <w:jc w:val="center"/>
        <w:rPr>
          <w:b/>
          <w:sz w:val="28"/>
          <w:szCs w:val="28"/>
          <w:highlight w:val="none"/>
        </w:rPr>
      </w:pPr>
      <w:r>
        <w:rPr>
          <w:rFonts w:hint="eastAsia"/>
          <w:b/>
          <w:sz w:val="28"/>
          <w:szCs w:val="28"/>
          <w:highlight w:val="none"/>
        </w:rPr>
        <w:t>（二）授权委托书</w:t>
      </w:r>
      <w:bookmarkEnd w:id="1277"/>
      <w:bookmarkEnd w:id="1278"/>
      <w:bookmarkEnd w:id="1279"/>
      <w:bookmarkEnd w:id="1280"/>
      <w:bookmarkEnd w:id="1281"/>
      <w:bookmarkEnd w:id="1282"/>
      <w:bookmarkEnd w:id="1283"/>
      <w:r>
        <w:rPr>
          <w:rFonts w:hint="eastAsia"/>
          <w:b/>
          <w:sz w:val="28"/>
          <w:szCs w:val="28"/>
          <w:highlight w:val="none"/>
        </w:rPr>
        <w:t>（参考格式）</w:t>
      </w:r>
    </w:p>
    <w:p>
      <w:pPr>
        <w:jc w:val="center"/>
        <w:rPr>
          <w:highlight w:val="none"/>
        </w:rPr>
      </w:pPr>
    </w:p>
    <w:p>
      <w:pPr>
        <w:ind w:left="720"/>
        <w:jc w:val="center"/>
        <w:rPr>
          <w:highlight w:val="none"/>
        </w:rPr>
      </w:pPr>
      <w:bookmarkStart w:id="1284" w:name="_Toc5056"/>
      <w:bookmarkStart w:id="1285" w:name="_Toc518383116"/>
      <w:bookmarkStart w:id="1286" w:name="_Toc487562885"/>
      <w:bookmarkStart w:id="1287" w:name="_Toc22599"/>
      <w:bookmarkStart w:id="1288" w:name="_Toc487131600"/>
      <w:bookmarkStart w:id="1289" w:name="_Toc10352"/>
      <w:bookmarkStart w:id="1290" w:name="_Toc487202734"/>
      <w:r>
        <w:rPr>
          <w:rFonts w:hint="eastAsia"/>
          <w:highlight w:val="none"/>
        </w:rPr>
        <w:t>授权委托书</w:t>
      </w:r>
      <w:bookmarkEnd w:id="1284"/>
      <w:bookmarkEnd w:id="1285"/>
      <w:bookmarkEnd w:id="1286"/>
      <w:bookmarkEnd w:id="1287"/>
      <w:bookmarkEnd w:id="1288"/>
      <w:bookmarkEnd w:id="1289"/>
      <w:bookmarkEnd w:id="1290"/>
    </w:p>
    <w:p>
      <w:pPr>
        <w:spacing w:after="156"/>
        <w:rPr>
          <w:rFonts w:ascii="宋体" w:hAnsi="宋体"/>
          <w:b/>
          <w:sz w:val="10"/>
          <w:highlight w:val="none"/>
        </w:rPr>
      </w:pPr>
    </w:p>
    <w:p>
      <w:pPr>
        <w:spacing w:line="480" w:lineRule="auto"/>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（投标人名称）的法定代表人，现委托</w:t>
      </w:r>
      <w:r>
        <w:rPr>
          <w:rFonts w:hint="eastAsia"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hint="eastAsia" w:ascii="宋体" w:hAnsi="宋体"/>
          <w:sz w:val="24"/>
          <w:highlight w:val="none"/>
          <w:u w:val="single"/>
        </w:rPr>
        <w:t xml:space="preserve">             （项目名称）      </w:t>
      </w:r>
      <w:r>
        <w:rPr>
          <w:rFonts w:hint="eastAsia" w:ascii="宋体" w:hAnsi="宋体"/>
          <w:sz w:val="24"/>
          <w:highlight w:val="none"/>
        </w:rPr>
        <w:t>投标文件、签订合同和处理有关事宜，其法律后果由我方承担。</w:t>
      </w:r>
    </w:p>
    <w:p>
      <w:pPr>
        <w:spacing w:beforeLines="50" w:line="480" w:lineRule="auto"/>
        <w:ind w:firstLine="480" w:firstLineChars="200"/>
        <w:rPr>
          <w:rFonts w:ascii="宋体" w:hAnsi="宋体"/>
          <w:sz w:val="24"/>
          <w:highlight w:val="none"/>
        </w:rPr>
      </w:pPr>
      <w:r>
        <w:rPr>
          <w:rFonts w:hint="eastAsia" w:ascii="宋体" w:hAnsi="宋体"/>
          <w:sz w:val="24"/>
          <w:highlight w:val="none"/>
        </w:rPr>
        <w:t>委托期限：</w:t>
      </w:r>
      <w:r>
        <w:rPr>
          <w:rFonts w:hint="eastAsia" w:ascii="宋体" w:hAnsi="宋体"/>
          <w:sz w:val="24"/>
          <w:highlight w:val="none"/>
          <w:u w:val="single"/>
        </w:rPr>
        <w:t xml:space="preserve">                                                          </w:t>
      </w:r>
    </w:p>
    <w:p>
      <w:pPr>
        <w:spacing w:line="480" w:lineRule="auto"/>
        <w:ind w:firstLine="1440" w:firstLineChars="600"/>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w:t>
      </w:r>
    </w:p>
    <w:p>
      <w:pPr>
        <w:spacing w:beforeLines="100" w:afterLines="100" w:line="360" w:lineRule="auto"/>
        <w:ind w:firstLine="480" w:firstLineChars="200"/>
        <w:rPr>
          <w:rFonts w:ascii="宋体" w:hAnsi="宋体"/>
          <w:sz w:val="24"/>
          <w:highlight w:val="none"/>
        </w:rPr>
      </w:pPr>
      <w:r>
        <w:rPr>
          <w:rFonts w:hint="eastAsia" w:ascii="宋体" w:hAnsi="宋体"/>
          <w:sz w:val="24"/>
          <w:highlight w:val="none"/>
        </w:rPr>
        <w:t>代理人无转委托权。</w:t>
      </w:r>
    </w:p>
    <w:p>
      <w:pPr>
        <w:spacing w:afterLines="100" w:line="360" w:lineRule="auto"/>
        <w:ind w:firstLine="480" w:firstLineChars="200"/>
        <w:rPr>
          <w:rFonts w:ascii="宋体" w:hAnsi="宋体"/>
          <w:sz w:val="24"/>
          <w:highlight w:val="none"/>
        </w:rPr>
      </w:pPr>
      <w:r>
        <w:rPr>
          <w:rFonts w:hint="eastAsia" w:ascii="宋体" w:hAnsi="宋体"/>
          <w:sz w:val="24"/>
          <w:highlight w:val="none"/>
        </w:rPr>
        <w:t>附：委托代理人身份证</w:t>
      </w:r>
    </w:p>
    <w:p>
      <w:pPr>
        <w:ind w:left="1260"/>
        <w:rPr>
          <w:rFonts w:ascii="宋体" w:hAnsi="宋体"/>
          <w:szCs w:val="21"/>
          <w:highlight w:val="none"/>
        </w:rPr>
      </w:pPr>
    </w:p>
    <w:p>
      <w:pPr>
        <w:ind w:left="1260"/>
        <w:rPr>
          <w:rFonts w:ascii="宋体" w:hAnsi="宋体"/>
          <w:szCs w:val="21"/>
          <w:highlight w:val="none"/>
        </w:rPr>
      </w:pPr>
    </w:p>
    <w:p>
      <w:pPr>
        <w:ind w:left="1260"/>
        <w:rPr>
          <w:rFonts w:ascii="宋体" w:hAnsi="宋体"/>
          <w:szCs w:val="21"/>
          <w:highlight w:val="none"/>
        </w:rPr>
      </w:pPr>
    </w:p>
    <w:p>
      <w:pPr>
        <w:ind w:left="1260"/>
        <w:rPr>
          <w:rFonts w:ascii="宋体" w:hAnsi="宋体"/>
          <w:szCs w:val="21"/>
          <w:highlight w:val="none"/>
        </w:rPr>
      </w:pPr>
    </w:p>
    <w:p>
      <w:pPr>
        <w:ind w:left="1260"/>
        <w:rPr>
          <w:rFonts w:ascii="宋体" w:hAnsi="宋体"/>
          <w:szCs w:val="21"/>
          <w:highlight w:val="none"/>
        </w:rPr>
      </w:pPr>
    </w:p>
    <w:p>
      <w:pPr>
        <w:ind w:left="1260"/>
        <w:rPr>
          <w:rFonts w:ascii="宋体" w:hAnsi="宋体"/>
          <w:szCs w:val="21"/>
          <w:highlight w:val="none"/>
        </w:rPr>
      </w:pPr>
    </w:p>
    <w:p>
      <w:pPr>
        <w:ind w:left="1260"/>
        <w:rPr>
          <w:rFonts w:ascii="宋体" w:hAnsi="宋体"/>
          <w:szCs w:val="21"/>
          <w:highlight w:val="none"/>
        </w:rPr>
      </w:pPr>
    </w:p>
    <w:p>
      <w:pPr>
        <w:ind w:left="1260"/>
        <w:rPr>
          <w:rFonts w:ascii="宋体" w:hAnsi="宋体"/>
          <w:szCs w:val="21"/>
          <w:highlight w:val="none"/>
        </w:rPr>
      </w:pPr>
    </w:p>
    <w:p>
      <w:pPr>
        <w:ind w:left="1260"/>
        <w:rPr>
          <w:rFonts w:ascii="宋体" w:hAnsi="宋体"/>
          <w:szCs w:val="21"/>
          <w:highlight w:val="none"/>
        </w:rPr>
      </w:pPr>
    </w:p>
    <w:p>
      <w:pPr>
        <w:ind w:left="2699"/>
        <w:rPr>
          <w:rFonts w:ascii="宋体" w:hAnsi="宋体"/>
          <w:szCs w:val="21"/>
          <w:highlight w:val="none"/>
        </w:rPr>
      </w:pPr>
      <w:r>
        <w:rPr>
          <w:rFonts w:hint="eastAsia" w:ascii="宋体" w:hAnsi="宋体"/>
          <w:szCs w:val="21"/>
          <w:highlight w:val="none"/>
        </w:rPr>
        <w:t>代理人：</w:t>
      </w:r>
      <w:r>
        <w:rPr>
          <w:rFonts w:hint="eastAsia" w:ascii="宋体" w:hAnsi="宋体"/>
          <w:szCs w:val="21"/>
          <w:highlight w:val="none"/>
          <w:u w:val="single"/>
        </w:rPr>
        <w:t xml:space="preserve">   （签字）   </w:t>
      </w:r>
      <w:r>
        <w:rPr>
          <w:rFonts w:hint="eastAsia" w:ascii="宋体" w:hAnsi="宋体"/>
          <w:szCs w:val="21"/>
          <w:highlight w:val="none"/>
        </w:rPr>
        <w:t>性别 ：</w:t>
      </w:r>
      <w:r>
        <w:rPr>
          <w:rFonts w:hint="eastAsia" w:ascii="宋体" w:hAnsi="宋体"/>
          <w:szCs w:val="21"/>
          <w:highlight w:val="none"/>
          <w:u w:val="single"/>
        </w:rPr>
        <w:t xml:space="preserve">            </w:t>
      </w:r>
      <w:r>
        <w:rPr>
          <w:rFonts w:hint="eastAsia" w:ascii="宋体" w:hAnsi="宋体"/>
          <w:szCs w:val="21"/>
          <w:highlight w:val="none"/>
        </w:rPr>
        <w:t xml:space="preserve">年龄： </w:t>
      </w:r>
      <w:r>
        <w:rPr>
          <w:rFonts w:hint="eastAsia" w:ascii="宋体" w:hAnsi="宋体"/>
          <w:szCs w:val="21"/>
          <w:highlight w:val="none"/>
          <w:u w:val="single"/>
        </w:rPr>
        <w:t xml:space="preserve">        </w:t>
      </w:r>
      <w:r>
        <w:rPr>
          <w:rFonts w:hint="eastAsia" w:ascii="宋体" w:hAnsi="宋体"/>
          <w:szCs w:val="21"/>
          <w:highlight w:val="none"/>
        </w:rPr>
        <w:t xml:space="preserve">  </w:t>
      </w:r>
    </w:p>
    <w:p>
      <w:pPr>
        <w:ind w:left="2699"/>
        <w:rPr>
          <w:rFonts w:ascii="宋体" w:hAnsi="宋体"/>
          <w:szCs w:val="21"/>
          <w:highlight w:val="none"/>
        </w:rPr>
      </w:pPr>
    </w:p>
    <w:p>
      <w:pPr>
        <w:ind w:left="2699"/>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p>
    <w:p>
      <w:pPr>
        <w:ind w:left="2699"/>
        <w:rPr>
          <w:rFonts w:ascii="宋体" w:hAnsi="宋体"/>
          <w:szCs w:val="21"/>
          <w:highlight w:val="none"/>
        </w:rPr>
      </w:pPr>
    </w:p>
    <w:p>
      <w:pPr>
        <w:ind w:left="2699"/>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（盖章） </w:t>
      </w:r>
    </w:p>
    <w:p>
      <w:pPr>
        <w:ind w:left="2699"/>
        <w:rPr>
          <w:rFonts w:ascii="宋体" w:hAnsi="宋体"/>
          <w:szCs w:val="21"/>
          <w:highlight w:val="none"/>
        </w:rPr>
      </w:pPr>
    </w:p>
    <w:p>
      <w:pPr>
        <w:ind w:left="2699"/>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（签字或盖章）</w:t>
      </w:r>
    </w:p>
    <w:p>
      <w:pPr>
        <w:ind w:left="2699"/>
        <w:rPr>
          <w:rFonts w:ascii="宋体" w:hAnsi="宋体"/>
          <w:szCs w:val="21"/>
          <w:highlight w:val="none"/>
        </w:rPr>
      </w:pPr>
    </w:p>
    <w:p>
      <w:pPr>
        <w:tabs>
          <w:tab w:val="left" w:pos="1800"/>
        </w:tabs>
        <w:ind w:firstLine="2730" w:firstLineChars="1300"/>
        <w:rPr>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 xml:space="preserve">年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rPr>
          <w:szCs w:val="21"/>
          <w:highlight w:val="none"/>
        </w:rPr>
      </w:pPr>
    </w:p>
    <w:p>
      <w:pPr>
        <w:rPr>
          <w:szCs w:val="21"/>
          <w:highlight w:val="none"/>
        </w:rPr>
      </w:pPr>
    </w:p>
    <w:p>
      <w:pPr>
        <w:pStyle w:val="11"/>
        <w:kinsoku w:val="0"/>
        <w:overflowPunct w:val="0"/>
        <w:ind w:left="2654"/>
        <w:rPr>
          <w:highlight w:val="none"/>
        </w:rPr>
      </w:pPr>
      <w:r>
        <w:rPr>
          <w:rFonts w:hint="eastAsia"/>
          <w:highlight w:val="none"/>
        </w:rPr>
        <w:t>（投标文件签署授权委托书由牵头人提供）</w:t>
      </w:r>
    </w:p>
    <w:p>
      <w:pPr>
        <w:rPr>
          <w:b/>
          <w:sz w:val="32"/>
          <w:szCs w:val="32"/>
          <w:highlight w:val="none"/>
        </w:rPr>
      </w:pPr>
    </w:p>
    <w:p>
      <w:pPr>
        <w:rPr>
          <w:b/>
          <w:sz w:val="32"/>
          <w:szCs w:val="32"/>
          <w:highlight w:val="none"/>
        </w:rPr>
      </w:pPr>
    </w:p>
    <w:p>
      <w:pPr>
        <w:rPr>
          <w:b/>
          <w:sz w:val="32"/>
          <w:szCs w:val="32"/>
          <w:highlight w:val="none"/>
        </w:rPr>
      </w:pPr>
    </w:p>
    <w:p>
      <w:pPr>
        <w:jc w:val="center"/>
        <w:rPr>
          <w:rFonts w:ascii="黑体" w:hAnsi="黑体" w:eastAsia="黑体"/>
          <w:b/>
          <w:sz w:val="28"/>
          <w:szCs w:val="28"/>
          <w:highlight w:val="none"/>
        </w:rPr>
      </w:pPr>
    </w:p>
    <w:p>
      <w:pPr>
        <w:jc w:val="center"/>
        <w:rPr>
          <w:rFonts w:ascii="黑体" w:hAnsi="黑体" w:eastAsia="黑体"/>
          <w:b/>
          <w:sz w:val="28"/>
          <w:szCs w:val="28"/>
          <w:highlight w:val="none"/>
        </w:rPr>
      </w:pPr>
    </w:p>
    <w:p>
      <w:pPr>
        <w:jc w:val="center"/>
        <w:rPr>
          <w:b/>
          <w:sz w:val="32"/>
          <w:szCs w:val="32"/>
          <w:highlight w:val="none"/>
        </w:rPr>
      </w:pPr>
      <w:r>
        <w:rPr>
          <w:rFonts w:hint="eastAsia" w:ascii="黑体" w:hAnsi="黑体" w:eastAsia="黑体"/>
          <w:b/>
          <w:sz w:val="28"/>
          <w:szCs w:val="28"/>
          <w:highlight w:val="none"/>
        </w:rPr>
        <w:t>三、联合体协议书（参考格式）（如有）</w:t>
      </w:r>
    </w:p>
    <w:p>
      <w:pPr>
        <w:jc w:val="center"/>
        <w:rPr>
          <w:b/>
          <w:sz w:val="32"/>
          <w:szCs w:val="32"/>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（所有成员单位名称）自愿组成联合体，共同参加 （项目名称）投标。</w:t>
      </w:r>
    </w:p>
    <w:p>
      <w:pPr>
        <w:spacing w:line="360" w:lineRule="auto"/>
        <w:rPr>
          <w:rFonts w:ascii="宋体" w:hAnsi="宋体"/>
          <w:sz w:val="24"/>
          <w:highlight w:val="none"/>
        </w:rPr>
      </w:pPr>
      <w:r>
        <w:rPr>
          <w:rFonts w:hint="eastAsia" w:ascii="宋体" w:hAnsi="宋体"/>
          <w:sz w:val="24"/>
          <w:highlight w:val="none"/>
        </w:rPr>
        <w:t>现就联合体投标事宜订立如下协议。</w:t>
      </w:r>
    </w:p>
    <w:p>
      <w:pPr>
        <w:spacing w:line="360" w:lineRule="auto"/>
        <w:ind w:firstLine="240" w:firstLineChars="100"/>
        <w:rPr>
          <w:rFonts w:ascii="宋体" w:hAnsi="宋体"/>
          <w:sz w:val="24"/>
          <w:highlight w:val="none"/>
        </w:rPr>
      </w:pPr>
      <w:r>
        <w:rPr>
          <w:rFonts w:hint="eastAsia" w:ascii="宋体" w:hAnsi="宋体"/>
          <w:sz w:val="24"/>
          <w:highlight w:val="none"/>
        </w:rPr>
        <w:t>1、 （某成员单位名称）为联合体牵头人。</w:t>
      </w:r>
    </w:p>
    <w:p>
      <w:pPr>
        <w:spacing w:line="360" w:lineRule="auto"/>
        <w:ind w:firstLine="240" w:firstLineChars="100"/>
        <w:rPr>
          <w:rFonts w:ascii="宋体" w:hAnsi="宋体"/>
          <w:sz w:val="24"/>
          <w:highlight w:val="none"/>
        </w:rPr>
      </w:pPr>
      <w:r>
        <w:rPr>
          <w:rFonts w:hint="eastAsia" w:ascii="宋体" w:hAnsi="宋体"/>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240" w:firstLineChars="100"/>
        <w:rPr>
          <w:rFonts w:ascii="宋体" w:hAnsi="宋体"/>
          <w:sz w:val="24"/>
          <w:highlight w:val="none"/>
        </w:rPr>
      </w:pPr>
      <w:r>
        <w:rPr>
          <w:rFonts w:hint="eastAsia" w:ascii="宋体" w:hAnsi="宋体"/>
          <w:sz w:val="24"/>
          <w:highlight w:val="none"/>
        </w:rPr>
        <w:t>3、联合体将严格按照招标文件的各项要求，递交投标文件，履行合同，并对外承担连带责任。</w:t>
      </w:r>
    </w:p>
    <w:p>
      <w:pPr>
        <w:pStyle w:val="11"/>
        <w:tabs>
          <w:tab w:val="left" w:pos="5062"/>
          <w:tab w:val="left" w:pos="7216"/>
          <w:tab w:val="left" w:pos="8371"/>
        </w:tabs>
        <w:spacing w:before="170"/>
        <w:ind w:firstLine="240" w:firstLineChars="100"/>
        <w:rPr>
          <w:rFonts w:ascii="宋体" w:hAnsi="宋体"/>
          <w:sz w:val="24"/>
          <w:highlight w:val="none"/>
        </w:rPr>
      </w:pPr>
      <w:r>
        <w:rPr>
          <w:rFonts w:hint="eastAsia" w:ascii="宋体" w:hAnsi="宋体"/>
          <w:sz w:val="24"/>
          <w:highlight w:val="none"/>
        </w:rPr>
        <w:t>4、联合体各成员单位内部的职责分工如下：</w:t>
      </w:r>
      <w:r>
        <w:rPr>
          <w:rFonts w:ascii="宋体" w:hAnsi="宋体"/>
          <w:sz w:val="24"/>
          <w:highlight w:val="none"/>
          <w:u w:val="single"/>
        </w:rPr>
        <w:t>（某成员单位名称）</w:t>
      </w:r>
      <w:r>
        <w:rPr>
          <w:rFonts w:ascii="宋体" w:hAnsi="宋体"/>
          <w:sz w:val="24"/>
          <w:highlight w:val="none"/>
          <w:u w:val="single"/>
        </w:rPr>
        <w:tab/>
      </w:r>
      <w:r>
        <w:rPr>
          <w:rFonts w:ascii="宋体" w:hAnsi="宋体"/>
          <w:sz w:val="24"/>
          <w:highlight w:val="none"/>
        </w:rPr>
        <w:t>负责</w:t>
      </w:r>
      <w:r>
        <w:rPr>
          <w:rFonts w:ascii="宋体" w:hAnsi="宋体"/>
          <w:sz w:val="24"/>
          <w:highlight w:val="none"/>
          <w:u w:val="single"/>
        </w:rPr>
        <w:t xml:space="preserve"> </w:t>
      </w:r>
      <w:r>
        <w:rPr>
          <w:rFonts w:ascii="宋体" w:hAnsi="宋体"/>
          <w:sz w:val="24"/>
          <w:highlight w:val="none"/>
          <w:u w:val="single"/>
        </w:rPr>
        <w:tab/>
      </w:r>
      <w:r>
        <w:rPr>
          <w:rFonts w:ascii="宋体" w:hAnsi="宋体"/>
          <w:sz w:val="24"/>
          <w:highlight w:val="none"/>
        </w:rPr>
        <w:t>的工作，</w:t>
      </w:r>
      <w:r>
        <w:rPr>
          <w:rFonts w:ascii="宋体" w:hAnsi="宋体"/>
          <w:sz w:val="24"/>
          <w:highlight w:val="none"/>
          <w:u w:val="single"/>
        </w:rPr>
        <w:t>（某成员单位名称）</w:t>
      </w:r>
      <w:r>
        <w:rPr>
          <w:rFonts w:ascii="宋体" w:hAnsi="宋体"/>
          <w:sz w:val="24"/>
          <w:highlight w:val="none"/>
        </w:rPr>
        <w:t>负责</w:t>
      </w:r>
      <w:r>
        <w:rPr>
          <w:rFonts w:hint="eastAsia" w:ascii="宋体" w:hAnsi="宋体"/>
          <w:sz w:val="24"/>
          <w:highlight w:val="none"/>
          <w:u w:val="single"/>
        </w:rPr>
        <w:t xml:space="preserve">      </w:t>
      </w:r>
      <w:r>
        <w:rPr>
          <w:rFonts w:ascii="宋体" w:hAnsi="宋体"/>
          <w:sz w:val="24"/>
          <w:highlight w:val="none"/>
        </w:rPr>
        <w:t>的工作</w:t>
      </w:r>
      <w:r>
        <w:rPr>
          <w:rFonts w:hint="eastAsia" w:ascii="宋体" w:hAnsi="宋体"/>
          <w:sz w:val="24"/>
          <w:highlight w:val="none"/>
        </w:rPr>
        <w:t>。</w:t>
      </w:r>
    </w:p>
    <w:p>
      <w:pPr>
        <w:spacing w:line="360" w:lineRule="auto"/>
        <w:ind w:firstLine="240" w:firstLineChars="100"/>
        <w:rPr>
          <w:rFonts w:ascii="宋体" w:hAnsi="宋体"/>
          <w:sz w:val="24"/>
          <w:highlight w:val="none"/>
        </w:rPr>
      </w:pPr>
      <w:r>
        <w:rPr>
          <w:rFonts w:hint="eastAsia" w:ascii="宋体" w:hAnsi="宋体"/>
          <w:sz w:val="24"/>
          <w:highlight w:val="none"/>
        </w:rPr>
        <w:t>5、本协议书自签署之日起生效，合同履行完毕后自动失效。</w:t>
      </w:r>
    </w:p>
    <w:p>
      <w:pPr>
        <w:spacing w:line="360" w:lineRule="auto"/>
        <w:ind w:firstLine="240" w:firstLineChars="100"/>
        <w:rPr>
          <w:rFonts w:ascii="宋体" w:hAnsi="宋体"/>
          <w:sz w:val="24"/>
          <w:highlight w:val="none"/>
        </w:rPr>
      </w:pPr>
      <w:r>
        <w:rPr>
          <w:rFonts w:hint="eastAsia" w:ascii="宋体" w:hAnsi="宋体"/>
          <w:sz w:val="24"/>
          <w:highlight w:val="none"/>
        </w:rPr>
        <w:t>6、本协议书一式</w:t>
      </w:r>
      <w:r>
        <w:rPr>
          <w:highlight w:val="none"/>
          <w:u w:val="single"/>
        </w:rPr>
        <w:t>　　    　　</w:t>
      </w:r>
      <w:r>
        <w:rPr>
          <w:rFonts w:hint="eastAsia" w:ascii="宋体" w:hAnsi="宋体"/>
          <w:sz w:val="24"/>
          <w:highlight w:val="none"/>
        </w:rPr>
        <w:t>份，联合体成员和招标人各执一份。</w:t>
      </w:r>
    </w:p>
    <w:p>
      <w:pPr>
        <w:spacing w:line="360" w:lineRule="auto"/>
        <w:ind w:firstLine="240" w:firstLineChars="100"/>
        <w:rPr>
          <w:rFonts w:ascii="宋体" w:hAnsi="宋体"/>
          <w:sz w:val="24"/>
          <w:highlight w:val="none"/>
        </w:rPr>
      </w:pPr>
    </w:p>
    <w:p>
      <w:pPr>
        <w:spacing w:line="360" w:lineRule="auto"/>
        <w:ind w:firstLine="240" w:firstLineChars="100"/>
        <w:rPr>
          <w:rFonts w:ascii="宋体" w:hAnsi="宋体"/>
          <w:sz w:val="24"/>
          <w:highlight w:val="none"/>
        </w:rPr>
      </w:pPr>
      <w:r>
        <w:rPr>
          <w:rFonts w:hint="eastAsia" w:ascii="宋体" w:hAnsi="宋体"/>
          <w:sz w:val="24"/>
          <w:highlight w:val="none"/>
        </w:rPr>
        <w:t>注：本协议书由委托代理人签字的，应附法定代表人签字的授权委托书。</w:t>
      </w:r>
    </w:p>
    <w:p>
      <w:pPr>
        <w:spacing w:line="360" w:lineRule="auto"/>
        <w:ind w:firstLine="240" w:firstLineChars="100"/>
        <w:rPr>
          <w:rFonts w:ascii="宋体" w:hAnsi="宋体"/>
          <w:sz w:val="24"/>
          <w:highlight w:val="none"/>
        </w:rPr>
      </w:pPr>
    </w:p>
    <w:p>
      <w:pPr>
        <w:spacing w:line="360" w:lineRule="auto"/>
        <w:ind w:firstLine="240" w:firstLineChars="100"/>
        <w:jc w:val="right"/>
        <w:rPr>
          <w:rFonts w:ascii="宋体" w:hAnsi="宋体"/>
          <w:sz w:val="24"/>
          <w:highlight w:val="none"/>
        </w:rPr>
      </w:pPr>
      <w:r>
        <w:rPr>
          <w:rFonts w:hint="eastAsia" w:ascii="宋体" w:hAnsi="宋体"/>
          <w:sz w:val="24"/>
          <w:highlight w:val="none"/>
        </w:rPr>
        <w:t>牵头人名称：</w:t>
      </w:r>
      <w:r>
        <w:rPr>
          <w:highlight w:val="none"/>
          <w:u w:val="single"/>
        </w:rPr>
        <w:t xml:space="preserve">　    　    </w:t>
      </w:r>
      <w:r>
        <w:rPr>
          <w:rFonts w:hint="eastAsia" w:ascii="宋体" w:hAnsi="宋体"/>
          <w:sz w:val="24"/>
          <w:highlight w:val="none"/>
        </w:rPr>
        <w:t>（盖单位公章）</w:t>
      </w:r>
    </w:p>
    <w:p>
      <w:pPr>
        <w:spacing w:line="360" w:lineRule="auto"/>
        <w:ind w:firstLine="240" w:firstLineChars="100"/>
        <w:jc w:val="right"/>
        <w:rPr>
          <w:rFonts w:ascii="宋体" w:hAnsi="宋体"/>
          <w:sz w:val="24"/>
          <w:highlight w:val="none"/>
        </w:rPr>
      </w:pPr>
      <w:r>
        <w:rPr>
          <w:rFonts w:hint="eastAsia" w:ascii="宋体" w:hAnsi="宋体"/>
          <w:sz w:val="24"/>
          <w:highlight w:val="none"/>
        </w:rPr>
        <w:t xml:space="preserve">法定代表人或其委托代理人： </w:t>
      </w:r>
      <w:r>
        <w:rPr>
          <w:highlight w:val="none"/>
          <w:u w:val="single"/>
        </w:rPr>
        <w:t xml:space="preserve">　    　    </w:t>
      </w:r>
      <w:r>
        <w:rPr>
          <w:rFonts w:hint="eastAsia" w:ascii="宋体" w:hAnsi="宋体"/>
          <w:sz w:val="24"/>
          <w:highlight w:val="none"/>
        </w:rPr>
        <w:t>（签字或印章）</w:t>
      </w:r>
    </w:p>
    <w:p>
      <w:pPr>
        <w:spacing w:line="360" w:lineRule="auto"/>
        <w:ind w:firstLine="240" w:firstLineChars="100"/>
        <w:jc w:val="right"/>
        <w:rPr>
          <w:rFonts w:ascii="宋体" w:hAnsi="宋体"/>
          <w:sz w:val="24"/>
          <w:highlight w:val="none"/>
        </w:rPr>
      </w:pPr>
    </w:p>
    <w:p>
      <w:pPr>
        <w:spacing w:line="360" w:lineRule="auto"/>
        <w:ind w:firstLine="240" w:firstLineChars="100"/>
        <w:jc w:val="right"/>
        <w:rPr>
          <w:rFonts w:ascii="宋体" w:hAnsi="宋体"/>
          <w:sz w:val="24"/>
          <w:highlight w:val="none"/>
        </w:rPr>
      </w:pPr>
      <w:r>
        <w:rPr>
          <w:rFonts w:hint="eastAsia" w:ascii="宋体" w:hAnsi="宋体"/>
          <w:sz w:val="24"/>
          <w:highlight w:val="none"/>
        </w:rPr>
        <w:t xml:space="preserve">成员一名称： </w:t>
      </w:r>
      <w:r>
        <w:rPr>
          <w:highlight w:val="none"/>
          <w:u w:val="single"/>
        </w:rPr>
        <w:t xml:space="preserve">　    　    </w:t>
      </w:r>
      <w:r>
        <w:rPr>
          <w:rFonts w:hint="eastAsia" w:ascii="宋体" w:hAnsi="宋体"/>
          <w:sz w:val="24"/>
          <w:highlight w:val="none"/>
        </w:rPr>
        <w:t>（盖单位公章）</w:t>
      </w:r>
    </w:p>
    <w:p>
      <w:pPr>
        <w:spacing w:line="360" w:lineRule="auto"/>
        <w:ind w:firstLine="240" w:firstLineChars="100"/>
        <w:jc w:val="right"/>
        <w:rPr>
          <w:rFonts w:ascii="宋体" w:hAnsi="宋体"/>
          <w:sz w:val="24"/>
          <w:highlight w:val="none"/>
        </w:rPr>
      </w:pPr>
      <w:r>
        <w:rPr>
          <w:rFonts w:hint="eastAsia" w:ascii="宋体" w:hAnsi="宋体"/>
          <w:sz w:val="24"/>
          <w:highlight w:val="none"/>
        </w:rPr>
        <w:t>法定代表人或其委托代理人：</w:t>
      </w:r>
      <w:r>
        <w:rPr>
          <w:highlight w:val="none"/>
          <w:u w:val="single"/>
        </w:rPr>
        <w:t xml:space="preserve">　    　    </w:t>
      </w:r>
      <w:r>
        <w:rPr>
          <w:rFonts w:hint="eastAsia" w:ascii="宋体" w:hAnsi="宋体"/>
          <w:sz w:val="24"/>
          <w:highlight w:val="none"/>
        </w:rPr>
        <w:t>（签字或印章）</w:t>
      </w:r>
    </w:p>
    <w:p>
      <w:pPr>
        <w:spacing w:line="360" w:lineRule="auto"/>
        <w:ind w:firstLine="240" w:firstLineChars="100"/>
        <w:jc w:val="right"/>
        <w:rPr>
          <w:rFonts w:ascii="宋体" w:hAnsi="宋体"/>
          <w:sz w:val="24"/>
          <w:highlight w:val="none"/>
        </w:rPr>
      </w:pPr>
    </w:p>
    <w:p>
      <w:pPr>
        <w:spacing w:line="360" w:lineRule="auto"/>
        <w:ind w:firstLine="210" w:firstLineChars="100"/>
        <w:jc w:val="right"/>
        <w:rPr>
          <w:rFonts w:ascii="宋体" w:hAnsi="宋体"/>
          <w:sz w:val="24"/>
          <w:highlight w:val="none"/>
        </w:rPr>
      </w:pPr>
      <w:r>
        <w:rPr>
          <w:highlight w:val="none"/>
          <w:u w:val="single"/>
        </w:rPr>
        <w:t xml:space="preserve">    　  </w:t>
      </w:r>
      <w:r>
        <w:rPr>
          <w:rFonts w:hint="eastAsia" w:ascii="宋体" w:hAnsi="宋体"/>
          <w:sz w:val="24"/>
          <w:highlight w:val="none"/>
        </w:rPr>
        <w:t xml:space="preserve">年 </w:t>
      </w:r>
      <w:r>
        <w:rPr>
          <w:highlight w:val="none"/>
          <w:u w:val="single"/>
        </w:rPr>
        <w:t xml:space="preserve">    　  </w:t>
      </w:r>
      <w:r>
        <w:rPr>
          <w:rFonts w:hint="eastAsia" w:ascii="宋体" w:hAnsi="宋体"/>
          <w:sz w:val="24"/>
          <w:highlight w:val="none"/>
        </w:rPr>
        <w:t>月</w:t>
      </w:r>
      <w:r>
        <w:rPr>
          <w:highlight w:val="none"/>
          <w:u w:val="single"/>
        </w:rPr>
        <w:t xml:space="preserve">    　  </w:t>
      </w:r>
      <w:r>
        <w:rPr>
          <w:rFonts w:hint="eastAsia" w:ascii="宋体" w:hAnsi="宋体"/>
          <w:sz w:val="24"/>
          <w:highlight w:val="none"/>
        </w:rPr>
        <w:t xml:space="preserve"> 日</w:t>
      </w:r>
    </w:p>
    <w:p>
      <w:pPr>
        <w:spacing w:line="360" w:lineRule="auto"/>
        <w:ind w:firstLine="240" w:firstLineChars="100"/>
        <w:jc w:val="right"/>
        <w:rPr>
          <w:rFonts w:ascii="宋体" w:hAnsi="宋体"/>
          <w:sz w:val="24"/>
          <w:highlight w:val="none"/>
        </w:rPr>
      </w:pPr>
    </w:p>
    <w:p>
      <w:pPr>
        <w:spacing w:line="360" w:lineRule="auto"/>
        <w:ind w:right="960" w:firstLine="240" w:firstLineChars="100"/>
        <w:jc w:val="center"/>
        <w:rPr>
          <w:rFonts w:ascii="宋体" w:hAnsi="宋体"/>
          <w:sz w:val="24"/>
          <w:highlight w:val="none"/>
        </w:rPr>
      </w:pPr>
      <w:r>
        <w:rPr>
          <w:rFonts w:hint="eastAsia" w:ascii="宋体" w:hAnsi="宋体"/>
          <w:sz w:val="24"/>
          <w:highlight w:val="none"/>
        </w:rPr>
        <w:t>注：格式仅供参考，但相关内容不得背离招标文件约定的实质性内容</w:t>
      </w:r>
    </w:p>
    <w:p>
      <w:pPr>
        <w:spacing w:line="360" w:lineRule="auto"/>
        <w:jc w:val="center"/>
        <w:rPr>
          <w:b/>
          <w:sz w:val="32"/>
          <w:szCs w:val="32"/>
          <w:highlight w:val="none"/>
        </w:rPr>
      </w:pPr>
    </w:p>
    <w:p>
      <w:pPr>
        <w:jc w:val="center"/>
        <w:rPr>
          <w:b/>
          <w:sz w:val="32"/>
          <w:szCs w:val="32"/>
          <w:highlight w:val="none"/>
        </w:rPr>
      </w:pPr>
    </w:p>
    <w:p>
      <w:pPr>
        <w:jc w:val="center"/>
        <w:rPr>
          <w:b/>
          <w:sz w:val="32"/>
          <w:szCs w:val="32"/>
          <w:highlight w:val="none"/>
        </w:rPr>
      </w:pPr>
    </w:p>
    <w:p>
      <w:pPr>
        <w:rPr>
          <w:sz w:val="24"/>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6"/>
          <w:szCs w:val="36"/>
          <w:highlight w:val="none"/>
        </w:rPr>
      </w:pPr>
      <w:bookmarkStart w:id="1291" w:name="_Toc17692"/>
      <w:bookmarkStart w:id="1292" w:name="_Toc7131"/>
      <w:r>
        <w:rPr>
          <w:rFonts w:hint="eastAsia" w:ascii="黑体" w:hAnsi="宋体" w:eastAsia="黑体"/>
          <w:sz w:val="32"/>
          <w:szCs w:val="32"/>
          <w:highlight w:val="none"/>
        </w:rPr>
        <w:t>四、</w:t>
      </w:r>
      <w:r>
        <w:rPr>
          <w:rFonts w:hint="eastAsia" w:ascii="黑体" w:hAnsi="宋体" w:eastAsia="黑体"/>
          <w:sz w:val="36"/>
          <w:szCs w:val="36"/>
          <w:highlight w:val="none"/>
        </w:rPr>
        <w:t>投标保证金</w:t>
      </w:r>
      <w:bookmarkEnd w:id="1291"/>
      <w:bookmarkEnd w:id="1292"/>
    </w:p>
    <w:p>
      <w:pPr>
        <w:spacing w:line="560" w:lineRule="exact"/>
        <w:jc w:val="center"/>
        <w:rPr>
          <w:rFonts w:ascii="黑体" w:hAnsi="宋体" w:eastAsia="黑体"/>
          <w:sz w:val="36"/>
          <w:szCs w:val="36"/>
          <w:highlight w:val="none"/>
        </w:rPr>
      </w:pPr>
    </w:p>
    <w:p>
      <w:pPr>
        <w:spacing w:line="560" w:lineRule="exact"/>
        <w:jc w:val="center"/>
        <w:rPr>
          <w:rFonts w:ascii="黑体" w:hAnsi="宋体" w:eastAsia="黑体"/>
          <w:sz w:val="36"/>
          <w:szCs w:val="36"/>
          <w:highlight w:val="none"/>
        </w:rPr>
      </w:pPr>
    </w:p>
    <w:p>
      <w:pPr>
        <w:spacing w:beforeLines="100" w:afterLines="50" w:line="360" w:lineRule="auto"/>
        <w:jc w:val="center"/>
        <w:rPr>
          <w:rFonts w:ascii="宋体" w:hAnsi="宋体"/>
          <w:sz w:val="32"/>
          <w:szCs w:val="32"/>
          <w:highlight w:val="none"/>
        </w:rPr>
      </w:pPr>
      <w:r>
        <w:rPr>
          <w:rFonts w:hint="eastAsia" w:ascii="宋体" w:hAnsi="宋体"/>
          <w:sz w:val="32"/>
          <w:szCs w:val="32"/>
          <w:highlight w:val="none"/>
        </w:rPr>
        <w:t>（一）投标人基本账户的“基本存款账户信息（或基本户开户许可证）（开户银行盖章确认）”复印件</w:t>
      </w: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p>
    <w:p>
      <w:pPr>
        <w:spacing w:beforeLines="100" w:afterLines="50" w:line="360" w:lineRule="auto"/>
        <w:jc w:val="center"/>
        <w:outlineLvl w:val="1"/>
        <w:rPr>
          <w:rFonts w:ascii="黑体" w:hAnsi="宋体" w:eastAsia="黑体"/>
          <w:sz w:val="32"/>
          <w:szCs w:val="32"/>
          <w:highlight w:val="none"/>
        </w:rPr>
      </w:pPr>
      <w:bookmarkStart w:id="1293" w:name="_Toc15760"/>
      <w:bookmarkStart w:id="1294" w:name="_Toc6533"/>
      <w:r>
        <w:rPr>
          <w:rFonts w:hint="eastAsia" w:ascii="黑体" w:hAnsi="宋体" w:eastAsia="黑体"/>
          <w:sz w:val="32"/>
          <w:szCs w:val="32"/>
          <w:highlight w:val="none"/>
        </w:rPr>
        <w:t>（二）投标保证金（A）</w:t>
      </w:r>
      <w:bookmarkEnd w:id="1293"/>
      <w:bookmarkEnd w:id="1294"/>
    </w:p>
    <w:p>
      <w:pPr>
        <w:spacing w:beforeLines="100" w:afterLines="50" w:line="360" w:lineRule="auto"/>
        <w:jc w:val="center"/>
        <w:outlineLvl w:val="2"/>
        <w:rPr>
          <w:rFonts w:ascii="黑体" w:hAnsi="宋体" w:eastAsia="黑体"/>
          <w:sz w:val="28"/>
          <w:szCs w:val="28"/>
          <w:highlight w:val="none"/>
        </w:rPr>
      </w:pPr>
      <w:bookmarkStart w:id="1295" w:name="_Toc20995"/>
      <w:bookmarkStart w:id="1296" w:name="_Toc17232"/>
      <w:r>
        <w:rPr>
          <w:rFonts w:hint="eastAsia" w:ascii="黑体" w:hAnsi="宋体" w:eastAsia="黑体"/>
          <w:sz w:val="28"/>
          <w:szCs w:val="28"/>
          <w:highlight w:val="none"/>
        </w:rPr>
        <w:t>（参考格式）</w:t>
      </w:r>
      <w:bookmarkEnd w:id="1295"/>
      <w:bookmarkEnd w:id="1296"/>
    </w:p>
    <w:p>
      <w:pPr>
        <w:spacing w:line="460" w:lineRule="exact"/>
        <w:ind w:firstLine="6300" w:firstLineChars="3000"/>
        <w:rPr>
          <w:rFonts w:ascii="宋体" w:hAnsi="宋体"/>
          <w:szCs w:val="21"/>
          <w:highlight w:val="none"/>
        </w:rPr>
      </w:pPr>
      <w:r>
        <w:rPr>
          <w:rFonts w:hint="eastAsia" w:ascii="宋体" w:hAnsi="宋体"/>
          <w:szCs w:val="21"/>
          <w:highlight w:val="none"/>
        </w:rPr>
        <w:t>保函编号：</w:t>
      </w:r>
      <w:r>
        <w:rPr>
          <w:rFonts w:hint="eastAsia" w:ascii="宋体" w:hAnsi="宋体"/>
          <w:szCs w:val="21"/>
          <w:highlight w:val="none"/>
          <w:u w:val="single"/>
        </w:rPr>
        <w:t xml:space="preserve">          </w:t>
      </w:r>
    </w:p>
    <w:p>
      <w:pPr>
        <w:spacing w:line="460" w:lineRule="exac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（招标人名称）：</w:t>
      </w:r>
    </w:p>
    <w:p>
      <w:pPr>
        <w:spacing w:line="460" w:lineRule="exact"/>
        <w:ind w:firstLine="420" w:firstLineChars="200"/>
        <w:rPr>
          <w:rFonts w:ascii="宋体" w:hAnsi="宋体"/>
          <w:szCs w:val="21"/>
          <w:highlight w:val="none"/>
        </w:rPr>
      </w:pPr>
      <w:r>
        <w:rPr>
          <w:rFonts w:hint="eastAsia" w:ascii="宋体" w:hAnsi="宋体"/>
          <w:szCs w:val="21"/>
          <w:highlight w:val="none"/>
        </w:rPr>
        <w:t>鉴于</w:t>
      </w:r>
      <w:r>
        <w:rPr>
          <w:rFonts w:hint="eastAsia" w:ascii="宋体" w:hAnsi="宋体"/>
          <w:szCs w:val="21"/>
          <w:highlight w:val="none"/>
          <w:u w:val="single"/>
        </w:rPr>
        <w:t xml:space="preserve">              </w:t>
      </w:r>
      <w:r>
        <w:rPr>
          <w:rFonts w:hint="eastAsia" w:ascii="宋体" w:hAnsi="宋体"/>
          <w:szCs w:val="21"/>
          <w:highlight w:val="none"/>
        </w:rPr>
        <w:t>（投标人名称）（以下简称“投标人”）参加你方</w:t>
      </w:r>
      <w:r>
        <w:rPr>
          <w:rFonts w:hint="eastAsia" w:ascii="宋体" w:hAnsi="宋体"/>
          <w:szCs w:val="21"/>
          <w:highlight w:val="none"/>
          <w:u w:val="single"/>
        </w:rPr>
        <w:t xml:space="preserve">            </w:t>
      </w:r>
      <w:r>
        <w:rPr>
          <w:rFonts w:hint="eastAsia" w:ascii="宋体" w:hAnsi="宋体"/>
          <w:szCs w:val="21"/>
          <w:highlight w:val="none"/>
        </w:rPr>
        <w:t>（项目名称）的施工投标，</w:t>
      </w:r>
      <w:r>
        <w:rPr>
          <w:rFonts w:hint="eastAsia" w:ascii="宋体" w:hAnsi="宋体"/>
          <w:szCs w:val="21"/>
          <w:highlight w:val="none"/>
          <w:u w:val="single"/>
        </w:rPr>
        <w:t xml:space="preserve">             </w:t>
      </w:r>
      <w:r>
        <w:rPr>
          <w:rFonts w:hint="eastAsia" w:ascii="宋体" w:hAnsi="宋体"/>
          <w:szCs w:val="21"/>
          <w:highlight w:val="none"/>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szCs w:val="21"/>
          <w:highlight w:val="none"/>
          <w:u w:val="single"/>
        </w:rPr>
        <w:t xml:space="preserve">                  </w:t>
      </w:r>
      <w:r>
        <w:rPr>
          <w:rFonts w:hint="eastAsia" w:ascii="宋体" w:hAnsi="宋体"/>
          <w:szCs w:val="21"/>
          <w:highlight w:val="none"/>
        </w:rPr>
        <w:t>（投标保函额度）的任何你方要求的金额：</w:t>
      </w:r>
    </w:p>
    <w:p>
      <w:pPr>
        <w:spacing w:line="460" w:lineRule="exact"/>
        <w:ind w:firstLine="420" w:firstLineChars="200"/>
        <w:rPr>
          <w:rFonts w:ascii="宋体" w:hAnsi="宋体"/>
          <w:szCs w:val="21"/>
          <w:highlight w:val="none"/>
        </w:rPr>
      </w:pPr>
      <w:r>
        <w:rPr>
          <w:rFonts w:hint="eastAsia" w:ascii="宋体" w:hAnsi="宋体"/>
          <w:szCs w:val="21"/>
          <w:highlight w:val="none"/>
        </w:rPr>
        <w:t>1．投标人在规定的投标有效期内撤销或者修改其投标文件。</w:t>
      </w:r>
    </w:p>
    <w:p>
      <w:pPr>
        <w:spacing w:line="460" w:lineRule="exact"/>
        <w:ind w:firstLine="420" w:firstLineChars="200"/>
        <w:rPr>
          <w:rFonts w:ascii="宋体" w:hAnsi="宋体"/>
          <w:szCs w:val="21"/>
          <w:highlight w:val="none"/>
        </w:rPr>
      </w:pPr>
      <w:r>
        <w:rPr>
          <w:rFonts w:hint="eastAsia" w:ascii="宋体" w:hAnsi="宋体"/>
          <w:szCs w:val="21"/>
          <w:highlight w:val="none"/>
        </w:rPr>
        <w:t>2．投标人在收到中标通知书后无正当理由而未在规定期限内与贵方签署合同。</w:t>
      </w:r>
    </w:p>
    <w:p>
      <w:pPr>
        <w:spacing w:line="460" w:lineRule="exact"/>
        <w:ind w:firstLine="420" w:firstLineChars="200"/>
        <w:rPr>
          <w:rFonts w:ascii="宋体" w:hAnsi="宋体"/>
          <w:szCs w:val="21"/>
          <w:highlight w:val="none"/>
        </w:rPr>
      </w:pPr>
      <w:r>
        <w:rPr>
          <w:rFonts w:hint="eastAsia" w:ascii="宋体" w:hAnsi="宋体"/>
          <w:szCs w:val="21"/>
          <w:highlight w:val="none"/>
        </w:rPr>
        <w:t>3．投标人在收到中标通知书后未能在招标文件规定期限内向贵方提交招标文件所要求的履约担保。</w:t>
      </w:r>
    </w:p>
    <w:p>
      <w:pPr>
        <w:spacing w:line="460" w:lineRule="exact"/>
        <w:ind w:firstLine="420" w:firstLineChars="200"/>
        <w:rPr>
          <w:rFonts w:ascii="宋体" w:hAnsi="宋体"/>
          <w:szCs w:val="21"/>
          <w:highlight w:val="none"/>
        </w:rPr>
      </w:pPr>
      <w:r>
        <w:rPr>
          <w:rFonts w:hint="eastAsia" w:ascii="宋体" w:hAnsi="宋体"/>
          <w:szCs w:val="21"/>
          <w:highlight w:val="none"/>
        </w:rPr>
        <w:t>本保函在投标有效期内保持有效，除非你方提前终止或解除本保函。要求我方承担保证责任的通知应在投标有效期内送达我方。保函失效后请将本保函交投标人退回我方注销。</w:t>
      </w:r>
    </w:p>
    <w:p>
      <w:pPr>
        <w:spacing w:line="460" w:lineRule="exact"/>
        <w:ind w:firstLine="420" w:firstLineChars="200"/>
        <w:rPr>
          <w:rFonts w:ascii="宋体" w:hAnsi="宋体"/>
          <w:szCs w:val="21"/>
          <w:highlight w:val="none"/>
        </w:rPr>
      </w:pPr>
      <w:r>
        <w:rPr>
          <w:rFonts w:hint="eastAsia" w:ascii="宋体" w:hAnsi="宋体"/>
          <w:szCs w:val="21"/>
          <w:highlight w:val="none"/>
        </w:rPr>
        <w:t>本保函项下所有权利和义务均受中华人民共和国法律管辖和制约。</w:t>
      </w:r>
    </w:p>
    <w:p>
      <w:pPr>
        <w:spacing w:line="460" w:lineRule="exact"/>
        <w:ind w:firstLine="420" w:firstLineChars="200"/>
        <w:rPr>
          <w:rFonts w:ascii="宋体" w:hAnsi="宋体"/>
          <w:szCs w:val="21"/>
          <w:highlight w:val="none"/>
        </w:rPr>
      </w:pPr>
    </w:p>
    <w:p>
      <w:pPr>
        <w:spacing w:line="460" w:lineRule="exact"/>
        <w:ind w:firstLine="2100" w:firstLineChars="1000"/>
        <w:rPr>
          <w:rFonts w:ascii="宋体" w:hAnsi="宋体"/>
          <w:szCs w:val="21"/>
          <w:highlight w:val="none"/>
        </w:rPr>
      </w:pPr>
      <w:r>
        <w:rPr>
          <w:rFonts w:hint="eastAsia" w:ascii="宋体" w:hAnsi="宋体"/>
          <w:szCs w:val="21"/>
          <w:highlight w:val="none"/>
        </w:rPr>
        <w:t>担保人名称：</w:t>
      </w:r>
      <w:r>
        <w:rPr>
          <w:rFonts w:hint="eastAsia" w:ascii="宋体" w:hAnsi="宋体"/>
          <w:szCs w:val="21"/>
          <w:highlight w:val="none"/>
          <w:u w:val="single"/>
        </w:rPr>
        <w:t xml:space="preserve">                              </w:t>
      </w:r>
      <w:r>
        <w:rPr>
          <w:rFonts w:hint="eastAsia" w:ascii="宋体" w:hAnsi="宋体"/>
          <w:szCs w:val="21"/>
          <w:highlight w:val="none"/>
        </w:rPr>
        <w:t>（盖单位公章）</w:t>
      </w:r>
    </w:p>
    <w:p>
      <w:pPr>
        <w:spacing w:line="460" w:lineRule="exact"/>
        <w:ind w:firstLine="2100" w:firstLineChars="1000"/>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w:t>
      </w:r>
    </w:p>
    <w:p>
      <w:pPr>
        <w:spacing w:line="460" w:lineRule="exact"/>
        <w:ind w:firstLine="2100" w:firstLineChars="1000"/>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pPr>
        <w:spacing w:line="460" w:lineRule="exact"/>
        <w:ind w:firstLine="2100" w:firstLineChars="1000"/>
        <w:rPr>
          <w:rFonts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 xml:space="preserve">                                             </w:t>
      </w:r>
    </w:p>
    <w:p>
      <w:pPr>
        <w:spacing w:line="460" w:lineRule="exact"/>
        <w:ind w:firstLine="2100" w:firstLineChars="1000"/>
        <w:rPr>
          <w:rFonts w:ascii="宋体" w:hAnsi="宋体"/>
          <w:szCs w:val="21"/>
          <w:highlight w:val="none"/>
        </w:rPr>
      </w:pPr>
      <w:r>
        <w:rPr>
          <w:rFonts w:hint="eastAsia" w:ascii="宋体" w:hAnsi="宋体"/>
          <w:szCs w:val="21"/>
          <w:highlight w:val="none"/>
        </w:rPr>
        <w:t>电    话：</w:t>
      </w:r>
      <w:r>
        <w:rPr>
          <w:rFonts w:hint="eastAsia" w:ascii="宋体" w:hAnsi="宋体"/>
          <w:szCs w:val="21"/>
          <w:highlight w:val="none"/>
          <w:u w:val="single"/>
        </w:rPr>
        <w:t xml:space="preserve">                                             </w:t>
      </w:r>
    </w:p>
    <w:p>
      <w:pPr>
        <w:spacing w:line="460" w:lineRule="exact"/>
        <w:ind w:firstLine="2100" w:firstLineChars="1000"/>
        <w:rPr>
          <w:rFonts w:ascii="宋体" w:hAnsi="宋体"/>
          <w:szCs w:val="21"/>
          <w:highlight w:val="none"/>
          <w:u w:val="single"/>
        </w:rPr>
      </w:pPr>
      <w:r>
        <w:rPr>
          <w:rFonts w:hint="eastAsia" w:ascii="宋体" w:hAnsi="宋体"/>
          <w:szCs w:val="21"/>
          <w:highlight w:val="none"/>
        </w:rPr>
        <w:t>传    真：</w:t>
      </w:r>
      <w:r>
        <w:rPr>
          <w:rFonts w:hint="eastAsia" w:ascii="宋体" w:hAnsi="宋体"/>
          <w:szCs w:val="21"/>
          <w:highlight w:val="none"/>
          <w:u w:val="single"/>
        </w:rPr>
        <w:t xml:space="preserve">                                             </w:t>
      </w:r>
    </w:p>
    <w:p>
      <w:pPr>
        <w:spacing w:line="460" w:lineRule="exact"/>
        <w:rPr>
          <w:rFonts w:ascii="宋体" w:hAnsi="宋体"/>
          <w:szCs w:val="21"/>
          <w:highlight w:val="none"/>
        </w:rPr>
      </w:pPr>
    </w:p>
    <w:p>
      <w:pPr>
        <w:spacing w:line="460" w:lineRule="exact"/>
        <w:jc w:val="righ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pPr>
        <w:spacing w:line="460" w:lineRule="exact"/>
        <w:rPr>
          <w:rFonts w:ascii="宋体" w:hAnsi="宋体"/>
          <w:szCs w:val="21"/>
          <w:highlight w:val="none"/>
        </w:rPr>
      </w:pPr>
    </w:p>
    <w:p>
      <w:pPr>
        <w:spacing w:line="460" w:lineRule="exact"/>
        <w:rPr>
          <w:rFonts w:ascii="宋体" w:hAnsi="宋体"/>
          <w:szCs w:val="21"/>
          <w:highlight w:val="none"/>
        </w:rPr>
      </w:pPr>
      <w:r>
        <w:rPr>
          <w:rFonts w:hint="eastAsia" w:ascii="黑体" w:hAnsi="宋体" w:eastAsia="黑体"/>
          <w:szCs w:val="21"/>
          <w:highlight w:val="none"/>
        </w:rPr>
        <w:t>备注：</w:t>
      </w:r>
      <w:r>
        <w:rPr>
          <w:rFonts w:hint="eastAsia" w:ascii="宋体" w:hAnsi="宋体" w:cs="宋体"/>
          <w:kern w:val="0"/>
          <w:szCs w:val="21"/>
          <w:highlight w:val="none"/>
        </w:rPr>
        <w:t>格式仅供参考，可采用银行的专用格式，但相关内容不得背离招标文件约定的实质性内容。</w:t>
      </w:r>
    </w:p>
    <w:p>
      <w:pPr>
        <w:spacing w:line="460" w:lineRule="exact"/>
        <w:rPr>
          <w:rFonts w:ascii="黑体" w:hAnsi="宋体" w:eastAsia="黑体"/>
          <w:sz w:val="28"/>
          <w:szCs w:val="28"/>
          <w:highlight w:val="none"/>
        </w:rPr>
      </w:pPr>
    </w:p>
    <w:p>
      <w:pPr>
        <w:spacing w:line="360" w:lineRule="auto"/>
        <w:rPr>
          <w:rFonts w:ascii="宋体" w:hAnsi="宋体"/>
          <w:szCs w:val="21"/>
          <w:highlight w:val="none"/>
        </w:rPr>
      </w:pPr>
    </w:p>
    <w:p>
      <w:pPr>
        <w:spacing w:beforeLines="100" w:afterLines="50" w:line="360" w:lineRule="auto"/>
        <w:jc w:val="center"/>
        <w:outlineLvl w:val="1"/>
        <w:rPr>
          <w:rFonts w:ascii="黑体" w:hAnsi="宋体" w:eastAsia="黑体"/>
          <w:sz w:val="32"/>
          <w:szCs w:val="32"/>
          <w:highlight w:val="none"/>
        </w:rPr>
      </w:pPr>
      <w:r>
        <w:rPr>
          <w:rFonts w:ascii="宋体" w:hAnsi="宋体"/>
          <w:szCs w:val="21"/>
          <w:highlight w:val="none"/>
        </w:rPr>
        <w:br w:type="page"/>
      </w:r>
      <w:bookmarkStart w:id="1297" w:name="_Toc3464"/>
      <w:bookmarkStart w:id="1298" w:name="_Toc21987"/>
      <w:r>
        <w:rPr>
          <w:rFonts w:hint="eastAsia" w:ascii="黑体" w:hAnsi="宋体" w:eastAsia="黑体"/>
          <w:sz w:val="32"/>
          <w:szCs w:val="32"/>
          <w:highlight w:val="none"/>
        </w:rPr>
        <w:t>（三）投标保证金（B）</w:t>
      </w:r>
      <w:bookmarkEnd w:id="1297"/>
      <w:bookmarkEnd w:id="1298"/>
    </w:p>
    <w:p>
      <w:pPr>
        <w:spacing w:beforeLines="100" w:afterLines="50" w:line="360" w:lineRule="auto"/>
        <w:jc w:val="center"/>
        <w:outlineLvl w:val="2"/>
        <w:rPr>
          <w:rFonts w:ascii="黑体" w:hAnsi="宋体" w:eastAsia="黑体"/>
          <w:sz w:val="28"/>
          <w:szCs w:val="28"/>
          <w:highlight w:val="none"/>
        </w:rPr>
      </w:pPr>
      <w:bookmarkStart w:id="1299" w:name="_Toc15563"/>
      <w:bookmarkStart w:id="1300" w:name="_Toc25091"/>
      <w:r>
        <w:rPr>
          <w:rFonts w:hint="eastAsia" w:ascii="黑体" w:hAnsi="宋体" w:eastAsia="黑体"/>
          <w:sz w:val="28"/>
          <w:szCs w:val="28"/>
          <w:highlight w:val="none"/>
        </w:rPr>
        <w:t>（参考格式）</w:t>
      </w:r>
      <w:bookmarkEnd w:id="1299"/>
      <w:bookmarkEnd w:id="1300"/>
    </w:p>
    <w:p>
      <w:pPr>
        <w:spacing w:line="460" w:lineRule="exact"/>
        <w:ind w:firstLine="6300" w:firstLineChars="3000"/>
        <w:rPr>
          <w:rFonts w:ascii="宋体" w:hAnsi="宋体"/>
          <w:szCs w:val="21"/>
          <w:highlight w:val="none"/>
        </w:rPr>
      </w:pPr>
      <w:r>
        <w:rPr>
          <w:rFonts w:hint="eastAsia" w:ascii="宋体" w:hAnsi="宋体"/>
          <w:szCs w:val="21"/>
          <w:highlight w:val="none"/>
        </w:rPr>
        <w:t>保险编号：</w:t>
      </w:r>
      <w:r>
        <w:rPr>
          <w:rFonts w:hint="eastAsia" w:ascii="宋体" w:hAnsi="宋体"/>
          <w:szCs w:val="21"/>
          <w:highlight w:val="none"/>
          <w:u w:val="single"/>
        </w:rPr>
        <w:t xml:space="preserve">          </w:t>
      </w:r>
    </w:p>
    <w:p>
      <w:pPr>
        <w:spacing w:line="460" w:lineRule="exac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（招标人名称）：</w:t>
      </w:r>
    </w:p>
    <w:p>
      <w:pPr>
        <w:spacing w:line="460" w:lineRule="exact"/>
        <w:ind w:firstLine="420" w:firstLineChars="200"/>
        <w:rPr>
          <w:rFonts w:ascii="宋体" w:hAnsi="宋体"/>
          <w:szCs w:val="21"/>
          <w:highlight w:val="none"/>
        </w:rPr>
      </w:pPr>
      <w:r>
        <w:rPr>
          <w:rFonts w:hint="eastAsia" w:ascii="宋体" w:hAnsi="宋体"/>
          <w:szCs w:val="21"/>
          <w:highlight w:val="none"/>
        </w:rPr>
        <w:t>鉴于</w:t>
      </w:r>
      <w:r>
        <w:rPr>
          <w:rFonts w:hint="eastAsia" w:ascii="宋体" w:hAnsi="宋体"/>
          <w:szCs w:val="21"/>
          <w:highlight w:val="none"/>
          <w:u w:val="single"/>
        </w:rPr>
        <w:t xml:space="preserve">              </w:t>
      </w:r>
      <w:r>
        <w:rPr>
          <w:rFonts w:hint="eastAsia" w:ascii="宋体" w:hAnsi="宋体"/>
          <w:szCs w:val="21"/>
          <w:highlight w:val="none"/>
        </w:rPr>
        <w:t>（投标人名称）（以下简称“投标人”）参加你方</w:t>
      </w:r>
      <w:r>
        <w:rPr>
          <w:rFonts w:hint="eastAsia" w:ascii="宋体" w:hAnsi="宋体"/>
          <w:szCs w:val="21"/>
          <w:highlight w:val="none"/>
          <w:u w:val="single"/>
        </w:rPr>
        <w:t xml:space="preserve">              </w:t>
      </w:r>
      <w:r>
        <w:rPr>
          <w:rFonts w:hint="eastAsia" w:ascii="宋体" w:hAnsi="宋体"/>
          <w:szCs w:val="21"/>
          <w:highlight w:val="none"/>
        </w:rPr>
        <w:t>（项目名称）的施工投标，</w:t>
      </w:r>
      <w:r>
        <w:rPr>
          <w:rFonts w:hint="eastAsia" w:ascii="宋体" w:hAnsi="宋体"/>
          <w:szCs w:val="21"/>
          <w:highlight w:val="none"/>
          <w:u w:val="single"/>
        </w:rPr>
        <w:t xml:space="preserve">                  </w:t>
      </w:r>
      <w:r>
        <w:rPr>
          <w:rFonts w:hint="eastAsia" w:ascii="宋体" w:hAnsi="宋体"/>
          <w:szCs w:val="21"/>
          <w:highlight w:val="none"/>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szCs w:val="21"/>
          <w:highlight w:val="none"/>
          <w:u w:val="single"/>
        </w:rPr>
        <w:t xml:space="preserve">                  </w:t>
      </w:r>
      <w:r>
        <w:rPr>
          <w:rFonts w:hint="eastAsia" w:ascii="宋体" w:hAnsi="宋体"/>
          <w:szCs w:val="21"/>
          <w:highlight w:val="none"/>
        </w:rPr>
        <w:t>（投标保证保险额度）的任何你方要求的金额：</w:t>
      </w:r>
    </w:p>
    <w:p>
      <w:pPr>
        <w:spacing w:line="460" w:lineRule="exact"/>
        <w:ind w:firstLine="420" w:firstLineChars="200"/>
        <w:rPr>
          <w:rFonts w:ascii="宋体" w:hAnsi="宋体"/>
          <w:szCs w:val="21"/>
          <w:highlight w:val="none"/>
        </w:rPr>
      </w:pPr>
      <w:r>
        <w:rPr>
          <w:rFonts w:hint="eastAsia" w:ascii="宋体" w:hAnsi="宋体"/>
          <w:szCs w:val="21"/>
          <w:highlight w:val="none"/>
        </w:rPr>
        <w:t>1．投标人在规定的投标有效期内撤销或者修改其投标文件。</w:t>
      </w:r>
    </w:p>
    <w:p>
      <w:pPr>
        <w:spacing w:line="460" w:lineRule="exact"/>
        <w:ind w:firstLine="420" w:firstLineChars="200"/>
        <w:rPr>
          <w:rFonts w:ascii="宋体" w:hAnsi="宋体"/>
          <w:szCs w:val="21"/>
          <w:highlight w:val="none"/>
        </w:rPr>
      </w:pPr>
      <w:r>
        <w:rPr>
          <w:rFonts w:hint="eastAsia" w:ascii="宋体" w:hAnsi="宋体"/>
          <w:szCs w:val="21"/>
          <w:highlight w:val="none"/>
        </w:rPr>
        <w:t>2．投标人在收到中标通知书后无正当理由而未在规定期限内与贵方签署合同。</w:t>
      </w:r>
    </w:p>
    <w:p>
      <w:pPr>
        <w:spacing w:line="460" w:lineRule="exact"/>
        <w:ind w:firstLine="420" w:firstLineChars="200"/>
        <w:rPr>
          <w:rFonts w:ascii="宋体" w:hAnsi="宋体"/>
          <w:szCs w:val="21"/>
          <w:highlight w:val="none"/>
        </w:rPr>
      </w:pPr>
      <w:r>
        <w:rPr>
          <w:rFonts w:hint="eastAsia" w:ascii="宋体" w:hAnsi="宋体"/>
          <w:szCs w:val="21"/>
          <w:highlight w:val="none"/>
        </w:rPr>
        <w:t>3．投标人在收到中标通知书后未能在招标文件规定期限内向贵方提交招标文件所要求的履约担保。</w:t>
      </w:r>
    </w:p>
    <w:p>
      <w:pPr>
        <w:spacing w:line="460" w:lineRule="exact"/>
        <w:ind w:firstLine="420" w:firstLineChars="200"/>
        <w:rPr>
          <w:rFonts w:ascii="宋体" w:hAnsi="宋体"/>
          <w:szCs w:val="21"/>
          <w:highlight w:val="none"/>
        </w:rPr>
      </w:pPr>
      <w:r>
        <w:rPr>
          <w:rFonts w:hint="eastAsia" w:ascii="宋体" w:hAnsi="宋体"/>
          <w:szCs w:val="21"/>
          <w:highlight w:val="none"/>
        </w:rPr>
        <w:t>本保证保险在投标有效期内保持有效，除非你方提前终止或解除本保证保险。要求我方承担保证责任的通知应在投标有效期内送达我方。保证保险失效后请将本保证保险交投标人退回我方注销。</w:t>
      </w:r>
    </w:p>
    <w:p>
      <w:pPr>
        <w:spacing w:line="460" w:lineRule="exact"/>
        <w:ind w:firstLine="420" w:firstLineChars="200"/>
        <w:rPr>
          <w:rFonts w:ascii="宋体" w:hAnsi="宋体"/>
          <w:szCs w:val="21"/>
          <w:highlight w:val="none"/>
        </w:rPr>
      </w:pPr>
      <w:r>
        <w:rPr>
          <w:rFonts w:hint="eastAsia" w:ascii="宋体" w:hAnsi="宋体"/>
          <w:szCs w:val="21"/>
          <w:highlight w:val="none"/>
        </w:rPr>
        <w:t>本保证保险项下所有权利和义务均受中华人民共和国法律管辖和制约。</w:t>
      </w:r>
    </w:p>
    <w:p>
      <w:pPr>
        <w:spacing w:line="460" w:lineRule="exact"/>
        <w:ind w:firstLine="420" w:firstLineChars="200"/>
        <w:rPr>
          <w:rFonts w:ascii="宋体" w:hAnsi="宋体"/>
          <w:szCs w:val="21"/>
          <w:highlight w:val="none"/>
        </w:rPr>
      </w:pPr>
    </w:p>
    <w:p>
      <w:pPr>
        <w:spacing w:line="460" w:lineRule="exact"/>
        <w:ind w:firstLine="2100" w:firstLineChars="1000"/>
        <w:rPr>
          <w:rFonts w:ascii="宋体" w:hAnsi="宋体"/>
          <w:szCs w:val="21"/>
          <w:highlight w:val="none"/>
        </w:rPr>
      </w:pPr>
      <w:r>
        <w:rPr>
          <w:rFonts w:hint="eastAsia" w:ascii="宋体" w:hAnsi="宋体"/>
          <w:szCs w:val="21"/>
          <w:highlight w:val="none"/>
        </w:rPr>
        <w:t>担保人名称：</w:t>
      </w:r>
      <w:r>
        <w:rPr>
          <w:rFonts w:hint="eastAsia" w:ascii="宋体" w:hAnsi="宋体"/>
          <w:szCs w:val="21"/>
          <w:highlight w:val="none"/>
          <w:u w:val="single"/>
        </w:rPr>
        <w:t xml:space="preserve">                             </w:t>
      </w:r>
      <w:r>
        <w:rPr>
          <w:rFonts w:hint="eastAsia" w:ascii="宋体" w:hAnsi="宋体"/>
          <w:szCs w:val="21"/>
          <w:highlight w:val="none"/>
        </w:rPr>
        <w:t>（盖单位公章）</w:t>
      </w:r>
    </w:p>
    <w:p>
      <w:pPr>
        <w:spacing w:line="460" w:lineRule="exact"/>
        <w:ind w:firstLine="2100" w:firstLineChars="1000"/>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w:t>
      </w:r>
    </w:p>
    <w:p>
      <w:pPr>
        <w:spacing w:line="460" w:lineRule="exact"/>
        <w:ind w:firstLine="2100" w:firstLineChars="1000"/>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pPr>
        <w:spacing w:line="460" w:lineRule="exact"/>
        <w:ind w:firstLine="2100" w:firstLineChars="1000"/>
        <w:rPr>
          <w:rFonts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 xml:space="preserve">                                             </w:t>
      </w:r>
    </w:p>
    <w:p>
      <w:pPr>
        <w:spacing w:line="460" w:lineRule="exact"/>
        <w:ind w:firstLine="2100" w:firstLineChars="1000"/>
        <w:rPr>
          <w:rFonts w:ascii="宋体" w:hAnsi="宋体"/>
          <w:szCs w:val="21"/>
          <w:highlight w:val="none"/>
        </w:rPr>
      </w:pPr>
      <w:r>
        <w:rPr>
          <w:rFonts w:hint="eastAsia" w:ascii="宋体" w:hAnsi="宋体"/>
          <w:szCs w:val="21"/>
          <w:highlight w:val="none"/>
        </w:rPr>
        <w:t>电    话：</w:t>
      </w:r>
      <w:r>
        <w:rPr>
          <w:rFonts w:hint="eastAsia" w:ascii="宋体" w:hAnsi="宋体"/>
          <w:szCs w:val="21"/>
          <w:highlight w:val="none"/>
          <w:u w:val="single"/>
        </w:rPr>
        <w:t xml:space="preserve">                                             </w:t>
      </w:r>
    </w:p>
    <w:p>
      <w:pPr>
        <w:spacing w:line="460" w:lineRule="exact"/>
        <w:ind w:firstLine="2100" w:firstLineChars="1000"/>
        <w:rPr>
          <w:rFonts w:ascii="宋体" w:hAnsi="宋体"/>
          <w:szCs w:val="21"/>
          <w:highlight w:val="none"/>
          <w:u w:val="single"/>
        </w:rPr>
      </w:pPr>
      <w:r>
        <w:rPr>
          <w:rFonts w:hint="eastAsia" w:ascii="宋体" w:hAnsi="宋体"/>
          <w:szCs w:val="21"/>
          <w:highlight w:val="none"/>
        </w:rPr>
        <w:t>传    真：</w:t>
      </w:r>
      <w:r>
        <w:rPr>
          <w:rFonts w:hint="eastAsia" w:ascii="宋体" w:hAnsi="宋体"/>
          <w:szCs w:val="21"/>
          <w:highlight w:val="none"/>
          <w:u w:val="single"/>
        </w:rPr>
        <w:t xml:space="preserve">                                             </w:t>
      </w:r>
    </w:p>
    <w:p>
      <w:pPr>
        <w:spacing w:line="460" w:lineRule="exact"/>
        <w:rPr>
          <w:rFonts w:ascii="宋体" w:hAnsi="宋体"/>
          <w:szCs w:val="21"/>
          <w:highlight w:val="none"/>
        </w:rPr>
      </w:pPr>
    </w:p>
    <w:p>
      <w:pPr>
        <w:spacing w:line="460" w:lineRule="exact"/>
        <w:jc w:val="righ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pPr>
        <w:spacing w:line="460" w:lineRule="exact"/>
        <w:rPr>
          <w:rFonts w:ascii="宋体" w:hAnsi="宋体"/>
          <w:szCs w:val="21"/>
          <w:highlight w:val="none"/>
        </w:rPr>
      </w:pPr>
    </w:p>
    <w:p>
      <w:pPr>
        <w:spacing w:line="460" w:lineRule="exact"/>
        <w:rPr>
          <w:rFonts w:ascii="宋体" w:hAnsi="宋体"/>
          <w:szCs w:val="21"/>
          <w:highlight w:val="none"/>
        </w:rPr>
      </w:pPr>
      <w:r>
        <w:rPr>
          <w:rFonts w:hint="eastAsia" w:ascii="黑体" w:hAnsi="宋体" w:eastAsia="黑体"/>
          <w:szCs w:val="21"/>
          <w:highlight w:val="none"/>
        </w:rPr>
        <w:t>备注：</w:t>
      </w:r>
      <w:r>
        <w:rPr>
          <w:rFonts w:hint="eastAsia" w:ascii="宋体" w:hAnsi="宋体"/>
          <w:szCs w:val="21"/>
          <w:highlight w:val="none"/>
        </w:rPr>
        <w:t>格式仅供参考，可采用保险公司专用格式。</w:t>
      </w:r>
    </w:p>
    <w:p>
      <w:pPr>
        <w:spacing w:line="460" w:lineRule="exact"/>
        <w:rPr>
          <w:rFonts w:ascii="黑体" w:hAnsi="宋体" w:eastAsia="黑体"/>
          <w:sz w:val="24"/>
          <w:szCs w:val="28"/>
          <w:highlight w:val="none"/>
        </w:rPr>
      </w:pPr>
    </w:p>
    <w:p>
      <w:pPr>
        <w:spacing w:beforeLines="100" w:afterLines="50" w:line="360" w:lineRule="auto"/>
        <w:jc w:val="center"/>
        <w:outlineLvl w:val="1"/>
        <w:rPr>
          <w:rFonts w:ascii="黑体" w:hAnsi="宋体" w:eastAsia="黑体"/>
          <w:sz w:val="32"/>
          <w:szCs w:val="32"/>
          <w:highlight w:val="none"/>
        </w:rPr>
      </w:pPr>
      <w:r>
        <w:rPr>
          <w:rFonts w:ascii="黑体" w:hAnsi="宋体" w:eastAsia="黑体"/>
          <w:sz w:val="24"/>
          <w:szCs w:val="28"/>
          <w:highlight w:val="none"/>
        </w:rPr>
        <w:br w:type="page"/>
      </w:r>
      <w:bookmarkStart w:id="1301" w:name="_Toc27994"/>
      <w:bookmarkStart w:id="1302" w:name="_Toc19947"/>
      <w:r>
        <w:rPr>
          <w:rFonts w:hint="eastAsia" w:ascii="黑体" w:hAnsi="宋体" w:eastAsia="黑体"/>
          <w:sz w:val="32"/>
          <w:szCs w:val="32"/>
          <w:highlight w:val="none"/>
        </w:rPr>
        <w:t>（四）基本账户转账划付资金的收款凭证或收费凭证（如需）（A）</w:t>
      </w:r>
      <w:bookmarkEnd w:id="1301"/>
      <w:bookmarkEnd w:id="1302"/>
    </w:p>
    <w:p>
      <w:pPr>
        <w:spacing w:beforeLines="100" w:afterLines="50" w:line="360" w:lineRule="auto"/>
        <w:jc w:val="center"/>
        <w:rPr>
          <w:rFonts w:ascii="宋体" w:hAnsi="宋体"/>
          <w:sz w:val="24"/>
          <w:highlight w:val="none"/>
        </w:rPr>
      </w:pPr>
      <w:r>
        <w:rPr>
          <w:rFonts w:hint="eastAsia" w:ascii="宋体" w:hAnsi="宋体"/>
          <w:sz w:val="24"/>
          <w:highlight w:val="none"/>
        </w:rPr>
        <w:t>（如采用银行保函的，且银行保函不是从其基本账户开户银行开具的，则须提供从其基本账户转账划付资金的收款凭证或收费凭证，凭证须注明对应的保函编号，并有银行印章）</w:t>
      </w:r>
    </w:p>
    <w:p>
      <w:pPr>
        <w:spacing w:beforeLines="100" w:afterLines="50" w:line="360" w:lineRule="auto"/>
        <w:jc w:val="center"/>
        <w:rPr>
          <w:rFonts w:ascii="宋体" w:hAnsi="宋体"/>
          <w:sz w:val="24"/>
          <w:highlight w:val="none"/>
        </w:rPr>
      </w:pPr>
    </w:p>
    <w:p>
      <w:pPr>
        <w:spacing w:beforeLines="100" w:afterLines="50" w:line="360" w:lineRule="auto"/>
        <w:jc w:val="center"/>
        <w:rPr>
          <w:rFonts w:ascii="宋体" w:hAnsi="宋体"/>
          <w:sz w:val="24"/>
          <w:highlight w:val="none"/>
        </w:rPr>
      </w:pPr>
    </w:p>
    <w:p>
      <w:pPr>
        <w:spacing w:beforeLines="100" w:afterLines="50" w:line="360" w:lineRule="auto"/>
        <w:jc w:val="center"/>
        <w:rPr>
          <w:rFonts w:ascii="宋体" w:hAnsi="宋体"/>
          <w:sz w:val="24"/>
          <w:highlight w:val="none"/>
        </w:rPr>
      </w:pPr>
    </w:p>
    <w:p>
      <w:pPr>
        <w:spacing w:beforeLines="100" w:afterLines="50" w:line="360" w:lineRule="auto"/>
        <w:jc w:val="center"/>
        <w:rPr>
          <w:rFonts w:ascii="宋体" w:hAnsi="宋体"/>
          <w:sz w:val="24"/>
          <w:highlight w:val="none"/>
        </w:rPr>
      </w:pPr>
    </w:p>
    <w:p>
      <w:pPr>
        <w:spacing w:beforeLines="100" w:afterLines="50" w:line="360" w:lineRule="auto"/>
        <w:jc w:val="center"/>
        <w:rPr>
          <w:rFonts w:ascii="宋体" w:hAnsi="宋体"/>
          <w:sz w:val="24"/>
          <w:highlight w:val="none"/>
        </w:rPr>
      </w:pPr>
    </w:p>
    <w:p>
      <w:pPr>
        <w:spacing w:beforeLines="100" w:afterLines="50" w:line="360" w:lineRule="auto"/>
        <w:jc w:val="center"/>
        <w:outlineLvl w:val="1"/>
        <w:rPr>
          <w:rFonts w:ascii="黑体" w:hAnsi="宋体" w:eastAsia="黑体"/>
          <w:sz w:val="32"/>
          <w:szCs w:val="32"/>
          <w:highlight w:val="none"/>
        </w:rPr>
      </w:pPr>
      <w:r>
        <w:rPr>
          <w:rFonts w:ascii="黑体" w:hAnsi="宋体" w:eastAsia="黑体"/>
          <w:sz w:val="32"/>
          <w:szCs w:val="32"/>
          <w:highlight w:val="none"/>
        </w:rPr>
        <w:br w:type="page"/>
      </w:r>
      <w:bookmarkStart w:id="1303" w:name="_Toc12471"/>
      <w:bookmarkStart w:id="1304" w:name="_Toc2671"/>
      <w:r>
        <w:rPr>
          <w:rFonts w:hint="eastAsia" w:ascii="黑体" w:hAnsi="宋体" w:eastAsia="黑体"/>
          <w:sz w:val="32"/>
          <w:szCs w:val="32"/>
          <w:highlight w:val="none"/>
        </w:rPr>
        <w:t>（五）投标保证保险保单（如需）（B）</w:t>
      </w:r>
      <w:bookmarkEnd w:id="1303"/>
      <w:bookmarkEnd w:id="1304"/>
    </w:p>
    <w:p>
      <w:pPr>
        <w:spacing w:beforeLines="100" w:afterLines="50" w:line="360" w:lineRule="auto"/>
        <w:jc w:val="center"/>
        <w:rPr>
          <w:rFonts w:ascii="宋体" w:hAnsi="宋体"/>
          <w:sz w:val="24"/>
          <w:highlight w:val="none"/>
        </w:rPr>
      </w:pPr>
      <w:r>
        <w:rPr>
          <w:rFonts w:hint="eastAsia" w:ascii="宋体" w:hAnsi="宋体"/>
          <w:sz w:val="24"/>
          <w:highlight w:val="none"/>
        </w:rPr>
        <w:t>（如采用保证保险的，应</w:t>
      </w:r>
      <w:r>
        <w:rPr>
          <w:rFonts w:ascii="宋体" w:hAnsi="宋体"/>
          <w:sz w:val="24"/>
          <w:highlight w:val="none"/>
        </w:rPr>
        <w:t>提供以下材料：</w:t>
      </w:r>
      <w:r>
        <w:rPr>
          <w:rFonts w:hint="eastAsia" w:ascii="宋体" w:hAnsi="宋体"/>
          <w:sz w:val="24"/>
          <w:highlight w:val="none"/>
        </w:rPr>
        <w:t>提供投标保证保险保单复印件）</w:t>
      </w: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pStyle w:val="2"/>
        <w:rPr>
          <w:rFonts w:ascii="黑体" w:hAnsi="宋体" w:eastAsia="黑体"/>
          <w:b w:val="0"/>
          <w:bCs w:val="0"/>
          <w:kern w:val="2"/>
          <w:sz w:val="32"/>
          <w:szCs w:val="32"/>
          <w:highlight w:val="none"/>
        </w:rPr>
      </w:pPr>
    </w:p>
    <w:p>
      <w:pPr>
        <w:pStyle w:val="2"/>
        <w:rPr>
          <w:rFonts w:ascii="黑体" w:hAnsi="宋体" w:eastAsia="黑体"/>
          <w:b w:val="0"/>
          <w:bCs w:val="0"/>
          <w:kern w:val="2"/>
          <w:sz w:val="32"/>
          <w:szCs w:val="32"/>
          <w:highlight w:val="none"/>
        </w:rPr>
      </w:pPr>
    </w:p>
    <w:p>
      <w:pPr>
        <w:pStyle w:val="2"/>
        <w:rPr>
          <w:rFonts w:ascii="黑体" w:hAnsi="宋体" w:eastAsia="黑体"/>
          <w:b w:val="0"/>
          <w:bCs w:val="0"/>
          <w:kern w:val="2"/>
          <w:sz w:val="32"/>
          <w:szCs w:val="32"/>
          <w:highlight w:val="none"/>
        </w:rPr>
      </w:pPr>
    </w:p>
    <w:p>
      <w:pPr>
        <w:pStyle w:val="2"/>
        <w:rPr>
          <w:rFonts w:ascii="黑体" w:hAnsi="宋体" w:eastAsia="黑体"/>
          <w:b w:val="0"/>
          <w:bCs w:val="0"/>
          <w:kern w:val="2"/>
          <w:sz w:val="32"/>
          <w:szCs w:val="32"/>
          <w:highlight w:val="none"/>
        </w:rPr>
      </w:pPr>
    </w:p>
    <w:p>
      <w:pPr>
        <w:pStyle w:val="2"/>
        <w:rPr>
          <w:rFonts w:ascii="黑体" w:hAnsi="宋体" w:eastAsia="黑体"/>
          <w:b w:val="0"/>
          <w:bCs w:val="0"/>
          <w:kern w:val="2"/>
          <w:sz w:val="32"/>
          <w:szCs w:val="32"/>
          <w:highlight w:val="none"/>
        </w:rPr>
      </w:pPr>
    </w:p>
    <w:p>
      <w:pPr>
        <w:rPr>
          <w:rFonts w:ascii="黑体" w:hAnsi="宋体" w:eastAsia="黑体"/>
          <w:sz w:val="32"/>
          <w:szCs w:val="32"/>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pStyle w:val="13"/>
        <w:rPr>
          <w:highlight w:val="none"/>
        </w:rPr>
      </w:pPr>
    </w:p>
    <w:p>
      <w:pPr>
        <w:rPr>
          <w:sz w:val="24"/>
          <w:highlight w:val="none"/>
        </w:rPr>
      </w:pPr>
    </w:p>
    <w:p>
      <w:pPr>
        <w:spacing w:beforeLines="100" w:afterLines="50" w:line="360" w:lineRule="auto"/>
        <w:jc w:val="center"/>
        <w:outlineLvl w:val="1"/>
        <w:rPr>
          <w:rFonts w:ascii="黑体" w:hAnsi="宋体" w:eastAsia="黑体"/>
          <w:sz w:val="32"/>
          <w:szCs w:val="32"/>
          <w:highlight w:val="none"/>
        </w:rPr>
      </w:pPr>
      <w:bookmarkStart w:id="1305" w:name="_Toc10644"/>
      <w:bookmarkStart w:id="1306" w:name="_Toc20153"/>
      <w:r>
        <w:rPr>
          <w:rFonts w:ascii="黑体" w:hAnsi="宋体" w:eastAsia="黑体"/>
          <w:sz w:val="32"/>
          <w:szCs w:val="32"/>
          <w:highlight w:val="none"/>
        </w:rPr>
        <w:br w:type="page"/>
      </w:r>
      <w:r>
        <w:rPr>
          <w:rFonts w:hint="eastAsia" w:ascii="黑体" w:hAnsi="宋体" w:eastAsia="黑体"/>
          <w:sz w:val="32"/>
          <w:szCs w:val="32"/>
          <w:highlight w:val="none"/>
        </w:rPr>
        <w:t>五、工程承诺书参考格式：</w:t>
      </w:r>
      <w:bookmarkEnd w:id="1305"/>
      <w:bookmarkEnd w:id="1306"/>
    </w:p>
    <w:p>
      <w:pPr>
        <w:pStyle w:val="12"/>
        <w:spacing w:after="0" w:line="240" w:lineRule="auto"/>
        <w:ind w:left="0" w:leftChars="0" w:firstLine="0" w:firstLineChars="0"/>
        <w:jc w:val="center"/>
        <w:rPr>
          <w:rFonts w:ascii="黑体" w:eastAsia="黑体" w:cs="Times New Roman"/>
          <w:sz w:val="32"/>
          <w:szCs w:val="32"/>
          <w:highlight w:val="none"/>
        </w:rPr>
      </w:pPr>
      <w:r>
        <w:rPr>
          <w:rFonts w:hint="eastAsia" w:ascii="黑体" w:eastAsia="黑体" w:cs="Times New Roman"/>
          <w:sz w:val="32"/>
          <w:szCs w:val="32"/>
          <w:highlight w:val="none"/>
        </w:rPr>
        <w:t>工程承诺书</w:t>
      </w:r>
    </w:p>
    <w:p>
      <w:pPr>
        <w:pStyle w:val="12"/>
        <w:spacing w:after="0" w:line="240" w:lineRule="auto"/>
        <w:ind w:left="0" w:leftChars="0" w:firstLine="0" w:firstLineChars="0"/>
        <w:jc w:val="center"/>
        <w:rPr>
          <w:b/>
          <w:bCs/>
          <w:highlight w:val="none"/>
        </w:rPr>
      </w:pPr>
      <w:r>
        <w:rPr>
          <w:rFonts w:hint="eastAsia"/>
          <w:b/>
          <w:highlight w:val="none"/>
        </w:rPr>
        <w:t>（本承诺书只供参考，详细内容应由投标人根据招标文件要求编制）</w:t>
      </w:r>
    </w:p>
    <w:p>
      <w:pPr>
        <w:pStyle w:val="12"/>
        <w:spacing w:after="0" w:line="240" w:lineRule="auto"/>
        <w:rPr>
          <w:highlight w:val="none"/>
          <w:u w:val="single"/>
        </w:rPr>
      </w:pPr>
      <w:r>
        <w:rPr>
          <w:highlight w:val="none"/>
        </w:rPr>
        <w:t>致：　</w:t>
      </w:r>
      <w:r>
        <w:rPr>
          <w:highlight w:val="none"/>
          <w:u w:val="single"/>
        </w:rPr>
        <w:t>　　　　　　　　　    　　　  　　　　</w:t>
      </w:r>
      <w:r>
        <w:rPr>
          <w:highlight w:val="none"/>
        </w:rPr>
        <w:t>（招标人名称）：</w:t>
      </w:r>
    </w:p>
    <w:p>
      <w:pPr>
        <w:pStyle w:val="12"/>
        <w:spacing w:after="0" w:line="240" w:lineRule="auto"/>
        <w:rPr>
          <w:highlight w:val="none"/>
        </w:rPr>
      </w:pPr>
      <w:r>
        <w:rPr>
          <w:highlight w:val="none"/>
        </w:rPr>
        <w:t>根据你方招标的</w:t>
      </w:r>
      <w:r>
        <w:rPr>
          <w:highlight w:val="none"/>
          <w:u w:val="single"/>
        </w:rPr>
        <w:t>　　　　    　　     　　　　　　</w:t>
      </w:r>
      <w:r>
        <w:rPr>
          <w:highlight w:val="none"/>
        </w:rPr>
        <w:t>工程的招标文件</w:t>
      </w:r>
      <w:r>
        <w:rPr>
          <w:rFonts w:hint="eastAsia"/>
          <w:highlight w:val="none"/>
        </w:rPr>
        <w:t>，</w:t>
      </w:r>
      <w:r>
        <w:rPr>
          <w:highlight w:val="none"/>
        </w:rPr>
        <w:t>遵照《中华人民共和国招标投标法》等有关规定，经研究上述招标文件的投标须知、合同条款、图纸、工程建设标准和其他有关文件后，我方愿意全部按照招标文件的规定，郑重提交我们的投标文件，并作出以下承诺：</w:t>
      </w:r>
    </w:p>
    <w:p>
      <w:pPr>
        <w:pStyle w:val="12"/>
        <w:spacing w:after="0" w:line="240" w:lineRule="auto"/>
        <w:rPr>
          <w:highlight w:val="none"/>
        </w:rPr>
      </w:pPr>
      <w:r>
        <w:rPr>
          <w:highlight w:val="none"/>
        </w:rPr>
        <w:t>1、我方愿以</w:t>
      </w:r>
      <w:r>
        <w:rPr>
          <w:rFonts w:hint="eastAsia"/>
          <w:highlight w:val="none"/>
        </w:rPr>
        <w:t>所报</w:t>
      </w:r>
      <w:r>
        <w:rPr>
          <w:highlight w:val="none"/>
        </w:rPr>
        <w:t>的投标</w:t>
      </w:r>
      <w:r>
        <w:rPr>
          <w:rFonts w:hint="eastAsia"/>
          <w:highlight w:val="none"/>
        </w:rPr>
        <w:t>总</w:t>
      </w:r>
      <w:r>
        <w:rPr>
          <w:highlight w:val="none"/>
        </w:rPr>
        <w:t>价并按合同条款、</w:t>
      </w:r>
      <w:r>
        <w:rPr>
          <w:rFonts w:hint="eastAsia"/>
          <w:highlight w:val="none"/>
        </w:rPr>
        <w:t>招标文件中</w:t>
      </w:r>
      <w:r>
        <w:rPr>
          <w:highlight w:val="none"/>
        </w:rPr>
        <w:t>的条件要求承包上述工程的施工、竣工，并承担任何质量缺陷保修责任，实行</w:t>
      </w:r>
      <w:r>
        <w:rPr>
          <w:rFonts w:hint="eastAsia"/>
          <w:highlight w:val="none"/>
        </w:rPr>
        <w:t>综合单</w:t>
      </w:r>
      <w:r>
        <w:rPr>
          <w:highlight w:val="none"/>
        </w:rPr>
        <w:t>价风险包干。</w:t>
      </w:r>
    </w:p>
    <w:p>
      <w:pPr>
        <w:pStyle w:val="12"/>
        <w:spacing w:after="0" w:line="240" w:lineRule="auto"/>
        <w:rPr>
          <w:highlight w:val="none"/>
        </w:rPr>
      </w:pPr>
      <w:r>
        <w:rPr>
          <w:highlight w:val="none"/>
        </w:rPr>
        <w:t>2、我方将派出</w:t>
      </w:r>
      <w:r>
        <w:rPr>
          <w:highlight w:val="none"/>
          <w:u w:val="single"/>
        </w:rPr>
        <w:t>　　　　　　</w:t>
      </w:r>
      <w:r>
        <w:rPr>
          <w:highlight w:val="none"/>
        </w:rPr>
        <w:t>（</w:t>
      </w:r>
      <w:r>
        <w:rPr>
          <w:rFonts w:hint="eastAsia"/>
          <w:highlight w:val="none"/>
        </w:rPr>
        <w:t>工程总承包项目经理</w:t>
      </w:r>
      <w:r>
        <w:rPr>
          <w:highlight w:val="none"/>
        </w:rPr>
        <w:t>姓名）作为本次招标工程的</w:t>
      </w:r>
      <w:r>
        <w:rPr>
          <w:rFonts w:hint="eastAsia"/>
          <w:highlight w:val="none"/>
        </w:rPr>
        <w:t>工程总承包项目经理</w:t>
      </w:r>
      <w:r>
        <w:rPr>
          <w:highlight w:val="none"/>
        </w:rPr>
        <w:t>。</w:t>
      </w:r>
      <w:r>
        <w:rPr>
          <w:rFonts w:hint="eastAsia"/>
          <w:highlight w:val="none"/>
        </w:rPr>
        <w:t>项目经理</w:t>
      </w:r>
      <w:r>
        <w:rPr>
          <w:highlight w:val="none"/>
        </w:rPr>
        <w:t>将认真履行</w:t>
      </w:r>
      <w:r>
        <w:rPr>
          <w:rFonts w:hint="eastAsia"/>
          <w:highlight w:val="none"/>
        </w:rPr>
        <w:t>项目经理</w:t>
      </w:r>
      <w:r>
        <w:rPr>
          <w:highlight w:val="none"/>
        </w:rPr>
        <w:t>管理岗位职责,对工程项目</w:t>
      </w:r>
      <w:r>
        <w:rPr>
          <w:rFonts w:hint="eastAsia"/>
          <w:highlight w:val="none"/>
        </w:rPr>
        <w:t>工程总承包</w:t>
      </w:r>
      <w:r>
        <w:rPr>
          <w:highlight w:val="none"/>
        </w:rPr>
        <w:t>全过程及整个现场承担全面管理的责任和义务,并保证常驻现场。</w:t>
      </w:r>
    </w:p>
    <w:p>
      <w:pPr>
        <w:pStyle w:val="12"/>
        <w:spacing w:after="0" w:line="240" w:lineRule="auto"/>
        <w:rPr>
          <w:highlight w:val="none"/>
        </w:rPr>
      </w:pPr>
      <w:r>
        <w:rPr>
          <w:highlight w:val="none"/>
        </w:rPr>
        <w:t>3、在中标后，投入本工程的</w:t>
      </w:r>
      <w:r>
        <w:rPr>
          <w:rFonts w:hint="eastAsia"/>
          <w:highlight w:val="none"/>
        </w:rPr>
        <w:t>工程总承包项目经理、施工负责人、设计负责人、</w:t>
      </w:r>
      <w:r>
        <w:rPr>
          <w:highlight w:val="none"/>
        </w:rPr>
        <w:t>技术人员和管理人员将常驻现场，并不随意更换所拟派的项目技术人员和管理人员，如确需更换，须报监理公司、</w:t>
      </w:r>
      <w:r>
        <w:rPr>
          <w:rFonts w:hint="eastAsia"/>
          <w:highlight w:val="none"/>
        </w:rPr>
        <w:t>发包人</w:t>
      </w:r>
      <w:r>
        <w:rPr>
          <w:highlight w:val="none"/>
        </w:rPr>
        <w:t>审批认可。</w:t>
      </w:r>
    </w:p>
    <w:p>
      <w:pPr>
        <w:pStyle w:val="12"/>
        <w:spacing w:after="0" w:line="240" w:lineRule="auto"/>
        <w:rPr>
          <w:highlight w:val="none"/>
        </w:rPr>
      </w:pPr>
      <w:r>
        <w:rPr>
          <w:highlight w:val="none"/>
        </w:rPr>
        <w:t>4、一旦我方中标，我方保证按合同协议书中规定的</w:t>
      </w:r>
      <w:r>
        <w:rPr>
          <w:rFonts w:hint="eastAsia"/>
          <w:highlight w:val="none"/>
        </w:rPr>
        <w:t>总工期</w:t>
      </w:r>
      <w:r>
        <w:rPr>
          <w:rFonts w:hint="eastAsia"/>
          <w:highlight w:val="none"/>
          <w:u w:val="single"/>
        </w:rPr>
        <w:t xml:space="preserve">     </w:t>
      </w:r>
      <w:r>
        <w:rPr>
          <w:rFonts w:hint="eastAsia"/>
          <w:highlight w:val="none"/>
        </w:rPr>
        <w:t>日历天（总工期含设计</w:t>
      </w:r>
      <w:r>
        <w:rPr>
          <w:rFonts w:hint="eastAsia"/>
          <w:highlight w:val="none"/>
          <w:u w:val="single"/>
        </w:rPr>
        <w:t xml:space="preserve">  </w:t>
      </w:r>
      <w:r>
        <w:rPr>
          <w:rFonts w:hint="eastAsia"/>
          <w:highlight w:val="none"/>
        </w:rPr>
        <w:t>日历天，施工期为</w:t>
      </w:r>
      <w:r>
        <w:rPr>
          <w:rFonts w:hint="eastAsia"/>
          <w:highlight w:val="none"/>
          <w:u w:val="single"/>
        </w:rPr>
        <w:t xml:space="preserve">  </w:t>
      </w:r>
      <w:r>
        <w:rPr>
          <w:rFonts w:hint="eastAsia"/>
          <w:highlight w:val="none"/>
        </w:rPr>
        <w:t>日历天。设计工期需配合工程施工进度；</w:t>
      </w:r>
      <w:r>
        <w:rPr>
          <w:highlight w:val="none"/>
        </w:rPr>
        <w:t>工程质量达到</w:t>
      </w:r>
      <w:r>
        <w:rPr>
          <w:highlight w:val="none"/>
          <w:u w:val="single"/>
        </w:rPr>
        <w:t>　　　 　</w:t>
      </w:r>
      <w:r>
        <w:rPr>
          <w:highlight w:val="none"/>
        </w:rPr>
        <w:t>。严格执行《建设工程质量管理条例》中有关工程保修条款。</w:t>
      </w:r>
    </w:p>
    <w:p>
      <w:pPr>
        <w:pStyle w:val="12"/>
        <w:spacing w:after="0" w:line="240" w:lineRule="auto"/>
        <w:rPr>
          <w:highlight w:val="none"/>
        </w:rPr>
      </w:pPr>
      <w:r>
        <w:rPr>
          <w:highlight w:val="none"/>
        </w:rPr>
        <w:t>5、若我方中标，在中标后自愿按招标文件要求提交工程履约担保给招标人。</w:t>
      </w:r>
    </w:p>
    <w:p>
      <w:pPr>
        <w:pStyle w:val="12"/>
        <w:spacing w:after="0" w:line="240" w:lineRule="auto"/>
        <w:rPr>
          <w:highlight w:val="none"/>
        </w:rPr>
      </w:pPr>
      <w:r>
        <w:rPr>
          <w:highlight w:val="none"/>
        </w:rPr>
        <w:t>6、我方同意所提交的投标文件在“招标文件投标须知”中规定的投标有效期</w:t>
      </w:r>
      <w:r>
        <w:rPr>
          <w:highlight w:val="none"/>
          <w:u w:val="single"/>
        </w:rPr>
        <w:t xml:space="preserve">          </w:t>
      </w:r>
      <w:r>
        <w:rPr>
          <w:highlight w:val="none"/>
        </w:rPr>
        <w:t>天内有效，在此期间内如果中标，我方将受此约束。</w:t>
      </w:r>
    </w:p>
    <w:p>
      <w:pPr>
        <w:pStyle w:val="12"/>
        <w:spacing w:after="0" w:line="240" w:lineRule="auto"/>
        <w:rPr>
          <w:highlight w:val="none"/>
        </w:rPr>
      </w:pPr>
      <w:r>
        <w:rPr>
          <w:highlight w:val="none"/>
        </w:rPr>
        <w:t>7、我方提供的资料全部为真实资料，如我方提供的业绩资料不真实或存在虚假，我方将放弃中标的权利，并承担由此产生的责任。</w:t>
      </w:r>
    </w:p>
    <w:p>
      <w:pPr>
        <w:pStyle w:val="12"/>
        <w:spacing w:after="0" w:line="240" w:lineRule="auto"/>
        <w:rPr>
          <w:highlight w:val="none"/>
        </w:rPr>
      </w:pPr>
      <w:r>
        <w:rPr>
          <w:highlight w:val="none"/>
        </w:rPr>
        <w:t>8、我方已详细审核全部招标文件，包括修改补充通知（如有时）、答疑（如有时）及有关附件，我方完全响应并认可上述文件的所有条款</w:t>
      </w:r>
      <w:r>
        <w:rPr>
          <w:rFonts w:hint="eastAsia"/>
          <w:highlight w:val="none"/>
        </w:rPr>
        <w:t>，若出现投标文件部分内容与招标文件不一致的地方，以招标文件为准</w:t>
      </w:r>
      <w:r>
        <w:rPr>
          <w:highlight w:val="none"/>
        </w:rPr>
        <w:t>。</w:t>
      </w:r>
    </w:p>
    <w:p>
      <w:pPr>
        <w:pStyle w:val="12"/>
        <w:spacing w:after="0" w:line="240" w:lineRule="auto"/>
        <w:rPr>
          <w:highlight w:val="none"/>
        </w:rPr>
      </w:pPr>
      <w:r>
        <w:rPr>
          <w:highlight w:val="none"/>
        </w:rPr>
        <w:t>9、投入本工程的建筑原材料、构配件的质量都是经质量检验合格的产品。</w:t>
      </w:r>
    </w:p>
    <w:p>
      <w:pPr>
        <w:pStyle w:val="12"/>
        <w:spacing w:after="0" w:line="240" w:lineRule="auto"/>
        <w:rPr>
          <w:highlight w:val="none"/>
        </w:rPr>
      </w:pPr>
      <w:r>
        <w:rPr>
          <w:highlight w:val="none"/>
        </w:rPr>
        <w:t>10、我</w:t>
      </w:r>
      <w:r>
        <w:rPr>
          <w:rFonts w:hint="eastAsia"/>
          <w:highlight w:val="none"/>
        </w:rPr>
        <w:t>方</w:t>
      </w:r>
      <w:r>
        <w:rPr>
          <w:highlight w:val="none"/>
        </w:rPr>
        <w:t>将严格按照设计图纸进行施工，不擅自改变设计图纸进行施工。</w:t>
      </w:r>
    </w:p>
    <w:p>
      <w:pPr>
        <w:pStyle w:val="12"/>
        <w:spacing w:after="0" w:line="240" w:lineRule="auto"/>
        <w:rPr>
          <w:highlight w:val="none"/>
        </w:rPr>
      </w:pPr>
      <w:r>
        <w:rPr>
          <w:highlight w:val="none"/>
        </w:rPr>
        <w:t>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pStyle w:val="12"/>
        <w:spacing w:after="0" w:line="240" w:lineRule="auto"/>
        <w:rPr>
          <w:highlight w:val="none"/>
        </w:rPr>
      </w:pPr>
      <w:r>
        <w:rPr>
          <w:highlight w:val="none"/>
        </w:rPr>
        <w:t>12、</w:t>
      </w:r>
      <w:r>
        <w:rPr>
          <w:rFonts w:hint="eastAsia"/>
          <w:highlight w:val="none"/>
        </w:rPr>
        <w:t>我方</w:t>
      </w:r>
      <w:r>
        <w:rPr>
          <w:rFonts w:hint="eastAsia"/>
          <w:iCs/>
          <w:highlight w:val="none"/>
        </w:rPr>
        <w:t>承诺实施完成本工程范围内的增加及变更工程，费用按照投标报价书中的相应价格或经审定的价格完成；</w:t>
      </w:r>
    </w:p>
    <w:p>
      <w:pPr>
        <w:pStyle w:val="12"/>
        <w:spacing w:after="0" w:line="240" w:lineRule="auto"/>
        <w:rPr>
          <w:highlight w:val="none"/>
        </w:rPr>
      </w:pPr>
      <w:r>
        <w:rPr>
          <w:rFonts w:hint="eastAsia"/>
          <w:highlight w:val="none"/>
        </w:rPr>
        <w:t>13、</w:t>
      </w:r>
      <w:r>
        <w:rPr>
          <w:highlight w:val="none"/>
        </w:rPr>
        <w:t>除非另外达成协议生效，你方的中标通知书和本投标文件将成为约束双方的合同文件的组成部分。</w:t>
      </w:r>
    </w:p>
    <w:p>
      <w:pPr>
        <w:pStyle w:val="12"/>
        <w:spacing w:after="0" w:line="240" w:lineRule="auto"/>
        <w:rPr>
          <w:highlight w:val="none"/>
        </w:rPr>
      </w:pPr>
      <w:r>
        <w:rPr>
          <w:highlight w:val="none"/>
        </w:rPr>
        <w:t>1</w:t>
      </w:r>
      <w:r>
        <w:rPr>
          <w:rFonts w:hint="eastAsia"/>
          <w:highlight w:val="none"/>
        </w:rPr>
        <w:t>4</w:t>
      </w:r>
      <w:r>
        <w:rPr>
          <w:highlight w:val="none"/>
        </w:rPr>
        <w:t>、我们理解招标文件中关于定标的方法，并且无意询求此外的任何解释。</w:t>
      </w:r>
    </w:p>
    <w:p>
      <w:pPr>
        <w:pStyle w:val="12"/>
        <w:spacing w:line="280" w:lineRule="exact"/>
        <w:ind w:firstLine="1470" w:firstLineChars="700"/>
        <w:rPr>
          <w:highlight w:val="none"/>
        </w:rPr>
      </w:pPr>
      <w:r>
        <w:rPr>
          <w:highlight w:val="none"/>
        </w:rPr>
        <w:t>投标人：</w:t>
      </w:r>
      <w:r>
        <w:rPr>
          <w:highlight w:val="none"/>
          <w:u w:val="single"/>
        </w:rPr>
        <w:t>　　　　　　　　　　　　　　　　 　（盖章）</w:t>
      </w:r>
    </w:p>
    <w:p>
      <w:pPr>
        <w:pStyle w:val="12"/>
        <w:spacing w:line="280" w:lineRule="exact"/>
        <w:ind w:firstLine="1050" w:firstLineChars="500"/>
        <w:rPr>
          <w:highlight w:val="none"/>
          <w:u w:val="single"/>
        </w:rPr>
      </w:pPr>
      <w:r>
        <w:rPr>
          <w:highlight w:val="none"/>
        </w:rPr>
        <w:t xml:space="preserve"> 单位地址：</w:t>
      </w:r>
      <w:r>
        <w:rPr>
          <w:highlight w:val="none"/>
          <w:u w:val="single"/>
        </w:rPr>
        <w:t>　　　　　　　　　　　　　　　　　  　　　</w:t>
      </w:r>
    </w:p>
    <w:p>
      <w:pPr>
        <w:pStyle w:val="12"/>
        <w:spacing w:line="280" w:lineRule="exact"/>
        <w:ind w:firstLine="1050" w:firstLineChars="500"/>
        <w:rPr>
          <w:highlight w:val="none"/>
          <w:u w:val="single"/>
        </w:rPr>
      </w:pPr>
      <w:r>
        <w:rPr>
          <w:highlight w:val="none"/>
        </w:rPr>
        <w:t xml:space="preserve"> 法定代表人或其委托代理人：</w:t>
      </w:r>
      <w:r>
        <w:rPr>
          <w:highlight w:val="none"/>
          <w:u w:val="single"/>
        </w:rPr>
        <w:t>　　　　　　（签字或盖章）</w:t>
      </w:r>
    </w:p>
    <w:p>
      <w:pPr>
        <w:pStyle w:val="12"/>
        <w:spacing w:line="280" w:lineRule="exact"/>
        <w:ind w:firstLine="1050" w:firstLineChars="500"/>
        <w:rPr>
          <w:highlight w:val="none"/>
        </w:rPr>
      </w:pPr>
      <w:r>
        <w:rPr>
          <w:highlight w:val="none"/>
        </w:rPr>
        <w:t xml:space="preserve"> 电话：</w:t>
      </w:r>
      <w:r>
        <w:rPr>
          <w:highlight w:val="none"/>
          <w:u w:val="single"/>
        </w:rPr>
        <w:t>　　             　　</w:t>
      </w:r>
      <w:r>
        <w:rPr>
          <w:highlight w:val="none"/>
        </w:rPr>
        <w:t>　　传真：</w:t>
      </w:r>
      <w:r>
        <w:rPr>
          <w:highlight w:val="none"/>
          <w:u w:val="single"/>
        </w:rPr>
        <w:t xml:space="preserve">　　       　 </w:t>
      </w:r>
    </w:p>
    <w:p>
      <w:pPr>
        <w:pStyle w:val="12"/>
        <w:spacing w:line="280" w:lineRule="exact"/>
        <w:ind w:firstLine="1050" w:firstLineChars="500"/>
        <w:rPr>
          <w:highlight w:val="none"/>
        </w:rPr>
      </w:pPr>
      <w:r>
        <w:rPr>
          <w:highlight w:val="none"/>
        </w:rPr>
        <w:t xml:space="preserve"> 日期：</w:t>
      </w:r>
      <w:r>
        <w:rPr>
          <w:highlight w:val="none"/>
          <w:u w:val="single"/>
        </w:rPr>
        <w:t>　　　　　　　</w:t>
      </w:r>
      <w:r>
        <w:rPr>
          <w:highlight w:val="none"/>
        </w:rPr>
        <w:t>年</w:t>
      </w:r>
      <w:r>
        <w:rPr>
          <w:highlight w:val="none"/>
          <w:u w:val="single"/>
        </w:rPr>
        <w:t>　　　　　　　</w:t>
      </w:r>
      <w:r>
        <w:rPr>
          <w:highlight w:val="none"/>
        </w:rPr>
        <w:t>月</w:t>
      </w:r>
      <w:r>
        <w:rPr>
          <w:highlight w:val="none"/>
          <w:u w:val="single"/>
        </w:rPr>
        <w:t>　　　　　</w:t>
      </w:r>
      <w:r>
        <w:rPr>
          <w:rFonts w:hint="eastAsia"/>
          <w:highlight w:val="none"/>
          <w:u w:val="single"/>
        </w:rPr>
        <w:t>　</w:t>
      </w:r>
      <w:r>
        <w:rPr>
          <w:highlight w:val="none"/>
          <w:u w:val="single"/>
        </w:rPr>
        <w:t>　</w:t>
      </w:r>
      <w:r>
        <w:rPr>
          <w:highlight w:val="none"/>
        </w:rPr>
        <w:t>日</w:t>
      </w:r>
      <w:bookmarkStart w:id="1307" w:name="_Toc296602998"/>
    </w:p>
    <w:p>
      <w:pPr>
        <w:pStyle w:val="12"/>
        <w:spacing w:line="280" w:lineRule="exact"/>
        <w:ind w:firstLine="1050" w:firstLineChars="500"/>
        <w:rPr>
          <w:highlight w:val="none"/>
        </w:rPr>
      </w:pPr>
      <w:r>
        <w:rPr>
          <w:rFonts w:hint="eastAsia"/>
          <w:highlight w:val="none"/>
        </w:rPr>
        <w:t>（注：如联合体投标的，由牵头人盖章）</w:t>
      </w:r>
    </w:p>
    <w:p>
      <w:pPr>
        <w:pStyle w:val="12"/>
        <w:spacing w:line="280" w:lineRule="exact"/>
        <w:ind w:firstLine="1050" w:firstLineChars="500"/>
        <w:rPr>
          <w:highlight w:val="none"/>
        </w:rPr>
      </w:pPr>
    </w:p>
    <w:bookmarkEnd w:id="1307"/>
    <w:p>
      <w:pPr>
        <w:spacing w:beforeLines="100" w:afterLines="50" w:line="360" w:lineRule="auto"/>
        <w:jc w:val="center"/>
        <w:outlineLvl w:val="1"/>
        <w:rPr>
          <w:rFonts w:ascii="黑体" w:hAnsi="宋体" w:eastAsia="黑体"/>
          <w:sz w:val="36"/>
          <w:szCs w:val="36"/>
          <w:highlight w:val="none"/>
        </w:rPr>
      </w:pPr>
    </w:p>
    <w:p>
      <w:pPr>
        <w:spacing w:beforeLines="100" w:afterLines="50" w:line="360" w:lineRule="auto"/>
        <w:jc w:val="center"/>
        <w:outlineLvl w:val="1"/>
        <w:rPr>
          <w:rFonts w:ascii="黑体" w:hAnsi="宋体" w:eastAsia="黑体"/>
          <w:sz w:val="36"/>
          <w:szCs w:val="36"/>
          <w:highlight w:val="none"/>
        </w:rPr>
      </w:pPr>
      <w:bookmarkStart w:id="1308" w:name="_Toc18093"/>
      <w:bookmarkStart w:id="1309" w:name="_Toc3558"/>
      <w:r>
        <w:rPr>
          <w:rFonts w:hint="eastAsia" w:ascii="黑体" w:hAnsi="宋体" w:eastAsia="黑体"/>
          <w:sz w:val="36"/>
          <w:szCs w:val="36"/>
          <w:highlight w:val="none"/>
        </w:rPr>
        <w:t>六、投标人诚信承诺书参考格式（供招标人参考）</w:t>
      </w:r>
      <w:bookmarkEnd w:id="1308"/>
      <w:bookmarkEnd w:id="1309"/>
    </w:p>
    <w:p>
      <w:pPr>
        <w:pStyle w:val="12"/>
        <w:ind w:firstLine="640"/>
        <w:jc w:val="center"/>
        <w:rPr>
          <w:rFonts w:ascii="黑体" w:eastAsia="黑体"/>
          <w:sz w:val="32"/>
          <w:szCs w:val="32"/>
          <w:highlight w:val="none"/>
        </w:rPr>
      </w:pPr>
      <w:r>
        <w:rPr>
          <w:rFonts w:hint="eastAsia" w:ascii="黑体" w:eastAsia="黑体"/>
          <w:sz w:val="32"/>
          <w:szCs w:val="32"/>
          <w:highlight w:val="none"/>
        </w:rPr>
        <w:t>投标人诚信承诺书</w:t>
      </w:r>
    </w:p>
    <w:p>
      <w:pPr>
        <w:pStyle w:val="12"/>
        <w:ind w:firstLine="422"/>
        <w:jc w:val="center"/>
        <w:rPr>
          <w:rFonts w:hAnsi="Tahoma"/>
          <w:b/>
          <w:bCs/>
          <w:highlight w:val="none"/>
        </w:rPr>
      </w:pPr>
      <w:r>
        <w:rPr>
          <w:rFonts w:hint="eastAsia" w:hAnsi="Tahoma" w:eastAsia="Tahoma"/>
          <w:b/>
          <w:bCs/>
          <w:highlight w:val="none"/>
        </w:rPr>
        <w:t>（</w:t>
      </w:r>
      <w:r>
        <w:rPr>
          <w:rFonts w:hint="eastAsia" w:hAnsi="Tahoma"/>
          <w:b/>
          <w:bCs/>
          <w:highlight w:val="none"/>
        </w:rPr>
        <w:t>投标人应在本格式样板基础上，可根据工程项目实际情况对相关条款进行增加</w:t>
      </w:r>
      <w:r>
        <w:rPr>
          <w:rFonts w:hint="eastAsia" w:hAnsi="Tahoma" w:eastAsia="Tahoma"/>
          <w:b/>
          <w:bCs/>
          <w:highlight w:val="none"/>
        </w:rPr>
        <w:t>）</w:t>
      </w:r>
    </w:p>
    <w:p>
      <w:pPr>
        <w:pStyle w:val="12"/>
        <w:spacing w:line="276" w:lineRule="auto"/>
        <w:ind w:firstLine="422"/>
        <w:jc w:val="center"/>
        <w:rPr>
          <w:rFonts w:hAnsi="Tahoma"/>
          <w:b/>
          <w:bCs/>
          <w:highlight w:val="none"/>
        </w:rPr>
      </w:pPr>
    </w:p>
    <w:p>
      <w:pPr>
        <w:spacing w:line="276" w:lineRule="auto"/>
        <w:rPr>
          <w:rFonts w:ascii="宋体" w:hAnsi="宋体"/>
          <w:sz w:val="24"/>
          <w:szCs w:val="28"/>
          <w:highlight w:val="none"/>
        </w:rPr>
      </w:pPr>
      <w:r>
        <w:rPr>
          <w:rFonts w:ascii="宋体" w:hAnsi="宋体"/>
          <w:sz w:val="24"/>
          <w:szCs w:val="28"/>
          <w:highlight w:val="none"/>
        </w:rPr>
        <w:t>本人以</w:t>
      </w:r>
      <w:r>
        <w:rPr>
          <w:rFonts w:hint="eastAsia" w:ascii="宋体" w:hAnsi="宋体"/>
          <w:sz w:val="24"/>
          <w:szCs w:val="28"/>
          <w:highlight w:val="none"/>
        </w:rPr>
        <w:t>公司</w:t>
      </w:r>
      <w:r>
        <w:rPr>
          <w:rFonts w:ascii="宋体" w:hAnsi="宋体"/>
          <w:sz w:val="24"/>
          <w:szCs w:val="28"/>
          <w:highlight w:val="none"/>
        </w:rPr>
        <w:t>法定</w:t>
      </w:r>
      <w:r>
        <w:rPr>
          <w:highlight w:val="none"/>
        </w:rPr>
        <w:fldChar w:fldCharType="begin"/>
      </w:r>
      <w:r>
        <w:rPr>
          <w:highlight w:val="none"/>
        </w:rPr>
        <w:instrText xml:space="preserve"> HYPERLINK "http://tongxiehui.net/k/daibiao/" \t "_blank" </w:instrText>
      </w:r>
      <w:r>
        <w:rPr>
          <w:highlight w:val="none"/>
        </w:rPr>
        <w:fldChar w:fldCharType="separate"/>
      </w:r>
      <w:r>
        <w:rPr>
          <w:rStyle w:val="18"/>
          <w:rFonts w:ascii="宋体" w:hAnsi="宋体"/>
          <w:color w:val="auto"/>
          <w:sz w:val="24"/>
          <w:szCs w:val="28"/>
          <w:highlight w:val="none"/>
          <w:u w:val="none"/>
        </w:rPr>
        <w:t>代表</w:t>
      </w:r>
      <w:r>
        <w:rPr>
          <w:rStyle w:val="18"/>
          <w:rFonts w:ascii="宋体" w:hAnsi="宋体"/>
          <w:color w:val="auto"/>
          <w:sz w:val="24"/>
          <w:szCs w:val="28"/>
          <w:highlight w:val="none"/>
          <w:u w:val="none"/>
        </w:rPr>
        <w:fldChar w:fldCharType="end"/>
      </w:r>
      <w:r>
        <w:rPr>
          <w:rFonts w:ascii="宋体" w:hAnsi="宋体"/>
          <w:sz w:val="24"/>
          <w:szCs w:val="28"/>
          <w:highlight w:val="none"/>
        </w:rPr>
        <w:t>人的身份郑重承诺:</w:t>
      </w:r>
    </w:p>
    <w:p>
      <w:pPr>
        <w:spacing w:line="276" w:lineRule="auto"/>
        <w:ind w:left="1800" w:hanging="1800" w:hangingChars="750"/>
        <w:jc w:val="left"/>
        <w:rPr>
          <w:rFonts w:ascii="宋体" w:hAnsi="宋体"/>
          <w:sz w:val="24"/>
          <w:szCs w:val="28"/>
          <w:highlight w:val="none"/>
        </w:rPr>
      </w:pPr>
      <w:r>
        <w:rPr>
          <w:rFonts w:ascii="宋体" w:hAnsi="宋体"/>
          <w:sz w:val="24"/>
          <w:szCs w:val="28"/>
          <w:highlight w:val="none"/>
        </w:rPr>
        <w:t>一、将遵循公</w:t>
      </w:r>
      <w:r>
        <w:rPr>
          <w:rFonts w:hint="eastAsia" w:ascii="宋体" w:hAnsi="宋体"/>
          <w:sz w:val="24"/>
          <w:szCs w:val="28"/>
          <w:highlight w:val="none"/>
        </w:rPr>
        <w:t>平</w:t>
      </w:r>
      <w:r>
        <w:rPr>
          <w:rFonts w:ascii="宋体" w:hAnsi="宋体"/>
          <w:sz w:val="24"/>
          <w:szCs w:val="28"/>
          <w:highlight w:val="none"/>
        </w:rPr>
        <w:t>、公正和诚实信用的原则自愿参加</w:t>
      </w:r>
      <w:r>
        <w:rPr>
          <w:rFonts w:hint="eastAsia" w:ascii="宋体" w:hAnsi="宋体"/>
          <w:sz w:val="24"/>
          <w:szCs w:val="28"/>
          <w:highlight w:val="none"/>
          <w:u w:val="single"/>
        </w:rPr>
        <w:t xml:space="preserve">      （</w:t>
      </w:r>
      <w:r>
        <w:rPr>
          <w:rFonts w:ascii="宋体" w:hAnsi="宋体"/>
          <w:sz w:val="24"/>
          <w:szCs w:val="28"/>
          <w:highlight w:val="none"/>
          <w:u w:val="single"/>
        </w:rPr>
        <w:t>项目</w:t>
      </w:r>
      <w:r>
        <w:rPr>
          <w:rFonts w:hint="eastAsia" w:ascii="宋体" w:hAnsi="宋体"/>
          <w:sz w:val="24"/>
          <w:szCs w:val="28"/>
          <w:highlight w:val="none"/>
          <w:u w:val="single"/>
        </w:rPr>
        <w:t xml:space="preserve">名称）   </w:t>
      </w:r>
      <w:r>
        <w:rPr>
          <w:rFonts w:ascii="宋体" w:hAnsi="宋体"/>
          <w:sz w:val="24"/>
          <w:szCs w:val="28"/>
          <w:highlight w:val="none"/>
        </w:rPr>
        <w:t>的投标</w:t>
      </w:r>
      <w:r>
        <w:rPr>
          <w:rFonts w:hint="eastAsia" w:ascii="宋体" w:hAnsi="宋体"/>
          <w:sz w:val="24"/>
          <w:szCs w:val="28"/>
          <w:highlight w:val="none"/>
        </w:rPr>
        <w:t>活动；</w:t>
      </w:r>
    </w:p>
    <w:p>
      <w:pPr>
        <w:spacing w:line="276" w:lineRule="auto"/>
        <w:rPr>
          <w:rFonts w:ascii="宋体" w:hAnsi="宋体"/>
          <w:sz w:val="24"/>
          <w:szCs w:val="28"/>
          <w:highlight w:val="none"/>
        </w:rPr>
      </w:pPr>
      <w:r>
        <w:rPr>
          <w:rFonts w:ascii="宋体" w:hAnsi="宋体"/>
          <w:sz w:val="24"/>
          <w:szCs w:val="28"/>
          <w:highlight w:val="none"/>
        </w:rPr>
        <w:t>二、</w:t>
      </w:r>
      <w:r>
        <w:rPr>
          <w:rFonts w:hint="eastAsia" w:ascii="宋体" w:hAnsi="宋体"/>
          <w:sz w:val="24"/>
          <w:szCs w:val="28"/>
          <w:highlight w:val="none"/>
        </w:rPr>
        <w:t>本公司</w:t>
      </w:r>
      <w:r>
        <w:rPr>
          <w:rFonts w:ascii="宋体" w:hAnsi="宋体"/>
          <w:sz w:val="24"/>
          <w:szCs w:val="28"/>
          <w:highlight w:val="none"/>
        </w:rPr>
        <w:t>所提供的一切材料都是真实、有效、合法的</w:t>
      </w:r>
      <w:r>
        <w:rPr>
          <w:rFonts w:hint="eastAsia" w:ascii="宋体" w:hAnsi="宋体"/>
          <w:sz w:val="24"/>
          <w:szCs w:val="28"/>
          <w:highlight w:val="none"/>
        </w:rPr>
        <w:t>；</w:t>
      </w:r>
    </w:p>
    <w:p>
      <w:pPr>
        <w:spacing w:line="276" w:lineRule="auto"/>
        <w:rPr>
          <w:rFonts w:ascii="宋体" w:hAnsi="宋体"/>
          <w:sz w:val="24"/>
          <w:szCs w:val="28"/>
          <w:highlight w:val="none"/>
        </w:rPr>
      </w:pPr>
      <w:r>
        <w:rPr>
          <w:rFonts w:ascii="宋体" w:hAnsi="宋体"/>
          <w:sz w:val="24"/>
          <w:szCs w:val="28"/>
          <w:highlight w:val="none"/>
        </w:rPr>
        <w:t>三、</w:t>
      </w:r>
      <w:r>
        <w:rPr>
          <w:rFonts w:hint="eastAsia" w:ascii="宋体" w:hAnsi="宋体"/>
          <w:sz w:val="24"/>
          <w:szCs w:val="28"/>
          <w:highlight w:val="none"/>
        </w:rPr>
        <w:t>保证</w:t>
      </w:r>
      <w:r>
        <w:rPr>
          <w:rFonts w:ascii="宋体" w:hAnsi="宋体"/>
          <w:sz w:val="24"/>
          <w:szCs w:val="28"/>
          <w:highlight w:val="none"/>
        </w:rPr>
        <w:t>不出借、转让资质证书，让他人挂靠投标，不以他人名义投标或者以其他方式弄虚作假，骗取中标</w:t>
      </w:r>
      <w:r>
        <w:rPr>
          <w:rFonts w:hint="eastAsia" w:ascii="宋体" w:hAnsi="宋体"/>
          <w:sz w:val="24"/>
          <w:szCs w:val="28"/>
          <w:highlight w:val="none"/>
        </w:rPr>
        <w:t>；</w:t>
      </w:r>
    </w:p>
    <w:p>
      <w:pPr>
        <w:spacing w:line="276" w:lineRule="auto"/>
        <w:rPr>
          <w:rFonts w:ascii="宋体" w:hAnsi="宋体"/>
          <w:sz w:val="24"/>
          <w:szCs w:val="28"/>
          <w:highlight w:val="none"/>
        </w:rPr>
      </w:pPr>
      <w:r>
        <w:rPr>
          <w:rFonts w:ascii="宋体" w:hAnsi="宋体"/>
          <w:sz w:val="24"/>
          <w:szCs w:val="28"/>
          <w:highlight w:val="none"/>
        </w:rPr>
        <w:t>四、</w:t>
      </w:r>
      <w:r>
        <w:rPr>
          <w:rFonts w:hint="eastAsia" w:ascii="宋体" w:hAnsi="宋体"/>
          <w:sz w:val="24"/>
          <w:szCs w:val="28"/>
          <w:highlight w:val="none"/>
        </w:rPr>
        <w:t>保证</w:t>
      </w:r>
      <w:r>
        <w:rPr>
          <w:rFonts w:ascii="宋体" w:hAnsi="宋体"/>
          <w:sz w:val="24"/>
          <w:szCs w:val="28"/>
          <w:highlight w:val="none"/>
        </w:rPr>
        <w:t>不与招标人或者招标代理机构</w:t>
      </w:r>
      <w:r>
        <w:rPr>
          <w:rFonts w:hint="eastAsia" w:ascii="宋体" w:hAnsi="宋体"/>
          <w:sz w:val="24"/>
          <w:szCs w:val="28"/>
          <w:highlight w:val="none"/>
        </w:rPr>
        <w:t>、</w:t>
      </w:r>
      <w:r>
        <w:rPr>
          <w:rFonts w:ascii="宋体" w:hAnsi="宋体"/>
          <w:sz w:val="24"/>
          <w:szCs w:val="28"/>
          <w:highlight w:val="none"/>
        </w:rPr>
        <w:t>其他投标人相互串通投标报价，不排挤其他投标人的公平竞争、损害国家利益、社会公共利益或者他人的合法权益</w:t>
      </w:r>
      <w:r>
        <w:rPr>
          <w:rFonts w:hint="eastAsia" w:ascii="宋体" w:hAnsi="宋体"/>
          <w:sz w:val="24"/>
          <w:szCs w:val="28"/>
          <w:highlight w:val="none"/>
        </w:rPr>
        <w:t>；</w:t>
      </w:r>
    </w:p>
    <w:p>
      <w:pPr>
        <w:spacing w:line="276" w:lineRule="auto"/>
        <w:rPr>
          <w:rFonts w:ascii="宋体" w:hAnsi="宋体" w:cs="Helvetica"/>
          <w:sz w:val="24"/>
          <w:szCs w:val="28"/>
          <w:highlight w:val="none"/>
        </w:rPr>
      </w:pPr>
      <w:r>
        <w:rPr>
          <w:rFonts w:ascii="宋体" w:hAnsi="宋体"/>
          <w:sz w:val="24"/>
          <w:szCs w:val="28"/>
          <w:highlight w:val="none"/>
        </w:rPr>
        <w:t>五、保证中标后不转包</w:t>
      </w:r>
      <w:r>
        <w:rPr>
          <w:rFonts w:hint="eastAsia" w:ascii="宋体" w:hAnsi="宋体"/>
          <w:sz w:val="24"/>
          <w:szCs w:val="28"/>
          <w:highlight w:val="none"/>
        </w:rPr>
        <w:t>和不违法分包工程，并督促</w:t>
      </w:r>
      <w:r>
        <w:rPr>
          <w:rFonts w:ascii="宋体" w:hAnsi="宋体"/>
          <w:sz w:val="24"/>
          <w:szCs w:val="28"/>
          <w:highlight w:val="none"/>
        </w:rPr>
        <w:t>派驻现场的管理人员按</w:t>
      </w:r>
      <w:r>
        <w:rPr>
          <w:rFonts w:hint="eastAsia" w:ascii="宋体" w:hAnsi="宋体"/>
          <w:sz w:val="24"/>
          <w:szCs w:val="28"/>
          <w:highlight w:val="none"/>
        </w:rPr>
        <w:t>规定参加在岗</w:t>
      </w:r>
      <w:r>
        <w:rPr>
          <w:rFonts w:ascii="宋体" w:hAnsi="宋体"/>
          <w:sz w:val="24"/>
          <w:szCs w:val="28"/>
          <w:highlight w:val="none"/>
        </w:rPr>
        <w:t>考勤</w:t>
      </w:r>
      <w:r>
        <w:rPr>
          <w:rFonts w:hint="eastAsia" w:ascii="宋体" w:hAnsi="宋体"/>
          <w:sz w:val="24"/>
          <w:szCs w:val="28"/>
          <w:highlight w:val="none"/>
        </w:rPr>
        <w:t>；</w:t>
      </w:r>
    </w:p>
    <w:p>
      <w:pPr>
        <w:spacing w:line="276" w:lineRule="auto"/>
        <w:rPr>
          <w:rFonts w:ascii="宋体" w:hAnsi="宋体"/>
          <w:sz w:val="24"/>
          <w:szCs w:val="28"/>
          <w:highlight w:val="none"/>
        </w:rPr>
      </w:pPr>
      <w:r>
        <w:rPr>
          <w:rFonts w:hint="eastAsia" w:ascii="宋体" w:hAnsi="宋体"/>
          <w:sz w:val="24"/>
          <w:szCs w:val="28"/>
          <w:highlight w:val="none"/>
        </w:rPr>
        <w:t>六、保证投标文件承诺派驻的施工负责人、技术负责人、质量管理负责人、安全管理负责人均为本公司的人员，并且均与本企业签订了劳动合同、建立劳动工资及社会养老保险关系（施工负责人已达到退休年龄且不超过65周岁的，则提供劳务关系证明材料）。</w:t>
      </w:r>
    </w:p>
    <w:p>
      <w:pPr>
        <w:spacing w:line="276" w:lineRule="auto"/>
        <w:rPr>
          <w:rFonts w:ascii="宋体" w:hAnsi="宋体"/>
          <w:sz w:val="24"/>
          <w:szCs w:val="28"/>
          <w:highlight w:val="none"/>
        </w:rPr>
      </w:pPr>
      <w:r>
        <w:rPr>
          <w:rFonts w:hint="eastAsia" w:ascii="宋体" w:hAnsi="宋体"/>
          <w:sz w:val="24"/>
          <w:szCs w:val="28"/>
          <w:highlight w:val="none"/>
        </w:rPr>
        <w:t>七、本公司没有处于被各级建设行政主管部门取消投标资格的处罚期内和被责令停业的状态；</w:t>
      </w:r>
      <w:r>
        <w:rPr>
          <w:rFonts w:hint="eastAsia" w:ascii="宋体" w:hAnsi="宋体"/>
          <w:spacing w:val="39"/>
          <w:sz w:val="24"/>
          <w:szCs w:val="28"/>
          <w:highlight w:val="none"/>
        </w:rPr>
        <w:t xml:space="preserve"> </w:t>
      </w:r>
    </w:p>
    <w:p>
      <w:pPr>
        <w:spacing w:line="276" w:lineRule="auto"/>
        <w:rPr>
          <w:rFonts w:ascii="宋体" w:hAnsi="宋体"/>
          <w:sz w:val="24"/>
          <w:szCs w:val="28"/>
          <w:highlight w:val="none"/>
        </w:rPr>
      </w:pPr>
      <w:r>
        <w:rPr>
          <w:rFonts w:hint="eastAsia" w:ascii="宋体" w:hAnsi="宋体"/>
          <w:sz w:val="24"/>
          <w:szCs w:val="28"/>
          <w:highlight w:val="none"/>
        </w:rPr>
        <w:t>八</w:t>
      </w:r>
      <w:r>
        <w:rPr>
          <w:rFonts w:ascii="宋体" w:hAnsi="宋体"/>
          <w:sz w:val="24"/>
          <w:szCs w:val="28"/>
          <w:highlight w:val="none"/>
        </w:rPr>
        <w:t>、</w:t>
      </w:r>
      <w:r>
        <w:rPr>
          <w:rFonts w:hint="eastAsia" w:ascii="宋体" w:hAnsi="宋体"/>
          <w:sz w:val="24"/>
          <w:szCs w:val="28"/>
          <w:highlight w:val="none"/>
        </w:rPr>
        <w:t>本公司（包括联合体所有成员）、本公司（包括联合体所有成员）</w:t>
      </w:r>
      <w:r>
        <w:rPr>
          <w:rFonts w:ascii="宋体" w:hAnsi="宋体"/>
          <w:sz w:val="24"/>
          <w:szCs w:val="28"/>
          <w:highlight w:val="none"/>
        </w:rPr>
        <w:t>法定代表人及本工程的项目负责人</w:t>
      </w:r>
      <w:r>
        <w:rPr>
          <w:rFonts w:hint="eastAsia" w:ascii="宋体" w:hAnsi="宋体"/>
          <w:sz w:val="24"/>
          <w:szCs w:val="28"/>
          <w:highlight w:val="none"/>
        </w:rPr>
        <w:t>此前（从项目招标公告发出之日起计）三年内无被人民法院判决犯有行贿罪的记录</w:t>
      </w:r>
      <w:r>
        <w:rPr>
          <w:rFonts w:ascii="宋体" w:hAnsi="宋体"/>
          <w:sz w:val="24"/>
          <w:szCs w:val="28"/>
          <w:highlight w:val="none"/>
        </w:rPr>
        <w:t>，并承诺在本工程中不行贿受贿；</w:t>
      </w:r>
    </w:p>
    <w:p>
      <w:pPr>
        <w:spacing w:line="276" w:lineRule="auto"/>
        <w:rPr>
          <w:rFonts w:ascii="宋体" w:hAnsi="宋体"/>
          <w:sz w:val="24"/>
          <w:szCs w:val="28"/>
          <w:highlight w:val="none"/>
        </w:rPr>
      </w:pPr>
      <w:r>
        <w:rPr>
          <w:rFonts w:hint="eastAsia" w:ascii="宋体" w:hAnsi="宋体"/>
          <w:sz w:val="24"/>
          <w:szCs w:val="28"/>
          <w:highlight w:val="none"/>
        </w:rPr>
        <w:t>九、本公司不属于“信用中国”中列明的失信被执行人。</w:t>
      </w:r>
    </w:p>
    <w:p>
      <w:pPr>
        <w:spacing w:line="276" w:lineRule="auto"/>
        <w:rPr>
          <w:rFonts w:ascii="宋体" w:hAnsi="宋体"/>
          <w:sz w:val="24"/>
          <w:szCs w:val="28"/>
          <w:highlight w:val="none"/>
        </w:rPr>
      </w:pPr>
      <w:r>
        <w:rPr>
          <w:rFonts w:ascii="宋体" w:hAnsi="宋体"/>
          <w:sz w:val="24"/>
          <w:szCs w:val="28"/>
          <w:highlight w:val="none"/>
        </w:rPr>
        <w:t>上述承诺事项均为本</w:t>
      </w:r>
      <w:r>
        <w:rPr>
          <w:rFonts w:hint="eastAsia" w:ascii="宋体" w:hAnsi="宋体"/>
          <w:sz w:val="24"/>
          <w:szCs w:val="28"/>
          <w:highlight w:val="none"/>
        </w:rPr>
        <w:t>公司</w:t>
      </w:r>
      <w:r>
        <w:rPr>
          <w:rFonts w:ascii="宋体" w:hAnsi="宋体"/>
          <w:sz w:val="24"/>
          <w:szCs w:val="28"/>
          <w:highlight w:val="none"/>
        </w:rPr>
        <w:t>真实意见表达，愿承担一切责任。本公司若有违反承诺内容的行为，自愿接受取消投标资格、记入信用档案、没收投标保证金等有关处理。如已中标的，自动放弃中标资格</w:t>
      </w:r>
      <w:r>
        <w:rPr>
          <w:rFonts w:hint="eastAsia" w:ascii="宋体" w:hAnsi="宋体"/>
          <w:sz w:val="24"/>
          <w:szCs w:val="28"/>
          <w:highlight w:val="none"/>
        </w:rPr>
        <w:t>；</w:t>
      </w:r>
      <w:r>
        <w:rPr>
          <w:rFonts w:ascii="宋体" w:hAnsi="宋体"/>
          <w:sz w:val="24"/>
          <w:szCs w:val="28"/>
          <w:highlight w:val="none"/>
        </w:rPr>
        <w:t>给招标</w:t>
      </w:r>
      <w:r>
        <w:rPr>
          <w:highlight w:val="none"/>
        </w:rPr>
        <w:fldChar w:fldCharType="begin"/>
      </w:r>
      <w:r>
        <w:rPr>
          <w:highlight w:val="none"/>
        </w:rPr>
        <w:instrText xml:space="preserve"> HYPERLINK "http://tongxiehui.net/k/renzao/" \t "_blank" </w:instrText>
      </w:r>
      <w:r>
        <w:rPr>
          <w:highlight w:val="none"/>
        </w:rPr>
        <w:fldChar w:fldCharType="separate"/>
      </w:r>
      <w:r>
        <w:rPr>
          <w:rStyle w:val="18"/>
          <w:rFonts w:ascii="宋体" w:hAnsi="宋体"/>
          <w:color w:val="auto"/>
          <w:sz w:val="24"/>
          <w:szCs w:val="28"/>
          <w:highlight w:val="none"/>
          <w:u w:val="none"/>
        </w:rPr>
        <w:t>人造</w:t>
      </w:r>
      <w:r>
        <w:rPr>
          <w:rStyle w:val="18"/>
          <w:rFonts w:ascii="宋体" w:hAnsi="宋体"/>
          <w:color w:val="auto"/>
          <w:sz w:val="24"/>
          <w:szCs w:val="28"/>
          <w:highlight w:val="none"/>
          <w:u w:val="none"/>
        </w:rPr>
        <w:fldChar w:fldCharType="end"/>
      </w:r>
      <w:r>
        <w:rPr>
          <w:rFonts w:ascii="宋体" w:hAnsi="宋体"/>
          <w:sz w:val="24"/>
          <w:szCs w:val="28"/>
          <w:highlight w:val="none"/>
        </w:rPr>
        <w:t>成损失的，依法承担赔偿</w:t>
      </w:r>
      <w:r>
        <w:rPr>
          <w:highlight w:val="none"/>
        </w:rPr>
        <w:fldChar w:fldCharType="begin"/>
      </w:r>
      <w:r>
        <w:rPr>
          <w:highlight w:val="none"/>
        </w:rPr>
        <w:instrText xml:space="preserve"> HYPERLINK "http://tongxiehui.net/k/zeren/" \t "_blank" </w:instrText>
      </w:r>
      <w:r>
        <w:rPr>
          <w:highlight w:val="none"/>
        </w:rPr>
        <w:fldChar w:fldCharType="separate"/>
      </w:r>
      <w:r>
        <w:rPr>
          <w:rStyle w:val="18"/>
          <w:rFonts w:ascii="宋体" w:hAnsi="宋体"/>
          <w:color w:val="auto"/>
          <w:sz w:val="24"/>
          <w:szCs w:val="28"/>
          <w:highlight w:val="none"/>
          <w:u w:val="none"/>
        </w:rPr>
        <w:t>责任</w:t>
      </w:r>
      <w:r>
        <w:rPr>
          <w:rStyle w:val="18"/>
          <w:rFonts w:ascii="宋体" w:hAnsi="宋体"/>
          <w:color w:val="auto"/>
          <w:sz w:val="24"/>
          <w:szCs w:val="28"/>
          <w:highlight w:val="none"/>
          <w:u w:val="none"/>
        </w:rPr>
        <w:fldChar w:fldCharType="end"/>
      </w:r>
      <w:r>
        <w:rPr>
          <w:rFonts w:hint="eastAsia" w:ascii="宋体" w:hAnsi="宋体"/>
          <w:sz w:val="24"/>
          <w:szCs w:val="28"/>
          <w:highlight w:val="none"/>
        </w:rPr>
        <w:t>；违反相关法律法规的，承担相应的法律责任</w:t>
      </w:r>
      <w:r>
        <w:rPr>
          <w:rFonts w:ascii="宋体" w:hAnsi="宋体"/>
          <w:sz w:val="24"/>
          <w:szCs w:val="28"/>
          <w:highlight w:val="none"/>
        </w:rPr>
        <w:t>。</w:t>
      </w:r>
    </w:p>
    <w:p>
      <w:pPr>
        <w:rPr>
          <w:rFonts w:ascii="宋体" w:hAnsi="宋体"/>
          <w:sz w:val="24"/>
          <w:szCs w:val="28"/>
          <w:highlight w:val="none"/>
        </w:rPr>
      </w:pPr>
    </w:p>
    <w:p>
      <w:pPr>
        <w:ind w:firstLine="3240" w:firstLineChars="1350"/>
        <w:rPr>
          <w:rFonts w:ascii="宋体" w:hAnsi="宋体"/>
          <w:sz w:val="24"/>
          <w:szCs w:val="28"/>
          <w:highlight w:val="none"/>
        </w:rPr>
      </w:pPr>
    </w:p>
    <w:p>
      <w:pPr>
        <w:ind w:firstLine="3840" w:firstLineChars="1600"/>
        <w:rPr>
          <w:rFonts w:ascii="宋体" w:hAnsi="宋体"/>
          <w:sz w:val="24"/>
          <w:szCs w:val="28"/>
          <w:highlight w:val="none"/>
        </w:rPr>
      </w:pPr>
      <w:r>
        <w:rPr>
          <w:rFonts w:ascii="宋体" w:hAnsi="宋体"/>
          <w:sz w:val="24"/>
          <w:szCs w:val="28"/>
          <w:highlight w:val="none"/>
        </w:rPr>
        <w:t>法定</w:t>
      </w:r>
      <w:r>
        <w:rPr>
          <w:highlight w:val="none"/>
        </w:rPr>
        <w:fldChar w:fldCharType="begin"/>
      </w:r>
      <w:r>
        <w:rPr>
          <w:highlight w:val="none"/>
        </w:rPr>
        <w:instrText xml:space="preserve"> HYPERLINK "http://tongxiehui.net/k/daibiao/" \t "_blank" </w:instrText>
      </w:r>
      <w:r>
        <w:rPr>
          <w:highlight w:val="none"/>
        </w:rPr>
        <w:fldChar w:fldCharType="separate"/>
      </w:r>
      <w:r>
        <w:rPr>
          <w:rStyle w:val="18"/>
          <w:rFonts w:ascii="宋体" w:hAnsi="宋体"/>
          <w:color w:val="auto"/>
          <w:sz w:val="24"/>
          <w:szCs w:val="28"/>
          <w:highlight w:val="none"/>
          <w:u w:val="none"/>
        </w:rPr>
        <w:t>代表</w:t>
      </w:r>
      <w:r>
        <w:rPr>
          <w:rStyle w:val="18"/>
          <w:rFonts w:ascii="宋体" w:hAnsi="宋体"/>
          <w:color w:val="auto"/>
          <w:sz w:val="24"/>
          <w:szCs w:val="28"/>
          <w:highlight w:val="none"/>
          <w:u w:val="none"/>
        </w:rPr>
        <w:fldChar w:fldCharType="end"/>
      </w:r>
      <w:r>
        <w:rPr>
          <w:rFonts w:hint="eastAsia" w:ascii="宋体" w:hAnsi="宋体"/>
          <w:sz w:val="24"/>
          <w:szCs w:val="28"/>
          <w:highlight w:val="none"/>
        </w:rPr>
        <w:t>人</w:t>
      </w:r>
      <w:r>
        <w:rPr>
          <w:rFonts w:ascii="宋体" w:hAnsi="宋体"/>
          <w:sz w:val="24"/>
          <w:szCs w:val="28"/>
          <w:highlight w:val="none"/>
        </w:rPr>
        <w:t>（签</w:t>
      </w:r>
      <w:r>
        <w:rPr>
          <w:rFonts w:hint="eastAsia" w:ascii="宋体" w:hAnsi="宋体"/>
          <w:sz w:val="24"/>
          <w:szCs w:val="28"/>
          <w:highlight w:val="none"/>
        </w:rPr>
        <w:t>名或印章</w:t>
      </w:r>
      <w:r>
        <w:rPr>
          <w:rFonts w:ascii="宋体" w:hAnsi="宋体"/>
          <w:sz w:val="24"/>
          <w:szCs w:val="28"/>
          <w:highlight w:val="none"/>
        </w:rPr>
        <w:t>）:</w:t>
      </w:r>
    </w:p>
    <w:p>
      <w:pPr>
        <w:rPr>
          <w:rFonts w:ascii="宋体" w:hAnsi="宋体"/>
          <w:sz w:val="24"/>
          <w:szCs w:val="28"/>
          <w:highlight w:val="none"/>
        </w:rPr>
      </w:pPr>
      <w:r>
        <w:rPr>
          <w:rFonts w:ascii="宋体" w:hAnsi="宋体"/>
          <w:sz w:val="24"/>
          <w:szCs w:val="28"/>
          <w:highlight w:val="none"/>
        </w:rPr>
        <w:t>投标单位（公章）:</w:t>
      </w:r>
      <w:r>
        <w:rPr>
          <w:rFonts w:hint="eastAsia" w:ascii="宋体" w:hAnsi="宋体"/>
          <w:sz w:val="24"/>
          <w:szCs w:val="28"/>
          <w:highlight w:val="none"/>
        </w:rPr>
        <w:t xml:space="preserve"> </w:t>
      </w:r>
    </w:p>
    <w:p>
      <w:pPr>
        <w:ind w:firstLine="3840" w:firstLineChars="1600"/>
        <w:rPr>
          <w:rFonts w:ascii="宋体" w:hAnsi="宋体"/>
          <w:sz w:val="24"/>
          <w:szCs w:val="28"/>
          <w:highlight w:val="none"/>
        </w:rPr>
      </w:pPr>
      <w:r>
        <w:rPr>
          <w:rFonts w:hint="eastAsia" w:ascii="宋体" w:hAnsi="宋体"/>
          <w:sz w:val="24"/>
          <w:szCs w:val="28"/>
          <w:highlight w:val="none"/>
        </w:rPr>
        <w:t>施工负责人</w:t>
      </w:r>
      <w:r>
        <w:rPr>
          <w:rFonts w:ascii="宋体" w:hAnsi="宋体"/>
          <w:sz w:val="24"/>
          <w:szCs w:val="28"/>
          <w:highlight w:val="none"/>
        </w:rPr>
        <w:t>（签</w:t>
      </w:r>
      <w:r>
        <w:rPr>
          <w:rFonts w:hint="eastAsia" w:ascii="宋体" w:hAnsi="宋体"/>
          <w:sz w:val="24"/>
          <w:szCs w:val="28"/>
          <w:highlight w:val="none"/>
        </w:rPr>
        <w:t>名</w:t>
      </w:r>
      <w:r>
        <w:rPr>
          <w:rFonts w:ascii="宋体" w:hAnsi="宋体"/>
          <w:sz w:val="24"/>
          <w:szCs w:val="28"/>
          <w:highlight w:val="none"/>
        </w:rPr>
        <w:t>）:</w:t>
      </w:r>
      <w:r>
        <w:rPr>
          <w:rFonts w:hint="eastAsia" w:ascii="宋体" w:hAnsi="宋体"/>
          <w:sz w:val="24"/>
          <w:szCs w:val="28"/>
          <w:highlight w:val="none"/>
        </w:rPr>
        <w:t xml:space="preserve"> </w:t>
      </w:r>
    </w:p>
    <w:p>
      <w:pPr>
        <w:rPr>
          <w:rFonts w:ascii="宋体" w:hAnsi="宋体"/>
          <w:sz w:val="24"/>
          <w:szCs w:val="28"/>
          <w:highlight w:val="none"/>
        </w:rPr>
      </w:pPr>
    </w:p>
    <w:p>
      <w:pPr>
        <w:rPr>
          <w:rFonts w:ascii="宋体" w:hAnsi="宋体"/>
          <w:sz w:val="24"/>
          <w:szCs w:val="28"/>
          <w:highlight w:val="none"/>
        </w:rPr>
      </w:pPr>
    </w:p>
    <w:p>
      <w:pPr>
        <w:rPr>
          <w:rFonts w:ascii="宋体" w:hAnsi="宋体"/>
          <w:sz w:val="24"/>
          <w:szCs w:val="28"/>
          <w:highlight w:val="none"/>
        </w:rPr>
      </w:pPr>
      <w:r>
        <w:rPr>
          <w:rFonts w:ascii="宋体" w:hAnsi="宋体"/>
          <w:sz w:val="24"/>
          <w:szCs w:val="28"/>
          <w:highlight w:val="none"/>
        </w:rPr>
        <w:t>开户银行:</w:t>
      </w:r>
      <w:r>
        <w:rPr>
          <w:rFonts w:hint="eastAsia" w:ascii="宋体" w:hAnsi="宋体"/>
          <w:sz w:val="24"/>
          <w:szCs w:val="28"/>
          <w:highlight w:val="none"/>
        </w:rPr>
        <w:t xml:space="preserve">                       </w:t>
      </w:r>
      <w:r>
        <w:rPr>
          <w:rFonts w:ascii="宋体" w:hAnsi="宋体"/>
          <w:sz w:val="24"/>
          <w:szCs w:val="28"/>
          <w:highlight w:val="none"/>
        </w:rPr>
        <w:t>基本账户:</w:t>
      </w:r>
    </w:p>
    <w:p>
      <w:pPr>
        <w:rPr>
          <w:rFonts w:ascii="宋体" w:hAnsi="宋体"/>
          <w:sz w:val="24"/>
          <w:szCs w:val="28"/>
          <w:highlight w:val="none"/>
        </w:rPr>
      </w:pPr>
    </w:p>
    <w:p>
      <w:pPr>
        <w:wordWrap w:val="0"/>
        <w:ind w:right="240"/>
        <w:jc w:val="right"/>
        <w:rPr>
          <w:rFonts w:ascii="宋体" w:hAnsi="宋体"/>
          <w:sz w:val="24"/>
          <w:szCs w:val="28"/>
          <w:highlight w:val="none"/>
        </w:rPr>
      </w:pPr>
      <w:r>
        <w:rPr>
          <w:rFonts w:hint="eastAsia" w:ascii="宋体" w:hAnsi="宋体"/>
          <w:sz w:val="24"/>
          <w:szCs w:val="28"/>
          <w:highlight w:val="none"/>
        </w:rPr>
        <w:t>日期</w:t>
      </w:r>
      <w:r>
        <w:rPr>
          <w:rFonts w:ascii="宋体" w:hAnsi="宋体"/>
          <w:sz w:val="24"/>
          <w:szCs w:val="28"/>
          <w:highlight w:val="none"/>
        </w:rPr>
        <w:t>：</w:t>
      </w:r>
      <w:r>
        <w:rPr>
          <w:rFonts w:hint="eastAsia" w:ascii="宋体" w:hAnsi="宋体"/>
          <w:sz w:val="24"/>
          <w:szCs w:val="28"/>
          <w:highlight w:val="none"/>
        </w:rPr>
        <w:t xml:space="preserve">  </w:t>
      </w:r>
      <w:r>
        <w:rPr>
          <w:rFonts w:ascii="宋体" w:hAnsi="宋体"/>
          <w:sz w:val="24"/>
          <w:szCs w:val="28"/>
          <w:highlight w:val="none"/>
        </w:rPr>
        <w:t xml:space="preserve">     </w:t>
      </w:r>
      <w:r>
        <w:rPr>
          <w:rFonts w:hint="eastAsia" w:ascii="宋体" w:hAnsi="宋体"/>
          <w:sz w:val="24"/>
          <w:szCs w:val="28"/>
          <w:highlight w:val="none"/>
        </w:rPr>
        <w:t xml:space="preserve"> 年    </w:t>
      </w:r>
      <w:r>
        <w:rPr>
          <w:rFonts w:ascii="宋体" w:hAnsi="宋体"/>
          <w:sz w:val="24"/>
          <w:szCs w:val="28"/>
          <w:highlight w:val="none"/>
        </w:rPr>
        <w:t xml:space="preserve"> </w:t>
      </w:r>
      <w:r>
        <w:rPr>
          <w:rFonts w:hint="eastAsia" w:ascii="宋体" w:hAnsi="宋体"/>
          <w:sz w:val="24"/>
          <w:szCs w:val="28"/>
          <w:highlight w:val="none"/>
        </w:rPr>
        <w:t xml:space="preserve"> 月     </w:t>
      </w:r>
      <w:r>
        <w:rPr>
          <w:rFonts w:ascii="宋体" w:hAnsi="宋体"/>
          <w:sz w:val="24"/>
          <w:szCs w:val="28"/>
          <w:highlight w:val="none"/>
        </w:rPr>
        <w:t xml:space="preserve"> </w:t>
      </w:r>
      <w:r>
        <w:rPr>
          <w:rFonts w:hint="eastAsia" w:ascii="宋体" w:hAnsi="宋体"/>
          <w:sz w:val="24"/>
          <w:szCs w:val="28"/>
          <w:highlight w:val="none"/>
        </w:rPr>
        <w:t>日</w:t>
      </w:r>
    </w:p>
    <w:p>
      <w:pPr>
        <w:rPr>
          <w:rFonts w:ascii="宋体" w:hAnsi="宋体" w:cs="宋体"/>
          <w:sz w:val="28"/>
          <w:szCs w:val="28"/>
          <w:highlight w:val="none"/>
        </w:rPr>
      </w:pPr>
    </w:p>
    <w:p>
      <w:pPr>
        <w:pStyle w:val="3"/>
        <w:jc w:val="center"/>
        <w:rPr>
          <w:highlight w:val="none"/>
        </w:rPr>
      </w:pPr>
      <w:bookmarkStart w:id="1310" w:name="_Toc14679"/>
      <w:bookmarkStart w:id="1311" w:name="_Toc27865"/>
      <w:r>
        <w:rPr>
          <w:highlight w:val="none"/>
        </w:rPr>
        <w:br w:type="page"/>
      </w:r>
      <w:r>
        <w:rPr>
          <w:rFonts w:hint="eastAsia"/>
          <w:highlight w:val="none"/>
        </w:rPr>
        <w:t>七、资格审查资料（参考格式）</w:t>
      </w:r>
      <w:bookmarkEnd w:id="1310"/>
      <w:bookmarkEnd w:id="1311"/>
    </w:p>
    <w:p>
      <w:pPr>
        <w:jc w:val="left"/>
        <w:rPr>
          <w:rFonts w:ascii="宋体" w:hAnsi="宋体" w:cs="宋体"/>
          <w:b/>
          <w:bCs/>
          <w:sz w:val="28"/>
          <w:szCs w:val="28"/>
          <w:highlight w:val="none"/>
        </w:rPr>
      </w:pPr>
      <w:r>
        <w:rPr>
          <w:rFonts w:hint="eastAsia" w:ascii="宋体" w:hAnsi="宋体" w:cs="宋体"/>
          <w:b/>
          <w:bCs/>
          <w:sz w:val="28"/>
          <w:szCs w:val="28"/>
          <w:highlight w:val="none"/>
        </w:rPr>
        <w:t>（一）投标单位（含联合体各方）企业营业执照、资质证书和安全生产许</w:t>
      </w:r>
    </w:p>
    <w:p>
      <w:pPr>
        <w:jc w:val="left"/>
        <w:rPr>
          <w:rFonts w:ascii="宋体" w:hAnsi="宋体" w:cs="宋体"/>
          <w:b/>
          <w:bCs/>
          <w:sz w:val="28"/>
          <w:szCs w:val="28"/>
          <w:highlight w:val="none"/>
        </w:rPr>
      </w:pPr>
      <w:r>
        <w:rPr>
          <w:rFonts w:hint="eastAsia" w:ascii="宋体" w:hAnsi="宋体" w:cs="宋体"/>
          <w:b/>
          <w:bCs/>
          <w:sz w:val="28"/>
          <w:szCs w:val="28"/>
          <w:highlight w:val="none"/>
        </w:rPr>
        <w:t>可证复印件。</w:t>
      </w:r>
    </w:p>
    <w:p>
      <w:pPr>
        <w:rPr>
          <w:rFonts w:ascii="宋体" w:hAnsi="宋体" w:cs="宋体"/>
          <w:sz w:val="28"/>
          <w:szCs w:val="28"/>
          <w:highlight w:val="none"/>
        </w:rPr>
      </w:pPr>
      <w:r>
        <w:rPr>
          <w:rFonts w:hint="eastAsia" w:ascii="宋体" w:hAnsi="宋体" w:cs="宋体"/>
          <w:sz w:val="28"/>
          <w:szCs w:val="28"/>
          <w:highlight w:val="none"/>
        </w:rPr>
        <w:t>备注：设计单位不需提供安全生产许可证</w:t>
      </w: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jc w:val="left"/>
        <w:rPr>
          <w:rFonts w:ascii="宋体" w:hAnsi="宋体" w:cs="宋体"/>
          <w:b/>
          <w:bCs/>
          <w:sz w:val="28"/>
          <w:szCs w:val="28"/>
          <w:highlight w:val="none"/>
        </w:rPr>
      </w:pPr>
      <w:r>
        <w:rPr>
          <w:rFonts w:hint="eastAsia" w:ascii="宋体" w:hAnsi="宋体" w:cs="宋体"/>
          <w:b/>
          <w:bCs/>
          <w:sz w:val="28"/>
          <w:szCs w:val="28"/>
          <w:highlight w:val="none"/>
        </w:rPr>
        <w:t>（二）近年财务状况表（如有要求）</w:t>
      </w:r>
    </w:p>
    <w:p>
      <w:pPr>
        <w:rPr>
          <w:rFonts w:ascii="宋体" w:hAnsi="宋体" w:cs="宋体"/>
          <w:highlight w:val="none"/>
        </w:rPr>
      </w:pPr>
      <w:r>
        <w:rPr>
          <w:rFonts w:hint="eastAsia" w:ascii="宋体" w:hAnsi="宋体" w:cs="宋体"/>
          <w:highlight w:val="none"/>
        </w:rPr>
        <w:t>备注：在此附经会计师事务所或审计机构审计的财务财务会计报表，包括资产负债表、损益表、现金流量</w:t>
      </w:r>
    </w:p>
    <w:p>
      <w:pPr>
        <w:rPr>
          <w:rFonts w:ascii="宋体" w:hAnsi="宋体" w:cs="宋体"/>
          <w:highlight w:val="none"/>
        </w:rPr>
      </w:pPr>
      <w:r>
        <w:rPr>
          <w:rFonts w:hint="eastAsia" w:ascii="宋体" w:hAnsi="宋体" w:cs="宋体"/>
          <w:highlight w:val="none"/>
        </w:rPr>
        <w:t>表、利润表和财务情况说明书的复印件，具体年份要求见第二章“投标人须知”的规定。</w:t>
      </w: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jc w:val="left"/>
        <w:rPr>
          <w:rFonts w:ascii="宋体" w:hAnsi="宋体" w:cs="宋体"/>
          <w:b/>
          <w:bCs/>
          <w:sz w:val="28"/>
          <w:szCs w:val="28"/>
          <w:highlight w:val="none"/>
        </w:rPr>
      </w:pPr>
      <w:r>
        <w:rPr>
          <w:rFonts w:hint="eastAsia" w:ascii="宋体" w:hAnsi="宋体" w:cs="宋体"/>
          <w:b/>
          <w:bCs/>
          <w:sz w:val="28"/>
          <w:szCs w:val="28"/>
          <w:highlight w:val="none"/>
        </w:rPr>
        <w:t>（三）近年完成的类似项目情况表（如有要求）</w:t>
      </w: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jc w:val="left"/>
        <w:rPr>
          <w:rFonts w:ascii="宋体" w:hAnsi="宋体" w:cs="宋体"/>
          <w:b/>
          <w:bCs/>
          <w:sz w:val="28"/>
          <w:szCs w:val="28"/>
          <w:highlight w:val="none"/>
        </w:rPr>
      </w:pPr>
      <w:r>
        <w:rPr>
          <w:rFonts w:hint="eastAsia" w:ascii="宋体" w:hAnsi="宋体" w:cs="宋体"/>
          <w:b/>
          <w:bCs/>
          <w:sz w:val="28"/>
          <w:szCs w:val="28"/>
          <w:highlight w:val="none"/>
        </w:rPr>
        <w:t>（四）近年发生的重大诉讼及仲裁情况（如投标人须知前附表有要求）</w:t>
      </w:r>
    </w:p>
    <w:p>
      <w:pPr>
        <w:rPr>
          <w:rFonts w:ascii="宋体" w:hAnsi="宋体" w:cs="宋体"/>
          <w:highlight w:val="none"/>
        </w:rPr>
      </w:pPr>
      <w:r>
        <w:rPr>
          <w:rFonts w:hint="eastAsia" w:ascii="宋体" w:hAnsi="宋体" w:cs="宋体"/>
          <w:highlight w:val="none"/>
        </w:rPr>
        <w:t>说明：近年发生的诉讼和仲裁情况仅限于投标人（含联合体各方）败诉的，且与履行勘察或设计或施工承</w:t>
      </w:r>
    </w:p>
    <w:p>
      <w:pPr>
        <w:rPr>
          <w:rFonts w:ascii="宋体" w:hAnsi="宋体" w:cs="宋体"/>
          <w:highlight w:val="none"/>
        </w:rPr>
      </w:pPr>
      <w:r>
        <w:rPr>
          <w:rFonts w:hint="eastAsia" w:ascii="宋体" w:hAnsi="宋体" w:cs="宋体"/>
          <w:highlight w:val="none"/>
        </w:rPr>
        <w:t>包合同有关的案件，不包括调解结案以及未裁决的仲裁或未终审判决的诉讼。</w:t>
      </w: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jc w:val="left"/>
        <w:rPr>
          <w:rFonts w:ascii="宋体" w:hAnsi="宋体" w:cs="宋体"/>
          <w:sz w:val="28"/>
          <w:szCs w:val="28"/>
          <w:highlight w:val="none"/>
        </w:rPr>
      </w:pPr>
    </w:p>
    <w:p>
      <w:pPr>
        <w:jc w:val="left"/>
        <w:rPr>
          <w:rFonts w:ascii="宋体" w:hAnsi="宋体" w:cs="宋体"/>
          <w:b/>
          <w:bCs/>
          <w:sz w:val="28"/>
          <w:szCs w:val="28"/>
          <w:highlight w:val="none"/>
        </w:rPr>
      </w:pPr>
      <w:r>
        <w:rPr>
          <w:rFonts w:hint="eastAsia" w:ascii="宋体" w:hAnsi="宋体" w:cs="宋体"/>
          <w:b/>
          <w:bCs/>
          <w:sz w:val="28"/>
          <w:szCs w:val="28"/>
          <w:highlight w:val="none"/>
        </w:rPr>
        <w:t>（五）企业其他信誉情况表</w:t>
      </w:r>
    </w:p>
    <w:p>
      <w:pPr>
        <w:rPr>
          <w:rFonts w:ascii="宋体" w:hAnsi="宋体" w:cs="宋体"/>
          <w:highlight w:val="none"/>
        </w:rPr>
      </w:pPr>
    </w:p>
    <w:p>
      <w:pPr>
        <w:jc w:val="right"/>
        <w:rPr>
          <w:rFonts w:ascii="宋体" w:hAnsi="宋体" w:cs="宋体"/>
          <w:sz w:val="30"/>
          <w:szCs w:val="30"/>
          <w:highlight w:val="none"/>
        </w:rPr>
      </w:pPr>
    </w:p>
    <w:p>
      <w:pPr>
        <w:rPr>
          <w:rFonts w:ascii="宋体" w:hAnsi="宋体" w:cs="宋体"/>
          <w:sz w:val="30"/>
          <w:szCs w:val="30"/>
          <w:highlight w:val="none"/>
        </w:rPr>
      </w:pPr>
    </w:p>
    <w:p>
      <w:pPr>
        <w:jc w:val="right"/>
        <w:rPr>
          <w:rFonts w:ascii="宋体" w:hAnsi="宋体" w:cs="宋体"/>
          <w:sz w:val="30"/>
          <w:szCs w:val="30"/>
          <w:highlight w:val="none"/>
        </w:rPr>
      </w:pPr>
    </w:p>
    <w:p>
      <w:pPr>
        <w:jc w:val="right"/>
        <w:rPr>
          <w:rFonts w:ascii="宋体" w:hAnsi="宋体" w:cs="宋体"/>
          <w:sz w:val="30"/>
          <w:szCs w:val="30"/>
          <w:highlight w:val="none"/>
        </w:rPr>
      </w:pPr>
    </w:p>
    <w:p>
      <w:pPr>
        <w:jc w:val="right"/>
        <w:rPr>
          <w:rFonts w:ascii="宋体" w:hAnsi="宋体" w:cs="宋体"/>
          <w:sz w:val="30"/>
          <w:szCs w:val="30"/>
          <w:highlight w:val="none"/>
        </w:rPr>
      </w:pPr>
    </w:p>
    <w:p>
      <w:pPr>
        <w:jc w:val="right"/>
        <w:rPr>
          <w:rFonts w:ascii="宋体" w:hAnsi="宋体" w:cs="宋体"/>
          <w:sz w:val="30"/>
          <w:szCs w:val="30"/>
          <w:highlight w:val="none"/>
        </w:rPr>
      </w:pPr>
    </w:p>
    <w:p>
      <w:pPr>
        <w:numPr>
          <w:ilvl w:val="0"/>
          <w:numId w:val="20"/>
        </w:numPr>
        <w:rPr>
          <w:rFonts w:ascii="宋体" w:hAnsi="宋体" w:cs="宋体"/>
          <w:b/>
          <w:bCs/>
          <w:sz w:val="28"/>
          <w:szCs w:val="28"/>
          <w:highlight w:val="none"/>
        </w:rPr>
      </w:pPr>
      <w:r>
        <w:rPr>
          <w:rFonts w:hint="eastAsia" w:ascii="宋体" w:hAnsi="宋体" w:cs="宋体"/>
          <w:b/>
          <w:bCs/>
          <w:sz w:val="28"/>
          <w:szCs w:val="28"/>
          <w:highlight w:val="none"/>
        </w:rPr>
        <w:t>项目管理机构组成表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095"/>
        <w:gridCol w:w="1366"/>
        <w:gridCol w:w="824"/>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94" w:type="dxa"/>
            <w:vMerge w:val="restart"/>
            <w:vAlign w:val="center"/>
          </w:tcPr>
          <w:p>
            <w:pPr>
              <w:jc w:val="center"/>
              <w:rPr>
                <w:rFonts w:ascii="宋体" w:hAnsi="宋体" w:cs="宋体"/>
                <w:szCs w:val="21"/>
                <w:highlight w:val="none"/>
              </w:rPr>
            </w:pPr>
            <w:r>
              <w:rPr>
                <w:rFonts w:hint="eastAsia" w:ascii="宋体" w:hAnsi="宋体" w:cs="宋体"/>
                <w:szCs w:val="21"/>
                <w:highlight w:val="none"/>
              </w:rPr>
              <w:t>职务</w:t>
            </w:r>
          </w:p>
        </w:tc>
        <w:tc>
          <w:tcPr>
            <w:tcW w:w="1095" w:type="dxa"/>
            <w:vMerge w:val="restart"/>
            <w:vAlign w:val="center"/>
          </w:tcPr>
          <w:p>
            <w:pPr>
              <w:jc w:val="center"/>
              <w:rPr>
                <w:rFonts w:ascii="宋体" w:hAnsi="宋体" w:cs="宋体"/>
                <w:szCs w:val="21"/>
                <w:highlight w:val="none"/>
              </w:rPr>
            </w:pPr>
            <w:r>
              <w:rPr>
                <w:rFonts w:hint="eastAsia" w:ascii="宋体" w:hAnsi="宋体" w:cs="宋体"/>
                <w:szCs w:val="21"/>
                <w:highlight w:val="none"/>
              </w:rPr>
              <w:t>姓名</w:t>
            </w:r>
          </w:p>
        </w:tc>
        <w:tc>
          <w:tcPr>
            <w:tcW w:w="1366" w:type="dxa"/>
            <w:vMerge w:val="restart"/>
            <w:vAlign w:val="center"/>
          </w:tcPr>
          <w:p>
            <w:pPr>
              <w:jc w:val="center"/>
              <w:rPr>
                <w:rFonts w:ascii="宋体" w:hAnsi="宋体" w:cs="宋体"/>
                <w:szCs w:val="21"/>
                <w:highlight w:val="none"/>
              </w:rPr>
            </w:pPr>
            <w:r>
              <w:rPr>
                <w:rFonts w:hint="eastAsia" w:ascii="宋体" w:hAnsi="宋体" w:cs="宋体"/>
                <w:szCs w:val="21"/>
                <w:highlight w:val="none"/>
              </w:rPr>
              <w:t>所在企业</w:t>
            </w:r>
          </w:p>
        </w:tc>
        <w:tc>
          <w:tcPr>
            <w:tcW w:w="824" w:type="dxa"/>
            <w:vMerge w:val="restart"/>
            <w:vAlign w:val="center"/>
          </w:tcPr>
          <w:p>
            <w:pPr>
              <w:jc w:val="center"/>
              <w:rPr>
                <w:rFonts w:ascii="宋体" w:hAnsi="宋体" w:cs="宋体"/>
                <w:szCs w:val="21"/>
                <w:highlight w:val="none"/>
              </w:rPr>
            </w:pPr>
            <w:r>
              <w:rPr>
                <w:rFonts w:hint="eastAsia" w:ascii="宋体" w:hAnsi="宋体" w:cs="宋体"/>
                <w:szCs w:val="21"/>
                <w:highlight w:val="none"/>
              </w:rPr>
              <w:t>职称</w:t>
            </w:r>
          </w:p>
        </w:tc>
        <w:tc>
          <w:tcPr>
            <w:tcW w:w="4380" w:type="dxa"/>
            <w:gridSpan w:val="4"/>
            <w:vAlign w:val="center"/>
          </w:tcPr>
          <w:p>
            <w:pPr>
              <w:jc w:val="center"/>
              <w:rPr>
                <w:rFonts w:ascii="宋体" w:hAnsi="宋体" w:cs="宋体"/>
                <w:szCs w:val="21"/>
                <w:highlight w:val="none"/>
              </w:rPr>
            </w:pPr>
            <w:r>
              <w:rPr>
                <w:rFonts w:hint="eastAsia" w:ascii="宋体" w:hAnsi="宋体" w:cs="宋体"/>
                <w:szCs w:val="21"/>
                <w:highlight w:val="none"/>
              </w:rPr>
              <w:t>执业或职业资格证明</w:t>
            </w:r>
          </w:p>
        </w:tc>
        <w:tc>
          <w:tcPr>
            <w:tcW w:w="1095" w:type="dxa"/>
            <w:vMerge w:val="restart"/>
            <w:vAlign w:val="center"/>
          </w:tcPr>
          <w:p>
            <w:pPr>
              <w:jc w:val="center"/>
              <w:rPr>
                <w:rFonts w:ascii="宋体" w:hAnsi="宋体" w:cs="宋体"/>
                <w:szCs w:val="21"/>
                <w:highlight w:val="none"/>
              </w:rPr>
            </w:pPr>
            <w:r>
              <w:rPr>
                <w:rFonts w:hint="eastAsia" w:ascii="宋体" w:hAnsi="宋体" w:cs="宋体"/>
                <w:szCs w:val="21"/>
                <w:highlight w:val="none"/>
              </w:rPr>
              <w:t>养老保险证明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94" w:type="dxa"/>
            <w:vMerge w:val="continue"/>
          </w:tcPr>
          <w:p>
            <w:pPr>
              <w:rPr>
                <w:rFonts w:ascii="宋体" w:hAnsi="宋体" w:cs="宋体"/>
                <w:szCs w:val="21"/>
                <w:highlight w:val="none"/>
              </w:rPr>
            </w:pPr>
          </w:p>
        </w:tc>
        <w:tc>
          <w:tcPr>
            <w:tcW w:w="1095" w:type="dxa"/>
            <w:vMerge w:val="continue"/>
          </w:tcPr>
          <w:p>
            <w:pPr>
              <w:rPr>
                <w:rFonts w:ascii="宋体" w:hAnsi="宋体" w:cs="宋体"/>
                <w:szCs w:val="21"/>
                <w:highlight w:val="none"/>
              </w:rPr>
            </w:pPr>
          </w:p>
        </w:tc>
        <w:tc>
          <w:tcPr>
            <w:tcW w:w="1366" w:type="dxa"/>
            <w:vMerge w:val="continue"/>
          </w:tcPr>
          <w:p>
            <w:pPr>
              <w:rPr>
                <w:rFonts w:ascii="宋体" w:hAnsi="宋体" w:cs="宋体"/>
                <w:szCs w:val="21"/>
                <w:highlight w:val="none"/>
              </w:rPr>
            </w:pPr>
          </w:p>
        </w:tc>
        <w:tc>
          <w:tcPr>
            <w:tcW w:w="824" w:type="dxa"/>
            <w:vMerge w:val="continue"/>
          </w:tcPr>
          <w:p>
            <w:pPr>
              <w:rPr>
                <w:rFonts w:ascii="宋体" w:hAnsi="宋体" w:cs="宋体"/>
                <w:szCs w:val="21"/>
                <w:highlight w:val="none"/>
              </w:rPr>
            </w:pPr>
          </w:p>
        </w:tc>
        <w:tc>
          <w:tcPr>
            <w:tcW w:w="1095" w:type="dxa"/>
            <w:vAlign w:val="center"/>
          </w:tcPr>
          <w:p>
            <w:pPr>
              <w:jc w:val="center"/>
              <w:rPr>
                <w:rFonts w:ascii="宋体" w:hAnsi="宋体" w:cs="宋体"/>
                <w:szCs w:val="21"/>
                <w:highlight w:val="none"/>
              </w:rPr>
            </w:pPr>
            <w:r>
              <w:rPr>
                <w:rFonts w:hint="eastAsia" w:ascii="宋体" w:hAnsi="宋体" w:cs="宋体"/>
                <w:szCs w:val="21"/>
                <w:highlight w:val="none"/>
              </w:rPr>
              <w:t>证书名称及级别</w:t>
            </w:r>
          </w:p>
        </w:tc>
        <w:tc>
          <w:tcPr>
            <w:tcW w:w="1095" w:type="dxa"/>
            <w:vAlign w:val="center"/>
          </w:tcPr>
          <w:p>
            <w:pPr>
              <w:jc w:val="center"/>
              <w:rPr>
                <w:rFonts w:ascii="宋体" w:hAnsi="宋体" w:cs="宋体"/>
                <w:szCs w:val="21"/>
                <w:highlight w:val="none"/>
              </w:rPr>
            </w:pPr>
            <w:r>
              <w:rPr>
                <w:rFonts w:hint="eastAsia" w:ascii="宋体" w:hAnsi="宋体" w:cs="宋体"/>
                <w:szCs w:val="21"/>
                <w:highlight w:val="none"/>
              </w:rPr>
              <w:t>注册编号</w:t>
            </w:r>
          </w:p>
        </w:tc>
        <w:tc>
          <w:tcPr>
            <w:tcW w:w="1095" w:type="dxa"/>
            <w:vAlign w:val="center"/>
          </w:tcPr>
          <w:p>
            <w:pPr>
              <w:jc w:val="center"/>
              <w:rPr>
                <w:rFonts w:ascii="宋体" w:hAnsi="宋体" w:cs="宋体"/>
                <w:szCs w:val="21"/>
                <w:highlight w:val="none"/>
              </w:rPr>
            </w:pPr>
            <w:r>
              <w:rPr>
                <w:rFonts w:hint="eastAsia" w:ascii="宋体" w:hAnsi="宋体" w:cs="宋体"/>
                <w:szCs w:val="21"/>
                <w:highlight w:val="none"/>
              </w:rPr>
              <w:t>专业</w:t>
            </w:r>
          </w:p>
        </w:tc>
        <w:tc>
          <w:tcPr>
            <w:tcW w:w="1095" w:type="dxa"/>
            <w:vAlign w:val="center"/>
          </w:tcPr>
          <w:p>
            <w:pPr>
              <w:jc w:val="center"/>
              <w:rPr>
                <w:rFonts w:ascii="宋体" w:hAnsi="宋体" w:cs="宋体"/>
                <w:szCs w:val="21"/>
                <w:highlight w:val="none"/>
              </w:rPr>
            </w:pPr>
            <w:r>
              <w:rPr>
                <w:rFonts w:hint="eastAsia" w:ascii="宋体" w:hAnsi="宋体" w:cs="宋体"/>
                <w:szCs w:val="21"/>
                <w:highlight w:val="none"/>
              </w:rPr>
              <w:t>注册企业</w:t>
            </w:r>
          </w:p>
        </w:tc>
        <w:tc>
          <w:tcPr>
            <w:tcW w:w="1095" w:type="dxa"/>
            <w:vMerge w:val="continue"/>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94"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366" w:type="dxa"/>
          </w:tcPr>
          <w:p>
            <w:pPr>
              <w:rPr>
                <w:rFonts w:ascii="宋体" w:hAnsi="宋体" w:cs="宋体"/>
                <w:szCs w:val="21"/>
                <w:highlight w:val="none"/>
              </w:rPr>
            </w:pPr>
          </w:p>
        </w:tc>
        <w:tc>
          <w:tcPr>
            <w:tcW w:w="824"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94"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366" w:type="dxa"/>
          </w:tcPr>
          <w:p>
            <w:pPr>
              <w:rPr>
                <w:rFonts w:ascii="宋体" w:hAnsi="宋体" w:cs="宋体"/>
                <w:szCs w:val="21"/>
                <w:highlight w:val="none"/>
              </w:rPr>
            </w:pPr>
          </w:p>
        </w:tc>
        <w:tc>
          <w:tcPr>
            <w:tcW w:w="824"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94"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366" w:type="dxa"/>
          </w:tcPr>
          <w:p>
            <w:pPr>
              <w:rPr>
                <w:rFonts w:ascii="宋体" w:hAnsi="宋体" w:cs="宋体"/>
                <w:szCs w:val="21"/>
                <w:highlight w:val="none"/>
              </w:rPr>
            </w:pPr>
          </w:p>
        </w:tc>
        <w:tc>
          <w:tcPr>
            <w:tcW w:w="824"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366" w:type="dxa"/>
          </w:tcPr>
          <w:p>
            <w:pPr>
              <w:rPr>
                <w:rFonts w:ascii="宋体" w:hAnsi="宋体" w:cs="宋体"/>
                <w:szCs w:val="21"/>
                <w:highlight w:val="none"/>
              </w:rPr>
            </w:pPr>
          </w:p>
        </w:tc>
        <w:tc>
          <w:tcPr>
            <w:tcW w:w="824"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1094"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366" w:type="dxa"/>
          </w:tcPr>
          <w:p>
            <w:pPr>
              <w:rPr>
                <w:rFonts w:ascii="宋体" w:hAnsi="宋体" w:cs="宋体"/>
                <w:szCs w:val="21"/>
                <w:highlight w:val="none"/>
              </w:rPr>
            </w:pPr>
          </w:p>
        </w:tc>
        <w:tc>
          <w:tcPr>
            <w:tcW w:w="824"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c>
          <w:tcPr>
            <w:tcW w:w="1095" w:type="dxa"/>
          </w:tcPr>
          <w:p>
            <w:pPr>
              <w:rPr>
                <w:rFonts w:ascii="宋体" w:hAnsi="宋体" w:cs="宋体"/>
                <w:szCs w:val="21"/>
                <w:highlight w:val="none"/>
              </w:rPr>
            </w:pPr>
          </w:p>
        </w:tc>
      </w:tr>
    </w:tbl>
    <w:p>
      <w:pPr>
        <w:spacing w:line="360" w:lineRule="auto"/>
        <w:ind w:firstLine="480" w:firstLineChars="200"/>
        <w:rPr>
          <w:rFonts w:ascii="宋体" w:hAnsi="宋体"/>
          <w:sz w:val="24"/>
          <w:highlight w:val="none"/>
        </w:rPr>
      </w:pPr>
      <w:r>
        <w:rPr>
          <w:rFonts w:hint="eastAsia" w:ascii="宋体" w:hAnsi="宋体" w:cs="宋体"/>
          <w:sz w:val="24"/>
          <w:highlight w:val="none"/>
        </w:rPr>
        <w:t>注：其中主要管理人员（包括工程总承包项目经理、技术负责人、施工负责人、设计负责人）应提供详细材料，根据人员执业或从业要求，应分别附上注册执业证书（或持证人员从业情况信息公开证明）、职称证（如有）、上岗证明（如有）、身份证、养老保险复印件。</w:t>
      </w:r>
      <w:r>
        <w:rPr>
          <w:rFonts w:hint="eastAsia" w:ascii="宋体" w:hAnsi="宋体"/>
          <w:sz w:val="24"/>
          <w:highlight w:val="none"/>
        </w:rPr>
        <w:t>需提供在投标单位</w:t>
      </w:r>
      <w:r>
        <w:rPr>
          <w:rFonts w:hint="eastAsia" w:ascii="宋体" w:hAnsi="宋体"/>
          <w:sz w:val="24"/>
          <w:highlight w:val="none"/>
          <w:u w:val="single"/>
        </w:rPr>
        <w:t xml:space="preserve"> 2023 </w:t>
      </w:r>
      <w:r>
        <w:rPr>
          <w:rFonts w:hint="eastAsia" w:ascii="宋体" w:hAnsi="宋体"/>
          <w:sz w:val="24"/>
          <w:highlight w:val="none"/>
        </w:rPr>
        <w:t>年</w:t>
      </w:r>
      <w:r>
        <w:rPr>
          <w:rFonts w:hint="eastAsia" w:ascii="宋体" w:hAnsi="宋体"/>
          <w:sz w:val="24"/>
          <w:highlight w:val="none"/>
          <w:u w:val="single"/>
        </w:rPr>
        <w:t xml:space="preserve"> 8 </w:t>
      </w:r>
      <w:r>
        <w:rPr>
          <w:rFonts w:hint="eastAsia" w:ascii="宋体" w:hAnsi="宋体"/>
          <w:sz w:val="24"/>
          <w:highlight w:val="none"/>
        </w:rPr>
        <w:t>月至</w:t>
      </w:r>
      <w:r>
        <w:rPr>
          <w:rFonts w:hint="eastAsia" w:ascii="宋体" w:hAnsi="宋体"/>
          <w:sz w:val="24"/>
          <w:highlight w:val="none"/>
          <w:u w:val="single"/>
        </w:rPr>
        <w:t xml:space="preserve"> 2023 </w:t>
      </w:r>
      <w:r>
        <w:rPr>
          <w:rFonts w:hint="eastAsia" w:ascii="宋体" w:hAnsi="宋体"/>
          <w:sz w:val="24"/>
          <w:highlight w:val="none"/>
        </w:rPr>
        <w:t>年</w:t>
      </w:r>
      <w:r>
        <w:rPr>
          <w:rFonts w:hint="eastAsia" w:ascii="宋体" w:hAnsi="宋体"/>
          <w:sz w:val="24"/>
          <w:highlight w:val="none"/>
          <w:u w:val="single"/>
        </w:rPr>
        <w:t xml:space="preserve"> 10  </w:t>
      </w:r>
      <w:r>
        <w:rPr>
          <w:rFonts w:hint="eastAsia" w:ascii="宋体" w:hAnsi="宋体"/>
          <w:sz w:val="24"/>
          <w:highlight w:val="none"/>
        </w:rPr>
        <w:t>月缴纳养老保险的证明；（如社保管理机构已开通社保证明打印件查询电子化的地区，可提供社保管理机构有关实行社保证明电子化的相关文件及养老保险网络打印资料，如有完整的网络查询路径养老保险网络打印件，可视为实行社保证明电子化的相关文件）</w:t>
      </w:r>
    </w:p>
    <w:p>
      <w:pPr>
        <w:rPr>
          <w:rFonts w:ascii="宋体" w:hAnsi="宋体" w:cs="宋体"/>
          <w:sz w:val="28"/>
          <w:szCs w:val="28"/>
          <w:highlight w:val="none"/>
        </w:rPr>
      </w:pPr>
    </w:p>
    <w:p>
      <w:pPr>
        <w:jc w:val="center"/>
        <w:rPr>
          <w:rFonts w:ascii="宋体" w:hAnsi="宋体"/>
          <w:b/>
          <w:bCs/>
          <w:sz w:val="30"/>
          <w:szCs w:val="30"/>
          <w:highlight w:val="none"/>
        </w:rPr>
      </w:pPr>
      <w:r>
        <w:rPr>
          <w:rFonts w:hint="eastAsia" w:ascii="宋体" w:hAnsi="宋体"/>
          <w:b/>
          <w:bCs/>
          <w:sz w:val="30"/>
          <w:szCs w:val="30"/>
          <w:highlight w:val="none"/>
        </w:rPr>
        <w:br w:type="page"/>
      </w:r>
    </w:p>
    <w:p>
      <w:pPr>
        <w:jc w:val="center"/>
        <w:rPr>
          <w:rFonts w:ascii="宋体" w:hAnsi="宋体"/>
          <w:b/>
          <w:bCs/>
          <w:sz w:val="30"/>
          <w:szCs w:val="30"/>
          <w:highlight w:val="none"/>
        </w:rPr>
      </w:pPr>
      <w:r>
        <w:rPr>
          <w:rFonts w:hint="eastAsia" w:ascii="宋体" w:hAnsi="宋体"/>
          <w:b/>
          <w:bCs/>
          <w:sz w:val="30"/>
          <w:szCs w:val="30"/>
          <w:highlight w:val="none"/>
        </w:rPr>
        <w:t>八、其他资信或信誉资料</w:t>
      </w:r>
    </w:p>
    <w:p>
      <w:pPr>
        <w:jc w:val="right"/>
        <w:rPr>
          <w:rFonts w:ascii="宋体" w:hAnsi="宋体"/>
          <w:sz w:val="30"/>
          <w:szCs w:val="30"/>
          <w:highlight w:val="none"/>
        </w:rPr>
      </w:pPr>
    </w:p>
    <w:p>
      <w:pPr>
        <w:jc w:val="center"/>
        <w:rPr>
          <w:rFonts w:ascii="宋体" w:hAnsi="宋体"/>
          <w:sz w:val="30"/>
          <w:szCs w:val="30"/>
          <w:highlight w:val="none"/>
        </w:rPr>
      </w:pPr>
      <w:r>
        <w:rPr>
          <w:rFonts w:hint="eastAsia" w:ascii="宋体" w:hAnsi="宋体"/>
          <w:sz w:val="30"/>
          <w:szCs w:val="30"/>
          <w:highlight w:val="none"/>
        </w:rPr>
        <w:t>（投标人自行编制）</w:t>
      </w: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center"/>
        <w:rPr>
          <w:rFonts w:ascii="宋体" w:hAnsi="宋体"/>
          <w:b/>
          <w:bCs/>
          <w:sz w:val="30"/>
          <w:szCs w:val="30"/>
          <w:highlight w:val="none"/>
        </w:rPr>
      </w:pPr>
      <w:r>
        <w:rPr>
          <w:rFonts w:hint="eastAsia" w:ascii="宋体" w:hAnsi="宋体"/>
          <w:b/>
          <w:bCs/>
          <w:sz w:val="30"/>
          <w:szCs w:val="30"/>
          <w:highlight w:val="none"/>
        </w:rPr>
        <w:t>九、投标人认为有必要提供的其他资料</w:t>
      </w:r>
    </w:p>
    <w:p>
      <w:pPr>
        <w:jc w:val="center"/>
        <w:rPr>
          <w:rFonts w:ascii="宋体" w:hAnsi="宋体"/>
          <w:sz w:val="30"/>
          <w:szCs w:val="30"/>
          <w:highlight w:val="none"/>
        </w:rPr>
      </w:pPr>
      <w:r>
        <w:rPr>
          <w:rFonts w:hint="eastAsia" w:ascii="宋体" w:hAnsi="宋体"/>
          <w:sz w:val="30"/>
          <w:szCs w:val="30"/>
          <w:highlight w:val="none"/>
        </w:rPr>
        <w:t>（投标人根据招标文件评标办法商务部分评审标准编制）</w:t>
      </w:r>
    </w:p>
    <w:p>
      <w:pPr>
        <w:jc w:val="center"/>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rPr>
          <w:rFonts w:ascii="宋体" w:hAnsi="宋体"/>
          <w:sz w:val="30"/>
          <w:szCs w:val="30"/>
          <w:highlight w:val="none"/>
        </w:rPr>
      </w:pPr>
    </w:p>
    <w:p>
      <w:pPr>
        <w:rPr>
          <w:rFonts w:ascii="宋体" w:hAnsi="宋体"/>
          <w:sz w:val="30"/>
          <w:szCs w:val="30"/>
          <w:highlight w:val="none"/>
        </w:rPr>
      </w:pPr>
    </w:p>
    <w:p>
      <w:pPr>
        <w:rPr>
          <w:rFonts w:ascii="宋体" w:hAnsi="宋体"/>
          <w:sz w:val="30"/>
          <w:szCs w:val="30"/>
          <w:highlight w:val="none"/>
        </w:rPr>
      </w:pPr>
    </w:p>
    <w:p>
      <w:pPr>
        <w:rPr>
          <w:rFonts w:ascii="宋体" w:hAnsi="宋体"/>
          <w:sz w:val="30"/>
          <w:szCs w:val="30"/>
          <w:highlight w:val="none"/>
        </w:rPr>
      </w:pPr>
    </w:p>
    <w:p>
      <w:pPr>
        <w:rPr>
          <w:rFonts w:ascii="宋体" w:hAnsi="宋体"/>
          <w:sz w:val="30"/>
          <w:szCs w:val="30"/>
          <w:highlight w:val="none"/>
        </w:rPr>
      </w:pPr>
    </w:p>
    <w:p>
      <w:pPr>
        <w:jc w:val="right"/>
        <w:rPr>
          <w:rFonts w:ascii="宋体" w:hAnsi="宋体"/>
          <w:sz w:val="30"/>
          <w:szCs w:val="30"/>
          <w:highlight w:val="none"/>
        </w:rPr>
      </w:pPr>
    </w:p>
    <w:p>
      <w:pPr>
        <w:jc w:val="right"/>
        <w:rPr>
          <w:rFonts w:ascii="宋体" w:hAnsi="宋体"/>
          <w:sz w:val="30"/>
          <w:szCs w:val="30"/>
          <w:highlight w:val="none"/>
        </w:rPr>
      </w:pPr>
    </w:p>
    <w:p>
      <w:pPr>
        <w:spacing w:line="440" w:lineRule="exact"/>
        <w:jc w:val="right"/>
        <w:rPr>
          <w:rFonts w:ascii="宋体" w:hAnsi="宋体"/>
          <w:sz w:val="30"/>
          <w:szCs w:val="30"/>
          <w:highlight w:val="none"/>
        </w:rPr>
      </w:pPr>
      <w:bookmarkStart w:id="1312" w:name="_Toc487202740"/>
      <w:bookmarkStart w:id="1313" w:name="_Toc487131606"/>
      <w:bookmarkStart w:id="1314" w:name="_Toc3184"/>
      <w:bookmarkStart w:id="1315" w:name="_Toc20938"/>
      <w:bookmarkStart w:id="1316" w:name="_Toc11901"/>
      <w:bookmarkStart w:id="1317" w:name="_Toc518383118"/>
      <w:bookmarkStart w:id="1318" w:name="_Toc487562887"/>
      <w:bookmarkStart w:id="1319" w:name="_Toc335397204"/>
      <w:bookmarkStart w:id="1320" w:name="_Toc230375682"/>
      <w:bookmarkStart w:id="1321" w:name="_Toc238918147"/>
      <w:bookmarkStart w:id="1322" w:name="_Toc357089603"/>
      <w:bookmarkStart w:id="1323" w:name="_Toc335607435"/>
      <w:bookmarkStart w:id="1324" w:name="_Toc469606212"/>
      <w:r>
        <w:rPr>
          <w:rFonts w:hint="eastAsia" w:ascii="宋体" w:hAnsi="宋体"/>
          <w:sz w:val="30"/>
          <w:szCs w:val="30"/>
          <w:highlight w:val="none"/>
        </w:rPr>
        <w:t>（正本/副本）</w:t>
      </w:r>
    </w:p>
    <w:p>
      <w:pPr>
        <w:spacing w:line="400" w:lineRule="exact"/>
        <w:rPr>
          <w:highlight w:val="none"/>
        </w:rPr>
      </w:pPr>
    </w:p>
    <w:p>
      <w:pPr>
        <w:spacing w:line="440" w:lineRule="exact"/>
        <w:rPr>
          <w:rFonts w:eastAsia="黑体"/>
          <w:sz w:val="20"/>
          <w:szCs w:val="20"/>
          <w:highlight w:val="none"/>
        </w:rPr>
      </w:pPr>
    </w:p>
    <w:p>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（项目名称）</w:t>
      </w:r>
      <w:r>
        <w:rPr>
          <w:rFonts w:hint="eastAsia" w:eastAsia="黑体"/>
          <w:sz w:val="28"/>
          <w:szCs w:val="28"/>
          <w:highlight w:val="none"/>
        </w:rPr>
        <w:t>设计施工总承包投</w:t>
      </w:r>
      <w:r>
        <w:rPr>
          <w:rFonts w:eastAsia="黑体"/>
          <w:sz w:val="28"/>
          <w:szCs w:val="28"/>
          <w:highlight w:val="none"/>
        </w:rPr>
        <w:t>标</w:t>
      </w:r>
    </w:p>
    <w:p>
      <w:pPr>
        <w:rPr>
          <w:rFonts w:eastAsia="黑体"/>
          <w:sz w:val="20"/>
          <w:szCs w:val="20"/>
          <w:highlight w:val="none"/>
        </w:rPr>
      </w:pPr>
    </w:p>
    <w:p>
      <w:pPr>
        <w:rPr>
          <w:rFonts w:eastAsia="黑体"/>
          <w:sz w:val="20"/>
          <w:szCs w:val="20"/>
          <w:highlight w:val="none"/>
        </w:rPr>
      </w:pPr>
    </w:p>
    <w:p>
      <w:pPr>
        <w:jc w:val="center"/>
        <w:rPr>
          <w:rFonts w:eastAsia="黑体"/>
          <w:sz w:val="44"/>
          <w:szCs w:val="44"/>
          <w:highlight w:val="none"/>
        </w:rPr>
      </w:pPr>
      <w:r>
        <w:rPr>
          <w:rFonts w:hint="eastAsia" w:eastAsia="黑体"/>
          <w:sz w:val="44"/>
          <w:szCs w:val="44"/>
          <w:highlight w:val="none"/>
        </w:rPr>
        <w:t>技术投标文件</w:t>
      </w:r>
    </w:p>
    <w:p>
      <w:pPr>
        <w:jc w:val="center"/>
        <w:rPr>
          <w:rFonts w:eastAsia="黑体"/>
          <w:sz w:val="44"/>
          <w:szCs w:val="44"/>
          <w:highlight w:val="none"/>
        </w:rPr>
      </w:pPr>
      <w:r>
        <w:rPr>
          <w:rFonts w:hint="eastAsia" w:eastAsia="黑体"/>
          <w:sz w:val="44"/>
          <w:szCs w:val="44"/>
          <w:highlight w:val="none"/>
        </w:rPr>
        <w:t xml:space="preserve"> </w:t>
      </w:r>
    </w:p>
    <w:p>
      <w:pPr>
        <w:jc w:val="center"/>
        <w:rPr>
          <w:rFonts w:eastAsia="黑体"/>
          <w:sz w:val="44"/>
          <w:szCs w:val="44"/>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tabs>
          <w:tab w:val="left" w:pos="7367"/>
          <w:tab w:val="left" w:pos="8234"/>
        </w:tabs>
        <w:kinsoku w:val="0"/>
        <w:overflowPunct w:val="0"/>
        <w:autoSpaceDE w:val="0"/>
        <w:autoSpaceDN w:val="0"/>
        <w:adjustRightInd w:val="0"/>
        <w:spacing w:line="408" w:lineRule="auto"/>
        <w:ind w:left="112" w:right="108" w:hanging="112"/>
        <w:rPr>
          <w:rFonts w:ascii="宋体" w:hAnsi="宋体"/>
          <w:sz w:val="28"/>
          <w:highlight w:val="none"/>
        </w:rPr>
      </w:pPr>
      <w:r>
        <w:rPr>
          <w:rFonts w:hint="eastAsia" w:ascii="宋体" w:hAnsi="宋体"/>
          <w:spacing w:val="-2"/>
          <w:sz w:val="28"/>
          <w:highlight w:val="none"/>
        </w:rPr>
        <w:t>投标人：</w:t>
      </w:r>
      <w:r>
        <w:rPr>
          <w:rFonts w:ascii="宋体" w:hAnsi="宋体"/>
          <w:spacing w:val="-2"/>
          <w:sz w:val="28"/>
          <w:highlight w:val="none"/>
          <w:u w:val="single"/>
        </w:rPr>
        <w:tab/>
      </w:r>
      <w:r>
        <w:rPr>
          <w:rFonts w:hint="eastAsia" w:ascii="宋体" w:hAnsi="宋体"/>
          <w:spacing w:val="-2"/>
          <w:sz w:val="28"/>
          <w:highlight w:val="none"/>
        </w:rPr>
        <w:t>（盖单位章）</w:t>
      </w:r>
      <w:r>
        <w:rPr>
          <w:rFonts w:hint="eastAsia" w:ascii="宋体" w:hAnsi="宋体"/>
          <w:sz w:val="28"/>
          <w:highlight w:val="none"/>
        </w:rPr>
        <w:t xml:space="preserve"> </w:t>
      </w:r>
    </w:p>
    <w:p>
      <w:pPr>
        <w:tabs>
          <w:tab w:val="left" w:pos="7367"/>
          <w:tab w:val="left" w:pos="8234"/>
        </w:tabs>
        <w:kinsoku w:val="0"/>
        <w:overflowPunct w:val="0"/>
        <w:autoSpaceDE w:val="0"/>
        <w:autoSpaceDN w:val="0"/>
        <w:adjustRightInd w:val="0"/>
        <w:spacing w:line="408" w:lineRule="auto"/>
        <w:ind w:left="112" w:right="108" w:hanging="142"/>
        <w:jc w:val="center"/>
        <w:rPr>
          <w:rFonts w:ascii="宋体" w:hAnsi="宋体"/>
          <w:sz w:val="28"/>
          <w:highlight w:val="none"/>
        </w:rPr>
      </w:pPr>
      <w:r>
        <w:rPr>
          <w:rFonts w:hint="eastAsia" w:ascii="宋体" w:hAnsi="宋体"/>
          <w:spacing w:val="-3"/>
          <w:sz w:val="28"/>
          <w:highlight w:val="none"/>
        </w:rPr>
        <w:t>法定代表人或其委托代理人：</w:t>
      </w:r>
      <w:r>
        <w:rPr>
          <w:rFonts w:ascii="宋体" w:hAnsi="宋体"/>
          <w:spacing w:val="-3"/>
          <w:sz w:val="28"/>
          <w:highlight w:val="none"/>
          <w:u w:val="single"/>
        </w:rPr>
        <w:tab/>
      </w:r>
      <w:r>
        <w:rPr>
          <w:rFonts w:hint="eastAsia" w:ascii="宋体" w:hAnsi="宋体"/>
          <w:sz w:val="28"/>
          <w:highlight w:val="none"/>
        </w:rPr>
        <w:t xml:space="preserve">（签字或盖章） </w:t>
      </w:r>
    </w:p>
    <w:p>
      <w:pPr>
        <w:kinsoku w:val="0"/>
        <w:overflowPunct w:val="0"/>
        <w:autoSpaceDE w:val="0"/>
        <w:autoSpaceDN w:val="0"/>
        <w:adjustRightInd w:val="0"/>
        <w:rPr>
          <w:rFonts w:ascii="黑体" w:hAnsi="黑体" w:eastAsia="黑体"/>
          <w:sz w:val="20"/>
          <w:highlight w:val="none"/>
        </w:rPr>
      </w:pPr>
    </w:p>
    <w:p>
      <w:pPr>
        <w:kinsoku w:val="0"/>
        <w:overflowPunct w:val="0"/>
        <w:autoSpaceDE w:val="0"/>
        <w:autoSpaceDN w:val="0"/>
        <w:adjustRightInd w:val="0"/>
        <w:rPr>
          <w:rFonts w:ascii="黑体" w:hAnsi="黑体" w:eastAsia="黑体"/>
          <w:sz w:val="20"/>
          <w:highlight w:val="none"/>
        </w:rPr>
      </w:pPr>
    </w:p>
    <w:p>
      <w:pPr>
        <w:kinsoku w:val="0"/>
        <w:overflowPunct w:val="0"/>
        <w:autoSpaceDE w:val="0"/>
        <w:autoSpaceDN w:val="0"/>
        <w:adjustRightInd w:val="0"/>
        <w:spacing w:before="6"/>
        <w:rPr>
          <w:rFonts w:ascii="黑体" w:hAnsi="黑体" w:eastAsia="黑体"/>
          <w:sz w:val="20"/>
          <w:highlight w:val="none"/>
        </w:rPr>
      </w:pPr>
    </w:p>
    <w:p>
      <w:pPr>
        <w:tabs>
          <w:tab w:val="left" w:pos="3599"/>
          <w:tab w:val="left" w:pos="4999"/>
          <w:tab w:val="left" w:pos="6539"/>
        </w:tabs>
        <w:kinsoku w:val="0"/>
        <w:overflowPunct w:val="0"/>
        <w:autoSpaceDE w:val="0"/>
        <w:autoSpaceDN w:val="0"/>
        <w:adjustRightInd w:val="0"/>
        <w:spacing w:before="14"/>
        <w:ind w:left="2478" w:right="153"/>
        <w:rPr>
          <w:rFonts w:ascii="黑体" w:hAnsi="黑体" w:eastAsia="黑体"/>
          <w:sz w:val="28"/>
          <w:highlight w:val="none"/>
        </w:rPr>
      </w:pPr>
      <w:r>
        <w:rPr>
          <w:rFonts w:eastAsia="Times New Roman"/>
          <w:sz w:val="28"/>
          <w:highlight w:val="none"/>
          <w:u w:val="single"/>
        </w:rPr>
        <w:t xml:space="preserve"> </w:t>
      </w:r>
      <w:r>
        <w:rPr>
          <w:rFonts w:eastAsia="Times New Roman"/>
          <w:sz w:val="28"/>
          <w:highlight w:val="none"/>
          <w:u w:val="single"/>
        </w:rPr>
        <w:tab/>
      </w:r>
      <w:r>
        <w:rPr>
          <w:rFonts w:hint="eastAsia" w:ascii="黑体" w:hAnsi="黑体" w:eastAsia="黑体"/>
          <w:spacing w:val="-1"/>
          <w:sz w:val="28"/>
          <w:highlight w:val="none"/>
        </w:rPr>
        <w:t>年</w:t>
      </w:r>
      <w:r>
        <w:rPr>
          <w:rFonts w:eastAsia="Times New Roman"/>
          <w:spacing w:val="-1"/>
          <w:sz w:val="28"/>
          <w:highlight w:val="none"/>
          <w:u w:val="single"/>
        </w:rPr>
        <w:tab/>
      </w:r>
      <w:r>
        <w:rPr>
          <w:rFonts w:hint="eastAsia" w:ascii="黑体" w:hAnsi="黑体" w:eastAsia="黑体"/>
          <w:spacing w:val="-1"/>
          <w:sz w:val="28"/>
          <w:highlight w:val="none"/>
        </w:rPr>
        <w:t>月</w:t>
      </w:r>
      <w:r>
        <w:rPr>
          <w:rFonts w:eastAsia="Times New Roman"/>
          <w:spacing w:val="-1"/>
          <w:sz w:val="28"/>
          <w:highlight w:val="none"/>
          <w:u w:val="single"/>
        </w:rPr>
        <w:tab/>
      </w:r>
      <w:r>
        <w:rPr>
          <w:rFonts w:hint="eastAsia" w:ascii="黑体" w:hAnsi="黑体" w:eastAsia="黑体"/>
          <w:sz w:val="28"/>
          <w:highlight w:val="none"/>
        </w:rPr>
        <w:t>日</w:t>
      </w:r>
    </w:p>
    <w:p>
      <w:pPr>
        <w:tabs>
          <w:tab w:val="left" w:pos="3599"/>
          <w:tab w:val="left" w:pos="4999"/>
          <w:tab w:val="left" w:pos="6539"/>
        </w:tabs>
        <w:kinsoku w:val="0"/>
        <w:overflowPunct w:val="0"/>
        <w:spacing w:before="14"/>
        <w:ind w:left="2478" w:right="153"/>
        <w:rPr>
          <w:rFonts w:ascii="黑体" w:hAnsi="黑体" w:eastAsia="黑体"/>
          <w:sz w:val="28"/>
          <w:highlight w:val="none"/>
        </w:rPr>
        <w:sectPr>
          <w:footerReference r:id="rId10" w:type="default"/>
          <w:pgSz w:w="11910" w:h="16840"/>
          <w:pgMar w:top="1580" w:right="1134" w:bottom="1160" w:left="1134" w:header="0" w:footer="978" w:gutter="0"/>
          <w:cols w:space="0" w:num="1"/>
        </w:sectPr>
      </w:pPr>
    </w:p>
    <w:p>
      <w:pPr>
        <w:tabs>
          <w:tab w:val="left" w:pos="3599"/>
          <w:tab w:val="left" w:pos="4999"/>
          <w:tab w:val="left" w:pos="6539"/>
        </w:tabs>
        <w:kinsoku w:val="0"/>
        <w:overflowPunct w:val="0"/>
        <w:autoSpaceDE w:val="0"/>
        <w:autoSpaceDN w:val="0"/>
        <w:adjustRightInd w:val="0"/>
        <w:spacing w:before="14"/>
        <w:ind w:left="2478" w:right="153"/>
        <w:rPr>
          <w:rFonts w:ascii="黑体" w:hAnsi="黑体" w:eastAsia="黑体"/>
          <w:sz w:val="28"/>
          <w:highlight w:val="none"/>
        </w:rPr>
      </w:pPr>
    </w:p>
    <w:p>
      <w:pPr>
        <w:ind w:left="720" w:hanging="720"/>
        <w:jc w:val="center"/>
        <w:rPr>
          <w:sz w:val="48"/>
          <w:highlight w:val="none"/>
        </w:rPr>
      </w:pPr>
      <w:r>
        <w:rPr>
          <w:rFonts w:hint="eastAsia"/>
          <w:sz w:val="48"/>
          <w:highlight w:val="none"/>
        </w:rPr>
        <w:t>目</w:t>
      </w:r>
      <w:r>
        <w:rPr>
          <w:sz w:val="48"/>
          <w:highlight w:val="none"/>
        </w:rPr>
        <w:t xml:space="preserve">  </w:t>
      </w:r>
      <w:r>
        <w:rPr>
          <w:rFonts w:hint="eastAsia"/>
          <w:sz w:val="48"/>
          <w:highlight w:val="none"/>
        </w:rPr>
        <w:t>录</w:t>
      </w:r>
      <w:bookmarkEnd w:id="1312"/>
      <w:bookmarkEnd w:id="1313"/>
      <w:bookmarkEnd w:id="1314"/>
      <w:bookmarkEnd w:id="1315"/>
      <w:bookmarkEnd w:id="1316"/>
      <w:bookmarkEnd w:id="1317"/>
      <w:bookmarkEnd w:id="1318"/>
    </w:p>
    <w:p>
      <w:pPr>
        <w:pStyle w:val="5"/>
        <w:rPr>
          <w:highlight w:val="none"/>
        </w:rPr>
      </w:pPr>
    </w:p>
    <w:p>
      <w:pPr>
        <w:pStyle w:val="5"/>
        <w:rPr>
          <w:highlight w:val="none"/>
        </w:rPr>
      </w:pPr>
    </w:p>
    <w:p>
      <w:pPr>
        <w:rPr>
          <w:rFonts w:ascii="宋体" w:hAnsi="宋体"/>
          <w:b/>
          <w:highlight w:val="none"/>
        </w:rPr>
      </w:pPr>
    </w:p>
    <w:p>
      <w:pPr>
        <w:spacing w:line="360" w:lineRule="auto"/>
        <w:ind w:firstLine="420" w:firstLineChars="200"/>
        <w:rPr>
          <w:rFonts w:ascii="宋体" w:hAnsi="宋体"/>
          <w:highlight w:val="none"/>
        </w:rPr>
      </w:pPr>
      <w:r>
        <w:rPr>
          <w:rFonts w:hint="eastAsia" w:ascii="宋体" w:hAnsi="宋体"/>
          <w:highlight w:val="none"/>
        </w:rPr>
        <w:t>一、施工组织设计</w:t>
      </w:r>
    </w:p>
    <w:p>
      <w:pPr>
        <w:spacing w:line="360" w:lineRule="auto"/>
        <w:ind w:firstLine="420" w:firstLineChars="200"/>
        <w:rPr>
          <w:rFonts w:ascii="宋体" w:hAnsi="宋体"/>
          <w:highlight w:val="none"/>
        </w:rPr>
      </w:pPr>
      <w:r>
        <w:rPr>
          <w:rFonts w:hint="eastAsia" w:ascii="宋体" w:hAnsi="宋体"/>
          <w:highlight w:val="none"/>
        </w:rPr>
        <w:t>二、设计部分资料</w:t>
      </w: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rPr>
          <w:highlight w:val="none"/>
        </w:rPr>
      </w:pPr>
      <w:bookmarkStart w:id="1325" w:name="_Toc24362"/>
      <w:bookmarkStart w:id="1326" w:name="_Toc518383119"/>
      <w:bookmarkStart w:id="1327" w:name="_Toc10654"/>
      <w:bookmarkStart w:id="1328" w:name="_Toc487562888"/>
      <w:bookmarkStart w:id="1329" w:name="_Toc25782"/>
    </w:p>
    <w:bookmarkEnd w:id="1319"/>
    <w:bookmarkEnd w:id="1320"/>
    <w:bookmarkEnd w:id="1321"/>
    <w:bookmarkEnd w:id="1322"/>
    <w:bookmarkEnd w:id="1323"/>
    <w:bookmarkEnd w:id="1324"/>
    <w:bookmarkEnd w:id="1325"/>
    <w:bookmarkEnd w:id="1326"/>
    <w:bookmarkEnd w:id="1327"/>
    <w:bookmarkEnd w:id="1328"/>
    <w:bookmarkEnd w:id="1329"/>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Arial" w:hAnsi="Arial" w:eastAsia="黑体"/>
          <w:b/>
          <w:bCs/>
          <w:sz w:val="32"/>
          <w:szCs w:val="32"/>
          <w:highlight w:val="none"/>
        </w:rPr>
      </w:pPr>
      <w:r>
        <w:rPr>
          <w:rFonts w:hint="eastAsia" w:ascii="Arial" w:hAnsi="Arial" w:eastAsia="黑体"/>
          <w:b/>
          <w:bCs/>
          <w:sz w:val="32"/>
          <w:szCs w:val="32"/>
          <w:highlight w:val="none"/>
        </w:rPr>
        <w:t>一、施工组织设计</w:t>
      </w:r>
    </w:p>
    <w:p>
      <w:pPr>
        <w:rPr>
          <w:rFonts w:ascii="宋体" w:hAnsi="宋体" w:cs="宋体"/>
          <w:szCs w:val="21"/>
          <w:highlight w:val="none"/>
        </w:rPr>
      </w:pPr>
      <w:r>
        <w:rPr>
          <w:rFonts w:hint="eastAsia" w:ascii="宋体" w:hAnsi="宋体" w:cs="宋体"/>
          <w:szCs w:val="21"/>
          <w:highlight w:val="none"/>
        </w:rPr>
        <w:t>（由投标人自行编制）</w:t>
      </w:r>
    </w:p>
    <w:p>
      <w:pPr>
        <w:rPr>
          <w:rFonts w:ascii="Arial" w:hAnsi="Arial" w:eastAsia="黑体"/>
          <w:b/>
          <w:bCs/>
          <w:sz w:val="32"/>
          <w:szCs w:val="32"/>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Arial" w:hAnsi="Arial" w:eastAsia="黑体"/>
          <w:b/>
          <w:bCs/>
          <w:sz w:val="32"/>
          <w:szCs w:val="32"/>
          <w:highlight w:val="none"/>
        </w:rPr>
      </w:pPr>
      <w:r>
        <w:rPr>
          <w:rFonts w:hint="eastAsia" w:ascii="Arial" w:hAnsi="Arial" w:eastAsia="黑体"/>
          <w:b/>
          <w:bCs/>
          <w:sz w:val="32"/>
          <w:szCs w:val="32"/>
          <w:highlight w:val="none"/>
        </w:rPr>
        <w:t>二、设计部分资料</w:t>
      </w:r>
    </w:p>
    <w:p>
      <w:pPr>
        <w:rPr>
          <w:rFonts w:ascii="宋体" w:hAnsi="宋体" w:cs="宋体"/>
          <w:szCs w:val="21"/>
          <w:highlight w:val="none"/>
        </w:rPr>
      </w:pPr>
      <w:r>
        <w:rPr>
          <w:rFonts w:hint="eastAsia" w:ascii="宋体" w:hAnsi="宋体" w:cs="宋体"/>
          <w:szCs w:val="21"/>
          <w:highlight w:val="none"/>
        </w:rPr>
        <w:t>（由投标人自行编制）</w:t>
      </w: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autoSpaceDE w:val="0"/>
        <w:autoSpaceDN w:val="0"/>
        <w:adjustRightInd w:val="0"/>
        <w:spacing w:line="360" w:lineRule="auto"/>
        <w:jc w:val="left"/>
        <w:rPr>
          <w:rFonts w:ascii="宋体" w:hAnsi="宋体" w:cs="宋体"/>
          <w:szCs w:val="21"/>
          <w:highlight w:val="none"/>
        </w:rPr>
      </w:pPr>
    </w:p>
    <w:p>
      <w:pPr>
        <w:rPr>
          <w:highlight w:val="none"/>
        </w:rPr>
      </w:pPr>
    </w:p>
    <w:sectPr>
      <w:footerReference r:id="rId11" w:type="default"/>
      <w:pgSz w:w="11906" w:h="16838"/>
      <w:pgMar w:top="1440" w:right="1134" w:bottom="144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w:panose1 w:val="020B0504020202030204"/>
    <w:charset w:val="00"/>
    <w:family w:val="swiss"/>
    <w:pitch w:val="default"/>
    <w:sig w:usb0="00000007" w:usb1="00000000" w:usb2="00000000" w:usb3="00000000" w:csb0="00000093"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819"/>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819"/>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819"/>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819"/>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92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autoSpaceDE w:val="0"/>
      <w:autoSpaceDN w:val="0"/>
      <w:adjustRightInd w:val="0"/>
      <w:spacing w:line="14" w:lineRule="auto"/>
      <w:rPr>
        <w:rFonts w:ascii="宋体" w:hAnsi="宋体"/>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95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autoSpaceDE w:val="0"/>
      <w:autoSpaceDN w:val="0"/>
      <w:adjustRightInd w:val="0"/>
      <w:spacing w:line="14" w:lineRule="auto"/>
      <w:rPr>
        <w:rFonts w:ascii="宋体" w:hAnsi="宋体"/>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113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113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119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1C186"/>
    <w:multiLevelType w:val="singleLevel"/>
    <w:tmpl w:val="99C1C186"/>
    <w:lvl w:ilvl="0" w:tentative="0">
      <w:start w:val="1"/>
      <w:numFmt w:val="decimal"/>
      <w:suff w:val="nothing"/>
      <w:lvlText w:val="（%1）"/>
      <w:lvlJc w:val="left"/>
      <w:pPr>
        <w:ind w:left="120"/>
      </w:pPr>
    </w:lvl>
  </w:abstractNum>
  <w:abstractNum w:abstractNumId="1">
    <w:nsid w:val="9BCBD46F"/>
    <w:multiLevelType w:val="multilevel"/>
    <w:tmpl w:val="9BCBD46F"/>
    <w:lvl w:ilvl="0" w:tentative="0">
      <w:start w:val="1"/>
      <w:numFmt w:val="decimal"/>
      <w:suff w:val="space"/>
      <w:lvlText w:val="（%1）"/>
      <w:lvlJc w:val="left"/>
      <w:pPr>
        <w:ind w:left="412" w:hanging="531"/>
      </w:pPr>
      <w:rPr>
        <w:rFonts w:hint="default" w:ascii="宋体" w:hAnsi="宋体" w:eastAsia="宋体" w:cs="宋体"/>
        <w:spacing w:val="2"/>
        <w:w w:val="99"/>
        <w:sz w:val="19"/>
        <w:szCs w:val="19"/>
      </w:rPr>
    </w:lvl>
    <w:lvl w:ilvl="1" w:tentative="0">
      <w:start w:val="0"/>
      <w:numFmt w:val="bullet"/>
      <w:lvlText w:val="•"/>
      <w:lvlJc w:val="left"/>
      <w:pPr>
        <w:ind w:left="1418" w:hanging="531"/>
      </w:pPr>
      <w:rPr>
        <w:rFonts w:hint="default"/>
      </w:rPr>
    </w:lvl>
    <w:lvl w:ilvl="2" w:tentative="0">
      <w:start w:val="0"/>
      <w:numFmt w:val="bullet"/>
      <w:lvlText w:val="•"/>
      <w:lvlJc w:val="left"/>
      <w:pPr>
        <w:ind w:left="2417" w:hanging="531"/>
      </w:pPr>
      <w:rPr>
        <w:rFonts w:hint="default"/>
      </w:rPr>
    </w:lvl>
    <w:lvl w:ilvl="3" w:tentative="0">
      <w:start w:val="0"/>
      <w:numFmt w:val="bullet"/>
      <w:lvlText w:val="•"/>
      <w:lvlJc w:val="left"/>
      <w:pPr>
        <w:ind w:left="3415" w:hanging="531"/>
      </w:pPr>
      <w:rPr>
        <w:rFonts w:hint="default"/>
      </w:rPr>
    </w:lvl>
    <w:lvl w:ilvl="4" w:tentative="0">
      <w:start w:val="0"/>
      <w:numFmt w:val="bullet"/>
      <w:lvlText w:val="•"/>
      <w:lvlJc w:val="left"/>
      <w:pPr>
        <w:ind w:left="4414" w:hanging="531"/>
      </w:pPr>
      <w:rPr>
        <w:rFonts w:hint="default"/>
      </w:rPr>
    </w:lvl>
    <w:lvl w:ilvl="5" w:tentative="0">
      <w:start w:val="0"/>
      <w:numFmt w:val="bullet"/>
      <w:lvlText w:val="•"/>
      <w:lvlJc w:val="left"/>
      <w:pPr>
        <w:ind w:left="5413" w:hanging="531"/>
      </w:pPr>
      <w:rPr>
        <w:rFonts w:hint="default"/>
      </w:rPr>
    </w:lvl>
    <w:lvl w:ilvl="6" w:tentative="0">
      <w:start w:val="0"/>
      <w:numFmt w:val="bullet"/>
      <w:lvlText w:val="•"/>
      <w:lvlJc w:val="left"/>
      <w:pPr>
        <w:ind w:left="6411" w:hanging="531"/>
      </w:pPr>
      <w:rPr>
        <w:rFonts w:hint="default"/>
      </w:rPr>
    </w:lvl>
    <w:lvl w:ilvl="7" w:tentative="0">
      <w:start w:val="0"/>
      <w:numFmt w:val="bullet"/>
      <w:lvlText w:val="•"/>
      <w:lvlJc w:val="left"/>
      <w:pPr>
        <w:ind w:left="7410" w:hanging="531"/>
      </w:pPr>
      <w:rPr>
        <w:rFonts w:hint="default"/>
      </w:rPr>
    </w:lvl>
    <w:lvl w:ilvl="8" w:tentative="0">
      <w:start w:val="0"/>
      <w:numFmt w:val="bullet"/>
      <w:lvlText w:val="•"/>
      <w:lvlJc w:val="left"/>
      <w:pPr>
        <w:ind w:left="8408" w:hanging="531"/>
      </w:pPr>
      <w:rPr>
        <w:rFonts w:hint="default"/>
      </w:rPr>
    </w:lvl>
  </w:abstractNum>
  <w:abstractNum w:abstractNumId="2">
    <w:nsid w:val="AE622E2F"/>
    <w:multiLevelType w:val="singleLevel"/>
    <w:tmpl w:val="AE622E2F"/>
    <w:lvl w:ilvl="0" w:tentative="0">
      <w:start w:val="6"/>
      <w:numFmt w:val="decimal"/>
      <w:suff w:val="space"/>
      <w:lvlText w:val="%1．"/>
      <w:lvlJc w:val="left"/>
    </w:lvl>
  </w:abstractNum>
  <w:abstractNum w:abstractNumId="3">
    <w:nsid w:val="B0AB44E0"/>
    <w:multiLevelType w:val="singleLevel"/>
    <w:tmpl w:val="B0AB44E0"/>
    <w:lvl w:ilvl="0" w:tentative="0">
      <w:start w:val="1"/>
      <w:numFmt w:val="decimal"/>
      <w:suff w:val="space"/>
      <w:lvlText w:val="(%1)"/>
      <w:lvlJc w:val="left"/>
    </w:lvl>
  </w:abstractNum>
  <w:abstractNum w:abstractNumId="4">
    <w:nsid w:val="B45A8709"/>
    <w:multiLevelType w:val="multilevel"/>
    <w:tmpl w:val="B45A8709"/>
    <w:lvl w:ilvl="0" w:tentative="0">
      <w:start w:val="1"/>
      <w:numFmt w:val="decimal"/>
      <w:suff w:val="space"/>
      <w:lvlText w:val="（%1）"/>
      <w:lvlJc w:val="left"/>
      <w:pPr>
        <w:ind w:left="204" w:hanging="632"/>
      </w:pPr>
      <w:rPr>
        <w:rFonts w:hint="default" w:ascii="宋体" w:hAnsi="宋体" w:eastAsia="宋体" w:cs="宋体"/>
        <w:spacing w:val="0"/>
        <w:w w:val="99"/>
        <w:sz w:val="21"/>
        <w:szCs w:val="21"/>
      </w:rPr>
    </w:lvl>
    <w:lvl w:ilvl="1" w:tentative="0">
      <w:start w:val="0"/>
      <w:numFmt w:val="bullet"/>
      <w:lvlText w:val="•"/>
      <w:lvlJc w:val="left"/>
      <w:pPr>
        <w:tabs>
          <w:tab w:val="left" w:pos="-1260"/>
        </w:tabs>
        <w:ind w:left="1094" w:hanging="632"/>
      </w:pPr>
      <w:rPr>
        <w:rFonts w:hint="default"/>
      </w:rPr>
    </w:lvl>
    <w:lvl w:ilvl="2" w:tentative="0">
      <w:start w:val="0"/>
      <w:numFmt w:val="bullet"/>
      <w:lvlText w:val="•"/>
      <w:lvlJc w:val="left"/>
      <w:pPr>
        <w:tabs>
          <w:tab w:val="left" w:pos="-1260"/>
        </w:tabs>
        <w:ind w:left="1989" w:hanging="632"/>
      </w:pPr>
      <w:rPr>
        <w:rFonts w:hint="default"/>
      </w:rPr>
    </w:lvl>
    <w:lvl w:ilvl="3" w:tentative="0">
      <w:start w:val="0"/>
      <w:numFmt w:val="bullet"/>
      <w:lvlText w:val="•"/>
      <w:lvlJc w:val="left"/>
      <w:pPr>
        <w:tabs>
          <w:tab w:val="left" w:pos="-1260"/>
        </w:tabs>
        <w:ind w:left="2883" w:hanging="632"/>
      </w:pPr>
      <w:rPr>
        <w:rFonts w:hint="default"/>
      </w:rPr>
    </w:lvl>
    <w:lvl w:ilvl="4" w:tentative="0">
      <w:start w:val="0"/>
      <w:numFmt w:val="bullet"/>
      <w:lvlText w:val="•"/>
      <w:lvlJc w:val="left"/>
      <w:pPr>
        <w:tabs>
          <w:tab w:val="left" w:pos="-1260"/>
        </w:tabs>
        <w:ind w:left="3778" w:hanging="632"/>
      </w:pPr>
      <w:rPr>
        <w:rFonts w:hint="default"/>
      </w:rPr>
    </w:lvl>
    <w:lvl w:ilvl="5" w:tentative="0">
      <w:start w:val="0"/>
      <w:numFmt w:val="bullet"/>
      <w:lvlText w:val="•"/>
      <w:lvlJc w:val="left"/>
      <w:pPr>
        <w:tabs>
          <w:tab w:val="left" w:pos="-1260"/>
        </w:tabs>
        <w:ind w:left="4673" w:hanging="632"/>
      </w:pPr>
      <w:rPr>
        <w:rFonts w:hint="default"/>
      </w:rPr>
    </w:lvl>
    <w:lvl w:ilvl="6" w:tentative="0">
      <w:start w:val="0"/>
      <w:numFmt w:val="bullet"/>
      <w:lvlText w:val="•"/>
      <w:lvlJc w:val="left"/>
      <w:pPr>
        <w:tabs>
          <w:tab w:val="left" w:pos="-1260"/>
        </w:tabs>
        <w:ind w:left="5567" w:hanging="632"/>
      </w:pPr>
      <w:rPr>
        <w:rFonts w:hint="default"/>
      </w:rPr>
    </w:lvl>
    <w:lvl w:ilvl="7" w:tentative="0">
      <w:start w:val="0"/>
      <w:numFmt w:val="bullet"/>
      <w:lvlText w:val="•"/>
      <w:lvlJc w:val="left"/>
      <w:pPr>
        <w:tabs>
          <w:tab w:val="left" w:pos="-1260"/>
        </w:tabs>
        <w:ind w:left="6462" w:hanging="632"/>
      </w:pPr>
      <w:rPr>
        <w:rFonts w:hint="default"/>
      </w:rPr>
    </w:lvl>
    <w:lvl w:ilvl="8" w:tentative="0">
      <w:start w:val="0"/>
      <w:numFmt w:val="bullet"/>
      <w:lvlText w:val="•"/>
      <w:lvlJc w:val="left"/>
      <w:pPr>
        <w:tabs>
          <w:tab w:val="left" w:pos="-1260"/>
        </w:tabs>
        <w:ind w:left="7356" w:hanging="632"/>
      </w:pPr>
      <w:rPr>
        <w:rFonts w:hint="default"/>
      </w:rPr>
    </w:lvl>
  </w:abstractNum>
  <w:abstractNum w:abstractNumId="5">
    <w:nsid w:val="C0D723C3"/>
    <w:multiLevelType w:val="singleLevel"/>
    <w:tmpl w:val="C0D723C3"/>
    <w:lvl w:ilvl="0" w:tentative="0">
      <w:start w:val="5"/>
      <w:numFmt w:val="chineseCounting"/>
      <w:suff w:val="space"/>
      <w:lvlText w:val="第%1章"/>
      <w:lvlJc w:val="left"/>
      <w:rPr>
        <w:rFonts w:hint="eastAsia"/>
      </w:rPr>
    </w:lvl>
  </w:abstractNum>
  <w:abstractNum w:abstractNumId="6">
    <w:nsid w:val="C4B9A3DF"/>
    <w:multiLevelType w:val="singleLevel"/>
    <w:tmpl w:val="C4B9A3DF"/>
    <w:lvl w:ilvl="0" w:tentative="0">
      <w:start w:val="1"/>
      <w:numFmt w:val="decimal"/>
      <w:suff w:val="nothing"/>
      <w:lvlText w:val="（%1）"/>
      <w:lvlJc w:val="left"/>
    </w:lvl>
  </w:abstractNum>
  <w:abstractNum w:abstractNumId="7">
    <w:nsid w:val="CD893C11"/>
    <w:multiLevelType w:val="multilevel"/>
    <w:tmpl w:val="CD893C1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E4388C93"/>
    <w:multiLevelType w:val="multilevel"/>
    <w:tmpl w:val="E4388C93"/>
    <w:lvl w:ilvl="0" w:tentative="0">
      <w:start w:val="1"/>
      <w:numFmt w:val="decimal"/>
      <w:lvlText w:val="%1."/>
      <w:lvlJc w:val="left"/>
      <w:pPr>
        <w:ind w:left="455" w:firstLine="356"/>
      </w:pPr>
      <w:rPr>
        <w:rFonts w:hint="default" w:ascii="宋体" w:hAnsi="宋体" w:eastAsia="宋体" w:cs="宋体"/>
        <w:spacing w:val="0"/>
        <w:w w:val="99"/>
        <w:sz w:val="21"/>
        <w:szCs w:val="21"/>
      </w:rPr>
    </w:lvl>
    <w:lvl w:ilvl="1" w:tentative="0">
      <w:start w:val="0"/>
      <w:numFmt w:val="bullet"/>
      <w:lvlText w:val="•"/>
      <w:lvlJc w:val="left"/>
      <w:pPr>
        <w:ind w:left="1418" w:hanging="317"/>
      </w:pPr>
      <w:rPr>
        <w:rFonts w:hint="default"/>
      </w:rPr>
    </w:lvl>
    <w:lvl w:ilvl="2" w:tentative="0">
      <w:start w:val="0"/>
      <w:numFmt w:val="bullet"/>
      <w:lvlText w:val="•"/>
      <w:lvlJc w:val="left"/>
      <w:pPr>
        <w:ind w:left="2417" w:hanging="317"/>
      </w:pPr>
      <w:rPr>
        <w:rFonts w:hint="default"/>
      </w:rPr>
    </w:lvl>
    <w:lvl w:ilvl="3" w:tentative="0">
      <w:start w:val="0"/>
      <w:numFmt w:val="bullet"/>
      <w:lvlText w:val="•"/>
      <w:lvlJc w:val="left"/>
      <w:pPr>
        <w:ind w:left="3415" w:hanging="317"/>
      </w:pPr>
      <w:rPr>
        <w:rFonts w:hint="default"/>
      </w:rPr>
    </w:lvl>
    <w:lvl w:ilvl="4" w:tentative="0">
      <w:start w:val="0"/>
      <w:numFmt w:val="bullet"/>
      <w:lvlText w:val="•"/>
      <w:lvlJc w:val="left"/>
      <w:pPr>
        <w:ind w:left="4414" w:hanging="317"/>
      </w:pPr>
      <w:rPr>
        <w:rFonts w:hint="default"/>
      </w:rPr>
    </w:lvl>
    <w:lvl w:ilvl="5" w:tentative="0">
      <w:start w:val="0"/>
      <w:numFmt w:val="bullet"/>
      <w:lvlText w:val="•"/>
      <w:lvlJc w:val="left"/>
      <w:pPr>
        <w:ind w:left="5413" w:hanging="317"/>
      </w:pPr>
      <w:rPr>
        <w:rFonts w:hint="default"/>
      </w:rPr>
    </w:lvl>
    <w:lvl w:ilvl="6" w:tentative="0">
      <w:start w:val="0"/>
      <w:numFmt w:val="bullet"/>
      <w:lvlText w:val="•"/>
      <w:lvlJc w:val="left"/>
      <w:pPr>
        <w:ind w:left="6411" w:hanging="317"/>
      </w:pPr>
      <w:rPr>
        <w:rFonts w:hint="default"/>
      </w:rPr>
    </w:lvl>
    <w:lvl w:ilvl="7" w:tentative="0">
      <w:start w:val="0"/>
      <w:numFmt w:val="bullet"/>
      <w:lvlText w:val="•"/>
      <w:lvlJc w:val="left"/>
      <w:pPr>
        <w:ind w:left="7410" w:hanging="317"/>
      </w:pPr>
      <w:rPr>
        <w:rFonts w:hint="default"/>
      </w:rPr>
    </w:lvl>
    <w:lvl w:ilvl="8" w:tentative="0">
      <w:start w:val="0"/>
      <w:numFmt w:val="bullet"/>
      <w:lvlText w:val="•"/>
      <w:lvlJc w:val="left"/>
      <w:pPr>
        <w:ind w:left="8408" w:hanging="317"/>
      </w:pPr>
      <w:rPr>
        <w:rFonts w:hint="default"/>
      </w:rPr>
    </w:lvl>
  </w:abstractNum>
  <w:abstractNum w:abstractNumId="9">
    <w:nsid w:val="1679A74C"/>
    <w:multiLevelType w:val="singleLevel"/>
    <w:tmpl w:val="1679A74C"/>
    <w:lvl w:ilvl="0" w:tentative="0">
      <w:start w:val="1"/>
      <w:numFmt w:val="decimal"/>
      <w:suff w:val="nothing"/>
      <w:lvlText w:val="%1．"/>
      <w:lvlJc w:val="left"/>
      <w:pPr>
        <w:ind w:left="0" w:firstLine="400"/>
      </w:pPr>
      <w:rPr>
        <w:rFonts w:hint="default"/>
      </w:rPr>
    </w:lvl>
  </w:abstractNum>
  <w:abstractNum w:abstractNumId="10">
    <w:nsid w:val="25CD2BB9"/>
    <w:multiLevelType w:val="multilevel"/>
    <w:tmpl w:val="25CD2BB9"/>
    <w:lvl w:ilvl="0" w:tentative="0">
      <w:start w:val="1"/>
      <w:numFmt w:val="decimal"/>
      <w:lvlText w:val="%1."/>
      <w:lvlJc w:val="left"/>
      <w:pPr>
        <w:tabs>
          <w:tab w:val="left" w:pos="-420"/>
        </w:tabs>
        <w:ind w:left="624" w:firstLine="13"/>
      </w:pPr>
      <w:rPr>
        <w:rFonts w:hint="default" w:ascii="宋体" w:hAnsi="宋体" w:eastAsia="宋体" w:cs="宋体"/>
        <w:spacing w:val="1"/>
        <w:w w:val="99"/>
        <w:sz w:val="19"/>
        <w:szCs w:val="19"/>
      </w:rPr>
    </w:lvl>
    <w:lvl w:ilvl="1" w:tentative="0">
      <w:start w:val="1"/>
      <w:numFmt w:val="decimal"/>
      <w:lvlText w:val="%1.%2"/>
      <w:lvlJc w:val="left"/>
      <w:pPr>
        <w:tabs>
          <w:tab w:val="left" w:pos="-420"/>
        </w:tabs>
        <w:ind w:left="1012" w:hanging="420"/>
      </w:pPr>
      <w:rPr>
        <w:rFonts w:hint="default" w:ascii="宋体" w:hAnsi="宋体" w:eastAsia="宋体" w:cs="宋体"/>
        <w:spacing w:val="0"/>
        <w:w w:val="99"/>
        <w:sz w:val="21"/>
        <w:szCs w:val="21"/>
      </w:rPr>
    </w:lvl>
    <w:lvl w:ilvl="2" w:tentative="0">
      <w:start w:val="1"/>
      <w:numFmt w:val="decimal"/>
      <w:lvlText w:val="%1.%2.%3"/>
      <w:lvlJc w:val="left"/>
      <w:pPr>
        <w:tabs>
          <w:tab w:val="left" w:pos="-420"/>
        </w:tabs>
        <w:ind w:left="1224" w:hanging="632"/>
      </w:pPr>
      <w:rPr>
        <w:rFonts w:hint="default" w:ascii="宋体" w:hAnsi="宋体" w:eastAsia="宋体" w:cs="宋体"/>
        <w:spacing w:val="-2"/>
        <w:w w:val="99"/>
        <w:sz w:val="21"/>
        <w:szCs w:val="21"/>
      </w:rPr>
    </w:lvl>
    <w:lvl w:ilvl="3" w:tentative="0">
      <w:start w:val="0"/>
      <w:numFmt w:val="bullet"/>
      <w:lvlText w:val="•"/>
      <w:lvlJc w:val="left"/>
      <w:pPr>
        <w:tabs>
          <w:tab w:val="left" w:pos="-420"/>
        </w:tabs>
        <w:ind w:left="1220" w:hanging="632"/>
      </w:pPr>
      <w:rPr>
        <w:rFonts w:hint="default"/>
      </w:rPr>
    </w:lvl>
    <w:lvl w:ilvl="4" w:tentative="0">
      <w:start w:val="0"/>
      <w:numFmt w:val="bullet"/>
      <w:lvlText w:val="•"/>
      <w:lvlJc w:val="left"/>
      <w:pPr>
        <w:tabs>
          <w:tab w:val="left" w:pos="-420"/>
        </w:tabs>
        <w:ind w:left="2472" w:hanging="632"/>
      </w:pPr>
      <w:rPr>
        <w:rFonts w:hint="default"/>
      </w:rPr>
    </w:lvl>
    <w:lvl w:ilvl="5" w:tentative="0">
      <w:start w:val="0"/>
      <w:numFmt w:val="bullet"/>
      <w:lvlText w:val="•"/>
      <w:lvlJc w:val="left"/>
      <w:pPr>
        <w:tabs>
          <w:tab w:val="left" w:pos="-420"/>
        </w:tabs>
        <w:ind w:left="3724" w:hanging="632"/>
      </w:pPr>
      <w:rPr>
        <w:rFonts w:hint="default"/>
      </w:rPr>
    </w:lvl>
    <w:lvl w:ilvl="6" w:tentative="0">
      <w:start w:val="0"/>
      <w:numFmt w:val="bullet"/>
      <w:lvlText w:val="•"/>
      <w:lvlJc w:val="left"/>
      <w:pPr>
        <w:tabs>
          <w:tab w:val="left" w:pos="-420"/>
        </w:tabs>
        <w:ind w:left="4976" w:hanging="632"/>
      </w:pPr>
      <w:rPr>
        <w:rFonts w:hint="default"/>
      </w:rPr>
    </w:lvl>
    <w:lvl w:ilvl="7" w:tentative="0">
      <w:start w:val="0"/>
      <w:numFmt w:val="bullet"/>
      <w:lvlText w:val="•"/>
      <w:lvlJc w:val="left"/>
      <w:pPr>
        <w:tabs>
          <w:tab w:val="left" w:pos="-420"/>
        </w:tabs>
        <w:ind w:left="6229" w:hanging="632"/>
      </w:pPr>
      <w:rPr>
        <w:rFonts w:hint="default"/>
      </w:rPr>
    </w:lvl>
    <w:lvl w:ilvl="8" w:tentative="0">
      <w:start w:val="0"/>
      <w:numFmt w:val="bullet"/>
      <w:lvlText w:val="•"/>
      <w:lvlJc w:val="left"/>
      <w:pPr>
        <w:tabs>
          <w:tab w:val="left" w:pos="-420"/>
        </w:tabs>
        <w:ind w:left="7481" w:hanging="632"/>
      </w:pPr>
      <w:rPr>
        <w:rFonts w:hint="default"/>
      </w:rPr>
    </w:lvl>
  </w:abstractNum>
  <w:abstractNum w:abstractNumId="11">
    <w:nsid w:val="3DA8F81E"/>
    <w:multiLevelType w:val="singleLevel"/>
    <w:tmpl w:val="3DA8F81E"/>
    <w:lvl w:ilvl="0" w:tentative="0">
      <w:start w:val="2"/>
      <w:numFmt w:val="decimal"/>
      <w:lvlText w:val="%1."/>
      <w:lvlJc w:val="left"/>
      <w:pPr>
        <w:tabs>
          <w:tab w:val="left" w:pos="312"/>
        </w:tabs>
      </w:pPr>
    </w:lvl>
  </w:abstractNum>
  <w:abstractNum w:abstractNumId="12">
    <w:nsid w:val="4083313F"/>
    <w:multiLevelType w:val="singleLevel"/>
    <w:tmpl w:val="4083313F"/>
    <w:lvl w:ilvl="0" w:tentative="0">
      <w:start w:val="1"/>
      <w:numFmt w:val="decimal"/>
      <w:lvlText w:val="%1."/>
      <w:lvlJc w:val="left"/>
      <w:pPr>
        <w:tabs>
          <w:tab w:val="left" w:pos="312"/>
        </w:tabs>
      </w:pPr>
    </w:lvl>
  </w:abstractNum>
  <w:abstractNum w:abstractNumId="13">
    <w:nsid w:val="4586ED52"/>
    <w:multiLevelType w:val="singleLevel"/>
    <w:tmpl w:val="4586ED52"/>
    <w:lvl w:ilvl="0" w:tentative="0">
      <w:start w:val="1"/>
      <w:numFmt w:val="decimal"/>
      <w:lvlText w:val="(%1)"/>
      <w:lvlJc w:val="left"/>
      <w:pPr>
        <w:ind w:left="425" w:hanging="425"/>
      </w:pPr>
      <w:rPr>
        <w:rFonts w:hint="default"/>
      </w:rPr>
    </w:lvl>
  </w:abstractNum>
  <w:abstractNum w:abstractNumId="14">
    <w:nsid w:val="52A871E6"/>
    <w:multiLevelType w:val="singleLevel"/>
    <w:tmpl w:val="52A871E6"/>
    <w:lvl w:ilvl="0" w:tentative="0">
      <w:start w:val="9"/>
      <w:numFmt w:val="chineseCounting"/>
      <w:suff w:val="nothing"/>
      <w:lvlText w:val="%1、"/>
      <w:lvlJc w:val="left"/>
      <w:rPr>
        <w:rFonts w:hint="eastAsia"/>
      </w:rPr>
    </w:lvl>
  </w:abstractNum>
  <w:abstractNum w:abstractNumId="15">
    <w:nsid w:val="5E29AB5A"/>
    <w:multiLevelType w:val="multilevel"/>
    <w:tmpl w:val="5E29AB5A"/>
    <w:lvl w:ilvl="0" w:tentative="0">
      <w:start w:val="1"/>
      <w:numFmt w:val="decimal"/>
      <w:lvlText w:val="%1."/>
      <w:lvlJc w:val="left"/>
      <w:pPr>
        <w:ind w:left="412" w:hanging="317"/>
      </w:pPr>
      <w:rPr>
        <w:rFonts w:hint="default" w:ascii="宋体" w:hAnsi="宋体" w:eastAsia="宋体" w:cs="宋体"/>
        <w:spacing w:val="0"/>
        <w:w w:val="99"/>
        <w:sz w:val="21"/>
        <w:szCs w:val="21"/>
      </w:rPr>
    </w:lvl>
    <w:lvl w:ilvl="1" w:tentative="0">
      <w:start w:val="1"/>
      <w:numFmt w:val="decimal"/>
      <w:lvlText w:val="%1.%2"/>
      <w:lvlJc w:val="left"/>
      <w:pPr>
        <w:ind w:left="412" w:hanging="370"/>
      </w:pPr>
      <w:rPr>
        <w:rFonts w:hint="default" w:ascii="宋体" w:hAnsi="宋体" w:eastAsia="宋体" w:cs="宋体"/>
        <w:spacing w:val="0"/>
        <w:w w:val="99"/>
        <w:sz w:val="21"/>
        <w:szCs w:val="21"/>
      </w:rPr>
    </w:lvl>
    <w:lvl w:ilvl="2" w:tentative="0">
      <w:start w:val="0"/>
      <w:numFmt w:val="bullet"/>
      <w:lvlText w:val="•"/>
      <w:lvlJc w:val="left"/>
      <w:pPr>
        <w:ind w:left="2417" w:hanging="370"/>
      </w:pPr>
      <w:rPr>
        <w:rFonts w:hint="default"/>
      </w:rPr>
    </w:lvl>
    <w:lvl w:ilvl="3" w:tentative="0">
      <w:start w:val="0"/>
      <w:numFmt w:val="bullet"/>
      <w:lvlText w:val="•"/>
      <w:lvlJc w:val="left"/>
      <w:pPr>
        <w:ind w:left="3415" w:hanging="370"/>
      </w:pPr>
      <w:rPr>
        <w:rFonts w:hint="default"/>
      </w:rPr>
    </w:lvl>
    <w:lvl w:ilvl="4" w:tentative="0">
      <w:start w:val="0"/>
      <w:numFmt w:val="bullet"/>
      <w:lvlText w:val="•"/>
      <w:lvlJc w:val="left"/>
      <w:pPr>
        <w:ind w:left="4414" w:hanging="370"/>
      </w:pPr>
      <w:rPr>
        <w:rFonts w:hint="default"/>
      </w:rPr>
    </w:lvl>
    <w:lvl w:ilvl="5" w:tentative="0">
      <w:start w:val="0"/>
      <w:numFmt w:val="bullet"/>
      <w:lvlText w:val="•"/>
      <w:lvlJc w:val="left"/>
      <w:pPr>
        <w:ind w:left="5413" w:hanging="370"/>
      </w:pPr>
      <w:rPr>
        <w:rFonts w:hint="default"/>
      </w:rPr>
    </w:lvl>
    <w:lvl w:ilvl="6" w:tentative="0">
      <w:start w:val="0"/>
      <w:numFmt w:val="bullet"/>
      <w:lvlText w:val="•"/>
      <w:lvlJc w:val="left"/>
      <w:pPr>
        <w:ind w:left="6411" w:hanging="370"/>
      </w:pPr>
      <w:rPr>
        <w:rFonts w:hint="default"/>
      </w:rPr>
    </w:lvl>
    <w:lvl w:ilvl="7" w:tentative="0">
      <w:start w:val="0"/>
      <w:numFmt w:val="bullet"/>
      <w:lvlText w:val="•"/>
      <w:lvlJc w:val="left"/>
      <w:pPr>
        <w:ind w:left="7410" w:hanging="370"/>
      </w:pPr>
      <w:rPr>
        <w:rFonts w:hint="default"/>
      </w:rPr>
    </w:lvl>
    <w:lvl w:ilvl="8" w:tentative="0">
      <w:start w:val="0"/>
      <w:numFmt w:val="bullet"/>
      <w:lvlText w:val="•"/>
      <w:lvlJc w:val="left"/>
      <w:pPr>
        <w:ind w:left="8408" w:hanging="370"/>
      </w:pPr>
      <w:rPr>
        <w:rFonts w:hint="default"/>
      </w:rPr>
    </w:lvl>
  </w:abstractNum>
  <w:abstractNum w:abstractNumId="16">
    <w:nsid w:val="5FD1D462"/>
    <w:multiLevelType w:val="singleLevel"/>
    <w:tmpl w:val="5FD1D462"/>
    <w:lvl w:ilvl="0" w:tentative="0">
      <w:start w:val="1"/>
      <w:numFmt w:val="decimalEnclosedCircleChinese"/>
      <w:suff w:val="nothing"/>
      <w:lvlText w:val="%1　"/>
      <w:lvlJc w:val="left"/>
      <w:pPr>
        <w:ind w:left="0" w:firstLine="400"/>
      </w:pPr>
      <w:rPr>
        <w:rFonts w:hint="eastAsia"/>
      </w:rPr>
    </w:lvl>
  </w:abstractNum>
  <w:abstractNum w:abstractNumId="17">
    <w:nsid w:val="6B75BF1B"/>
    <w:multiLevelType w:val="singleLevel"/>
    <w:tmpl w:val="6B75BF1B"/>
    <w:lvl w:ilvl="0" w:tentative="0">
      <w:start w:val="6"/>
      <w:numFmt w:val="chineseCounting"/>
      <w:suff w:val="nothing"/>
      <w:lvlText w:val="（%1）"/>
      <w:lvlJc w:val="left"/>
      <w:rPr>
        <w:rFonts w:hint="eastAsia"/>
      </w:rPr>
    </w:lvl>
  </w:abstractNum>
  <w:abstractNum w:abstractNumId="18">
    <w:nsid w:val="7ABD4026"/>
    <w:multiLevelType w:val="singleLevel"/>
    <w:tmpl w:val="7ABD4026"/>
    <w:lvl w:ilvl="0" w:tentative="0">
      <w:start w:val="5"/>
      <w:numFmt w:val="decimal"/>
      <w:suff w:val="nothing"/>
      <w:lvlText w:val="%1、"/>
      <w:lvlJc w:val="left"/>
    </w:lvl>
  </w:abstractNum>
  <w:abstractNum w:abstractNumId="19">
    <w:nsid w:val="7C246926"/>
    <w:multiLevelType w:val="multilevel"/>
    <w:tmpl w:val="7C246926"/>
    <w:lvl w:ilvl="0" w:tentative="0">
      <w:start w:val="1"/>
      <w:numFmt w:val="decimal"/>
      <w:lvlText w:val="%1."/>
      <w:lvlJc w:val="left"/>
      <w:pPr>
        <w:ind w:left="56" w:hanging="212"/>
        <w:jc w:val="left"/>
      </w:pPr>
      <w:rPr>
        <w:rFonts w:hint="default" w:ascii="宋体" w:hAnsi="宋体" w:eastAsia="宋体" w:cs="宋体"/>
        <w:spacing w:val="1"/>
        <w:w w:val="99"/>
        <w:sz w:val="19"/>
        <w:szCs w:val="19"/>
      </w:rPr>
    </w:lvl>
    <w:lvl w:ilvl="1" w:tentative="0">
      <w:start w:val="0"/>
      <w:numFmt w:val="bullet"/>
      <w:lvlText w:val="•"/>
      <w:lvlJc w:val="left"/>
      <w:pPr>
        <w:ind w:left="1024" w:hanging="212"/>
      </w:pPr>
      <w:rPr>
        <w:rFonts w:hint="default"/>
      </w:rPr>
    </w:lvl>
    <w:lvl w:ilvl="2" w:tentative="0">
      <w:start w:val="0"/>
      <w:numFmt w:val="bullet"/>
      <w:lvlText w:val="•"/>
      <w:lvlJc w:val="left"/>
      <w:pPr>
        <w:ind w:left="1989" w:hanging="212"/>
      </w:pPr>
      <w:rPr>
        <w:rFonts w:hint="default"/>
      </w:rPr>
    </w:lvl>
    <w:lvl w:ilvl="3" w:tentative="0">
      <w:start w:val="0"/>
      <w:numFmt w:val="bullet"/>
      <w:lvlText w:val="•"/>
      <w:lvlJc w:val="left"/>
      <w:pPr>
        <w:ind w:left="2953" w:hanging="212"/>
      </w:pPr>
      <w:rPr>
        <w:rFonts w:hint="default"/>
      </w:rPr>
    </w:lvl>
    <w:lvl w:ilvl="4" w:tentative="0">
      <w:start w:val="0"/>
      <w:numFmt w:val="bullet"/>
      <w:lvlText w:val="•"/>
      <w:lvlJc w:val="left"/>
      <w:pPr>
        <w:ind w:left="3918" w:hanging="212"/>
      </w:pPr>
      <w:rPr>
        <w:rFonts w:hint="default"/>
      </w:rPr>
    </w:lvl>
    <w:lvl w:ilvl="5" w:tentative="0">
      <w:start w:val="0"/>
      <w:numFmt w:val="bullet"/>
      <w:lvlText w:val="•"/>
      <w:lvlJc w:val="left"/>
      <w:pPr>
        <w:ind w:left="4883" w:hanging="212"/>
      </w:pPr>
      <w:rPr>
        <w:rFonts w:hint="default"/>
      </w:rPr>
    </w:lvl>
    <w:lvl w:ilvl="6" w:tentative="0">
      <w:start w:val="0"/>
      <w:numFmt w:val="bullet"/>
      <w:lvlText w:val="•"/>
      <w:lvlJc w:val="left"/>
      <w:pPr>
        <w:ind w:left="5847" w:hanging="212"/>
      </w:pPr>
      <w:rPr>
        <w:rFonts w:hint="default"/>
      </w:rPr>
    </w:lvl>
    <w:lvl w:ilvl="7" w:tentative="0">
      <w:start w:val="0"/>
      <w:numFmt w:val="bullet"/>
      <w:lvlText w:val="•"/>
      <w:lvlJc w:val="left"/>
      <w:pPr>
        <w:ind w:left="6812" w:hanging="212"/>
      </w:pPr>
      <w:rPr>
        <w:rFonts w:hint="default"/>
      </w:rPr>
    </w:lvl>
    <w:lvl w:ilvl="8" w:tentative="0">
      <w:start w:val="0"/>
      <w:numFmt w:val="bullet"/>
      <w:lvlText w:val="•"/>
      <w:lvlJc w:val="left"/>
      <w:pPr>
        <w:ind w:left="7776" w:hanging="212"/>
      </w:pPr>
      <w:rPr>
        <w:rFonts w:hint="default"/>
      </w:rPr>
    </w:lvl>
  </w:abstractNum>
  <w:num w:numId="1">
    <w:abstractNumId w:val="18"/>
  </w:num>
  <w:num w:numId="2">
    <w:abstractNumId w:val="12"/>
  </w:num>
  <w:num w:numId="3">
    <w:abstractNumId w:val="19"/>
  </w:num>
  <w:num w:numId="4">
    <w:abstractNumId w:val="11"/>
  </w:num>
  <w:num w:numId="5">
    <w:abstractNumId w:val="15"/>
  </w:num>
  <w:num w:numId="6">
    <w:abstractNumId w:val="1"/>
  </w:num>
  <w:num w:numId="7">
    <w:abstractNumId w:val="4"/>
  </w:num>
  <w:num w:numId="8">
    <w:abstractNumId w:val="8"/>
  </w:num>
  <w:num w:numId="9">
    <w:abstractNumId w:val="10"/>
  </w:num>
  <w:num w:numId="10">
    <w:abstractNumId w:val="14"/>
  </w:num>
  <w:num w:numId="11">
    <w:abstractNumId w:val="3"/>
  </w:num>
  <w:num w:numId="12">
    <w:abstractNumId w:val="16"/>
  </w:num>
  <w:num w:numId="13">
    <w:abstractNumId w:val="0"/>
  </w:num>
  <w:num w:numId="14">
    <w:abstractNumId w:val="9"/>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NWIwZDU3ZGU4Y2MyMjYxNzAxOGExNTljZjNhNGEifQ=="/>
  </w:docVars>
  <w:rsids>
    <w:rsidRoot w:val="12411029"/>
    <w:rsid w:val="00A94BBE"/>
    <w:rsid w:val="022A458F"/>
    <w:rsid w:val="036667DD"/>
    <w:rsid w:val="03994855"/>
    <w:rsid w:val="040419B7"/>
    <w:rsid w:val="0455562B"/>
    <w:rsid w:val="0506793D"/>
    <w:rsid w:val="051218E2"/>
    <w:rsid w:val="06254F50"/>
    <w:rsid w:val="07754B1F"/>
    <w:rsid w:val="07BC75D3"/>
    <w:rsid w:val="084560A8"/>
    <w:rsid w:val="08B70EF1"/>
    <w:rsid w:val="09226B0F"/>
    <w:rsid w:val="0AAA2B3A"/>
    <w:rsid w:val="0B4160D2"/>
    <w:rsid w:val="0B91608F"/>
    <w:rsid w:val="117D384D"/>
    <w:rsid w:val="11A343E8"/>
    <w:rsid w:val="12411029"/>
    <w:rsid w:val="14AE107B"/>
    <w:rsid w:val="14F7697C"/>
    <w:rsid w:val="15C91D48"/>
    <w:rsid w:val="17C83B4E"/>
    <w:rsid w:val="1839691D"/>
    <w:rsid w:val="198C7FDB"/>
    <w:rsid w:val="1A17490B"/>
    <w:rsid w:val="1A455583"/>
    <w:rsid w:val="1AD4229E"/>
    <w:rsid w:val="1C3564ED"/>
    <w:rsid w:val="1D434AA4"/>
    <w:rsid w:val="1E794F97"/>
    <w:rsid w:val="1E8522FD"/>
    <w:rsid w:val="1F835685"/>
    <w:rsid w:val="1FB839DF"/>
    <w:rsid w:val="20E05A5B"/>
    <w:rsid w:val="21521B0A"/>
    <w:rsid w:val="2164510E"/>
    <w:rsid w:val="241C3F40"/>
    <w:rsid w:val="292A511A"/>
    <w:rsid w:val="29BD5F8E"/>
    <w:rsid w:val="2AD0640E"/>
    <w:rsid w:val="2B5366DD"/>
    <w:rsid w:val="2B944145"/>
    <w:rsid w:val="2C1561E2"/>
    <w:rsid w:val="2C2E4F21"/>
    <w:rsid w:val="2CBB631A"/>
    <w:rsid w:val="2D26209C"/>
    <w:rsid w:val="2D515D13"/>
    <w:rsid w:val="2D582F10"/>
    <w:rsid w:val="2DD957F9"/>
    <w:rsid w:val="2DD9710F"/>
    <w:rsid w:val="2DDD6414"/>
    <w:rsid w:val="2F97300E"/>
    <w:rsid w:val="30185CCC"/>
    <w:rsid w:val="304B1E05"/>
    <w:rsid w:val="30964BCF"/>
    <w:rsid w:val="309A0DD7"/>
    <w:rsid w:val="30C923C0"/>
    <w:rsid w:val="32A47CEB"/>
    <w:rsid w:val="32E36661"/>
    <w:rsid w:val="339C1EA6"/>
    <w:rsid w:val="34265A9E"/>
    <w:rsid w:val="347C47B1"/>
    <w:rsid w:val="3714424A"/>
    <w:rsid w:val="37D31F63"/>
    <w:rsid w:val="38D3552B"/>
    <w:rsid w:val="3A593997"/>
    <w:rsid w:val="3BC9431F"/>
    <w:rsid w:val="3C2E305F"/>
    <w:rsid w:val="3C8F0A22"/>
    <w:rsid w:val="3E0951EE"/>
    <w:rsid w:val="3EAB55E6"/>
    <w:rsid w:val="3ECB1DC0"/>
    <w:rsid w:val="3EE37DED"/>
    <w:rsid w:val="3F253B64"/>
    <w:rsid w:val="3F36381E"/>
    <w:rsid w:val="3F9115F7"/>
    <w:rsid w:val="40073668"/>
    <w:rsid w:val="40EB11DB"/>
    <w:rsid w:val="41840D91"/>
    <w:rsid w:val="422D52B6"/>
    <w:rsid w:val="42B71375"/>
    <w:rsid w:val="439B0EEE"/>
    <w:rsid w:val="44FC371D"/>
    <w:rsid w:val="45FF2ECF"/>
    <w:rsid w:val="46EE37D3"/>
    <w:rsid w:val="471213FA"/>
    <w:rsid w:val="4AC56B30"/>
    <w:rsid w:val="4D587BF8"/>
    <w:rsid w:val="510D0829"/>
    <w:rsid w:val="51F96F9C"/>
    <w:rsid w:val="52097713"/>
    <w:rsid w:val="52222879"/>
    <w:rsid w:val="52BD5B22"/>
    <w:rsid w:val="578F6D28"/>
    <w:rsid w:val="58A16581"/>
    <w:rsid w:val="596B23E9"/>
    <w:rsid w:val="5C535809"/>
    <w:rsid w:val="5D6C741F"/>
    <w:rsid w:val="5E207C55"/>
    <w:rsid w:val="5ED2590E"/>
    <w:rsid w:val="5F9C1BC7"/>
    <w:rsid w:val="603718EF"/>
    <w:rsid w:val="60653448"/>
    <w:rsid w:val="64754DD6"/>
    <w:rsid w:val="668138C4"/>
    <w:rsid w:val="66FA059B"/>
    <w:rsid w:val="685E3D08"/>
    <w:rsid w:val="691A195A"/>
    <w:rsid w:val="6B751CB1"/>
    <w:rsid w:val="6C511909"/>
    <w:rsid w:val="6DFA17FE"/>
    <w:rsid w:val="6E2E4332"/>
    <w:rsid w:val="6EE17AEF"/>
    <w:rsid w:val="6F6C5073"/>
    <w:rsid w:val="70001E67"/>
    <w:rsid w:val="70B256C9"/>
    <w:rsid w:val="718B55F7"/>
    <w:rsid w:val="71CF0B0E"/>
    <w:rsid w:val="721C1AA6"/>
    <w:rsid w:val="75832E70"/>
    <w:rsid w:val="75E509F3"/>
    <w:rsid w:val="77C730AB"/>
    <w:rsid w:val="790C526F"/>
    <w:rsid w:val="79816963"/>
    <w:rsid w:val="79C22CC4"/>
    <w:rsid w:val="7A137F70"/>
    <w:rsid w:val="7A2B7977"/>
    <w:rsid w:val="7AFE75D5"/>
    <w:rsid w:val="7C352D2F"/>
    <w:rsid w:val="7CC44656"/>
    <w:rsid w:val="7E67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qFormat/>
    <w:uiPriority w:val="0"/>
    <w:pPr>
      <w:keepNext/>
      <w:keepLines/>
      <w:spacing w:before="280" w:after="290" w:line="374" w:lineRule="auto"/>
      <w:outlineLvl w:val="3"/>
    </w:pPr>
    <w:rPr>
      <w:rFonts w:ascii="Arial" w:hAnsi="Arial" w:eastAsia="黑体"/>
      <w:b/>
      <w:bCs/>
      <w:sz w:val="28"/>
      <w:szCs w:val="28"/>
    </w:rPr>
  </w:style>
  <w:style w:type="paragraph" w:styleId="7">
    <w:name w:val="heading 7"/>
    <w:basedOn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9"/>
    <w:basedOn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qFormat/>
    <w:uiPriority w:val="0"/>
    <w:pPr>
      <w:spacing w:after="120"/>
    </w:pPr>
  </w:style>
  <w:style w:type="paragraph" w:styleId="12">
    <w:name w:val="Body Text Indent"/>
    <w:basedOn w:val="1"/>
    <w:qFormat/>
    <w:uiPriority w:val="0"/>
    <w:pPr>
      <w:spacing w:after="120" w:line="520" w:lineRule="atLeast"/>
      <w:ind w:left="420" w:leftChars="200" w:firstLine="420" w:firstLineChars="200"/>
      <w:jc w:val="left"/>
    </w:pPr>
    <w:rPr>
      <w:rFonts w:ascii="宋体" w:hAnsi="宋体" w:cs="宋体"/>
      <w:szCs w:val="21"/>
    </w:rPr>
  </w:style>
  <w:style w:type="paragraph" w:styleId="13">
    <w:name w:val="Plain Text"/>
    <w:basedOn w:val="1"/>
    <w:next w:val="1"/>
    <w:qFormat/>
    <w:uiPriority w:val="0"/>
    <w:rPr>
      <w:rFonts w:ascii="宋体" w:hAnsi="Courier New"/>
      <w:szCs w:val="20"/>
    </w:rPr>
  </w:style>
  <w:style w:type="paragraph" w:styleId="14">
    <w:name w:val="footer"/>
    <w:basedOn w:val="1"/>
    <w:qFormat/>
    <w:uiPriority w:val="0"/>
    <w:pPr>
      <w:tabs>
        <w:tab w:val="center" w:pos="4140"/>
        <w:tab w:val="right" w:pos="8300"/>
      </w:tabs>
      <w:snapToGrid w:val="0"/>
      <w:jc w:val="left"/>
    </w:pPr>
    <w:rPr>
      <w:sz w:val="18"/>
      <w:szCs w:val="18"/>
    </w:rPr>
  </w:style>
  <w:style w:type="paragraph" w:styleId="15">
    <w:name w:val="toc 1"/>
    <w:basedOn w:val="1"/>
    <w:next w:val="1"/>
    <w:qFormat/>
    <w:uiPriority w:val="39"/>
    <w:pPr>
      <w:spacing w:before="120" w:after="120"/>
      <w:jc w:val="left"/>
    </w:pPr>
    <w:rPr>
      <w:b/>
      <w:bCs/>
      <w:caps/>
      <w:sz w:val="20"/>
      <w:szCs w:val="20"/>
    </w:rPr>
  </w:style>
  <w:style w:type="character" w:styleId="18">
    <w:name w:val="Hyperlink"/>
    <w:qFormat/>
    <w:uiPriority w:val="99"/>
    <w:rPr>
      <w:rFonts w:ascii="Times New Roman" w:hAnsi="Times New Roman" w:eastAsia="宋体" w:cs="Times New Roman"/>
      <w:color w:val="0000FF"/>
      <w:u w:val="single"/>
    </w:rPr>
  </w:style>
  <w:style w:type="paragraph" w:customStyle="1" w:styleId="19">
    <w:name w:val="正文11"/>
    <w:qFormat/>
    <w:uiPriority w:val="0"/>
    <w:pPr>
      <w:widowControl w:val="0"/>
      <w:jc w:val="both"/>
    </w:pPr>
    <w:rPr>
      <w:rFonts w:ascii="Times New Roman" w:hAnsi="Times New Roman" w:eastAsia="宋体" w:cs="Times New Roman"/>
      <w:sz w:val="21"/>
      <w:szCs w:val="24"/>
      <w:lang w:val="en-US" w:eastAsia="zh-CN" w:bidi="ar-SA"/>
    </w:rPr>
  </w:style>
  <w:style w:type="paragraph" w:styleId="20">
    <w:name w:val="List Paragraph"/>
    <w:basedOn w:val="1"/>
    <w:qFormat/>
    <w:uiPriority w:val="0"/>
    <w:pPr>
      <w:ind w:firstLine="420" w:firstLineChars="200"/>
    </w:pPr>
    <w:rPr>
      <w:rFonts w:ascii="Calibri" w:hAnsi="Calibri"/>
      <w:szCs w:val="22"/>
    </w:rPr>
  </w:style>
  <w:style w:type="paragraph" w:customStyle="1" w:styleId="21">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122</Pages>
  <Words>77911</Words>
  <Characters>81822</Characters>
  <DocSecurity>0</DocSecurity>
  <Lines>0</Lines>
  <Paragraphs>0</Paragraphs>
  <ScaleCrop>false</ScaleCrop>
  <LinksUpToDate>false</LinksUpToDate>
  <CharactersWithSpaces>86069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2023-10-28T09:34:00Z</dcterms:created>
  <dcterms:modified xsi:type="dcterms:W3CDTF">2023-10-31T04:01:33Z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2D1B6DD1E04945DB8A286AED6235C7C6_11</vt:lpwstr>
  </property>
</Properties>
</file>