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topLinePunct/>
        <w:autoSpaceDE/>
        <w:autoSpaceDN/>
        <w:spacing w:before="240"/>
        <w:ind w:right="0"/>
        <w:jc w:val="center"/>
        <w:rPr>
          <w:b/>
          <w:sz w:val="28"/>
        </w:rPr>
      </w:pPr>
      <w:r>
        <w:rPr>
          <w:rFonts w:hint="eastAsia"/>
          <w:b/>
          <w:sz w:val="28"/>
          <w:lang w:eastAsia="zh-CN"/>
        </w:rPr>
        <w:t>广佛大桥系统工程（一期）桥区航道调整工程施工</w:t>
      </w:r>
      <w:r>
        <w:rPr>
          <w:b/>
          <w:sz w:val="28"/>
        </w:rPr>
        <w:t>招标公告</w:t>
      </w:r>
    </w:p>
    <w:p>
      <w:pPr>
        <w:numPr>
          <w:ilvl w:val="0"/>
          <w:numId w:val="1"/>
        </w:numPr>
        <w:tabs>
          <w:tab w:val="left" w:pos="1040"/>
        </w:tabs>
        <w:wordWrap w:val="0"/>
        <w:topLinePunct/>
        <w:autoSpaceDE/>
        <w:autoSpaceDN/>
        <w:spacing w:before="186"/>
        <w:ind w:left="1039" w:right="0" w:hanging="243"/>
        <w:jc w:val="left"/>
        <w:rPr>
          <w:b/>
          <w:sz w:val="24"/>
        </w:rPr>
      </w:pPr>
      <w:bookmarkStart w:id="0" w:name="1.招标条件"/>
      <w:bookmarkEnd w:id="0"/>
      <w:bookmarkStart w:id="1" w:name="1.招标条件"/>
      <w:bookmarkEnd w:id="1"/>
      <w:r>
        <w:rPr>
          <w:b/>
          <w:sz w:val="24"/>
        </w:rPr>
        <w:t>招标条件</w:t>
      </w:r>
    </w:p>
    <w:p>
      <w:pPr>
        <w:pStyle w:val="5"/>
        <w:wordWrap w:val="0"/>
        <w:topLinePunct/>
        <w:autoSpaceDE/>
        <w:autoSpaceDN/>
        <w:spacing w:before="158" w:line="364" w:lineRule="auto"/>
        <w:ind w:left="315" w:right="314" w:firstLine="480"/>
        <w:rPr>
          <w:highlight w:val="none"/>
        </w:rPr>
      </w:pPr>
      <w:r>
        <w:rPr>
          <w:highlight w:val="none"/>
        </w:rPr>
        <w:t>本招标项目</w:t>
      </w:r>
      <w:r>
        <w:rPr>
          <w:rFonts w:hint="eastAsia"/>
          <w:highlight w:val="none"/>
          <w:u w:val="single"/>
          <w:lang w:eastAsia="zh-CN"/>
        </w:rPr>
        <w:t>广佛大桥系统工程（一期）桥区航道调整工程施工</w:t>
      </w:r>
      <w:r>
        <w:rPr>
          <w:highlight w:val="none"/>
        </w:rPr>
        <w:t>已由</w:t>
      </w:r>
      <w:r>
        <w:rPr>
          <w:rFonts w:hint="eastAsia"/>
          <w:highlight w:val="none"/>
          <w:u w:val="single"/>
        </w:rPr>
        <w:t>广州市广园市政建设有限公司</w:t>
      </w:r>
      <w:r>
        <w:rPr>
          <w:highlight w:val="none"/>
        </w:rPr>
        <w:t>以</w:t>
      </w:r>
      <w:r>
        <w:rPr>
          <w:rFonts w:hint="eastAsia" w:ascii="宋体" w:hAnsi="宋体" w:eastAsia="宋体"/>
          <w:highlight w:val="none"/>
          <w:u w:val="single"/>
          <w:lang w:val="en-US" w:eastAsia="zh-CN"/>
        </w:rPr>
        <w:t>粤发改投审〔2020〕62号</w:t>
      </w:r>
      <w:r>
        <w:rPr>
          <w:highlight w:val="none"/>
        </w:rPr>
        <w:t>批准建设，项目业主为</w:t>
      </w:r>
      <w:r>
        <w:rPr>
          <w:rFonts w:hint="eastAsia"/>
          <w:highlight w:val="none"/>
          <w:u w:val="single"/>
        </w:rPr>
        <w:t>广州市广园市政建设有限公司</w:t>
      </w:r>
      <w:r>
        <w:rPr>
          <w:highlight w:val="none"/>
        </w:rPr>
        <w:t>，建设资金为</w:t>
      </w:r>
      <w:r>
        <w:rPr>
          <w:rFonts w:hint="eastAsia"/>
          <w:highlight w:val="none"/>
          <w:u w:val="single"/>
          <w:lang w:val="en-US" w:eastAsia="zh-CN"/>
        </w:rPr>
        <w:t>市财政资金</w:t>
      </w:r>
      <w:r>
        <w:rPr>
          <w:spacing w:val="-4"/>
          <w:highlight w:val="none"/>
        </w:rPr>
        <w:t>，项目出资比例为</w:t>
      </w:r>
      <w:r>
        <w:rPr>
          <w:rFonts w:hint="eastAsia"/>
          <w:spacing w:val="-4"/>
          <w:highlight w:val="none"/>
          <w:u w:val="single"/>
          <w:lang w:val="en-US" w:eastAsia="zh-CN"/>
        </w:rPr>
        <w:t>100%</w:t>
      </w:r>
      <w:r>
        <w:rPr>
          <w:spacing w:val="-2"/>
          <w:highlight w:val="none"/>
        </w:rPr>
        <w:t>，招标人为</w:t>
      </w:r>
      <w:r>
        <w:rPr>
          <w:rFonts w:hint="eastAsia"/>
          <w:highlight w:val="none"/>
          <w:u w:val="single"/>
        </w:rPr>
        <w:t>广州市广园市政建设有限公司</w:t>
      </w:r>
      <w:r>
        <w:rPr>
          <w:spacing w:val="-6"/>
          <w:highlight w:val="none"/>
        </w:rPr>
        <w:t>，项目已具备</w:t>
      </w:r>
      <w:r>
        <w:rPr>
          <w:highlight w:val="none"/>
        </w:rPr>
        <w:t>招标条件，现对该项目的施工采用资格后审方式进行公开招标。</w:t>
      </w:r>
    </w:p>
    <w:p>
      <w:pPr>
        <w:numPr>
          <w:ilvl w:val="0"/>
          <w:numId w:val="1"/>
        </w:numPr>
        <w:tabs>
          <w:tab w:val="left" w:pos="1040"/>
        </w:tabs>
        <w:wordWrap w:val="0"/>
        <w:topLinePunct/>
        <w:autoSpaceDE/>
        <w:autoSpaceDN/>
        <w:spacing w:before="0" w:line="305" w:lineRule="exact"/>
        <w:ind w:left="1039" w:right="0" w:hanging="243"/>
        <w:jc w:val="left"/>
        <w:rPr>
          <w:b/>
          <w:sz w:val="24"/>
          <w:highlight w:val="none"/>
        </w:rPr>
      </w:pPr>
      <w:bookmarkStart w:id="2" w:name="2.项目概况与招标范围"/>
      <w:bookmarkEnd w:id="2"/>
      <w:bookmarkStart w:id="3" w:name="2.项目概况与招标范围"/>
      <w:bookmarkEnd w:id="3"/>
      <w:r>
        <w:rPr>
          <w:b/>
          <w:sz w:val="24"/>
          <w:highlight w:val="none"/>
        </w:rPr>
        <w:t>项目概况与招标范围</w:t>
      </w:r>
    </w:p>
    <w:p>
      <w:pPr>
        <w:pStyle w:val="12"/>
        <w:numPr>
          <w:ilvl w:val="1"/>
          <w:numId w:val="1"/>
        </w:numPr>
        <w:tabs>
          <w:tab w:val="left" w:pos="1216"/>
        </w:tabs>
        <w:wordWrap w:val="0"/>
        <w:topLinePunct/>
        <w:autoSpaceDE/>
        <w:autoSpaceDN/>
        <w:spacing w:before="160" w:after="0" w:line="240" w:lineRule="auto"/>
        <w:ind w:left="1216" w:right="0" w:hanging="420"/>
        <w:jc w:val="left"/>
        <w:rPr>
          <w:sz w:val="24"/>
          <w:highlight w:val="none"/>
        </w:rPr>
      </w:pPr>
      <w:r>
        <w:rPr>
          <w:sz w:val="24"/>
          <w:highlight w:val="none"/>
        </w:rPr>
        <w:t>项目概况与招标范围</w:t>
      </w:r>
    </w:p>
    <w:p>
      <w:pPr>
        <w:pStyle w:val="5"/>
        <w:wordWrap w:val="0"/>
        <w:topLinePunct/>
        <w:autoSpaceDE/>
        <w:autoSpaceDN/>
        <w:spacing w:before="158"/>
        <w:ind w:left="796"/>
        <w:rPr>
          <w:rFonts w:hint="eastAsia" w:eastAsia="宋体"/>
          <w:highlight w:val="none"/>
          <w:lang w:eastAsia="zh-CN"/>
        </w:rPr>
      </w:pPr>
      <w:r>
        <w:rPr>
          <w:highlight w:val="none"/>
          <w:u w:val="single"/>
        </w:rPr>
        <w:t>招标项目名称：</w:t>
      </w:r>
      <w:r>
        <w:rPr>
          <w:rFonts w:hint="eastAsia"/>
          <w:highlight w:val="none"/>
          <w:u w:val="single"/>
          <w:lang w:eastAsia="zh-CN"/>
        </w:rPr>
        <w:t>广佛大桥系统工程（一期）桥区航道调整工程施工</w:t>
      </w:r>
    </w:p>
    <w:p>
      <w:pPr>
        <w:pStyle w:val="5"/>
        <w:wordWrap w:val="0"/>
        <w:topLinePunct/>
        <w:autoSpaceDE/>
        <w:autoSpaceDN/>
        <w:spacing w:before="161" w:line="364" w:lineRule="auto"/>
        <w:ind w:left="315" w:right="314" w:firstLine="480"/>
        <w:jc w:val="both"/>
        <w:rPr>
          <w:highlight w:val="none"/>
        </w:rPr>
      </w:pPr>
      <w:r>
        <w:rPr>
          <w:spacing w:val="-10"/>
          <w:highlight w:val="none"/>
          <w:u w:val="single"/>
        </w:rPr>
        <w:t>招标项目规模：</w:t>
      </w:r>
      <w:r>
        <w:rPr>
          <w:rFonts w:hint="eastAsia"/>
          <w:spacing w:val="-10"/>
          <w:highlight w:val="none"/>
          <w:u w:val="single"/>
        </w:rPr>
        <w:t>白沙河（沙贝~滘口）5km 为内河Ⅳ级航道，维护尺度为 2.5m×50m×330m。该河段规划航道设计水深为 3.4m(礁石区 3.9m)。航道调整后，对水深不足的区域进行清除。泥质河段航道设计水深 3.4m，</w:t>
      </w:r>
      <w:r>
        <w:rPr>
          <w:rFonts w:hint="eastAsia"/>
          <w:spacing w:val="-10"/>
          <w:highlight w:val="none"/>
          <w:u w:val="single"/>
          <w:lang w:val="en-US" w:eastAsia="zh-CN"/>
        </w:rPr>
        <w:t>礁石</w:t>
      </w:r>
      <w:r>
        <w:rPr>
          <w:rFonts w:hint="eastAsia"/>
          <w:spacing w:val="-10"/>
          <w:highlight w:val="none"/>
          <w:u w:val="single"/>
        </w:rPr>
        <w:t>河段航道设计水深为 3.9m，桥区航道底宽为 130m</w:t>
      </w:r>
      <w:r>
        <w:rPr>
          <w:rFonts w:hint="eastAsia"/>
          <w:spacing w:val="-10"/>
          <w:highlight w:val="none"/>
          <w:u w:val="single"/>
          <w:lang w:eastAsia="zh-CN"/>
        </w:rPr>
        <w:t>，清礁区工程量约4813m³，疏浚工程量约24633m³</w:t>
      </w:r>
      <w:r>
        <w:rPr>
          <w:rFonts w:hint="eastAsia"/>
          <w:spacing w:val="-10"/>
          <w:highlight w:val="none"/>
          <w:u w:val="single"/>
        </w:rPr>
        <w:t>。</w:t>
      </w:r>
    </w:p>
    <w:p>
      <w:pPr>
        <w:pStyle w:val="5"/>
        <w:wordWrap w:val="0"/>
        <w:topLinePunct/>
        <w:autoSpaceDE/>
        <w:autoSpaceDN/>
        <w:spacing w:before="161" w:line="364" w:lineRule="auto"/>
        <w:ind w:left="315" w:right="314" w:firstLine="480"/>
        <w:jc w:val="both"/>
        <w:rPr>
          <w:rFonts w:hint="eastAsia" w:ascii="宋体" w:hAnsi="宋体" w:eastAsia="宋体" w:cs="宋体"/>
          <w:spacing w:val="-10"/>
          <w:highlight w:val="none"/>
          <w:u w:val="single"/>
        </w:rPr>
      </w:pPr>
      <w:r>
        <w:rPr>
          <w:rFonts w:hint="eastAsia" w:ascii="宋体" w:hAnsi="宋体" w:eastAsia="宋体" w:cs="宋体"/>
          <w:spacing w:val="-10"/>
          <w:highlight w:val="none"/>
          <w:u w:val="single"/>
        </w:rPr>
        <w:t>建设地点：</w:t>
      </w:r>
      <w:r>
        <w:rPr>
          <w:rFonts w:hint="eastAsia" w:ascii="宋体" w:hAnsi="宋体" w:eastAsia="宋体" w:cs="宋体"/>
          <w:spacing w:val="-10"/>
          <w:highlight w:val="none"/>
          <w:u w:val="single"/>
          <w:lang w:val="en-US" w:eastAsia="zh-CN"/>
        </w:rPr>
        <w:t xml:space="preserve">广佛大桥系统工程（一期）位于地铁六号线桥下游约 </w:t>
      </w:r>
      <w:r>
        <w:rPr>
          <w:rFonts w:hint="default" w:ascii="宋体" w:hAnsi="宋体" w:eastAsia="宋体" w:cs="宋体"/>
          <w:spacing w:val="-10"/>
          <w:highlight w:val="none"/>
          <w:u w:val="single"/>
          <w:lang w:val="en-US" w:eastAsia="zh-CN"/>
        </w:rPr>
        <w:t xml:space="preserve">740m </w:t>
      </w:r>
      <w:r>
        <w:rPr>
          <w:rFonts w:hint="eastAsia" w:ascii="宋体" w:hAnsi="宋体" w:eastAsia="宋体" w:cs="宋体"/>
          <w:spacing w:val="-10"/>
          <w:highlight w:val="none"/>
          <w:u w:val="single"/>
          <w:lang w:val="en-US" w:eastAsia="zh-CN"/>
        </w:rPr>
        <w:t>跨越白沙河。</w:t>
      </w:r>
    </w:p>
    <w:p>
      <w:pPr>
        <w:pStyle w:val="5"/>
        <w:wordWrap w:val="0"/>
        <w:topLinePunct/>
        <w:autoSpaceDE/>
        <w:autoSpaceDN/>
        <w:spacing w:before="2"/>
        <w:ind w:left="796"/>
        <w:rPr>
          <w:rFonts w:hint="eastAsia"/>
          <w:highlight w:val="none"/>
          <w:u w:val="single"/>
          <w:lang w:val="en-US" w:eastAsia="zh-CN"/>
        </w:rPr>
      </w:pPr>
      <w:r>
        <w:rPr>
          <w:highlight w:val="none"/>
          <w:u w:val="single"/>
        </w:rPr>
        <w:t>计划工期：</w:t>
      </w:r>
      <w:r>
        <w:rPr>
          <w:rFonts w:hint="eastAsia"/>
          <w:highlight w:val="none"/>
          <w:u w:val="single"/>
          <w:lang w:val="en-US" w:eastAsia="zh-CN"/>
        </w:rPr>
        <w:t>6个月</w:t>
      </w:r>
    </w:p>
    <w:p>
      <w:pPr>
        <w:pStyle w:val="5"/>
        <w:wordWrap w:val="0"/>
        <w:topLinePunct/>
        <w:autoSpaceDE/>
        <w:autoSpaceDN/>
        <w:spacing w:before="2"/>
        <w:ind w:left="796"/>
        <w:rPr>
          <w:highlight w:val="none"/>
        </w:rPr>
      </w:pPr>
    </w:p>
    <w:p>
      <w:pPr>
        <w:tabs>
          <w:tab w:val="left" w:pos="2520"/>
          <w:tab w:val="left" w:pos="6020"/>
        </w:tabs>
        <w:wordWrap w:val="0"/>
        <w:topLinePunct/>
        <w:autoSpaceDE/>
        <w:autoSpaceDN/>
        <w:adjustRightInd w:val="0"/>
        <w:spacing w:line="360" w:lineRule="auto"/>
        <w:ind w:firstLine="440" w:firstLineChars="200"/>
        <w:jc w:val="left"/>
        <w:rPr>
          <w:highlight w:val="none"/>
        </w:rPr>
      </w:pPr>
      <w:r>
        <w:rPr>
          <w:highlight w:val="none"/>
          <w:u w:val="single"/>
        </w:rPr>
        <w:t>项目招标范围：</w:t>
      </w:r>
      <w:r>
        <w:rPr>
          <w:rFonts w:hint="eastAsia"/>
          <w:spacing w:val="-10"/>
          <w:highlight w:val="none"/>
          <w:u w:val="single"/>
        </w:rPr>
        <w:t>白沙河（沙贝~滘口）5km 为内河Ⅳ级航道，维护尺度为 2.5m×50m×330m。该河段规划航道设计水深为 3.4m(礁石区 3.9m)。航道调整后，对水深不足的区域进行清除。泥质河段航道设计水深 3.4m，</w:t>
      </w:r>
      <w:r>
        <w:rPr>
          <w:rFonts w:hint="eastAsia"/>
          <w:spacing w:val="-10"/>
          <w:highlight w:val="none"/>
          <w:u w:val="single"/>
          <w:lang w:val="en-US" w:eastAsia="zh-CN"/>
        </w:rPr>
        <w:t>礁石</w:t>
      </w:r>
      <w:r>
        <w:rPr>
          <w:rFonts w:hint="eastAsia"/>
          <w:spacing w:val="-10"/>
          <w:highlight w:val="none"/>
          <w:u w:val="single"/>
        </w:rPr>
        <w:t>河段航道设计水深为 3.9m，桥区航道底宽为 130m</w:t>
      </w:r>
      <w:r>
        <w:rPr>
          <w:rFonts w:hint="eastAsia"/>
          <w:spacing w:val="-10"/>
          <w:highlight w:val="none"/>
          <w:u w:val="single"/>
          <w:lang w:eastAsia="zh-CN"/>
        </w:rPr>
        <w:t>，清礁区</w:t>
      </w:r>
      <w:r>
        <w:rPr>
          <w:rFonts w:hint="eastAsia"/>
          <w:spacing w:val="-10"/>
          <w:highlight w:val="none"/>
          <w:u w:val="single"/>
          <w:lang w:val="en-US" w:eastAsia="zh-CN"/>
        </w:rPr>
        <w:t>工程量约4813</w:t>
      </w:r>
      <w:r>
        <w:rPr>
          <w:rFonts w:hint="eastAsia" w:ascii="宋体" w:hAnsi="宋体" w:cs="宋体"/>
          <w:color w:val="auto"/>
          <w:sz w:val="24"/>
          <w:highlight w:val="none"/>
          <w:u w:val="single"/>
        </w:rPr>
        <w:t>m³</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疏浚工程量约</w:t>
      </w:r>
      <w:r>
        <w:rPr>
          <w:rFonts w:hint="eastAsia" w:cs="宋体"/>
          <w:color w:val="auto"/>
          <w:sz w:val="24"/>
          <w:highlight w:val="none"/>
          <w:u w:val="single"/>
          <w:lang w:val="en-US" w:eastAsia="zh-CN"/>
        </w:rPr>
        <w:t>24633</w:t>
      </w:r>
      <w:r>
        <w:rPr>
          <w:rFonts w:hint="eastAsia" w:ascii="宋体" w:hAnsi="宋体" w:cs="宋体"/>
          <w:color w:val="auto"/>
          <w:sz w:val="24"/>
          <w:highlight w:val="none"/>
          <w:u w:val="single"/>
        </w:rPr>
        <w:t>m³</w:t>
      </w:r>
      <w:r>
        <w:rPr>
          <w:rFonts w:hint="eastAsia"/>
          <w:spacing w:val="-10"/>
          <w:highlight w:val="none"/>
          <w:u w:val="single"/>
        </w:rPr>
        <w:t>。具体以施工图纸、技术规格书及工程量清单为准。</w:t>
      </w:r>
    </w:p>
    <w:p>
      <w:pPr>
        <w:pStyle w:val="12"/>
        <w:numPr>
          <w:ilvl w:val="1"/>
          <w:numId w:val="1"/>
        </w:numPr>
        <w:tabs>
          <w:tab w:val="left" w:pos="1157"/>
        </w:tabs>
        <w:wordWrap w:val="0"/>
        <w:topLinePunct/>
        <w:autoSpaceDE/>
        <w:autoSpaceDN/>
        <w:spacing w:before="0" w:after="0" w:line="305" w:lineRule="exact"/>
        <w:ind w:left="1157" w:right="0" w:hanging="361"/>
        <w:jc w:val="left"/>
        <w:rPr>
          <w:sz w:val="24"/>
        </w:rPr>
      </w:pPr>
      <w:r>
        <w:rPr>
          <w:sz w:val="24"/>
        </w:rPr>
        <w:t>本次招标共分1个标类1个标段。具体见附件 1。</w:t>
      </w:r>
    </w:p>
    <w:p>
      <w:pPr>
        <w:pStyle w:val="5"/>
        <w:wordWrap w:val="0"/>
        <w:topLinePunct/>
        <w:autoSpaceDE/>
        <w:autoSpaceDN/>
        <w:spacing w:before="5"/>
        <w:rPr>
          <w:sz w:val="12"/>
        </w:rPr>
      </w:pPr>
    </w:p>
    <w:tbl>
      <w:tblPr>
        <w:tblStyle w:val="9"/>
        <w:tblW w:w="947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62"/>
        <w:gridCol w:w="1266"/>
        <w:gridCol w:w="2108"/>
        <w:gridCol w:w="2116"/>
        <w:gridCol w:w="23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662" w:type="dxa"/>
          </w:tcPr>
          <w:p>
            <w:pPr>
              <w:pStyle w:val="13"/>
              <w:wordWrap w:val="0"/>
              <w:topLinePunct/>
              <w:autoSpaceDE/>
              <w:autoSpaceDN/>
              <w:spacing w:before="73"/>
              <w:ind w:left="366"/>
              <w:rPr>
                <w:sz w:val="24"/>
              </w:rPr>
            </w:pPr>
            <w:r>
              <w:rPr>
                <w:sz w:val="24"/>
              </w:rPr>
              <w:t>标段类别</w:t>
            </w:r>
          </w:p>
        </w:tc>
        <w:tc>
          <w:tcPr>
            <w:tcW w:w="1266" w:type="dxa"/>
          </w:tcPr>
          <w:p>
            <w:pPr>
              <w:pStyle w:val="13"/>
              <w:wordWrap w:val="0"/>
              <w:topLinePunct/>
              <w:autoSpaceDE/>
              <w:autoSpaceDN/>
              <w:spacing w:before="73"/>
              <w:ind w:left="392"/>
              <w:rPr>
                <w:sz w:val="24"/>
              </w:rPr>
            </w:pPr>
            <w:r>
              <w:rPr>
                <w:sz w:val="24"/>
              </w:rPr>
              <w:t>标段</w:t>
            </w:r>
          </w:p>
        </w:tc>
        <w:tc>
          <w:tcPr>
            <w:tcW w:w="2108" w:type="dxa"/>
          </w:tcPr>
          <w:p>
            <w:pPr>
              <w:pStyle w:val="13"/>
              <w:wordWrap w:val="0"/>
              <w:topLinePunct/>
              <w:autoSpaceDE/>
              <w:autoSpaceDN/>
              <w:spacing w:before="73"/>
              <w:ind w:left="333"/>
              <w:rPr>
                <w:sz w:val="24"/>
              </w:rPr>
            </w:pPr>
            <w:r>
              <w:rPr>
                <w:sz w:val="24"/>
              </w:rPr>
              <w:t>主要工程项目</w:t>
            </w:r>
          </w:p>
        </w:tc>
        <w:tc>
          <w:tcPr>
            <w:tcW w:w="2116" w:type="dxa"/>
          </w:tcPr>
          <w:p>
            <w:pPr>
              <w:pStyle w:val="13"/>
              <w:wordWrap w:val="0"/>
              <w:topLinePunct/>
              <w:autoSpaceDE/>
              <w:autoSpaceDN/>
              <w:spacing w:before="73"/>
              <w:ind w:left="128"/>
              <w:rPr>
                <w:sz w:val="24"/>
              </w:rPr>
            </w:pPr>
            <w:r>
              <w:rPr>
                <w:sz w:val="24"/>
              </w:rPr>
              <w:t>对投标人资质要求</w:t>
            </w:r>
          </w:p>
        </w:tc>
        <w:tc>
          <w:tcPr>
            <w:tcW w:w="2323" w:type="dxa"/>
          </w:tcPr>
          <w:p>
            <w:pPr>
              <w:pStyle w:val="13"/>
              <w:tabs>
                <w:tab w:val="left" w:pos="1384"/>
              </w:tabs>
              <w:wordWrap w:val="0"/>
              <w:topLinePunct/>
              <w:autoSpaceDE/>
              <w:autoSpaceDN/>
              <w:spacing w:before="73"/>
              <w:ind w:left="705"/>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662" w:type="dxa"/>
          </w:tcPr>
          <w:p>
            <w:pPr>
              <w:pStyle w:val="13"/>
              <w:wordWrap w:val="0"/>
              <w:topLinePunct/>
              <w:autoSpaceDE/>
              <w:autoSpaceDN/>
              <w:spacing w:before="158" w:line="242" w:lineRule="auto"/>
              <w:ind w:left="599" w:right="143" w:hanging="437"/>
              <w:rPr>
                <w:sz w:val="24"/>
              </w:rPr>
            </w:pPr>
            <w:r>
              <w:rPr>
                <w:rFonts w:hint="eastAsia"/>
                <w:sz w:val="24"/>
              </w:rPr>
              <w:t>B类（</w:t>
            </w:r>
            <w:r>
              <w:rPr>
                <w:rFonts w:hint="eastAsia"/>
                <w:sz w:val="24"/>
                <w:lang w:val="en-US"/>
              </w:rPr>
              <w:t>航道工程</w:t>
            </w:r>
            <w:r>
              <w:rPr>
                <w:rFonts w:hint="eastAsia"/>
                <w:sz w:val="24"/>
              </w:rPr>
              <w:t>）</w:t>
            </w:r>
          </w:p>
        </w:tc>
        <w:tc>
          <w:tcPr>
            <w:tcW w:w="3374" w:type="dxa"/>
            <w:gridSpan w:val="2"/>
          </w:tcPr>
          <w:p>
            <w:pPr>
              <w:pStyle w:val="13"/>
              <w:wordWrap w:val="0"/>
              <w:topLinePunct/>
              <w:autoSpaceDE/>
              <w:autoSpaceDN/>
              <w:spacing w:before="158" w:line="242" w:lineRule="auto"/>
              <w:ind w:left="996" w:right="116" w:hanging="872"/>
              <w:rPr>
                <w:sz w:val="24"/>
              </w:rPr>
            </w:pPr>
            <w:r>
              <w:rPr>
                <w:sz w:val="24"/>
              </w:rPr>
              <w:t>标段的划分及主要工程项目情况详见附件 1</w:t>
            </w:r>
          </w:p>
        </w:tc>
        <w:tc>
          <w:tcPr>
            <w:tcW w:w="2116" w:type="dxa"/>
          </w:tcPr>
          <w:p>
            <w:pPr>
              <w:pStyle w:val="13"/>
              <w:wordWrap w:val="0"/>
              <w:topLinePunct/>
              <w:autoSpaceDE/>
              <w:autoSpaceDN/>
              <w:spacing w:before="158" w:line="242" w:lineRule="auto"/>
              <w:ind w:left="848" w:right="206" w:hanging="632"/>
              <w:rPr>
                <w:sz w:val="24"/>
              </w:rPr>
            </w:pPr>
            <w:r>
              <w:rPr>
                <w:sz w:val="24"/>
              </w:rPr>
              <w:t xml:space="preserve">资格审查条件附录 </w:t>
            </w:r>
            <w:r>
              <w:rPr>
                <w:sz w:val="24"/>
                <w:u w:val="single"/>
              </w:rPr>
              <w:t>1</w:t>
            </w:r>
          </w:p>
        </w:tc>
        <w:tc>
          <w:tcPr>
            <w:tcW w:w="2323" w:type="dxa"/>
          </w:tcPr>
          <w:p>
            <w:pPr>
              <w:pStyle w:val="13"/>
              <w:wordWrap w:val="0"/>
              <w:topLinePunct/>
              <w:autoSpaceDE/>
              <w:autoSpaceDN/>
              <w:spacing w:before="158"/>
              <w:ind w:left="107"/>
              <w:rPr>
                <w:sz w:val="24"/>
              </w:rPr>
            </w:pPr>
            <w:r>
              <w:rPr>
                <w:spacing w:val="-7"/>
                <w:sz w:val="24"/>
              </w:rPr>
              <w:t xml:space="preserve">资格审查条件附录 </w:t>
            </w:r>
            <w:r>
              <w:rPr>
                <w:sz w:val="24"/>
                <w:u w:val="single"/>
              </w:rPr>
              <w:t>1</w:t>
            </w:r>
          </w:p>
          <w:p>
            <w:pPr>
              <w:pStyle w:val="13"/>
              <w:wordWrap w:val="0"/>
              <w:topLinePunct/>
              <w:autoSpaceDE/>
              <w:autoSpaceDN/>
              <w:spacing w:before="5"/>
              <w:ind w:left="110"/>
              <w:rPr>
                <w:sz w:val="24"/>
              </w:rPr>
            </w:pPr>
            <w:r>
              <w:rPr>
                <w:spacing w:val="-15"/>
                <w:sz w:val="24"/>
              </w:rPr>
              <w:t xml:space="preserve">至附录 </w:t>
            </w:r>
            <w:r>
              <w:rPr>
                <w:sz w:val="24"/>
                <w:u w:val="single"/>
              </w:rPr>
              <w:t>7</w:t>
            </w:r>
            <w:r>
              <w:rPr>
                <w:spacing w:val="-21"/>
                <w:sz w:val="24"/>
              </w:rPr>
              <w:t xml:space="preserve"> 详见附件 </w:t>
            </w:r>
            <w:r>
              <w:rPr>
                <w:sz w:val="24"/>
              </w:rPr>
              <w:t>2</w:t>
            </w:r>
          </w:p>
        </w:tc>
      </w:tr>
    </w:tbl>
    <w:p>
      <w:pPr>
        <w:pStyle w:val="5"/>
        <w:wordWrap w:val="0"/>
        <w:topLinePunct/>
        <w:autoSpaceDE/>
        <w:autoSpaceDN/>
        <w:spacing w:before="5"/>
        <w:rPr>
          <w:sz w:val="27"/>
        </w:rPr>
      </w:pPr>
    </w:p>
    <w:p>
      <w:pPr>
        <w:numPr>
          <w:ilvl w:val="-1"/>
          <w:numId w:val="0"/>
        </w:numPr>
        <w:tabs>
          <w:tab w:val="left" w:pos="560"/>
        </w:tabs>
        <w:wordWrap w:val="0"/>
        <w:topLinePunct/>
        <w:autoSpaceDE/>
        <w:autoSpaceDN/>
        <w:spacing w:before="0"/>
        <w:ind w:left="316" w:right="0" w:firstLine="480" w:firstLineChars="200"/>
        <w:jc w:val="left"/>
        <w:rPr>
          <w:rFonts w:hint="eastAsia"/>
          <w:b w:val="0"/>
          <w:bCs/>
          <w:sz w:val="24"/>
        </w:rPr>
      </w:pPr>
      <w:bookmarkStart w:id="4" w:name="3.投标人资格要求"/>
      <w:bookmarkEnd w:id="4"/>
      <w:bookmarkStart w:id="5" w:name="3.投标人资格要求"/>
      <w:bookmarkEnd w:id="5"/>
      <w:r>
        <w:rPr>
          <w:rFonts w:hint="eastAsia"/>
          <w:b w:val="0"/>
          <w:bCs/>
          <w:sz w:val="24"/>
          <w:lang w:val="en-US" w:eastAsia="zh-CN"/>
        </w:rPr>
        <w:t>注：</w:t>
      </w:r>
      <w:r>
        <w:rPr>
          <w:rFonts w:hint="eastAsia"/>
          <w:b w:val="0"/>
          <w:bCs/>
          <w:sz w:val="24"/>
        </w:rPr>
        <w:t>中标人需自行选择适合的且经主管部门批准的纳泥区，工程弃土（渣）处理应符合政府有关部门的规定，不得对环境和行洪等产生负面影响，相关手续由承包人自行办理，相关手续费用、弃土费用已包含在投标报价中，招标人不再另行支付。</w:t>
      </w:r>
    </w:p>
    <w:p>
      <w:pPr>
        <w:numPr>
          <w:ilvl w:val="-1"/>
          <w:numId w:val="0"/>
        </w:numPr>
        <w:tabs>
          <w:tab w:val="left" w:pos="560"/>
        </w:tabs>
        <w:wordWrap w:val="0"/>
        <w:topLinePunct/>
        <w:autoSpaceDE/>
        <w:autoSpaceDN/>
        <w:spacing w:before="0"/>
        <w:ind w:left="316" w:right="0" w:firstLine="480" w:firstLineChars="200"/>
        <w:jc w:val="left"/>
        <w:rPr>
          <w:b w:val="0"/>
          <w:bCs/>
          <w:sz w:val="24"/>
        </w:rPr>
      </w:pPr>
      <w:r>
        <w:rPr>
          <w:rFonts w:hint="eastAsia"/>
          <w:b w:val="0"/>
          <w:bCs/>
          <w:sz w:val="24"/>
        </w:rPr>
        <w:t>中标人负责牵头办理办理广佛大桥系统工程（一期）桥区航道调整工程施工项目的水中作业的有关手续，包括但不限于施工许可、纳泥许可、海事作业手续、航行通告、质量安全监督登记、排污许可等手续，同时为了按时推进工程进展，中标人应积极和有关部门进行必要的沟通和综合协调。上述相关费用已包含在投标报价中，招标人不再另行支付。</w:t>
      </w:r>
    </w:p>
    <w:p>
      <w:pPr>
        <w:numPr>
          <w:ilvl w:val="-1"/>
          <w:numId w:val="0"/>
        </w:numPr>
        <w:tabs>
          <w:tab w:val="left" w:pos="560"/>
        </w:tabs>
        <w:wordWrap w:val="0"/>
        <w:topLinePunct/>
        <w:autoSpaceDE/>
        <w:autoSpaceDN/>
        <w:spacing w:before="0"/>
        <w:ind w:left="316" w:right="0" w:firstLine="0"/>
        <w:jc w:val="left"/>
        <w:rPr>
          <w:b/>
          <w:sz w:val="24"/>
        </w:rPr>
      </w:pPr>
    </w:p>
    <w:p>
      <w:pPr>
        <w:numPr>
          <w:ilvl w:val="0"/>
          <w:numId w:val="1"/>
        </w:numPr>
        <w:tabs>
          <w:tab w:val="left" w:pos="560"/>
        </w:tabs>
        <w:wordWrap w:val="0"/>
        <w:topLinePunct/>
        <w:autoSpaceDE/>
        <w:autoSpaceDN/>
        <w:spacing w:before="0"/>
        <w:ind w:left="559" w:right="0" w:hanging="243"/>
        <w:jc w:val="left"/>
        <w:rPr>
          <w:b/>
          <w:sz w:val="24"/>
        </w:rPr>
      </w:pPr>
      <w:r>
        <w:rPr>
          <w:b/>
          <w:sz w:val="24"/>
        </w:rPr>
        <w:t>投标人资格要求</w:t>
      </w:r>
    </w:p>
    <w:p>
      <w:pPr>
        <w:pStyle w:val="5"/>
        <w:wordWrap w:val="0"/>
        <w:topLinePunct/>
        <w:autoSpaceDE/>
        <w:autoSpaceDN/>
        <w:spacing w:before="160" w:line="362" w:lineRule="auto"/>
        <w:ind w:left="421" w:right="314" w:firstLine="480"/>
      </w:pPr>
      <w:r>
        <w:t>3.13.1</w:t>
      </w:r>
      <w:r>
        <w:rPr>
          <w:spacing w:val="-8"/>
        </w:rPr>
        <w:t xml:space="preserve"> 本次招标要求投标人须具备</w:t>
      </w:r>
      <w:r>
        <w:rPr>
          <w:spacing w:val="-14"/>
          <w:u w:val="single"/>
        </w:rPr>
        <w:t xml:space="preserve">上述第 </w:t>
      </w:r>
      <w:r>
        <w:rPr>
          <w:u w:val="single"/>
        </w:rPr>
        <w:t>2.2</w:t>
      </w:r>
      <w:r>
        <w:rPr>
          <w:spacing w:val="-8"/>
          <w:u w:val="single"/>
        </w:rPr>
        <w:t xml:space="preserve"> 款表中所列相应</w:t>
      </w:r>
      <w:r>
        <w:rPr>
          <w:spacing w:val="-2"/>
        </w:rPr>
        <w:t>资质</w:t>
      </w:r>
      <w:r>
        <w:rPr>
          <w:strike/>
          <w:spacing w:val="-2"/>
        </w:rPr>
        <w:t>、业绩</w:t>
      </w:r>
      <w:r>
        <w:rPr>
          <w:spacing w:val="-2"/>
        </w:rPr>
        <w:t>，并在</w:t>
      </w:r>
      <w:r>
        <w:rPr>
          <w:u w:val="single"/>
        </w:rPr>
        <w:t>人员、设备、资金</w:t>
      </w:r>
      <w:r>
        <w:t>等方面具有相应的施工能力。</w:t>
      </w:r>
    </w:p>
    <w:p>
      <w:pPr>
        <w:pStyle w:val="12"/>
        <w:numPr>
          <w:ilvl w:val="1"/>
          <w:numId w:val="2"/>
        </w:numPr>
        <w:tabs>
          <w:tab w:val="left" w:pos="1157"/>
        </w:tabs>
        <w:wordWrap w:val="0"/>
        <w:topLinePunct/>
        <w:autoSpaceDE/>
        <w:autoSpaceDN/>
        <w:spacing w:before="39" w:after="0" w:line="240" w:lineRule="auto"/>
        <w:ind w:left="1157" w:right="0" w:hanging="361"/>
        <w:jc w:val="left"/>
        <w:rPr>
          <w:sz w:val="24"/>
        </w:rPr>
      </w:pPr>
      <w:r>
        <w:rPr>
          <w:sz w:val="24"/>
        </w:rPr>
        <w:t>本次招标不接受联合体投标。</w:t>
      </w:r>
    </w:p>
    <w:p>
      <w:pPr>
        <w:pStyle w:val="12"/>
        <w:numPr>
          <w:ilvl w:val="1"/>
          <w:numId w:val="2"/>
        </w:numPr>
        <w:tabs>
          <w:tab w:val="left" w:pos="1157"/>
        </w:tabs>
        <w:wordWrap w:val="0"/>
        <w:topLinePunct/>
        <w:autoSpaceDE/>
        <w:autoSpaceDN/>
        <w:spacing w:before="158" w:after="0" w:line="240" w:lineRule="auto"/>
        <w:ind w:left="1157" w:right="0" w:hanging="361"/>
        <w:jc w:val="left"/>
        <w:rPr>
          <w:sz w:val="24"/>
        </w:rPr>
      </w:pPr>
      <w:r>
        <w:rPr>
          <w:sz w:val="24"/>
        </w:rPr>
        <w:t>在本次招标中，每个投标人最多可以对1个</w:t>
      </w:r>
      <w:r>
        <w:rPr>
          <w:rFonts w:hint="eastAsia"/>
          <w:sz w:val="24"/>
          <w:lang w:val="en-US" w:eastAsia="zh-CN"/>
        </w:rPr>
        <w:t>B</w:t>
      </w:r>
      <w:r>
        <w:rPr>
          <w:sz w:val="24"/>
        </w:rPr>
        <w:t>类投标，只允许中一个标。</w:t>
      </w:r>
    </w:p>
    <w:p>
      <w:pPr>
        <w:pStyle w:val="12"/>
        <w:numPr>
          <w:ilvl w:val="1"/>
          <w:numId w:val="2"/>
        </w:numPr>
        <w:tabs>
          <w:tab w:val="left" w:pos="1157"/>
        </w:tabs>
        <w:wordWrap w:val="0"/>
        <w:topLinePunct/>
        <w:autoSpaceDE/>
        <w:autoSpaceDN/>
        <w:spacing w:before="161" w:after="0" w:line="364" w:lineRule="auto"/>
        <w:ind w:left="316" w:right="314" w:firstLine="480"/>
        <w:jc w:val="both"/>
        <w:rPr>
          <w:sz w:val="18"/>
        </w:rPr>
      </w:pPr>
      <w:r>
        <w:rPr>
          <w:sz w:val="24"/>
        </w:rPr>
        <w:t>与招标人存在利害关系可能影响招标公正性的法人、其他组织或个人，不得参</w:t>
      </w:r>
      <w:r>
        <w:rPr>
          <w:spacing w:val="-7"/>
          <w:sz w:val="24"/>
        </w:rPr>
        <w:t>加投标。单位负责人为同一人或者存在控股、管理关系的不同单位，不得参加同一标段</w:t>
      </w:r>
      <w:r>
        <w:rPr>
          <w:sz w:val="24"/>
        </w:rPr>
        <w:t>投标或者未划分标段的同一招标项目投标，否则按否决其投标处理。（注：单位负责人是指单位的法定代表人或者法律、行政法规规定代表单位行使职权的主要负责人；控股是指股份占股份有限公司股本总额的 50%以上的绝对控股、相对控股或协议控股；管理关系是指不具有出资持股关系的其他单位之间存在的管理与被管理关系）</w:t>
      </w:r>
    </w:p>
    <w:p>
      <w:pPr>
        <w:pStyle w:val="12"/>
        <w:numPr>
          <w:ilvl w:val="1"/>
          <w:numId w:val="2"/>
        </w:numPr>
        <w:tabs>
          <w:tab w:val="left" w:pos="1157"/>
        </w:tabs>
        <w:wordWrap w:val="0"/>
        <w:topLinePunct/>
        <w:autoSpaceDE/>
        <w:autoSpaceDN/>
        <w:spacing w:before="0" w:after="0" w:line="364" w:lineRule="auto"/>
        <w:ind w:left="316" w:right="314" w:firstLine="480"/>
        <w:jc w:val="both"/>
        <w:rPr>
          <w:sz w:val="24"/>
        </w:rPr>
      </w:pPr>
      <w:r>
        <w:rPr>
          <w:spacing w:val="-9"/>
          <w:sz w:val="24"/>
        </w:rPr>
        <w:t>在“信用中国”网站</w:t>
      </w:r>
      <w:r>
        <w:fldChar w:fldCharType="begin"/>
      </w:r>
      <w:r>
        <w:instrText xml:space="preserve"> HYPERLINK "http://www.creditchina.gov.cn/)%e4%b8%ad%e8%a2%ab%e5%88%97%e5%85%a5%e5%a4%b1%e4%bf%a1%e8%a2%ab%e6%89%a7" \h </w:instrText>
      </w:r>
      <w:r>
        <w:fldChar w:fldCharType="separate"/>
      </w:r>
      <w:r>
        <w:rPr>
          <w:sz w:val="24"/>
        </w:rPr>
        <w:t>（http://www.creditchina.gov.cn/)中被列入失信被执</w:t>
      </w:r>
      <w:r>
        <w:rPr>
          <w:sz w:val="24"/>
        </w:rPr>
        <w:fldChar w:fldCharType="end"/>
      </w:r>
      <w:r>
        <w:rPr>
          <w:spacing w:val="-15"/>
          <w:sz w:val="24"/>
        </w:rPr>
        <w:t>行</w:t>
      </w:r>
      <w:r>
        <w:rPr>
          <w:spacing w:val="-4"/>
          <w:sz w:val="24"/>
        </w:rPr>
        <w:t>人名单的投标人，在国家企业信用信息公示系统</w:t>
      </w:r>
      <w:r>
        <w:rPr>
          <w:sz w:val="24"/>
        </w:rPr>
        <w:t>（</w:t>
      </w:r>
      <w:r>
        <w:fldChar w:fldCharType="begin"/>
      </w:r>
      <w:r>
        <w:instrText xml:space="preserve"> HYPERLINK "http://www.gsxt.gov.cn/" \h </w:instrText>
      </w:r>
      <w:r>
        <w:fldChar w:fldCharType="separate"/>
      </w:r>
      <w:r>
        <w:rPr>
          <w:sz w:val="24"/>
        </w:rPr>
        <w:t>http://www.gsxt.gov.cn</w:t>
      </w:r>
      <w:r>
        <w:rPr>
          <w:sz w:val="24"/>
        </w:rPr>
        <w:fldChar w:fldCharType="end"/>
      </w:r>
      <w:r>
        <w:rPr>
          <w:sz w:val="24"/>
        </w:rPr>
        <w:t>）</w:t>
      </w:r>
      <w:r>
        <w:rPr>
          <w:spacing w:val="-4"/>
          <w:sz w:val="24"/>
        </w:rPr>
        <w:t>中被列入</w:t>
      </w:r>
      <w:r>
        <w:rPr>
          <w:sz w:val="24"/>
        </w:rPr>
        <w:t>严重违法失信企业名单的投标人，均按否决投标处理。</w:t>
      </w:r>
    </w:p>
    <w:p>
      <w:pPr>
        <w:pStyle w:val="12"/>
        <w:numPr>
          <w:ilvl w:val="1"/>
          <w:numId w:val="2"/>
        </w:numPr>
        <w:tabs>
          <w:tab w:val="left" w:pos="1157"/>
        </w:tabs>
        <w:wordWrap w:val="0"/>
        <w:topLinePunct/>
        <w:autoSpaceDE/>
        <w:autoSpaceDN/>
        <w:spacing w:before="0" w:after="0" w:line="364" w:lineRule="auto"/>
        <w:ind w:left="316" w:right="314" w:firstLine="480"/>
        <w:jc w:val="both"/>
        <w:rPr>
          <w:sz w:val="24"/>
        </w:rPr>
      </w:pPr>
      <w:r>
        <w:rPr>
          <w:rFonts w:hint="eastAsia"/>
          <w:sz w:val="24"/>
        </w:rPr>
        <w:t>投标人还应在广州交易集团有限公司（广州公共资源交易中心）办理企业信息登记，</w:t>
      </w:r>
      <w:r>
        <w:rPr>
          <w:rFonts w:hint="eastAsia"/>
          <w:b w:val="0"/>
          <w:spacing w:val="0"/>
          <w:w w:val="100"/>
          <w:sz w:val="24"/>
          <w:u w:val="none"/>
        </w:rPr>
        <w:t>项目负责人</w:t>
      </w:r>
      <w:r>
        <w:rPr>
          <w:rFonts w:hint="eastAsia"/>
          <w:b w:val="0"/>
          <w:w w:val="100"/>
          <w:sz w:val="24"/>
          <w:u w:val="none"/>
        </w:rPr>
        <w:t>（项目经理</w:t>
      </w:r>
      <w:r>
        <w:rPr>
          <w:rFonts w:hint="eastAsia"/>
          <w:b w:val="0"/>
          <w:spacing w:val="0"/>
          <w:w w:val="100"/>
          <w:sz w:val="24"/>
          <w:u w:val="none"/>
        </w:rPr>
        <w:t>）、</w:t>
      </w:r>
      <w:r>
        <w:rPr>
          <w:rFonts w:hint="eastAsia"/>
          <w:b w:val="0"/>
          <w:spacing w:val="0"/>
          <w:w w:val="100"/>
          <w:sz w:val="24"/>
          <w:u w:val="none"/>
          <w:lang w:val="en-US" w:eastAsia="zh-CN"/>
        </w:rPr>
        <w:t>专职</w:t>
      </w:r>
      <w:r>
        <w:rPr>
          <w:rFonts w:hint="eastAsia"/>
          <w:b w:val="0"/>
          <w:spacing w:val="0"/>
          <w:w w:val="100"/>
          <w:sz w:val="24"/>
          <w:u w:val="none"/>
        </w:rPr>
        <w:t>安全员</w:t>
      </w:r>
      <w:r>
        <w:rPr>
          <w:rFonts w:hint="eastAsia"/>
          <w:b w:val="0"/>
          <w:spacing w:val="0"/>
          <w:w w:val="100"/>
          <w:sz w:val="24"/>
          <w:u w:val="none"/>
          <w:lang w:val="en-US" w:eastAsia="zh-CN"/>
        </w:rPr>
        <w:t>必须为本公司在册人员，</w:t>
      </w:r>
      <w:r>
        <w:rPr>
          <w:rFonts w:hint="eastAsia"/>
          <w:sz w:val="24"/>
        </w:rPr>
        <w:t>未办理企业信息登记的投标申请将不予受理。</w:t>
      </w:r>
    </w:p>
    <w:p>
      <w:pPr>
        <w:numPr>
          <w:ilvl w:val="0"/>
          <w:numId w:val="1"/>
        </w:numPr>
        <w:tabs>
          <w:tab w:val="left" w:pos="1040"/>
        </w:tabs>
        <w:wordWrap w:val="0"/>
        <w:topLinePunct/>
        <w:autoSpaceDE/>
        <w:autoSpaceDN/>
        <w:spacing w:before="0" w:line="307" w:lineRule="exact"/>
        <w:ind w:left="1039" w:right="0" w:hanging="243"/>
        <w:jc w:val="left"/>
        <w:rPr>
          <w:b/>
          <w:sz w:val="24"/>
        </w:rPr>
      </w:pPr>
      <w:r>
        <w:rPr>
          <w:b/>
          <w:sz w:val="24"/>
        </w:rPr>
        <w:t>招标文件的获取</w:t>
      </w:r>
    </w:p>
    <w:p>
      <w:pPr>
        <w:pStyle w:val="12"/>
        <w:numPr>
          <w:ilvl w:val="1"/>
          <w:numId w:val="1"/>
        </w:numPr>
        <w:tabs>
          <w:tab w:val="left" w:pos="1276"/>
        </w:tabs>
        <w:wordWrap w:val="0"/>
        <w:topLinePunct/>
        <w:autoSpaceDE/>
        <w:autoSpaceDN/>
        <w:spacing w:before="154" w:after="0" w:line="364" w:lineRule="auto"/>
        <w:ind w:left="316" w:right="194" w:firstLine="480"/>
        <w:jc w:val="both"/>
        <w:rPr>
          <w:sz w:val="24"/>
          <w:szCs w:val="24"/>
          <w:highlight w:val="none"/>
        </w:rPr>
      </w:pPr>
      <w:r>
        <w:rPr>
          <w:spacing w:val="-9"/>
          <w:sz w:val="24"/>
          <w:szCs w:val="24"/>
          <w:highlight w:val="none"/>
        </w:rPr>
        <w:t xml:space="preserve">凡有意参加投标者，请于 </w:t>
      </w:r>
      <w:r>
        <w:rPr>
          <w:sz w:val="24"/>
          <w:szCs w:val="24"/>
          <w:highlight w:val="none"/>
          <w:u w:val="single"/>
        </w:rPr>
        <w:t>2023</w:t>
      </w:r>
      <w:r>
        <w:rPr>
          <w:spacing w:val="-40"/>
          <w:sz w:val="24"/>
          <w:szCs w:val="24"/>
          <w:highlight w:val="none"/>
        </w:rPr>
        <w:t xml:space="preserve"> 年</w:t>
      </w:r>
      <w:r>
        <w:rPr>
          <w:rFonts w:hint="eastAsia"/>
          <w:spacing w:val="-40"/>
          <w:sz w:val="24"/>
          <w:szCs w:val="24"/>
          <w:highlight w:val="none"/>
          <w:u w:val="single"/>
          <w:lang w:val="en-US" w:eastAsia="zh-CN"/>
        </w:rPr>
        <w:t xml:space="preserve">   </w:t>
      </w:r>
      <w:r>
        <w:rPr>
          <w:spacing w:val="-40"/>
          <w:sz w:val="24"/>
          <w:szCs w:val="24"/>
          <w:highlight w:val="none"/>
        </w:rPr>
        <w:t xml:space="preserve"> 月 </w:t>
      </w:r>
      <w:r>
        <w:rPr>
          <w:rFonts w:hint="eastAsia"/>
          <w:sz w:val="24"/>
          <w:szCs w:val="24"/>
          <w:highlight w:val="none"/>
          <w:u w:val="single"/>
          <w:lang w:val="en-US" w:eastAsia="zh-CN"/>
        </w:rPr>
        <w:t xml:space="preserve">    </w:t>
      </w:r>
      <w:r>
        <w:rPr>
          <w:spacing w:val="-30"/>
          <w:sz w:val="24"/>
          <w:szCs w:val="24"/>
          <w:highlight w:val="none"/>
        </w:rPr>
        <w:t xml:space="preserve">日至 </w:t>
      </w:r>
      <w:r>
        <w:rPr>
          <w:sz w:val="24"/>
          <w:szCs w:val="24"/>
          <w:highlight w:val="none"/>
          <w:u w:val="single"/>
        </w:rPr>
        <w:t>2023</w:t>
      </w:r>
      <w:r>
        <w:rPr>
          <w:spacing w:val="-40"/>
          <w:sz w:val="24"/>
          <w:szCs w:val="24"/>
          <w:highlight w:val="none"/>
        </w:rPr>
        <w:t xml:space="preserve"> 年</w:t>
      </w:r>
      <w:r>
        <w:rPr>
          <w:rFonts w:hint="eastAsia"/>
          <w:spacing w:val="-40"/>
          <w:sz w:val="24"/>
          <w:szCs w:val="24"/>
          <w:highlight w:val="none"/>
          <w:u w:val="single"/>
          <w:lang w:eastAsia="zh-CN"/>
        </w:rPr>
        <w:t xml:space="preserve"> </w:t>
      </w:r>
      <w:r>
        <w:rPr>
          <w:rFonts w:hint="eastAsia"/>
          <w:spacing w:val="-40"/>
          <w:sz w:val="24"/>
          <w:szCs w:val="24"/>
          <w:highlight w:val="none"/>
          <w:u w:val="single"/>
          <w:lang w:val="en-US" w:eastAsia="zh-CN"/>
        </w:rPr>
        <w:t xml:space="preserve">   </w:t>
      </w:r>
      <w:r>
        <w:rPr>
          <w:spacing w:val="-40"/>
          <w:sz w:val="24"/>
          <w:szCs w:val="24"/>
          <w:highlight w:val="none"/>
        </w:rPr>
        <w:t xml:space="preserve"> 月 </w:t>
      </w:r>
      <w:r>
        <w:rPr>
          <w:rFonts w:hint="eastAsia"/>
          <w:sz w:val="24"/>
          <w:szCs w:val="24"/>
          <w:highlight w:val="none"/>
          <w:u w:val="single"/>
          <w:lang w:val="en-US" w:eastAsia="zh-CN"/>
        </w:rPr>
        <w:t xml:space="preserve">    </w:t>
      </w:r>
      <w:r>
        <w:rPr>
          <w:spacing w:val="-44"/>
          <w:sz w:val="24"/>
          <w:szCs w:val="24"/>
          <w:highlight w:val="none"/>
        </w:rPr>
        <w:t xml:space="preserve"> 日</w:t>
      </w:r>
      <w:r>
        <w:rPr>
          <w:sz w:val="24"/>
          <w:szCs w:val="24"/>
          <w:highlight w:val="none"/>
        </w:rPr>
        <w:t>（</w:t>
      </w:r>
      <w:r>
        <w:rPr>
          <w:spacing w:val="-3"/>
          <w:sz w:val="24"/>
          <w:szCs w:val="24"/>
          <w:highlight w:val="none"/>
        </w:rPr>
        <w:t>法定公休日、</w:t>
      </w:r>
      <w:r>
        <w:rPr>
          <w:sz w:val="24"/>
          <w:szCs w:val="24"/>
          <w:highlight w:val="none"/>
        </w:rPr>
        <w:t>法定节假日除外</w:t>
      </w:r>
      <w:r>
        <w:rPr>
          <w:spacing w:val="-28"/>
          <w:sz w:val="24"/>
          <w:szCs w:val="24"/>
          <w:highlight w:val="none"/>
        </w:rPr>
        <w:t>）</w:t>
      </w:r>
      <w:r>
        <w:rPr>
          <w:spacing w:val="-16"/>
          <w:sz w:val="24"/>
          <w:szCs w:val="24"/>
          <w:highlight w:val="none"/>
        </w:rPr>
        <w:t xml:space="preserve">，每日上午 </w:t>
      </w:r>
      <w:r>
        <w:rPr>
          <w:sz w:val="24"/>
          <w:szCs w:val="24"/>
          <w:highlight w:val="none"/>
          <w:u w:val="single"/>
        </w:rPr>
        <w:t>9:30</w:t>
      </w:r>
      <w:r>
        <w:rPr>
          <w:spacing w:val="-16"/>
          <w:sz w:val="24"/>
          <w:szCs w:val="24"/>
          <w:highlight w:val="none"/>
        </w:rPr>
        <w:t xml:space="preserve"> 时至 </w:t>
      </w:r>
      <w:r>
        <w:rPr>
          <w:sz w:val="24"/>
          <w:szCs w:val="24"/>
          <w:highlight w:val="none"/>
          <w:u w:val="single"/>
        </w:rPr>
        <w:t>11:30</w:t>
      </w:r>
      <w:r>
        <w:rPr>
          <w:spacing w:val="-30"/>
          <w:sz w:val="24"/>
          <w:szCs w:val="24"/>
          <w:highlight w:val="none"/>
          <w:u w:val="single"/>
        </w:rPr>
        <w:t xml:space="preserve"> 时</w:t>
      </w:r>
      <w:r>
        <w:rPr>
          <w:spacing w:val="-23"/>
          <w:sz w:val="24"/>
          <w:szCs w:val="24"/>
          <w:highlight w:val="none"/>
        </w:rPr>
        <w:t xml:space="preserve">，下午 </w:t>
      </w:r>
      <w:r>
        <w:rPr>
          <w:sz w:val="24"/>
          <w:szCs w:val="24"/>
          <w:highlight w:val="none"/>
          <w:u w:val="single"/>
        </w:rPr>
        <w:t>2:00</w:t>
      </w:r>
      <w:r>
        <w:rPr>
          <w:spacing w:val="-30"/>
          <w:sz w:val="24"/>
          <w:szCs w:val="24"/>
          <w:highlight w:val="none"/>
        </w:rPr>
        <w:t xml:space="preserve"> 时至 </w:t>
      </w:r>
      <w:r>
        <w:rPr>
          <w:sz w:val="24"/>
          <w:szCs w:val="24"/>
          <w:highlight w:val="none"/>
          <w:u w:val="single"/>
        </w:rPr>
        <w:t>4:00</w:t>
      </w:r>
      <w:r>
        <w:rPr>
          <w:spacing w:val="-45"/>
          <w:sz w:val="24"/>
          <w:szCs w:val="24"/>
          <w:highlight w:val="none"/>
          <w:u w:val="single"/>
        </w:rPr>
        <w:t xml:space="preserve"> 时</w:t>
      </w:r>
      <w:r>
        <w:rPr>
          <w:sz w:val="24"/>
          <w:szCs w:val="24"/>
          <w:highlight w:val="none"/>
        </w:rPr>
        <w:t>（</w:t>
      </w:r>
      <w:r>
        <w:rPr>
          <w:spacing w:val="-3"/>
          <w:sz w:val="24"/>
          <w:szCs w:val="24"/>
          <w:highlight w:val="none"/>
        </w:rPr>
        <w:t xml:space="preserve">北京时间， </w:t>
      </w:r>
      <w:r>
        <w:rPr>
          <w:spacing w:val="-29"/>
          <w:sz w:val="24"/>
          <w:szCs w:val="24"/>
          <w:highlight w:val="none"/>
        </w:rPr>
        <w:t xml:space="preserve">下 同 </w:t>
      </w:r>
      <w:r>
        <w:rPr>
          <w:sz w:val="24"/>
          <w:szCs w:val="24"/>
          <w:highlight w:val="none"/>
        </w:rPr>
        <w:t>）</w:t>
      </w:r>
      <w:r>
        <w:rPr>
          <w:spacing w:val="-38"/>
          <w:sz w:val="24"/>
          <w:szCs w:val="24"/>
          <w:highlight w:val="none"/>
        </w:rPr>
        <w:t xml:space="preserve"> ， </w:t>
      </w:r>
      <w:r>
        <w:rPr>
          <w:spacing w:val="-34"/>
          <w:sz w:val="24"/>
          <w:szCs w:val="24"/>
          <w:highlight w:val="none"/>
          <w:u w:val="single"/>
        </w:rPr>
        <w:t xml:space="preserve">登 陆 </w:t>
      </w:r>
      <w:r>
        <w:rPr>
          <w:rFonts w:hint="eastAsia"/>
          <w:sz w:val="24"/>
          <w:highlight w:val="none"/>
        </w:rPr>
        <w:t>广州交易集团有限公司（广州公共资源交易中心）</w:t>
      </w:r>
      <w:r>
        <w:rPr>
          <w:spacing w:val="-29"/>
          <w:sz w:val="24"/>
          <w:szCs w:val="24"/>
          <w:highlight w:val="none"/>
          <w:u w:val="single"/>
        </w:rPr>
        <w:t xml:space="preserve"> 网 站</w:t>
      </w:r>
      <w:r>
        <w:rPr>
          <w:spacing w:val="-1"/>
          <w:sz w:val="24"/>
          <w:szCs w:val="24"/>
          <w:highlight w:val="none"/>
          <w:u w:val="single"/>
        </w:rPr>
        <w:t>（</w:t>
      </w:r>
      <w:r>
        <w:rPr>
          <w:sz w:val="24"/>
          <w:szCs w:val="24"/>
          <w:highlight w:val="none"/>
        </w:rPr>
        <w:fldChar w:fldCharType="begin"/>
      </w:r>
      <w:r>
        <w:rPr>
          <w:sz w:val="24"/>
          <w:szCs w:val="24"/>
          <w:highlight w:val="none"/>
        </w:rPr>
        <w:instrText xml:space="preserve"> HYPERLINK "http://www.gzggzy.cn/" \h </w:instrText>
      </w:r>
      <w:r>
        <w:rPr>
          <w:sz w:val="24"/>
          <w:szCs w:val="24"/>
          <w:highlight w:val="none"/>
        </w:rPr>
        <w:fldChar w:fldCharType="separate"/>
      </w:r>
      <w:r>
        <w:rPr>
          <w:spacing w:val="-1"/>
          <w:sz w:val="24"/>
          <w:szCs w:val="24"/>
          <w:highlight w:val="none"/>
          <w:u w:val="single"/>
        </w:rPr>
        <w:t>http://www.gzggzy.cn</w:t>
      </w:r>
      <w:r>
        <w:rPr>
          <w:spacing w:val="-1"/>
          <w:sz w:val="24"/>
          <w:szCs w:val="24"/>
          <w:highlight w:val="none"/>
          <w:u w:val="single"/>
        </w:rPr>
        <w:fldChar w:fldCharType="end"/>
      </w:r>
      <w:r>
        <w:rPr>
          <w:spacing w:val="-1"/>
          <w:sz w:val="24"/>
          <w:szCs w:val="24"/>
          <w:highlight w:val="none"/>
          <w:u w:val="single"/>
        </w:rPr>
        <w:t>）</w:t>
      </w:r>
      <w:r>
        <w:rPr>
          <w:rFonts w:hint="eastAsia"/>
          <w:spacing w:val="-1"/>
          <w:sz w:val="24"/>
          <w:szCs w:val="24"/>
          <w:highlight w:val="none"/>
          <w:u w:val="single"/>
          <w:lang w:val="en-US" w:eastAsia="zh-CN"/>
        </w:rPr>
        <w:t>数字</w:t>
      </w:r>
      <w:r>
        <w:rPr>
          <w:spacing w:val="-5"/>
          <w:sz w:val="24"/>
          <w:szCs w:val="24"/>
          <w:highlight w:val="none"/>
          <w:u w:val="single"/>
        </w:rPr>
        <w:t>交易平台</w:t>
      </w:r>
      <w:r>
        <w:rPr>
          <w:rFonts w:ascii="宋体" w:hAnsi="宋体" w:eastAsia="宋体" w:cs="宋体"/>
          <w:color w:val="auto"/>
          <w:spacing w:val="-5"/>
          <w:sz w:val="24"/>
          <w:szCs w:val="24"/>
          <w:highlight w:val="none"/>
          <w:u w:val="single"/>
        </w:rPr>
        <w:t>（即</w:t>
      </w:r>
      <w:r>
        <w:rPr>
          <w:rFonts w:hint="default" w:ascii="宋体" w:hAnsi="宋体" w:eastAsia="宋体" w:cs="宋体"/>
          <w:color w:val="auto"/>
          <w:spacing w:val="-5"/>
          <w:sz w:val="24"/>
          <w:szCs w:val="24"/>
          <w:highlight w:val="none"/>
          <w:u w:val="single"/>
        </w:rPr>
        <w:t>电子招标投标</w:t>
      </w:r>
      <w:r>
        <w:rPr>
          <w:rFonts w:hint="default" w:ascii="宋体" w:hAnsi="宋体" w:eastAsia="宋体" w:cs="宋体"/>
          <w:color w:val="auto"/>
          <w:spacing w:val="-5"/>
          <w:sz w:val="24"/>
          <w:szCs w:val="24"/>
          <w:highlight w:val="none"/>
          <w:u w:val="single"/>
          <w:lang w:val="en-US" w:eastAsia="zh-CN"/>
        </w:rPr>
        <w:t>数字</w:t>
      </w:r>
      <w:r>
        <w:rPr>
          <w:rFonts w:hint="default" w:ascii="宋体" w:hAnsi="宋体" w:eastAsia="宋体" w:cs="宋体"/>
          <w:color w:val="auto"/>
          <w:spacing w:val="-5"/>
          <w:sz w:val="24"/>
          <w:szCs w:val="24"/>
          <w:highlight w:val="none"/>
          <w:u w:val="single"/>
        </w:rPr>
        <w:t>交易平台，下同）</w:t>
      </w:r>
      <w:r>
        <w:rPr>
          <w:sz w:val="24"/>
          <w:szCs w:val="24"/>
          <w:highlight w:val="none"/>
          <w:u w:val="single"/>
        </w:rPr>
        <w:t>选择对应标段进行投标</w:t>
      </w:r>
      <w:r>
        <w:rPr>
          <w:rFonts w:hint="eastAsia"/>
          <w:sz w:val="24"/>
          <w:szCs w:val="24"/>
          <w:highlight w:val="none"/>
          <w:u w:val="single"/>
          <w:lang w:val="en-US" w:eastAsia="zh-CN"/>
        </w:rPr>
        <w:t>登记</w:t>
      </w:r>
      <w:r>
        <w:rPr>
          <w:sz w:val="24"/>
          <w:szCs w:val="24"/>
          <w:highlight w:val="none"/>
          <w:u w:val="single"/>
        </w:rPr>
        <w:t>（</w:t>
      </w:r>
      <w:r>
        <w:rPr>
          <w:spacing w:val="-5"/>
          <w:sz w:val="24"/>
          <w:szCs w:val="24"/>
          <w:highlight w:val="none"/>
          <w:u w:val="single"/>
        </w:rPr>
        <w:t>北京时间，下同</w:t>
      </w:r>
      <w:r>
        <w:rPr>
          <w:spacing w:val="-11"/>
          <w:sz w:val="24"/>
          <w:szCs w:val="24"/>
          <w:highlight w:val="none"/>
          <w:u w:val="single"/>
        </w:rPr>
        <w:t>）</w:t>
      </w:r>
      <w:r>
        <w:rPr>
          <w:spacing w:val="-6"/>
          <w:sz w:val="24"/>
          <w:szCs w:val="24"/>
          <w:highlight w:val="none"/>
          <w:u w:val="single"/>
        </w:rPr>
        <w:t>,同时将相关资料</w:t>
      </w:r>
      <w:r>
        <w:rPr>
          <w:sz w:val="24"/>
          <w:szCs w:val="24"/>
          <w:highlight w:val="none"/>
          <w:u w:val="single"/>
        </w:rPr>
        <w:t>（</w:t>
      </w:r>
      <w:r>
        <w:rPr>
          <w:spacing w:val="-15"/>
          <w:sz w:val="24"/>
          <w:szCs w:val="24"/>
          <w:highlight w:val="none"/>
          <w:u w:val="single"/>
        </w:rPr>
        <w:t xml:space="preserve">见公告 </w:t>
      </w:r>
      <w:r>
        <w:rPr>
          <w:spacing w:val="-6"/>
          <w:sz w:val="24"/>
          <w:szCs w:val="24"/>
          <w:highlight w:val="none"/>
          <w:u w:val="single"/>
        </w:rPr>
        <w:t>4.2）</w:t>
      </w:r>
      <w:r>
        <w:rPr>
          <w:sz w:val="24"/>
          <w:szCs w:val="24"/>
          <w:highlight w:val="none"/>
          <w:u w:val="single"/>
        </w:rPr>
        <w:t>盖单位公章的彩色扫描件发送</w:t>
      </w:r>
      <w:r>
        <w:rPr>
          <w:rFonts w:hint="eastAsia"/>
          <w:sz w:val="24"/>
          <w:szCs w:val="24"/>
          <w:highlight w:val="none"/>
          <w:u w:val="single"/>
          <w:lang w:val="en-US" w:eastAsia="zh-CN"/>
        </w:rPr>
        <w:t>gzgyzxgs@qq.com</w:t>
      </w:r>
      <w:r>
        <w:rPr>
          <w:sz w:val="24"/>
          <w:szCs w:val="24"/>
          <w:highlight w:val="none"/>
          <w:u w:val="single"/>
        </w:rPr>
        <w:t>。网上投标登记和相关资料的电子邮件经招标人（招标代理机构）确认后，投标人方可自行下载招标文件等相关资料</w:t>
      </w:r>
      <w:r>
        <w:rPr>
          <w:sz w:val="24"/>
          <w:szCs w:val="24"/>
          <w:highlight w:val="none"/>
        </w:rPr>
        <w:t>。</w:t>
      </w:r>
    </w:p>
    <w:p>
      <w:pPr>
        <w:pStyle w:val="12"/>
        <w:numPr>
          <w:ilvl w:val="1"/>
          <w:numId w:val="1"/>
        </w:numPr>
        <w:tabs>
          <w:tab w:val="left" w:pos="1216"/>
        </w:tabs>
        <w:wordWrap w:val="0"/>
        <w:topLinePunct/>
        <w:autoSpaceDE/>
        <w:autoSpaceDN/>
        <w:spacing w:before="0" w:after="0" w:line="240" w:lineRule="auto"/>
        <w:ind w:left="1216" w:right="0" w:hanging="420"/>
        <w:jc w:val="left"/>
        <w:rPr>
          <w:sz w:val="24"/>
          <w:highlight w:val="none"/>
        </w:rPr>
      </w:pPr>
      <w:r>
        <w:rPr>
          <w:sz w:val="24"/>
          <w:highlight w:val="none"/>
          <w:u w:val="single"/>
        </w:rPr>
        <w:t>投标登记和招标文件的获取需提供资料：</w:t>
      </w:r>
    </w:p>
    <w:p>
      <w:pPr>
        <w:pStyle w:val="12"/>
        <w:numPr>
          <w:ilvl w:val="0"/>
          <w:numId w:val="3"/>
        </w:numPr>
        <w:tabs>
          <w:tab w:val="left" w:pos="1402"/>
        </w:tabs>
        <w:wordWrap w:val="0"/>
        <w:topLinePunct/>
        <w:autoSpaceDE/>
        <w:autoSpaceDN/>
        <w:spacing w:before="155" w:after="0" w:line="364" w:lineRule="auto"/>
        <w:ind w:left="316" w:right="314" w:firstLine="480"/>
        <w:jc w:val="both"/>
        <w:rPr>
          <w:b/>
          <w:sz w:val="24"/>
          <w:szCs w:val="24"/>
          <w:highlight w:val="none"/>
        </w:rPr>
      </w:pPr>
      <w:r>
        <w:rPr>
          <w:sz w:val="24"/>
          <w:szCs w:val="24"/>
          <w:highlight w:val="none"/>
          <w:u w:val="single"/>
        </w:rPr>
        <w:t>“投标登记申请表”二份【表格在</w:t>
      </w:r>
      <w:r>
        <w:rPr>
          <w:rFonts w:hint="eastAsia"/>
          <w:sz w:val="24"/>
          <w:szCs w:val="24"/>
          <w:highlight w:val="none"/>
        </w:rPr>
        <w:t>广州交易集团有限公司（广州公共资源交易中心）</w:t>
      </w:r>
      <w:r>
        <w:rPr>
          <w:spacing w:val="-2"/>
          <w:sz w:val="24"/>
          <w:szCs w:val="24"/>
          <w:highlight w:val="none"/>
          <w:u w:val="single"/>
        </w:rPr>
        <w:t>网上</w:t>
      </w:r>
      <w:r>
        <w:rPr>
          <w:rFonts w:hint="eastAsia"/>
          <w:spacing w:val="-2"/>
          <w:sz w:val="24"/>
          <w:szCs w:val="24"/>
          <w:highlight w:val="none"/>
          <w:u w:val="single"/>
          <w:lang w:val="en-US" w:eastAsia="zh-CN"/>
        </w:rPr>
        <w:t>数字交易平台</w:t>
      </w:r>
      <w:r>
        <w:rPr>
          <w:spacing w:val="-2"/>
          <w:sz w:val="24"/>
          <w:szCs w:val="24"/>
          <w:highlight w:val="none"/>
          <w:u w:val="single"/>
        </w:rPr>
        <w:t xml:space="preserve">下载，须有投标人单位公章和法定代表人盖章，见公告附件 </w:t>
      </w:r>
      <w:r>
        <w:rPr>
          <w:sz w:val="24"/>
          <w:szCs w:val="24"/>
          <w:highlight w:val="none"/>
          <w:u w:val="single"/>
        </w:rPr>
        <w:t>4】；</w:t>
      </w:r>
      <w:r>
        <w:rPr>
          <w:b/>
          <w:sz w:val="24"/>
          <w:szCs w:val="24"/>
          <w:highlight w:val="none"/>
          <w:u w:val="single"/>
        </w:rPr>
        <w:t>投标文件</w:t>
      </w:r>
      <w:r>
        <w:rPr>
          <w:b/>
          <w:w w:val="95"/>
          <w:sz w:val="24"/>
          <w:szCs w:val="24"/>
          <w:highlight w:val="none"/>
          <w:u w:val="single"/>
        </w:rPr>
        <w:t>中</w:t>
      </w:r>
      <w:r>
        <w:rPr>
          <w:b/>
          <w:spacing w:val="-4"/>
          <w:w w:val="95"/>
          <w:sz w:val="24"/>
          <w:szCs w:val="24"/>
          <w:highlight w:val="none"/>
          <w:u w:val="single"/>
        </w:rPr>
        <w:t>项目负责人</w:t>
      </w:r>
      <w:r>
        <w:rPr>
          <w:b/>
          <w:w w:val="95"/>
          <w:sz w:val="24"/>
          <w:szCs w:val="24"/>
          <w:highlight w:val="none"/>
          <w:u w:val="single"/>
        </w:rPr>
        <w:t>（项目经理</w:t>
      </w:r>
      <w:r>
        <w:rPr>
          <w:b/>
          <w:spacing w:val="-20"/>
          <w:w w:val="95"/>
          <w:sz w:val="24"/>
          <w:szCs w:val="24"/>
          <w:highlight w:val="none"/>
          <w:u w:val="single"/>
        </w:rPr>
        <w:t>）</w:t>
      </w:r>
      <w:r>
        <w:rPr>
          <w:b/>
          <w:spacing w:val="-6"/>
          <w:w w:val="95"/>
          <w:sz w:val="24"/>
          <w:szCs w:val="24"/>
          <w:highlight w:val="none"/>
          <w:u w:val="single"/>
        </w:rPr>
        <w:t>、安全员的内容必须与投标登记申请表中项目负责人</w:t>
      </w:r>
      <w:r>
        <w:rPr>
          <w:b/>
          <w:w w:val="95"/>
          <w:sz w:val="24"/>
          <w:szCs w:val="24"/>
          <w:highlight w:val="none"/>
          <w:u w:val="single"/>
        </w:rPr>
        <w:t>（项目</w:t>
      </w:r>
      <w:r>
        <w:rPr>
          <w:b/>
          <w:sz w:val="24"/>
          <w:szCs w:val="24"/>
          <w:highlight w:val="none"/>
          <w:u w:val="single"/>
        </w:rPr>
        <w:t>经理）、安全员的内容一致；</w:t>
      </w:r>
    </w:p>
    <w:p>
      <w:pPr>
        <w:pStyle w:val="12"/>
        <w:numPr>
          <w:ilvl w:val="0"/>
          <w:numId w:val="3"/>
        </w:numPr>
        <w:tabs>
          <w:tab w:val="left" w:pos="1397"/>
        </w:tabs>
        <w:wordWrap w:val="0"/>
        <w:topLinePunct/>
        <w:autoSpaceDE/>
        <w:autoSpaceDN/>
        <w:spacing w:before="0" w:after="0" w:line="305" w:lineRule="exact"/>
        <w:ind w:left="1397" w:right="0" w:hanging="601"/>
        <w:jc w:val="left"/>
        <w:rPr>
          <w:sz w:val="24"/>
          <w:highlight w:val="none"/>
        </w:rPr>
      </w:pPr>
      <w:r>
        <w:rPr>
          <w:sz w:val="24"/>
          <w:highlight w:val="none"/>
          <w:u w:val="single"/>
        </w:rPr>
        <w:t>招标文件领取登记表一份（</w:t>
      </w:r>
      <w:r>
        <w:rPr>
          <w:spacing w:val="-10"/>
          <w:sz w:val="24"/>
          <w:highlight w:val="none"/>
          <w:u w:val="single"/>
        </w:rPr>
        <w:t xml:space="preserve">见公告附件 </w:t>
      </w:r>
      <w:r>
        <w:rPr>
          <w:sz w:val="24"/>
          <w:highlight w:val="none"/>
          <w:u w:val="single"/>
        </w:rPr>
        <w:t>5，盖公章）；</w:t>
      </w:r>
    </w:p>
    <w:p>
      <w:pPr>
        <w:pStyle w:val="12"/>
        <w:numPr>
          <w:ilvl w:val="0"/>
          <w:numId w:val="3"/>
        </w:numPr>
        <w:tabs>
          <w:tab w:val="left" w:pos="1404"/>
        </w:tabs>
        <w:wordWrap w:val="0"/>
        <w:topLinePunct/>
        <w:autoSpaceDE/>
        <w:autoSpaceDN/>
        <w:spacing w:before="161" w:after="0" w:line="362" w:lineRule="auto"/>
        <w:ind w:left="316" w:right="315" w:firstLine="480"/>
        <w:jc w:val="left"/>
        <w:rPr>
          <w:sz w:val="24"/>
          <w:highlight w:val="none"/>
        </w:rPr>
      </w:pPr>
      <w:r>
        <w:rPr>
          <w:sz w:val="24"/>
          <w:highlight w:val="none"/>
          <w:u w:val="single"/>
        </w:rPr>
        <w:t>法定代表人证明书原件、法定代表人授权委托书原件（授权内容必须包含投</w:t>
      </w:r>
      <w:r>
        <w:rPr>
          <w:spacing w:val="-180"/>
          <w:sz w:val="24"/>
          <w:highlight w:val="none"/>
          <w:u w:val="single"/>
        </w:rPr>
        <w:t>标 登</w:t>
      </w:r>
      <w:r>
        <w:rPr>
          <w:sz w:val="24"/>
          <w:highlight w:val="none"/>
          <w:u w:val="single"/>
        </w:rPr>
        <w:t>记和获取招标文件）及盖有公章的被授权人有效身份证复印件；</w:t>
      </w:r>
    </w:p>
    <w:p>
      <w:pPr>
        <w:pStyle w:val="12"/>
        <w:numPr>
          <w:ilvl w:val="0"/>
          <w:numId w:val="3"/>
        </w:numPr>
        <w:tabs>
          <w:tab w:val="left" w:pos="1402"/>
        </w:tabs>
        <w:wordWrap w:val="0"/>
        <w:topLinePunct/>
        <w:autoSpaceDE/>
        <w:autoSpaceDN/>
        <w:spacing w:before="5" w:after="0" w:line="364" w:lineRule="auto"/>
        <w:ind w:left="316" w:right="194" w:firstLine="480"/>
        <w:jc w:val="left"/>
        <w:rPr>
          <w:sz w:val="24"/>
          <w:highlight w:val="none"/>
        </w:rPr>
      </w:pPr>
      <w:r>
        <w:rPr>
          <w:sz w:val="24"/>
          <w:highlight w:val="none"/>
          <w:u w:val="single"/>
        </w:rPr>
        <w:t>“投标登记申请表”中法人单位的营业执照、资质证书、安全生产许可证、</w:t>
      </w:r>
      <w:r>
        <w:rPr>
          <w:spacing w:val="-125"/>
          <w:sz w:val="24"/>
          <w:highlight w:val="none"/>
          <w:u w:val="single"/>
        </w:rPr>
        <w:t>项</w:t>
      </w:r>
      <w:r>
        <w:rPr>
          <w:spacing w:val="-70"/>
          <w:sz w:val="24"/>
          <w:highlight w:val="none"/>
          <w:u w:val="single"/>
        </w:rPr>
        <w:t xml:space="preserve"> </w:t>
      </w:r>
      <w:r>
        <w:rPr>
          <w:spacing w:val="-64"/>
          <w:sz w:val="24"/>
          <w:highlight w:val="none"/>
          <w:u w:val="single"/>
        </w:rPr>
        <w:t>目负责人</w:t>
      </w:r>
      <w:r>
        <w:rPr>
          <w:spacing w:val="-3"/>
          <w:sz w:val="24"/>
          <w:highlight w:val="none"/>
          <w:u w:val="single"/>
        </w:rPr>
        <w:t>（</w:t>
      </w:r>
      <w:r>
        <w:rPr>
          <w:sz w:val="24"/>
          <w:highlight w:val="none"/>
          <w:u w:val="single"/>
        </w:rPr>
        <w:t>项目经理</w:t>
      </w:r>
      <w:r>
        <w:rPr>
          <w:spacing w:val="-34"/>
          <w:sz w:val="24"/>
          <w:highlight w:val="none"/>
          <w:u w:val="single"/>
        </w:rPr>
        <w:t>）</w:t>
      </w:r>
      <w:r>
        <w:rPr>
          <w:spacing w:val="-2"/>
          <w:sz w:val="24"/>
          <w:highlight w:val="none"/>
          <w:u w:val="single"/>
        </w:rPr>
        <w:t>资格证书和安全员的资格证书等彩色复印件一套</w:t>
      </w:r>
      <w:r>
        <w:rPr>
          <w:sz w:val="24"/>
          <w:highlight w:val="none"/>
          <w:u w:val="single"/>
        </w:rPr>
        <w:t>（加盖公章</w:t>
      </w:r>
      <w:r>
        <w:rPr>
          <w:spacing w:val="-72"/>
          <w:sz w:val="24"/>
          <w:highlight w:val="none"/>
          <w:u w:val="single"/>
        </w:rPr>
        <w:t>）</w:t>
      </w:r>
      <w:r>
        <w:rPr>
          <w:sz w:val="24"/>
          <w:highlight w:val="none"/>
          <w:u w:val="single"/>
        </w:rPr>
        <w:t>。</w:t>
      </w:r>
    </w:p>
    <w:p>
      <w:pPr>
        <w:wordWrap w:val="0"/>
        <w:topLinePunct/>
        <w:autoSpaceDE/>
        <w:autoSpaceDN/>
        <w:spacing w:before="0" w:line="364" w:lineRule="auto"/>
        <w:ind w:left="315" w:right="314" w:firstLine="480"/>
        <w:jc w:val="left"/>
        <w:rPr>
          <w:b/>
          <w:sz w:val="24"/>
          <w:highlight w:val="none"/>
        </w:rPr>
      </w:pPr>
      <w:r>
        <w:rPr>
          <w:b/>
          <w:spacing w:val="-9"/>
          <w:sz w:val="24"/>
          <w:highlight w:val="none"/>
          <w:u w:val="single"/>
        </w:rPr>
        <w:t>注：将以上填写并加盖公章的资料的扫描件发至招标代理邮箱</w:t>
      </w:r>
      <w:r>
        <w:rPr>
          <w:b/>
          <w:sz w:val="24"/>
          <w:highlight w:val="none"/>
          <w:u w:val="single"/>
        </w:rPr>
        <w:t>（</w:t>
      </w:r>
      <w:r>
        <w:rPr>
          <w:b/>
          <w:spacing w:val="-2"/>
          <w:sz w:val="24"/>
          <w:highlight w:val="none"/>
          <w:u w:val="single"/>
        </w:rPr>
        <w:t>以到达邮箱时间为</w:t>
      </w:r>
      <w:r>
        <w:rPr>
          <w:b/>
          <w:spacing w:val="-220"/>
          <w:sz w:val="24"/>
          <w:highlight w:val="none"/>
          <w:u w:val="single"/>
        </w:rPr>
        <w:t>准</w:t>
      </w:r>
      <w:r>
        <w:rPr>
          <w:b/>
          <w:spacing w:val="-28"/>
          <w:sz w:val="24"/>
          <w:highlight w:val="none"/>
          <w:u w:val="single"/>
        </w:rPr>
        <w:t>）</w:t>
      </w:r>
      <w:r>
        <w:rPr>
          <w:b/>
          <w:spacing w:val="-8"/>
          <w:sz w:val="24"/>
          <w:highlight w:val="none"/>
          <w:u w:val="single"/>
        </w:rPr>
        <w:t>，并将资料快递至招标代理机构。投标人完成上面投标登记后及时联系招标代理机</w:t>
      </w:r>
    </w:p>
    <w:p>
      <w:pPr>
        <w:wordWrap w:val="0"/>
        <w:topLinePunct/>
        <w:autoSpaceDE/>
        <w:autoSpaceDN/>
        <w:spacing w:before="39"/>
        <w:ind w:left="315" w:right="0" w:firstLine="0"/>
        <w:jc w:val="left"/>
        <w:rPr>
          <w:b/>
          <w:sz w:val="24"/>
          <w:highlight w:val="none"/>
        </w:rPr>
      </w:pPr>
      <w:r>
        <w:rPr>
          <w:b/>
          <w:sz w:val="24"/>
          <w:highlight w:val="none"/>
          <w:u w:val="single"/>
        </w:rPr>
        <w:t>构进行确认。同时满足上述要求，方视为投标登记成功。</w:t>
      </w:r>
    </w:p>
    <w:p>
      <w:pPr>
        <w:numPr>
          <w:ilvl w:val="0"/>
          <w:numId w:val="1"/>
        </w:numPr>
        <w:tabs>
          <w:tab w:val="left" w:pos="1040"/>
        </w:tabs>
        <w:wordWrap w:val="0"/>
        <w:topLinePunct/>
        <w:autoSpaceDE/>
        <w:autoSpaceDN/>
        <w:spacing w:before="158"/>
        <w:ind w:left="1039" w:right="0" w:hanging="243"/>
        <w:jc w:val="left"/>
        <w:rPr>
          <w:b/>
          <w:sz w:val="24"/>
          <w:highlight w:val="none"/>
        </w:rPr>
      </w:pPr>
      <w:r>
        <w:rPr>
          <w:b/>
          <w:sz w:val="24"/>
          <w:highlight w:val="none"/>
        </w:rPr>
        <w:t>投标文件的递交</w:t>
      </w:r>
    </w:p>
    <w:p>
      <w:pPr>
        <w:pStyle w:val="12"/>
        <w:numPr>
          <w:ilvl w:val="1"/>
          <w:numId w:val="1"/>
        </w:numPr>
        <w:tabs>
          <w:tab w:val="left" w:pos="1216"/>
        </w:tabs>
        <w:wordWrap w:val="0"/>
        <w:topLinePunct/>
        <w:autoSpaceDE/>
        <w:autoSpaceDN/>
        <w:spacing w:before="161" w:after="0" w:line="240" w:lineRule="auto"/>
        <w:ind w:left="1216" w:right="0" w:hanging="420"/>
        <w:jc w:val="left"/>
        <w:rPr>
          <w:sz w:val="24"/>
          <w:highlight w:val="none"/>
        </w:rPr>
      </w:pPr>
      <w:r>
        <w:rPr>
          <w:sz w:val="24"/>
          <w:highlight w:val="none"/>
        </w:rPr>
        <w:t>招标人不组织工程现场踏勘和不召开投标预备会。</w:t>
      </w:r>
    </w:p>
    <w:p>
      <w:pPr>
        <w:pStyle w:val="12"/>
        <w:numPr>
          <w:ilvl w:val="1"/>
          <w:numId w:val="1"/>
        </w:numPr>
        <w:tabs>
          <w:tab w:val="left" w:pos="1216"/>
        </w:tabs>
        <w:wordWrap w:val="0"/>
        <w:topLinePunct/>
        <w:autoSpaceDE/>
        <w:autoSpaceDN/>
        <w:spacing w:before="158" w:after="0" w:line="364" w:lineRule="auto"/>
        <w:ind w:left="316" w:right="314" w:firstLine="480"/>
        <w:jc w:val="both"/>
        <w:rPr>
          <w:sz w:val="24"/>
        </w:rPr>
      </w:pPr>
      <w:r>
        <w:rPr>
          <w:sz w:val="24"/>
          <w:highlight w:val="none"/>
        </w:rPr>
        <w:t>投标文件递交的截止时间（投标截止时间，下同）</w:t>
      </w:r>
      <w:r>
        <w:rPr>
          <w:spacing w:val="-30"/>
          <w:sz w:val="24"/>
          <w:highlight w:val="none"/>
        </w:rPr>
        <w:t xml:space="preserve">为 </w:t>
      </w:r>
      <w:r>
        <w:rPr>
          <w:sz w:val="24"/>
          <w:highlight w:val="none"/>
          <w:u w:val="single"/>
        </w:rPr>
        <w:t>2023</w:t>
      </w:r>
      <w:r>
        <w:rPr>
          <w:spacing w:val="-30"/>
          <w:sz w:val="24"/>
          <w:highlight w:val="none"/>
        </w:rPr>
        <w:t xml:space="preserve"> 年</w:t>
      </w:r>
      <w:r>
        <w:rPr>
          <w:sz w:val="24"/>
          <w:highlight w:val="none"/>
          <w:u w:val="single"/>
        </w:rPr>
        <w:t xml:space="preserve"> </w:t>
      </w:r>
      <w:r>
        <w:rPr>
          <w:rFonts w:hint="eastAsia"/>
          <w:sz w:val="24"/>
          <w:highlight w:val="none"/>
          <w:u w:val="single"/>
          <w:lang w:val="en-US" w:eastAsia="zh-CN"/>
        </w:rPr>
        <w:t xml:space="preserve">   </w:t>
      </w:r>
      <w:r>
        <w:rPr>
          <w:sz w:val="24"/>
          <w:highlight w:val="none"/>
        </w:rPr>
        <w:t xml:space="preserve"> 月</w:t>
      </w:r>
      <w:r>
        <w:rPr>
          <w:sz w:val="24"/>
          <w:highlight w:val="none"/>
          <w:u w:val="single"/>
        </w:rPr>
        <w:t xml:space="preserve"> </w:t>
      </w:r>
      <w:r>
        <w:rPr>
          <w:rFonts w:hint="eastAsia"/>
          <w:sz w:val="24"/>
          <w:highlight w:val="none"/>
          <w:u w:val="single"/>
          <w:lang w:val="en-US" w:eastAsia="zh-CN"/>
        </w:rPr>
        <w:t xml:space="preserve">   </w:t>
      </w:r>
      <w:r>
        <w:rPr>
          <w:spacing w:val="-1"/>
          <w:sz w:val="24"/>
          <w:highlight w:val="none"/>
        </w:rPr>
        <w:t xml:space="preserve"> 日，上</w:t>
      </w:r>
      <w:r>
        <w:rPr>
          <w:spacing w:val="-24"/>
          <w:sz w:val="24"/>
          <w:highlight w:val="none"/>
        </w:rPr>
        <w:t xml:space="preserve">午 </w:t>
      </w:r>
      <w:r>
        <w:rPr>
          <w:rFonts w:hint="eastAsia"/>
          <w:sz w:val="24"/>
          <w:highlight w:val="none"/>
          <w:u w:val="single"/>
          <w:lang w:val="en-US" w:eastAsia="zh-CN"/>
        </w:rPr>
        <w:t xml:space="preserve">   </w:t>
      </w:r>
      <w:r>
        <w:rPr>
          <w:spacing w:val="-32"/>
          <w:sz w:val="24"/>
          <w:highlight w:val="none"/>
        </w:rPr>
        <w:t xml:space="preserve"> 时 </w:t>
      </w:r>
      <w:r>
        <w:rPr>
          <w:rFonts w:hint="eastAsia"/>
          <w:sz w:val="24"/>
          <w:highlight w:val="none"/>
          <w:u w:val="single"/>
          <w:lang w:val="en-US" w:eastAsia="zh-CN"/>
        </w:rPr>
        <w:t xml:space="preserve">   </w:t>
      </w:r>
      <w:r>
        <w:rPr>
          <w:spacing w:val="-9"/>
          <w:sz w:val="24"/>
          <w:highlight w:val="none"/>
        </w:rPr>
        <w:t xml:space="preserve"> 分，投标人</w:t>
      </w:r>
      <w:r>
        <w:rPr>
          <w:sz w:val="24"/>
          <w:highlight w:val="none"/>
          <w:u w:val="single"/>
        </w:rPr>
        <w:t>应在截止时间前通过广州交易集</w:t>
      </w:r>
      <w:r>
        <w:rPr>
          <w:sz w:val="24"/>
          <w:u w:val="single"/>
        </w:rPr>
        <w:t>团有限公司（广州公共资源交易中心）（网址：</w:t>
      </w:r>
      <w:r>
        <w:fldChar w:fldCharType="begin"/>
      </w:r>
      <w:r>
        <w:instrText xml:space="preserve"> HYPERLINK "http://www.gzggzy.cn/" \h </w:instrText>
      </w:r>
      <w:r>
        <w:fldChar w:fldCharType="separate"/>
      </w:r>
      <w:r>
        <w:rPr>
          <w:sz w:val="24"/>
          <w:u w:val="single"/>
        </w:rPr>
        <w:t>http://www.gzggzy.cn/</w:t>
      </w:r>
      <w:r>
        <w:rPr>
          <w:sz w:val="24"/>
          <w:u w:val="single"/>
        </w:rPr>
        <w:fldChar w:fldCharType="end"/>
      </w:r>
      <w:r>
        <w:rPr>
          <w:sz w:val="24"/>
          <w:u w:val="single"/>
        </w:rPr>
        <w:t>）交易平台（即建设工程新交易系统</w:t>
      </w:r>
      <w:r>
        <w:rPr>
          <w:spacing w:val="4"/>
          <w:sz w:val="24"/>
          <w:u w:val="single"/>
        </w:rPr>
        <w:t>）</w:t>
      </w:r>
      <w:r>
        <w:rPr>
          <w:sz w:val="24"/>
          <w:u w:val="single"/>
        </w:rPr>
        <w:t>递交电</w:t>
      </w:r>
      <w:r>
        <w:rPr>
          <w:spacing w:val="-240"/>
          <w:sz w:val="24"/>
          <w:u w:val="single"/>
        </w:rPr>
        <w:t>子</w:t>
      </w:r>
      <w:r>
        <w:rPr>
          <w:sz w:val="24"/>
          <w:u w:val="single"/>
        </w:rPr>
        <w:t>投标文件。</w:t>
      </w:r>
    </w:p>
    <w:p>
      <w:pPr>
        <w:widowControl/>
        <w:wordWrap w:val="0"/>
        <w:topLinePunct/>
        <w:autoSpaceDE/>
        <w:autoSpaceDN/>
        <w:snapToGrid w:val="0"/>
        <w:spacing w:before="0" w:line="365" w:lineRule="auto"/>
        <w:ind w:left="317" w:right="198" w:firstLine="482"/>
        <w:jc w:val="left"/>
        <w:textAlignment w:val="auto"/>
        <w:rPr>
          <w:b/>
          <w:sz w:val="24"/>
        </w:rPr>
      </w:pPr>
      <w:r>
        <w:rPr>
          <w:b/>
          <w:spacing w:val="-3"/>
          <w:sz w:val="24"/>
          <w:u w:val="single"/>
        </w:rPr>
        <w:t>投标人应按照广州交易集团有限公司</w:t>
      </w:r>
      <w:r>
        <w:rPr>
          <w:b/>
          <w:sz w:val="24"/>
          <w:u w:val="single"/>
        </w:rPr>
        <w:t>（</w:t>
      </w:r>
      <w:r>
        <w:rPr>
          <w:b/>
          <w:spacing w:val="-1"/>
          <w:sz w:val="24"/>
          <w:u w:val="single"/>
        </w:rPr>
        <w:t>广州公共资源交易中心</w:t>
      </w:r>
      <w:r>
        <w:rPr>
          <w:b/>
          <w:spacing w:val="-41"/>
          <w:sz w:val="24"/>
          <w:u w:val="single"/>
        </w:rPr>
        <w:t>）</w:t>
      </w:r>
      <w:r>
        <w:rPr>
          <w:b/>
          <w:spacing w:val="-15"/>
          <w:sz w:val="24"/>
          <w:u w:val="single"/>
        </w:rPr>
        <w:t>全流程电子化通用系</w:t>
      </w:r>
      <w:r>
        <w:rPr>
          <w:b/>
          <w:spacing w:val="-6"/>
          <w:sz w:val="24"/>
          <w:u w:val="single"/>
        </w:rPr>
        <w:t>统的相关指南进行操作，详见：广州交易集团有限公司</w:t>
      </w:r>
      <w:r>
        <w:rPr>
          <w:b/>
          <w:sz w:val="24"/>
          <w:u w:val="single"/>
        </w:rPr>
        <w:t>（广州公共资源交易中心</w:t>
      </w:r>
      <w:r>
        <w:rPr>
          <w:b/>
          <w:spacing w:val="-22"/>
          <w:sz w:val="24"/>
          <w:u w:val="single"/>
        </w:rPr>
        <w:t>）</w:t>
      </w:r>
      <w:r>
        <w:rPr>
          <w:rFonts w:hint="eastAsia"/>
          <w:b/>
          <w:spacing w:val="-19"/>
          <w:w w:val="95"/>
          <w:sz w:val="24"/>
          <w:u w:val="single"/>
          <w:lang w:val="en-US" w:eastAsia="zh-CN"/>
        </w:rPr>
        <w:t>网站发布的</w:t>
      </w:r>
      <w:r>
        <w:rPr>
          <w:b/>
          <w:spacing w:val="-19"/>
          <w:w w:val="95"/>
          <w:sz w:val="24"/>
          <w:u w:val="single"/>
        </w:rPr>
        <w:t>“【专业工程】</w:t>
      </w:r>
      <w:r>
        <w:rPr>
          <w:rFonts w:hint="eastAsia"/>
          <w:b/>
          <w:spacing w:val="-19"/>
          <w:w w:val="95"/>
          <w:sz w:val="24"/>
          <w:u w:val="single"/>
          <w:lang w:val="en-US" w:eastAsia="zh-CN"/>
        </w:rPr>
        <w:t>新数字</w:t>
      </w:r>
      <w:r>
        <w:rPr>
          <w:b/>
          <w:spacing w:val="-19"/>
          <w:w w:val="95"/>
          <w:sz w:val="24"/>
          <w:u w:val="single"/>
        </w:rPr>
        <w:t>交易平台操作指引”。投标人完成电子投标文件上传后，</w:t>
      </w:r>
      <w:r>
        <w:rPr>
          <w:rFonts w:hint="eastAsia"/>
          <w:b/>
          <w:spacing w:val="-19"/>
          <w:w w:val="95"/>
          <w:sz w:val="24"/>
          <w:u w:val="single"/>
        </w:rPr>
        <w:t>广州交易集团有限公司（广州公共资源交易中心）</w:t>
      </w:r>
      <w:r>
        <w:rPr>
          <w:b/>
          <w:sz w:val="24"/>
          <w:u w:val="single"/>
        </w:rPr>
        <w:t>数字交易平台即时向投标人发出递交回执通知。递交时间以递交回执通知载明的传输时间为准。</w:t>
      </w:r>
    </w:p>
    <w:p>
      <w:pPr>
        <w:pStyle w:val="12"/>
        <w:numPr>
          <w:ilvl w:val="1"/>
          <w:numId w:val="1"/>
        </w:numPr>
        <w:tabs>
          <w:tab w:val="left" w:pos="1216"/>
        </w:tabs>
        <w:wordWrap w:val="0"/>
        <w:topLinePunct/>
        <w:autoSpaceDE/>
        <w:autoSpaceDN/>
        <w:spacing w:before="0" w:after="0" w:line="306" w:lineRule="exact"/>
        <w:ind w:left="1216" w:right="0" w:hanging="420"/>
        <w:jc w:val="left"/>
        <w:rPr>
          <w:sz w:val="24"/>
          <w:highlight w:val="none"/>
        </w:rPr>
      </w:pPr>
      <w:r>
        <w:rPr>
          <w:spacing w:val="-9"/>
          <w:sz w:val="24"/>
          <w:highlight w:val="none"/>
          <w:u w:val="single"/>
        </w:rPr>
        <w:t xml:space="preserve">递交投标文件 </w:t>
      </w:r>
      <w:r>
        <w:rPr>
          <w:sz w:val="24"/>
          <w:highlight w:val="none"/>
          <w:u w:val="single"/>
        </w:rPr>
        <w:t>u</w:t>
      </w:r>
      <w:r>
        <w:rPr>
          <w:spacing w:val="-48"/>
          <w:sz w:val="24"/>
          <w:highlight w:val="none"/>
          <w:u w:val="single"/>
        </w:rPr>
        <w:t xml:space="preserve"> 盘</w:t>
      </w:r>
      <w:r>
        <w:rPr>
          <w:sz w:val="24"/>
          <w:highlight w:val="none"/>
          <w:u w:val="single"/>
        </w:rPr>
        <w:t>（备用</w:t>
      </w:r>
      <w:r>
        <w:rPr>
          <w:spacing w:val="-39"/>
          <w:sz w:val="24"/>
          <w:highlight w:val="none"/>
          <w:u w:val="single"/>
        </w:rPr>
        <w:t>）</w:t>
      </w:r>
      <w:r>
        <w:rPr>
          <w:spacing w:val="-2"/>
          <w:sz w:val="24"/>
          <w:highlight w:val="none"/>
          <w:u w:val="single"/>
        </w:rPr>
        <w:t>的规定时间为：</w:t>
      </w:r>
      <w:r>
        <w:rPr>
          <w:spacing w:val="-8"/>
          <w:sz w:val="24"/>
          <w:highlight w:val="none"/>
          <w:u w:val="single"/>
        </w:rPr>
        <w:t>2023</w:t>
      </w:r>
      <w:r>
        <w:rPr>
          <w:spacing w:val="-40"/>
          <w:sz w:val="24"/>
          <w:highlight w:val="none"/>
          <w:u w:val="single"/>
        </w:rPr>
        <w:t xml:space="preserve"> 年</w:t>
      </w:r>
      <w:r>
        <w:rPr>
          <w:rFonts w:hint="eastAsia"/>
          <w:spacing w:val="-40"/>
          <w:sz w:val="24"/>
          <w:highlight w:val="none"/>
          <w:u w:val="single"/>
          <w:lang w:val="en-US" w:eastAsia="zh-CN"/>
        </w:rPr>
        <w:t xml:space="preserve">      </w:t>
      </w:r>
      <w:r>
        <w:rPr>
          <w:spacing w:val="-40"/>
          <w:sz w:val="24"/>
          <w:highlight w:val="none"/>
          <w:u w:val="single"/>
        </w:rPr>
        <w:t>月</w:t>
      </w:r>
      <w:r>
        <w:rPr>
          <w:rFonts w:hint="eastAsia"/>
          <w:spacing w:val="-40"/>
          <w:sz w:val="24"/>
          <w:highlight w:val="none"/>
          <w:u w:val="single"/>
          <w:lang w:val="en-US" w:eastAsia="zh-CN"/>
        </w:rPr>
        <w:t xml:space="preserve">    </w:t>
      </w:r>
      <w:r>
        <w:rPr>
          <w:spacing w:val="-40"/>
          <w:sz w:val="24"/>
          <w:highlight w:val="none"/>
          <w:u w:val="single"/>
        </w:rPr>
        <w:t xml:space="preserve"> 日 </w:t>
      </w:r>
      <w:r>
        <w:rPr>
          <w:rFonts w:hint="eastAsia"/>
          <w:sz w:val="24"/>
          <w:highlight w:val="none"/>
          <w:u w:val="single"/>
          <w:lang w:val="en-US" w:eastAsia="zh-CN"/>
        </w:rPr>
        <w:t xml:space="preserve">  </w:t>
      </w:r>
      <w:r>
        <w:rPr>
          <w:spacing w:val="-40"/>
          <w:sz w:val="24"/>
          <w:highlight w:val="none"/>
          <w:u w:val="single"/>
        </w:rPr>
        <w:t xml:space="preserve">时 </w:t>
      </w:r>
      <w:r>
        <w:rPr>
          <w:rFonts w:hint="eastAsia"/>
          <w:sz w:val="24"/>
          <w:highlight w:val="none"/>
          <w:u w:val="single"/>
          <w:lang w:val="en-US" w:eastAsia="zh-CN"/>
        </w:rPr>
        <w:t xml:space="preserve">  </w:t>
      </w:r>
      <w:r>
        <w:rPr>
          <w:spacing w:val="-30"/>
          <w:sz w:val="24"/>
          <w:highlight w:val="none"/>
          <w:u w:val="single"/>
        </w:rPr>
        <w:t xml:space="preserve"> 分至 </w:t>
      </w:r>
      <w:r>
        <w:rPr>
          <w:sz w:val="24"/>
          <w:highlight w:val="none"/>
          <w:u w:val="single"/>
        </w:rPr>
        <w:t>2023</w:t>
      </w:r>
    </w:p>
    <w:p>
      <w:pPr>
        <w:pStyle w:val="5"/>
        <w:wordWrap w:val="0"/>
        <w:topLinePunct/>
        <w:autoSpaceDE/>
        <w:autoSpaceDN/>
        <w:spacing w:before="158" w:line="364" w:lineRule="auto"/>
        <w:ind w:left="315" w:right="314"/>
        <w:jc w:val="both"/>
        <w:rPr>
          <w:highlight w:val="none"/>
        </w:rPr>
      </w:pPr>
      <w:r>
        <w:rPr>
          <w:spacing w:val="-30"/>
          <w:highlight w:val="none"/>
          <w:u w:val="single"/>
        </w:rPr>
        <w:t>年</w:t>
      </w:r>
      <w:r>
        <w:rPr>
          <w:rFonts w:hint="eastAsia"/>
          <w:spacing w:val="-30"/>
          <w:highlight w:val="none"/>
          <w:u w:val="single"/>
          <w:lang w:val="en-US" w:eastAsia="zh-CN"/>
        </w:rPr>
        <w:t xml:space="preserve">   </w:t>
      </w:r>
      <w:r>
        <w:rPr>
          <w:spacing w:val="-40"/>
          <w:highlight w:val="none"/>
          <w:u w:val="single"/>
        </w:rPr>
        <w:t>月</w:t>
      </w:r>
      <w:r>
        <w:rPr>
          <w:rFonts w:hint="eastAsia"/>
          <w:spacing w:val="-40"/>
          <w:highlight w:val="none"/>
          <w:u w:val="single"/>
          <w:lang w:val="en-US" w:eastAsia="zh-CN"/>
        </w:rPr>
        <w:t xml:space="preserve">   </w:t>
      </w:r>
      <w:r>
        <w:rPr>
          <w:spacing w:val="-40"/>
          <w:highlight w:val="none"/>
          <w:u w:val="single"/>
        </w:rPr>
        <w:t>日</w:t>
      </w:r>
      <w:r>
        <w:rPr>
          <w:rFonts w:hint="eastAsia"/>
          <w:spacing w:val="-40"/>
          <w:highlight w:val="none"/>
          <w:u w:val="single"/>
          <w:lang w:val="en-US" w:eastAsia="zh-CN"/>
        </w:rPr>
        <w:t xml:space="preserve">  </w:t>
      </w:r>
      <w:r>
        <w:rPr>
          <w:spacing w:val="-40"/>
          <w:highlight w:val="none"/>
          <w:u w:val="single"/>
        </w:rPr>
        <w:t xml:space="preserve">时 </w:t>
      </w:r>
      <w:r>
        <w:rPr>
          <w:rFonts w:hint="eastAsia"/>
          <w:highlight w:val="none"/>
          <w:u w:val="single"/>
          <w:lang w:val="en-US" w:eastAsia="zh-CN"/>
        </w:rPr>
        <w:t xml:space="preserve"> </w:t>
      </w:r>
      <w:r>
        <w:rPr>
          <w:spacing w:val="-11"/>
          <w:highlight w:val="none"/>
          <w:u w:val="single"/>
        </w:rPr>
        <w:t xml:space="preserve"> 分；地点：广州交易集团有限公司</w:t>
      </w:r>
      <w:r>
        <w:rPr>
          <w:spacing w:val="-3"/>
          <w:highlight w:val="none"/>
          <w:u w:val="single"/>
        </w:rPr>
        <w:t>（</w:t>
      </w:r>
      <w:r>
        <w:rPr>
          <w:highlight w:val="none"/>
          <w:u w:val="single"/>
        </w:rPr>
        <w:t>广州公共资源交易中心</w:t>
      </w:r>
      <w:r>
        <w:rPr>
          <w:spacing w:val="-12"/>
          <w:highlight w:val="none"/>
          <w:u w:val="single"/>
        </w:rPr>
        <w:t>）</w:t>
      </w:r>
      <w:r>
        <w:rPr>
          <w:spacing w:val="-8"/>
          <w:highlight w:val="none"/>
          <w:u w:val="single"/>
        </w:rPr>
        <w:t>开标</w:t>
      </w:r>
      <w:r>
        <w:rPr>
          <w:spacing w:val="-220"/>
          <w:highlight w:val="none"/>
          <w:u w:val="single"/>
        </w:rPr>
        <w:t>室</w:t>
      </w:r>
      <w:r>
        <w:rPr>
          <w:highlight w:val="none"/>
          <w:u w:val="single"/>
        </w:rPr>
        <w:t>（具体以交易中心公告的开标室为准</w:t>
      </w:r>
      <w:r>
        <w:rPr>
          <w:spacing w:val="-8"/>
          <w:highlight w:val="none"/>
          <w:u w:val="single"/>
        </w:rPr>
        <w:t>）</w:t>
      </w:r>
      <w:r>
        <w:rPr>
          <w:spacing w:val="-17"/>
          <w:highlight w:val="none"/>
          <w:u w:val="single"/>
        </w:rPr>
        <w:t>。</w:t>
      </w:r>
      <w:r>
        <w:rPr>
          <w:highlight w:val="none"/>
          <w:u w:val="single"/>
        </w:rPr>
        <w:t>（</w:t>
      </w:r>
      <w:r>
        <w:rPr>
          <w:spacing w:val="-12"/>
          <w:highlight w:val="none"/>
          <w:u w:val="single"/>
        </w:rPr>
        <w:t xml:space="preserve">投标文件 </w:t>
      </w:r>
      <w:r>
        <w:rPr>
          <w:highlight w:val="none"/>
          <w:u w:val="single"/>
        </w:rPr>
        <w:t>u</w:t>
      </w:r>
      <w:r>
        <w:rPr>
          <w:spacing w:val="-33"/>
          <w:highlight w:val="none"/>
          <w:u w:val="single"/>
        </w:rPr>
        <w:t xml:space="preserve"> 盘</w:t>
      </w:r>
      <w:r>
        <w:rPr>
          <w:spacing w:val="-3"/>
          <w:highlight w:val="none"/>
          <w:u w:val="single"/>
        </w:rPr>
        <w:t>（</w:t>
      </w:r>
      <w:r>
        <w:rPr>
          <w:highlight w:val="none"/>
          <w:u w:val="single"/>
        </w:rPr>
        <w:t>备用</w:t>
      </w:r>
      <w:r>
        <w:rPr>
          <w:spacing w:val="-8"/>
          <w:highlight w:val="none"/>
          <w:u w:val="single"/>
        </w:rPr>
        <w:t>）</w:t>
      </w:r>
      <w:r>
        <w:rPr>
          <w:spacing w:val="-2"/>
          <w:highlight w:val="none"/>
          <w:u w:val="single"/>
        </w:rPr>
        <w:t>需按规定封装，投</w:t>
      </w:r>
      <w:r>
        <w:rPr>
          <w:spacing w:val="-9"/>
          <w:highlight w:val="none"/>
          <w:u w:val="single"/>
        </w:rPr>
        <w:t xml:space="preserve">标人将数据刻录到 </w:t>
      </w:r>
      <w:r>
        <w:rPr>
          <w:highlight w:val="none"/>
          <w:u w:val="single"/>
        </w:rPr>
        <w:t>u</w:t>
      </w:r>
      <w:r>
        <w:rPr>
          <w:spacing w:val="-8"/>
          <w:highlight w:val="none"/>
          <w:u w:val="single"/>
        </w:rPr>
        <w:t xml:space="preserve"> 盘之后，请于投标前自行检查文件是否可以读取</w:t>
      </w:r>
      <w:r>
        <w:rPr>
          <w:highlight w:val="none"/>
          <w:u w:val="single"/>
        </w:rPr>
        <w:t>）。</w:t>
      </w:r>
    </w:p>
    <w:p>
      <w:pPr>
        <w:pStyle w:val="5"/>
        <w:wordWrap w:val="0"/>
        <w:topLinePunct/>
        <w:autoSpaceDE/>
        <w:autoSpaceDN/>
        <w:spacing w:line="364" w:lineRule="auto"/>
        <w:ind w:left="713" w:leftChars="324" w:right="263" w:firstLine="38" w:firstLineChars="17"/>
        <w:jc w:val="both"/>
        <w:rPr>
          <w:highlight w:val="none"/>
        </w:rPr>
      </w:pPr>
      <w:r>
        <w:rPr>
          <w:spacing w:val="-6"/>
          <w:highlight w:val="none"/>
          <w:u w:val="single"/>
        </w:rPr>
        <w:t xml:space="preserve">投标文件解密时间为 </w:t>
      </w:r>
      <w:r>
        <w:rPr>
          <w:highlight w:val="none"/>
          <w:u w:val="single"/>
        </w:rPr>
        <w:t>2023</w:t>
      </w:r>
      <w:r>
        <w:rPr>
          <w:spacing w:val="-40"/>
          <w:highlight w:val="none"/>
          <w:u w:val="single"/>
        </w:rPr>
        <w:t xml:space="preserve"> 年</w:t>
      </w:r>
      <w:r>
        <w:rPr>
          <w:rFonts w:hint="eastAsia" w:cs="宋体"/>
          <w:highlight w:val="none"/>
          <w:u w:val="single"/>
          <w:lang w:val="en-US" w:eastAsia="zh-CN"/>
        </w:rPr>
        <w:t xml:space="preserve">   </w:t>
      </w:r>
      <w:r>
        <w:rPr>
          <w:spacing w:val="-40"/>
          <w:highlight w:val="none"/>
          <w:u w:val="single"/>
        </w:rPr>
        <w:t xml:space="preserve">月 </w:t>
      </w:r>
      <w:r>
        <w:rPr>
          <w:rFonts w:hint="eastAsia"/>
          <w:highlight w:val="none"/>
          <w:u w:val="single"/>
          <w:lang w:val="en-US" w:eastAsia="zh-CN"/>
        </w:rPr>
        <w:t xml:space="preserve">   </w:t>
      </w:r>
      <w:r>
        <w:rPr>
          <w:spacing w:val="-40"/>
          <w:highlight w:val="none"/>
          <w:u w:val="single"/>
        </w:rPr>
        <w:t xml:space="preserve">日 </w:t>
      </w:r>
      <w:r>
        <w:rPr>
          <w:rFonts w:hint="eastAsia"/>
          <w:highlight w:val="none"/>
          <w:u w:val="single"/>
          <w:lang w:val="en-US" w:eastAsia="zh-CN"/>
        </w:rPr>
        <w:t xml:space="preserve">   </w:t>
      </w:r>
      <w:r>
        <w:rPr>
          <w:spacing w:val="-40"/>
          <w:highlight w:val="none"/>
          <w:u w:val="single"/>
        </w:rPr>
        <w:t xml:space="preserve">时 </w:t>
      </w:r>
      <w:r>
        <w:rPr>
          <w:rFonts w:hint="eastAsia"/>
          <w:highlight w:val="none"/>
          <w:u w:val="single"/>
          <w:lang w:val="en-US" w:eastAsia="zh-CN"/>
        </w:rPr>
        <w:t xml:space="preserve">   </w:t>
      </w:r>
      <w:r>
        <w:rPr>
          <w:spacing w:val="-30"/>
          <w:highlight w:val="none"/>
          <w:u w:val="single"/>
        </w:rPr>
        <w:t xml:space="preserve">分至 </w:t>
      </w:r>
      <w:r>
        <w:rPr>
          <w:highlight w:val="none"/>
          <w:u w:val="single"/>
        </w:rPr>
        <w:t>2023</w:t>
      </w:r>
      <w:r>
        <w:rPr>
          <w:spacing w:val="-40"/>
          <w:highlight w:val="none"/>
          <w:u w:val="single"/>
        </w:rPr>
        <w:t xml:space="preserve"> 年</w:t>
      </w:r>
      <w:r>
        <w:rPr>
          <w:rFonts w:hint="eastAsia"/>
          <w:spacing w:val="-40"/>
          <w:highlight w:val="none"/>
          <w:u w:val="single"/>
          <w:lang w:val="en-US" w:eastAsia="zh-CN"/>
        </w:rPr>
        <w:t xml:space="preserve">   </w:t>
      </w:r>
      <w:r>
        <w:rPr>
          <w:spacing w:val="-40"/>
          <w:highlight w:val="none"/>
          <w:u w:val="single"/>
        </w:rPr>
        <w:t xml:space="preserve"> 月</w:t>
      </w:r>
      <w:r>
        <w:rPr>
          <w:rFonts w:hint="eastAsia"/>
          <w:spacing w:val="-40"/>
          <w:highlight w:val="none"/>
          <w:u w:val="single"/>
          <w:lang w:val="en-US" w:eastAsia="zh-CN"/>
        </w:rPr>
        <w:t xml:space="preserve">    </w:t>
      </w:r>
      <w:r>
        <w:rPr>
          <w:spacing w:val="-40"/>
          <w:highlight w:val="none"/>
          <w:u w:val="single"/>
        </w:rPr>
        <w:t xml:space="preserve">日 </w:t>
      </w:r>
      <w:r>
        <w:rPr>
          <w:rFonts w:hint="eastAsia"/>
          <w:highlight w:val="none"/>
          <w:u w:val="single"/>
          <w:lang w:val="en-US" w:eastAsia="zh-CN"/>
        </w:rPr>
        <w:t xml:space="preserve">   </w:t>
      </w:r>
      <w:r>
        <w:rPr>
          <w:spacing w:val="-40"/>
          <w:highlight w:val="none"/>
          <w:u w:val="single"/>
        </w:rPr>
        <w:t xml:space="preserve">时 </w:t>
      </w:r>
      <w:r>
        <w:rPr>
          <w:rFonts w:hint="eastAsia"/>
          <w:highlight w:val="none"/>
          <w:u w:val="single"/>
          <w:lang w:val="en-US" w:eastAsia="zh-CN"/>
        </w:rPr>
        <w:t xml:space="preserve"> </w:t>
      </w:r>
      <w:r>
        <w:rPr>
          <w:spacing w:val="-26"/>
          <w:highlight w:val="none"/>
          <w:u w:val="single"/>
        </w:rPr>
        <w:t>分，</w:t>
      </w:r>
      <w:r>
        <w:rPr>
          <w:rFonts w:ascii="宋体" w:hAnsi="宋体" w:eastAsia="宋体" w:cs="宋体"/>
          <w:spacing w:val="-6"/>
          <w:highlight w:val="none"/>
          <w:u w:val="single"/>
        </w:rPr>
        <w:t>投标人</w:t>
      </w:r>
      <w:r>
        <w:rPr>
          <w:spacing w:val="-2"/>
          <w:highlight w:val="none"/>
          <w:u w:val="single"/>
        </w:rPr>
        <w:t>应在截止时间前按照广州交易集团有限公司</w:t>
      </w:r>
      <w:r>
        <w:rPr>
          <w:highlight w:val="none"/>
          <w:u w:val="single"/>
        </w:rPr>
        <w:t>（广州公共资源交易中心</w:t>
      </w:r>
      <w:r>
        <w:rPr>
          <w:spacing w:val="-27"/>
          <w:highlight w:val="none"/>
          <w:u w:val="single"/>
        </w:rPr>
        <w:t>）</w:t>
      </w:r>
      <w:r>
        <w:rPr>
          <w:highlight w:val="none"/>
          <w:u w:val="single"/>
        </w:rPr>
        <w:t>全流程电子化通用系统的相关指南进行操作。</w:t>
      </w:r>
    </w:p>
    <w:p>
      <w:pPr>
        <w:pStyle w:val="5"/>
        <w:wordWrap w:val="0"/>
        <w:topLinePunct/>
        <w:autoSpaceDE/>
        <w:autoSpaceDN/>
        <w:spacing w:line="307" w:lineRule="exact"/>
        <w:ind w:left="796"/>
        <w:rPr>
          <w:rFonts w:hint="default" w:eastAsia="宋体"/>
          <w:highlight w:val="none"/>
          <w:lang w:val="en-US" w:eastAsia="zh-CN"/>
        </w:rPr>
      </w:pPr>
      <w:r>
        <w:rPr>
          <w:highlight w:val="none"/>
          <w:u w:val="single"/>
        </w:rPr>
        <w:t>本招标项目采用电子开标，在新交易平台上公开进行。开标开始时间：2023 年</w:t>
      </w:r>
      <w:r>
        <w:rPr>
          <w:rFonts w:hint="eastAsia"/>
          <w:highlight w:val="none"/>
          <w:u w:val="single"/>
          <w:lang w:val="en-US" w:eastAsia="zh-CN"/>
        </w:rPr>
        <w:t xml:space="preserve">   </w:t>
      </w:r>
    </w:p>
    <w:p>
      <w:pPr>
        <w:pStyle w:val="5"/>
        <w:wordWrap w:val="0"/>
        <w:topLinePunct/>
        <w:autoSpaceDE/>
        <w:autoSpaceDN/>
        <w:spacing w:before="155" w:line="364" w:lineRule="auto"/>
        <w:ind w:left="315" w:right="194"/>
      </w:pPr>
      <w:r>
        <w:rPr>
          <w:spacing w:val="-30"/>
          <w:highlight w:val="none"/>
          <w:u w:val="single"/>
        </w:rPr>
        <w:t xml:space="preserve">月 </w:t>
      </w:r>
      <w:r>
        <w:rPr>
          <w:rFonts w:hint="eastAsia"/>
          <w:highlight w:val="none"/>
          <w:u w:val="single"/>
          <w:lang w:val="en-US" w:eastAsia="zh-CN"/>
        </w:rPr>
        <w:t xml:space="preserve">   </w:t>
      </w:r>
      <w:r>
        <w:rPr>
          <w:spacing w:val="-40"/>
          <w:highlight w:val="none"/>
          <w:u w:val="single"/>
        </w:rPr>
        <w:t>日</w:t>
      </w:r>
      <w:r>
        <w:rPr>
          <w:rFonts w:hint="eastAsia"/>
          <w:spacing w:val="-40"/>
          <w:highlight w:val="none"/>
          <w:u w:val="single"/>
          <w:lang w:val="en-US" w:eastAsia="zh-CN"/>
        </w:rPr>
        <w:t xml:space="preserve">   </w:t>
      </w:r>
      <w:r>
        <w:rPr>
          <w:spacing w:val="-40"/>
          <w:highlight w:val="none"/>
          <w:u w:val="single"/>
        </w:rPr>
        <w:t xml:space="preserve"> 时 </w:t>
      </w:r>
      <w:r>
        <w:rPr>
          <w:rFonts w:hint="eastAsia"/>
          <w:highlight w:val="none"/>
          <w:u w:val="single"/>
          <w:lang w:val="en-US" w:eastAsia="zh-CN"/>
        </w:rPr>
        <w:t xml:space="preserve">   </w:t>
      </w:r>
      <w:r>
        <w:rPr>
          <w:spacing w:val="-59"/>
          <w:highlight w:val="none"/>
          <w:u w:val="single"/>
        </w:rPr>
        <w:t>分</w:t>
      </w:r>
      <w:r>
        <w:rPr>
          <w:highlight w:val="none"/>
          <w:u w:val="single"/>
        </w:rPr>
        <w:t>（</w:t>
      </w:r>
      <w:r>
        <w:rPr>
          <w:u w:val="single"/>
        </w:rPr>
        <w:t>与投标截止时间为同一时间</w:t>
      </w:r>
      <w:r>
        <w:rPr>
          <w:spacing w:val="-58"/>
          <w:u w:val="single"/>
        </w:rPr>
        <w:t>）</w:t>
      </w:r>
      <w:r>
        <w:rPr>
          <w:spacing w:val="-9"/>
          <w:u w:val="single"/>
        </w:rPr>
        <w:t>。邀请所有投标人准时在线参加开标。</w:t>
      </w:r>
      <w:r>
        <w:rPr>
          <w:spacing w:val="-16"/>
          <w:u w:val="single"/>
        </w:rPr>
        <w:t>投标人参与电子开标的具体操作详见交易平台发布的相关操作指引。</w:t>
      </w:r>
    </w:p>
    <w:p>
      <w:pPr>
        <w:pStyle w:val="5"/>
        <w:wordWrap w:val="0"/>
        <w:topLinePunct/>
        <w:autoSpaceDE/>
        <w:autoSpaceDN/>
        <w:spacing w:line="364" w:lineRule="auto"/>
        <w:ind w:left="315" w:right="194" w:firstLine="480"/>
      </w:pPr>
      <w:r>
        <w:rPr>
          <w:spacing w:val="-10"/>
          <w:u w:val="single"/>
        </w:rPr>
        <w:t>投标截止时间与开标时间是否有变化，请密切留意招标答疑中的相关信息。截标后，</w:t>
      </w:r>
      <w:r>
        <w:rPr>
          <w:spacing w:val="-220"/>
          <w:u w:val="single"/>
        </w:rPr>
        <w:t>开</w:t>
      </w:r>
      <w:r>
        <w:rPr>
          <w:u w:val="single"/>
        </w:rPr>
        <w:t>标时间因故推迟的，相关评标信息仍以原定的投标截止时间的信息为准。</w:t>
      </w:r>
    </w:p>
    <w:p>
      <w:pPr>
        <w:pStyle w:val="12"/>
        <w:numPr>
          <w:ilvl w:val="1"/>
          <w:numId w:val="1"/>
        </w:numPr>
        <w:tabs>
          <w:tab w:val="left" w:pos="1216"/>
        </w:tabs>
        <w:wordWrap w:val="0"/>
        <w:topLinePunct/>
        <w:autoSpaceDE/>
        <w:autoSpaceDN/>
        <w:spacing w:before="0" w:after="0" w:line="240" w:lineRule="auto"/>
        <w:ind w:left="1216" w:right="0" w:hanging="420"/>
        <w:jc w:val="left"/>
        <w:rPr>
          <w:sz w:val="24"/>
        </w:rPr>
      </w:pPr>
      <w:r>
        <w:rPr>
          <w:sz w:val="24"/>
          <w:u w:val="single"/>
        </w:rPr>
        <w:t>逾期送达的投标文件，电子招标投标交易平台将予以拒收。</w:t>
      </w:r>
    </w:p>
    <w:p>
      <w:pPr>
        <w:numPr>
          <w:ilvl w:val="0"/>
          <w:numId w:val="1"/>
        </w:numPr>
        <w:tabs>
          <w:tab w:val="left" w:pos="1040"/>
        </w:tabs>
        <w:wordWrap w:val="0"/>
        <w:topLinePunct/>
        <w:autoSpaceDE/>
        <w:autoSpaceDN/>
        <w:spacing w:before="158"/>
        <w:ind w:left="1039" w:right="0" w:hanging="243"/>
        <w:jc w:val="left"/>
        <w:rPr>
          <w:b/>
          <w:sz w:val="24"/>
        </w:rPr>
      </w:pPr>
      <w:r>
        <w:rPr>
          <w:b/>
          <w:sz w:val="24"/>
        </w:rPr>
        <w:t>发布公告的媒介</w:t>
      </w:r>
    </w:p>
    <w:p>
      <w:pPr>
        <w:pStyle w:val="5"/>
        <w:wordWrap w:val="0"/>
        <w:topLinePunct/>
        <w:autoSpaceDE/>
        <w:autoSpaceDN/>
        <w:spacing w:before="158" w:line="364" w:lineRule="auto"/>
        <w:ind w:left="421" w:right="314" w:firstLine="480"/>
        <w:jc w:val="both"/>
      </w:pPr>
      <w:r>
        <w:t>本次招标公告同时在</w:t>
      </w:r>
      <w:r>
        <w:rPr>
          <w:u w:val="single"/>
        </w:rPr>
        <w:t>广州交易集团有限公司（广州公共资源交易中心）网站、广</w:t>
      </w:r>
      <w:r>
        <w:rPr>
          <w:spacing w:val="-240"/>
          <w:u w:val="single"/>
        </w:rPr>
        <w:t>东</w:t>
      </w:r>
      <w:r>
        <w:rPr>
          <w:u w:val="single"/>
        </w:rPr>
        <w:t>省招标投标监管网、中国招标投标公共服务平台</w:t>
      </w:r>
      <w:r>
        <w:t>上发布。如</w:t>
      </w:r>
      <w:r>
        <w:rPr>
          <w:rFonts w:hint="eastAsia"/>
          <w:lang w:val="en-US" w:eastAsia="zh-CN"/>
        </w:rPr>
        <w:t>媒体发布</w:t>
      </w:r>
      <w:r>
        <w:t>公告详细内容不一致者，以</w:t>
      </w:r>
      <w:r>
        <w:rPr>
          <w:u w:val="single"/>
        </w:rPr>
        <w:t>广东省招标投标监管网</w:t>
      </w:r>
      <w:r>
        <w:t>公告为准。</w:t>
      </w:r>
    </w:p>
    <w:p>
      <w:pPr>
        <w:pStyle w:val="5"/>
        <w:wordWrap w:val="0"/>
        <w:topLinePunct/>
        <w:autoSpaceDE/>
        <w:autoSpaceDN/>
        <w:spacing w:before="39" w:line="364" w:lineRule="auto"/>
        <w:ind w:left="421" w:right="314" w:firstLine="480"/>
        <w:jc w:val="both"/>
      </w:pPr>
      <w:r>
        <w:rPr>
          <w:spacing w:val="-1"/>
        </w:rPr>
        <w:t xml:space="preserve">在规定的投标登记期间，如某个标段投标登记并购买招标文件的投标人不足 </w:t>
      </w:r>
      <w:r>
        <w:t>3</w:t>
      </w:r>
      <w:r>
        <w:rPr>
          <w:spacing w:val="-15"/>
        </w:rPr>
        <w:t xml:space="preserve"> 家</w:t>
      </w:r>
      <w:r>
        <w:rPr>
          <w:spacing w:val="-6"/>
        </w:rPr>
        <w:t>时，招标人有权选择以下任一方式：</w:t>
      </w:r>
      <w:r>
        <w:rPr>
          <w:spacing w:val="-8"/>
        </w:rPr>
        <w:t>（1）</w:t>
      </w:r>
      <w:r>
        <w:t>在广东省招标投标监管网及</w:t>
      </w:r>
      <w:r>
        <w:rPr>
          <w:u w:val="none"/>
        </w:rPr>
        <w:t>广州交易集团有限公司（广州公共资源交易中心）</w:t>
      </w:r>
      <w:r>
        <w:t>网站发布公告延长上述投标人家数不足的标段投标 登记时间，在延期投标登记时间内，已投标登记投标人的资料仍有效并可自行补充资</w:t>
      </w:r>
      <w:r>
        <w:rPr>
          <w:spacing w:val="-4"/>
        </w:rPr>
        <w:t>料，未投标登记的投标人可根据公告的约定进行投标登记；</w:t>
      </w:r>
      <w:r>
        <w:rPr>
          <w:spacing w:val="-8"/>
        </w:rPr>
        <w:t>（2）</w:t>
      </w:r>
      <w:r>
        <w:t>对上述投标人家数不足的标段依法重新组织招标或不再招标。</w:t>
      </w:r>
    </w:p>
    <w:p>
      <w:pPr>
        <w:numPr>
          <w:ilvl w:val="0"/>
          <w:numId w:val="1"/>
        </w:numPr>
        <w:tabs>
          <w:tab w:val="left" w:pos="1040"/>
        </w:tabs>
        <w:wordWrap w:val="0"/>
        <w:topLinePunct/>
        <w:autoSpaceDE/>
        <w:autoSpaceDN/>
        <w:spacing w:before="0" w:line="304" w:lineRule="exact"/>
        <w:ind w:left="1039" w:right="0" w:hanging="243"/>
        <w:jc w:val="left"/>
        <w:rPr>
          <w:b/>
          <w:sz w:val="24"/>
        </w:rPr>
      </w:pPr>
      <w:r>
        <w:rPr>
          <w:b/>
          <w:sz w:val="24"/>
        </w:rPr>
        <w:t>联系方式</w:t>
      </w:r>
    </w:p>
    <w:p>
      <w:pPr>
        <w:pStyle w:val="5"/>
        <w:wordWrap w:val="0"/>
        <w:topLinePunct/>
        <w:autoSpaceDE/>
        <w:autoSpaceDN/>
        <w:spacing w:before="158" w:line="240" w:lineRule="auto"/>
        <w:ind w:left="875" w:right="20"/>
        <w:rPr>
          <w:highlight w:val="none"/>
        </w:rPr>
      </w:pPr>
      <w:r>
        <w:rPr>
          <w:highlight w:val="none"/>
        </w:rPr>
        <w:t>招标人：</w:t>
      </w:r>
      <w:r>
        <w:rPr>
          <w:rFonts w:hint="eastAsia" w:ascii="宋体" w:hAnsi="宋体" w:eastAsia="宋体" w:cs="宋体"/>
          <w:color w:val="auto"/>
          <w:szCs w:val="21"/>
          <w:highlight w:val="none"/>
        </w:rPr>
        <w:t>广州市广园市政建设有限公司</w:t>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地址：</w:t>
      </w:r>
      <w:r>
        <w:rPr>
          <w:rFonts w:hint="eastAsia"/>
          <w:highlight w:val="none"/>
        </w:rPr>
        <w:t>广州市越秀区站南路15号之一6楼605房</w:t>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邮政编码：</w:t>
      </w:r>
      <w:r>
        <w:rPr>
          <w:rFonts w:hint="default"/>
          <w:highlight w:val="none"/>
          <w:u w:val="none"/>
          <w:lang w:val="en-US" w:eastAsia="zh-CN"/>
        </w:rPr>
        <w:t>510010</w:t>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联系人：</w:t>
      </w:r>
      <w:r>
        <w:rPr>
          <w:rFonts w:hint="default"/>
          <w:highlight w:val="none"/>
          <w:u w:val="none"/>
          <w:lang w:val="en-US" w:eastAsia="zh-CN"/>
        </w:rPr>
        <w:t>舒工</w:t>
      </w:r>
      <w:r>
        <w:rPr>
          <w:rFonts w:hint="default"/>
          <w:highlight w:val="none"/>
          <w:u w:val="none"/>
          <w:lang w:val="en-US" w:eastAsia="zh-CN"/>
        </w:rPr>
        <w:tab/>
      </w:r>
    </w:p>
    <w:p>
      <w:pPr>
        <w:pStyle w:val="5"/>
        <w:wordWrap w:val="0"/>
        <w:topLinePunct/>
        <w:autoSpaceDE/>
        <w:autoSpaceDN/>
        <w:spacing w:before="158" w:line="240" w:lineRule="auto"/>
        <w:ind w:left="875" w:right="20"/>
        <w:rPr>
          <w:highlight w:val="none"/>
          <w:u w:val="none"/>
        </w:rPr>
      </w:pPr>
      <w:r>
        <w:rPr>
          <w:highlight w:val="none"/>
        </w:rPr>
        <w:t>电话：</w:t>
      </w:r>
      <w:r>
        <w:rPr>
          <w:rFonts w:hint="default"/>
          <w:highlight w:val="none"/>
          <w:u w:val="none"/>
          <w:lang w:val="en-US" w:eastAsia="zh-CN"/>
        </w:rPr>
        <w:t>020-62655580</w:t>
      </w:r>
      <w:r>
        <w:rPr>
          <w:highlight w:val="none"/>
          <w:u w:val="none"/>
        </w:rPr>
        <w:t xml:space="preserve"> </w:t>
      </w:r>
    </w:p>
    <w:p>
      <w:pPr>
        <w:pStyle w:val="5"/>
        <w:wordWrap w:val="0"/>
        <w:topLinePunct/>
        <w:autoSpaceDE/>
        <w:autoSpaceDN/>
        <w:spacing w:before="5" w:line="240" w:lineRule="auto"/>
        <w:ind w:left="875" w:right="20" w:rightChars="9"/>
        <w:rPr>
          <w:rFonts w:hint="default" w:eastAsia="宋体"/>
          <w:highlight w:val="none"/>
          <w:lang w:val="en-US" w:eastAsia="zh-CN"/>
        </w:rPr>
      </w:pPr>
    </w:p>
    <w:p>
      <w:pPr>
        <w:pStyle w:val="5"/>
        <w:wordWrap w:val="0"/>
        <w:topLinePunct/>
        <w:autoSpaceDE/>
        <w:autoSpaceDN/>
        <w:ind w:right="20" w:rightChars="9"/>
        <w:rPr>
          <w:sz w:val="20"/>
          <w:highlight w:val="none"/>
        </w:rPr>
      </w:pPr>
    </w:p>
    <w:p>
      <w:pPr>
        <w:pStyle w:val="5"/>
        <w:wordWrap w:val="0"/>
        <w:topLinePunct/>
        <w:autoSpaceDE/>
        <w:autoSpaceDN/>
        <w:spacing w:before="158"/>
        <w:ind w:left="875" w:right="20"/>
        <w:rPr>
          <w:rFonts w:hint="default" w:eastAsia="宋体"/>
          <w:highlight w:val="none"/>
          <w:lang w:val="en-US" w:eastAsia="zh-CN"/>
        </w:rPr>
      </w:pPr>
      <w:r>
        <w:rPr>
          <w:highlight w:val="none"/>
        </w:rPr>
        <w:t>招标代理机构：</w:t>
      </w:r>
      <w:r>
        <w:rPr>
          <w:rFonts w:hint="default"/>
          <w:highlight w:val="none"/>
          <w:u w:val="none"/>
          <w:lang w:val="en-US" w:eastAsia="zh-CN"/>
        </w:rPr>
        <w:t>广州市广园工程技术咨询有限公司</w:t>
      </w:r>
      <w:r>
        <w:rPr>
          <w:rFonts w:hint="default"/>
          <w:highlight w:val="none"/>
          <w:u w:val="none"/>
          <w:lang w:val="en-US" w:eastAsia="zh-CN"/>
        </w:rPr>
        <w:tab/>
      </w:r>
    </w:p>
    <w:p>
      <w:pPr>
        <w:pStyle w:val="5"/>
        <w:wordWrap w:val="0"/>
        <w:topLinePunct/>
        <w:autoSpaceDE/>
        <w:autoSpaceDN/>
        <w:spacing w:before="158" w:line="240" w:lineRule="auto"/>
        <w:ind w:left="875" w:right="20"/>
        <w:rPr>
          <w:highlight w:val="none"/>
        </w:rPr>
      </w:pPr>
      <w:r>
        <w:rPr>
          <w:highlight w:val="none"/>
        </w:rPr>
        <w:t>地</w:t>
      </w:r>
      <w:r>
        <w:rPr>
          <w:highlight w:val="none"/>
        </w:rPr>
        <w:tab/>
      </w:r>
      <w:r>
        <w:rPr>
          <w:highlight w:val="none"/>
        </w:rPr>
        <w:t>址：</w:t>
      </w:r>
      <w:r>
        <w:rPr>
          <w:rFonts w:hint="eastAsia"/>
          <w:highlight w:val="none"/>
        </w:rPr>
        <w:t>广州市越秀区站南路15号之一</w:t>
      </w:r>
      <w:r>
        <w:rPr>
          <w:rFonts w:hint="default"/>
          <w:highlight w:val="none"/>
          <w:lang w:val="en-US" w:eastAsia="zh-CN"/>
        </w:rPr>
        <w:t>5</w:t>
      </w:r>
      <w:r>
        <w:rPr>
          <w:rFonts w:hint="eastAsia"/>
          <w:highlight w:val="none"/>
        </w:rPr>
        <w:t>楼</w:t>
      </w:r>
      <w:r>
        <w:rPr>
          <w:rFonts w:hint="default"/>
          <w:highlight w:val="none"/>
          <w:lang w:val="en-US" w:eastAsia="zh-CN"/>
        </w:rPr>
        <w:t>512房</w:t>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邮政编码：</w:t>
      </w:r>
      <w:r>
        <w:rPr>
          <w:rFonts w:hint="default"/>
          <w:highlight w:val="none"/>
          <w:u w:val="none"/>
          <w:lang w:val="en-US" w:eastAsia="zh-CN"/>
        </w:rPr>
        <w:t>510010</w:t>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电子邮件:</w:t>
      </w:r>
      <w:r>
        <w:rPr>
          <w:rFonts w:hint="default"/>
          <w:highlight w:val="none"/>
          <w:lang w:val="en-US" w:eastAsia="zh-CN"/>
        </w:rPr>
        <w:t>287170020@qq.com</w:t>
      </w:r>
      <w:r>
        <w:rPr>
          <w:rFonts w:hint="default"/>
          <w:highlight w:val="none"/>
          <w:lang w:val="en-US" w:eastAsia="zh-CN"/>
        </w:rPr>
        <w:tab/>
      </w:r>
      <w:r>
        <w:rPr>
          <w:rFonts w:hint="default"/>
          <w:highlight w:val="none"/>
          <w:lang w:val="en-US" w:eastAsia="zh-CN"/>
        </w:rPr>
        <w:tab/>
      </w:r>
    </w:p>
    <w:p>
      <w:pPr>
        <w:pStyle w:val="5"/>
        <w:wordWrap w:val="0"/>
        <w:topLinePunct/>
        <w:autoSpaceDE/>
        <w:autoSpaceDN/>
        <w:spacing w:before="158" w:line="240" w:lineRule="auto"/>
        <w:ind w:left="875" w:right="20"/>
        <w:rPr>
          <w:rFonts w:hint="default" w:eastAsia="宋体"/>
          <w:highlight w:val="none"/>
          <w:lang w:val="en-US" w:eastAsia="zh-CN"/>
        </w:rPr>
      </w:pPr>
      <w:r>
        <w:rPr>
          <w:highlight w:val="none"/>
        </w:rPr>
        <w:t>联系人：</w:t>
      </w:r>
      <w:r>
        <w:rPr>
          <w:rFonts w:hint="default"/>
          <w:highlight w:val="none"/>
          <w:u w:val="none"/>
          <w:lang w:val="en-US" w:eastAsia="zh-CN"/>
        </w:rPr>
        <w:t>林工</w:t>
      </w:r>
    </w:p>
    <w:p>
      <w:pPr>
        <w:pStyle w:val="5"/>
        <w:wordWrap w:val="0"/>
        <w:topLinePunct/>
        <w:autoSpaceDE/>
        <w:autoSpaceDN/>
        <w:spacing w:before="158" w:line="240" w:lineRule="auto"/>
        <w:ind w:left="875" w:right="20"/>
        <w:rPr>
          <w:spacing w:val="0"/>
          <w:highlight w:val="none"/>
          <w:u w:val="none"/>
        </w:rPr>
      </w:pPr>
      <w:r>
        <w:rPr>
          <w:highlight w:val="none"/>
        </w:rPr>
        <w:t>电</w:t>
      </w:r>
      <w:r>
        <w:rPr>
          <w:highlight w:val="none"/>
        </w:rPr>
        <w:tab/>
      </w:r>
      <w:r>
        <w:rPr>
          <w:highlight w:val="none"/>
        </w:rPr>
        <w:t>话</w:t>
      </w:r>
      <w:r>
        <w:rPr>
          <w:spacing w:val="0"/>
          <w:highlight w:val="none"/>
        </w:rPr>
        <w:t>：</w:t>
      </w:r>
      <w:r>
        <w:rPr>
          <w:rFonts w:hint="default"/>
          <w:spacing w:val="0"/>
          <w:highlight w:val="none"/>
          <w:u w:val="none"/>
          <w:lang w:val="en-US" w:eastAsia="zh-CN"/>
        </w:rPr>
        <w:t>020-62655580/13433937614</w:t>
      </w:r>
      <w:r>
        <w:rPr>
          <w:spacing w:val="0"/>
          <w:highlight w:val="none"/>
          <w:u w:val="none"/>
        </w:rPr>
        <w:t xml:space="preserve"> </w:t>
      </w:r>
    </w:p>
    <w:p>
      <w:pPr>
        <w:pStyle w:val="5"/>
        <w:wordWrap w:val="0"/>
        <w:topLinePunct/>
        <w:autoSpaceDE/>
        <w:autoSpaceDN/>
        <w:spacing w:before="158" w:line="240" w:lineRule="auto"/>
        <w:ind w:left="875" w:right="20"/>
        <w:rPr>
          <w:rFonts w:hint="default"/>
          <w:spacing w:val="0"/>
          <w:highlight w:val="none"/>
          <w:u w:val="none"/>
          <w:lang w:val="en-US" w:eastAsia="zh-CN"/>
        </w:rPr>
      </w:pPr>
      <w:r>
        <w:rPr>
          <w:highlight w:val="none"/>
        </w:rPr>
        <w:t>传</w:t>
      </w:r>
      <w:r>
        <w:rPr>
          <w:highlight w:val="none"/>
        </w:rPr>
        <w:tab/>
      </w:r>
      <w:r>
        <w:rPr>
          <w:highlight w:val="none"/>
        </w:rPr>
        <w:t>真</w:t>
      </w:r>
      <w:r>
        <w:rPr>
          <w:spacing w:val="0"/>
          <w:highlight w:val="none"/>
        </w:rPr>
        <w:t>：</w:t>
      </w:r>
      <w:r>
        <w:rPr>
          <w:rFonts w:hint="default"/>
          <w:spacing w:val="0"/>
          <w:highlight w:val="none"/>
          <w:u w:val="none"/>
          <w:lang w:val="en-US" w:eastAsia="zh-CN"/>
        </w:rPr>
        <w:t>020-62655581</w:t>
      </w:r>
    </w:p>
    <w:p>
      <w:pPr>
        <w:pStyle w:val="5"/>
        <w:wordWrap w:val="0"/>
        <w:topLinePunct/>
        <w:autoSpaceDE/>
        <w:autoSpaceDN/>
        <w:spacing w:before="158" w:line="240" w:lineRule="auto"/>
        <w:ind w:left="875" w:right="20"/>
        <w:rPr>
          <w:rFonts w:hint="default" w:eastAsia="宋体"/>
          <w:highlight w:val="none"/>
          <w:lang w:val="en-US" w:eastAsia="zh-CN"/>
        </w:rPr>
      </w:pPr>
    </w:p>
    <w:p>
      <w:pPr>
        <w:pStyle w:val="5"/>
        <w:wordWrap w:val="0"/>
        <w:topLinePunct/>
        <w:autoSpaceDE/>
        <w:autoSpaceDN/>
        <w:spacing w:before="158" w:line="240" w:lineRule="auto"/>
        <w:ind w:left="875" w:right="20"/>
        <w:rPr>
          <w:rFonts w:hint="default" w:eastAsia="宋体"/>
          <w:highlight w:val="none"/>
          <w:lang w:val="en-US" w:eastAsia="zh-CN"/>
        </w:rPr>
      </w:pPr>
      <w:r>
        <w:rPr>
          <w:rFonts w:hint="default" w:eastAsia="宋体"/>
          <w:highlight w:val="none"/>
          <w:lang w:val="en-US" w:eastAsia="zh-CN"/>
        </w:rPr>
        <w:t>招标监督机构：广州市交通运输局建设管理处</w:t>
      </w:r>
    </w:p>
    <w:p>
      <w:pPr>
        <w:pStyle w:val="5"/>
        <w:wordWrap w:val="0"/>
        <w:topLinePunct/>
        <w:autoSpaceDE/>
        <w:autoSpaceDN/>
        <w:spacing w:before="158" w:line="240" w:lineRule="auto"/>
        <w:ind w:left="875" w:right="20"/>
        <w:rPr>
          <w:rFonts w:hint="default" w:eastAsia="宋体"/>
          <w:highlight w:val="none"/>
          <w:lang w:val="en-US" w:eastAsia="zh-CN"/>
        </w:rPr>
      </w:pPr>
      <w:r>
        <w:rPr>
          <w:rFonts w:hint="default" w:eastAsia="宋体"/>
          <w:highlight w:val="none"/>
          <w:lang w:val="en-US" w:eastAsia="zh-CN"/>
        </w:rPr>
        <w:t>监管电话：020-38180053</w:t>
      </w:r>
    </w:p>
    <w:p>
      <w:pPr>
        <w:pStyle w:val="5"/>
        <w:wordWrap w:val="0"/>
        <w:topLinePunct/>
        <w:autoSpaceDE/>
        <w:autoSpaceDN/>
        <w:spacing w:before="158" w:line="240" w:lineRule="auto"/>
        <w:ind w:left="875" w:right="20"/>
        <w:rPr>
          <w:rFonts w:hint="default" w:eastAsia="宋体"/>
          <w:highlight w:val="none"/>
          <w:lang w:val="en-US" w:eastAsia="zh-CN"/>
        </w:rPr>
      </w:pPr>
      <w:r>
        <w:rPr>
          <w:rFonts w:hint="default" w:eastAsia="宋体"/>
          <w:highlight w:val="none"/>
          <w:lang w:val="en-US" w:eastAsia="zh-CN"/>
        </w:rPr>
        <w:t>地    址：广州市</w:t>
      </w:r>
      <w:r>
        <w:rPr>
          <w:rFonts w:hint="eastAsia"/>
          <w:highlight w:val="none"/>
          <w:lang w:val="en-US" w:eastAsia="zh-CN"/>
        </w:rPr>
        <w:t>天河区</w:t>
      </w:r>
      <w:r>
        <w:rPr>
          <w:rFonts w:hint="default" w:eastAsia="宋体"/>
          <w:highlight w:val="none"/>
          <w:lang w:val="en-US" w:eastAsia="zh-CN"/>
        </w:rPr>
        <w:t xml:space="preserve">天河南二路1号17楼（建设管理处）  </w:t>
      </w:r>
    </w:p>
    <w:p>
      <w:pPr>
        <w:pStyle w:val="5"/>
        <w:wordWrap w:val="0"/>
        <w:topLinePunct/>
        <w:autoSpaceDE/>
        <w:autoSpaceDN/>
        <w:rPr>
          <w:sz w:val="20"/>
        </w:rPr>
      </w:pPr>
    </w:p>
    <w:p>
      <w:pPr>
        <w:pStyle w:val="5"/>
        <w:wordWrap w:val="0"/>
        <w:topLinePunct/>
        <w:autoSpaceDE/>
        <w:autoSpaceDN/>
        <w:rPr>
          <w:sz w:val="17"/>
        </w:rPr>
      </w:pPr>
    </w:p>
    <w:p>
      <w:pPr>
        <w:wordWrap w:val="0"/>
        <w:topLinePunct/>
        <w:autoSpaceDE/>
        <w:autoSpaceDN/>
        <w:spacing w:before="70" w:line="374" w:lineRule="auto"/>
        <w:ind w:left="841" w:right="5064" w:firstLine="0"/>
        <w:jc w:val="left"/>
        <w:rPr>
          <w:sz w:val="21"/>
        </w:rPr>
      </w:pPr>
    </w:p>
    <w:p>
      <w:pPr>
        <w:wordWrap w:val="0"/>
        <w:topLinePunct/>
        <w:autoSpaceDE/>
        <w:autoSpaceDN/>
        <w:spacing w:before="70" w:line="374" w:lineRule="auto"/>
        <w:ind w:left="841" w:right="20" w:firstLine="0"/>
        <w:jc w:val="right"/>
        <w:rPr>
          <w:rFonts w:hint="default" w:eastAsia="宋体"/>
          <w:sz w:val="24"/>
          <w:szCs w:val="24"/>
          <w:lang w:val="en-US" w:eastAsia="zh-CN"/>
        </w:rPr>
      </w:pPr>
      <w:r>
        <w:rPr>
          <w:rFonts w:hint="eastAsia"/>
          <w:sz w:val="24"/>
          <w:szCs w:val="24"/>
          <w:lang w:val="en-US" w:eastAsia="zh-CN"/>
        </w:rPr>
        <w:t>2023年   月   日</w:t>
      </w:r>
    </w:p>
    <w:p>
      <w:pPr>
        <w:wordWrap w:val="0"/>
        <w:topLinePunct/>
        <w:autoSpaceDE/>
        <w:autoSpaceDN/>
        <w:spacing w:before="70" w:line="374" w:lineRule="auto"/>
        <w:ind w:left="841" w:right="5064" w:firstLine="0"/>
        <w:jc w:val="left"/>
        <w:rPr>
          <w:sz w:val="21"/>
        </w:rPr>
      </w:pPr>
    </w:p>
    <w:p>
      <w:pPr>
        <w:wordWrap w:val="0"/>
        <w:topLinePunct/>
        <w:autoSpaceDE/>
        <w:autoSpaceDN/>
        <w:spacing w:before="70" w:line="374" w:lineRule="auto"/>
        <w:ind w:left="841" w:right="5064" w:firstLine="0"/>
        <w:jc w:val="left"/>
        <w:rPr>
          <w:sz w:val="21"/>
        </w:rPr>
      </w:pPr>
    </w:p>
    <w:p>
      <w:pPr>
        <w:wordWrap w:val="0"/>
        <w:topLinePunct/>
        <w:autoSpaceDE/>
        <w:autoSpaceDN/>
        <w:spacing w:before="70" w:line="374" w:lineRule="auto"/>
        <w:ind w:left="841" w:right="5064" w:firstLine="0"/>
        <w:jc w:val="left"/>
        <w:rPr>
          <w:sz w:val="21"/>
        </w:rPr>
      </w:pPr>
    </w:p>
    <w:p>
      <w:pPr>
        <w:wordWrap w:val="0"/>
        <w:topLinePunct/>
        <w:autoSpaceDE/>
        <w:autoSpaceDN/>
        <w:spacing w:before="70" w:line="374" w:lineRule="auto"/>
        <w:ind w:left="841" w:right="5064" w:firstLine="0"/>
        <w:jc w:val="left"/>
        <w:rPr>
          <w:sz w:val="21"/>
        </w:rPr>
      </w:pPr>
      <w:r>
        <w:rPr>
          <w:sz w:val="21"/>
        </w:rPr>
        <w:t xml:space="preserve">附件 1：标段的划分及主要工程项目情况附件 2：资格审查条件附录 </w:t>
      </w:r>
      <w:r>
        <w:rPr>
          <w:sz w:val="21"/>
          <w:u w:val="single"/>
        </w:rPr>
        <w:t>1</w:t>
      </w:r>
      <w:r>
        <w:rPr>
          <w:sz w:val="21"/>
        </w:rPr>
        <w:t xml:space="preserve"> 至附录 </w:t>
      </w:r>
      <w:r>
        <w:rPr>
          <w:sz w:val="21"/>
          <w:u w:val="single"/>
        </w:rPr>
        <w:t>7</w:t>
      </w:r>
    </w:p>
    <w:p>
      <w:pPr>
        <w:wordWrap w:val="0"/>
        <w:topLinePunct/>
        <w:autoSpaceDE/>
        <w:autoSpaceDN/>
        <w:spacing w:before="0"/>
        <w:ind w:left="841" w:right="0" w:firstLine="0"/>
        <w:jc w:val="left"/>
        <w:rPr>
          <w:sz w:val="21"/>
        </w:rPr>
      </w:pPr>
      <w:r>
        <w:rPr>
          <w:sz w:val="21"/>
        </w:rPr>
        <w:t>附件 3：评标办法</w:t>
      </w:r>
    </w:p>
    <w:p>
      <w:pPr>
        <w:wordWrap w:val="0"/>
        <w:topLinePunct/>
        <w:autoSpaceDE/>
        <w:autoSpaceDN/>
        <w:spacing w:before="151"/>
        <w:ind w:left="841" w:right="0" w:firstLine="0"/>
        <w:jc w:val="left"/>
        <w:rPr>
          <w:sz w:val="21"/>
        </w:rPr>
      </w:pPr>
      <w:r>
        <w:rPr>
          <w:sz w:val="21"/>
          <w:u w:val="single"/>
        </w:rPr>
        <w:t>附件 4：投标登记申请表</w:t>
      </w:r>
    </w:p>
    <w:p>
      <w:pPr>
        <w:wordWrap w:val="0"/>
        <w:topLinePunct/>
        <w:autoSpaceDE/>
        <w:autoSpaceDN/>
        <w:spacing w:before="151"/>
        <w:ind w:left="841" w:right="0" w:firstLine="0"/>
        <w:jc w:val="left"/>
        <w:rPr>
          <w:sz w:val="21"/>
        </w:rPr>
      </w:pPr>
      <w:r>
        <w:rPr>
          <w:sz w:val="21"/>
          <w:u w:val="single"/>
        </w:rPr>
        <w:t>附件 5：招标文件领取登记表</w:t>
      </w:r>
    </w:p>
    <w:p>
      <w:pPr>
        <w:pStyle w:val="5"/>
        <w:wordWrap w:val="0"/>
        <w:topLinePunct/>
        <w:autoSpaceDE/>
        <w:autoSpaceDN/>
        <w:spacing w:before="121"/>
        <w:ind w:left="812"/>
      </w:pPr>
      <w:r>
        <w:t>以上附件可从发布公告的网站媒介上下载。</w:t>
      </w:r>
    </w:p>
    <w:p>
      <w:pPr>
        <w:wordWrap w:val="0"/>
        <w:topLinePunct/>
        <w:autoSpaceDE/>
        <w:autoSpaceDN/>
        <w:spacing w:after="0"/>
        <w:sectPr>
          <w:headerReference r:id="rId5" w:type="default"/>
          <w:footerReference r:id="rId6" w:type="default"/>
          <w:pgSz w:w="11900" w:h="16840"/>
          <w:pgMar w:top="1380" w:right="1100" w:bottom="860" w:left="1100" w:header="0" w:footer="667" w:gutter="0"/>
          <w:pgBorders>
            <w:top w:val="none" w:sz="0" w:space="0"/>
            <w:left w:val="none" w:sz="0" w:space="0"/>
            <w:bottom w:val="none" w:sz="0" w:space="0"/>
            <w:right w:val="none" w:sz="0" w:space="0"/>
          </w:pgBorders>
          <w:cols w:space="720" w:num="1"/>
        </w:sectPr>
      </w:pPr>
    </w:p>
    <w:p>
      <w:pPr>
        <w:pStyle w:val="4"/>
        <w:wordWrap w:val="0"/>
        <w:topLinePunct/>
        <w:autoSpaceDE/>
        <w:autoSpaceDN/>
        <w:spacing w:before="41"/>
        <w:ind w:left="315"/>
      </w:pPr>
      <w:r>
        <w:t>附件1</w:t>
      </w:r>
    </w:p>
    <w:p>
      <w:pPr>
        <w:pStyle w:val="5"/>
        <w:wordWrap w:val="0"/>
        <w:topLinePunct/>
        <w:autoSpaceDE/>
        <w:autoSpaceDN/>
        <w:spacing w:before="4"/>
        <w:rPr>
          <w:b/>
          <w:sz w:val="20"/>
        </w:rPr>
      </w:pPr>
    </w:p>
    <w:p>
      <w:pPr>
        <w:pStyle w:val="4"/>
        <w:wordWrap w:val="0"/>
        <w:topLinePunct/>
        <w:autoSpaceDE/>
        <w:autoSpaceDN/>
        <w:spacing w:before="54"/>
        <w:ind w:left="2600"/>
      </w:pPr>
      <w:r>
        <w:t>标段的划分及主要工程项目情况</w:t>
      </w:r>
    </w:p>
    <w:p>
      <w:pPr>
        <w:pStyle w:val="5"/>
        <w:wordWrap w:val="0"/>
        <w:topLinePunct/>
        <w:autoSpaceDE/>
        <w:autoSpaceDN/>
        <w:rPr>
          <w:b/>
          <w:sz w:val="32"/>
        </w:rPr>
      </w:pPr>
    </w:p>
    <w:p>
      <w:pPr>
        <w:pStyle w:val="5"/>
        <w:wordWrap w:val="0"/>
        <w:topLinePunct/>
        <w:autoSpaceDE/>
        <w:autoSpaceDN/>
        <w:spacing w:before="268" w:line="364" w:lineRule="auto"/>
        <w:ind w:left="315" w:right="20" w:firstLine="480"/>
        <w:jc w:val="both"/>
        <w:rPr>
          <w:rFonts w:hint="eastAsia" w:eastAsia="宋体"/>
          <w:highlight w:val="none"/>
          <w:lang w:val="en-US" w:eastAsia="zh-CN"/>
        </w:rPr>
      </w:pPr>
      <w:r>
        <w:rPr>
          <w:spacing w:val="-9"/>
          <w:highlight w:val="none"/>
        </w:rPr>
        <w:t>本次招标</w:t>
      </w:r>
      <w:r>
        <w:rPr>
          <w:rFonts w:hint="eastAsia"/>
          <w:spacing w:val="-9"/>
          <w:highlight w:val="none"/>
          <w:lang w:val="en-US" w:eastAsia="zh-CN"/>
        </w:rPr>
        <w:t>内容：白沙河（沙贝~滘口）5km 为内河Ⅳ级航道，维护尺度为 2.5m×50m×330m。该河段规划航道设计水深为 3.4m(礁石区 3.9m)。航道调整后，对水深不足的区域进行清除。泥质河段航道设计水深 3.4m，礁石河段航道设计水深为 3.9m，桥区航道底宽为 130m，清礁区工程量约4813m³，疏浚工程量约24633m³。</w:t>
      </w:r>
    </w:p>
    <w:p>
      <w:pPr>
        <w:pStyle w:val="5"/>
        <w:wordWrap w:val="0"/>
        <w:topLinePunct/>
        <w:autoSpaceDE/>
        <w:autoSpaceDN/>
        <w:spacing w:line="364" w:lineRule="auto"/>
        <w:ind w:left="796" w:right="20"/>
        <w:rPr>
          <w:highlight w:val="none"/>
        </w:rPr>
      </w:pPr>
      <w:r>
        <w:rPr>
          <w:highlight w:val="none"/>
        </w:rPr>
        <w:t>建设地点：</w:t>
      </w:r>
      <w:r>
        <w:rPr>
          <w:rFonts w:hint="eastAsia"/>
          <w:highlight w:val="none"/>
        </w:rPr>
        <w:t>广佛大桥系统工程（一期）位于地铁六号线桥下游约 740m 跨越白沙河。</w:t>
      </w:r>
    </w:p>
    <w:p>
      <w:pPr>
        <w:pStyle w:val="5"/>
        <w:wordWrap w:val="0"/>
        <w:topLinePunct/>
        <w:autoSpaceDE/>
        <w:autoSpaceDN/>
        <w:spacing w:before="158" w:line="364" w:lineRule="auto"/>
        <w:ind w:left="315" w:right="314" w:firstLine="480"/>
        <w:jc w:val="both"/>
        <w:rPr>
          <w:rFonts w:hint="eastAsia"/>
          <w:highlight w:val="none"/>
        </w:rPr>
      </w:pPr>
      <w:r>
        <w:rPr>
          <w:rFonts w:hint="eastAsia"/>
          <w:highlight w:val="none"/>
        </w:rPr>
        <w:t>计划工期：</w:t>
      </w:r>
      <w:r>
        <w:rPr>
          <w:rFonts w:hint="eastAsia"/>
          <w:highlight w:val="none"/>
          <w:lang w:eastAsia="zh-CN"/>
        </w:rPr>
        <w:t>6</w:t>
      </w:r>
      <w:r>
        <w:rPr>
          <w:rFonts w:hint="eastAsia"/>
          <w:highlight w:val="none"/>
          <w:lang w:val="en-US" w:eastAsia="zh-CN"/>
        </w:rPr>
        <w:t>个月</w:t>
      </w:r>
      <w:r>
        <w:rPr>
          <w:rFonts w:hint="eastAsia"/>
          <w:highlight w:val="none"/>
        </w:rPr>
        <w:t>。</w:t>
      </w:r>
    </w:p>
    <w:p>
      <w:pPr>
        <w:pStyle w:val="5"/>
        <w:wordWrap w:val="0"/>
        <w:topLinePunct/>
        <w:autoSpaceDE/>
        <w:autoSpaceDN/>
        <w:spacing w:before="268" w:line="364" w:lineRule="auto"/>
        <w:ind w:left="315" w:right="20" w:firstLine="480"/>
        <w:jc w:val="both"/>
        <w:rPr>
          <w:rFonts w:hint="eastAsia"/>
          <w:spacing w:val="-9"/>
          <w:highlight w:val="none"/>
          <w:lang w:val="en-US" w:eastAsia="zh-CN"/>
        </w:rPr>
        <w:sectPr>
          <w:headerReference r:id="rId7" w:type="default"/>
          <w:footerReference r:id="rId8" w:type="default"/>
          <w:pgSz w:w="11900" w:h="16840"/>
          <w:pgMar w:top="1380" w:right="1100" w:bottom="860" w:left="1100" w:header="0" w:footer="667" w:gutter="0"/>
          <w:pgBorders>
            <w:top w:val="none" w:sz="0" w:space="0"/>
            <w:left w:val="none" w:sz="0" w:space="0"/>
            <w:bottom w:val="none" w:sz="0" w:space="0"/>
            <w:right w:val="none" w:sz="0" w:space="0"/>
          </w:pgBorders>
          <w:cols w:space="720" w:num="1"/>
        </w:sectPr>
      </w:pPr>
      <w:r>
        <w:rPr>
          <w:rFonts w:hint="eastAsia"/>
          <w:highlight w:val="none"/>
        </w:rPr>
        <w:t>项目招标范围：</w:t>
      </w:r>
      <w:r>
        <w:rPr>
          <w:rFonts w:hint="eastAsia"/>
          <w:spacing w:val="-9"/>
          <w:highlight w:val="none"/>
          <w:lang w:val="en-US" w:eastAsia="zh-CN"/>
        </w:rPr>
        <w:t>白沙河（沙贝~滘口）5km 为内河Ⅳ级航道，维护尺度为 2.5m×50m×330m。该河段规划航道设计水深为 3.4m(礁石区 3.9m)。航道调整后，对水深不足的区域进行清除。泥质河段航道设计水深 3.4m，礁石河段航道设计水深为 3.9m，桥区航道底宽为 130m，清礁区工程量约4813m³，疏浚工程量约24633m³。具体以施工图纸、技术规格书及工程量清单为准。</w:t>
      </w:r>
    </w:p>
    <w:p>
      <w:pPr>
        <w:pStyle w:val="4"/>
        <w:wordWrap w:val="0"/>
        <w:topLinePunct/>
        <w:autoSpaceDE/>
        <w:autoSpaceDN/>
        <w:spacing w:before="41"/>
        <w:ind w:left="315"/>
        <w:rPr>
          <w:rFonts w:hint="eastAsia"/>
          <w:lang w:val="en-US" w:eastAsia="zh-CN"/>
        </w:rPr>
      </w:pPr>
      <w:r>
        <w:t>附件</w:t>
      </w:r>
      <w:r>
        <w:rPr>
          <w:rFonts w:hint="eastAsia"/>
          <w:lang w:val="en-US" w:eastAsia="zh-CN"/>
        </w:rPr>
        <w:t>2</w:t>
      </w:r>
    </w:p>
    <w:p>
      <w:pPr>
        <w:rPr>
          <w:rFonts w:hint="eastAsia"/>
          <w:lang w:val="en-US" w:eastAsia="zh-CN"/>
        </w:rPr>
      </w:pPr>
    </w:p>
    <w:p>
      <w:pPr>
        <w:pStyle w:val="14"/>
        <w:wordWrap w:val="0"/>
        <w:topLinePunct/>
        <w:autoSpaceDE/>
        <w:autoSpaceDN/>
        <w:jc w:val="center"/>
        <w:rPr>
          <w:rFonts w:ascii="宋体" w:hAnsi="宋体" w:eastAsia="宋体" w:cs="宋体"/>
          <w:b/>
          <w:bCs/>
          <w:color w:val="auto"/>
          <w:kern w:val="44"/>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 xml:space="preserve">1 </w:t>
      </w:r>
      <w:r>
        <w:rPr>
          <w:rFonts w:hint="eastAsia" w:ascii="宋体" w:hAnsi="宋体" w:eastAsia="宋体" w:cs="宋体"/>
          <w:b/>
          <w:bCs/>
          <w:color w:val="auto"/>
          <w:kern w:val="44"/>
          <w:sz w:val="30"/>
          <w:szCs w:val="30"/>
          <w:highlight w:val="none"/>
        </w:rPr>
        <w:t>资格审查条件</w:t>
      </w:r>
      <w:r>
        <w:rPr>
          <w:rFonts w:ascii="宋体" w:hAnsi="宋体" w:eastAsia="宋体" w:cs="宋体"/>
          <w:b/>
          <w:bCs/>
          <w:color w:val="auto"/>
          <w:kern w:val="44"/>
          <w:sz w:val="30"/>
          <w:szCs w:val="30"/>
          <w:highlight w:val="none"/>
        </w:rPr>
        <w:t>(资质最低条件)</w:t>
      </w:r>
    </w:p>
    <w:tbl>
      <w:tblPr>
        <w:tblStyle w:val="9"/>
        <w:tblpPr w:leftFromText="180" w:rightFromText="180" w:vertAnchor="text" w:horzAnchor="page" w:tblpX="1588" w:tblpY="455"/>
        <w:tblOverlap w:val="never"/>
        <w:tblW w:w="9090" w:type="dxa"/>
        <w:tblInd w:w="0" w:type="dxa"/>
        <w:tblLayout w:type="fixed"/>
        <w:tblCellMar>
          <w:top w:w="0" w:type="dxa"/>
          <w:left w:w="108" w:type="dxa"/>
          <w:bottom w:w="0" w:type="dxa"/>
          <w:right w:w="108" w:type="dxa"/>
        </w:tblCellMar>
      </w:tblPr>
      <w:tblGrid>
        <w:gridCol w:w="9090"/>
      </w:tblGrid>
      <w:tr>
        <w:tblPrEx>
          <w:tblCellMar>
            <w:top w:w="0" w:type="dxa"/>
            <w:left w:w="108" w:type="dxa"/>
            <w:bottom w:w="0" w:type="dxa"/>
            <w:right w:w="108" w:type="dxa"/>
          </w:tblCellMar>
        </w:tblPrEx>
        <w:trPr>
          <w:trHeight w:val="711" w:hRule="atLeast"/>
        </w:trPr>
        <w:tc>
          <w:tcPr>
            <w:tcW w:w="9090" w:type="dxa"/>
            <w:tcBorders>
              <w:top w:val="single" w:color="000000" w:sz="4" w:space="0"/>
              <w:left w:val="single" w:color="000000" w:sz="4" w:space="0"/>
              <w:bottom w:val="single" w:color="000000" w:sz="4" w:space="0"/>
              <w:right w:val="single" w:color="000000" w:sz="4" w:space="0"/>
            </w:tcBorders>
            <w:vAlign w:val="center"/>
          </w:tcPr>
          <w:p>
            <w:pPr>
              <w:wordWrap w:val="0"/>
              <w:topLinePunct/>
              <w:autoSpaceDE/>
              <w:autoSpaceDN/>
              <w:adjustRightInd w:val="0"/>
              <w:ind w:left="110" w:leftChars="50"/>
              <w:jc w:val="center"/>
              <w:rPr>
                <w:rFonts w:ascii="宋体" w:hAnsi="宋体" w:cs="宋体"/>
                <w:color w:val="auto"/>
                <w:sz w:val="24"/>
                <w:highlight w:val="none"/>
              </w:rPr>
            </w:pPr>
            <w:r>
              <w:rPr>
                <w:rFonts w:hint="eastAsia" w:ascii="宋体" w:hAnsi="宋体" w:cs="宋体"/>
                <w:b/>
                <w:bCs/>
                <w:color w:val="auto"/>
                <w:kern w:val="0"/>
                <w:sz w:val="24"/>
                <w:highlight w:val="none"/>
              </w:rPr>
              <w:t>施工企业资质等级要求</w:t>
            </w:r>
          </w:p>
        </w:tc>
      </w:tr>
      <w:tr>
        <w:tblPrEx>
          <w:tblCellMar>
            <w:top w:w="0" w:type="dxa"/>
            <w:left w:w="108" w:type="dxa"/>
            <w:bottom w:w="0" w:type="dxa"/>
            <w:right w:w="108" w:type="dxa"/>
          </w:tblCellMar>
        </w:tblPrEx>
        <w:trPr>
          <w:trHeight w:val="652" w:hRule="atLeast"/>
        </w:trPr>
        <w:tc>
          <w:tcPr>
            <w:tcW w:w="9090" w:type="dxa"/>
            <w:tcBorders>
              <w:top w:val="single" w:color="000000" w:sz="4" w:space="0"/>
              <w:left w:val="single" w:color="000000" w:sz="4" w:space="0"/>
              <w:bottom w:val="single" w:color="000000" w:sz="4" w:space="0"/>
              <w:right w:val="single" w:color="000000" w:sz="4" w:space="0"/>
            </w:tcBorders>
          </w:tcPr>
          <w:p>
            <w:pPr>
              <w:wordWrap w:val="0"/>
              <w:topLinePunct/>
              <w:autoSpaceDE/>
              <w:autoSpaceDN/>
              <w:adjustRightInd w:val="0"/>
              <w:ind w:left="110" w:leftChars="50"/>
              <w:rPr>
                <w:rFonts w:ascii="宋体" w:hAnsi="宋体" w:cs="宋体"/>
                <w:color w:val="auto"/>
                <w:kern w:val="0"/>
                <w:sz w:val="24"/>
                <w:highlight w:val="none"/>
              </w:rPr>
            </w:pPr>
            <w:r>
              <w:rPr>
                <w:rFonts w:ascii="宋体" w:hAnsi="宋体" w:cs="宋体"/>
                <w:color w:val="auto"/>
                <w:kern w:val="0"/>
                <w:sz w:val="24"/>
                <w:highlight w:val="none"/>
              </w:rPr>
              <w:t>1.投标人应具有独立法人资格，持有合法有效的法人营业执照。</w:t>
            </w:r>
          </w:p>
          <w:p>
            <w:pPr>
              <w:wordWrap w:val="0"/>
              <w:topLinePunct/>
              <w:autoSpaceDE/>
              <w:autoSpaceDN/>
              <w:adjustRightInd w:val="0"/>
              <w:ind w:left="110" w:leftChars="50"/>
              <w:rPr>
                <w:rFonts w:ascii="宋体" w:hAnsi="宋体" w:cs="宋体"/>
                <w:color w:val="auto"/>
                <w:kern w:val="0"/>
                <w:sz w:val="24"/>
                <w:highlight w:val="none"/>
              </w:rPr>
            </w:pPr>
            <w:r>
              <w:rPr>
                <w:rFonts w:ascii="宋体" w:hAnsi="宋体" w:cs="宋体"/>
                <w:color w:val="auto"/>
                <w:kern w:val="0"/>
                <w:sz w:val="24"/>
                <w:highlight w:val="none"/>
              </w:rPr>
              <w:t>2.投标人应具有港口与航道工程施工总承包</w:t>
            </w:r>
            <w:r>
              <w:rPr>
                <w:rFonts w:hint="eastAsia" w:ascii="宋体" w:hAnsi="宋体" w:cs="宋体"/>
                <w:color w:val="auto"/>
                <w:kern w:val="0"/>
                <w:sz w:val="24"/>
                <w:highlight w:val="none"/>
                <w:lang w:val="en-US" w:eastAsia="zh-CN"/>
              </w:rPr>
              <w:t>三</w:t>
            </w:r>
            <w:r>
              <w:rPr>
                <w:rFonts w:ascii="宋体" w:hAnsi="宋体" w:cs="宋体"/>
                <w:color w:val="auto"/>
                <w:kern w:val="0"/>
                <w:sz w:val="24"/>
                <w:highlight w:val="none"/>
              </w:rPr>
              <w:t>级（或以上）</w:t>
            </w:r>
            <w:r>
              <w:rPr>
                <w:rFonts w:hint="eastAsia" w:ascii="宋体" w:hAnsi="宋体" w:cs="宋体"/>
                <w:color w:val="auto"/>
                <w:kern w:val="0"/>
                <w:sz w:val="24"/>
                <w:highlight w:val="none"/>
              </w:rPr>
              <w:t>资质</w:t>
            </w:r>
            <w:r>
              <w:rPr>
                <w:rFonts w:hint="eastAsia" w:ascii="宋体" w:hAnsi="宋体" w:cs="宋体"/>
                <w:color w:val="auto"/>
                <w:sz w:val="24"/>
                <w:highlight w:val="none"/>
              </w:rPr>
              <w:t>或航道工程专业承包三级</w:t>
            </w:r>
            <w:r>
              <w:rPr>
                <w:rFonts w:ascii="宋体" w:hAnsi="宋体" w:cs="宋体"/>
                <w:color w:val="auto"/>
                <w:kern w:val="0"/>
                <w:sz w:val="24"/>
                <w:highlight w:val="none"/>
              </w:rPr>
              <w:t>（或以上）</w:t>
            </w:r>
            <w:r>
              <w:rPr>
                <w:rFonts w:hint="eastAsia" w:ascii="宋体" w:hAnsi="宋体" w:cs="宋体"/>
                <w:color w:val="auto"/>
                <w:sz w:val="24"/>
                <w:highlight w:val="none"/>
              </w:rPr>
              <w:t>资质</w:t>
            </w:r>
            <w:r>
              <w:rPr>
                <w:rFonts w:hint="eastAsia" w:ascii="宋体" w:hAnsi="宋体" w:cs="宋体"/>
                <w:color w:val="auto"/>
                <w:kern w:val="0"/>
                <w:sz w:val="24"/>
                <w:highlight w:val="none"/>
              </w:rPr>
              <w:t>。</w:t>
            </w:r>
          </w:p>
          <w:p>
            <w:pPr>
              <w:wordWrap w:val="0"/>
              <w:topLinePunct/>
              <w:autoSpaceDE/>
              <w:autoSpaceDN/>
              <w:adjustRightInd w:val="0"/>
              <w:ind w:left="110" w:leftChars="50"/>
              <w:rPr>
                <w:rFonts w:ascii="宋体" w:hAnsi="宋体" w:cs="宋体"/>
                <w:color w:val="auto"/>
                <w:highlight w:val="none"/>
              </w:rPr>
            </w:pPr>
            <w:r>
              <w:rPr>
                <w:rFonts w:ascii="宋体" w:hAnsi="宋体" w:cs="宋体"/>
                <w:color w:val="auto"/>
                <w:kern w:val="0"/>
                <w:sz w:val="24"/>
                <w:highlight w:val="none"/>
              </w:rPr>
              <w:t>3.投标人应具有合法有效的安全生产许可证。</w:t>
            </w:r>
          </w:p>
        </w:tc>
      </w:tr>
    </w:tbl>
    <w:p>
      <w:pPr>
        <w:pStyle w:val="15"/>
        <w:wordWrap w:val="0"/>
        <w:topLinePunct/>
        <w:autoSpaceDE/>
        <w:autoSpaceDN/>
        <w:rPr>
          <w:rFonts w:ascii="宋体" w:hAnsi="宋体" w:eastAsia="宋体" w:cs="宋体"/>
          <w:color w:val="auto"/>
          <w:highlight w:val="none"/>
        </w:rPr>
      </w:pPr>
    </w:p>
    <w:p>
      <w:pPr>
        <w:pStyle w:val="15"/>
        <w:wordWrap w:val="0"/>
        <w:topLinePunct/>
        <w:autoSpaceDE/>
        <w:autoSpaceDN/>
        <w:rPr>
          <w:rFonts w:ascii="宋体" w:hAnsi="宋体" w:eastAsia="宋体" w:cs="宋体"/>
          <w:color w:val="auto"/>
          <w:highlight w:val="none"/>
        </w:rPr>
      </w:pPr>
    </w:p>
    <w:p>
      <w:pPr>
        <w:pStyle w:val="14"/>
        <w:wordWrap w:val="0"/>
        <w:topLinePunct/>
        <w:autoSpaceDE/>
        <w:autoSpaceDN/>
        <w:jc w:val="center"/>
        <w:rPr>
          <w:rFonts w:hint="eastAsia" w:ascii="宋体" w:hAnsi="宋体" w:eastAsia="宋体" w:cs="宋体"/>
          <w:b/>
          <w:bCs/>
          <w:color w:val="auto"/>
          <w:kern w:val="44"/>
          <w:sz w:val="30"/>
          <w:szCs w:val="30"/>
          <w:highlight w:val="none"/>
        </w:rPr>
      </w:pPr>
    </w:p>
    <w:p>
      <w:pPr>
        <w:pStyle w:val="14"/>
        <w:wordWrap w:val="0"/>
        <w:topLinePunct/>
        <w:autoSpaceDE/>
        <w:autoSpaceDN/>
        <w:jc w:val="center"/>
        <w:rPr>
          <w:rFonts w:hint="eastAsia" w:ascii="宋体" w:hAnsi="宋体" w:eastAsia="宋体" w:cs="宋体"/>
          <w:b/>
          <w:bCs/>
          <w:color w:val="auto"/>
          <w:kern w:val="44"/>
          <w:sz w:val="30"/>
          <w:szCs w:val="30"/>
          <w:highlight w:val="none"/>
        </w:rPr>
      </w:pPr>
    </w:p>
    <w:p>
      <w:pPr>
        <w:pStyle w:val="14"/>
        <w:wordWrap w:val="0"/>
        <w:topLinePunct/>
        <w:autoSpaceDE/>
        <w:autoSpaceDN/>
        <w:jc w:val="center"/>
        <w:rPr>
          <w:rFonts w:hint="eastAsia" w:ascii="宋体" w:hAnsi="宋体" w:eastAsia="宋体" w:cs="宋体"/>
          <w:b/>
          <w:bCs/>
          <w:color w:val="auto"/>
          <w:kern w:val="44"/>
          <w:sz w:val="30"/>
          <w:szCs w:val="30"/>
          <w:highlight w:val="none"/>
        </w:rPr>
      </w:pPr>
    </w:p>
    <w:p>
      <w:pPr>
        <w:pStyle w:val="14"/>
        <w:wordWrap w:val="0"/>
        <w:topLinePunct/>
        <w:autoSpaceDE/>
        <w:autoSpaceDN/>
        <w:jc w:val="center"/>
        <w:rPr>
          <w:rFonts w:hint="eastAsia" w:ascii="宋体" w:hAnsi="宋体" w:eastAsia="宋体" w:cs="宋体"/>
          <w:b/>
          <w:bCs/>
          <w:color w:val="auto"/>
          <w:kern w:val="44"/>
          <w:sz w:val="30"/>
          <w:szCs w:val="30"/>
          <w:highlight w:val="none"/>
        </w:rPr>
      </w:pPr>
    </w:p>
    <w:p>
      <w:pPr>
        <w:pStyle w:val="14"/>
        <w:wordWrap w:val="0"/>
        <w:topLinePunct/>
        <w:autoSpaceDE/>
        <w:autoSpaceDN/>
        <w:jc w:val="center"/>
        <w:rPr>
          <w:rFonts w:hint="eastAsia" w:ascii="宋体" w:hAnsi="宋体" w:eastAsia="宋体" w:cs="宋体"/>
          <w:b/>
          <w:bCs/>
          <w:color w:val="auto"/>
          <w:kern w:val="44"/>
          <w:sz w:val="30"/>
          <w:szCs w:val="30"/>
          <w:highlight w:val="none"/>
        </w:rPr>
      </w:pPr>
    </w:p>
    <w:p>
      <w:pPr>
        <w:pStyle w:val="14"/>
        <w:wordWrap w:val="0"/>
        <w:topLinePunct/>
        <w:autoSpaceDE/>
        <w:autoSpaceDN/>
        <w:jc w:val="center"/>
        <w:rPr>
          <w:rFonts w:ascii="宋体" w:hAnsi="宋体" w:eastAsia="宋体" w:cs="宋体"/>
          <w:color w:val="auto"/>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 xml:space="preserve">2 </w:t>
      </w:r>
      <w:r>
        <w:rPr>
          <w:rFonts w:hint="eastAsia" w:ascii="宋体" w:hAnsi="宋体" w:eastAsia="宋体" w:cs="宋体"/>
          <w:b/>
          <w:bCs/>
          <w:color w:val="auto"/>
          <w:kern w:val="44"/>
          <w:sz w:val="30"/>
          <w:szCs w:val="30"/>
          <w:highlight w:val="none"/>
        </w:rPr>
        <w:t>资格审查条件</w:t>
      </w:r>
      <w:r>
        <w:rPr>
          <w:rFonts w:ascii="宋体" w:hAnsi="宋体" w:eastAsia="宋体" w:cs="宋体"/>
          <w:b/>
          <w:bCs/>
          <w:color w:val="auto"/>
          <w:kern w:val="44"/>
          <w:sz w:val="30"/>
          <w:szCs w:val="30"/>
          <w:highlight w:val="none"/>
        </w:rPr>
        <w:t>(财务最低要求)</w:t>
      </w:r>
    </w:p>
    <w:tbl>
      <w:tblPr>
        <w:tblStyle w:val="9"/>
        <w:tblW w:w="9068" w:type="dxa"/>
        <w:jc w:val="center"/>
        <w:tblLayout w:type="fixed"/>
        <w:tblCellMar>
          <w:top w:w="0" w:type="dxa"/>
          <w:left w:w="108" w:type="dxa"/>
          <w:bottom w:w="0" w:type="dxa"/>
          <w:right w:w="108" w:type="dxa"/>
        </w:tblCellMar>
      </w:tblPr>
      <w:tblGrid>
        <w:gridCol w:w="9068"/>
      </w:tblGrid>
      <w:tr>
        <w:tblPrEx>
          <w:tblCellMar>
            <w:top w:w="0" w:type="dxa"/>
            <w:left w:w="108" w:type="dxa"/>
            <w:bottom w:w="0" w:type="dxa"/>
            <w:right w:w="108" w:type="dxa"/>
          </w:tblCellMar>
        </w:tblPrEx>
        <w:trPr>
          <w:trHeight w:val="448" w:hRule="atLeast"/>
          <w:jc w:val="center"/>
        </w:trPr>
        <w:tc>
          <w:tcPr>
            <w:tcW w:w="9068" w:type="dxa"/>
            <w:tcBorders>
              <w:top w:val="single" w:color="auto" w:sz="4" w:space="0"/>
              <w:left w:val="single" w:color="auto" w:sz="4" w:space="0"/>
              <w:bottom w:val="single" w:color="auto" w:sz="4" w:space="0"/>
              <w:right w:val="single" w:color="auto" w:sz="4" w:space="0"/>
            </w:tcBorders>
            <w:vAlign w:val="center"/>
          </w:tcPr>
          <w:p>
            <w:pPr>
              <w:pStyle w:val="16"/>
              <w:wordWrap w:val="0"/>
              <w:topLinePunct/>
              <w:autoSpaceDE/>
              <w:autoSpaceDN/>
              <w:spacing w:after="0" w:line="360" w:lineRule="auto"/>
              <w:jc w:val="center"/>
              <w:rPr>
                <w:rFonts w:ascii="宋体" w:hAnsi="宋体" w:eastAsia="宋体" w:cs="宋体"/>
                <w:color w:val="auto"/>
                <w:highlight w:val="none"/>
              </w:rPr>
            </w:pPr>
            <w:r>
              <w:rPr>
                <w:rFonts w:hint="eastAsia" w:ascii="宋体" w:hAnsi="宋体" w:eastAsia="宋体" w:cs="宋体"/>
                <w:b/>
                <w:bCs/>
                <w:color w:val="auto"/>
                <w:highlight w:val="none"/>
              </w:rPr>
              <w:t>财务要求</w:t>
            </w:r>
          </w:p>
        </w:tc>
      </w:tr>
      <w:tr>
        <w:tblPrEx>
          <w:tblCellMar>
            <w:top w:w="0" w:type="dxa"/>
            <w:left w:w="108" w:type="dxa"/>
            <w:bottom w:w="0" w:type="dxa"/>
            <w:right w:w="108" w:type="dxa"/>
          </w:tblCellMar>
        </w:tblPrEx>
        <w:trPr>
          <w:trHeight w:val="814" w:hRule="atLeast"/>
          <w:jc w:val="center"/>
        </w:trPr>
        <w:tc>
          <w:tcPr>
            <w:tcW w:w="9068" w:type="dxa"/>
            <w:tcBorders>
              <w:top w:val="single" w:color="auto" w:sz="4" w:space="0"/>
              <w:left w:val="single" w:color="auto" w:sz="4" w:space="0"/>
              <w:bottom w:val="single" w:color="auto" w:sz="4" w:space="0"/>
              <w:right w:val="single" w:color="auto" w:sz="4" w:space="0"/>
            </w:tcBorders>
            <w:vAlign w:val="center"/>
          </w:tcPr>
          <w:p/>
          <w:p/>
          <w:p/>
          <w:p>
            <w:pPr>
              <w:wordWrap w:val="0"/>
              <w:topLinePunct/>
              <w:autoSpaceDE/>
              <w:autoSpaceDN/>
              <w:rPr>
                <w:rFonts w:hint="default" w:ascii="宋体" w:hAnsi="宋体" w:eastAsia="宋体" w:cs="宋体"/>
                <w:color w:val="auto"/>
                <w:sz w:val="24"/>
                <w:highlight w:val="none"/>
                <w:lang w:val="en-US" w:eastAsia="zh-CN"/>
              </w:rPr>
            </w:pPr>
            <w:r>
              <w:rPr>
                <w:rFonts w:hint="eastAsia" w:cs="宋体"/>
                <w:color w:val="auto"/>
                <w:sz w:val="24"/>
                <w:highlight w:val="none"/>
                <w:lang w:val="en-US" w:eastAsia="zh-CN"/>
              </w:rPr>
              <w:t>本项目不适用。</w:t>
            </w:r>
          </w:p>
        </w:tc>
      </w:tr>
    </w:tbl>
    <w:p>
      <w:pPr>
        <w:pStyle w:val="15"/>
        <w:wordWrap w:val="0"/>
        <w:topLinePunct/>
        <w:autoSpaceDE/>
        <w:autoSpaceDN/>
        <w:ind w:firstLine="720" w:firstLineChars="400"/>
        <w:rPr>
          <w:rFonts w:ascii="宋体" w:hAnsi="宋体" w:eastAsia="宋体" w:cs="宋体"/>
          <w:color w:val="auto"/>
          <w:kern w:val="44"/>
          <w:sz w:val="18"/>
          <w:szCs w:val="18"/>
          <w:highlight w:val="none"/>
        </w:rPr>
      </w:pPr>
      <w:r>
        <w:rPr>
          <w:rFonts w:hint="eastAsia" w:ascii="宋体" w:hAnsi="宋体" w:eastAsia="宋体" w:cs="宋体"/>
          <w:color w:val="auto"/>
          <w:kern w:val="44"/>
          <w:sz w:val="18"/>
          <w:szCs w:val="18"/>
          <w:highlight w:val="none"/>
        </w:rPr>
        <w:t>注：</w:t>
      </w:r>
      <w:r>
        <w:rPr>
          <w:rFonts w:ascii="宋体" w:hAnsi="宋体" w:eastAsia="宋体" w:cs="宋体"/>
          <w:color w:val="auto"/>
          <w:kern w:val="44"/>
          <w:sz w:val="18"/>
          <w:szCs w:val="18"/>
          <w:highlight w:val="none"/>
        </w:rPr>
        <w:t>1、企业净资产、营运资金是指近三个财务年度的最后一年的数据，下同。</w:t>
      </w:r>
    </w:p>
    <w:p>
      <w:pPr>
        <w:pStyle w:val="15"/>
        <w:wordWrap w:val="0"/>
        <w:topLinePunct/>
        <w:autoSpaceDE/>
        <w:autoSpaceDN/>
        <w:rPr>
          <w:rFonts w:ascii="宋体" w:hAnsi="宋体" w:eastAsia="宋体" w:cs="宋体"/>
          <w:b/>
          <w:bCs/>
          <w:color w:val="auto"/>
          <w:kern w:val="44"/>
          <w:sz w:val="30"/>
          <w:szCs w:val="30"/>
          <w:highlight w:val="none"/>
        </w:rPr>
      </w:pPr>
    </w:p>
    <w:p>
      <w:pPr>
        <w:pStyle w:val="14"/>
        <w:wordWrap w:val="0"/>
        <w:topLinePunct/>
        <w:autoSpaceDE/>
        <w:autoSpaceDN/>
        <w:jc w:val="center"/>
        <w:rPr>
          <w:rFonts w:ascii="宋体" w:hAnsi="宋体" w:eastAsia="宋体" w:cs="宋体"/>
          <w:color w:val="auto"/>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 xml:space="preserve">3 </w:t>
      </w:r>
      <w:r>
        <w:rPr>
          <w:rFonts w:hint="eastAsia" w:ascii="宋体" w:hAnsi="宋体" w:eastAsia="宋体" w:cs="宋体"/>
          <w:b/>
          <w:bCs/>
          <w:color w:val="auto"/>
          <w:kern w:val="44"/>
          <w:sz w:val="30"/>
          <w:szCs w:val="30"/>
          <w:highlight w:val="none"/>
        </w:rPr>
        <w:t>资格审查条件</w:t>
      </w:r>
      <w:r>
        <w:rPr>
          <w:rFonts w:ascii="宋体" w:hAnsi="宋体" w:eastAsia="宋体" w:cs="宋体"/>
          <w:b/>
          <w:bCs/>
          <w:color w:val="auto"/>
          <w:kern w:val="44"/>
          <w:sz w:val="30"/>
          <w:szCs w:val="30"/>
          <w:highlight w:val="none"/>
        </w:rPr>
        <w:t>(业绩最低要求)</w:t>
      </w:r>
    </w:p>
    <w:tbl>
      <w:tblPr>
        <w:tblStyle w:val="9"/>
        <w:tblW w:w="8970" w:type="dxa"/>
        <w:jc w:val="center"/>
        <w:tblLayout w:type="fixed"/>
        <w:tblCellMar>
          <w:top w:w="0" w:type="dxa"/>
          <w:left w:w="108" w:type="dxa"/>
          <w:bottom w:w="0" w:type="dxa"/>
          <w:right w:w="108" w:type="dxa"/>
        </w:tblCellMar>
      </w:tblPr>
      <w:tblGrid>
        <w:gridCol w:w="8970"/>
      </w:tblGrid>
      <w:tr>
        <w:tblPrEx>
          <w:tblCellMar>
            <w:top w:w="0" w:type="dxa"/>
            <w:left w:w="108" w:type="dxa"/>
            <w:bottom w:w="0" w:type="dxa"/>
            <w:right w:w="108" w:type="dxa"/>
          </w:tblCellMar>
        </w:tblPrEx>
        <w:trPr>
          <w:trHeight w:val="567" w:hRule="atLeast"/>
          <w:jc w:val="center"/>
        </w:trPr>
        <w:tc>
          <w:tcPr>
            <w:tcW w:w="8970" w:type="dxa"/>
            <w:tcBorders>
              <w:top w:val="single" w:color="auto" w:sz="4" w:space="0"/>
              <w:left w:val="single" w:color="auto" w:sz="4" w:space="0"/>
              <w:bottom w:val="single" w:color="auto" w:sz="4" w:space="0"/>
              <w:right w:val="single" w:color="auto" w:sz="4" w:space="0"/>
            </w:tcBorders>
            <w:vAlign w:val="center"/>
          </w:tcPr>
          <w:p>
            <w:pPr>
              <w:pStyle w:val="16"/>
              <w:wordWrap w:val="0"/>
              <w:topLinePunct/>
              <w:autoSpaceDE/>
              <w:autoSpaceDN/>
              <w:spacing w:after="0" w:line="360" w:lineRule="auto"/>
              <w:jc w:val="center"/>
              <w:rPr>
                <w:rFonts w:ascii="宋体" w:hAnsi="宋体" w:eastAsia="宋体" w:cs="宋体"/>
                <w:color w:val="auto"/>
                <w:highlight w:val="none"/>
              </w:rPr>
            </w:pPr>
            <w:r>
              <w:rPr>
                <w:rFonts w:hint="eastAsia" w:ascii="宋体" w:hAnsi="宋体" w:eastAsia="宋体" w:cs="宋体"/>
                <w:b/>
                <w:bCs/>
                <w:color w:val="auto"/>
                <w:highlight w:val="none"/>
              </w:rPr>
              <w:t>业绩要求</w:t>
            </w:r>
          </w:p>
        </w:tc>
      </w:tr>
      <w:tr>
        <w:trPr>
          <w:trHeight w:val="1008" w:hRule="atLeast"/>
          <w:jc w:val="center"/>
        </w:trPr>
        <w:tc>
          <w:tcPr>
            <w:tcW w:w="8970" w:type="dxa"/>
            <w:tcBorders>
              <w:top w:val="single" w:color="auto" w:sz="4" w:space="0"/>
              <w:left w:val="single" w:color="auto" w:sz="4" w:space="0"/>
              <w:bottom w:val="single" w:color="auto" w:sz="4" w:space="0"/>
              <w:right w:val="single" w:color="auto" w:sz="4" w:space="0"/>
            </w:tcBorders>
            <w:vAlign w:val="center"/>
          </w:tcPr>
          <w:p>
            <w:pPr>
              <w:wordWrap w:val="0"/>
              <w:topLinePunct/>
              <w:autoSpaceDE/>
              <w:autoSpaceDN/>
              <w:rPr>
                <w:rFonts w:hint="default" w:ascii="宋体" w:hAnsi="宋体" w:eastAsia="宋体" w:cs="宋体"/>
                <w:color w:val="auto"/>
                <w:highlight w:val="none"/>
                <w:lang w:val="en-US" w:eastAsia="zh-CN"/>
              </w:rPr>
            </w:pPr>
            <w:r>
              <w:rPr>
                <w:rFonts w:hint="eastAsia" w:cs="宋体"/>
                <w:color w:val="auto"/>
                <w:sz w:val="24"/>
                <w:highlight w:val="none"/>
                <w:lang w:val="en-US" w:eastAsia="zh-CN"/>
              </w:rPr>
              <w:t>本项目不适用。</w:t>
            </w:r>
          </w:p>
        </w:tc>
      </w:tr>
    </w:tbl>
    <w:p>
      <w:pPr>
        <w:pStyle w:val="15"/>
        <w:wordWrap w:val="0"/>
        <w:topLinePunct/>
        <w:autoSpaceDE/>
        <w:autoSpaceDN/>
        <w:spacing w:line="360" w:lineRule="auto"/>
        <w:ind w:firstLine="720" w:firstLineChars="4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ascii="宋体" w:hAnsi="宋体" w:eastAsia="宋体" w:cs="宋体"/>
          <w:color w:val="auto"/>
          <w:sz w:val="18"/>
          <w:szCs w:val="18"/>
          <w:highlight w:val="none"/>
        </w:rPr>
        <w:t>1、本附录所要求的业绩仅限中华人民共和国境内业绩。</w:t>
      </w:r>
    </w:p>
    <w:p>
      <w:pPr>
        <w:pStyle w:val="15"/>
        <w:wordWrap w:val="0"/>
        <w:topLinePunct/>
        <w:autoSpaceDE/>
        <w:autoSpaceDN/>
        <w:spacing w:line="440" w:lineRule="atLeast"/>
        <w:jc w:val="center"/>
        <w:rPr>
          <w:rFonts w:ascii="宋体" w:hAnsi="宋体" w:eastAsia="宋体" w:cs="宋体"/>
          <w:color w:val="auto"/>
          <w:sz w:val="21"/>
          <w:szCs w:val="21"/>
          <w:highlight w:val="none"/>
        </w:rPr>
      </w:pPr>
    </w:p>
    <w:p>
      <w:pPr>
        <w:pStyle w:val="14"/>
        <w:wordWrap w:val="0"/>
        <w:topLinePunct/>
        <w:autoSpaceDE/>
        <w:autoSpaceDN/>
        <w:jc w:val="center"/>
        <w:rPr>
          <w:rFonts w:ascii="宋体" w:hAnsi="宋体" w:eastAsia="宋体" w:cs="宋体"/>
          <w:color w:val="auto"/>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 xml:space="preserve">4 </w:t>
      </w:r>
      <w:r>
        <w:rPr>
          <w:rFonts w:hint="eastAsia" w:ascii="宋体" w:hAnsi="宋体" w:eastAsia="宋体" w:cs="宋体"/>
          <w:b/>
          <w:bCs/>
          <w:color w:val="auto"/>
          <w:kern w:val="44"/>
          <w:sz w:val="30"/>
          <w:szCs w:val="30"/>
          <w:highlight w:val="none"/>
        </w:rPr>
        <w:t>资格审查条件</w:t>
      </w:r>
      <w:r>
        <w:rPr>
          <w:rFonts w:ascii="宋体" w:hAnsi="宋体" w:eastAsia="宋体" w:cs="宋体"/>
          <w:b/>
          <w:bCs/>
          <w:color w:val="auto"/>
          <w:kern w:val="44"/>
          <w:sz w:val="30"/>
          <w:szCs w:val="30"/>
          <w:highlight w:val="none"/>
        </w:rPr>
        <w:t>(信誉最低要求)</w:t>
      </w:r>
    </w:p>
    <w:tbl>
      <w:tblPr>
        <w:tblStyle w:val="9"/>
        <w:tblW w:w="9037" w:type="dxa"/>
        <w:jc w:val="center"/>
        <w:tblLayout w:type="fixed"/>
        <w:tblCellMar>
          <w:top w:w="0" w:type="dxa"/>
          <w:left w:w="108" w:type="dxa"/>
          <w:bottom w:w="0" w:type="dxa"/>
          <w:right w:w="108" w:type="dxa"/>
        </w:tblCellMar>
      </w:tblPr>
      <w:tblGrid>
        <w:gridCol w:w="9037"/>
      </w:tblGrid>
      <w:tr>
        <w:tblPrEx>
          <w:tblCellMar>
            <w:top w:w="0" w:type="dxa"/>
            <w:left w:w="108" w:type="dxa"/>
            <w:bottom w:w="0" w:type="dxa"/>
            <w:right w:w="108" w:type="dxa"/>
          </w:tblCellMar>
        </w:tblPrEx>
        <w:trPr>
          <w:trHeight w:val="500"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pPr>
              <w:pStyle w:val="16"/>
              <w:wordWrap w:val="0"/>
              <w:topLinePunct/>
              <w:autoSpaceDE/>
              <w:autoSpaceDN/>
              <w:spacing w:after="0" w:line="360" w:lineRule="auto"/>
              <w:jc w:val="center"/>
              <w:rPr>
                <w:rFonts w:ascii="宋体" w:hAnsi="宋体" w:eastAsia="宋体" w:cs="宋体"/>
                <w:color w:val="auto"/>
                <w:highlight w:val="none"/>
              </w:rPr>
            </w:pPr>
            <w:r>
              <w:rPr>
                <w:rFonts w:hint="eastAsia" w:ascii="宋体" w:hAnsi="宋体" w:eastAsia="宋体" w:cs="宋体"/>
                <w:b/>
                <w:bCs/>
                <w:color w:val="auto"/>
                <w:sz w:val="21"/>
                <w:szCs w:val="21"/>
                <w:highlight w:val="none"/>
              </w:rPr>
              <w:t>信誉要求</w:t>
            </w:r>
          </w:p>
        </w:tc>
      </w:tr>
      <w:tr>
        <w:tblPrEx>
          <w:tblCellMar>
            <w:top w:w="0" w:type="dxa"/>
            <w:left w:w="108" w:type="dxa"/>
            <w:bottom w:w="0" w:type="dxa"/>
            <w:right w:w="108" w:type="dxa"/>
          </w:tblCellMar>
        </w:tblPrEx>
        <w:trPr>
          <w:trHeight w:val="841" w:hRule="atLeast"/>
          <w:jc w:val="center"/>
        </w:trPr>
        <w:tc>
          <w:tcPr>
            <w:tcW w:w="9037" w:type="dxa"/>
            <w:tcBorders>
              <w:top w:val="single" w:color="auto" w:sz="4" w:space="0"/>
              <w:left w:val="single" w:color="auto" w:sz="4" w:space="0"/>
              <w:bottom w:val="single" w:color="auto" w:sz="4" w:space="0"/>
              <w:right w:val="single" w:color="auto" w:sz="4" w:space="0"/>
            </w:tcBorders>
            <w:vAlign w:val="center"/>
          </w:tcPr>
          <w:p>
            <w:pPr>
              <w:pStyle w:val="15"/>
              <w:wordWrap w:val="0"/>
              <w:topLinePunct/>
              <w:autoSpaceDE/>
              <w:autoSpaceDN/>
              <w:spacing w:line="240" w:lineRule="auto"/>
              <w:rPr>
                <w:rFonts w:ascii="宋体" w:hAnsi="宋体" w:eastAsia="宋体" w:cs="宋体"/>
                <w:color w:val="auto"/>
                <w:highlight w:val="none"/>
              </w:rPr>
            </w:pPr>
            <w:r>
              <w:rPr>
                <w:rFonts w:hint="eastAsia" w:ascii="宋体" w:hAnsi="宋体" w:eastAsia="宋体" w:cs="宋体"/>
                <w:color w:val="auto"/>
                <w:kern w:val="2"/>
                <w:highlight w:val="none"/>
              </w:rPr>
              <w:t>在最新年度广东省水运工程从业单位（施工单位）信用评价（含无最新年度而上一年度有信用评价）中，信用等级未被评为</w:t>
            </w:r>
            <w:r>
              <w:rPr>
                <w:rFonts w:hint="eastAsia" w:ascii="宋体" w:hAnsi="宋体" w:eastAsia="宋体" w:cs="宋体"/>
                <w:color w:val="auto"/>
                <w:kern w:val="2"/>
                <w:highlight w:val="none"/>
                <w:lang w:val="en-US" w:eastAsia="zh-CN"/>
              </w:rPr>
              <w:t>D</w:t>
            </w:r>
            <w:r>
              <w:rPr>
                <w:rFonts w:hint="eastAsia" w:ascii="宋体" w:hAnsi="宋体" w:eastAsia="宋体" w:cs="宋体"/>
                <w:color w:val="auto"/>
                <w:kern w:val="2"/>
                <w:highlight w:val="none"/>
              </w:rPr>
              <w:t>级；初次进入广东省的投标人，在最新年度的全国水运从业单位（施工单位）信用评价结果中未被评为</w:t>
            </w:r>
            <w:r>
              <w:rPr>
                <w:rFonts w:hint="eastAsia" w:ascii="宋体" w:hAnsi="宋体" w:eastAsia="宋体" w:cs="宋体"/>
                <w:color w:val="auto"/>
                <w:kern w:val="2"/>
                <w:highlight w:val="none"/>
                <w:lang w:val="en-US" w:eastAsia="zh-CN"/>
              </w:rPr>
              <w:t>D</w:t>
            </w:r>
            <w:r>
              <w:rPr>
                <w:rFonts w:hint="eastAsia" w:ascii="宋体" w:hAnsi="宋体" w:eastAsia="宋体" w:cs="宋体"/>
                <w:color w:val="auto"/>
                <w:kern w:val="2"/>
                <w:highlight w:val="none"/>
              </w:rPr>
              <w:t>级。</w:t>
            </w:r>
          </w:p>
        </w:tc>
      </w:tr>
    </w:tbl>
    <w:p>
      <w:pPr>
        <w:pStyle w:val="17"/>
        <w:wordWrap w:val="0"/>
        <w:topLinePunct/>
        <w:autoSpaceDE/>
        <w:autoSpaceDN/>
        <w:spacing w:after="0" w:line="360" w:lineRule="auto"/>
        <w:ind w:firstLine="720" w:firstLineChars="400"/>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ascii="宋体" w:hAnsi="宋体" w:eastAsia="宋体" w:cs="宋体"/>
          <w:color w:val="auto"/>
          <w:sz w:val="18"/>
          <w:szCs w:val="18"/>
          <w:highlight w:val="none"/>
        </w:rPr>
        <w:t>1、信用等级类别应与招标相应的标段类别对应。</w:t>
      </w:r>
    </w:p>
    <w:p>
      <w:pPr>
        <w:pStyle w:val="17"/>
        <w:wordWrap w:val="0"/>
        <w:topLinePunct/>
        <w:autoSpaceDE/>
        <w:autoSpaceDN/>
        <w:spacing w:after="0" w:line="360" w:lineRule="auto"/>
        <w:ind w:firstLine="720" w:firstLineChars="400"/>
        <w:rPr>
          <w:rFonts w:ascii="宋体" w:hAnsi="宋体" w:eastAsia="宋体" w:cs="宋体"/>
          <w:color w:val="auto"/>
          <w:sz w:val="18"/>
          <w:szCs w:val="18"/>
          <w:highlight w:val="none"/>
        </w:rPr>
      </w:pPr>
      <w:r>
        <w:rPr>
          <w:rFonts w:ascii="宋体" w:hAnsi="宋体" w:eastAsia="宋体" w:cs="宋体"/>
          <w:color w:val="auto"/>
          <w:sz w:val="18"/>
          <w:szCs w:val="18"/>
          <w:highlight w:val="none"/>
        </w:rPr>
        <w:t xml:space="preserve">2、信用等级的确定原则遵遁投标人须知前附表 10.2 </w:t>
      </w:r>
      <w:r>
        <w:rPr>
          <w:rFonts w:hint="eastAsia" w:ascii="宋体" w:hAnsi="宋体" w:eastAsia="宋体" w:cs="宋体"/>
          <w:color w:val="auto"/>
          <w:sz w:val="18"/>
          <w:szCs w:val="18"/>
          <w:highlight w:val="none"/>
        </w:rPr>
        <w:t>款的规定。</w:t>
      </w:r>
    </w:p>
    <w:p>
      <w:pPr>
        <w:shd w:val="clear" w:fill="92D050"/>
        <w:wordWrap w:val="0"/>
        <w:topLinePunct/>
        <w:autoSpaceDE/>
        <w:autoSpaceDN/>
        <w:spacing w:after="0"/>
        <w:jc w:val="left"/>
        <w:rPr>
          <w:sz w:val="18"/>
        </w:rPr>
        <w:sectPr>
          <w:pgSz w:w="11900" w:h="16840"/>
          <w:pgMar w:top="1440" w:right="580" w:bottom="800" w:left="760" w:header="0" w:footer="601" w:gutter="0"/>
          <w:pgBorders>
            <w:top w:val="none" w:sz="0" w:space="0"/>
            <w:left w:val="none" w:sz="0" w:space="0"/>
            <w:bottom w:val="none" w:sz="0" w:space="0"/>
            <w:right w:val="none" w:sz="0" w:space="0"/>
          </w:pgBorders>
          <w:cols w:space="720" w:num="1"/>
        </w:sectPr>
      </w:pPr>
    </w:p>
    <w:p>
      <w:pPr>
        <w:pStyle w:val="17"/>
        <w:wordWrap w:val="0"/>
        <w:topLinePunct/>
        <w:autoSpaceDE/>
        <w:autoSpaceDN/>
        <w:jc w:val="center"/>
        <w:rPr>
          <w:rFonts w:ascii="宋体" w:hAnsi="宋体" w:eastAsia="宋体" w:cs="宋体"/>
          <w:b/>
          <w:bCs/>
          <w:color w:val="auto"/>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 xml:space="preserve">5 </w:t>
      </w:r>
      <w:r>
        <w:rPr>
          <w:rFonts w:hint="eastAsia" w:ascii="宋体" w:hAnsi="宋体" w:eastAsia="宋体" w:cs="宋体"/>
          <w:b/>
          <w:bCs/>
          <w:color w:val="auto"/>
          <w:kern w:val="44"/>
          <w:sz w:val="30"/>
          <w:szCs w:val="30"/>
          <w:highlight w:val="none"/>
        </w:rPr>
        <w:t>资格审查条件</w:t>
      </w:r>
      <w:r>
        <w:rPr>
          <w:rFonts w:ascii="宋体" w:hAnsi="宋体" w:eastAsia="宋体" w:cs="宋体"/>
          <w:b/>
          <w:bCs/>
          <w:color w:val="auto"/>
          <w:kern w:val="44"/>
          <w:sz w:val="30"/>
          <w:szCs w:val="30"/>
          <w:highlight w:val="none"/>
        </w:rPr>
        <w:t>(项目负责人和项目技术负责人最低要求)</w:t>
      </w:r>
    </w:p>
    <w:tbl>
      <w:tblPr>
        <w:tblStyle w:val="9"/>
        <w:tblW w:w="9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931"/>
        <w:gridCol w:w="4860"/>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5" w:type="dxa"/>
            <w:vAlign w:val="center"/>
          </w:tcPr>
          <w:p>
            <w:pPr>
              <w:pStyle w:val="16"/>
              <w:wordWrap w:val="0"/>
              <w:topLinePunct/>
              <w:autoSpaceDE/>
              <w:autoSpaceDN/>
              <w:spacing w:after="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人员</w:t>
            </w:r>
          </w:p>
        </w:tc>
        <w:tc>
          <w:tcPr>
            <w:tcW w:w="931" w:type="dxa"/>
            <w:vAlign w:val="center"/>
          </w:tcPr>
          <w:p>
            <w:pPr>
              <w:pStyle w:val="16"/>
              <w:wordWrap w:val="0"/>
              <w:topLinePunct/>
              <w:autoSpaceDE/>
              <w:autoSpaceDN/>
              <w:spacing w:after="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数量</w:t>
            </w:r>
          </w:p>
        </w:tc>
        <w:tc>
          <w:tcPr>
            <w:tcW w:w="4860" w:type="dxa"/>
            <w:vAlign w:val="center"/>
          </w:tcPr>
          <w:p>
            <w:pPr>
              <w:pStyle w:val="16"/>
              <w:wordWrap w:val="0"/>
              <w:topLinePunct/>
              <w:autoSpaceDE/>
              <w:autoSpaceDN/>
              <w:spacing w:after="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资格要求</w:t>
            </w:r>
          </w:p>
        </w:tc>
        <w:tc>
          <w:tcPr>
            <w:tcW w:w="1948" w:type="dxa"/>
            <w:vAlign w:val="center"/>
          </w:tcPr>
          <w:p>
            <w:pPr>
              <w:pStyle w:val="16"/>
              <w:wordWrap w:val="0"/>
              <w:topLinePunct/>
              <w:autoSpaceDE/>
              <w:autoSpaceDN/>
              <w:spacing w:after="0"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385" w:type="dxa"/>
            <w:vAlign w:val="center"/>
          </w:tcPr>
          <w:p>
            <w:pPr>
              <w:pStyle w:val="16"/>
              <w:wordWrap w:val="0"/>
              <w:topLinePunct/>
              <w:autoSpaceDE/>
              <w:autoSpaceDN/>
              <w:spacing w:after="0" w:line="240" w:lineRule="auto"/>
              <w:jc w:val="center"/>
              <w:rPr>
                <w:rFonts w:ascii="宋体" w:hAnsi="宋体" w:eastAsia="宋体" w:cs="宋体"/>
                <w:color w:val="auto"/>
                <w:highlight w:val="none"/>
              </w:rPr>
            </w:pPr>
            <w:r>
              <w:rPr>
                <w:rFonts w:hint="eastAsia" w:ascii="宋体" w:hAnsi="宋体" w:eastAsia="宋体" w:cs="宋体"/>
                <w:color w:val="auto"/>
                <w:highlight w:val="none"/>
              </w:rPr>
              <w:t>项目负责人</w:t>
            </w:r>
          </w:p>
        </w:tc>
        <w:tc>
          <w:tcPr>
            <w:tcW w:w="931" w:type="dxa"/>
            <w:vAlign w:val="center"/>
          </w:tcPr>
          <w:p>
            <w:pPr>
              <w:pStyle w:val="16"/>
              <w:wordWrap w:val="0"/>
              <w:topLinePunct/>
              <w:autoSpaceDE/>
              <w:autoSpaceDN/>
              <w:spacing w:after="0" w:line="240" w:lineRule="auto"/>
              <w:jc w:val="center"/>
              <w:rPr>
                <w:rFonts w:ascii="宋体" w:hAnsi="宋体" w:eastAsia="宋体" w:cs="宋体"/>
                <w:color w:val="auto"/>
                <w:highlight w:val="none"/>
              </w:rPr>
            </w:pPr>
            <w:r>
              <w:rPr>
                <w:rFonts w:ascii="宋体" w:hAnsi="宋体" w:eastAsia="宋体" w:cs="宋体"/>
                <w:color w:val="auto"/>
                <w:highlight w:val="none"/>
              </w:rPr>
              <w:t>1人</w:t>
            </w:r>
          </w:p>
        </w:tc>
        <w:tc>
          <w:tcPr>
            <w:tcW w:w="4860" w:type="dxa"/>
            <w:vAlign w:val="center"/>
          </w:tcPr>
          <w:p>
            <w:pPr>
              <w:pStyle w:val="15"/>
              <w:wordWrap w:val="0"/>
              <w:topLinePunct/>
              <w:autoSpaceDE/>
              <w:autoSpaceDN/>
              <w:jc w:val="both"/>
              <w:rPr>
                <w:rFonts w:ascii="宋体" w:hAnsi="宋体" w:eastAsia="宋体" w:cs="宋体"/>
                <w:color w:val="auto"/>
                <w:highlight w:val="none"/>
              </w:rPr>
            </w:pPr>
            <w:r>
              <w:rPr>
                <w:rFonts w:hint="eastAsia" w:ascii="宋体" w:hAnsi="宋体" w:eastAsia="宋体" w:cs="宋体"/>
                <w:color w:val="auto"/>
                <w:highlight w:val="none"/>
              </w:rPr>
              <w:t>具有水运工程系列专业</w:t>
            </w:r>
            <w:r>
              <w:rPr>
                <w:rFonts w:hint="eastAsia" w:ascii="宋体" w:hAnsi="宋体" w:eastAsia="宋体" w:cs="宋体"/>
                <w:color w:val="auto"/>
                <w:highlight w:val="none"/>
                <w:u w:val="single"/>
                <w:lang w:val="en-US" w:eastAsia="zh-CN"/>
              </w:rPr>
              <w:t>中</w:t>
            </w:r>
            <w:r>
              <w:rPr>
                <w:rFonts w:hint="eastAsia" w:ascii="宋体" w:hAnsi="宋体" w:eastAsia="宋体" w:cs="宋体"/>
                <w:color w:val="auto"/>
                <w:highlight w:val="none"/>
                <w:u w:val="single"/>
              </w:rPr>
              <w:t>级或以上</w:t>
            </w:r>
            <w:r>
              <w:rPr>
                <w:rFonts w:hint="eastAsia" w:ascii="宋体" w:hAnsi="宋体" w:eastAsia="宋体" w:cs="宋体"/>
                <w:color w:val="auto"/>
                <w:highlight w:val="none"/>
              </w:rPr>
              <w:t>职称，具有港口与航道工程</w:t>
            </w:r>
            <w:r>
              <w:rPr>
                <w:rFonts w:hint="eastAsia" w:ascii="宋体" w:hAnsi="宋体" w:eastAsia="宋体" w:cs="宋体"/>
                <w:color w:val="auto"/>
                <w:highlight w:val="none"/>
                <w:lang w:val="en-US" w:eastAsia="zh-CN"/>
              </w:rPr>
              <w:t>壹</w:t>
            </w:r>
            <w:r>
              <w:rPr>
                <w:rFonts w:hint="eastAsia" w:ascii="宋体" w:hAnsi="宋体" w:eastAsia="宋体" w:cs="宋体"/>
                <w:color w:val="auto"/>
                <w:highlight w:val="none"/>
                <w:u w:val="single"/>
              </w:rPr>
              <w:t>级</w:t>
            </w:r>
            <w:r>
              <w:rPr>
                <w:rFonts w:hint="eastAsia" w:ascii="宋体" w:hAnsi="宋体" w:eastAsia="宋体" w:cs="宋体"/>
                <w:color w:val="auto"/>
                <w:highlight w:val="none"/>
              </w:rPr>
              <w:t>注册建造师，具有交通运输部门颁发的有效的安全生产考核合格证书（</w:t>
            </w:r>
            <w:r>
              <w:rPr>
                <w:rFonts w:ascii="宋体" w:hAnsi="宋体" w:eastAsia="宋体" w:cs="宋体"/>
                <w:color w:val="auto"/>
                <w:highlight w:val="none"/>
              </w:rPr>
              <w:t>B证）</w:t>
            </w:r>
            <w:r>
              <w:rPr>
                <w:rFonts w:hint="eastAsia" w:ascii="宋体" w:hAnsi="宋体" w:eastAsia="宋体" w:cs="宋体"/>
                <w:color w:val="auto"/>
                <w:highlight w:val="none"/>
              </w:rPr>
              <w:t>，至少</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年工作经验，至少具有1项水运工程施工项目负责人或项目副经理或项目技术负责人工作经验</w:t>
            </w:r>
            <w:r>
              <w:rPr>
                <w:rFonts w:ascii="宋体" w:hAnsi="宋体" w:eastAsia="宋体" w:cs="宋体"/>
                <w:color w:val="auto"/>
                <w:highlight w:val="none"/>
              </w:rPr>
              <w:t>。</w:t>
            </w:r>
          </w:p>
        </w:tc>
        <w:tc>
          <w:tcPr>
            <w:tcW w:w="1948" w:type="dxa"/>
            <w:vMerge w:val="restart"/>
            <w:vAlign w:val="center"/>
          </w:tcPr>
          <w:p>
            <w:pPr>
              <w:pStyle w:val="15"/>
              <w:wordWrap w:val="0"/>
              <w:topLinePunct/>
              <w:autoSpaceDE/>
              <w:autoSpaceDN/>
              <w:rPr>
                <w:rFonts w:ascii="宋体" w:hAnsi="宋体" w:eastAsia="宋体" w:cs="宋体"/>
                <w:color w:val="auto"/>
                <w:highlight w:val="none"/>
              </w:rPr>
            </w:pPr>
            <w:r>
              <w:rPr>
                <w:rFonts w:hint="eastAsia" w:ascii="宋体" w:hAnsi="宋体" w:eastAsia="宋体" w:cs="宋体"/>
                <w:color w:val="auto"/>
                <w:highlight w:val="none"/>
              </w:rPr>
              <w:t>无在岗项目（指目前未在其他项目上任职，或虽在其他项目任职但本项目中标后能够从该项目撤离）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385" w:type="dxa"/>
            <w:vAlign w:val="center"/>
          </w:tcPr>
          <w:p>
            <w:pPr>
              <w:pStyle w:val="16"/>
              <w:wordWrap w:val="0"/>
              <w:topLinePunct/>
              <w:autoSpaceDE/>
              <w:autoSpaceDN/>
              <w:spacing w:after="0" w:line="240" w:lineRule="auto"/>
              <w:jc w:val="center"/>
              <w:rPr>
                <w:rFonts w:ascii="宋体" w:hAnsi="宋体" w:eastAsia="宋体" w:cs="宋体"/>
                <w:color w:val="auto"/>
                <w:highlight w:val="none"/>
              </w:rPr>
            </w:pPr>
            <w:r>
              <w:rPr>
                <w:rFonts w:hint="eastAsia" w:ascii="宋体" w:hAnsi="宋体" w:eastAsia="宋体" w:cs="宋体"/>
                <w:color w:val="auto"/>
                <w:highlight w:val="none"/>
              </w:rPr>
              <w:t>项目技术负责人</w:t>
            </w:r>
          </w:p>
        </w:tc>
        <w:tc>
          <w:tcPr>
            <w:tcW w:w="931" w:type="dxa"/>
            <w:vAlign w:val="center"/>
          </w:tcPr>
          <w:p>
            <w:pPr>
              <w:pStyle w:val="16"/>
              <w:wordWrap w:val="0"/>
              <w:topLinePunct/>
              <w:autoSpaceDE/>
              <w:autoSpaceDN/>
              <w:spacing w:after="0" w:line="240" w:lineRule="auto"/>
              <w:jc w:val="center"/>
              <w:rPr>
                <w:rFonts w:ascii="宋体" w:hAnsi="宋体" w:eastAsia="宋体" w:cs="宋体"/>
                <w:color w:val="auto"/>
                <w:highlight w:val="none"/>
              </w:rPr>
            </w:pPr>
            <w:r>
              <w:rPr>
                <w:rFonts w:ascii="宋体" w:hAnsi="宋体" w:eastAsia="宋体" w:cs="宋体"/>
                <w:color w:val="auto"/>
                <w:highlight w:val="none"/>
              </w:rPr>
              <w:t>1人</w:t>
            </w:r>
          </w:p>
        </w:tc>
        <w:tc>
          <w:tcPr>
            <w:tcW w:w="4860" w:type="dxa"/>
            <w:vAlign w:val="center"/>
          </w:tcPr>
          <w:p>
            <w:pPr>
              <w:pStyle w:val="15"/>
              <w:wordWrap w:val="0"/>
              <w:topLinePunct/>
              <w:autoSpaceDE/>
              <w:autoSpaceDN/>
              <w:rPr>
                <w:rFonts w:ascii="宋体" w:hAnsi="宋体" w:eastAsia="宋体" w:cs="宋体"/>
                <w:color w:val="auto"/>
                <w:highlight w:val="none"/>
              </w:rPr>
            </w:pPr>
            <w:r>
              <w:rPr>
                <w:rFonts w:hint="eastAsia" w:ascii="宋体" w:hAnsi="宋体" w:eastAsia="宋体" w:cs="宋体"/>
                <w:color w:val="auto"/>
                <w:highlight w:val="none"/>
              </w:rPr>
              <w:t>具有水运工程系列专业</w:t>
            </w:r>
            <w:r>
              <w:rPr>
                <w:rFonts w:hint="eastAsia" w:ascii="宋体" w:hAnsi="宋体" w:eastAsia="宋体" w:cs="宋体"/>
                <w:color w:val="auto"/>
                <w:highlight w:val="none"/>
                <w:u w:val="single"/>
                <w:lang w:val="en-US" w:eastAsia="zh-CN"/>
              </w:rPr>
              <w:t>中</w:t>
            </w:r>
            <w:r>
              <w:rPr>
                <w:rFonts w:hint="eastAsia" w:ascii="宋体" w:hAnsi="宋体" w:eastAsia="宋体" w:cs="宋体"/>
                <w:color w:val="auto"/>
                <w:highlight w:val="none"/>
                <w:u w:val="single"/>
              </w:rPr>
              <w:t>级或以上</w:t>
            </w:r>
            <w:r>
              <w:rPr>
                <w:rFonts w:hint="eastAsia" w:ascii="宋体" w:hAnsi="宋体" w:eastAsia="宋体" w:cs="宋体"/>
                <w:color w:val="auto"/>
                <w:highlight w:val="none"/>
              </w:rPr>
              <w:t>职称，具有交通运输部门颁发的有效的安全生产考核合格证书（</w:t>
            </w:r>
            <w:r>
              <w:rPr>
                <w:rFonts w:ascii="宋体" w:hAnsi="宋体" w:eastAsia="宋体" w:cs="宋体"/>
                <w:color w:val="auto"/>
                <w:highlight w:val="none"/>
              </w:rPr>
              <w:t>B证）</w:t>
            </w:r>
            <w:r>
              <w:rPr>
                <w:rFonts w:hint="eastAsia" w:ascii="宋体" w:hAnsi="宋体" w:eastAsia="宋体" w:cs="宋体"/>
                <w:color w:val="auto"/>
                <w:highlight w:val="none"/>
              </w:rPr>
              <w:t>，至少</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年工作经验，至少1项水运工程施工项目主管技术工作经验</w:t>
            </w:r>
            <w:r>
              <w:rPr>
                <w:rFonts w:ascii="宋体" w:hAnsi="宋体" w:eastAsia="宋体" w:cs="宋体"/>
                <w:color w:val="auto"/>
                <w:highlight w:val="none"/>
              </w:rPr>
              <w:t>。</w:t>
            </w:r>
          </w:p>
        </w:tc>
        <w:tc>
          <w:tcPr>
            <w:tcW w:w="1948" w:type="dxa"/>
            <w:vMerge w:val="continue"/>
            <w:vAlign w:val="center"/>
          </w:tcPr>
          <w:p>
            <w:pPr>
              <w:pStyle w:val="15"/>
              <w:wordWrap w:val="0"/>
              <w:topLinePunct/>
              <w:autoSpaceDE/>
              <w:autoSpaceDN/>
              <w:rPr>
                <w:rFonts w:ascii="宋体" w:hAnsi="宋体" w:eastAsia="宋体" w:cs="宋体"/>
                <w:color w:val="auto"/>
                <w:highlight w:val="none"/>
              </w:rPr>
            </w:pPr>
          </w:p>
        </w:tc>
      </w:tr>
    </w:tbl>
    <w:p>
      <w:pPr>
        <w:pStyle w:val="16"/>
        <w:tabs>
          <w:tab w:val="left" w:pos="10120"/>
        </w:tabs>
        <w:wordWrap w:val="0"/>
        <w:topLinePunct/>
        <w:autoSpaceDE/>
        <w:autoSpaceDN/>
        <w:spacing w:after="0" w:line="360" w:lineRule="auto"/>
        <w:ind w:left="658" w:leftChars="299" w:right="880" w:rightChars="400" w:firstLine="0" w:firstLineChars="0"/>
        <w:jc w:val="both"/>
        <w:rPr>
          <w:rFonts w:ascii="宋体" w:hAnsi="宋体" w:eastAsia="宋体" w:cs="宋体"/>
          <w:color w:val="auto"/>
          <w:sz w:val="18"/>
          <w:szCs w:val="18"/>
          <w:highlight w:val="none"/>
        </w:rPr>
      </w:pPr>
      <w:r>
        <w:rPr>
          <w:rFonts w:hint="eastAsia" w:ascii="宋体" w:hAnsi="宋体" w:eastAsia="宋体" w:cs="宋体"/>
          <w:color w:val="auto"/>
          <w:sz w:val="18"/>
          <w:szCs w:val="18"/>
          <w:highlight w:val="none"/>
        </w:rPr>
        <w:t>注：</w:t>
      </w:r>
      <w:r>
        <w:rPr>
          <w:rFonts w:ascii="宋体" w:hAnsi="宋体" w:eastAsia="宋体" w:cs="宋体"/>
          <w:color w:val="auto"/>
          <w:sz w:val="18"/>
          <w:szCs w:val="18"/>
          <w:highlight w:val="none"/>
        </w:rPr>
        <w:t>1、资格要求的人员建造师注册证书、安全生产“三类人员”B类证书均应在投标人所在单位（即证书上单位名称应与投标人单位名称一致），否则视为无效。</w:t>
      </w:r>
    </w:p>
    <w:p>
      <w:pPr>
        <w:pStyle w:val="16"/>
        <w:wordWrap w:val="0"/>
        <w:topLinePunct/>
        <w:autoSpaceDE/>
        <w:autoSpaceDN/>
        <w:spacing w:line="360" w:lineRule="auto"/>
        <w:ind w:firstLine="658" w:firstLineChars="366"/>
        <w:jc w:val="both"/>
        <w:rPr>
          <w:rFonts w:ascii="宋体" w:hAnsi="宋体" w:eastAsia="宋体" w:cs="宋体"/>
          <w:color w:val="auto"/>
          <w:highlight w:val="none"/>
        </w:rPr>
      </w:pPr>
      <w:r>
        <w:rPr>
          <w:rFonts w:ascii="宋体" w:hAnsi="宋体" w:eastAsia="宋体" w:cs="宋体"/>
          <w:color w:val="auto"/>
          <w:sz w:val="18"/>
          <w:szCs w:val="18"/>
          <w:highlight w:val="none"/>
        </w:rPr>
        <w:t>2、工作经验以</w:t>
      </w:r>
      <w:r>
        <w:rPr>
          <w:rFonts w:hint="eastAsia" w:ascii="宋体" w:hAnsi="宋体" w:eastAsia="宋体" w:cs="宋体"/>
          <w:color w:val="auto"/>
          <w:kern w:val="44"/>
          <w:sz w:val="18"/>
          <w:szCs w:val="18"/>
          <w:highlight w:val="none"/>
        </w:rPr>
        <w:t>《拟委任的项目负责人和项目技术负责人资历表》中“经历栏</w:t>
      </w:r>
      <w:r>
        <w:rPr>
          <w:rFonts w:ascii="宋体" w:hAnsi="宋体" w:eastAsia="宋体" w:cs="宋体"/>
          <w:color w:val="auto"/>
          <w:kern w:val="44"/>
          <w:sz w:val="18"/>
          <w:szCs w:val="18"/>
          <w:highlight w:val="none"/>
        </w:rPr>
        <w:t>"</w:t>
      </w:r>
      <w:r>
        <w:rPr>
          <w:rFonts w:hint="eastAsia" w:ascii="宋体" w:hAnsi="宋体" w:eastAsia="宋体" w:cs="宋体"/>
          <w:color w:val="auto"/>
          <w:kern w:val="44"/>
          <w:sz w:val="18"/>
          <w:szCs w:val="18"/>
          <w:highlight w:val="none"/>
        </w:rPr>
        <w:t>填入的最早从事工作开始时间起算</w:t>
      </w:r>
    </w:p>
    <w:p>
      <w:pPr>
        <w:pStyle w:val="15"/>
        <w:wordWrap w:val="0"/>
        <w:topLinePunct/>
        <w:autoSpaceDE/>
        <w:autoSpaceDN/>
        <w:jc w:val="center"/>
        <w:rPr>
          <w:rFonts w:ascii="宋体" w:hAnsi="宋体" w:eastAsia="宋体" w:cs="宋体"/>
          <w:b/>
          <w:bCs/>
          <w:color w:val="auto"/>
          <w:kern w:val="44"/>
          <w:sz w:val="30"/>
          <w:szCs w:val="30"/>
          <w:highlight w:val="none"/>
        </w:rPr>
      </w:pPr>
      <w:r>
        <w:rPr>
          <w:rFonts w:hint="eastAsia" w:ascii="宋体" w:hAnsi="宋体" w:eastAsia="宋体" w:cs="宋体"/>
          <w:b/>
          <w:bCs/>
          <w:color w:val="auto"/>
          <w:kern w:val="44"/>
          <w:sz w:val="30"/>
          <w:szCs w:val="30"/>
          <w:highlight w:val="none"/>
        </w:rPr>
        <w:t>附录</w:t>
      </w:r>
      <w:r>
        <w:rPr>
          <w:rFonts w:ascii="宋体" w:hAnsi="宋体" w:eastAsia="宋体" w:cs="宋体"/>
          <w:b/>
          <w:bCs/>
          <w:color w:val="auto"/>
          <w:kern w:val="44"/>
          <w:sz w:val="30"/>
          <w:szCs w:val="30"/>
          <w:highlight w:val="none"/>
        </w:rPr>
        <w:t>6资格审查条件(其他主要管理人员和技术人员最低要求)</w:t>
      </w:r>
    </w:p>
    <w:p>
      <w:pPr>
        <w:pStyle w:val="15"/>
        <w:wordWrap w:val="0"/>
        <w:topLinePunct/>
        <w:autoSpaceDE/>
        <w:autoSpaceDN/>
        <w:jc w:val="center"/>
        <w:rPr>
          <w:rFonts w:ascii="宋体" w:hAnsi="宋体" w:eastAsia="宋体" w:cs="宋体"/>
          <w:b/>
          <w:bCs/>
          <w:color w:val="auto"/>
          <w:kern w:val="44"/>
          <w:sz w:val="30"/>
          <w:szCs w:val="30"/>
          <w:highlight w:val="none"/>
        </w:rPr>
      </w:pPr>
    </w:p>
    <w:tbl>
      <w:tblPr>
        <w:tblStyle w:val="9"/>
        <w:tblW w:w="9185" w:type="dxa"/>
        <w:jc w:val="center"/>
        <w:tblLayout w:type="fixed"/>
        <w:tblCellMar>
          <w:top w:w="0" w:type="dxa"/>
          <w:left w:w="108" w:type="dxa"/>
          <w:bottom w:w="0" w:type="dxa"/>
          <w:right w:w="108" w:type="dxa"/>
        </w:tblCellMar>
      </w:tblPr>
      <w:tblGrid>
        <w:gridCol w:w="2370"/>
        <w:gridCol w:w="1616"/>
        <w:gridCol w:w="5199"/>
      </w:tblGrid>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b/>
                <w:bCs/>
                <w:color w:val="auto"/>
                <w:highlight w:val="none"/>
              </w:rPr>
            </w:pPr>
            <w:r>
              <w:rPr>
                <w:rFonts w:hint="eastAsia" w:ascii="宋体" w:hAnsi="宋体" w:eastAsia="宋体" w:cs="宋体"/>
                <w:b/>
                <w:bCs/>
                <w:color w:val="auto"/>
                <w:highlight w:val="none"/>
              </w:rPr>
              <w:t>人员</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b/>
                <w:bCs/>
                <w:color w:val="auto"/>
                <w:highlight w:val="none"/>
              </w:rPr>
            </w:pPr>
            <w:r>
              <w:rPr>
                <w:rFonts w:hint="eastAsia" w:ascii="宋体" w:hAnsi="宋体" w:eastAsia="宋体" w:cs="宋体"/>
                <w:b/>
                <w:bCs/>
                <w:color w:val="auto"/>
                <w:highlight w:val="none"/>
              </w:rPr>
              <w:t>数量</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b/>
                <w:bCs/>
                <w:color w:val="auto"/>
                <w:highlight w:val="none"/>
              </w:rPr>
            </w:pPr>
            <w:r>
              <w:rPr>
                <w:rFonts w:hint="eastAsia" w:ascii="宋体" w:hAnsi="宋体" w:eastAsia="宋体" w:cs="宋体"/>
                <w:b/>
                <w:bCs/>
                <w:color w:val="auto"/>
                <w:highlight w:val="none"/>
              </w:rPr>
              <w:t>资格要求</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hint="eastAsia" w:ascii="宋体" w:hAnsi="宋体" w:eastAsia="宋体" w:cs="宋体"/>
                <w:color w:val="auto"/>
                <w:highlight w:val="none"/>
              </w:rPr>
              <w:t>港口与航道工程师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ascii="宋体" w:hAnsi="宋体" w:eastAsia="宋体" w:cs="宋体"/>
                <w:color w:val="auto"/>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rPr>
                <w:rFonts w:ascii="宋体" w:hAnsi="宋体" w:eastAsia="宋体" w:cs="宋体"/>
                <w:color w:val="auto"/>
                <w:highlight w:val="none"/>
              </w:rPr>
            </w:pPr>
            <w:r>
              <w:rPr>
                <w:rFonts w:hint="eastAsia" w:ascii="宋体" w:hAnsi="宋体" w:eastAsia="宋体" w:cs="宋体"/>
                <w:color w:val="auto"/>
                <w:highlight w:val="none"/>
              </w:rPr>
              <w:t>水运工程系列专业工程师职称，至少</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年工作经验。</w:t>
            </w:r>
          </w:p>
        </w:tc>
      </w:tr>
      <w:tr>
        <w:tblPrEx>
          <w:tblCellMar>
            <w:top w:w="0" w:type="dxa"/>
            <w:left w:w="108" w:type="dxa"/>
            <w:bottom w:w="0" w:type="dxa"/>
            <w:right w:w="108" w:type="dxa"/>
          </w:tblCellMar>
        </w:tblPrEx>
        <w:trPr>
          <w:trHeight w:val="703" w:hRule="atLeast"/>
          <w:jc w:val="center"/>
        </w:trPr>
        <w:tc>
          <w:tcPr>
            <w:tcW w:w="2370"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hint="eastAsia" w:ascii="宋体" w:hAnsi="宋体" w:eastAsia="宋体" w:cs="宋体"/>
                <w:color w:val="auto"/>
                <w:highlight w:val="none"/>
              </w:rPr>
              <w:t>造价工程师</w:t>
            </w:r>
          </w:p>
        </w:tc>
        <w:tc>
          <w:tcPr>
            <w:tcW w:w="1616"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ascii="宋体" w:hAnsi="宋体" w:eastAsia="宋体" w:cs="宋体"/>
                <w:color w:val="auto"/>
                <w:highlight w:val="none"/>
              </w:rPr>
              <w:t>1人</w:t>
            </w:r>
          </w:p>
        </w:tc>
        <w:tc>
          <w:tcPr>
            <w:tcW w:w="5199" w:type="dxa"/>
            <w:tcBorders>
              <w:top w:val="single" w:color="000000" w:sz="4" w:space="0"/>
              <w:left w:val="single" w:color="000000" w:sz="4" w:space="0"/>
              <w:bottom w:val="single" w:color="000000" w:sz="4" w:space="0"/>
              <w:right w:val="single" w:color="000000" w:sz="4" w:space="0"/>
            </w:tcBorders>
            <w:vAlign w:val="center"/>
          </w:tcPr>
          <w:p>
            <w:pPr>
              <w:pStyle w:val="16"/>
              <w:wordWrap w:val="0"/>
              <w:topLinePunct/>
              <w:autoSpaceDE/>
              <w:autoSpaceDN/>
              <w:spacing w:after="0"/>
              <w:rPr>
                <w:rFonts w:ascii="宋体" w:hAnsi="宋体" w:eastAsia="宋体" w:cs="宋体"/>
                <w:color w:val="auto"/>
                <w:highlight w:val="none"/>
              </w:rPr>
            </w:pPr>
            <w:r>
              <w:rPr>
                <w:rFonts w:hint="eastAsia" w:ascii="宋体" w:hAnsi="宋体" w:eastAsia="宋体" w:cs="宋体"/>
                <w:color w:val="auto"/>
                <w:highlight w:val="none"/>
              </w:rPr>
              <w:t>具有交通运输部颁发的水运工程造价工程师证书或</w:t>
            </w:r>
            <w:r>
              <w:rPr>
                <w:rFonts w:hint="eastAsia" w:ascii="宋体" w:hAnsi="宋体" w:eastAsia="宋体" w:cs="宋体"/>
                <w:color w:val="auto"/>
                <w:highlight w:val="none"/>
                <w:lang w:val="en-US" w:eastAsia="zh-CN"/>
              </w:rPr>
              <w:t>一</w:t>
            </w:r>
            <w:r>
              <w:rPr>
                <w:rFonts w:hint="eastAsia" w:ascii="宋体" w:hAnsi="宋体" w:eastAsia="宋体" w:cs="宋体"/>
                <w:color w:val="auto"/>
                <w:highlight w:val="none"/>
              </w:rPr>
              <w:t>级交通运输工程造价工程师注册证书，至少 3年工作经验。</w:t>
            </w:r>
          </w:p>
        </w:tc>
      </w:tr>
      <w:tr>
        <w:tblPrEx>
          <w:tblCellMar>
            <w:top w:w="0" w:type="dxa"/>
            <w:left w:w="108" w:type="dxa"/>
            <w:bottom w:w="0" w:type="dxa"/>
            <w:right w:w="108" w:type="dxa"/>
          </w:tblCellMar>
        </w:tblPrEx>
        <w:trPr>
          <w:trHeight w:val="503" w:hRule="atLeast"/>
          <w:jc w:val="center"/>
        </w:trPr>
        <w:tc>
          <w:tcPr>
            <w:tcW w:w="2370" w:type="dxa"/>
            <w:tcBorders>
              <w:top w:val="single" w:color="000000" w:sz="4" w:space="0"/>
              <w:left w:val="single" w:color="000000" w:sz="4" w:space="0"/>
              <w:bottom w:val="single" w:color="auto"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hint="eastAsia" w:ascii="宋体" w:hAnsi="宋体" w:eastAsia="宋体" w:cs="宋体"/>
                <w:color w:val="auto"/>
                <w:highlight w:val="none"/>
              </w:rPr>
              <w:t>质检负责人</w:t>
            </w:r>
          </w:p>
        </w:tc>
        <w:tc>
          <w:tcPr>
            <w:tcW w:w="1616" w:type="dxa"/>
            <w:tcBorders>
              <w:top w:val="single" w:color="000000" w:sz="4" w:space="0"/>
              <w:left w:val="single" w:color="000000" w:sz="4" w:space="0"/>
              <w:bottom w:val="single" w:color="auto"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ascii="宋体" w:hAnsi="宋体" w:eastAsia="宋体" w:cs="宋体"/>
                <w:color w:val="auto"/>
                <w:highlight w:val="none"/>
              </w:rPr>
              <w:t>1人</w:t>
            </w:r>
          </w:p>
        </w:tc>
        <w:tc>
          <w:tcPr>
            <w:tcW w:w="5199" w:type="dxa"/>
            <w:tcBorders>
              <w:top w:val="single" w:color="000000" w:sz="4" w:space="0"/>
              <w:left w:val="single" w:color="000000" w:sz="4" w:space="0"/>
              <w:bottom w:val="single" w:color="auto" w:sz="4" w:space="0"/>
              <w:right w:val="single" w:color="000000" w:sz="4" w:space="0"/>
            </w:tcBorders>
            <w:vAlign w:val="center"/>
          </w:tcPr>
          <w:p>
            <w:pPr>
              <w:pStyle w:val="16"/>
              <w:wordWrap w:val="0"/>
              <w:topLinePunct/>
              <w:autoSpaceDE/>
              <w:autoSpaceDN/>
              <w:spacing w:after="0"/>
              <w:jc w:val="both"/>
              <w:rPr>
                <w:rFonts w:ascii="宋体" w:hAnsi="宋体" w:eastAsia="宋体" w:cs="宋体"/>
                <w:color w:val="auto"/>
                <w:highlight w:val="none"/>
              </w:rPr>
            </w:pPr>
            <w:r>
              <w:rPr>
                <w:rFonts w:hint="eastAsia" w:ascii="宋体" w:hAnsi="宋体" w:eastAsia="宋体" w:cs="宋体"/>
                <w:color w:val="auto"/>
                <w:highlight w:val="none"/>
              </w:rPr>
              <w:t>水运工程系列专业中级职称，至少3年工作经验</w:t>
            </w:r>
            <w:r>
              <w:rPr>
                <w:rFonts w:ascii="宋体" w:hAnsi="宋体" w:eastAsia="宋体" w:cs="宋体"/>
                <w:color w:val="auto"/>
                <w:highlight w:val="none"/>
              </w:rPr>
              <w:t>。</w:t>
            </w:r>
          </w:p>
        </w:tc>
      </w:tr>
      <w:tr>
        <w:tblPrEx>
          <w:tblCellMar>
            <w:top w:w="0" w:type="dxa"/>
            <w:left w:w="108" w:type="dxa"/>
            <w:bottom w:w="0" w:type="dxa"/>
            <w:right w:w="108" w:type="dxa"/>
          </w:tblCellMar>
        </w:tblPrEx>
        <w:trPr>
          <w:trHeight w:val="899" w:hRule="atLeast"/>
          <w:jc w:val="center"/>
        </w:trPr>
        <w:tc>
          <w:tcPr>
            <w:tcW w:w="2370" w:type="dxa"/>
            <w:tcBorders>
              <w:top w:val="single" w:color="auto" w:sz="4" w:space="0"/>
              <w:left w:val="single" w:color="000000" w:sz="4" w:space="0"/>
              <w:bottom w:val="single" w:color="auto"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hint="eastAsia" w:ascii="宋体" w:hAnsi="宋体" w:eastAsia="宋体" w:cs="宋体"/>
                <w:color w:val="auto"/>
                <w:highlight w:val="none"/>
              </w:rPr>
              <w:t>专职安全生产管理人员</w:t>
            </w:r>
          </w:p>
        </w:tc>
        <w:tc>
          <w:tcPr>
            <w:tcW w:w="1616" w:type="dxa"/>
            <w:tcBorders>
              <w:top w:val="single" w:color="auto" w:sz="4" w:space="0"/>
              <w:left w:val="single" w:color="000000" w:sz="4" w:space="0"/>
              <w:bottom w:val="single" w:color="auto" w:sz="4" w:space="0"/>
              <w:right w:val="single" w:color="000000" w:sz="4" w:space="0"/>
            </w:tcBorders>
            <w:vAlign w:val="center"/>
          </w:tcPr>
          <w:p>
            <w:pPr>
              <w:pStyle w:val="16"/>
              <w:wordWrap w:val="0"/>
              <w:topLinePunct/>
              <w:autoSpaceDE/>
              <w:autoSpaceDN/>
              <w:spacing w:after="0"/>
              <w:jc w:val="center"/>
              <w:rPr>
                <w:rFonts w:ascii="宋体" w:hAnsi="宋体" w:eastAsia="宋体" w:cs="宋体"/>
                <w:color w:val="auto"/>
                <w:highlight w:val="none"/>
              </w:rPr>
            </w:pPr>
            <w:r>
              <w:rPr>
                <w:rFonts w:hint="eastAsia" w:ascii="宋体" w:hAnsi="宋体" w:eastAsia="宋体" w:cs="宋体"/>
                <w:color w:val="auto"/>
                <w:highlight w:val="none"/>
                <w:lang w:val="en-US" w:eastAsia="zh-CN"/>
              </w:rPr>
              <w:t>1</w:t>
            </w:r>
            <w:r>
              <w:rPr>
                <w:rFonts w:ascii="宋体" w:hAnsi="宋体" w:eastAsia="宋体" w:cs="宋体"/>
                <w:color w:val="auto"/>
                <w:highlight w:val="none"/>
              </w:rPr>
              <w:t>人</w:t>
            </w:r>
          </w:p>
        </w:tc>
        <w:tc>
          <w:tcPr>
            <w:tcW w:w="5199" w:type="dxa"/>
            <w:tcBorders>
              <w:top w:val="single" w:color="auto" w:sz="4" w:space="0"/>
              <w:left w:val="single" w:color="000000" w:sz="4" w:space="0"/>
              <w:bottom w:val="single" w:color="auto" w:sz="4" w:space="0"/>
              <w:right w:val="single" w:color="000000" w:sz="4" w:space="0"/>
            </w:tcBorders>
            <w:vAlign w:val="center"/>
          </w:tcPr>
          <w:p>
            <w:pPr>
              <w:pStyle w:val="16"/>
              <w:wordWrap w:val="0"/>
              <w:topLinePunct/>
              <w:autoSpaceDE/>
              <w:autoSpaceDN/>
              <w:spacing w:after="0"/>
              <w:rPr>
                <w:rFonts w:ascii="宋体" w:hAnsi="宋体" w:eastAsia="宋体" w:cs="宋体"/>
                <w:color w:val="auto"/>
                <w:highlight w:val="none"/>
              </w:rPr>
            </w:pPr>
            <w:r>
              <w:rPr>
                <w:rFonts w:hint="eastAsia" w:ascii="宋体" w:hAnsi="宋体" w:eastAsia="宋体" w:cs="宋体"/>
                <w:color w:val="auto"/>
                <w:highlight w:val="none"/>
              </w:rPr>
              <w:t>持有交通主管部门颁发的有效安全生产“三类人员”</w:t>
            </w:r>
            <w:r>
              <w:rPr>
                <w:rFonts w:ascii="宋体" w:hAnsi="宋体" w:eastAsia="宋体" w:cs="宋体"/>
                <w:color w:val="auto"/>
                <w:highlight w:val="none"/>
              </w:rPr>
              <w:t xml:space="preserve">C </w:t>
            </w:r>
            <w:r>
              <w:rPr>
                <w:rFonts w:hint="eastAsia" w:ascii="宋体" w:hAnsi="宋体" w:eastAsia="宋体" w:cs="宋体"/>
                <w:color w:val="auto"/>
                <w:highlight w:val="none"/>
              </w:rPr>
              <w:t>类证书，至少3年工作经验。</w:t>
            </w:r>
          </w:p>
        </w:tc>
      </w:tr>
    </w:tbl>
    <w:p>
      <w:pPr>
        <w:pStyle w:val="15"/>
        <w:wordWrap w:val="0"/>
        <w:topLinePunct/>
        <w:autoSpaceDE/>
        <w:autoSpaceDN/>
        <w:jc w:val="center"/>
        <w:rPr>
          <w:rFonts w:ascii="宋体" w:hAnsi="宋体" w:eastAsia="宋体" w:cs="宋体"/>
          <w:color w:val="auto"/>
          <w:kern w:val="44"/>
          <w:sz w:val="18"/>
          <w:szCs w:val="18"/>
          <w:highlight w:val="none"/>
        </w:rPr>
      </w:pPr>
    </w:p>
    <w:p>
      <w:pPr>
        <w:pStyle w:val="15"/>
        <w:wordWrap w:val="0"/>
        <w:topLinePunct/>
        <w:autoSpaceDE/>
        <w:autoSpaceDN/>
        <w:ind w:firstLine="439" w:firstLineChars="244"/>
        <w:rPr>
          <w:rFonts w:ascii="宋体" w:hAnsi="宋体" w:eastAsia="宋体" w:cs="宋体"/>
          <w:b/>
          <w:bCs/>
          <w:color w:val="auto"/>
          <w:highlight w:val="none"/>
        </w:rPr>
      </w:pPr>
      <w:r>
        <w:rPr>
          <w:rFonts w:hint="eastAsia" w:ascii="宋体" w:hAnsi="宋体" w:eastAsia="宋体" w:cs="宋体"/>
          <w:color w:val="auto"/>
          <w:kern w:val="44"/>
          <w:sz w:val="18"/>
          <w:szCs w:val="18"/>
          <w:highlight w:val="none"/>
        </w:rPr>
        <w:t>注：附录</w:t>
      </w:r>
      <w:r>
        <w:rPr>
          <w:rFonts w:ascii="宋体" w:hAnsi="宋体" w:eastAsia="宋体" w:cs="宋体"/>
          <w:color w:val="auto"/>
          <w:kern w:val="44"/>
          <w:sz w:val="18"/>
          <w:szCs w:val="18"/>
          <w:highlight w:val="none"/>
        </w:rPr>
        <w:t>6所要求人员按第八章投标文件格式表8-7、表8-7-1填报并附相关证明材料。</w:t>
      </w:r>
    </w:p>
    <w:p>
      <w:pPr>
        <w:wordWrap w:val="0"/>
        <w:topLinePunct/>
        <w:autoSpaceDE/>
        <w:autoSpaceDN/>
        <w:spacing w:after="0"/>
        <w:jc w:val="left"/>
        <w:rPr>
          <w:sz w:val="18"/>
        </w:rPr>
        <w:sectPr>
          <w:pgSz w:w="11900" w:h="16840"/>
          <w:pgMar w:top="1380" w:right="580" w:bottom="880" w:left="760" w:header="0" w:footer="601" w:gutter="0"/>
          <w:pgBorders>
            <w:top w:val="none" w:sz="0" w:space="0"/>
            <w:left w:val="none" w:sz="0" w:space="0"/>
            <w:bottom w:val="none" w:sz="0" w:space="0"/>
            <w:right w:val="none" w:sz="0" w:space="0"/>
          </w:pgBorders>
          <w:cols w:space="720" w:num="1"/>
        </w:sectPr>
      </w:pPr>
    </w:p>
    <w:p>
      <w:pPr>
        <w:wordWrap w:val="0"/>
        <w:topLinePunct/>
        <w:autoSpaceDE/>
        <w:autoSpaceDN/>
        <w:spacing w:before="42"/>
        <w:ind w:left="592" w:right="773" w:firstLine="0"/>
        <w:jc w:val="center"/>
        <w:rPr>
          <w:b/>
          <w:sz w:val="30"/>
        </w:rPr>
      </w:pPr>
      <w:r>
        <w:rPr>
          <w:b/>
          <w:sz w:val="30"/>
        </w:rPr>
        <w:t>附录 7 资格审查条件(主要设备最低要求)</w:t>
      </w:r>
    </w:p>
    <w:tbl>
      <w:tblPr>
        <w:tblStyle w:val="9"/>
        <w:tblW w:w="9038" w:type="dxa"/>
        <w:tblInd w:w="6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1676"/>
        <w:gridCol w:w="2075"/>
        <w:gridCol w:w="837"/>
        <w:gridCol w:w="1288"/>
        <w:gridCol w:w="2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738" w:type="dxa"/>
          </w:tcPr>
          <w:p>
            <w:pPr>
              <w:pStyle w:val="13"/>
              <w:wordWrap w:val="0"/>
              <w:topLinePunct/>
              <w:autoSpaceDE/>
              <w:autoSpaceDN/>
              <w:spacing w:before="157"/>
              <w:ind w:left="107" w:right="98"/>
              <w:jc w:val="center"/>
              <w:rPr>
                <w:b/>
                <w:sz w:val="24"/>
              </w:rPr>
            </w:pPr>
            <w:r>
              <w:rPr>
                <w:b/>
                <w:sz w:val="24"/>
              </w:rPr>
              <w:t>序号</w:t>
            </w:r>
          </w:p>
        </w:tc>
        <w:tc>
          <w:tcPr>
            <w:tcW w:w="1676" w:type="dxa"/>
          </w:tcPr>
          <w:p>
            <w:pPr>
              <w:pStyle w:val="13"/>
              <w:wordWrap w:val="0"/>
              <w:topLinePunct/>
              <w:autoSpaceDE/>
              <w:autoSpaceDN/>
              <w:spacing w:before="157"/>
              <w:ind w:left="215" w:right="208"/>
              <w:jc w:val="center"/>
              <w:rPr>
                <w:b/>
                <w:sz w:val="24"/>
              </w:rPr>
            </w:pPr>
            <w:r>
              <w:rPr>
                <w:b/>
                <w:sz w:val="24"/>
              </w:rPr>
              <w:t>设备名称</w:t>
            </w:r>
          </w:p>
        </w:tc>
        <w:tc>
          <w:tcPr>
            <w:tcW w:w="2075" w:type="dxa"/>
          </w:tcPr>
          <w:p>
            <w:pPr>
              <w:pStyle w:val="13"/>
              <w:wordWrap w:val="0"/>
              <w:topLinePunct/>
              <w:autoSpaceDE/>
              <w:autoSpaceDN/>
              <w:spacing w:before="1"/>
              <w:ind w:left="111" w:right="106"/>
              <w:jc w:val="center"/>
              <w:rPr>
                <w:b/>
                <w:sz w:val="24"/>
              </w:rPr>
            </w:pPr>
            <w:r>
              <w:rPr>
                <w:b/>
                <w:sz w:val="24"/>
              </w:rPr>
              <w:t>舱容量/设计产量</w:t>
            </w:r>
          </w:p>
          <w:p>
            <w:pPr>
              <w:pStyle w:val="13"/>
              <w:wordWrap w:val="0"/>
              <w:topLinePunct/>
              <w:autoSpaceDE/>
              <w:autoSpaceDN/>
              <w:spacing w:before="4" w:line="288" w:lineRule="exact"/>
              <w:ind w:left="111" w:right="104"/>
              <w:jc w:val="center"/>
              <w:rPr>
                <w:b/>
                <w:sz w:val="24"/>
              </w:rPr>
            </w:pPr>
            <w:r>
              <w:rPr>
                <w:b/>
                <w:sz w:val="24"/>
              </w:rPr>
              <w:t>（生产效率）</w:t>
            </w:r>
          </w:p>
        </w:tc>
        <w:tc>
          <w:tcPr>
            <w:tcW w:w="837" w:type="dxa"/>
          </w:tcPr>
          <w:p>
            <w:pPr>
              <w:pStyle w:val="13"/>
              <w:wordWrap w:val="0"/>
              <w:topLinePunct/>
              <w:autoSpaceDE/>
              <w:autoSpaceDN/>
              <w:spacing w:before="157"/>
              <w:ind w:left="154" w:right="150"/>
              <w:jc w:val="center"/>
              <w:rPr>
                <w:b/>
                <w:sz w:val="24"/>
              </w:rPr>
            </w:pPr>
            <w:r>
              <w:rPr>
                <w:b/>
                <w:sz w:val="24"/>
              </w:rPr>
              <w:t>单位</w:t>
            </w:r>
          </w:p>
        </w:tc>
        <w:tc>
          <w:tcPr>
            <w:tcW w:w="1288" w:type="dxa"/>
          </w:tcPr>
          <w:p>
            <w:pPr>
              <w:pStyle w:val="13"/>
              <w:wordWrap w:val="0"/>
              <w:topLinePunct/>
              <w:autoSpaceDE/>
              <w:autoSpaceDN/>
              <w:spacing w:before="157"/>
              <w:ind w:left="141" w:right="133"/>
              <w:jc w:val="center"/>
              <w:rPr>
                <w:b/>
                <w:sz w:val="24"/>
              </w:rPr>
            </w:pPr>
            <w:r>
              <w:rPr>
                <w:b/>
                <w:sz w:val="24"/>
              </w:rPr>
              <w:t>最低数量</w:t>
            </w:r>
          </w:p>
        </w:tc>
        <w:tc>
          <w:tcPr>
            <w:tcW w:w="2424" w:type="dxa"/>
            <w:tcBorders>
              <w:bottom w:val="single" w:color="000000" w:sz="6" w:space="0"/>
            </w:tcBorders>
          </w:tcPr>
          <w:p>
            <w:pPr>
              <w:pStyle w:val="13"/>
              <w:wordWrap w:val="0"/>
              <w:topLinePunct/>
              <w:autoSpaceDE/>
              <w:autoSpaceDN/>
              <w:spacing w:before="157"/>
              <w:ind w:left="950" w:right="941"/>
              <w:jc w:val="center"/>
              <w:rPr>
                <w:b/>
                <w:sz w:val="24"/>
              </w:rPr>
            </w:pPr>
            <w:r>
              <w:rPr>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0" w:hRule="atLeast"/>
        </w:trPr>
        <w:tc>
          <w:tcPr>
            <w:tcW w:w="738" w:type="dxa"/>
          </w:tcPr>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spacing w:before="4"/>
              <w:rPr>
                <w:b/>
                <w:sz w:val="25"/>
              </w:rPr>
            </w:pPr>
          </w:p>
          <w:p>
            <w:pPr>
              <w:pStyle w:val="13"/>
              <w:wordWrap w:val="0"/>
              <w:topLinePunct/>
              <w:autoSpaceDE/>
              <w:autoSpaceDN/>
              <w:ind w:left="9"/>
              <w:jc w:val="center"/>
              <w:rPr>
                <w:sz w:val="24"/>
              </w:rPr>
            </w:pPr>
            <w:r>
              <w:rPr>
                <w:sz w:val="24"/>
              </w:rPr>
              <w:t>1</w:t>
            </w:r>
          </w:p>
        </w:tc>
        <w:tc>
          <w:tcPr>
            <w:tcW w:w="1676" w:type="dxa"/>
          </w:tcPr>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spacing w:before="4"/>
              <w:rPr>
                <w:b/>
                <w:sz w:val="25"/>
              </w:rPr>
            </w:pPr>
          </w:p>
          <w:p>
            <w:pPr>
              <w:pStyle w:val="13"/>
              <w:wordWrap w:val="0"/>
              <w:topLinePunct/>
              <w:autoSpaceDE/>
              <w:autoSpaceDN/>
              <w:ind w:left="217" w:right="208"/>
              <w:jc w:val="center"/>
              <w:rPr>
                <w:sz w:val="24"/>
              </w:rPr>
            </w:pPr>
            <w:r>
              <w:rPr>
                <w:sz w:val="24"/>
              </w:rPr>
              <w:t>抓斗挖泥船</w:t>
            </w:r>
          </w:p>
        </w:tc>
        <w:tc>
          <w:tcPr>
            <w:tcW w:w="2075" w:type="dxa"/>
          </w:tcPr>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spacing w:before="4"/>
              <w:rPr>
                <w:b/>
                <w:sz w:val="25"/>
              </w:rPr>
            </w:pPr>
          </w:p>
          <w:p>
            <w:pPr>
              <w:pStyle w:val="13"/>
              <w:wordWrap w:val="0"/>
              <w:topLinePunct/>
              <w:autoSpaceDE/>
              <w:autoSpaceDN/>
              <w:ind w:left="227"/>
              <w:rPr>
                <w:sz w:val="24"/>
              </w:rPr>
            </w:pPr>
            <w:r>
              <w:rPr>
                <w:sz w:val="24"/>
              </w:rPr>
              <w:t>斗容≥4 立方米</w:t>
            </w:r>
          </w:p>
        </w:tc>
        <w:tc>
          <w:tcPr>
            <w:tcW w:w="837" w:type="dxa"/>
          </w:tcPr>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spacing w:before="4"/>
              <w:rPr>
                <w:b/>
                <w:sz w:val="25"/>
              </w:rPr>
            </w:pPr>
          </w:p>
          <w:p>
            <w:pPr>
              <w:pStyle w:val="13"/>
              <w:wordWrap w:val="0"/>
              <w:topLinePunct/>
              <w:autoSpaceDE/>
              <w:autoSpaceDN/>
              <w:ind w:left="9"/>
              <w:jc w:val="center"/>
              <w:rPr>
                <w:sz w:val="24"/>
              </w:rPr>
            </w:pPr>
            <w:r>
              <w:rPr>
                <w:sz w:val="24"/>
              </w:rPr>
              <w:t>艘</w:t>
            </w:r>
          </w:p>
        </w:tc>
        <w:tc>
          <w:tcPr>
            <w:tcW w:w="1288" w:type="dxa"/>
            <w:tcBorders>
              <w:right w:val="single" w:color="000000" w:sz="6" w:space="0"/>
            </w:tcBorders>
          </w:tcPr>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rPr>
                <w:b/>
                <w:sz w:val="24"/>
              </w:rPr>
            </w:pPr>
          </w:p>
          <w:p>
            <w:pPr>
              <w:pStyle w:val="13"/>
              <w:wordWrap w:val="0"/>
              <w:topLinePunct/>
              <w:autoSpaceDE/>
              <w:autoSpaceDN/>
              <w:spacing w:before="4"/>
              <w:rPr>
                <w:b/>
                <w:sz w:val="25"/>
              </w:rPr>
            </w:pPr>
          </w:p>
          <w:p>
            <w:pPr>
              <w:pStyle w:val="13"/>
              <w:wordWrap w:val="0"/>
              <w:topLinePunct/>
              <w:autoSpaceDE/>
              <w:autoSpaceDN/>
              <w:ind w:left="13"/>
              <w:jc w:val="center"/>
              <w:rPr>
                <w:rFonts w:hint="eastAsia" w:eastAsia="宋体"/>
                <w:sz w:val="24"/>
                <w:lang w:eastAsia="zh-CN"/>
              </w:rPr>
            </w:pPr>
            <w:r>
              <w:rPr>
                <w:rFonts w:hint="eastAsia"/>
                <w:sz w:val="24"/>
                <w:lang w:val="en-US" w:eastAsia="zh-CN"/>
              </w:rPr>
              <w:t>1</w:t>
            </w:r>
          </w:p>
        </w:tc>
        <w:tc>
          <w:tcPr>
            <w:tcW w:w="2424" w:type="dxa"/>
            <w:tcBorders>
              <w:top w:val="single" w:color="000000" w:sz="6" w:space="0"/>
              <w:left w:val="single" w:color="000000" w:sz="6" w:space="0"/>
              <w:bottom w:val="single" w:color="000000" w:sz="6" w:space="0"/>
              <w:right w:val="single" w:color="000000" w:sz="6" w:space="0"/>
            </w:tcBorders>
          </w:tcPr>
          <w:p>
            <w:pPr>
              <w:pStyle w:val="13"/>
              <w:wordWrap w:val="0"/>
              <w:topLinePunct/>
              <w:autoSpaceDE/>
              <w:autoSpaceDN/>
              <w:spacing w:before="4"/>
              <w:ind w:left="105"/>
              <w:rPr>
                <w:sz w:val="24"/>
              </w:rPr>
            </w:pPr>
            <w:r>
              <w:rPr>
                <w:sz w:val="24"/>
              </w:rPr>
              <w:t>投标人自有或租赁</w:t>
            </w:r>
          </w:p>
          <w:p>
            <w:pPr>
              <w:pStyle w:val="13"/>
              <w:wordWrap w:val="0"/>
              <w:topLinePunct/>
              <w:autoSpaceDE/>
              <w:autoSpaceDN/>
              <w:spacing w:before="2" w:line="242" w:lineRule="auto"/>
              <w:ind w:left="105" w:right="141"/>
              <w:jc w:val="both"/>
              <w:rPr>
                <w:sz w:val="24"/>
              </w:rPr>
            </w:pPr>
            <w:r>
              <w:rPr>
                <w:sz w:val="24"/>
              </w:rPr>
              <w:t>（自有的应提供船舶所有权证书和船舶检验证书薄；租赁的应提供船舶所有权证书和船舶检验证书薄， 并提供船舶租赁合同且合同期限要符合施</w:t>
            </w:r>
          </w:p>
          <w:p>
            <w:pPr>
              <w:pStyle w:val="13"/>
              <w:wordWrap w:val="0"/>
              <w:topLinePunct/>
              <w:autoSpaceDE/>
              <w:autoSpaceDN/>
              <w:spacing w:before="5" w:line="288" w:lineRule="exact"/>
              <w:ind w:left="105"/>
              <w:jc w:val="both"/>
              <w:rPr>
                <w:sz w:val="24"/>
              </w:rPr>
            </w:pPr>
            <w:r>
              <w:rPr>
                <w:sz w:val="24"/>
              </w:rPr>
              <w:t>工工期要求）</w:t>
            </w:r>
          </w:p>
        </w:tc>
      </w:tr>
    </w:tbl>
    <w:p>
      <w:pPr>
        <w:wordWrap w:val="0"/>
        <w:topLinePunct/>
        <w:autoSpaceDE/>
        <w:autoSpaceDN/>
        <w:spacing w:before="238"/>
        <w:ind w:left="592" w:right="768" w:firstLine="0"/>
        <w:jc w:val="center"/>
        <w:rPr>
          <w:sz w:val="18"/>
        </w:rPr>
        <w:sectPr>
          <w:pgSz w:w="11900" w:h="16840"/>
          <w:pgMar w:top="1380" w:right="580" w:bottom="880" w:left="760" w:header="0" w:footer="601" w:gutter="0"/>
          <w:pgBorders>
            <w:top w:val="none" w:sz="0" w:space="0"/>
            <w:left w:val="none" w:sz="0" w:space="0"/>
            <w:bottom w:val="none" w:sz="0" w:space="0"/>
            <w:right w:val="none" w:sz="0" w:space="0"/>
          </w:pgBorders>
          <w:cols w:space="720" w:num="1"/>
        </w:sectPr>
      </w:pPr>
      <w:r>
        <w:rPr>
          <w:sz w:val="18"/>
        </w:rPr>
        <w:t>注：除关键必备设备，其他相关设备投标人须按第八章投标函的格式承诺在中标后投入到位。</w:t>
      </w:r>
    </w:p>
    <w:p>
      <w:pPr>
        <w:pStyle w:val="4"/>
        <w:wordWrap w:val="0"/>
        <w:topLinePunct/>
        <w:autoSpaceDE/>
        <w:autoSpaceDN/>
        <w:spacing w:before="41"/>
        <w:ind w:left="315"/>
        <w:rPr>
          <w:rFonts w:hint="eastAsia" w:eastAsia="宋体"/>
          <w:lang w:val="en-US" w:eastAsia="zh-CN"/>
        </w:rPr>
      </w:pPr>
      <w:r>
        <w:t>附件</w:t>
      </w:r>
      <w:r>
        <w:rPr>
          <w:rFonts w:hint="eastAsia"/>
          <w:lang w:val="en-US" w:eastAsia="zh-CN"/>
        </w:rPr>
        <w:t>3</w:t>
      </w:r>
    </w:p>
    <w:p>
      <w:pPr>
        <w:pStyle w:val="4"/>
        <w:wordWrap w:val="0"/>
        <w:topLinePunct/>
        <w:autoSpaceDE/>
        <w:autoSpaceDN/>
        <w:spacing w:before="41"/>
        <w:ind w:left="2780"/>
      </w:pPr>
      <w:r>
        <w:t>评标办法（双信封的综合评分法）</w:t>
      </w:r>
    </w:p>
    <w:p>
      <w:pPr>
        <w:pStyle w:val="5"/>
        <w:wordWrap w:val="0"/>
        <w:topLinePunct/>
        <w:autoSpaceDE/>
        <w:autoSpaceDN/>
        <w:spacing w:before="2"/>
        <w:rPr>
          <w:b/>
          <w:sz w:val="11"/>
        </w:rPr>
      </w:pPr>
    </w:p>
    <w:p>
      <w:pPr>
        <w:pStyle w:val="5"/>
        <w:wordWrap w:val="0"/>
        <w:topLinePunct/>
        <w:autoSpaceDE/>
        <w:autoSpaceDN/>
        <w:spacing w:before="4" w:after="1"/>
        <w:rPr>
          <w:sz w:val="12"/>
        </w:rPr>
      </w:pPr>
      <w:bookmarkStart w:id="6" w:name="评标办法前附表"/>
      <w:bookmarkEnd w:id="6"/>
    </w:p>
    <w:p>
      <w:pPr>
        <w:pStyle w:val="2"/>
        <w:spacing w:before="0" w:after="0" w:line="360" w:lineRule="auto"/>
        <w:jc w:val="left"/>
        <w:rPr>
          <w:rStyle w:val="18"/>
          <w:rFonts w:eastAsia="宋体"/>
          <w:b w:val="0"/>
          <w:bCs w:val="0"/>
          <w:color w:val="auto"/>
          <w:sz w:val="24"/>
          <w:szCs w:val="24"/>
          <w:highlight w:val="none"/>
        </w:rPr>
      </w:pPr>
      <w:r>
        <w:rPr>
          <w:rStyle w:val="18"/>
          <w:rFonts w:hint="eastAsia" w:eastAsia="宋体"/>
          <w:b w:val="0"/>
          <w:bCs w:val="0"/>
          <w:color w:val="auto"/>
          <w:sz w:val="24"/>
          <w:szCs w:val="24"/>
          <w:highlight w:val="none"/>
        </w:rPr>
        <w:t>评标办法前附表</w:t>
      </w:r>
    </w:p>
    <w:tbl>
      <w:tblPr>
        <w:tblStyle w:val="9"/>
        <w:tblW w:w="9219" w:type="dxa"/>
        <w:tblInd w:w="0" w:type="dxa"/>
        <w:tblLayout w:type="fixed"/>
        <w:tblCellMar>
          <w:top w:w="0" w:type="dxa"/>
          <w:left w:w="0" w:type="dxa"/>
          <w:bottom w:w="0" w:type="dxa"/>
          <w:right w:w="0" w:type="dxa"/>
        </w:tblCellMar>
      </w:tblPr>
      <w:tblGrid>
        <w:gridCol w:w="683"/>
        <w:gridCol w:w="1361"/>
        <w:gridCol w:w="7175"/>
      </w:tblGrid>
      <w:tr>
        <w:tblPrEx>
          <w:tblCellMar>
            <w:top w:w="0" w:type="dxa"/>
            <w:left w:w="0" w:type="dxa"/>
            <w:bottom w:w="0" w:type="dxa"/>
            <w:right w:w="0" w:type="dxa"/>
          </w:tblCellMar>
        </w:tblPrEx>
        <w:trPr>
          <w:trHeight w:val="23" w:hRule="atLeast"/>
        </w:trPr>
        <w:tc>
          <w:tcPr>
            <w:tcW w:w="2044" w:type="dxa"/>
            <w:gridSpan w:val="2"/>
            <w:tcBorders>
              <w:top w:val="single" w:color="auto" w:sz="4" w:space="0"/>
              <w:left w:val="single" w:color="auto" w:sz="4" w:space="0"/>
              <w:bottom w:val="nil"/>
              <w:right w:val="nil"/>
            </w:tcBorders>
            <w:shd w:val="clear" w:color="auto" w:fill="FFFFFF"/>
            <w:vAlign w:val="bottom"/>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hint="eastAsia" w:ascii="宋体" w:hAnsi="宋体" w:eastAsia="宋体"/>
                <w:color w:val="auto"/>
                <w:kern w:val="2"/>
                <w:sz w:val="21"/>
                <w:szCs w:val="21"/>
                <w:highlight w:val="none"/>
                <w:lang w:val="zh-CN"/>
              </w:rPr>
              <w:t>条款号</w:t>
            </w:r>
          </w:p>
        </w:tc>
        <w:tc>
          <w:tcPr>
            <w:tcW w:w="7175" w:type="dxa"/>
            <w:tcBorders>
              <w:top w:val="single" w:color="auto" w:sz="4" w:space="0"/>
              <w:left w:val="single" w:color="auto" w:sz="4" w:space="0"/>
              <w:bottom w:val="nil"/>
              <w:right w:val="single" w:color="auto" w:sz="4" w:space="0"/>
            </w:tcBorders>
            <w:shd w:val="clear" w:color="auto" w:fill="FFFFFF"/>
            <w:vAlign w:val="bottom"/>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hint="eastAsia" w:ascii="宋体" w:hAnsi="宋体" w:eastAsia="宋体"/>
                <w:color w:val="auto"/>
                <w:kern w:val="2"/>
                <w:sz w:val="21"/>
                <w:szCs w:val="21"/>
                <w:highlight w:val="none"/>
                <w:lang w:val="zh-CN"/>
              </w:rPr>
              <w:t>评审因素与评审标准</w:t>
            </w:r>
          </w:p>
        </w:tc>
      </w:tr>
      <w:tr>
        <w:tblPrEx>
          <w:tblCellMar>
            <w:top w:w="0" w:type="dxa"/>
            <w:left w:w="0" w:type="dxa"/>
            <w:bottom w:w="0" w:type="dxa"/>
            <w:right w:w="0" w:type="dxa"/>
          </w:tblCellMar>
        </w:tblPrEx>
        <w:trPr>
          <w:trHeight w:val="23" w:hRule="atLeast"/>
        </w:trPr>
        <w:tc>
          <w:tcPr>
            <w:tcW w:w="683" w:type="dxa"/>
            <w:tcBorders>
              <w:top w:val="single" w:color="auto" w:sz="4" w:space="0"/>
              <w:left w:val="single" w:color="auto" w:sz="4" w:space="0"/>
              <w:bottom w:val="nil"/>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ascii="宋体" w:hAnsi="宋体" w:eastAsia="宋体"/>
                <w:color w:val="auto"/>
                <w:kern w:val="2"/>
                <w:sz w:val="21"/>
                <w:szCs w:val="21"/>
                <w:highlight w:val="none"/>
                <w:lang w:val="zh-CN"/>
              </w:rPr>
              <w:t>1</w:t>
            </w:r>
          </w:p>
        </w:tc>
        <w:tc>
          <w:tcPr>
            <w:tcW w:w="1361" w:type="dxa"/>
            <w:tcBorders>
              <w:top w:val="single" w:color="auto" w:sz="4" w:space="0"/>
              <w:left w:val="single" w:color="auto" w:sz="4" w:space="0"/>
              <w:bottom w:val="nil"/>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hint="eastAsia" w:ascii="宋体" w:hAnsi="宋体" w:eastAsia="宋体"/>
                <w:color w:val="auto"/>
                <w:kern w:val="2"/>
                <w:sz w:val="21"/>
                <w:szCs w:val="21"/>
                <w:highlight w:val="none"/>
                <w:lang w:val="zh-CN"/>
              </w:rPr>
              <w:t>评标方法</w:t>
            </w:r>
          </w:p>
        </w:tc>
        <w:tc>
          <w:tcPr>
            <w:tcW w:w="7175" w:type="dxa"/>
            <w:tcBorders>
              <w:top w:val="single" w:color="auto" w:sz="4" w:space="0"/>
              <w:left w:val="single" w:color="auto" w:sz="4" w:space="0"/>
              <w:bottom w:val="nil"/>
              <w:right w:val="single" w:color="auto" w:sz="4" w:space="0"/>
            </w:tcBorders>
            <w:shd w:val="clear" w:color="auto" w:fill="FFFFFF"/>
            <w:vAlign w:val="center"/>
          </w:tcPr>
          <w:p>
            <w:pPr>
              <w:pStyle w:val="19"/>
              <w:shd w:val="clear" w:color="auto" w:fill="auto"/>
              <w:tabs>
                <w:tab w:val="left" w:pos="1087"/>
              </w:tabs>
              <w:adjustRightInd w:val="0"/>
              <w:snapToGrid w:val="0"/>
              <w:spacing w:before="0" w:line="240" w:lineRule="auto"/>
              <w:ind w:right="130" w:rightChars="59"/>
              <w:jc w:val="both"/>
              <w:rPr>
                <w:rStyle w:val="21"/>
                <w:rFonts w:hint="eastAsia" w:ascii="宋体" w:hAnsi="宋体" w:eastAsia="宋体"/>
                <w:color w:val="auto"/>
                <w:kern w:val="2"/>
                <w:sz w:val="21"/>
                <w:szCs w:val="21"/>
                <w:highlight w:val="none"/>
                <w:shd w:val="clear" w:color="auto" w:fill="FFFFFF"/>
                <w:lang w:val="zh-CN"/>
              </w:rPr>
            </w:pPr>
            <w:r>
              <w:rPr>
                <w:rStyle w:val="21"/>
                <w:rFonts w:hint="eastAsia" w:ascii="宋体" w:hAnsi="宋体" w:eastAsia="宋体"/>
                <w:color w:val="auto"/>
                <w:kern w:val="2"/>
                <w:sz w:val="21"/>
                <w:szCs w:val="21"/>
                <w:highlight w:val="none"/>
                <w:shd w:val="clear" w:color="auto" w:fill="FFFFFF"/>
                <w:lang w:val="zh-CN"/>
              </w:rPr>
              <w:t>综合评分相等时，评标委员会依次按照以下优先顺序推荐中标候选人或确定中标人：</w:t>
            </w:r>
          </w:p>
          <w:p>
            <w:pPr>
              <w:pStyle w:val="19"/>
              <w:shd w:val="clear" w:color="auto" w:fill="auto"/>
              <w:tabs>
                <w:tab w:val="left" w:pos="1087"/>
              </w:tabs>
              <w:adjustRightInd w:val="0"/>
              <w:snapToGrid w:val="0"/>
              <w:spacing w:before="0" w:line="240" w:lineRule="auto"/>
              <w:ind w:right="130" w:rightChars="59"/>
              <w:jc w:val="both"/>
              <w:rPr>
                <w:rStyle w:val="21"/>
                <w:rFonts w:hint="eastAsia" w:ascii="宋体" w:hAnsi="宋体" w:eastAsia="宋体"/>
                <w:color w:val="auto"/>
                <w:kern w:val="2"/>
                <w:sz w:val="21"/>
                <w:szCs w:val="21"/>
                <w:highlight w:val="none"/>
                <w:shd w:val="clear" w:color="auto" w:fill="FFFFFF"/>
                <w:lang w:val="zh-CN"/>
              </w:rPr>
            </w:pPr>
            <w:r>
              <w:rPr>
                <w:rStyle w:val="21"/>
                <w:rFonts w:hint="eastAsia" w:ascii="宋体" w:hAnsi="宋体" w:eastAsia="宋体"/>
                <w:color w:val="auto"/>
                <w:kern w:val="2"/>
                <w:sz w:val="21"/>
                <w:szCs w:val="21"/>
                <w:highlight w:val="none"/>
                <w:shd w:val="clear" w:color="auto" w:fill="FFFFFF"/>
                <w:lang w:val="zh-CN"/>
              </w:rPr>
              <w:t>（1）评标价低的优先；</w:t>
            </w:r>
          </w:p>
          <w:p>
            <w:pPr>
              <w:pStyle w:val="19"/>
              <w:shd w:val="clear" w:color="auto" w:fill="auto"/>
              <w:tabs>
                <w:tab w:val="left" w:pos="1087"/>
              </w:tabs>
              <w:adjustRightInd w:val="0"/>
              <w:snapToGrid w:val="0"/>
              <w:spacing w:before="0" w:line="240" w:lineRule="auto"/>
              <w:ind w:right="130" w:rightChars="59"/>
              <w:jc w:val="both"/>
              <w:rPr>
                <w:rStyle w:val="21"/>
                <w:rFonts w:hint="eastAsia" w:ascii="宋体" w:hAnsi="宋体" w:eastAsia="宋体"/>
                <w:color w:val="auto"/>
                <w:kern w:val="2"/>
                <w:sz w:val="21"/>
                <w:szCs w:val="21"/>
                <w:highlight w:val="none"/>
                <w:shd w:val="clear" w:color="auto" w:fill="FFFFFF"/>
                <w:lang w:val="zh-CN"/>
              </w:rPr>
            </w:pPr>
            <w:r>
              <w:rPr>
                <w:rStyle w:val="21"/>
                <w:rFonts w:hint="eastAsia" w:ascii="宋体" w:hAnsi="宋体" w:eastAsia="宋体"/>
                <w:color w:val="auto"/>
                <w:kern w:val="2"/>
                <w:sz w:val="21"/>
                <w:szCs w:val="21"/>
                <w:highlight w:val="none"/>
                <w:shd w:val="clear" w:color="auto" w:fill="FFFFFF"/>
                <w:lang w:val="zh-CN"/>
              </w:rPr>
              <w:t>（2）按招标文件规定被认定为最新年度广东省水运工程从业单位信用评价等级较高的投标人优先；【采用如下的优先顺序：承诺使用的AA级投标人、不承诺使用的AA级投标人、承诺使用的A级投标人、不承诺使用的A级投标人、B级投标人、未参评且被确定为B级投标人】</w:t>
            </w:r>
          </w:p>
          <w:p>
            <w:pPr>
              <w:pStyle w:val="19"/>
              <w:shd w:val="clear" w:color="auto" w:fill="auto"/>
              <w:tabs>
                <w:tab w:val="left" w:pos="1087"/>
              </w:tabs>
              <w:adjustRightInd w:val="0"/>
              <w:snapToGrid w:val="0"/>
              <w:spacing w:before="0" w:line="240" w:lineRule="auto"/>
              <w:ind w:right="130" w:rightChars="59"/>
              <w:jc w:val="both"/>
              <w:rPr>
                <w:rStyle w:val="21"/>
                <w:rFonts w:hint="eastAsia" w:ascii="宋体" w:hAnsi="宋体" w:eastAsia="宋体"/>
                <w:color w:val="auto"/>
                <w:kern w:val="2"/>
                <w:sz w:val="21"/>
                <w:szCs w:val="21"/>
                <w:highlight w:val="none"/>
                <w:shd w:val="clear" w:color="auto" w:fill="FFFFFF"/>
                <w:lang w:val="zh-CN"/>
              </w:rPr>
            </w:pPr>
            <w:r>
              <w:rPr>
                <w:rStyle w:val="21"/>
                <w:rFonts w:hint="eastAsia" w:ascii="宋体" w:hAnsi="宋体" w:eastAsia="宋体"/>
                <w:color w:val="auto"/>
                <w:kern w:val="2"/>
                <w:sz w:val="21"/>
                <w:szCs w:val="21"/>
                <w:highlight w:val="none"/>
                <w:shd w:val="clear" w:color="auto" w:fill="FFFFFF"/>
                <w:lang w:val="zh-CN"/>
              </w:rPr>
              <w:t>（3）以投标人企业最新年度净资产较高的优先；</w:t>
            </w:r>
          </w:p>
          <w:p>
            <w:pPr>
              <w:pStyle w:val="19"/>
              <w:shd w:val="clear" w:color="auto" w:fill="auto"/>
              <w:tabs>
                <w:tab w:val="left" w:pos="1087"/>
              </w:tabs>
              <w:adjustRightInd w:val="0"/>
              <w:snapToGrid w:val="0"/>
              <w:spacing w:before="0" w:line="240" w:lineRule="auto"/>
              <w:ind w:right="130" w:rightChars="59"/>
              <w:jc w:val="both"/>
              <w:rPr>
                <w:rStyle w:val="21"/>
                <w:rFonts w:ascii="宋体" w:hAnsi="宋体" w:eastAsia="宋体"/>
                <w:color w:val="auto"/>
                <w:kern w:val="2"/>
                <w:sz w:val="21"/>
                <w:szCs w:val="21"/>
                <w:highlight w:val="none"/>
                <w:shd w:val="clear" w:color="auto" w:fill="FFFFFF"/>
                <w:lang w:val="zh-CN"/>
              </w:rPr>
            </w:pPr>
            <w:r>
              <w:rPr>
                <w:rStyle w:val="21"/>
                <w:rFonts w:hint="eastAsia" w:ascii="宋体" w:hAnsi="宋体" w:eastAsia="宋体"/>
                <w:color w:val="auto"/>
                <w:kern w:val="2"/>
                <w:sz w:val="21"/>
                <w:szCs w:val="21"/>
                <w:highlight w:val="none"/>
                <w:shd w:val="clear" w:color="auto" w:fill="FFFFFF"/>
                <w:lang w:val="zh-CN"/>
              </w:rPr>
              <w:t>（4）评标委员会视投标人情况综合比较，投票确定其名次。</w:t>
            </w:r>
          </w:p>
        </w:tc>
      </w:tr>
      <w:tr>
        <w:tblPrEx>
          <w:tblCellMar>
            <w:top w:w="0" w:type="dxa"/>
            <w:left w:w="0" w:type="dxa"/>
            <w:bottom w:w="0" w:type="dxa"/>
            <w:right w:w="0" w:type="dxa"/>
          </w:tblCellMar>
        </w:tblPrEx>
        <w:trPr>
          <w:trHeight w:val="23" w:hRule="atLeast"/>
        </w:trPr>
        <w:tc>
          <w:tcPr>
            <w:tcW w:w="683"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2"/>
                <w:rFonts w:ascii="宋体" w:hAnsi="宋体" w:eastAsia="宋体"/>
                <w:color w:val="auto"/>
                <w:kern w:val="2"/>
                <w:sz w:val="21"/>
                <w:szCs w:val="21"/>
                <w:highlight w:val="none"/>
              </w:rPr>
              <w:t>2.1.1</w:t>
            </w:r>
          </w:p>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ascii="宋体" w:hAnsi="宋体" w:eastAsia="宋体"/>
                <w:color w:val="auto"/>
                <w:kern w:val="2"/>
                <w:sz w:val="21"/>
                <w:szCs w:val="21"/>
                <w:highlight w:val="none"/>
              </w:rPr>
              <w:t>2.1.3</w:t>
            </w:r>
          </w:p>
        </w:tc>
        <w:tc>
          <w:tcPr>
            <w:tcW w:w="1361"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1"/>
                <w:rFonts w:hint="eastAsia" w:ascii="宋体" w:hAnsi="宋体" w:eastAsia="宋体"/>
                <w:color w:val="auto"/>
                <w:kern w:val="2"/>
                <w:sz w:val="21"/>
                <w:szCs w:val="21"/>
                <w:highlight w:val="none"/>
                <w:lang w:val="zh-CN"/>
              </w:rPr>
              <w:t>形式评审与响应性评审标准</w:t>
            </w:r>
          </w:p>
        </w:tc>
        <w:tc>
          <w:tcPr>
            <w:tcW w:w="717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第一个信封（商务及技术文件）评审标准：</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（1）投标文件按照招标文件规定的格式、内容填写，字迹清晰可辨：</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a.投标函按招标文件规定填报了项目名称、标段号、补遗书编号（如有)、工期、工程质量要求及安全目标；</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b.投标函附录的所有数据均符合招标文件规定；</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c.投标文件组成齐全完整，内容均按规定填写。</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（2）投标文件上法定代表人或其委托代理人的签字、投标人的单位章盖章齐全，符合招标文件规定。</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（3）投标人按照招标文件的规定提供了投标保证金：</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a.投标保证金金额符合招标文件规定的金额，且投标保证金有效期不少于投标有效期；</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b.若投标保证金采用现金或支票形式提交，投标人应在投标人须知3.4.1款规定的时间，将投标保证金由投标人的基本账户转入招标人指定账户；</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c.若投标保证金采用银行保函形式提交，银行保函的格式、开具保函的银行均满足招标文件要求，银行保函原件在递交投标文件时单独密封递交，其复印件装订在投标文件中。</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d.若投标保证金采用其他形式提交，应满足须知前附表3.4.1项的规定。</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（4）投标人法定代表人授权委托代理人签署投标文件的，需提交授权委托书，且授权人和被授权人均在授权委托书上签名，未使用印章、签名章或其他电子制版签名代替。</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（5）投标人法定代表人亲自签署投标文件的，提供了法定代表人身份证明，且法定代表人在法定代表人身份证明上签名，未使用印章、 签名章或其他电子制版签名代替。</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（6）投标人以联合体形式投标时，联合体满足招标文件的要求：投标人按照招标文件提供的格式签订了联合体协议书，明确各方承担连带责任，并明确了联合体牵头人；</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（7）如投标人不具备拟分包工程所需的某专项工程相应资质或投标人如有分包计划，符合招标文件第二章“投标人须知” 第1.11款规定，且按招标文件第八章“投标文件格式”的要求填写了“拟分包项目情况表”。</w:t>
            </w:r>
          </w:p>
          <w:p>
            <w:pPr>
              <w:pStyle w:val="19"/>
              <w:shd w:val="clear" w:color="auto" w:fill="auto"/>
              <w:tabs>
                <w:tab w:val="left" w:pos="1141"/>
              </w:tabs>
              <w:adjustRightInd w:val="0"/>
              <w:snapToGrid w:val="0"/>
              <w:spacing w:before="0" w:line="240" w:lineRule="auto"/>
              <w:ind w:right="130" w:rightChars="59"/>
              <w:jc w:val="both"/>
              <w:rPr>
                <w:rStyle w:val="21"/>
                <w:rFonts w:hint="eastAsia"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（8）同一投标人未提交两个以上不同的投标文件，但招标文件要求提交备选投标的除外。</w:t>
            </w:r>
          </w:p>
          <w:p>
            <w:pPr>
              <w:pStyle w:val="19"/>
              <w:shd w:val="clear" w:color="auto" w:fill="auto"/>
              <w:tabs>
                <w:tab w:val="left" w:pos="1141"/>
              </w:tabs>
              <w:adjustRightInd w:val="0"/>
              <w:snapToGrid w:val="0"/>
              <w:spacing w:before="0" w:line="240" w:lineRule="auto"/>
              <w:ind w:right="130" w:rightChars="59"/>
              <w:jc w:val="both"/>
              <w:rPr>
                <w:rStyle w:val="21"/>
                <w:rFonts w:ascii="宋体" w:hAnsi="宋体" w:eastAsia="宋体"/>
                <w:color w:val="auto"/>
                <w:spacing w:val="20"/>
                <w:kern w:val="2"/>
                <w:sz w:val="21"/>
                <w:szCs w:val="21"/>
                <w:highlight w:val="none"/>
              </w:rPr>
            </w:pPr>
            <w:r>
              <w:rPr>
                <w:rStyle w:val="21"/>
                <w:rFonts w:hint="eastAsia" w:ascii="宋体" w:hAnsi="宋体" w:eastAsia="宋体"/>
                <w:color w:val="auto"/>
                <w:spacing w:val="20"/>
                <w:kern w:val="2"/>
                <w:sz w:val="21"/>
                <w:szCs w:val="21"/>
                <w:highlight w:val="none"/>
              </w:rPr>
              <w:t>（9）投标文件中未出现有关投标报价的内容。</w:t>
            </w:r>
          </w:p>
        </w:tc>
      </w:tr>
    </w:tbl>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pStyle w:val="23"/>
        <w:shd w:val="clear" w:color="auto" w:fill="auto"/>
        <w:spacing w:line="360" w:lineRule="auto"/>
        <w:jc w:val="right"/>
        <w:rPr>
          <w:rFonts w:ascii="宋体" w:hAnsi="宋体" w:eastAsia="宋体"/>
          <w:color w:val="auto"/>
          <w:highlight w:val="none"/>
        </w:rPr>
      </w:pPr>
      <w:r>
        <w:rPr>
          <w:rStyle w:val="24"/>
          <w:rFonts w:ascii="宋体" w:hAnsi="宋体" w:eastAsia="宋体"/>
          <w:color w:val="auto"/>
          <w:highlight w:val="none"/>
        </w:rPr>
        <w:br w:type="page"/>
      </w:r>
      <w:r>
        <w:rPr>
          <w:rStyle w:val="24"/>
          <w:rFonts w:hint="eastAsia" w:ascii="宋体" w:hAnsi="宋体" w:eastAsia="宋体"/>
          <w:color w:val="auto"/>
          <w:highlight w:val="none"/>
        </w:rPr>
        <w:t>续上表</w:t>
      </w:r>
    </w:p>
    <w:tbl>
      <w:tblPr>
        <w:tblStyle w:val="9"/>
        <w:tblW w:w="9074" w:type="dxa"/>
        <w:tblInd w:w="0" w:type="dxa"/>
        <w:tblLayout w:type="fixed"/>
        <w:tblCellMar>
          <w:top w:w="0" w:type="dxa"/>
          <w:left w:w="0" w:type="dxa"/>
          <w:bottom w:w="0" w:type="dxa"/>
          <w:right w:w="0" w:type="dxa"/>
        </w:tblCellMar>
      </w:tblPr>
      <w:tblGrid>
        <w:gridCol w:w="838"/>
        <w:gridCol w:w="1305"/>
        <w:gridCol w:w="6931"/>
      </w:tblGrid>
      <w:tr>
        <w:tblPrEx>
          <w:tblCellMar>
            <w:top w:w="0" w:type="dxa"/>
            <w:left w:w="0" w:type="dxa"/>
            <w:bottom w:w="0" w:type="dxa"/>
            <w:right w:w="0" w:type="dxa"/>
          </w:tblCellMar>
        </w:tblPrEx>
        <w:trPr>
          <w:trHeight w:val="23" w:hRule="atLeast"/>
        </w:trPr>
        <w:tc>
          <w:tcPr>
            <w:tcW w:w="2143" w:type="dxa"/>
            <w:gridSpan w:val="2"/>
            <w:tcBorders>
              <w:top w:val="single" w:color="auto" w:sz="4" w:space="0"/>
              <w:left w:val="single" w:color="auto" w:sz="4" w:space="0"/>
              <w:bottom w:val="nil"/>
              <w:right w:val="nil"/>
            </w:tcBorders>
            <w:shd w:val="clear" w:color="auto" w:fill="FFFFFF"/>
            <w:vAlign w:val="bottom"/>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25"/>
                <w:rFonts w:hint="eastAsia" w:ascii="宋体" w:hAnsi="宋体" w:eastAsia="宋体"/>
                <w:b w:val="0"/>
                <w:color w:val="auto"/>
                <w:kern w:val="2"/>
                <w:sz w:val="21"/>
                <w:szCs w:val="21"/>
                <w:highlight w:val="none"/>
                <w:lang w:val="zh-CN"/>
              </w:rPr>
              <w:t>条款号</w:t>
            </w:r>
          </w:p>
        </w:tc>
        <w:tc>
          <w:tcPr>
            <w:tcW w:w="6931" w:type="dxa"/>
            <w:tcBorders>
              <w:top w:val="single" w:color="auto" w:sz="4" w:space="0"/>
              <w:left w:val="single" w:color="auto" w:sz="4" w:space="0"/>
              <w:bottom w:val="nil"/>
              <w:right w:val="single" w:color="auto" w:sz="4" w:space="0"/>
            </w:tcBorders>
            <w:shd w:val="clear" w:color="auto" w:fill="FFFFFF"/>
            <w:vAlign w:val="bottom"/>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25"/>
                <w:rFonts w:hint="eastAsia" w:ascii="宋体" w:hAnsi="宋体" w:eastAsia="宋体"/>
                <w:b w:val="0"/>
                <w:color w:val="auto"/>
                <w:kern w:val="2"/>
                <w:sz w:val="21"/>
                <w:szCs w:val="21"/>
                <w:highlight w:val="none"/>
                <w:lang w:val="zh-CN"/>
              </w:rPr>
              <w:t>评审因素与评审标准</w:t>
            </w:r>
          </w:p>
        </w:tc>
      </w:tr>
      <w:tr>
        <w:tblPrEx>
          <w:tblCellMar>
            <w:top w:w="0" w:type="dxa"/>
            <w:left w:w="0" w:type="dxa"/>
            <w:bottom w:w="0" w:type="dxa"/>
            <w:right w:w="0" w:type="dxa"/>
          </w:tblCellMar>
        </w:tblPrEx>
        <w:trPr>
          <w:trHeight w:val="23" w:hRule="atLeast"/>
        </w:trPr>
        <w:tc>
          <w:tcPr>
            <w:tcW w:w="838"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26"/>
                <w:rFonts w:ascii="宋体" w:hAnsi="宋体" w:eastAsia="宋体"/>
                <w:color w:val="auto"/>
                <w:kern w:val="2"/>
                <w:sz w:val="21"/>
                <w:szCs w:val="21"/>
                <w:highlight w:val="none"/>
                <w:lang w:eastAsia="zh-CN"/>
              </w:rPr>
              <w:t>2</w:t>
            </w:r>
            <w:r>
              <w:rPr>
                <w:rStyle w:val="26"/>
                <w:rFonts w:ascii="宋体" w:hAnsi="宋体" w:eastAsia="宋体"/>
                <w:color w:val="auto"/>
                <w:kern w:val="2"/>
                <w:sz w:val="21"/>
                <w:szCs w:val="21"/>
                <w:highlight w:val="none"/>
              </w:rPr>
              <w:t>.1.1</w:t>
            </w:r>
          </w:p>
          <w:p>
            <w:pPr>
              <w:pStyle w:val="19"/>
              <w:shd w:val="clear" w:color="auto" w:fill="auto"/>
              <w:spacing w:before="0" w:line="360" w:lineRule="auto"/>
              <w:jc w:val="center"/>
              <w:rPr>
                <w:rFonts w:ascii="宋体" w:hAnsi="宋体" w:eastAsia="宋体" w:cs="MingLiU"/>
                <w:color w:val="auto"/>
                <w:kern w:val="2"/>
                <w:sz w:val="21"/>
                <w:szCs w:val="21"/>
                <w:highlight w:val="none"/>
              </w:rPr>
            </w:pPr>
            <w:r>
              <w:rPr>
                <w:rStyle w:val="25"/>
                <w:rFonts w:ascii="宋体" w:hAnsi="宋体" w:eastAsia="宋体"/>
                <w:b w:val="0"/>
                <w:color w:val="auto"/>
                <w:kern w:val="2"/>
                <w:sz w:val="21"/>
                <w:szCs w:val="21"/>
                <w:highlight w:val="none"/>
                <w:lang w:val="zh-CN"/>
              </w:rPr>
              <w:t>2.1.3</w:t>
            </w:r>
          </w:p>
        </w:tc>
        <w:tc>
          <w:tcPr>
            <w:tcW w:w="1305"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Fonts w:ascii="宋体" w:hAnsi="宋体" w:eastAsia="宋体" w:cs="MingLiU"/>
                <w:color w:val="auto"/>
                <w:kern w:val="2"/>
                <w:sz w:val="21"/>
                <w:szCs w:val="21"/>
                <w:highlight w:val="none"/>
              </w:rPr>
            </w:pPr>
            <w:r>
              <w:rPr>
                <w:rStyle w:val="20"/>
                <w:rFonts w:hint="eastAsia" w:ascii="宋体" w:hAnsi="宋体" w:eastAsia="宋体"/>
                <w:color w:val="auto"/>
                <w:kern w:val="2"/>
                <w:sz w:val="21"/>
                <w:szCs w:val="21"/>
                <w:highlight w:val="none"/>
                <w:lang w:val="zh-CN"/>
              </w:rPr>
              <w:t>形式评审与响应性评审</w:t>
            </w:r>
            <w:r>
              <w:rPr>
                <w:rStyle w:val="20"/>
                <w:rFonts w:ascii="宋体" w:hAnsi="宋体" w:eastAsia="宋体"/>
                <w:color w:val="auto"/>
                <w:kern w:val="2"/>
                <w:sz w:val="21"/>
                <w:szCs w:val="21"/>
                <w:highlight w:val="none"/>
                <w:lang w:val="zh-CN"/>
              </w:rPr>
              <w:t xml:space="preserve"> </w:t>
            </w:r>
            <w:r>
              <w:rPr>
                <w:rStyle w:val="20"/>
                <w:rFonts w:hint="eastAsia" w:ascii="宋体" w:hAnsi="宋体" w:eastAsia="宋体"/>
                <w:color w:val="auto"/>
                <w:kern w:val="2"/>
                <w:sz w:val="21"/>
                <w:szCs w:val="21"/>
                <w:highlight w:val="none"/>
                <w:lang w:val="zh-CN"/>
              </w:rPr>
              <w:t>标准</w:t>
            </w:r>
          </w:p>
        </w:tc>
        <w:tc>
          <w:tcPr>
            <w:tcW w:w="69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（10）投标文件载明的招标项目完成期限未超过招标文件规定的时限。</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（11）投标文件对招标文件的实质性要求和条件作出响应。</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（12）权利义务符合招标文件规定：</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a.投标人应接受招标文件规定的风险划分原则，未提出新的风险划分办法；</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b.投标人未增加发包人的责任范围，或减少投标人义务；</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c.投标人未提出不同的工程验收、计量、支付办法；</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d.投标人对合同纠纷、事故处理办法未提出异议；</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e.投标人在投标活动中无欺诈行为；</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f.投标人未对合同条款有重要保留。</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（13）投标文件正、副本份数符合招标文件第二章“投标人须知 第3.7.4项规定。</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（14）投标文件未附有招标人不能接受的条件。</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第二个信封（报价文件）评审标准：</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（1）投标文件按照招标文件规定的格式、内容填写，字迹清晰可辨：</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a.投标函按招标文件规定填报了项目名称、标段号、补遗书编号（如有)、投标总报价（包括大写金额和小写金额)；</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b.已标价工程量清单说明文字与招标文件规定一致，未进行实质性修改和删减；</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c.投标文件组成齐全完整，内容均按规定填写。</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（2）投标文件上法定代表人或其委托代理人的签字、投标人的单位章盖章齐全，符合招标文件规定。</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（3）投标报价或调价函中的报价未超过招标文件设定的最高投标限价（如有)。</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（4）投标报价或调价函中报价的大写金额能够确定具体数值。</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（5）同一投标人未提交两个以上不同的投标总报价，但招标文件要求提交备选投标的除外。</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（6）投标人若提交调价函，调价函符合招标文件第二章“投标人 须知”第3.2.6项要求。</w:t>
            </w:r>
          </w:p>
          <w:p>
            <w:pPr>
              <w:pStyle w:val="19"/>
              <w:shd w:val="clear" w:color="auto" w:fill="auto"/>
              <w:tabs>
                <w:tab w:val="left" w:pos="651"/>
              </w:tabs>
              <w:spacing w:before="0" w:line="240" w:lineRule="auto"/>
              <w:ind w:right="130" w:rightChars="59"/>
              <w:jc w:val="both"/>
              <w:rPr>
                <w:rFonts w:hint="eastAsia"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（7）投标人若填写工程量固化清单，填写完毕的工程量固化清单未对工程量固化清单电子文件中的数据、格式和运算定义进行修改；工程量固化清单中的投标总报价和投标函大写金额报价一致。</w:t>
            </w:r>
          </w:p>
          <w:p>
            <w:pPr>
              <w:pStyle w:val="19"/>
              <w:shd w:val="clear" w:color="auto" w:fill="auto"/>
              <w:tabs>
                <w:tab w:val="left" w:pos="651"/>
              </w:tabs>
              <w:spacing w:before="0" w:line="240" w:lineRule="auto"/>
              <w:ind w:right="130" w:rightChars="59"/>
              <w:jc w:val="both"/>
              <w:rPr>
                <w:rFonts w:ascii="宋体" w:hAnsi="宋体" w:eastAsia="宋体" w:cs="MingLiU"/>
                <w:color w:val="auto"/>
                <w:kern w:val="2"/>
                <w:sz w:val="21"/>
                <w:szCs w:val="21"/>
                <w:highlight w:val="none"/>
              </w:rPr>
            </w:pPr>
            <w:r>
              <w:rPr>
                <w:rFonts w:hint="eastAsia" w:ascii="宋体" w:hAnsi="宋体" w:eastAsia="宋体" w:cs="MingLiU"/>
                <w:color w:val="auto"/>
                <w:kern w:val="2"/>
                <w:sz w:val="21"/>
                <w:szCs w:val="21"/>
                <w:highlight w:val="none"/>
              </w:rPr>
              <w:t>（8）投标文件正、副本份数符合招标文件第二章“投标人须知”第3.7.4项规定。</w:t>
            </w:r>
          </w:p>
        </w:tc>
      </w:tr>
      <w:tr>
        <w:tblPrEx>
          <w:tblCellMar>
            <w:top w:w="0" w:type="dxa"/>
            <w:left w:w="0" w:type="dxa"/>
            <w:bottom w:w="0" w:type="dxa"/>
            <w:right w:w="0" w:type="dxa"/>
          </w:tblCellMar>
        </w:tblPrEx>
        <w:trPr>
          <w:trHeight w:val="23" w:hRule="atLeast"/>
        </w:trPr>
        <w:tc>
          <w:tcPr>
            <w:tcW w:w="838"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spacing w:before="0" w:line="360" w:lineRule="auto"/>
              <w:jc w:val="center"/>
              <w:rPr>
                <w:rStyle w:val="26"/>
                <w:rFonts w:ascii="宋体" w:hAnsi="宋体" w:eastAsia="宋体"/>
                <w:color w:val="auto"/>
                <w:kern w:val="2"/>
                <w:sz w:val="21"/>
                <w:szCs w:val="21"/>
                <w:highlight w:val="none"/>
                <w:lang w:eastAsia="zh-CN"/>
              </w:rPr>
            </w:pPr>
            <w:r>
              <w:rPr>
                <w:rStyle w:val="21"/>
                <w:rFonts w:ascii="宋体" w:hAnsi="宋体" w:eastAsia="宋体"/>
                <w:color w:val="auto"/>
                <w:kern w:val="2"/>
                <w:sz w:val="21"/>
                <w:szCs w:val="21"/>
                <w:highlight w:val="none"/>
                <w:lang w:val="zh-CN"/>
              </w:rPr>
              <w:t>2.1.2</w:t>
            </w:r>
          </w:p>
        </w:tc>
        <w:tc>
          <w:tcPr>
            <w:tcW w:w="1305" w:type="dxa"/>
            <w:tcBorders>
              <w:top w:val="single" w:color="auto" w:sz="4" w:space="0"/>
              <w:left w:val="single" w:color="auto" w:sz="4" w:space="0"/>
              <w:bottom w:val="single" w:color="auto" w:sz="4" w:space="0"/>
              <w:right w:val="nil"/>
            </w:tcBorders>
            <w:shd w:val="clear" w:color="auto" w:fill="FFFFFF"/>
            <w:vAlign w:val="center"/>
          </w:tcPr>
          <w:p>
            <w:pPr>
              <w:pStyle w:val="19"/>
              <w:shd w:val="clear" w:color="auto" w:fill="auto"/>
              <w:adjustRightInd w:val="0"/>
              <w:snapToGrid w:val="0"/>
              <w:spacing w:before="0" w:line="240" w:lineRule="auto"/>
              <w:jc w:val="center"/>
              <w:rPr>
                <w:rStyle w:val="20"/>
                <w:rFonts w:ascii="宋体" w:hAnsi="宋体" w:eastAsia="宋体"/>
                <w:color w:val="auto"/>
                <w:kern w:val="2"/>
                <w:sz w:val="21"/>
                <w:szCs w:val="21"/>
                <w:highlight w:val="none"/>
                <w:lang w:val="zh-CN"/>
              </w:rPr>
            </w:pPr>
            <w:r>
              <w:rPr>
                <w:rStyle w:val="20"/>
                <w:rFonts w:hint="eastAsia" w:ascii="宋体" w:hAnsi="宋体" w:eastAsia="宋体"/>
                <w:color w:val="auto"/>
                <w:kern w:val="2"/>
                <w:sz w:val="21"/>
                <w:szCs w:val="21"/>
                <w:highlight w:val="none"/>
                <w:lang w:val="zh-CN"/>
              </w:rPr>
              <w:t>资格评审标准</w:t>
            </w:r>
          </w:p>
        </w:tc>
        <w:tc>
          <w:tcPr>
            <w:tcW w:w="6931" w:type="dxa"/>
            <w:tcBorders>
              <w:top w:val="single" w:color="auto" w:sz="4" w:space="0"/>
              <w:left w:val="single" w:color="auto" w:sz="4" w:space="0"/>
              <w:bottom w:val="single" w:color="auto" w:sz="4" w:space="0"/>
              <w:right w:val="single" w:color="auto" w:sz="4" w:space="0"/>
            </w:tcBorders>
            <w:shd w:val="clear" w:color="auto" w:fill="FFFFFF"/>
          </w:tcPr>
          <w:p>
            <w:pPr>
              <w:pStyle w:val="19"/>
              <w:shd w:val="clear" w:color="auto" w:fill="auto"/>
              <w:tabs>
                <w:tab w:val="left" w:pos="926"/>
              </w:tabs>
              <w:spacing w:before="0" w:line="240" w:lineRule="auto"/>
              <w:ind w:right="130" w:rightChars="59"/>
              <w:jc w:val="both"/>
              <w:rPr>
                <w:rStyle w:val="21"/>
                <w:rFonts w:hint="eastAsia"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1）投标人具备有效的营业执照、组织机构代码证（如有）、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pPr>
              <w:pStyle w:val="19"/>
              <w:shd w:val="clear" w:color="auto" w:fill="auto"/>
              <w:tabs>
                <w:tab w:val="left" w:pos="926"/>
              </w:tabs>
              <w:spacing w:before="0" w:line="240" w:lineRule="auto"/>
              <w:ind w:right="130" w:rightChars="59"/>
              <w:jc w:val="both"/>
              <w:rPr>
                <w:rStyle w:val="21"/>
                <w:rFonts w:hint="eastAsia"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（2）投标人的资质等级符合招标文件规定；</w:t>
            </w:r>
          </w:p>
          <w:p>
            <w:pPr>
              <w:pStyle w:val="19"/>
              <w:shd w:val="clear" w:color="auto" w:fill="auto"/>
              <w:tabs>
                <w:tab w:val="left" w:pos="926"/>
              </w:tabs>
              <w:spacing w:before="0" w:line="240" w:lineRule="auto"/>
              <w:ind w:right="130" w:rightChars="59"/>
              <w:jc w:val="both"/>
              <w:rPr>
                <w:rStyle w:val="21"/>
                <w:rFonts w:hint="eastAsia" w:ascii="宋体" w:hAnsi="宋体" w:eastAsia="宋体"/>
                <w:strike/>
                <w:color w:val="auto"/>
                <w:kern w:val="2"/>
                <w:sz w:val="21"/>
                <w:szCs w:val="21"/>
                <w:highlight w:val="none"/>
                <w:lang w:val="zh-CN"/>
              </w:rPr>
            </w:pPr>
            <w:r>
              <w:rPr>
                <w:rStyle w:val="21"/>
                <w:rFonts w:hint="eastAsia" w:ascii="宋体" w:hAnsi="宋体" w:eastAsia="宋体"/>
                <w:strike/>
                <w:color w:val="auto"/>
                <w:kern w:val="2"/>
                <w:sz w:val="21"/>
                <w:szCs w:val="21"/>
                <w:highlight w:val="none"/>
                <w:lang w:val="zh-CN"/>
              </w:rPr>
              <w:t>（3）投标人的财务状况符合招标文件规定；</w:t>
            </w:r>
          </w:p>
          <w:p>
            <w:pPr>
              <w:pStyle w:val="19"/>
              <w:shd w:val="clear" w:color="auto" w:fill="auto"/>
              <w:tabs>
                <w:tab w:val="left" w:pos="926"/>
              </w:tabs>
              <w:spacing w:before="0" w:line="240" w:lineRule="auto"/>
              <w:ind w:right="130" w:rightChars="59"/>
              <w:jc w:val="both"/>
              <w:rPr>
                <w:rStyle w:val="21"/>
                <w:rFonts w:hint="eastAsia" w:ascii="宋体" w:hAnsi="宋体" w:eastAsia="宋体"/>
                <w:strike/>
                <w:color w:val="auto"/>
                <w:kern w:val="2"/>
                <w:sz w:val="21"/>
                <w:szCs w:val="21"/>
                <w:highlight w:val="none"/>
                <w:lang w:val="zh-CN"/>
              </w:rPr>
            </w:pPr>
            <w:r>
              <w:rPr>
                <w:rStyle w:val="21"/>
                <w:rFonts w:hint="eastAsia" w:ascii="宋体" w:hAnsi="宋体" w:eastAsia="宋体"/>
                <w:strike/>
                <w:color w:val="auto"/>
                <w:kern w:val="2"/>
                <w:sz w:val="21"/>
                <w:szCs w:val="21"/>
                <w:highlight w:val="none"/>
                <w:lang w:val="zh-CN"/>
              </w:rPr>
              <w:t>（4）投标人的类似项目业绩符合招标文件规定；</w:t>
            </w:r>
          </w:p>
          <w:p>
            <w:pPr>
              <w:pStyle w:val="19"/>
              <w:shd w:val="clear" w:color="auto" w:fill="auto"/>
              <w:tabs>
                <w:tab w:val="left" w:pos="926"/>
              </w:tabs>
              <w:spacing w:before="0" w:line="240" w:lineRule="auto"/>
              <w:ind w:right="130" w:rightChars="59"/>
              <w:jc w:val="both"/>
              <w:rPr>
                <w:rStyle w:val="21"/>
                <w:rFonts w:hint="eastAsia"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（5）投标人的信誉符合招标文件规定；</w:t>
            </w:r>
          </w:p>
          <w:p>
            <w:pPr>
              <w:pStyle w:val="19"/>
              <w:shd w:val="clear" w:color="auto" w:fill="auto"/>
              <w:tabs>
                <w:tab w:val="left" w:pos="926"/>
              </w:tabs>
              <w:spacing w:before="0" w:line="240" w:lineRule="auto"/>
              <w:ind w:right="130" w:rightChars="59"/>
              <w:jc w:val="both"/>
              <w:rPr>
                <w:rStyle w:val="21"/>
                <w:rFonts w:hint="eastAsia"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（6）投标人的项目负责人和项目技术负责人资格、在岗情况符合招标文件规定，并按规定在投标文件中签字确认；</w:t>
            </w:r>
          </w:p>
          <w:p>
            <w:pPr>
              <w:pStyle w:val="19"/>
              <w:shd w:val="clear" w:color="auto" w:fill="auto"/>
              <w:tabs>
                <w:tab w:val="left" w:pos="926"/>
              </w:tabs>
              <w:spacing w:before="0" w:line="240" w:lineRule="auto"/>
              <w:ind w:right="130" w:rightChars="59"/>
              <w:jc w:val="both"/>
              <w:rPr>
                <w:rStyle w:val="21"/>
                <w:rFonts w:hint="eastAsia"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（7）投标人的其他要求符合招标文件规定；</w:t>
            </w:r>
          </w:p>
          <w:p>
            <w:pPr>
              <w:pStyle w:val="19"/>
              <w:shd w:val="clear" w:color="auto" w:fill="auto"/>
              <w:tabs>
                <w:tab w:val="left" w:pos="926"/>
              </w:tabs>
              <w:spacing w:before="0" w:line="240" w:lineRule="auto"/>
              <w:ind w:right="130" w:rightChars="59"/>
              <w:jc w:val="both"/>
              <w:rPr>
                <w:rStyle w:val="21"/>
                <w:rFonts w:ascii="宋体" w:hAnsi="宋体" w:eastAsia="宋体"/>
                <w:color w:val="auto"/>
                <w:kern w:val="2"/>
                <w:sz w:val="21"/>
                <w:szCs w:val="21"/>
                <w:highlight w:val="none"/>
                <w:lang w:val="zh-CN"/>
              </w:rPr>
            </w:pPr>
            <w:r>
              <w:rPr>
                <w:rStyle w:val="21"/>
                <w:rFonts w:hint="eastAsia" w:ascii="宋体" w:hAnsi="宋体" w:eastAsia="宋体"/>
                <w:color w:val="auto"/>
                <w:kern w:val="2"/>
                <w:sz w:val="21"/>
                <w:szCs w:val="21"/>
                <w:highlight w:val="none"/>
                <w:lang w:val="zh-CN"/>
              </w:rPr>
              <w:t>（8）投标人不存在第二章“投标人须知”第1.4.3项或第1.4.4项规定的任何一种情形。</w:t>
            </w:r>
          </w:p>
        </w:tc>
      </w:tr>
    </w:tbl>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tbl>
      <w:tblPr>
        <w:tblStyle w:val="9"/>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112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2093" w:type="dxa"/>
            <w:gridSpan w:val="2"/>
            <w:vAlign w:val="center"/>
          </w:tcPr>
          <w:p>
            <w:pPr>
              <w:spacing w:line="360" w:lineRule="auto"/>
              <w:jc w:val="center"/>
              <w:rPr>
                <w:rStyle w:val="28"/>
                <w:rFonts w:ascii="宋体" w:hAnsi="宋体" w:eastAsia="宋体"/>
                <w:color w:val="auto"/>
                <w:spacing w:val="0"/>
                <w:kern w:val="2"/>
                <w:highlight w:val="none"/>
                <w:shd w:val="clear" w:color="auto" w:fill="auto"/>
              </w:rPr>
            </w:pPr>
            <w:r>
              <w:rPr>
                <w:rStyle w:val="27"/>
                <w:rFonts w:hint="eastAsia" w:ascii="宋体" w:hAnsi="宋体" w:eastAsia="宋体"/>
                <w:color w:val="auto"/>
                <w:highlight w:val="none"/>
                <w:u w:val="none"/>
              </w:rPr>
              <w:t>条款号</w:t>
            </w:r>
          </w:p>
        </w:tc>
        <w:tc>
          <w:tcPr>
            <w:tcW w:w="7087" w:type="dxa"/>
            <w:vAlign w:val="center"/>
          </w:tcPr>
          <w:p>
            <w:pPr>
              <w:spacing w:line="360" w:lineRule="auto"/>
              <w:jc w:val="center"/>
              <w:rPr>
                <w:rStyle w:val="28"/>
                <w:rFonts w:ascii="宋体" w:hAnsi="宋体" w:eastAsia="宋体"/>
                <w:color w:val="auto"/>
                <w:spacing w:val="20"/>
                <w:kern w:val="0"/>
                <w:highlight w:val="none"/>
                <w:shd w:val="clear" w:color="auto" w:fill="FFFFFF"/>
              </w:rPr>
            </w:pPr>
            <w:r>
              <w:rPr>
                <w:rStyle w:val="27"/>
                <w:rFonts w:hint="eastAsia" w:ascii="宋体" w:hAnsi="宋体" w:eastAsia="宋体"/>
                <w:color w:val="auto"/>
                <w:highlight w:val="none"/>
                <w:u w:val="none"/>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72" w:type="dxa"/>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25"/>
                <w:rFonts w:ascii="宋体" w:hAnsi="宋体" w:eastAsia="宋体"/>
                <w:b w:val="0"/>
                <w:color w:val="auto"/>
                <w:kern w:val="2"/>
                <w:highlight w:val="none"/>
                <w:lang w:val="zh-CN"/>
              </w:rPr>
              <w:t>2.2.1</w:t>
            </w:r>
          </w:p>
        </w:tc>
        <w:tc>
          <w:tcPr>
            <w:tcW w:w="1121" w:type="dxa"/>
            <w:vAlign w:val="center"/>
          </w:tcPr>
          <w:p>
            <w:pPr>
              <w:pStyle w:val="19"/>
              <w:shd w:val="clear" w:color="auto" w:fill="auto"/>
              <w:spacing w:before="0" w:line="360" w:lineRule="auto"/>
              <w:jc w:val="both"/>
              <w:rPr>
                <w:rFonts w:ascii="宋体" w:hAnsi="宋体" w:eastAsia="宋体" w:cs="MingLiU"/>
                <w:color w:val="auto"/>
                <w:kern w:val="2"/>
                <w:sz w:val="20"/>
                <w:highlight w:val="none"/>
              </w:rPr>
            </w:pPr>
            <w:r>
              <w:rPr>
                <w:rStyle w:val="20"/>
                <w:rFonts w:hint="eastAsia" w:ascii="宋体" w:hAnsi="宋体" w:eastAsia="宋体"/>
                <w:color w:val="auto"/>
                <w:kern w:val="2"/>
                <w:sz w:val="20"/>
                <w:szCs w:val="20"/>
                <w:highlight w:val="none"/>
                <w:lang w:val="zh-CN"/>
              </w:rPr>
              <w:t>分值构成</w:t>
            </w:r>
            <w:r>
              <w:rPr>
                <w:rStyle w:val="20"/>
                <w:rFonts w:ascii="宋体" w:hAnsi="宋体" w:eastAsia="宋体"/>
                <w:color w:val="auto"/>
                <w:kern w:val="2"/>
                <w:sz w:val="20"/>
                <w:szCs w:val="20"/>
                <w:highlight w:val="none"/>
                <w:lang w:val="zh-CN"/>
              </w:rPr>
              <w:t xml:space="preserve"> (</w:t>
            </w:r>
            <w:r>
              <w:rPr>
                <w:rStyle w:val="20"/>
                <w:rFonts w:hint="eastAsia" w:ascii="宋体" w:hAnsi="宋体" w:eastAsia="宋体"/>
                <w:color w:val="auto"/>
                <w:kern w:val="2"/>
                <w:sz w:val="20"/>
                <w:szCs w:val="20"/>
                <w:highlight w:val="none"/>
                <w:lang w:val="zh-CN"/>
              </w:rPr>
              <w:t>总分</w:t>
            </w:r>
            <w:r>
              <w:rPr>
                <w:rStyle w:val="25"/>
                <w:rFonts w:ascii="宋体" w:hAnsi="宋体" w:eastAsia="宋体"/>
                <w:b w:val="0"/>
                <w:color w:val="auto"/>
                <w:kern w:val="2"/>
                <w:highlight w:val="none"/>
                <w:lang w:val="zh-CN"/>
              </w:rPr>
              <w:t>100</w:t>
            </w:r>
          </w:p>
          <w:p>
            <w:pPr>
              <w:pStyle w:val="19"/>
              <w:shd w:val="clear" w:color="auto" w:fill="auto"/>
              <w:spacing w:before="0" w:line="360" w:lineRule="auto"/>
              <w:jc w:val="both"/>
              <w:rPr>
                <w:rStyle w:val="20"/>
                <w:rFonts w:ascii="宋体" w:hAnsi="宋体" w:eastAsia="宋体"/>
                <w:color w:val="auto"/>
                <w:kern w:val="2"/>
                <w:sz w:val="20"/>
                <w:szCs w:val="20"/>
                <w:highlight w:val="none"/>
                <w:lang w:val="zh-CN"/>
              </w:rPr>
            </w:pPr>
            <w:r>
              <w:rPr>
                <w:rStyle w:val="20"/>
                <w:rFonts w:hint="eastAsia" w:ascii="宋体" w:hAnsi="宋体" w:eastAsia="宋体"/>
                <w:color w:val="auto"/>
                <w:kern w:val="2"/>
                <w:sz w:val="20"/>
                <w:szCs w:val="20"/>
                <w:highlight w:val="none"/>
                <w:lang w:val="zh-CN"/>
              </w:rPr>
              <w:t>分）</w:t>
            </w:r>
          </w:p>
          <w:p>
            <w:pPr>
              <w:pStyle w:val="19"/>
              <w:shd w:val="clear" w:color="auto" w:fill="auto"/>
              <w:spacing w:before="0" w:line="360" w:lineRule="auto"/>
              <w:jc w:val="both"/>
              <w:rPr>
                <w:rFonts w:ascii="宋体" w:hAnsi="宋体" w:eastAsia="宋体" w:cs="MingLiU"/>
                <w:color w:val="auto"/>
                <w:kern w:val="2"/>
                <w:sz w:val="20"/>
                <w:highlight w:val="none"/>
              </w:rPr>
            </w:pPr>
          </w:p>
        </w:tc>
        <w:tc>
          <w:tcPr>
            <w:tcW w:w="7087" w:type="dxa"/>
            <w:vAlign w:val="center"/>
          </w:tcPr>
          <w:p>
            <w:pPr>
              <w:pStyle w:val="19"/>
              <w:shd w:val="clear" w:color="auto" w:fill="auto"/>
              <w:wordWrap w:val="0"/>
              <w:topLinePunct/>
              <w:autoSpaceDE/>
              <w:autoSpaceDN/>
              <w:spacing w:before="0" w:line="360" w:lineRule="auto"/>
              <w:jc w:val="both"/>
              <w:rPr>
                <w:rStyle w:val="25"/>
                <w:rFonts w:ascii="宋体" w:hAnsi="宋体" w:eastAsia="宋体"/>
                <w:b w:val="0"/>
                <w:color w:val="auto"/>
                <w:kern w:val="2"/>
                <w:highlight w:val="none"/>
                <w:lang w:val="zh-CN"/>
              </w:rPr>
            </w:pPr>
            <w:r>
              <w:rPr>
                <w:rStyle w:val="25"/>
                <w:rFonts w:ascii="宋体" w:hAnsi="宋体" w:eastAsia="宋体"/>
                <w:b w:val="0"/>
                <w:color w:val="auto"/>
                <w:kern w:val="2"/>
                <w:sz w:val="21"/>
                <w:szCs w:val="21"/>
                <w:highlight w:val="none"/>
              </w:rPr>
              <w:t>第一个信封（商务及技术文件）评分分值构成：</w:t>
            </w:r>
            <w:r>
              <w:rPr>
                <w:rStyle w:val="25"/>
                <w:rFonts w:ascii="宋体" w:hAnsi="宋体" w:eastAsia="宋体"/>
                <w:color w:val="auto"/>
                <w:kern w:val="2"/>
                <w:sz w:val="21"/>
                <w:szCs w:val="21"/>
                <w:highlight w:val="none"/>
              </w:rPr>
              <w:t xml:space="preserve"> </w:t>
            </w:r>
            <w:r>
              <w:rPr>
                <w:rStyle w:val="25"/>
                <w:rFonts w:ascii="宋体" w:hAnsi="宋体" w:eastAsia="宋体"/>
                <w:color w:val="auto"/>
                <w:kern w:val="2"/>
                <w:highlight w:val="none"/>
                <w:lang w:val="zh-CN"/>
              </w:rPr>
              <w:t xml:space="preserve">                 </w:t>
            </w:r>
          </w:p>
          <w:p>
            <w:pPr>
              <w:pStyle w:val="19"/>
              <w:shd w:val="clear" w:color="auto" w:fill="auto"/>
              <w:wordWrap w:val="0"/>
              <w:topLinePunct/>
              <w:autoSpaceDE/>
              <w:autoSpaceDN/>
              <w:spacing w:before="0" w:line="360" w:lineRule="auto"/>
              <w:jc w:val="both"/>
              <w:rPr>
                <w:rFonts w:ascii="宋体" w:hAnsi="宋体" w:eastAsia="宋体" w:cs="MingLiU"/>
                <w:color w:val="auto"/>
                <w:kern w:val="2"/>
                <w:sz w:val="21"/>
                <w:szCs w:val="21"/>
                <w:highlight w:val="none"/>
              </w:rPr>
            </w:pPr>
            <w:r>
              <w:rPr>
                <w:rFonts w:ascii="宋体" w:hAnsi="宋体" w:eastAsia="宋体" w:cs="MingLiU"/>
                <w:color w:val="auto"/>
                <w:kern w:val="2"/>
                <w:sz w:val="21"/>
                <w:szCs w:val="21"/>
                <w:highlight w:val="none"/>
              </w:rPr>
              <w:t>施工组织设计：</w:t>
            </w:r>
            <w:r>
              <w:rPr>
                <w:rFonts w:hint="eastAsia" w:ascii="宋体" w:hAnsi="宋体" w:eastAsia="宋体" w:cs="MingLiU"/>
                <w:color w:val="auto"/>
                <w:spacing w:val="0"/>
                <w:kern w:val="2"/>
                <w:sz w:val="21"/>
                <w:szCs w:val="21"/>
                <w:highlight w:val="none"/>
                <w:u w:val="single"/>
                <w:lang w:val="en-US" w:eastAsia="zh-CN"/>
              </w:rPr>
              <w:t>6</w:t>
            </w:r>
            <w:r>
              <w:rPr>
                <w:rFonts w:hint="eastAsia" w:ascii="宋体" w:hAnsi="宋体" w:eastAsia="宋体" w:cs="MingLiU"/>
                <w:color w:val="auto"/>
                <w:spacing w:val="0"/>
                <w:kern w:val="2"/>
                <w:sz w:val="21"/>
                <w:szCs w:val="21"/>
                <w:highlight w:val="none"/>
              </w:rPr>
              <w:t>分</w:t>
            </w:r>
            <w:r>
              <w:rPr>
                <w:rFonts w:ascii="宋体" w:hAnsi="宋体" w:eastAsia="宋体" w:cs="MingLiU"/>
                <w:color w:val="auto"/>
                <w:spacing w:val="0"/>
                <w:kern w:val="2"/>
                <w:sz w:val="21"/>
                <w:szCs w:val="21"/>
                <w:highlight w:val="none"/>
              </w:rPr>
              <w:t xml:space="preserve">         </w:t>
            </w:r>
          </w:p>
          <w:p>
            <w:pPr>
              <w:wordWrap w:val="0"/>
              <w:topLinePunct/>
              <w:autoSpaceDE/>
              <w:autoSpaceDN/>
              <w:spacing w:line="360" w:lineRule="auto"/>
              <w:rPr>
                <w:rFonts w:ascii="宋体" w:hAnsi="宋体"/>
                <w:color w:val="auto"/>
                <w:szCs w:val="21"/>
                <w:highlight w:val="none"/>
              </w:rPr>
            </w:pPr>
            <w:r>
              <w:rPr>
                <w:rFonts w:hint="eastAsia" w:ascii="宋体" w:hAnsi="宋体"/>
                <w:color w:val="auto"/>
                <w:szCs w:val="21"/>
                <w:highlight w:val="none"/>
              </w:rPr>
              <w:t>项目管理机构</w:t>
            </w:r>
            <w:r>
              <w:rPr>
                <w:rFonts w:ascii="宋体" w:hAnsi="宋体"/>
                <w:color w:val="auto"/>
                <w:szCs w:val="21"/>
                <w:highlight w:val="none"/>
              </w:rPr>
              <w:t>：</w:t>
            </w:r>
            <w:r>
              <w:rPr>
                <w:rFonts w:ascii="宋体" w:hAnsi="宋体"/>
                <w:color w:val="auto"/>
                <w:szCs w:val="21"/>
                <w:highlight w:val="none"/>
                <w:u w:val="single"/>
              </w:rPr>
              <w:t>1</w:t>
            </w:r>
            <w:r>
              <w:rPr>
                <w:rFonts w:hint="eastAsia" w:ascii="宋体" w:hAnsi="宋体"/>
                <w:color w:val="auto"/>
                <w:szCs w:val="21"/>
                <w:highlight w:val="none"/>
              </w:rPr>
              <w:t>分</w:t>
            </w:r>
            <w:r>
              <w:rPr>
                <w:rFonts w:ascii="宋体" w:hAnsi="宋体"/>
                <w:color w:val="auto"/>
                <w:szCs w:val="21"/>
                <w:highlight w:val="none"/>
              </w:rPr>
              <w:t xml:space="preserve">            </w:t>
            </w:r>
          </w:p>
          <w:p>
            <w:pPr>
              <w:pStyle w:val="19"/>
              <w:shd w:val="clear" w:color="auto" w:fill="auto"/>
              <w:wordWrap w:val="0"/>
              <w:topLinePunct/>
              <w:autoSpaceDE/>
              <w:autoSpaceDN/>
              <w:spacing w:before="0" w:line="360" w:lineRule="auto"/>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其他因素</w:t>
            </w:r>
            <w:r>
              <w:rPr>
                <w:rFonts w:ascii="宋体" w:hAnsi="宋体" w:eastAsia="宋体" w:cs="MingLiU"/>
                <w:color w:val="auto"/>
                <w:spacing w:val="0"/>
                <w:kern w:val="2"/>
                <w:sz w:val="21"/>
                <w:szCs w:val="21"/>
                <w:highlight w:val="none"/>
              </w:rPr>
              <w:t>：</w:t>
            </w:r>
            <w:r>
              <w:rPr>
                <w:rFonts w:hint="eastAsia" w:ascii="宋体" w:hAnsi="宋体" w:eastAsia="宋体" w:cs="MingLiU"/>
                <w:color w:val="auto"/>
                <w:spacing w:val="0"/>
                <w:kern w:val="2"/>
                <w:sz w:val="21"/>
                <w:szCs w:val="21"/>
                <w:highlight w:val="none"/>
                <w:u w:val="single"/>
                <w:lang w:val="en-US" w:eastAsia="zh-CN"/>
              </w:rPr>
              <w:t>13</w:t>
            </w:r>
            <w:r>
              <w:rPr>
                <w:rFonts w:hint="eastAsia" w:ascii="宋体" w:hAnsi="宋体" w:eastAsia="宋体" w:cs="MingLiU"/>
                <w:color w:val="auto"/>
                <w:spacing w:val="0"/>
                <w:kern w:val="2"/>
                <w:sz w:val="21"/>
                <w:szCs w:val="21"/>
                <w:highlight w:val="none"/>
              </w:rPr>
              <w:t>分，其中：</w:t>
            </w:r>
            <w:r>
              <w:rPr>
                <w:rFonts w:ascii="宋体" w:hAnsi="宋体" w:eastAsia="宋体" w:cs="MingLiU"/>
                <w:color w:val="auto"/>
                <w:spacing w:val="0"/>
                <w:kern w:val="2"/>
                <w:sz w:val="21"/>
                <w:szCs w:val="21"/>
                <w:highlight w:val="none"/>
              </w:rPr>
              <w:t xml:space="preserve">           </w:t>
            </w:r>
          </w:p>
          <w:p>
            <w:pPr>
              <w:pStyle w:val="19"/>
              <w:shd w:val="clear" w:color="auto" w:fill="auto"/>
              <w:wordWrap w:val="0"/>
              <w:topLinePunct/>
              <w:autoSpaceDE/>
              <w:autoSpaceDN/>
              <w:spacing w:before="0" w:line="360" w:lineRule="auto"/>
              <w:ind w:firstLine="420" w:firstLineChars="200"/>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工程业绩</w:t>
            </w:r>
            <w:r>
              <w:rPr>
                <w:rFonts w:hint="eastAsia" w:ascii="宋体" w:hAnsi="宋体" w:eastAsia="宋体" w:cs="MingLiU"/>
                <w:color w:val="auto"/>
                <w:spacing w:val="0"/>
                <w:kern w:val="2"/>
                <w:sz w:val="21"/>
                <w:szCs w:val="21"/>
                <w:highlight w:val="none"/>
                <w:u w:val="none"/>
              </w:rPr>
              <w:t>：</w:t>
            </w:r>
            <w:r>
              <w:rPr>
                <w:rFonts w:hint="eastAsia" w:ascii="宋体" w:hAnsi="宋体" w:eastAsia="宋体"/>
                <w:color w:val="auto"/>
                <w:kern w:val="2"/>
                <w:sz w:val="21"/>
                <w:szCs w:val="21"/>
                <w:highlight w:val="none"/>
                <w:u w:val="single"/>
                <w:lang w:val="en-US" w:eastAsia="zh-CN"/>
              </w:rPr>
              <w:t>1</w:t>
            </w:r>
            <w:r>
              <w:rPr>
                <w:rFonts w:hint="eastAsia" w:ascii="宋体" w:hAnsi="宋体"/>
                <w:color w:val="auto"/>
                <w:kern w:val="2"/>
                <w:sz w:val="21"/>
                <w:szCs w:val="21"/>
                <w:highlight w:val="none"/>
              </w:rPr>
              <w:t>分</w:t>
            </w:r>
          </w:p>
          <w:p>
            <w:pPr>
              <w:pStyle w:val="19"/>
              <w:shd w:val="clear" w:color="auto" w:fill="auto"/>
              <w:wordWrap w:val="0"/>
              <w:topLinePunct/>
              <w:autoSpaceDE/>
              <w:autoSpaceDN/>
              <w:spacing w:before="0" w:line="360" w:lineRule="auto"/>
              <w:ind w:firstLine="420" w:firstLineChars="200"/>
              <w:jc w:val="both"/>
              <w:rPr>
                <w:rFonts w:ascii="宋体" w:hAnsi="宋体" w:eastAsia="宋体" w:cs="MingLiU"/>
                <w:color w:val="auto"/>
                <w:spacing w:val="0"/>
                <w:kern w:val="2"/>
                <w:sz w:val="21"/>
                <w:szCs w:val="21"/>
                <w:highlight w:val="none"/>
              </w:rPr>
            </w:pPr>
            <w:r>
              <w:rPr>
                <w:rFonts w:hint="eastAsia" w:ascii="宋体" w:hAnsi="宋体" w:eastAsia="宋体" w:cs="MingLiU"/>
                <w:color w:val="auto"/>
                <w:spacing w:val="0"/>
                <w:kern w:val="2"/>
                <w:sz w:val="21"/>
                <w:szCs w:val="21"/>
                <w:highlight w:val="none"/>
              </w:rPr>
              <w:t>企业综合实力：</w:t>
            </w:r>
            <w:r>
              <w:rPr>
                <w:rFonts w:hint="eastAsia" w:ascii="宋体" w:hAnsi="宋体" w:eastAsia="宋体" w:cs="MingLiU"/>
                <w:color w:val="auto"/>
                <w:spacing w:val="0"/>
                <w:kern w:val="2"/>
                <w:sz w:val="21"/>
                <w:szCs w:val="21"/>
                <w:highlight w:val="none"/>
                <w:u w:val="single"/>
                <w:lang w:val="en-US" w:eastAsia="zh-CN"/>
              </w:rPr>
              <w:t>1</w:t>
            </w:r>
            <w:r>
              <w:rPr>
                <w:rFonts w:hint="eastAsia" w:ascii="宋体" w:hAnsi="宋体" w:eastAsia="宋体" w:cs="MingLiU"/>
                <w:color w:val="auto"/>
                <w:spacing w:val="0"/>
                <w:kern w:val="2"/>
                <w:sz w:val="21"/>
                <w:szCs w:val="21"/>
                <w:highlight w:val="none"/>
              </w:rPr>
              <w:t>分</w:t>
            </w:r>
          </w:p>
          <w:p>
            <w:pPr>
              <w:pStyle w:val="19"/>
              <w:shd w:val="clear" w:color="auto" w:fill="auto"/>
              <w:wordWrap w:val="0"/>
              <w:topLinePunct/>
              <w:autoSpaceDE/>
              <w:autoSpaceDN/>
              <w:spacing w:before="0" w:line="360" w:lineRule="auto"/>
              <w:ind w:firstLine="420" w:firstLineChars="200"/>
              <w:jc w:val="both"/>
              <w:rPr>
                <w:rFonts w:ascii="宋体" w:hAnsi="宋体"/>
                <w:color w:val="auto"/>
                <w:kern w:val="2"/>
                <w:sz w:val="21"/>
                <w:szCs w:val="21"/>
                <w:highlight w:val="none"/>
              </w:rPr>
            </w:pPr>
            <w:r>
              <w:rPr>
                <w:rFonts w:hint="eastAsia" w:ascii="宋体" w:hAnsi="宋体" w:eastAsia="宋体" w:cs="MingLiU"/>
                <w:color w:val="auto"/>
                <w:spacing w:val="0"/>
                <w:kern w:val="2"/>
                <w:sz w:val="21"/>
                <w:szCs w:val="21"/>
                <w:highlight w:val="none"/>
              </w:rPr>
              <w:t>机械设备：</w:t>
            </w:r>
            <w:r>
              <w:rPr>
                <w:rFonts w:hint="eastAsia" w:ascii="宋体" w:hAnsi="宋体" w:eastAsia="宋体"/>
                <w:color w:val="auto"/>
                <w:kern w:val="2"/>
                <w:sz w:val="21"/>
                <w:szCs w:val="21"/>
                <w:highlight w:val="none"/>
                <w:u w:val="single"/>
                <w:lang w:val="en-US" w:eastAsia="zh-CN"/>
              </w:rPr>
              <w:t>1</w:t>
            </w:r>
            <w:r>
              <w:rPr>
                <w:rFonts w:hint="eastAsia" w:ascii="宋体" w:hAnsi="宋体"/>
                <w:color w:val="auto"/>
                <w:kern w:val="2"/>
                <w:sz w:val="21"/>
                <w:szCs w:val="21"/>
                <w:highlight w:val="none"/>
              </w:rPr>
              <w:t>分</w:t>
            </w:r>
          </w:p>
          <w:p>
            <w:pPr>
              <w:pStyle w:val="19"/>
              <w:shd w:val="clear" w:color="auto" w:fill="auto"/>
              <w:wordWrap w:val="0"/>
              <w:topLinePunct/>
              <w:autoSpaceDE/>
              <w:autoSpaceDN/>
              <w:spacing w:before="0" w:line="360" w:lineRule="auto"/>
              <w:ind w:firstLine="401" w:firstLineChars="191"/>
              <w:jc w:val="both"/>
              <w:rPr>
                <w:rFonts w:hint="eastAsia" w:ascii="宋体" w:hAnsi="宋体" w:eastAsia="宋体" w:cs="MingLiU"/>
                <w:color w:val="auto"/>
                <w:spacing w:val="0"/>
                <w:kern w:val="2"/>
                <w:sz w:val="21"/>
                <w:szCs w:val="21"/>
                <w:highlight w:val="none"/>
              </w:rPr>
            </w:pPr>
            <w:r>
              <w:rPr>
                <w:rFonts w:ascii="宋体" w:hAnsi="宋体" w:eastAsia="宋体" w:cs="MingLiU"/>
                <w:color w:val="auto"/>
                <w:spacing w:val="0"/>
                <w:kern w:val="2"/>
                <w:sz w:val="21"/>
                <w:szCs w:val="21"/>
                <w:highlight w:val="none"/>
              </w:rPr>
              <w:t>履约信誉</w:t>
            </w:r>
            <w:r>
              <w:rPr>
                <w:rFonts w:hint="eastAsia" w:ascii="宋体" w:hAnsi="宋体" w:eastAsia="宋体" w:cs="MingLiU"/>
                <w:color w:val="auto"/>
                <w:spacing w:val="0"/>
                <w:kern w:val="2"/>
                <w:sz w:val="21"/>
                <w:szCs w:val="21"/>
                <w:highlight w:val="none"/>
              </w:rPr>
              <w:t>：</w:t>
            </w:r>
            <w:r>
              <w:rPr>
                <w:rFonts w:ascii="宋体" w:hAnsi="宋体" w:eastAsia="宋体" w:cs="MingLiU"/>
                <w:color w:val="auto"/>
                <w:spacing w:val="0"/>
                <w:kern w:val="2"/>
                <w:sz w:val="21"/>
                <w:szCs w:val="21"/>
                <w:highlight w:val="none"/>
                <w:u w:val="single"/>
              </w:rPr>
              <w:t>10</w:t>
            </w:r>
            <w:r>
              <w:rPr>
                <w:rFonts w:hint="eastAsia" w:ascii="宋体" w:hAnsi="宋体" w:eastAsia="宋体" w:cs="MingLiU"/>
                <w:color w:val="auto"/>
                <w:spacing w:val="0"/>
                <w:kern w:val="2"/>
                <w:sz w:val="21"/>
                <w:szCs w:val="21"/>
                <w:highlight w:val="none"/>
              </w:rPr>
              <w:t>分</w:t>
            </w:r>
          </w:p>
          <w:p>
            <w:pPr>
              <w:pStyle w:val="19"/>
              <w:shd w:val="clear" w:color="auto" w:fill="auto"/>
              <w:wordWrap w:val="0"/>
              <w:topLinePunct/>
              <w:autoSpaceDE/>
              <w:autoSpaceDN/>
              <w:spacing w:before="0" w:line="360" w:lineRule="auto"/>
              <w:jc w:val="both"/>
              <w:rPr>
                <w:rFonts w:ascii="宋体" w:hAnsi="宋体" w:eastAsia="宋体" w:cs="MingLiU"/>
                <w:b/>
                <w:color w:val="auto"/>
                <w:kern w:val="2"/>
                <w:sz w:val="21"/>
                <w:szCs w:val="21"/>
                <w:highlight w:val="none"/>
              </w:rPr>
            </w:pPr>
            <w:r>
              <w:rPr>
                <w:rFonts w:ascii="宋体" w:hAnsi="宋体" w:eastAsia="宋体" w:cs="MingLiU"/>
                <w:b/>
                <w:color w:val="auto"/>
                <w:kern w:val="2"/>
                <w:sz w:val="21"/>
                <w:szCs w:val="21"/>
                <w:highlight w:val="none"/>
              </w:rPr>
              <w:t>第二个信封（报价文件）评分分值构成：</w:t>
            </w:r>
          </w:p>
          <w:p>
            <w:pPr>
              <w:spacing w:line="360" w:lineRule="auto"/>
              <w:rPr>
                <w:rFonts w:ascii="宋体" w:hAnsi="宋体" w:cs="MingLiU"/>
                <w:color w:val="auto"/>
                <w:sz w:val="20"/>
                <w:szCs w:val="20"/>
                <w:highlight w:val="none"/>
              </w:rPr>
            </w:pPr>
            <w:r>
              <w:rPr>
                <w:rFonts w:hint="eastAsia" w:ascii="宋体" w:hAnsi="宋体"/>
                <w:color w:val="auto"/>
                <w:szCs w:val="21"/>
                <w:highlight w:val="none"/>
              </w:rPr>
              <w:t>投</w:t>
            </w:r>
            <w:r>
              <w:rPr>
                <w:rFonts w:ascii="宋体" w:hAnsi="宋体"/>
                <w:color w:val="auto"/>
                <w:szCs w:val="21"/>
                <w:highlight w:val="none"/>
              </w:rPr>
              <w:t xml:space="preserve"> </w:t>
            </w:r>
            <w:r>
              <w:rPr>
                <w:rFonts w:hint="eastAsia" w:ascii="宋体" w:hAnsi="宋体"/>
                <w:color w:val="auto"/>
                <w:szCs w:val="21"/>
                <w:highlight w:val="none"/>
              </w:rPr>
              <w:t>标</w:t>
            </w:r>
            <w:r>
              <w:rPr>
                <w:rFonts w:ascii="宋体" w:hAnsi="宋体"/>
                <w:color w:val="auto"/>
                <w:szCs w:val="21"/>
                <w:highlight w:val="none"/>
              </w:rPr>
              <w:t xml:space="preserve"> </w:t>
            </w:r>
            <w:r>
              <w:rPr>
                <w:rFonts w:hint="eastAsia" w:ascii="宋体" w:hAnsi="宋体"/>
                <w:color w:val="auto"/>
                <w:szCs w:val="21"/>
                <w:highlight w:val="none"/>
              </w:rPr>
              <w:t>报</w:t>
            </w:r>
            <w:r>
              <w:rPr>
                <w:rFonts w:ascii="宋体" w:hAnsi="宋体"/>
                <w:color w:val="auto"/>
                <w:szCs w:val="21"/>
                <w:highlight w:val="none"/>
              </w:rPr>
              <w:t xml:space="preserve"> </w:t>
            </w:r>
            <w:r>
              <w:rPr>
                <w:rFonts w:hint="eastAsia" w:ascii="宋体" w:hAnsi="宋体"/>
                <w:color w:val="auto"/>
                <w:szCs w:val="21"/>
                <w:highlight w:val="none"/>
              </w:rPr>
              <w:t>价：</w:t>
            </w:r>
            <w:r>
              <w:rPr>
                <w:rFonts w:hint="eastAsia" w:ascii="宋体" w:hAnsi="宋体"/>
                <w:color w:val="auto"/>
                <w:szCs w:val="21"/>
                <w:highlight w:val="none"/>
                <w:u w:val="single"/>
                <w:lang w:val="en-US" w:eastAsia="zh-CN"/>
              </w:rPr>
              <w:t>80</w:t>
            </w:r>
            <w:r>
              <w:rPr>
                <w:rFonts w:hint="eastAsia" w:ascii="宋体" w:hAnsi="宋体"/>
                <w:color w:val="auto"/>
                <w:szCs w:val="21"/>
                <w:highlight w:val="none"/>
              </w:rPr>
              <w:t>分</w:t>
            </w:r>
            <w:r>
              <w:rPr>
                <w:rFonts w:ascii="宋体" w:hAnsi="宋体"/>
                <w:color w:val="auto"/>
                <w:szCs w:val="21"/>
                <w:highlight w:val="none"/>
              </w:rPr>
              <w:t xml:space="preserve">                </w:t>
            </w:r>
          </w:p>
        </w:tc>
      </w:tr>
    </w:tbl>
    <w:p>
      <w:pPr>
        <w:spacing w:line="360" w:lineRule="auto"/>
        <w:rPr>
          <w:rFonts w:ascii="宋体" w:hAnsi="宋体"/>
          <w:color w:val="auto"/>
          <w:sz w:val="2"/>
          <w:szCs w:val="2"/>
          <w:highlight w:val="none"/>
        </w:rPr>
        <w:sectPr>
          <w:footnotePr>
            <w:numRestart w:val="eachPage"/>
          </w:footnotePr>
          <w:pgSz w:w="11900" w:h="16840"/>
          <w:pgMar w:top="1418" w:right="1418" w:bottom="1418" w:left="1418" w:header="680" w:footer="680" w:gutter="0"/>
          <w:cols w:space="720" w:num="1"/>
          <w:docGrid w:linePitch="360" w:charSpace="0"/>
        </w:sectPr>
      </w:pPr>
    </w:p>
    <w:p>
      <w:pPr>
        <w:spacing w:line="360" w:lineRule="auto"/>
        <w:rPr>
          <w:rFonts w:ascii="宋体" w:hAnsi="宋体"/>
          <w:color w:val="auto"/>
          <w:sz w:val="2"/>
          <w:szCs w:val="2"/>
          <w:highlight w:val="none"/>
        </w:rPr>
      </w:pPr>
    </w:p>
    <w:p>
      <w:pPr>
        <w:spacing w:line="360" w:lineRule="auto"/>
        <w:rPr>
          <w:rFonts w:ascii="宋体" w:hAnsi="宋体"/>
          <w:color w:val="auto"/>
          <w:sz w:val="2"/>
          <w:szCs w:val="2"/>
          <w:highlight w:val="none"/>
        </w:rPr>
      </w:pPr>
    </w:p>
    <w:tbl>
      <w:tblPr>
        <w:tblStyle w:val="9"/>
        <w:tblW w:w="93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8"/>
        <w:gridCol w:w="1269"/>
        <w:gridCol w:w="7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 w:hRule="atLeast"/>
        </w:trPr>
        <w:tc>
          <w:tcPr>
            <w:tcW w:w="988" w:type="dxa"/>
            <w:shd w:val="clear" w:color="auto" w:fill="FFFFFF"/>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25"/>
                <w:rFonts w:hint="eastAsia" w:ascii="宋体" w:hAnsi="宋体" w:eastAsia="宋体"/>
                <w:b w:val="0"/>
                <w:color w:val="auto"/>
                <w:kern w:val="2"/>
                <w:highlight w:val="none"/>
                <w:lang w:val="zh-CN"/>
              </w:rPr>
              <w:t>条款号</w:t>
            </w:r>
          </w:p>
        </w:tc>
        <w:tc>
          <w:tcPr>
            <w:tcW w:w="1269" w:type="dxa"/>
            <w:shd w:val="clear" w:color="auto" w:fill="FFFFFF"/>
            <w:vAlign w:val="center"/>
          </w:tcPr>
          <w:p>
            <w:pPr>
              <w:pStyle w:val="19"/>
              <w:shd w:val="clear" w:color="auto" w:fill="auto"/>
              <w:spacing w:before="0" w:line="360" w:lineRule="auto"/>
              <w:jc w:val="center"/>
              <w:rPr>
                <w:rFonts w:ascii="宋体" w:hAnsi="宋体" w:eastAsia="宋体" w:cs="MingLiU"/>
                <w:color w:val="auto"/>
                <w:kern w:val="2"/>
                <w:szCs w:val="24"/>
                <w:highlight w:val="none"/>
              </w:rPr>
            </w:pPr>
            <w:r>
              <w:rPr>
                <w:rStyle w:val="25"/>
                <w:rFonts w:hint="eastAsia" w:ascii="宋体" w:hAnsi="宋体" w:eastAsia="宋体"/>
                <w:b w:val="0"/>
                <w:color w:val="auto"/>
                <w:kern w:val="2"/>
                <w:highlight w:val="none"/>
                <w:lang w:val="zh-CN"/>
              </w:rPr>
              <w:t>条款内容</w:t>
            </w:r>
          </w:p>
        </w:tc>
        <w:tc>
          <w:tcPr>
            <w:tcW w:w="7104" w:type="dxa"/>
            <w:shd w:val="clear" w:color="auto" w:fill="FFFFFF"/>
            <w:vAlign w:val="center"/>
          </w:tcPr>
          <w:p>
            <w:pPr>
              <w:pStyle w:val="30"/>
              <w:shd w:val="clear" w:color="auto" w:fill="auto"/>
              <w:spacing w:before="0" w:after="0" w:line="360" w:lineRule="auto"/>
              <w:rPr>
                <w:rFonts w:ascii="宋体" w:hAnsi="宋体" w:eastAsia="宋体"/>
                <w:color w:val="auto"/>
                <w:highlight w:val="none"/>
                <w:lang w:val="zh-CN"/>
              </w:rPr>
            </w:pPr>
            <w:r>
              <w:rPr>
                <w:rStyle w:val="25"/>
                <w:rFonts w:hint="eastAsia" w:ascii="宋体" w:hAnsi="宋体" w:eastAsia="宋体"/>
                <w:b w:val="0"/>
                <w:color w:val="auto"/>
                <w:highlight w:val="none"/>
                <w:lang w:val="zh-CN"/>
              </w:rPr>
              <w:t>编列内容</w:t>
            </w:r>
          </w:p>
          <w:p>
            <w:pPr>
              <w:pStyle w:val="19"/>
              <w:shd w:val="clear" w:color="auto" w:fill="auto"/>
              <w:spacing w:before="0" w:line="360" w:lineRule="auto"/>
              <w:jc w:val="center"/>
              <w:rPr>
                <w:rFonts w:ascii="宋体" w:hAnsi="宋体" w:eastAsia="宋体" w:cs="MingLiU"/>
                <w:color w:val="auto"/>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9" w:hRule="atLeast"/>
        </w:trPr>
        <w:tc>
          <w:tcPr>
            <w:tcW w:w="988"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2.2.2</w:t>
            </w:r>
          </w:p>
        </w:tc>
        <w:tc>
          <w:tcPr>
            <w:tcW w:w="1269"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评标基准价计算方法</w:t>
            </w:r>
          </w:p>
        </w:tc>
        <w:tc>
          <w:tcPr>
            <w:tcW w:w="7104" w:type="dxa"/>
            <w:shd w:val="clear" w:color="auto" w:fill="FFFFFF"/>
            <w:vAlign w:val="center"/>
          </w:tcPr>
          <w:p>
            <w:pPr>
              <w:ind w:right="130" w:rightChars="59"/>
              <w:rPr>
                <w:rFonts w:hint="eastAsia" w:ascii="宋体" w:hAnsi="宋体"/>
                <w:color w:val="auto"/>
                <w:szCs w:val="21"/>
                <w:highlight w:val="none"/>
              </w:rPr>
            </w:pPr>
            <w:r>
              <w:rPr>
                <w:rFonts w:hint="eastAsia" w:ascii="宋体" w:hAnsi="宋体"/>
                <w:color w:val="auto"/>
                <w:szCs w:val="21"/>
                <w:highlight w:val="none"/>
              </w:rPr>
              <w:t>评标基准价的计算：</w:t>
            </w:r>
          </w:p>
          <w:p>
            <w:pPr>
              <w:ind w:right="130" w:rightChars="59"/>
              <w:rPr>
                <w:rFonts w:hint="eastAsia" w:ascii="宋体" w:hAnsi="宋体"/>
                <w:color w:val="auto"/>
                <w:szCs w:val="21"/>
                <w:highlight w:val="none"/>
              </w:rPr>
            </w:pPr>
            <w:r>
              <w:rPr>
                <w:rFonts w:hint="eastAsia" w:ascii="宋体" w:hAnsi="宋体"/>
                <w:color w:val="auto"/>
                <w:szCs w:val="21"/>
                <w:highlight w:val="none"/>
              </w:rPr>
              <w:t>在开标现场，招标人将当场计算并宣布评标基准价。</w:t>
            </w:r>
          </w:p>
          <w:p>
            <w:pPr>
              <w:ind w:right="130" w:rightChars="59"/>
              <w:rPr>
                <w:rFonts w:hint="eastAsia" w:ascii="宋体" w:hAnsi="宋体"/>
                <w:color w:val="auto"/>
                <w:szCs w:val="21"/>
                <w:highlight w:val="none"/>
              </w:rPr>
            </w:pPr>
            <w:r>
              <w:rPr>
                <w:rFonts w:hint="eastAsia" w:ascii="宋体" w:hAnsi="宋体"/>
                <w:color w:val="auto"/>
                <w:szCs w:val="21"/>
                <w:highlight w:val="none"/>
              </w:rPr>
              <w:t>(1)评标价的确定：评标价=投标函文字报价</w:t>
            </w:r>
          </w:p>
          <w:p>
            <w:pPr>
              <w:ind w:right="130" w:rightChars="59"/>
              <w:rPr>
                <w:rFonts w:hint="eastAsia" w:ascii="宋体" w:hAnsi="宋体"/>
                <w:color w:val="auto"/>
                <w:szCs w:val="21"/>
                <w:highlight w:val="none"/>
              </w:rPr>
            </w:pPr>
            <w:r>
              <w:rPr>
                <w:rFonts w:hint="eastAsia" w:ascii="宋体" w:hAnsi="宋体"/>
                <w:color w:val="auto"/>
                <w:szCs w:val="21"/>
                <w:highlight w:val="none"/>
              </w:rPr>
              <w:t>(2)最高评标限价的确定</w:t>
            </w:r>
          </w:p>
          <w:p>
            <w:pPr>
              <w:ind w:right="130" w:rightChars="59"/>
              <w:rPr>
                <w:rFonts w:hint="eastAsia" w:ascii="宋体" w:hAnsi="宋体"/>
                <w:color w:val="auto"/>
                <w:szCs w:val="21"/>
                <w:highlight w:val="none"/>
              </w:rPr>
            </w:pPr>
            <w:r>
              <w:rPr>
                <w:rFonts w:hint="eastAsia" w:ascii="宋体" w:hAnsi="宋体"/>
                <w:color w:val="auto"/>
                <w:szCs w:val="21"/>
                <w:highlight w:val="none"/>
              </w:rPr>
              <w:t>最高投标限价下浮率在开标前在开标现场采取逐标段摇珠方式确定。摇珠操作办法如下：在下浮率（0-3%）摇珠范围内，以0.1%为一档次增序确定摇珠号码，共31个球，一次性摇出3个球（摇出的珠不放回），摇出3个球对应的下浮率的平均值即为本标段招标的下浮率。（注：三个下浮率的平均值四舍五入取整到0.001％）</w:t>
            </w:r>
          </w:p>
          <w:p>
            <w:pPr>
              <w:ind w:right="130" w:rightChars="59"/>
              <w:rPr>
                <w:rFonts w:hint="eastAsia" w:ascii="宋体" w:hAnsi="宋体"/>
                <w:color w:val="auto"/>
                <w:szCs w:val="21"/>
                <w:highlight w:val="none"/>
              </w:rPr>
            </w:pPr>
            <w:r>
              <w:rPr>
                <w:rFonts w:hint="eastAsia" w:ascii="宋体" w:hAnsi="宋体"/>
                <w:color w:val="auto"/>
                <w:szCs w:val="21"/>
                <w:highlight w:val="none"/>
              </w:rPr>
              <w:t>最高评标限价＝最高投标限价×（1-下浮率）</w:t>
            </w:r>
          </w:p>
          <w:p>
            <w:pPr>
              <w:ind w:right="130" w:rightChars="59"/>
              <w:rPr>
                <w:rFonts w:hint="eastAsia" w:ascii="宋体" w:hAnsi="宋体"/>
                <w:color w:val="auto"/>
                <w:szCs w:val="21"/>
                <w:highlight w:val="none"/>
              </w:rPr>
            </w:pPr>
            <w:r>
              <w:rPr>
                <w:rFonts w:hint="eastAsia" w:ascii="宋体" w:hAnsi="宋体"/>
                <w:color w:val="auto"/>
                <w:szCs w:val="21"/>
                <w:highlight w:val="none"/>
              </w:rPr>
              <w:t xml:space="preserve"> (3)有效评标价范围：</w:t>
            </w:r>
          </w:p>
          <w:p>
            <w:pPr>
              <w:ind w:right="130" w:rightChars="59"/>
              <w:rPr>
                <w:rFonts w:hint="eastAsia" w:ascii="宋体" w:hAnsi="宋体"/>
                <w:color w:val="auto"/>
                <w:szCs w:val="21"/>
                <w:highlight w:val="none"/>
              </w:rPr>
            </w:pPr>
            <w:r>
              <w:rPr>
                <w:rFonts w:hint="eastAsia" w:ascii="宋体" w:hAnsi="宋体"/>
                <w:color w:val="auto"/>
                <w:szCs w:val="21"/>
                <w:highlight w:val="none"/>
              </w:rPr>
              <w:t>有效评标价范围：不大于最高评标限价的评标价为有效评标价。若大于最高评标限价的评标价，将否决其投标。</w:t>
            </w:r>
          </w:p>
          <w:p>
            <w:pPr>
              <w:ind w:right="130" w:rightChars="59"/>
              <w:rPr>
                <w:rFonts w:hint="eastAsia" w:ascii="宋体" w:hAnsi="宋体"/>
                <w:strike/>
                <w:dstrike w:val="0"/>
                <w:color w:val="auto"/>
                <w:szCs w:val="21"/>
                <w:highlight w:val="none"/>
              </w:rPr>
            </w:pPr>
            <w:r>
              <w:rPr>
                <w:rFonts w:hint="eastAsia" w:ascii="宋体" w:hAnsi="宋体"/>
                <w:strike/>
                <w:dstrike w:val="0"/>
                <w:color w:val="auto"/>
                <w:szCs w:val="21"/>
                <w:highlight w:val="none"/>
              </w:rPr>
              <w:t>（4）确定参与评标基准价计算的评标价平均值计算：</w:t>
            </w:r>
          </w:p>
          <w:p>
            <w:pPr>
              <w:ind w:right="130" w:rightChars="59"/>
              <w:rPr>
                <w:rFonts w:hint="eastAsia" w:ascii="宋体" w:hAnsi="宋体"/>
                <w:strike/>
                <w:dstrike w:val="0"/>
                <w:color w:val="auto"/>
                <w:szCs w:val="21"/>
                <w:highlight w:val="none"/>
              </w:rPr>
            </w:pPr>
            <w:r>
              <w:rPr>
                <w:rFonts w:hint="eastAsia" w:ascii="宋体" w:hAnsi="宋体"/>
                <w:strike/>
                <w:dstrike w:val="0"/>
                <w:color w:val="auto"/>
                <w:szCs w:val="21"/>
                <w:highlight w:val="none"/>
              </w:rPr>
              <w:t>①参与评标基准价计算的有效评标价范围：最高评标限价的85%≤参与评标基准价计算的有效评标价≤最高评标限价的100%，小于最高评标限价85%的评标价不参与评标基准价的计算，但仍参与评标价的得分计算。</w:t>
            </w:r>
          </w:p>
          <w:p>
            <w:pPr>
              <w:ind w:right="130" w:rightChars="59"/>
              <w:rPr>
                <w:rFonts w:hint="eastAsia" w:ascii="宋体" w:hAnsi="宋体"/>
                <w:strike/>
                <w:dstrike w:val="0"/>
                <w:color w:val="auto"/>
                <w:szCs w:val="21"/>
                <w:highlight w:val="none"/>
              </w:rPr>
            </w:pPr>
            <w:r>
              <w:rPr>
                <w:rFonts w:hint="eastAsia" w:ascii="宋体" w:hAnsi="宋体"/>
                <w:strike/>
                <w:dstrike w:val="0"/>
                <w:color w:val="auto"/>
                <w:szCs w:val="21"/>
                <w:highlight w:val="none"/>
              </w:rPr>
              <w:t>②参与评标基准价计算的有效评标价平均值：除按第二章“投标人须知”第5.2.4项规定开标现场被宣布为不进入评标基准价计算的投标报价之外，在上述确定的参与评标基准价计算的评标价中去掉一个最高值和一个最低值后的算术平均值即为参与评标基准价计算的有效评标价平均值(如果参与评标价平均值计算的有效投标人少于5家时，则计算上述平均值时不去掉最高值和最低值)；</w:t>
            </w:r>
          </w:p>
          <w:p>
            <w:pPr>
              <w:ind w:right="130" w:rightChars="59"/>
              <w:rPr>
                <w:rFonts w:hint="eastAsia" w:ascii="宋体" w:hAnsi="宋体"/>
                <w:strike/>
                <w:dstrike w:val="0"/>
                <w:color w:val="auto"/>
                <w:szCs w:val="21"/>
                <w:highlight w:val="none"/>
              </w:rPr>
            </w:pPr>
            <w:r>
              <w:rPr>
                <w:rFonts w:hint="eastAsia" w:ascii="宋体" w:hAnsi="宋体"/>
                <w:strike/>
                <w:dstrike w:val="0"/>
                <w:color w:val="auto"/>
                <w:szCs w:val="21"/>
                <w:highlight w:val="none"/>
              </w:rPr>
              <w:t>若投标人的评标价均小于最高评标限价的85%时，则以最高评标限价的85%为评标基准价，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pPr>
              <w:ind w:right="130" w:rightChars="59"/>
              <w:rPr>
                <w:rFonts w:hint="eastAsia" w:ascii="宋体" w:hAnsi="宋体"/>
                <w:strike/>
                <w:dstrike w:val="0"/>
                <w:color w:val="auto"/>
                <w:szCs w:val="21"/>
                <w:highlight w:val="none"/>
              </w:rPr>
            </w:pPr>
            <w:r>
              <w:rPr>
                <w:rFonts w:hint="eastAsia" w:ascii="宋体" w:hAnsi="宋体"/>
                <w:strike/>
                <w:dstrike w:val="0"/>
                <w:color w:val="auto"/>
                <w:szCs w:val="21"/>
                <w:highlight w:val="none"/>
              </w:rPr>
              <w:t>即使某投标文件第二个信封未通过形式评审与响应性评审，如其报价处于参与评标基准价计算的有效评标价的范围内，其评标价仍应参与有效评标价平均值的计算。</w:t>
            </w:r>
          </w:p>
          <w:p>
            <w:pPr>
              <w:ind w:right="130" w:rightChars="59"/>
              <w:rPr>
                <w:rFonts w:hint="eastAsia" w:ascii="宋体" w:hAnsi="宋体"/>
                <w:color w:val="auto"/>
                <w:szCs w:val="21"/>
                <w:highlight w:val="none"/>
              </w:rPr>
            </w:pPr>
            <w:r>
              <w:rPr>
                <w:rFonts w:hint="eastAsia" w:ascii="宋体" w:hAnsi="宋体"/>
                <w:color w:val="auto"/>
                <w:szCs w:val="21"/>
                <w:highlight w:val="none"/>
              </w:rPr>
              <w:t>(5)评标基准价的确定：最高评标限价下浮2.0%作为评标基准价</w:t>
            </w:r>
          </w:p>
          <w:p>
            <w:pPr>
              <w:ind w:right="130" w:rightChars="59"/>
              <w:rPr>
                <w:rFonts w:hint="eastAsia" w:ascii="宋体" w:hAnsi="宋体"/>
                <w:color w:val="auto"/>
                <w:szCs w:val="21"/>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p>
            <w:pPr>
              <w:ind w:right="130" w:rightChars="59"/>
              <w:rPr>
                <w:rFonts w:ascii="宋体" w:hAnsi="宋体"/>
                <w:color w:val="auto"/>
                <w:szCs w:val="21"/>
                <w:highlight w:val="none"/>
              </w:rPr>
            </w:pPr>
            <w:r>
              <w:rPr>
                <w:rFonts w:hint="eastAsia" w:ascii="宋体" w:hAnsi="宋体"/>
                <w:color w:val="auto"/>
                <w:szCs w:val="21"/>
                <w:highlight w:val="none"/>
              </w:rPr>
              <w:t>备注：最高评标限价、评标基准价四舍五入至个位整数。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trPr>
        <w:tc>
          <w:tcPr>
            <w:tcW w:w="988" w:type="dxa"/>
            <w:shd w:val="clear" w:color="auto" w:fill="FFFFFF"/>
            <w:vAlign w:val="center"/>
          </w:tcPr>
          <w:p>
            <w:pPr>
              <w:spacing w:line="360" w:lineRule="auto"/>
              <w:jc w:val="center"/>
              <w:rPr>
                <w:rFonts w:ascii="宋体" w:hAnsi="宋体"/>
                <w:color w:val="auto"/>
                <w:szCs w:val="21"/>
                <w:highlight w:val="none"/>
              </w:rPr>
            </w:pPr>
            <w:r>
              <w:rPr>
                <w:rFonts w:ascii="宋体" w:hAnsi="宋体"/>
                <w:color w:val="auto"/>
                <w:szCs w:val="21"/>
                <w:highlight w:val="none"/>
              </w:rPr>
              <w:t>2.2.3</w:t>
            </w:r>
          </w:p>
        </w:tc>
        <w:tc>
          <w:tcPr>
            <w:tcW w:w="1269" w:type="dxa"/>
            <w:shd w:val="clear" w:color="auto" w:fill="FFFFFF"/>
            <w:vAlign w:val="center"/>
          </w:tcPr>
          <w:p>
            <w:pPr>
              <w:spacing w:line="240" w:lineRule="exact"/>
              <w:jc w:val="center"/>
              <w:rPr>
                <w:rFonts w:ascii="宋体" w:hAnsi="宋体"/>
                <w:color w:val="auto"/>
                <w:szCs w:val="21"/>
                <w:highlight w:val="none"/>
              </w:rPr>
            </w:pPr>
            <w:r>
              <w:rPr>
                <w:rFonts w:ascii="宋体" w:hAnsi="宋体"/>
                <w:color w:val="auto"/>
                <w:szCs w:val="21"/>
                <w:highlight w:val="none"/>
              </w:rPr>
              <w:t>评标价的偏差率计算公式</w:t>
            </w:r>
          </w:p>
        </w:tc>
        <w:tc>
          <w:tcPr>
            <w:tcW w:w="7104" w:type="dxa"/>
            <w:shd w:val="clear" w:color="auto" w:fill="FFFFFF"/>
            <w:vAlign w:val="center"/>
          </w:tcPr>
          <w:p>
            <w:pPr>
              <w:spacing w:line="360" w:lineRule="auto"/>
              <w:ind w:firstLine="440" w:firstLineChars="200"/>
              <w:rPr>
                <w:rFonts w:ascii="宋体" w:hAnsi="宋体"/>
                <w:color w:val="auto"/>
                <w:szCs w:val="21"/>
                <w:highlight w:val="none"/>
              </w:rPr>
            </w:pPr>
            <w:r>
              <w:rPr>
                <w:rFonts w:ascii="宋体" w:hAnsi="宋体"/>
                <w:color w:val="auto"/>
                <w:szCs w:val="21"/>
                <w:highlight w:val="none"/>
              </w:rPr>
              <w:t>偏差率=100% ×(投标人评标价－评标基准价)/评标基准价</w:t>
            </w:r>
          </w:p>
        </w:tc>
      </w:tr>
    </w:tbl>
    <w:p>
      <w:pPr>
        <w:spacing w:line="360" w:lineRule="auto"/>
        <w:rPr>
          <w:rFonts w:ascii="宋体" w:hAnsi="宋体"/>
          <w:color w:val="auto"/>
          <w:sz w:val="2"/>
          <w:szCs w:val="2"/>
          <w:highlight w:val="none"/>
        </w:rPr>
        <w:sectPr>
          <w:footnotePr>
            <w:numRestart w:val="eachPage"/>
          </w:footnotePr>
          <w:pgSz w:w="11900" w:h="16840"/>
          <w:pgMar w:top="1418" w:right="1418" w:bottom="1418" w:left="1418" w:header="680" w:footer="680" w:gutter="0"/>
          <w:cols w:space="720" w:num="1"/>
          <w:docGrid w:linePitch="360" w:charSpace="0"/>
        </w:sectPr>
      </w:pPr>
    </w:p>
    <w:tbl>
      <w:tblPr>
        <w:tblStyle w:val="9"/>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772"/>
        <w:gridCol w:w="816"/>
        <w:gridCol w:w="737"/>
        <w:gridCol w:w="1200"/>
        <w:gridCol w:w="777"/>
        <w:gridCol w:w="4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370" w:type="dxa"/>
            <w:gridSpan w:val="6"/>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评分因素与权重分值</w:t>
            </w:r>
          </w:p>
        </w:tc>
        <w:tc>
          <w:tcPr>
            <w:tcW w:w="4295" w:type="dxa"/>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1068"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条款号</w:t>
            </w:r>
          </w:p>
        </w:tc>
        <w:tc>
          <w:tcPr>
            <w:tcW w:w="1588" w:type="dxa"/>
            <w:gridSpan w:val="2"/>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评分因素权重分值</w:t>
            </w:r>
          </w:p>
        </w:tc>
        <w:tc>
          <w:tcPr>
            <w:tcW w:w="1200"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各评分因素细分项</w:t>
            </w:r>
          </w:p>
        </w:tc>
        <w:tc>
          <w:tcPr>
            <w:tcW w:w="77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分值</w:t>
            </w:r>
          </w:p>
        </w:tc>
        <w:tc>
          <w:tcPr>
            <w:tcW w:w="4295" w:type="dxa"/>
            <w:vMerge w:val="continue"/>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2.2.4(1)</w:t>
            </w:r>
          </w:p>
        </w:tc>
        <w:tc>
          <w:tcPr>
            <w:tcW w:w="1588" w:type="dxa"/>
            <w:gridSpan w:val="2"/>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施工组织设计</w:t>
            </w:r>
          </w:p>
        </w:tc>
        <w:tc>
          <w:tcPr>
            <w:tcW w:w="737" w:type="dxa"/>
            <w:vMerge w:val="restart"/>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u w:val="single"/>
                <w:lang w:val="en-US" w:eastAsia="zh-CN"/>
              </w:rPr>
              <w:t>6</w:t>
            </w:r>
            <w:r>
              <w:rPr>
                <w:rFonts w:ascii="宋体" w:hAnsi="宋体"/>
                <w:color w:val="auto"/>
                <w:szCs w:val="21"/>
                <w:highlight w:val="none"/>
              </w:rPr>
              <w:t>分</w:t>
            </w:r>
          </w:p>
        </w:tc>
        <w:tc>
          <w:tcPr>
            <w:tcW w:w="1200" w:type="dxa"/>
            <w:vAlign w:val="center"/>
          </w:tcPr>
          <w:p>
            <w:pPr>
              <w:jc w:val="center"/>
              <w:rPr>
                <w:rFonts w:ascii="宋体" w:hAnsi="宋体"/>
                <w:color w:val="auto"/>
                <w:szCs w:val="21"/>
                <w:highlight w:val="none"/>
              </w:rPr>
            </w:pPr>
            <w:r>
              <w:rPr>
                <w:rStyle w:val="31"/>
                <w:rFonts w:hint="eastAsia" w:ascii="宋体" w:hAnsi="宋体" w:cs="宋体"/>
                <w:color w:val="auto"/>
                <w:sz w:val="21"/>
                <w:szCs w:val="21"/>
                <w:highlight w:val="none"/>
                <w:lang w:val="en-US" w:eastAsia="zh-CN"/>
              </w:rPr>
              <w:t>船舶</w:t>
            </w:r>
            <w:r>
              <w:rPr>
                <w:rStyle w:val="31"/>
                <w:rFonts w:hint="eastAsia" w:ascii="宋体" w:hAnsi="宋体" w:eastAsia="宋体" w:cs="宋体"/>
                <w:color w:val="auto"/>
                <w:sz w:val="21"/>
                <w:szCs w:val="21"/>
                <w:highlight w:val="none"/>
              </w:rPr>
              <w:t>机械配备及进场计划</w:t>
            </w:r>
          </w:p>
        </w:tc>
        <w:tc>
          <w:tcPr>
            <w:tcW w:w="777" w:type="dxa"/>
            <w:vAlign w:val="center"/>
          </w:tcPr>
          <w:p>
            <w:pPr>
              <w:pStyle w:val="19"/>
              <w:shd w:val="clear" w:color="auto" w:fill="auto"/>
              <w:spacing w:before="0" w:line="360" w:lineRule="auto"/>
              <w:jc w:val="center"/>
              <w:rPr>
                <w:rFonts w:ascii="宋体" w:hAnsi="宋体" w:cs="MingLiU"/>
                <w:color w:val="auto"/>
                <w:kern w:val="2"/>
                <w:sz w:val="21"/>
                <w:szCs w:val="21"/>
                <w:highlight w:val="none"/>
              </w:rPr>
            </w:pPr>
            <w:r>
              <w:rPr>
                <w:rStyle w:val="21"/>
                <w:rFonts w:hint="eastAsia" w:ascii="宋体" w:hAnsi="宋体" w:eastAsia="宋体" w:cs="宋体"/>
                <w:color w:val="auto"/>
                <w:kern w:val="2"/>
                <w:sz w:val="21"/>
                <w:szCs w:val="21"/>
                <w:highlight w:val="none"/>
                <w:lang w:val="en-US" w:eastAsia="zh-CN"/>
              </w:rPr>
              <w:t>1</w:t>
            </w:r>
            <w:r>
              <w:rPr>
                <w:rStyle w:val="21"/>
                <w:rFonts w:hint="eastAsia" w:ascii="宋体" w:hAnsi="宋体" w:eastAsia="宋体" w:cs="宋体"/>
                <w:color w:val="auto"/>
                <w:kern w:val="2"/>
                <w:sz w:val="21"/>
                <w:szCs w:val="21"/>
                <w:highlight w:val="none"/>
                <w:lang w:val="zh-CN"/>
              </w:rPr>
              <w:t>分</w:t>
            </w:r>
          </w:p>
        </w:tc>
        <w:tc>
          <w:tcPr>
            <w:tcW w:w="4295" w:type="dxa"/>
            <w:vAlign w:val="center"/>
          </w:tcPr>
          <w:p>
            <w:pPr>
              <w:ind w:firstLine="440" w:firstLineChars="200"/>
              <w:jc w:val="left"/>
              <w:rPr>
                <w:rFonts w:ascii="宋体" w:hAnsi="宋体"/>
                <w:color w:val="auto"/>
                <w:szCs w:val="21"/>
                <w:highlight w:val="none"/>
              </w:rPr>
            </w:pPr>
            <w:r>
              <w:rPr>
                <w:rFonts w:ascii="宋体" w:hAnsi="宋体" w:cs="宋体"/>
                <w:color w:val="auto"/>
                <w:szCs w:val="21"/>
                <w:highlight w:val="none"/>
              </w:rPr>
              <w:t>设备配置数量足、合理，主要设备落实与进度吻合得[</w:t>
            </w:r>
            <w:r>
              <w:rPr>
                <w:rFonts w:hint="eastAsia" w:ascii="宋体" w:hAnsi="宋体" w:cs="宋体"/>
                <w:color w:val="auto"/>
                <w:szCs w:val="21"/>
                <w:highlight w:val="none"/>
                <w:lang w:val="en-US" w:eastAsia="zh-CN"/>
              </w:rPr>
              <w:t>1</w:t>
            </w:r>
            <w:r>
              <w:rPr>
                <w:rFonts w:ascii="宋体" w:hAnsi="宋体" w:cs="宋体"/>
                <w:color w:val="auto"/>
                <w:szCs w:val="21"/>
                <w:highlight w:val="none"/>
              </w:rPr>
              <w:t>，0.</w:t>
            </w:r>
            <w:r>
              <w:rPr>
                <w:rFonts w:hint="eastAsia" w:ascii="宋体" w:hAnsi="宋体" w:cs="宋体"/>
                <w:color w:val="auto"/>
                <w:szCs w:val="21"/>
                <w:highlight w:val="none"/>
                <w:lang w:val="en-US" w:eastAsia="zh-CN"/>
              </w:rPr>
              <w:t>8</w:t>
            </w:r>
            <w:r>
              <w:rPr>
                <w:rFonts w:ascii="宋体" w:hAnsi="宋体" w:cs="宋体"/>
                <w:color w:val="auto"/>
                <w:szCs w:val="21"/>
                <w:highlight w:val="none"/>
              </w:rPr>
              <w:t>）分；设备配置数量足、基本合理，主要设备落实与进度基本吻合得[0.</w:t>
            </w:r>
            <w:r>
              <w:rPr>
                <w:rFonts w:hint="eastAsia" w:ascii="宋体" w:hAnsi="宋体" w:cs="宋体"/>
                <w:color w:val="auto"/>
                <w:szCs w:val="21"/>
                <w:highlight w:val="none"/>
                <w:lang w:val="en-US" w:eastAsia="zh-CN"/>
              </w:rPr>
              <w:t>8</w:t>
            </w:r>
            <w:r>
              <w:rPr>
                <w:rFonts w:ascii="宋体" w:hAnsi="宋体" w:cs="宋体"/>
                <w:color w:val="auto"/>
                <w:szCs w:val="21"/>
                <w:highlight w:val="none"/>
              </w:rPr>
              <w:t>，0.7）分；设备配置不足、欠合理，主要设备基本落实与进度欠吻合得[0.7，0.6]分；没有提供</w:t>
            </w:r>
            <w:r>
              <w:rPr>
                <w:rFonts w:hint="eastAsia" w:ascii="宋体" w:hAnsi="宋体" w:cs="宋体"/>
                <w:color w:val="auto"/>
                <w:szCs w:val="21"/>
                <w:highlight w:val="none"/>
                <w:lang w:val="en-US" w:eastAsia="zh-CN"/>
              </w:rPr>
              <w:t>船舶</w:t>
            </w:r>
            <w:r>
              <w:rPr>
                <w:rFonts w:ascii="宋体" w:hAnsi="宋体" w:cs="宋体"/>
                <w:color w:val="auto"/>
                <w:szCs w:val="21"/>
                <w:highlight w:val="none"/>
              </w:rPr>
              <w:t>机械设备及进场计划的，得0分。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ascii="宋体" w:hAnsi="宋体" w:eastAsia="宋体"/>
                <w:color w:val="auto"/>
                <w:sz w:val="21"/>
                <w:szCs w:val="21"/>
                <w:highlight w:val="none"/>
              </w:rPr>
            </w:pPr>
            <w:r>
              <w:rPr>
                <w:rStyle w:val="31"/>
                <w:rFonts w:hint="eastAsia" w:ascii="宋体" w:hAnsi="宋体" w:eastAsia="宋体" w:cs="宋体"/>
                <w:color w:val="auto"/>
                <w:sz w:val="21"/>
                <w:szCs w:val="21"/>
                <w:highlight w:val="none"/>
              </w:rPr>
              <w:t>施工场地布置</w:t>
            </w:r>
          </w:p>
        </w:tc>
        <w:tc>
          <w:tcPr>
            <w:tcW w:w="777" w:type="dxa"/>
            <w:vAlign w:val="center"/>
          </w:tcPr>
          <w:p>
            <w:pPr>
              <w:spacing w:line="360" w:lineRule="auto"/>
              <w:jc w:val="center"/>
              <w:rPr>
                <w:rStyle w:val="31"/>
                <w:rFonts w:ascii="宋体" w:hAnsi="宋体" w:eastAsia="宋体"/>
                <w:color w:val="auto"/>
                <w:sz w:val="21"/>
                <w:szCs w:val="21"/>
                <w:highlight w:val="none"/>
                <w:u w:val="single"/>
              </w:rPr>
            </w:pPr>
            <w:r>
              <w:rPr>
                <w:rStyle w:val="21"/>
                <w:rFonts w:ascii="宋体" w:hAnsi="宋体" w:eastAsia="宋体" w:cs="宋体"/>
                <w:color w:val="auto"/>
                <w:sz w:val="21"/>
                <w:szCs w:val="21"/>
                <w:highlight w:val="none"/>
              </w:rPr>
              <w:t>0.5分</w:t>
            </w:r>
          </w:p>
        </w:tc>
        <w:tc>
          <w:tcPr>
            <w:tcW w:w="4295" w:type="dxa"/>
            <w:vAlign w:val="center"/>
          </w:tcPr>
          <w:p>
            <w:pPr>
              <w:ind w:firstLine="420" w:firstLineChars="200"/>
              <w:jc w:val="left"/>
              <w:rPr>
                <w:rStyle w:val="31"/>
                <w:rFonts w:ascii="宋体" w:hAnsi="宋体" w:eastAsia="宋体"/>
                <w:color w:val="auto"/>
                <w:sz w:val="21"/>
                <w:szCs w:val="21"/>
                <w:highlight w:val="none"/>
              </w:rPr>
            </w:pPr>
            <w:r>
              <w:rPr>
                <w:rFonts w:ascii="宋体" w:hAnsi="宋体" w:eastAsia="宋体" w:cs="宋体"/>
                <w:color w:val="auto"/>
                <w:sz w:val="21"/>
                <w:szCs w:val="21"/>
                <w:highlight w:val="none"/>
              </w:rPr>
              <w:t>可行、布置合理、具体得[0.5，0.4）分；可行、布置基本合理、具体得[0.4，0.35）分；布置欠合理、不够具体得[0.35，0.3] 分；没有提供施工场地布置计划的，得0分。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ascii="宋体" w:hAnsi="宋体" w:eastAsia="宋体"/>
                <w:color w:val="auto"/>
                <w:sz w:val="21"/>
                <w:szCs w:val="21"/>
                <w:highlight w:val="none"/>
              </w:rPr>
            </w:pPr>
            <w:r>
              <w:rPr>
                <w:rStyle w:val="31"/>
                <w:rFonts w:hint="eastAsia" w:ascii="宋体" w:hAnsi="宋体" w:eastAsia="宋体" w:cs="宋体"/>
                <w:color w:val="auto"/>
                <w:sz w:val="21"/>
                <w:szCs w:val="21"/>
                <w:highlight w:val="none"/>
              </w:rPr>
              <w:t>施工工艺流程</w:t>
            </w:r>
          </w:p>
        </w:tc>
        <w:tc>
          <w:tcPr>
            <w:tcW w:w="777" w:type="dxa"/>
            <w:vAlign w:val="center"/>
          </w:tcPr>
          <w:p>
            <w:pPr>
              <w:spacing w:line="360" w:lineRule="auto"/>
              <w:jc w:val="center"/>
              <w:rPr>
                <w:rStyle w:val="31"/>
                <w:rFonts w:ascii="宋体" w:hAnsi="宋体" w:eastAsia="宋体"/>
                <w:color w:val="auto"/>
                <w:sz w:val="21"/>
                <w:szCs w:val="21"/>
                <w:highlight w:val="none"/>
                <w:u w:val="single"/>
              </w:rPr>
            </w:pPr>
            <w:r>
              <w:rPr>
                <w:rStyle w:val="21"/>
                <w:rFonts w:hint="eastAsia" w:ascii="宋体" w:hAnsi="宋体" w:cs="宋体"/>
                <w:color w:val="auto"/>
                <w:sz w:val="21"/>
                <w:szCs w:val="21"/>
                <w:highlight w:val="none"/>
                <w:lang w:val="en-US" w:eastAsia="zh-CN"/>
              </w:rPr>
              <w:t>1</w:t>
            </w:r>
            <w:r>
              <w:rPr>
                <w:rStyle w:val="21"/>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1"/>
                <w:rFonts w:ascii="宋体" w:hAnsi="宋体" w:eastAsia="宋体"/>
                <w:color w:val="auto"/>
                <w:sz w:val="21"/>
                <w:szCs w:val="21"/>
                <w:highlight w:val="none"/>
              </w:rPr>
            </w:pPr>
            <w:r>
              <w:rPr>
                <w:rFonts w:ascii="宋体" w:hAnsi="宋体" w:eastAsia="宋体" w:cs="宋体"/>
                <w:color w:val="auto"/>
                <w:sz w:val="21"/>
                <w:szCs w:val="21"/>
                <w:highlight w:val="none"/>
              </w:rPr>
              <w:t>可行、可靠、先进、合理得[</w:t>
            </w:r>
            <w:r>
              <w:rPr>
                <w:rFonts w:hint="eastAsia" w:ascii="宋体" w:hAnsi="宋体" w:cs="宋体"/>
                <w:color w:val="auto"/>
                <w:sz w:val="21"/>
                <w:szCs w:val="21"/>
                <w:highlight w:val="none"/>
                <w:lang w:val="en-US" w:eastAsia="zh-CN"/>
              </w:rPr>
              <w:t>1</w:t>
            </w:r>
            <w:r>
              <w:rPr>
                <w:rFonts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r>
              <w:rPr>
                <w:rFonts w:ascii="宋体" w:hAnsi="宋体" w:eastAsia="宋体" w:cs="宋体"/>
                <w:color w:val="auto"/>
                <w:sz w:val="21"/>
                <w:szCs w:val="21"/>
                <w:highlight w:val="none"/>
              </w:rPr>
              <w:t>）</w:t>
            </w:r>
            <w:r>
              <w:rPr>
                <w:rFonts w:hint="eastAsia" w:ascii="宋体" w:hAnsi="宋体" w:cs="宋体"/>
                <w:color w:val="auto"/>
                <w:szCs w:val="21"/>
                <w:highlight w:val="none"/>
              </w:rPr>
              <w:t>分；基本可行、可靠得</w:t>
            </w:r>
            <w:r>
              <w:rPr>
                <w:rFonts w:ascii="宋体" w:hAnsi="宋体" w:cs="宋体"/>
                <w:color w:val="auto"/>
                <w:szCs w:val="21"/>
                <w:highlight w:val="none"/>
              </w:rPr>
              <w:t xml:space="preserve"> </w:t>
            </w:r>
            <w:r>
              <w:rPr>
                <w:rFonts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8</w:t>
            </w:r>
            <w:r>
              <w:rPr>
                <w:rFonts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7</w:t>
            </w:r>
            <w:r>
              <w:rPr>
                <w:rFonts w:ascii="宋体" w:hAnsi="宋体" w:eastAsia="宋体" w:cs="宋体"/>
                <w:color w:val="auto"/>
                <w:sz w:val="21"/>
                <w:szCs w:val="21"/>
                <w:highlight w:val="none"/>
              </w:rPr>
              <w:t>）</w:t>
            </w:r>
            <w:r>
              <w:rPr>
                <w:rFonts w:hint="eastAsia" w:ascii="宋体" w:hAnsi="宋体" w:cs="宋体"/>
                <w:color w:val="auto"/>
                <w:szCs w:val="21"/>
                <w:highlight w:val="none"/>
              </w:rPr>
              <w:t>分；欠可行、欠可靠得</w:t>
            </w:r>
            <w:r>
              <w:rPr>
                <w:rFonts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7</w:t>
            </w:r>
            <w:r>
              <w:rPr>
                <w:rFonts w:ascii="宋体" w:hAnsi="宋体" w:eastAsia="宋体" w:cs="宋体"/>
                <w:color w:val="auto"/>
                <w:sz w:val="21"/>
                <w:szCs w:val="21"/>
                <w:highlight w:val="none"/>
              </w:rPr>
              <w:t>，0.</w:t>
            </w:r>
            <w:r>
              <w:rPr>
                <w:rFonts w:hint="eastAsia" w:ascii="宋体" w:hAnsi="宋体" w:cs="宋体"/>
                <w:color w:val="auto"/>
                <w:sz w:val="21"/>
                <w:szCs w:val="21"/>
                <w:highlight w:val="none"/>
                <w:lang w:val="en-US" w:eastAsia="zh-CN"/>
              </w:rPr>
              <w:t>6</w:t>
            </w:r>
            <w:r>
              <w:rPr>
                <w:rFonts w:ascii="宋体" w:hAnsi="宋体" w:eastAsia="宋体" w:cs="宋体"/>
                <w:color w:val="auto"/>
                <w:sz w:val="21"/>
                <w:szCs w:val="21"/>
                <w:highlight w:val="none"/>
              </w:rPr>
              <w:t xml:space="preserve">] </w:t>
            </w:r>
            <w:r>
              <w:rPr>
                <w:rFonts w:ascii="宋体" w:hAnsi="宋体" w:cs="宋体"/>
                <w:color w:val="auto"/>
                <w:szCs w:val="21"/>
                <w:highlight w:val="none"/>
              </w:rPr>
              <w:t>分，没有提供施工工艺流程的，得0分。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ascii="宋体" w:hAnsi="宋体" w:eastAsia="宋体"/>
                <w:color w:val="auto"/>
                <w:sz w:val="21"/>
                <w:szCs w:val="21"/>
                <w:highlight w:val="none"/>
              </w:rPr>
            </w:pPr>
            <w:r>
              <w:rPr>
                <w:rStyle w:val="31"/>
                <w:rFonts w:hint="eastAsia" w:ascii="宋体" w:hAnsi="宋体" w:eastAsia="宋体" w:cs="宋体"/>
                <w:color w:val="auto"/>
                <w:sz w:val="21"/>
                <w:szCs w:val="21"/>
                <w:highlight w:val="none"/>
              </w:rPr>
              <w:t>施工进度计划</w:t>
            </w:r>
          </w:p>
        </w:tc>
        <w:tc>
          <w:tcPr>
            <w:tcW w:w="777" w:type="dxa"/>
            <w:vAlign w:val="center"/>
          </w:tcPr>
          <w:p>
            <w:pPr>
              <w:spacing w:line="360" w:lineRule="auto"/>
              <w:jc w:val="center"/>
              <w:rPr>
                <w:rStyle w:val="31"/>
                <w:rFonts w:ascii="宋体" w:hAnsi="宋体" w:eastAsia="宋体"/>
                <w:color w:val="auto"/>
                <w:sz w:val="21"/>
                <w:szCs w:val="21"/>
                <w:highlight w:val="none"/>
                <w:u w:val="single"/>
              </w:rPr>
            </w:pPr>
            <w:r>
              <w:rPr>
                <w:rStyle w:val="21"/>
                <w:rFonts w:ascii="宋体" w:hAnsi="宋体" w:eastAsia="宋体" w:cs="宋体"/>
                <w:color w:val="auto"/>
                <w:sz w:val="21"/>
                <w:szCs w:val="21"/>
                <w:highlight w:val="none"/>
              </w:rPr>
              <w:t>1</w:t>
            </w:r>
            <w:r>
              <w:rPr>
                <w:rStyle w:val="21"/>
                <w:rFonts w:hint="eastAsia" w:ascii="宋体" w:hAnsi="宋体" w:eastAsia="宋体" w:cs="宋体"/>
                <w:color w:val="auto"/>
                <w:sz w:val="21"/>
                <w:szCs w:val="21"/>
                <w:highlight w:val="none"/>
              </w:rPr>
              <w:t>分</w:t>
            </w:r>
          </w:p>
        </w:tc>
        <w:tc>
          <w:tcPr>
            <w:tcW w:w="4295" w:type="dxa"/>
            <w:vAlign w:val="center"/>
          </w:tcPr>
          <w:p>
            <w:pPr>
              <w:ind w:firstLine="420" w:firstLineChars="200"/>
              <w:jc w:val="left"/>
              <w:rPr>
                <w:rStyle w:val="31"/>
                <w:rFonts w:ascii="宋体" w:hAnsi="宋体" w:eastAsia="宋体"/>
                <w:color w:val="auto"/>
                <w:sz w:val="21"/>
                <w:szCs w:val="21"/>
                <w:highlight w:val="none"/>
              </w:rPr>
            </w:pPr>
            <w:r>
              <w:rPr>
                <w:rFonts w:ascii="宋体" w:hAnsi="宋体" w:eastAsia="宋体" w:cs="宋体"/>
                <w:color w:val="auto"/>
                <w:sz w:val="21"/>
                <w:szCs w:val="21"/>
                <w:highlight w:val="none"/>
              </w:rPr>
              <w:t>工期合理，进度计划可行、合理、先进，保证措施具体得</w:t>
            </w: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0.8</w:t>
            </w:r>
            <w:r>
              <w:rPr>
                <w:rFonts w:hint="eastAsia" w:ascii="宋体" w:hAnsi="宋体" w:cs="宋体"/>
                <w:color w:val="auto"/>
                <w:szCs w:val="21"/>
                <w:highlight w:val="none"/>
              </w:rPr>
              <w:t>）分；工期基本合理，进度计划基本可行、合理、有保证措施得</w:t>
            </w:r>
            <w:r>
              <w:rPr>
                <w:rFonts w:ascii="宋体" w:hAnsi="宋体" w:cs="宋体"/>
                <w:color w:val="auto"/>
                <w:szCs w:val="21"/>
                <w:highlight w:val="none"/>
              </w:rPr>
              <w:t>[0.8</w:t>
            </w:r>
            <w:r>
              <w:rPr>
                <w:rFonts w:hint="eastAsia" w:ascii="宋体" w:hAnsi="宋体" w:cs="宋体"/>
                <w:color w:val="auto"/>
                <w:szCs w:val="21"/>
                <w:highlight w:val="none"/>
              </w:rPr>
              <w:t>，</w:t>
            </w:r>
            <w:r>
              <w:rPr>
                <w:rFonts w:ascii="宋体" w:hAnsi="宋体" w:cs="宋体"/>
                <w:color w:val="auto"/>
                <w:szCs w:val="21"/>
                <w:highlight w:val="none"/>
              </w:rPr>
              <w:t>0.7</w:t>
            </w:r>
            <w:r>
              <w:rPr>
                <w:rFonts w:hint="eastAsia" w:ascii="宋体" w:hAnsi="宋体" w:cs="宋体"/>
                <w:color w:val="auto"/>
                <w:szCs w:val="21"/>
                <w:highlight w:val="none"/>
              </w:rPr>
              <w:t>）分；工期欠合理，进度计划欠合理、保证措施一般得</w:t>
            </w:r>
            <w:r>
              <w:rPr>
                <w:rFonts w:ascii="宋体" w:hAnsi="宋体" w:cs="宋体"/>
                <w:color w:val="auto"/>
                <w:szCs w:val="21"/>
                <w:highlight w:val="none"/>
              </w:rPr>
              <w:t>[0.7</w:t>
            </w:r>
            <w:r>
              <w:rPr>
                <w:rFonts w:hint="eastAsia" w:ascii="宋体" w:hAnsi="宋体" w:cs="宋体"/>
                <w:color w:val="auto"/>
                <w:szCs w:val="21"/>
                <w:highlight w:val="none"/>
              </w:rPr>
              <w:t>，</w:t>
            </w:r>
            <w:r>
              <w:rPr>
                <w:rFonts w:ascii="宋体" w:hAnsi="宋体" w:cs="宋体"/>
                <w:color w:val="auto"/>
                <w:szCs w:val="21"/>
                <w:highlight w:val="none"/>
              </w:rPr>
              <w:t>0.6]</w:t>
            </w:r>
            <w:r>
              <w:rPr>
                <w:rFonts w:hint="eastAsia" w:ascii="宋体" w:hAnsi="宋体" w:cs="宋体"/>
                <w:color w:val="auto"/>
                <w:szCs w:val="21"/>
                <w:highlight w:val="none"/>
              </w:rPr>
              <w:t>分；没有提供施工进度计划的，得</w:t>
            </w:r>
            <w:r>
              <w:rPr>
                <w:rFonts w:ascii="宋体" w:hAnsi="宋体" w:cs="宋体"/>
                <w:color w:val="auto"/>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hint="default" w:ascii="宋体" w:hAnsi="宋体" w:eastAsia="宋体" w:cs="宋体"/>
                <w:color w:val="auto"/>
                <w:sz w:val="21"/>
                <w:szCs w:val="21"/>
                <w:highlight w:val="none"/>
                <w:lang w:val="en-US" w:eastAsia="zh-CN"/>
              </w:rPr>
            </w:pPr>
            <w:r>
              <w:rPr>
                <w:rStyle w:val="31"/>
                <w:rFonts w:hint="eastAsia" w:ascii="宋体" w:hAnsi="宋体" w:cs="宋体"/>
                <w:color w:val="auto"/>
                <w:sz w:val="21"/>
                <w:szCs w:val="21"/>
                <w:highlight w:val="none"/>
                <w:lang w:val="en-US" w:eastAsia="zh-CN"/>
              </w:rPr>
              <w:t>材料供应和检验</w:t>
            </w:r>
          </w:p>
        </w:tc>
        <w:tc>
          <w:tcPr>
            <w:tcW w:w="777" w:type="dxa"/>
            <w:vAlign w:val="center"/>
          </w:tcPr>
          <w:p>
            <w:pPr>
              <w:spacing w:line="360" w:lineRule="auto"/>
              <w:jc w:val="center"/>
              <w:rPr>
                <w:rStyle w:val="21"/>
                <w:rFonts w:hint="default" w:ascii="宋体" w:hAnsi="宋体" w:eastAsia="宋体" w:cs="宋体"/>
                <w:color w:val="auto"/>
                <w:sz w:val="21"/>
                <w:szCs w:val="21"/>
                <w:highlight w:val="none"/>
                <w:lang w:val="en-US" w:eastAsia="zh-CN"/>
              </w:rPr>
            </w:pPr>
            <w:r>
              <w:rPr>
                <w:rStyle w:val="21"/>
                <w:rFonts w:hint="eastAsia" w:ascii="宋体" w:hAnsi="宋体" w:cs="宋体"/>
                <w:color w:val="auto"/>
                <w:sz w:val="21"/>
                <w:szCs w:val="21"/>
                <w:highlight w:val="none"/>
                <w:lang w:val="en-US" w:eastAsia="zh-CN"/>
              </w:rPr>
              <w:t>0分</w:t>
            </w:r>
          </w:p>
        </w:tc>
        <w:tc>
          <w:tcPr>
            <w:tcW w:w="4295" w:type="dxa"/>
            <w:vAlign w:val="center"/>
          </w:tcPr>
          <w:p>
            <w:pPr>
              <w:ind w:firstLine="420" w:firstLineChars="20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ascii="宋体" w:hAnsi="宋体" w:eastAsia="宋体"/>
                <w:color w:val="auto"/>
                <w:sz w:val="21"/>
                <w:szCs w:val="21"/>
                <w:highlight w:val="none"/>
              </w:rPr>
            </w:pPr>
            <w:r>
              <w:rPr>
                <w:rStyle w:val="31"/>
                <w:rFonts w:hint="eastAsia" w:ascii="宋体" w:hAnsi="宋体" w:eastAsia="宋体" w:cs="宋体"/>
                <w:color w:val="auto"/>
                <w:sz w:val="21"/>
                <w:szCs w:val="21"/>
                <w:highlight w:val="none"/>
              </w:rPr>
              <w:t>施工技术措施</w:t>
            </w:r>
          </w:p>
        </w:tc>
        <w:tc>
          <w:tcPr>
            <w:tcW w:w="777" w:type="dxa"/>
            <w:vAlign w:val="center"/>
          </w:tcPr>
          <w:p>
            <w:pPr>
              <w:spacing w:line="360" w:lineRule="auto"/>
              <w:jc w:val="center"/>
              <w:rPr>
                <w:rStyle w:val="31"/>
                <w:rFonts w:ascii="宋体" w:hAnsi="宋体" w:eastAsia="宋体"/>
                <w:color w:val="auto"/>
                <w:sz w:val="21"/>
                <w:szCs w:val="21"/>
                <w:highlight w:val="none"/>
                <w:u w:val="single"/>
              </w:rPr>
            </w:pPr>
            <w:r>
              <w:rPr>
                <w:rStyle w:val="21"/>
                <w:rFonts w:hint="eastAsia" w:ascii="宋体" w:hAnsi="宋体" w:cs="宋体"/>
                <w:color w:val="auto"/>
                <w:sz w:val="21"/>
                <w:szCs w:val="21"/>
                <w:highlight w:val="none"/>
                <w:lang w:val="en-US" w:eastAsia="zh-CN"/>
              </w:rPr>
              <w:t>0.5</w:t>
            </w:r>
            <w:r>
              <w:rPr>
                <w:rStyle w:val="21"/>
                <w:rFonts w:hint="eastAsia" w:ascii="宋体" w:hAnsi="宋体" w:eastAsia="宋体" w:cs="宋体"/>
                <w:color w:val="auto"/>
                <w:sz w:val="21"/>
                <w:szCs w:val="21"/>
                <w:highlight w:val="none"/>
              </w:rPr>
              <w:t>分</w:t>
            </w:r>
          </w:p>
        </w:tc>
        <w:tc>
          <w:tcPr>
            <w:tcW w:w="4295" w:type="dxa"/>
            <w:vAlign w:val="top"/>
          </w:tcPr>
          <w:p>
            <w:pPr>
              <w:ind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措施针对性好、具体、成熟得 [0.5，0.4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分；措施针对性较好、较具体得[0.4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分；措施欠具体得[0.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u w:val="single"/>
              </w:rPr>
            </w:pPr>
          </w:p>
        </w:tc>
        <w:tc>
          <w:tcPr>
            <w:tcW w:w="1200" w:type="dxa"/>
            <w:vAlign w:val="center"/>
          </w:tcPr>
          <w:p>
            <w:pPr>
              <w:jc w:val="center"/>
              <w:rPr>
                <w:rStyle w:val="31"/>
                <w:rFonts w:ascii="宋体" w:hAnsi="宋体" w:eastAsia="宋体"/>
                <w:color w:val="auto"/>
                <w:sz w:val="21"/>
                <w:szCs w:val="21"/>
                <w:highlight w:val="none"/>
              </w:rPr>
            </w:pPr>
            <w:r>
              <w:rPr>
                <w:rStyle w:val="31"/>
                <w:rFonts w:hint="eastAsia" w:ascii="宋体" w:hAnsi="宋体" w:eastAsia="宋体" w:cs="宋体"/>
                <w:color w:val="auto"/>
                <w:sz w:val="21"/>
                <w:szCs w:val="21"/>
                <w:highlight w:val="none"/>
              </w:rPr>
              <w:t>施工质量保证措施</w:t>
            </w:r>
          </w:p>
        </w:tc>
        <w:tc>
          <w:tcPr>
            <w:tcW w:w="777" w:type="dxa"/>
            <w:vAlign w:val="center"/>
          </w:tcPr>
          <w:p>
            <w:pPr>
              <w:pStyle w:val="13"/>
              <w:wordWrap w:val="0"/>
              <w:topLinePunct/>
              <w:autoSpaceDE/>
              <w:autoSpaceDN/>
              <w:spacing w:before="0" w:after="0" w:line="252" w:lineRule="exact"/>
              <w:ind w:left="106" w:leftChars="0" w:right="0" w:rightChars="0"/>
              <w:jc w:val="left"/>
              <w:rPr>
                <w:rStyle w:val="31"/>
                <w:rFonts w:ascii="宋体" w:hAnsi="宋体" w:eastAsia="宋体"/>
                <w:color w:val="auto"/>
                <w:sz w:val="21"/>
                <w:szCs w:val="21"/>
                <w:highlight w:val="none"/>
                <w:u w:val="single"/>
              </w:rPr>
            </w:pPr>
            <w:r>
              <w:rPr>
                <w:rStyle w:val="21"/>
                <w:rFonts w:ascii="宋体" w:hAnsi="宋体" w:eastAsia="宋体" w:cs="宋体"/>
                <w:color w:val="auto"/>
                <w:sz w:val="21"/>
                <w:szCs w:val="21"/>
                <w:highlight w:val="none"/>
              </w:rPr>
              <w:t>1</w:t>
            </w:r>
            <w:r>
              <w:rPr>
                <w:rStyle w:val="21"/>
                <w:rFonts w:hint="eastAsia" w:ascii="宋体" w:hAnsi="宋体" w:eastAsia="宋体" w:cs="宋体"/>
                <w:color w:val="auto"/>
                <w:sz w:val="21"/>
                <w:szCs w:val="21"/>
                <w:highlight w:val="none"/>
              </w:rPr>
              <w:t>分</w:t>
            </w:r>
          </w:p>
        </w:tc>
        <w:tc>
          <w:tcPr>
            <w:tcW w:w="4295" w:type="dxa"/>
            <w:vAlign w:val="top"/>
          </w:tcPr>
          <w:p>
            <w:pPr>
              <w:ind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满足招标文件质量要求，工程质量保证措施明确、具体、可行、针对性好、各项落实得[1，0.</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）分；基本满足招标文件质量要求，工程质量保证措施较明确、较具体、较可行、较落实得[0.</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）分；一般满足招标文件质量要求，工程质量保证措施一般化、但对工程质量保证措施有认识得[0.</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1"/>
                <w:rFonts w:hint="eastAsia" w:ascii="宋体" w:hAnsi="宋体" w:eastAsia="宋体" w:cs="宋体"/>
                <w:color w:val="auto"/>
                <w:sz w:val="21"/>
                <w:szCs w:val="21"/>
                <w:highlight w:val="none"/>
              </w:rPr>
              <w:t>施工安全保障措施</w:t>
            </w:r>
          </w:p>
        </w:tc>
        <w:tc>
          <w:tcPr>
            <w:tcW w:w="777" w:type="dxa"/>
            <w:vAlign w:val="center"/>
          </w:tcPr>
          <w:p>
            <w:pPr>
              <w:spacing w:line="360" w:lineRule="auto"/>
              <w:jc w:val="center"/>
              <w:rPr>
                <w:rFonts w:ascii="宋体" w:hAnsi="宋体"/>
                <w:color w:val="auto"/>
                <w:szCs w:val="21"/>
                <w:highlight w:val="none"/>
              </w:rPr>
            </w:pPr>
            <w:r>
              <w:rPr>
                <w:rStyle w:val="21"/>
                <w:rFonts w:ascii="宋体" w:hAnsi="宋体" w:eastAsia="宋体" w:cs="宋体"/>
                <w:color w:val="auto"/>
                <w:sz w:val="21"/>
                <w:szCs w:val="21"/>
                <w:highlight w:val="none"/>
              </w:rPr>
              <w:t>0.5</w:t>
            </w:r>
            <w:r>
              <w:rPr>
                <w:rStyle w:val="21"/>
                <w:rFonts w:hint="eastAsia" w:ascii="宋体" w:hAnsi="宋体" w:eastAsia="宋体" w:cs="宋体"/>
                <w:color w:val="auto"/>
                <w:sz w:val="21"/>
                <w:szCs w:val="21"/>
                <w:highlight w:val="none"/>
              </w:rPr>
              <w:t>分</w:t>
            </w:r>
          </w:p>
        </w:tc>
        <w:tc>
          <w:tcPr>
            <w:tcW w:w="4295" w:type="dxa"/>
            <w:vAlign w:val="top"/>
          </w:tcPr>
          <w:p>
            <w:pPr>
              <w:ind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措施针对性好、具体、成熟得[0.5，0.4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分；措施针对性较好、较具体得 [0.4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分；措施不具体得[0.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color w:val="auto"/>
                <w:szCs w:val="21"/>
                <w:highlight w:val="none"/>
              </w:rPr>
            </w:pPr>
            <w:r>
              <w:rPr>
                <w:rStyle w:val="31"/>
                <w:rFonts w:hint="eastAsia" w:ascii="宋体" w:hAnsi="宋体" w:eastAsia="宋体" w:cs="宋体"/>
                <w:color w:val="auto"/>
                <w:sz w:val="21"/>
                <w:szCs w:val="21"/>
                <w:highlight w:val="none"/>
              </w:rPr>
              <w:t>文明施工与环境保护措施</w:t>
            </w:r>
          </w:p>
        </w:tc>
        <w:tc>
          <w:tcPr>
            <w:tcW w:w="777" w:type="dxa"/>
            <w:vAlign w:val="center"/>
          </w:tcPr>
          <w:p>
            <w:pPr>
              <w:spacing w:line="360" w:lineRule="auto"/>
              <w:jc w:val="center"/>
              <w:rPr>
                <w:rFonts w:ascii="宋体" w:hAnsi="宋体"/>
                <w:color w:val="auto"/>
                <w:szCs w:val="21"/>
                <w:highlight w:val="none"/>
              </w:rPr>
            </w:pPr>
            <w:r>
              <w:rPr>
                <w:rStyle w:val="21"/>
                <w:rFonts w:ascii="宋体" w:hAnsi="宋体" w:eastAsia="宋体" w:cs="宋体"/>
                <w:color w:val="auto"/>
                <w:sz w:val="21"/>
                <w:szCs w:val="21"/>
                <w:highlight w:val="none"/>
              </w:rPr>
              <w:t>0.5</w:t>
            </w:r>
            <w:r>
              <w:rPr>
                <w:rStyle w:val="21"/>
                <w:rFonts w:hint="eastAsia" w:ascii="宋体" w:hAnsi="宋体" w:eastAsia="宋体" w:cs="宋体"/>
                <w:color w:val="auto"/>
                <w:sz w:val="21"/>
                <w:szCs w:val="21"/>
                <w:highlight w:val="none"/>
              </w:rPr>
              <w:t>分</w:t>
            </w:r>
          </w:p>
        </w:tc>
        <w:tc>
          <w:tcPr>
            <w:tcW w:w="4295" w:type="dxa"/>
            <w:vAlign w:val="top"/>
          </w:tcPr>
          <w:p>
            <w:pPr>
              <w:ind w:firstLine="44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措施针对性好、具体、成熟得[0.5，0.4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分；措施针对性较好、较具体得[0.4</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分；措施不具体得 [0.</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，0.3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2.2.4(2)</w:t>
            </w:r>
          </w:p>
        </w:tc>
        <w:tc>
          <w:tcPr>
            <w:tcW w:w="1588" w:type="dxa"/>
            <w:gridSpan w:val="2"/>
            <w:vMerge w:val="restart"/>
            <w:vAlign w:val="center"/>
          </w:tcPr>
          <w:p>
            <w:pPr>
              <w:snapToGrid w:val="0"/>
              <w:spacing w:line="240" w:lineRule="atLeast"/>
              <w:jc w:val="center"/>
              <w:rPr>
                <w:rFonts w:ascii="宋体" w:hAnsi="宋体"/>
                <w:color w:val="auto"/>
                <w:szCs w:val="21"/>
                <w:highlight w:val="none"/>
              </w:rPr>
            </w:pPr>
            <w:r>
              <w:rPr>
                <w:rStyle w:val="21"/>
                <w:rFonts w:hint="eastAsia" w:ascii="宋体" w:hAnsi="宋体" w:eastAsia="宋体"/>
                <w:color w:val="auto"/>
                <w:sz w:val="21"/>
                <w:szCs w:val="21"/>
                <w:highlight w:val="none"/>
              </w:rPr>
              <w:t>项目管理机构</w:t>
            </w:r>
          </w:p>
        </w:tc>
        <w:tc>
          <w:tcPr>
            <w:tcW w:w="737"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u w:val="single"/>
              </w:rPr>
              <w:t>1</w:t>
            </w:r>
            <w:r>
              <w:rPr>
                <w:rFonts w:ascii="宋体" w:hAnsi="宋体"/>
                <w:color w:val="auto"/>
                <w:szCs w:val="21"/>
                <w:highlight w:val="none"/>
              </w:rPr>
              <w:t>分</w:t>
            </w:r>
          </w:p>
        </w:tc>
        <w:tc>
          <w:tcPr>
            <w:tcW w:w="1200" w:type="dxa"/>
            <w:vAlign w:val="center"/>
          </w:tcPr>
          <w:p>
            <w:pPr>
              <w:jc w:val="center"/>
              <w:rPr>
                <w:rFonts w:ascii="宋体" w:hAnsi="宋体" w:eastAsia="宋体" w:cs="Times New Roman"/>
                <w:color w:val="auto"/>
                <w:kern w:val="2"/>
                <w:sz w:val="21"/>
                <w:szCs w:val="21"/>
                <w:highlight w:val="none"/>
                <w:lang w:val="en-US" w:eastAsia="zh-CN" w:bidi="ar-SA"/>
              </w:rPr>
            </w:pPr>
            <w:r>
              <w:rPr>
                <w:rStyle w:val="31"/>
                <w:rFonts w:hint="eastAsia" w:ascii="宋体" w:hAnsi="宋体" w:eastAsia="宋体" w:cs="宋体"/>
                <w:color w:val="auto"/>
                <w:sz w:val="21"/>
                <w:szCs w:val="21"/>
                <w:highlight w:val="none"/>
              </w:rPr>
              <w:t>项目负责人任职资格与业绩</w:t>
            </w:r>
          </w:p>
        </w:tc>
        <w:tc>
          <w:tcPr>
            <w:tcW w:w="777" w:type="dxa"/>
            <w:vAlign w:val="center"/>
          </w:tcPr>
          <w:p>
            <w:pPr>
              <w:spacing w:line="360" w:lineRule="auto"/>
              <w:jc w:val="center"/>
              <w:rPr>
                <w:rFonts w:ascii="宋体" w:hAnsi="宋体" w:eastAsia="宋体" w:cs="Times New Roman"/>
                <w:color w:val="auto"/>
                <w:kern w:val="2"/>
                <w:sz w:val="21"/>
                <w:szCs w:val="21"/>
                <w:highlight w:val="none"/>
                <w:lang w:val="en-US" w:eastAsia="zh-CN" w:bidi="ar-SA"/>
              </w:rPr>
            </w:pPr>
            <w:r>
              <w:rPr>
                <w:rStyle w:val="21"/>
                <w:rFonts w:ascii="宋体" w:hAnsi="宋体" w:eastAsia="宋体" w:cs="宋体"/>
                <w:color w:val="auto"/>
                <w:sz w:val="21"/>
                <w:szCs w:val="21"/>
                <w:highlight w:val="none"/>
              </w:rPr>
              <w:t>0.</w:t>
            </w:r>
            <w:r>
              <w:rPr>
                <w:rStyle w:val="21"/>
                <w:rFonts w:hint="eastAsia" w:ascii="宋体" w:hAnsi="宋体" w:cs="宋体"/>
                <w:color w:val="auto"/>
                <w:sz w:val="21"/>
                <w:szCs w:val="21"/>
                <w:highlight w:val="none"/>
                <w:lang w:val="en-US" w:eastAsia="zh-CN"/>
              </w:rPr>
              <w:t>1</w:t>
            </w:r>
            <w:r>
              <w:rPr>
                <w:rStyle w:val="21"/>
                <w:rFonts w:hint="eastAsia" w:ascii="宋体" w:hAnsi="宋体" w:eastAsia="宋体" w:cs="宋体"/>
                <w:color w:val="auto"/>
                <w:sz w:val="21"/>
                <w:szCs w:val="21"/>
                <w:highlight w:val="none"/>
              </w:rPr>
              <w:t>分</w:t>
            </w:r>
          </w:p>
        </w:tc>
        <w:tc>
          <w:tcPr>
            <w:tcW w:w="4295" w:type="dxa"/>
            <w:vAlign w:val="center"/>
          </w:tcPr>
          <w:p>
            <w:pPr>
              <w:pStyle w:val="13"/>
              <w:wordWrap w:val="0"/>
              <w:topLinePunct/>
              <w:autoSpaceDE/>
              <w:autoSpaceDN/>
              <w:spacing w:before="2" w:line="251" w:lineRule="exact"/>
              <w:ind w:left="106" w:firstLine="420" w:firstLineChars="200"/>
              <w:rPr>
                <w:rFonts w:hint="eastAsia"/>
                <w:sz w:val="21"/>
                <w:lang w:val="en-US" w:eastAsia="zh-CN"/>
              </w:rPr>
            </w:pPr>
            <w:r>
              <w:rPr>
                <w:rFonts w:hint="eastAsia"/>
                <w:sz w:val="21"/>
                <w:lang w:val="en-US" w:eastAsia="zh-CN"/>
              </w:rPr>
              <w:t>1.项目负责人在满足资格审查条件(项目负责人和项目技术负责人最低要求)时，得0.06分；</w:t>
            </w:r>
          </w:p>
          <w:p>
            <w:pPr>
              <w:pStyle w:val="13"/>
              <w:wordWrap w:val="0"/>
              <w:topLinePunct/>
              <w:autoSpaceDE/>
              <w:autoSpaceDN/>
              <w:spacing w:before="2" w:line="251" w:lineRule="exact"/>
              <w:ind w:left="106" w:firstLine="420" w:firstLineChars="200"/>
              <w:rPr>
                <w:sz w:val="21"/>
              </w:rPr>
            </w:pPr>
            <w:r>
              <w:rPr>
                <w:rFonts w:hint="eastAsia"/>
                <w:sz w:val="21"/>
                <w:lang w:val="en-US" w:eastAsia="zh-CN"/>
              </w:rPr>
              <w:t>2.</w:t>
            </w:r>
            <w:r>
              <w:rPr>
                <w:sz w:val="21"/>
              </w:rPr>
              <w:t>拟派的项目负责人 2018 年 1 月 1 日至今【以交（竣）工验收时间为准】担任过质量合格的疏浚项目施工业绩的</w:t>
            </w:r>
            <w:r>
              <w:rPr>
                <w:rFonts w:hint="eastAsia"/>
                <w:sz w:val="21"/>
              </w:rPr>
              <w:t>项目负责人或项目经理或项目副经理或技术负责人</w:t>
            </w:r>
            <w:r>
              <w:rPr>
                <w:sz w:val="21"/>
              </w:rPr>
              <w:t>职务的得 0.</w:t>
            </w:r>
            <w:r>
              <w:rPr>
                <w:rFonts w:hint="eastAsia"/>
                <w:sz w:val="21"/>
                <w:lang w:val="en-US" w:eastAsia="zh-CN"/>
              </w:rPr>
              <w:t>04</w:t>
            </w:r>
            <w:r>
              <w:rPr>
                <w:sz w:val="21"/>
              </w:rPr>
              <w:t>分</w:t>
            </w:r>
            <w:r>
              <w:rPr>
                <w:rFonts w:hint="eastAsia"/>
                <w:sz w:val="21"/>
                <w:lang w:eastAsia="zh-CN"/>
              </w:rPr>
              <w:t>；</w:t>
            </w:r>
          </w:p>
          <w:p>
            <w:pPr>
              <w:pStyle w:val="13"/>
              <w:wordWrap w:val="0"/>
              <w:topLinePunct/>
              <w:autoSpaceDE/>
              <w:autoSpaceDN/>
              <w:spacing w:before="2" w:line="251" w:lineRule="exact"/>
              <w:ind w:left="106" w:firstLine="420" w:firstLineChars="200"/>
              <w:rPr>
                <w:sz w:val="21"/>
              </w:rPr>
            </w:pPr>
            <w:r>
              <w:rPr>
                <w:rFonts w:hint="eastAsia"/>
                <w:sz w:val="21"/>
              </w:rPr>
              <w:t>3.以上两项合计0.1分。</w:t>
            </w:r>
          </w:p>
          <w:p>
            <w:pPr>
              <w:ind w:firstLine="420" w:firstLineChars="200"/>
              <w:jc w:val="left"/>
              <w:rPr>
                <w:rFonts w:ascii="宋体" w:hAnsi="宋体" w:eastAsia="宋体" w:cs="Times New Roman"/>
                <w:color w:val="auto"/>
                <w:kern w:val="2"/>
                <w:sz w:val="21"/>
                <w:szCs w:val="21"/>
                <w:highlight w:val="none"/>
                <w:lang w:val="en-US" w:eastAsia="zh-CN" w:bidi="ar-SA"/>
              </w:rPr>
            </w:pPr>
            <w:r>
              <w:rPr>
                <w:rFonts w:hint="eastAsia"/>
                <w:sz w:val="21"/>
              </w:rPr>
              <w:t>注：须提供中标通知书、合同、交工验收正书项目负责人或项目经理或项目副经理或技术负责人职务须在合同或交工验收书中体现。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eastAsia="宋体" w:cs="Times New Roman"/>
                <w:color w:val="auto"/>
                <w:kern w:val="2"/>
                <w:sz w:val="21"/>
                <w:szCs w:val="21"/>
                <w:highlight w:val="none"/>
                <w:lang w:val="en-US" w:eastAsia="zh-CN" w:bidi="ar-SA"/>
              </w:rPr>
            </w:pPr>
            <w:r>
              <w:rPr>
                <w:rStyle w:val="31"/>
                <w:rFonts w:hint="eastAsia" w:ascii="宋体" w:hAnsi="宋体" w:eastAsia="宋体" w:cs="宋体"/>
                <w:color w:val="auto"/>
                <w:sz w:val="21"/>
                <w:szCs w:val="21"/>
                <w:highlight w:val="none"/>
              </w:rPr>
              <w:t>项目技术负责人任职资格与业绩</w:t>
            </w:r>
          </w:p>
        </w:tc>
        <w:tc>
          <w:tcPr>
            <w:tcW w:w="777" w:type="dxa"/>
            <w:vAlign w:val="center"/>
          </w:tcPr>
          <w:p>
            <w:pPr>
              <w:spacing w:line="360" w:lineRule="auto"/>
              <w:jc w:val="center"/>
              <w:rPr>
                <w:rFonts w:ascii="宋体" w:hAnsi="宋体" w:eastAsia="宋体" w:cs="Times New Roman"/>
                <w:color w:val="auto"/>
                <w:kern w:val="2"/>
                <w:sz w:val="21"/>
                <w:szCs w:val="21"/>
                <w:highlight w:val="none"/>
                <w:lang w:val="en-US" w:eastAsia="zh-CN" w:bidi="ar-SA"/>
              </w:rPr>
            </w:pPr>
            <w:r>
              <w:rPr>
                <w:rStyle w:val="21"/>
                <w:rFonts w:ascii="宋体" w:hAnsi="宋体" w:eastAsia="宋体" w:cs="宋体"/>
                <w:color w:val="auto"/>
                <w:sz w:val="21"/>
                <w:szCs w:val="21"/>
                <w:highlight w:val="none"/>
              </w:rPr>
              <w:t>0.</w:t>
            </w:r>
            <w:r>
              <w:rPr>
                <w:rStyle w:val="21"/>
                <w:rFonts w:hint="eastAsia" w:ascii="宋体" w:hAnsi="宋体" w:cs="宋体"/>
                <w:color w:val="auto"/>
                <w:sz w:val="21"/>
                <w:szCs w:val="21"/>
                <w:highlight w:val="none"/>
                <w:lang w:val="en-US" w:eastAsia="zh-CN"/>
              </w:rPr>
              <w:t>1</w:t>
            </w:r>
            <w:r>
              <w:rPr>
                <w:rStyle w:val="21"/>
                <w:rFonts w:hint="eastAsia" w:ascii="宋体" w:hAnsi="宋体" w:eastAsia="宋体" w:cs="宋体"/>
                <w:color w:val="auto"/>
                <w:sz w:val="21"/>
                <w:szCs w:val="21"/>
                <w:highlight w:val="none"/>
              </w:rPr>
              <w:t>分</w:t>
            </w:r>
          </w:p>
        </w:tc>
        <w:tc>
          <w:tcPr>
            <w:tcW w:w="4295" w:type="dxa"/>
            <w:vAlign w:val="center"/>
          </w:tcPr>
          <w:p>
            <w:pPr>
              <w:pStyle w:val="13"/>
              <w:numPr>
                <w:ilvl w:val="0"/>
                <w:numId w:val="0"/>
              </w:numPr>
              <w:tabs>
                <w:tab w:val="left" w:pos="844"/>
              </w:tabs>
              <w:wordWrap w:val="0"/>
              <w:topLinePunct/>
              <w:autoSpaceDE/>
              <w:autoSpaceDN/>
              <w:spacing w:before="2" w:line="252" w:lineRule="exact"/>
              <w:ind w:firstLine="440" w:firstLineChars="200"/>
              <w:jc w:val="left"/>
              <w:rPr>
                <w:rFonts w:ascii="宋体" w:hAnsi="宋体" w:cs="宋体"/>
                <w:color w:val="auto"/>
                <w:szCs w:val="21"/>
                <w:highlight w:val="none"/>
              </w:rPr>
            </w:pPr>
            <w:r>
              <w:rPr>
                <w:rFonts w:hint="eastAsia" w:ascii="宋体" w:hAnsi="宋体" w:cs="宋体"/>
                <w:color w:val="auto"/>
                <w:szCs w:val="21"/>
                <w:highlight w:val="none"/>
                <w:lang w:val="en-US" w:eastAsia="zh-CN"/>
              </w:rPr>
              <w:t>1.</w:t>
            </w:r>
            <w:r>
              <w:rPr>
                <w:rFonts w:ascii="宋体" w:hAnsi="宋体" w:cs="宋体"/>
                <w:color w:val="auto"/>
                <w:szCs w:val="21"/>
                <w:highlight w:val="none"/>
              </w:rPr>
              <w:t>项目技术负责人在满足</w:t>
            </w:r>
            <w:r>
              <w:rPr>
                <w:rFonts w:hint="default" w:ascii="宋体" w:hAnsi="宋体" w:eastAsia="宋体" w:cs="宋体"/>
                <w:b w:val="0"/>
                <w:bCs w:val="0"/>
                <w:color w:val="auto"/>
                <w:kern w:val="2"/>
                <w:sz w:val="21"/>
                <w:szCs w:val="21"/>
                <w:highlight w:val="none"/>
              </w:rPr>
              <w:t>资格审查条件</w:t>
            </w:r>
            <w:r>
              <w:rPr>
                <w:rFonts w:ascii="宋体" w:hAnsi="宋体" w:eastAsia="宋体" w:cs="宋体"/>
                <w:b w:val="0"/>
                <w:bCs w:val="0"/>
                <w:color w:val="auto"/>
                <w:kern w:val="2"/>
                <w:sz w:val="21"/>
                <w:szCs w:val="21"/>
                <w:highlight w:val="none"/>
              </w:rPr>
              <w:t>(项目负责人和项目技术负责人最低要求)</w:t>
            </w:r>
            <w:r>
              <w:rPr>
                <w:rFonts w:ascii="宋体" w:hAnsi="宋体" w:cs="宋体"/>
                <w:color w:val="auto"/>
                <w:szCs w:val="21"/>
                <w:highlight w:val="none"/>
              </w:rPr>
              <w:t>时，得0.</w:t>
            </w:r>
            <w:r>
              <w:rPr>
                <w:rFonts w:hint="eastAsia" w:ascii="宋体" w:hAnsi="宋体" w:cs="宋体"/>
                <w:color w:val="auto"/>
                <w:szCs w:val="21"/>
                <w:highlight w:val="none"/>
                <w:lang w:val="en-US" w:eastAsia="zh-CN"/>
              </w:rPr>
              <w:t>06</w:t>
            </w:r>
            <w:r>
              <w:rPr>
                <w:rFonts w:hint="eastAsia" w:ascii="宋体" w:hAnsi="宋体" w:cs="宋体"/>
                <w:color w:val="auto"/>
                <w:szCs w:val="21"/>
                <w:highlight w:val="none"/>
              </w:rPr>
              <w:t>分；</w:t>
            </w:r>
          </w:p>
          <w:p>
            <w:pPr>
              <w:pStyle w:val="13"/>
              <w:numPr>
                <w:ilvl w:val="0"/>
                <w:numId w:val="0"/>
              </w:numPr>
              <w:tabs>
                <w:tab w:val="left" w:pos="844"/>
              </w:tabs>
              <w:wordWrap w:val="0"/>
              <w:topLinePunct/>
              <w:autoSpaceDE/>
              <w:autoSpaceDN/>
              <w:spacing w:before="2" w:after="0" w:line="252" w:lineRule="exact"/>
              <w:ind w:right="0" w:rightChars="0" w:firstLine="392" w:firstLineChars="200"/>
              <w:jc w:val="left"/>
              <w:rPr>
                <w:spacing w:val="-18"/>
                <w:sz w:val="21"/>
              </w:rPr>
            </w:pPr>
            <w:r>
              <w:rPr>
                <w:rFonts w:hint="eastAsia"/>
                <w:spacing w:val="-7"/>
                <w:sz w:val="21"/>
                <w:lang w:val="en-US" w:eastAsia="zh-CN"/>
              </w:rPr>
              <w:t>2.</w:t>
            </w:r>
            <w:r>
              <w:rPr>
                <w:spacing w:val="-7"/>
                <w:sz w:val="21"/>
              </w:rPr>
              <w:t xml:space="preserve">拟派的项目技术负责人 </w:t>
            </w:r>
            <w:r>
              <w:rPr>
                <w:sz w:val="21"/>
              </w:rPr>
              <w:t>2018</w:t>
            </w:r>
            <w:r>
              <w:rPr>
                <w:spacing w:val="-46"/>
                <w:sz w:val="21"/>
              </w:rPr>
              <w:t xml:space="preserve"> 年 </w:t>
            </w:r>
            <w:r>
              <w:rPr>
                <w:sz w:val="21"/>
              </w:rPr>
              <w:t>1</w:t>
            </w:r>
            <w:r>
              <w:rPr>
                <w:spacing w:val="-45"/>
                <w:sz w:val="21"/>
              </w:rPr>
              <w:t xml:space="preserve"> 月 </w:t>
            </w:r>
            <w:r>
              <w:rPr>
                <w:sz w:val="21"/>
              </w:rPr>
              <w:t>1 日至今【以交（竣）工验收时间为准】担任过质量合格的疏浚项目施工业绩的项目负责人或项目经理或项目副经理</w:t>
            </w:r>
            <w:r>
              <w:rPr>
                <w:spacing w:val="-5"/>
                <w:sz w:val="21"/>
              </w:rPr>
              <w:t xml:space="preserve">或技术负责人职务的得 </w:t>
            </w:r>
            <w:r>
              <w:rPr>
                <w:sz w:val="21"/>
              </w:rPr>
              <w:t>0.</w:t>
            </w:r>
            <w:r>
              <w:rPr>
                <w:rFonts w:hint="eastAsia"/>
                <w:sz w:val="21"/>
                <w:lang w:val="en-US" w:eastAsia="zh-CN"/>
              </w:rPr>
              <w:t>04</w:t>
            </w:r>
            <w:r>
              <w:rPr>
                <w:spacing w:val="-18"/>
                <w:sz w:val="21"/>
              </w:rPr>
              <w:t>分</w:t>
            </w:r>
            <w:r>
              <w:rPr>
                <w:rFonts w:hint="eastAsia"/>
                <w:spacing w:val="-18"/>
                <w:sz w:val="21"/>
                <w:lang w:eastAsia="zh-CN"/>
              </w:rPr>
              <w:t>；</w:t>
            </w:r>
          </w:p>
          <w:p>
            <w:pPr>
              <w:pStyle w:val="13"/>
              <w:numPr>
                <w:ilvl w:val="0"/>
                <w:numId w:val="0"/>
              </w:numPr>
              <w:tabs>
                <w:tab w:val="left" w:pos="844"/>
              </w:tabs>
              <w:wordWrap w:val="0"/>
              <w:topLinePunct/>
              <w:autoSpaceDE/>
              <w:autoSpaceDN/>
              <w:spacing w:before="2" w:after="0" w:line="252" w:lineRule="exact"/>
              <w:ind w:right="0" w:rightChars="0" w:firstLine="348" w:firstLineChars="200"/>
              <w:jc w:val="left"/>
              <w:rPr>
                <w:rFonts w:hint="eastAsia"/>
                <w:spacing w:val="-18"/>
                <w:sz w:val="21"/>
                <w:lang w:val="en-US" w:eastAsia="zh-CN"/>
              </w:rPr>
            </w:pPr>
            <w:r>
              <w:rPr>
                <w:rFonts w:hint="eastAsia"/>
                <w:spacing w:val="-18"/>
                <w:sz w:val="21"/>
                <w:lang w:val="en-US" w:eastAsia="zh-CN"/>
              </w:rPr>
              <w:t>3.以上两项合计0.1分。</w:t>
            </w:r>
          </w:p>
          <w:p>
            <w:pPr>
              <w:ind w:firstLine="348" w:firstLineChars="200"/>
              <w:jc w:val="left"/>
              <w:rPr>
                <w:rFonts w:ascii="宋体" w:hAnsi="宋体" w:eastAsia="宋体" w:cs="Times New Roman"/>
                <w:color w:val="auto"/>
                <w:kern w:val="2"/>
                <w:sz w:val="21"/>
                <w:szCs w:val="21"/>
                <w:highlight w:val="none"/>
                <w:lang w:val="en-US" w:eastAsia="zh-CN" w:bidi="ar-SA"/>
              </w:rPr>
            </w:pPr>
            <w:r>
              <w:rPr>
                <w:rFonts w:hint="eastAsia"/>
                <w:spacing w:val="-18"/>
                <w:sz w:val="21"/>
                <w:lang w:val="en-US" w:eastAsia="zh-CN"/>
              </w:rPr>
              <w:t>注：须提供中标通知书、合同、交工验收正书项目负责人或项目经理或项目副经理或技术负责人职务须在合同或交工验收书中体现。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1588" w:type="dxa"/>
            <w:gridSpan w:val="2"/>
            <w:vMerge w:val="continue"/>
            <w:vAlign w:val="center"/>
          </w:tcPr>
          <w:p>
            <w:pPr>
              <w:snapToGrid w:val="0"/>
              <w:spacing w:line="240" w:lineRule="atLeast"/>
              <w:jc w:val="center"/>
              <w:rPr>
                <w:rFonts w:ascii="宋体" w:hAnsi="宋体"/>
                <w:color w:val="auto"/>
                <w:szCs w:val="21"/>
                <w:highlight w:val="none"/>
              </w:rPr>
            </w:pPr>
          </w:p>
        </w:tc>
        <w:tc>
          <w:tcPr>
            <w:tcW w:w="737" w:type="dxa"/>
            <w:vMerge w:val="continue"/>
            <w:vAlign w:val="center"/>
          </w:tcPr>
          <w:p>
            <w:pPr>
              <w:snapToGrid w:val="0"/>
              <w:spacing w:line="240" w:lineRule="atLeast"/>
              <w:jc w:val="center"/>
              <w:rPr>
                <w:rFonts w:ascii="宋体" w:hAnsi="宋体"/>
                <w:color w:val="auto"/>
                <w:szCs w:val="21"/>
                <w:highlight w:val="none"/>
              </w:rPr>
            </w:pPr>
          </w:p>
        </w:tc>
        <w:tc>
          <w:tcPr>
            <w:tcW w:w="1200" w:type="dxa"/>
            <w:vAlign w:val="center"/>
          </w:tcPr>
          <w:p>
            <w:pPr>
              <w:jc w:val="center"/>
              <w:rPr>
                <w:rFonts w:ascii="宋体" w:hAnsi="宋体" w:eastAsia="宋体" w:cs="Times New Roman"/>
                <w:color w:val="auto"/>
                <w:kern w:val="2"/>
                <w:sz w:val="21"/>
                <w:szCs w:val="21"/>
                <w:highlight w:val="none"/>
                <w:lang w:val="en-US" w:eastAsia="zh-CN" w:bidi="ar-SA"/>
              </w:rPr>
            </w:pPr>
            <w:r>
              <w:rPr>
                <w:rStyle w:val="31"/>
                <w:rFonts w:hint="eastAsia" w:ascii="宋体" w:hAnsi="宋体" w:eastAsia="宋体" w:cs="宋体"/>
                <w:color w:val="auto"/>
                <w:sz w:val="21"/>
                <w:szCs w:val="21"/>
                <w:highlight w:val="none"/>
              </w:rPr>
              <w:t>其他人员任职资格与业绩</w:t>
            </w:r>
          </w:p>
        </w:tc>
        <w:tc>
          <w:tcPr>
            <w:tcW w:w="777" w:type="dxa"/>
            <w:vAlign w:val="center"/>
          </w:tcPr>
          <w:p>
            <w:pPr>
              <w:spacing w:line="360" w:lineRule="auto"/>
              <w:jc w:val="center"/>
              <w:rPr>
                <w:rFonts w:ascii="宋体" w:hAnsi="宋体" w:eastAsia="宋体" w:cs="Times New Roman"/>
                <w:color w:val="auto"/>
                <w:kern w:val="2"/>
                <w:sz w:val="21"/>
                <w:szCs w:val="21"/>
                <w:highlight w:val="none"/>
                <w:u w:val="single"/>
                <w:lang w:val="en-US" w:eastAsia="zh-CN" w:bidi="ar-SA"/>
              </w:rPr>
            </w:pPr>
            <w:r>
              <w:rPr>
                <w:rStyle w:val="21"/>
                <w:rFonts w:ascii="宋体" w:hAnsi="宋体" w:eastAsia="宋体" w:cs="宋体"/>
                <w:color w:val="auto"/>
                <w:sz w:val="21"/>
                <w:szCs w:val="21"/>
                <w:highlight w:val="none"/>
              </w:rPr>
              <w:t>0.</w:t>
            </w:r>
            <w:r>
              <w:rPr>
                <w:rStyle w:val="21"/>
                <w:rFonts w:hint="eastAsia" w:ascii="宋体" w:hAnsi="宋体" w:cs="宋体"/>
                <w:color w:val="auto"/>
                <w:sz w:val="21"/>
                <w:szCs w:val="21"/>
                <w:highlight w:val="none"/>
                <w:lang w:val="en-US" w:eastAsia="zh-CN"/>
              </w:rPr>
              <w:t>8</w:t>
            </w:r>
            <w:r>
              <w:rPr>
                <w:rStyle w:val="21"/>
                <w:rFonts w:hint="eastAsia" w:ascii="宋体" w:hAnsi="宋体" w:eastAsia="宋体" w:cs="宋体"/>
                <w:color w:val="auto"/>
                <w:sz w:val="21"/>
                <w:szCs w:val="21"/>
                <w:highlight w:val="none"/>
              </w:rPr>
              <w:t>分</w:t>
            </w:r>
          </w:p>
        </w:tc>
        <w:tc>
          <w:tcPr>
            <w:tcW w:w="4295" w:type="dxa"/>
            <w:vAlign w:val="center"/>
          </w:tcPr>
          <w:p>
            <w:pPr>
              <w:pStyle w:val="13"/>
              <w:numPr>
                <w:ilvl w:val="-1"/>
                <w:numId w:val="0"/>
              </w:numPr>
              <w:tabs>
                <w:tab w:val="left" w:pos="686"/>
              </w:tabs>
              <w:wordWrap w:val="0"/>
              <w:topLinePunct/>
              <w:autoSpaceDE/>
              <w:autoSpaceDN/>
              <w:spacing w:before="0" w:after="0" w:line="265" w:lineRule="exact"/>
              <w:ind w:left="101" w:right="0" w:rightChars="0" w:firstLine="404" w:firstLineChars="200"/>
              <w:jc w:val="left"/>
              <w:rPr>
                <w:rFonts w:hint="eastAsia"/>
                <w:color w:val="auto"/>
                <w:highlight w:val="none"/>
                <w:lang w:val="en-US" w:eastAsia="zh-CN"/>
              </w:rPr>
            </w:pPr>
            <w:r>
              <w:rPr>
                <w:rFonts w:hint="eastAsia"/>
                <w:spacing w:val="-4"/>
                <w:sz w:val="21"/>
                <w:lang w:val="en-US" w:eastAsia="zh-CN"/>
              </w:rPr>
              <w:t>1.</w:t>
            </w:r>
            <w:r>
              <w:rPr>
                <w:rFonts w:hint="eastAsia"/>
                <w:color w:val="auto"/>
                <w:highlight w:val="none"/>
                <w:lang w:val="en-US" w:eastAsia="zh-CN"/>
              </w:rPr>
              <w:t>拟派的</w:t>
            </w:r>
            <w:r>
              <w:rPr>
                <w:rFonts w:hint="eastAsia"/>
                <w:color w:val="auto"/>
                <w:highlight w:val="none"/>
              </w:rPr>
              <w:t>其他人员在满足资格审查条件(其他主要管理人员和技术人员最低要求</w:t>
            </w:r>
            <w:r>
              <w:rPr>
                <w:rFonts w:hint="eastAsia"/>
                <w:color w:val="auto"/>
                <w:highlight w:val="none"/>
                <w:lang w:eastAsia="zh-CN"/>
              </w:rPr>
              <w:t>）</w:t>
            </w:r>
            <w:r>
              <w:rPr>
                <w:rFonts w:hint="eastAsia"/>
                <w:color w:val="auto"/>
                <w:highlight w:val="none"/>
              </w:rPr>
              <w:t>时，</w:t>
            </w:r>
            <w:r>
              <w:rPr>
                <w:rFonts w:hint="eastAsia"/>
                <w:color w:val="auto"/>
                <w:highlight w:val="none"/>
                <w:lang w:val="en-US" w:eastAsia="zh-CN"/>
              </w:rPr>
              <w:t>得0.5分；</w:t>
            </w:r>
          </w:p>
          <w:p>
            <w:pPr>
              <w:pStyle w:val="13"/>
              <w:numPr>
                <w:ilvl w:val="-1"/>
                <w:numId w:val="0"/>
              </w:numPr>
              <w:tabs>
                <w:tab w:val="left" w:pos="686"/>
              </w:tabs>
              <w:wordWrap w:val="0"/>
              <w:topLinePunct/>
              <w:autoSpaceDE/>
              <w:autoSpaceDN/>
              <w:spacing w:before="0" w:after="0" w:line="265" w:lineRule="exact"/>
              <w:ind w:left="101" w:right="0" w:rightChars="0" w:firstLine="404" w:firstLineChars="200"/>
              <w:jc w:val="left"/>
              <w:rPr>
                <w:rFonts w:ascii="Times New Roman" w:eastAsia="Times New Roman"/>
                <w:sz w:val="19"/>
              </w:rPr>
            </w:pPr>
            <w:r>
              <w:rPr>
                <w:rFonts w:hint="eastAsia"/>
                <w:spacing w:val="-4"/>
                <w:sz w:val="21"/>
                <w:lang w:val="en-US" w:eastAsia="zh-CN"/>
              </w:rPr>
              <w:t>2.</w:t>
            </w:r>
            <w:r>
              <w:rPr>
                <w:rFonts w:hint="eastAsia"/>
                <w:color w:val="auto"/>
                <w:highlight w:val="none"/>
                <w:lang w:val="en-US" w:eastAsia="zh-CN"/>
              </w:rPr>
              <w:t>同时额外满足以下资格的，得0.3分：</w:t>
            </w:r>
          </w:p>
          <w:p>
            <w:pPr>
              <w:pStyle w:val="13"/>
              <w:wordWrap w:val="0"/>
              <w:topLinePunct/>
              <w:autoSpaceDE/>
              <w:autoSpaceDN/>
              <w:spacing w:before="4" w:line="242" w:lineRule="auto"/>
              <w:ind w:left="106" w:right="98" w:firstLine="420"/>
              <w:rPr>
                <w:sz w:val="21"/>
              </w:rPr>
            </w:pPr>
            <w:r>
              <w:rPr>
                <w:spacing w:val="-5"/>
                <w:sz w:val="21"/>
              </w:rPr>
              <w:t xml:space="preserve">① 港口与航道工程师和质检负责人各 </w:t>
            </w:r>
            <w:r>
              <w:rPr>
                <w:rFonts w:ascii="Times New Roman" w:hAnsi="Times New Roman" w:eastAsia="Times New Roman"/>
                <w:sz w:val="21"/>
              </w:rPr>
              <w:t xml:space="preserve">1 </w:t>
            </w:r>
            <w:r>
              <w:rPr>
                <w:rFonts w:ascii="宋体" w:hAnsi="宋体" w:eastAsia="宋体" w:cs="宋体"/>
                <w:spacing w:val="-5"/>
                <w:sz w:val="21"/>
              </w:rPr>
              <w:t>名：均具有水运工程系列专业高级工程师（或</w:t>
            </w:r>
            <w:r>
              <w:rPr>
                <w:sz w:val="21"/>
              </w:rPr>
              <w:t>以上）职称；</w:t>
            </w:r>
          </w:p>
          <w:p>
            <w:pPr>
              <w:pStyle w:val="13"/>
              <w:wordWrap w:val="0"/>
              <w:topLinePunct/>
              <w:autoSpaceDE/>
              <w:autoSpaceDN/>
              <w:spacing w:before="2" w:line="242" w:lineRule="auto"/>
              <w:ind w:left="106" w:right="98" w:firstLine="420"/>
              <w:rPr>
                <w:rFonts w:hint="eastAsia" w:ascii="宋体" w:hAnsi="宋体" w:eastAsia="宋体" w:cs="宋体"/>
                <w:spacing w:val="-7"/>
                <w:sz w:val="21"/>
                <w:lang w:eastAsia="zh-CN"/>
              </w:rPr>
            </w:pPr>
            <w:r>
              <w:rPr>
                <w:rFonts w:ascii="宋体" w:hAnsi="宋体" w:eastAsia="宋体" w:cs="宋体"/>
                <w:spacing w:val="-7"/>
                <w:sz w:val="21"/>
              </w:rPr>
              <w:t>② 专职安全生产管理人员 1 名：同时具有水运工程系列专业高级工程师（或以上） 职称和国家注册安全工程师执业资格证；（注册安全工程师执业资格证由人力资源和社会保障部、国家安全生产监督管理总局批准颁发）</w:t>
            </w:r>
            <w:r>
              <w:rPr>
                <w:rFonts w:hint="eastAsia" w:cs="宋体"/>
                <w:spacing w:val="-7"/>
                <w:sz w:val="21"/>
                <w:lang w:eastAsia="zh-CN"/>
              </w:rPr>
              <w:t>；</w:t>
            </w:r>
          </w:p>
          <w:p>
            <w:pPr>
              <w:pStyle w:val="13"/>
              <w:wordWrap w:val="0"/>
              <w:topLinePunct/>
              <w:autoSpaceDE/>
              <w:autoSpaceDN/>
              <w:spacing w:before="2" w:line="242" w:lineRule="auto"/>
              <w:ind w:left="106" w:right="98" w:firstLine="420"/>
              <w:rPr>
                <w:rFonts w:ascii="宋体" w:hAnsi="宋体" w:eastAsia="宋体" w:cs="宋体"/>
                <w:spacing w:val="-7"/>
                <w:sz w:val="21"/>
              </w:rPr>
            </w:pPr>
            <w:r>
              <w:rPr>
                <w:rFonts w:ascii="宋体" w:hAnsi="宋体" w:eastAsia="宋体" w:cs="宋体"/>
                <w:spacing w:val="-7"/>
                <w:sz w:val="21"/>
              </w:rPr>
              <w:t>③造价工程师 1 名：同时具有水运工程系列专业高级工程师（或以上）职称、住房和城乡建设部颁发的造价工程师注册证；</w:t>
            </w:r>
          </w:p>
          <w:p>
            <w:pPr>
              <w:pStyle w:val="13"/>
              <w:wordWrap w:val="0"/>
              <w:topLinePunct/>
              <w:autoSpaceDE/>
              <w:autoSpaceDN/>
              <w:spacing w:before="2" w:line="242" w:lineRule="auto"/>
              <w:ind w:left="106" w:right="98" w:firstLine="420"/>
              <w:rPr>
                <w:rFonts w:hint="eastAsia" w:eastAsia="宋体"/>
                <w:sz w:val="21"/>
                <w:lang w:eastAsia="zh-CN"/>
              </w:rPr>
            </w:pPr>
            <w:r>
              <w:rPr>
                <w:rFonts w:ascii="宋体" w:hAnsi="宋体" w:eastAsia="宋体" w:cs="宋体"/>
                <w:spacing w:val="-7"/>
                <w:sz w:val="21"/>
              </w:rPr>
              <w:t>④ 测量负责人 2 名：具有水运工程系列专业高级工程师（或以上）职称和国家测绘局颁发的测量员证</w:t>
            </w:r>
            <w:r>
              <w:rPr>
                <w:rFonts w:hint="eastAsia" w:cs="宋体"/>
                <w:spacing w:val="-7"/>
                <w:sz w:val="21"/>
                <w:lang w:eastAsia="zh-CN"/>
              </w:rPr>
              <w:t>；</w:t>
            </w:r>
          </w:p>
          <w:p>
            <w:pPr>
              <w:pStyle w:val="13"/>
              <w:wordWrap w:val="0"/>
              <w:topLinePunct/>
              <w:autoSpaceDE/>
              <w:autoSpaceDN/>
              <w:spacing w:before="5" w:line="251" w:lineRule="exact"/>
              <w:ind w:left="526"/>
              <w:rPr>
                <w:rFonts w:hint="default" w:eastAsia="宋体"/>
                <w:sz w:val="21"/>
                <w:lang w:val="en-US" w:eastAsia="zh-CN"/>
              </w:rPr>
            </w:pPr>
            <w:r>
              <w:rPr>
                <w:rFonts w:hint="eastAsia"/>
                <w:sz w:val="21"/>
                <w:lang w:val="en-US" w:eastAsia="zh-CN"/>
              </w:rPr>
              <w:t>3.以上两项合计0.8分。</w:t>
            </w:r>
          </w:p>
          <w:p>
            <w:pPr>
              <w:ind w:firstLine="420" w:firstLineChars="200"/>
              <w:rPr>
                <w:rFonts w:ascii="Times New Roman" w:hAnsi="Times New Roman" w:eastAsia="宋体" w:cs="Times New Roman"/>
                <w:color w:val="auto"/>
                <w:kern w:val="2"/>
                <w:sz w:val="21"/>
                <w:szCs w:val="24"/>
                <w:highlight w:val="none"/>
                <w:lang w:val="en-US" w:eastAsia="zh-CN" w:bidi="ar-SA"/>
              </w:rPr>
            </w:pPr>
            <w:r>
              <w:rPr>
                <w:sz w:val="21"/>
              </w:rPr>
              <w:t>注：提供人员相应证书复印件。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2.2.4(3)</w:t>
            </w:r>
          </w:p>
        </w:tc>
        <w:tc>
          <w:tcPr>
            <w:tcW w:w="1588" w:type="dxa"/>
            <w:gridSpan w:val="2"/>
            <w:vAlign w:val="center"/>
          </w:tcPr>
          <w:p>
            <w:pPr>
              <w:snapToGrid w:val="0"/>
              <w:spacing w:line="240" w:lineRule="atLeast"/>
              <w:jc w:val="center"/>
              <w:rPr>
                <w:rFonts w:ascii="宋体" w:hAnsi="宋体"/>
                <w:color w:val="auto"/>
                <w:szCs w:val="21"/>
                <w:highlight w:val="none"/>
              </w:rPr>
            </w:pPr>
            <w:r>
              <w:rPr>
                <w:rStyle w:val="21"/>
                <w:rFonts w:ascii="宋体" w:hAnsi="宋体" w:eastAsia="宋体"/>
                <w:color w:val="auto"/>
                <w:sz w:val="21"/>
                <w:szCs w:val="21"/>
                <w:highlight w:val="none"/>
              </w:rPr>
              <w:t>评标价</w:t>
            </w:r>
          </w:p>
        </w:tc>
        <w:tc>
          <w:tcPr>
            <w:tcW w:w="73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u w:val="single"/>
                <w:lang w:val="en-US" w:eastAsia="zh-CN"/>
              </w:rPr>
              <w:t>80</w:t>
            </w:r>
            <w:r>
              <w:rPr>
                <w:rFonts w:ascii="宋体" w:hAnsi="宋体"/>
                <w:color w:val="auto"/>
                <w:szCs w:val="21"/>
                <w:highlight w:val="none"/>
              </w:rPr>
              <w:t>分</w:t>
            </w:r>
          </w:p>
        </w:tc>
        <w:tc>
          <w:tcPr>
            <w:tcW w:w="6272" w:type="dxa"/>
            <w:gridSpan w:val="3"/>
            <w:vAlign w:val="center"/>
          </w:tcPr>
          <w:p>
            <w:pPr>
              <w:snapToGrid/>
              <w:spacing w:line="240" w:lineRule="auto"/>
              <w:ind w:firstLine="440" w:firstLineChars="200"/>
              <w:jc w:val="left"/>
              <w:rPr>
                <w:rFonts w:ascii="宋体" w:hAnsi="宋体" w:cs="宋体"/>
                <w:color w:val="auto"/>
                <w:szCs w:val="21"/>
                <w:highlight w:val="none"/>
              </w:rPr>
            </w:pPr>
            <w:r>
              <w:rPr>
                <w:rFonts w:ascii="宋体" w:hAnsi="宋体" w:cs="宋体"/>
                <w:color w:val="auto"/>
                <w:szCs w:val="21"/>
                <w:highlight w:val="none"/>
              </w:rPr>
              <w:t>评标价得分计算公式示例：</w:t>
            </w:r>
          </w:p>
          <w:p>
            <w:pPr>
              <w:snapToGrid/>
              <w:spacing w:line="240" w:lineRule="auto"/>
              <w:ind w:firstLine="440" w:firstLineChars="200"/>
              <w:jc w:val="left"/>
              <w:rPr>
                <w:rFonts w:ascii="宋体" w:hAnsi="宋体" w:cs="宋体"/>
                <w:color w:val="auto"/>
                <w:szCs w:val="21"/>
                <w:highlight w:val="none"/>
              </w:rPr>
            </w:pPr>
            <w:r>
              <w:rPr>
                <w:rFonts w:ascii="宋体" w:hAnsi="宋体" w:cs="宋体"/>
                <w:color w:val="auto"/>
                <w:szCs w:val="21"/>
                <w:highlight w:val="none"/>
              </w:rPr>
              <w:t xml:space="preserve">(1)如果投标人的评标价&gt;评标基准价，则评标价得分＝F－偏差率×100× D1；D1取 1.5 </w:t>
            </w:r>
            <w:r>
              <w:rPr>
                <w:rFonts w:hint="eastAsia" w:ascii="宋体" w:hAnsi="宋体" w:cs="宋体"/>
                <w:color w:val="auto"/>
                <w:szCs w:val="21"/>
                <w:highlight w:val="none"/>
              </w:rPr>
              <w:t>；</w:t>
            </w:r>
          </w:p>
          <w:p>
            <w:pPr>
              <w:snapToGrid/>
              <w:spacing w:line="240" w:lineRule="auto"/>
              <w:ind w:firstLine="440" w:firstLineChars="200"/>
              <w:jc w:val="left"/>
              <w:rPr>
                <w:rFonts w:ascii="宋体" w:hAnsi="宋体" w:cs="宋体"/>
                <w:color w:val="auto"/>
                <w:szCs w:val="21"/>
                <w:highlight w:val="none"/>
              </w:rPr>
            </w:pPr>
            <w:r>
              <w:rPr>
                <w:rFonts w:ascii="宋体" w:hAnsi="宋体" w:cs="宋体"/>
                <w:color w:val="auto"/>
                <w:szCs w:val="21"/>
                <w:highlight w:val="none"/>
              </w:rPr>
              <w:t>(2)如果投标人的评标价≤评标基准价，则评标价得分＝F＋偏差率× 100×D2；D2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0.5</w:t>
            </w:r>
            <w:r>
              <w:rPr>
                <w:rFonts w:ascii="宋体" w:hAnsi="宋体" w:cs="宋体"/>
                <w:color w:val="auto"/>
                <w:szCs w:val="21"/>
                <w:highlight w:val="none"/>
              </w:rPr>
              <w:t>。</w:t>
            </w:r>
          </w:p>
          <w:p>
            <w:pPr>
              <w:snapToGrid/>
              <w:spacing w:line="240" w:lineRule="auto"/>
              <w:ind w:firstLine="440" w:firstLineChars="200"/>
              <w:jc w:val="left"/>
              <w:rPr>
                <w:rFonts w:ascii="宋体" w:hAnsi="宋体"/>
                <w:color w:val="auto"/>
                <w:szCs w:val="21"/>
                <w:highlight w:val="none"/>
              </w:rPr>
            </w:pPr>
            <w:r>
              <w:rPr>
                <w:rFonts w:hint="eastAsia" w:ascii="宋体" w:hAnsi="宋体" w:cs="宋体"/>
                <w:color w:val="auto"/>
                <w:szCs w:val="21"/>
                <w:highlight w:val="none"/>
              </w:rPr>
              <w:t>注：评标价得分计算保留小数点后四位，小数点后第五位“</w:t>
            </w:r>
            <w:r>
              <w:rPr>
                <w:rFonts w:ascii="宋体" w:hAnsi="宋体" w:cs="宋体"/>
                <w:color w:val="auto"/>
                <w:szCs w:val="21"/>
                <w:highlight w:val="none"/>
              </w:rPr>
              <w:t>四舍五入</w:t>
            </w: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2.2.4(4)</w:t>
            </w:r>
          </w:p>
        </w:tc>
        <w:tc>
          <w:tcPr>
            <w:tcW w:w="772" w:type="dxa"/>
            <w:vMerge w:val="restart"/>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其他因素</w:t>
            </w:r>
          </w:p>
        </w:tc>
        <w:tc>
          <w:tcPr>
            <w:tcW w:w="816"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rPr>
              <w:t>履约信誉</w:t>
            </w:r>
          </w:p>
        </w:tc>
        <w:tc>
          <w:tcPr>
            <w:tcW w:w="737" w:type="dxa"/>
            <w:vAlign w:val="center"/>
          </w:tcPr>
          <w:p>
            <w:pPr>
              <w:snapToGrid w:val="0"/>
              <w:spacing w:line="240" w:lineRule="atLeast"/>
              <w:jc w:val="center"/>
              <w:rPr>
                <w:rFonts w:ascii="宋体" w:hAnsi="宋体"/>
                <w:color w:val="auto"/>
                <w:szCs w:val="21"/>
                <w:highlight w:val="none"/>
              </w:rPr>
            </w:pPr>
            <w:r>
              <w:rPr>
                <w:rFonts w:ascii="宋体" w:hAnsi="宋体"/>
                <w:color w:val="auto"/>
                <w:szCs w:val="21"/>
                <w:highlight w:val="none"/>
                <w:u w:val="single"/>
              </w:rPr>
              <w:t>10</w:t>
            </w:r>
            <w:r>
              <w:rPr>
                <w:rFonts w:ascii="宋体" w:hAnsi="宋体"/>
                <w:color w:val="auto"/>
                <w:szCs w:val="21"/>
                <w:highlight w:val="none"/>
              </w:rPr>
              <w:t>分</w:t>
            </w:r>
          </w:p>
        </w:tc>
        <w:tc>
          <w:tcPr>
            <w:tcW w:w="6272" w:type="dxa"/>
            <w:gridSpan w:val="3"/>
          </w:tcPr>
          <w:p>
            <w:pPr>
              <w:pStyle w:val="6"/>
              <w:snapToGrid w:val="0"/>
              <w:spacing w:line="260" w:lineRule="exact"/>
              <w:rPr>
                <w:rFonts w:hint="eastAsia" w:hAnsi="宋体"/>
                <w:color w:val="auto"/>
                <w:szCs w:val="21"/>
                <w:highlight w:val="none"/>
              </w:rPr>
            </w:pPr>
            <w:r>
              <w:rPr>
                <w:rFonts w:hint="eastAsia" w:hAnsi="宋体"/>
                <w:color w:val="auto"/>
                <w:szCs w:val="21"/>
                <w:highlight w:val="none"/>
              </w:rPr>
              <w:t>1.信用等级分值（5 分）</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AA、A、B、C级单位的信用等级分得分分别为5.00、4.75、4.45、3.65分。</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注：信用等级的确定原则遵循投标人须知前附表10.2款的规定。</w:t>
            </w:r>
          </w:p>
          <w:p>
            <w:pPr>
              <w:pStyle w:val="6"/>
              <w:snapToGrid w:val="0"/>
              <w:spacing w:line="260" w:lineRule="exact"/>
              <w:rPr>
                <w:rFonts w:hint="eastAsia" w:hAnsi="宋体"/>
                <w:color w:val="auto"/>
                <w:szCs w:val="21"/>
                <w:highlight w:val="none"/>
              </w:rPr>
            </w:pPr>
            <w:r>
              <w:rPr>
                <w:rFonts w:hint="eastAsia" w:hAnsi="宋体"/>
                <w:color w:val="auto"/>
                <w:szCs w:val="21"/>
                <w:highlight w:val="none"/>
              </w:rPr>
              <w:t>2.履约情况（5 分）</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若没出现下述情形得满分；</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投标文件递交截止日前 1 年内，投标人因水运工程（含附属设施）建设项目质量、安全、履约或招标投标问题等原因被：</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（1）交通运输部行政处罚的，扣 5 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（2）广东省交通运输厅行政处罚的，扣 3 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（3）项目所在地地级以上市交通运输局行政处罚的，扣 1.5 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（4）广东省交通运输厅正式约谈的，扣 0.6 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（5）项目所在地地级以上市交通运输局正式约谈的，扣0.3分/次。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（6）招标人上级管理单位（仅限于广东省内）正式约谈的，扣0.2分/次。</w:t>
            </w:r>
          </w:p>
          <w:p>
            <w:pPr>
              <w:pStyle w:val="6"/>
              <w:snapToGrid w:val="0"/>
              <w:spacing w:line="260" w:lineRule="exact"/>
              <w:ind w:firstLine="408" w:firstLineChars="204"/>
              <w:rPr>
                <w:rFonts w:hint="eastAsia" w:hAnsi="宋体"/>
                <w:color w:val="auto"/>
                <w:szCs w:val="21"/>
                <w:highlight w:val="none"/>
              </w:rPr>
            </w:pPr>
            <w:r>
              <w:rPr>
                <w:rFonts w:hint="eastAsia" w:hAnsi="宋体"/>
                <w:color w:val="auto"/>
                <w:szCs w:val="21"/>
                <w:highlight w:val="none"/>
              </w:rPr>
              <w:t>（7）本项目招标人正式约谈的，扣0.1分/次。</w:t>
            </w:r>
          </w:p>
          <w:p>
            <w:pPr>
              <w:pStyle w:val="6"/>
              <w:snapToGrid w:val="0"/>
              <w:spacing w:line="260" w:lineRule="exact"/>
              <w:ind w:firstLine="408" w:firstLineChars="204"/>
              <w:rPr>
                <w:rFonts w:hAnsi="宋体"/>
                <w:color w:val="auto"/>
                <w:szCs w:val="21"/>
                <w:highlight w:val="none"/>
              </w:rPr>
            </w:pPr>
            <w:r>
              <w:rPr>
                <w:rFonts w:hint="eastAsia" w:hAnsi="宋体"/>
                <w:color w:val="auto"/>
                <w:szCs w:val="21"/>
                <w:highlight w:val="none"/>
              </w:rPr>
              <w:t>同一事项同时被多个部门行政处罚或正式约谈只按最高的扣分计算1次。如果扣完本项分值，可以从总分中扣。以联合体形式投标的，若各联合体成员任何一方或均存在上述情形的，对联合体各成员进行累计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snapToGrid w:val="0"/>
              <w:spacing w:line="240" w:lineRule="atLeas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工程业绩</w:t>
            </w:r>
          </w:p>
        </w:tc>
        <w:tc>
          <w:tcPr>
            <w:tcW w:w="737" w:type="dxa"/>
            <w:vAlign w:val="center"/>
          </w:tcPr>
          <w:p>
            <w:pPr>
              <w:snapToGrid w:val="0"/>
              <w:spacing w:line="240" w:lineRule="atLeas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w:t>
            </w:r>
            <w:r>
              <w:rPr>
                <w:rFonts w:hint="eastAsia" w:ascii="宋体" w:hAnsi="宋体"/>
                <w:color w:val="auto"/>
                <w:szCs w:val="21"/>
                <w:highlight w:val="none"/>
              </w:rPr>
              <w:t>分</w:t>
            </w:r>
          </w:p>
        </w:tc>
        <w:tc>
          <w:tcPr>
            <w:tcW w:w="6272" w:type="dxa"/>
            <w:gridSpan w:val="3"/>
            <w:vAlign w:val="top"/>
          </w:tcPr>
          <w:p>
            <w:pPr>
              <w:snapToGrid/>
              <w:spacing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投标人自2018 年 1 月 1 日至今【以交（竣）工验收时间为准】完成过质量合格的单项合同金额不少于人民币600万元航道疏浚工程施工业绩的，每完成1项加 0.</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分，最</w:t>
            </w:r>
            <w:r>
              <w:rPr>
                <w:rFonts w:hint="eastAsia" w:cs="宋体"/>
                <w:color w:val="auto"/>
                <w:kern w:val="2"/>
                <w:sz w:val="21"/>
                <w:szCs w:val="21"/>
                <w:highlight w:val="none"/>
                <w:lang w:val="en-US" w:eastAsia="zh-CN" w:bidi="ar-SA"/>
              </w:rPr>
              <w:t>多1</w:t>
            </w:r>
            <w:r>
              <w:rPr>
                <w:rFonts w:hint="eastAsia" w:ascii="宋体" w:hAnsi="宋体" w:eastAsia="宋体" w:cs="宋体"/>
                <w:color w:val="auto"/>
                <w:kern w:val="2"/>
                <w:sz w:val="21"/>
                <w:szCs w:val="21"/>
                <w:highlight w:val="none"/>
                <w:lang w:val="en-US" w:eastAsia="zh-CN" w:bidi="ar-SA"/>
              </w:rPr>
              <w:t>分；</w:t>
            </w:r>
          </w:p>
          <w:p>
            <w:pPr>
              <w:snapToGrid/>
              <w:spacing w:line="24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注：业绩证明材料需同时附中标通知书（如有）、合同协议书、交工验收证书、质量核验意见或无交工验收一次性竣工验收证书）的复印件。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top"/>
          </w:tcPr>
          <w:p>
            <w:pPr>
              <w:snapToGrid w:val="0"/>
              <w:spacing w:line="240" w:lineRule="atLeast"/>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企业综合实力</w:t>
            </w:r>
          </w:p>
        </w:tc>
        <w:tc>
          <w:tcPr>
            <w:tcW w:w="737" w:type="dxa"/>
            <w:vAlign w:val="top"/>
          </w:tcPr>
          <w:p>
            <w:pPr>
              <w:snapToGrid w:val="0"/>
              <w:spacing w:line="240" w:lineRule="atLeast"/>
              <w:jc w:val="center"/>
              <w:rPr>
                <w:rFonts w:hint="eastAsia" w:ascii="宋体" w:hAnsi="宋体" w:eastAsia="宋体"/>
                <w:color w:val="auto"/>
                <w:szCs w:val="21"/>
                <w:highlight w:val="none"/>
              </w:rPr>
            </w:pPr>
          </w:p>
          <w:p>
            <w:pPr>
              <w:snapToGrid w:val="0"/>
              <w:spacing w:line="240" w:lineRule="atLeast"/>
              <w:jc w:val="center"/>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1 分</w:t>
            </w:r>
          </w:p>
        </w:tc>
        <w:tc>
          <w:tcPr>
            <w:tcW w:w="6272" w:type="dxa"/>
            <w:gridSpan w:val="3"/>
            <w:vAlign w:val="top"/>
          </w:tcPr>
          <w:p>
            <w:pPr>
              <w:snapToGrid w:val="0"/>
              <w:spacing w:line="240" w:lineRule="atLeast"/>
              <w:jc w:val="both"/>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1、投标人主编或参编过工程施工类国家标准，得1分；</w:t>
            </w:r>
          </w:p>
          <w:p>
            <w:pPr>
              <w:snapToGrid w:val="0"/>
              <w:spacing w:line="240" w:lineRule="atLeast"/>
              <w:jc w:val="both"/>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lang w:val="en-US" w:eastAsia="zh-CN"/>
              </w:rPr>
              <w:t>2、投标人主编或参编过工程施工类行业或地方标准，得0.</w:t>
            </w:r>
            <w:r>
              <w:rPr>
                <w:rFonts w:hint="eastAsia"/>
                <w:color w:val="auto"/>
                <w:szCs w:val="21"/>
                <w:highlight w:val="none"/>
                <w:lang w:val="en-US" w:eastAsia="zh-CN"/>
              </w:rPr>
              <w:t>6</w:t>
            </w:r>
            <w:r>
              <w:rPr>
                <w:rFonts w:hint="eastAsia" w:ascii="宋体" w:hAnsi="宋体" w:eastAsia="宋体"/>
                <w:color w:val="auto"/>
                <w:szCs w:val="21"/>
                <w:highlight w:val="none"/>
                <w:lang w:val="en-US" w:eastAsia="zh-CN"/>
              </w:rPr>
              <w:t>分。</w:t>
            </w:r>
          </w:p>
          <w:p>
            <w:pPr>
              <w:snapToGrid w:val="0"/>
              <w:spacing w:line="240" w:lineRule="atLeast"/>
              <w:jc w:val="both"/>
              <w:rPr>
                <w:rFonts w:hint="default" w:ascii="宋体" w:hAnsi="宋体" w:eastAsia="宋体"/>
                <w:color w:val="auto"/>
                <w:szCs w:val="21"/>
                <w:highlight w:val="none"/>
                <w:lang w:val="en-US" w:eastAsia="zh-CN"/>
              </w:rPr>
            </w:pPr>
            <w:r>
              <w:rPr>
                <w:rFonts w:hint="eastAsia"/>
                <w:color w:val="auto"/>
                <w:szCs w:val="21"/>
                <w:highlight w:val="none"/>
                <w:lang w:val="en-US" w:eastAsia="zh-CN"/>
              </w:rPr>
              <w:t>无提供，得0分。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8" w:type="dxa"/>
            <w:vMerge w:val="continue"/>
            <w:vAlign w:val="center"/>
          </w:tcPr>
          <w:p>
            <w:pPr>
              <w:snapToGrid w:val="0"/>
              <w:spacing w:line="240" w:lineRule="atLeast"/>
              <w:jc w:val="center"/>
              <w:rPr>
                <w:rFonts w:ascii="宋体" w:hAnsi="宋体"/>
                <w:color w:val="auto"/>
                <w:szCs w:val="21"/>
                <w:highlight w:val="none"/>
              </w:rPr>
            </w:pPr>
          </w:p>
        </w:tc>
        <w:tc>
          <w:tcPr>
            <w:tcW w:w="772" w:type="dxa"/>
            <w:vMerge w:val="continue"/>
            <w:vAlign w:val="center"/>
          </w:tcPr>
          <w:p>
            <w:pPr>
              <w:snapToGrid w:val="0"/>
              <w:spacing w:line="240" w:lineRule="atLeast"/>
              <w:jc w:val="center"/>
              <w:rPr>
                <w:rFonts w:ascii="宋体" w:hAnsi="宋体"/>
                <w:color w:val="auto"/>
                <w:szCs w:val="21"/>
                <w:highlight w:val="none"/>
              </w:rPr>
            </w:pPr>
          </w:p>
        </w:tc>
        <w:tc>
          <w:tcPr>
            <w:tcW w:w="816" w:type="dxa"/>
            <w:vAlign w:val="center"/>
          </w:tcPr>
          <w:p>
            <w:pPr>
              <w:snapToGrid w:val="0"/>
              <w:spacing w:line="240" w:lineRule="atLeas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rPr>
              <w:t>机械设备</w:t>
            </w:r>
          </w:p>
        </w:tc>
        <w:tc>
          <w:tcPr>
            <w:tcW w:w="737" w:type="dxa"/>
            <w:vAlign w:val="center"/>
          </w:tcPr>
          <w:p>
            <w:pPr>
              <w:snapToGrid w:val="0"/>
              <w:spacing w:line="240" w:lineRule="atLeast"/>
              <w:jc w:val="center"/>
              <w:rPr>
                <w:rFonts w:ascii="宋体" w:hAnsi="宋体" w:eastAsia="宋体" w:cs="Times New Roman"/>
                <w:color w:val="auto"/>
                <w:kern w:val="2"/>
                <w:sz w:val="21"/>
                <w:szCs w:val="21"/>
                <w:highlight w:val="none"/>
                <w:lang w:val="en-US" w:eastAsia="zh-CN" w:bidi="ar-SA"/>
              </w:rPr>
            </w:pPr>
            <w:r>
              <w:rPr>
                <w:rFonts w:hint="eastAsia" w:ascii="宋体" w:hAnsi="宋体"/>
                <w:color w:val="auto"/>
                <w:szCs w:val="21"/>
                <w:highlight w:val="none"/>
                <w:lang w:val="en-US" w:eastAsia="zh-CN"/>
              </w:rPr>
              <w:t>1</w:t>
            </w:r>
            <w:r>
              <w:rPr>
                <w:rFonts w:ascii="宋体" w:hAnsi="宋体"/>
                <w:color w:val="auto"/>
                <w:szCs w:val="21"/>
                <w:highlight w:val="none"/>
              </w:rPr>
              <w:t>分</w:t>
            </w:r>
          </w:p>
        </w:tc>
        <w:tc>
          <w:tcPr>
            <w:tcW w:w="6272" w:type="dxa"/>
            <w:gridSpan w:val="3"/>
            <w:vAlign w:val="center"/>
          </w:tcPr>
          <w:p>
            <w:pPr>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1.投标人的机械设备在满足资格审查条件（主要设备最低要求）时，得0.6分；    </w:t>
            </w:r>
          </w:p>
          <w:p>
            <w:pPr>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2.投标人投入的抓斗式挖泥船为6-8立方的，得0.2分；8立方或以上的，得0.4分；</w:t>
            </w:r>
          </w:p>
          <w:p>
            <w:pPr>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3.以上两项合计1分。</w:t>
            </w:r>
          </w:p>
          <w:p>
            <w:pPr>
              <w:ind w:firstLine="420" w:firstLineChars="200"/>
              <w:jc w:val="both"/>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自有须提供船舶所有权证书和船舶检验证书薄，且登记的所有权人与投标单位名称一致；租赁的应提供船舶所有权证书和船舶检验证书薄，并提供船舶租赁合同且合同期限要符合施工工期要求。上述材料提供复印件。斗容参数需在船舶检验证书或船舶安全与环保证书上体现。</w:t>
            </w:r>
          </w:p>
        </w:tc>
      </w:tr>
    </w:tbl>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rPr>
          <w:sz w:val="22"/>
        </w:rPr>
      </w:pPr>
    </w:p>
    <w:p>
      <w:pPr>
        <w:pStyle w:val="5"/>
        <w:wordWrap w:val="0"/>
        <w:topLinePunct/>
        <w:autoSpaceDE/>
        <w:autoSpaceDN/>
        <w:spacing w:before="3"/>
        <w:rPr>
          <w:sz w:val="28"/>
        </w:rPr>
      </w:pPr>
    </w:p>
    <w:p>
      <w:pPr>
        <w:wordWrap w:val="0"/>
        <w:topLinePunct/>
        <w:autoSpaceDE/>
        <w:autoSpaceDN/>
        <w:spacing w:after="0"/>
        <w:rPr>
          <w:sz w:val="21"/>
        </w:rPr>
        <w:sectPr>
          <w:footerReference r:id="rId9" w:type="default"/>
          <w:pgSz w:w="11900" w:h="16840"/>
          <w:pgMar w:top="1420" w:right="580" w:bottom="780" w:left="760" w:header="0" w:footer="589" w:gutter="0"/>
          <w:pgBorders>
            <w:top w:val="none" w:sz="0" w:space="0"/>
            <w:left w:val="none" w:sz="0" w:space="0"/>
            <w:bottom w:val="none" w:sz="0" w:space="0"/>
            <w:right w:val="none" w:sz="0" w:space="0"/>
          </w:pgBorders>
          <w:pgNumType w:start="50"/>
          <w:cols w:space="720" w:num="1"/>
        </w:sectPr>
      </w:pPr>
    </w:p>
    <w:tbl>
      <w:tblPr>
        <w:tblStyle w:val="9"/>
        <w:tblW w:w="10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68"/>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653" w:type="dxa"/>
            <w:gridSpan w:val="2"/>
            <w:shd w:val="clear" w:color="auto" w:fill="auto"/>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8285"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补充或修改的内容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8285" w:type="dxa"/>
            <w:shd w:val="clear" w:color="auto" w:fill="auto"/>
            <w:vAlign w:val="center"/>
          </w:tcPr>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将评标办法原文第1条“评标方法”改为“评标方法、组织及工作程序”，原文内容修改如下：</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1.评标方法、组织及工作程序</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1.1评标方法</w:t>
            </w:r>
          </w:p>
          <w:p>
            <w:pPr>
              <w:keepNext w:val="0"/>
              <w:keepLines w:val="0"/>
              <w:pageBreakBefore w:val="0"/>
              <w:widowControl w:val="0"/>
              <w:kinsoku/>
              <w:wordWrap/>
              <w:overflowPunct/>
              <w:topLinePunct w:val="0"/>
              <w:bidi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1.2评标组织</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1.2.1协助工作组</w:t>
            </w:r>
          </w:p>
          <w:p>
            <w:pPr>
              <w:keepNext w:val="0"/>
              <w:keepLines w:val="0"/>
              <w:pageBreakBefore w:val="0"/>
              <w:widowControl w:val="0"/>
              <w:kinsoku/>
              <w:wordWrap/>
              <w:overflowPunct/>
              <w:topLinePunct w:val="0"/>
              <w:bidi w:val="0"/>
              <w:spacing w:line="240" w:lineRule="auto"/>
              <w:ind w:firstLine="315" w:firstLineChars="1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招标人可在评标工作开始前成立协助工作组，选派熟悉招标工作、政治素质高的人员组成，协助评标委员会工作。协助工作组人员的具体数量由招标人视评标工作量确定，评标责任由评标委员会负责。</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招标人可以协助评标委员会开展下列工作并提供相关信息：</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（1）根据招标文件，编制评标使用的相应表格；</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（2）对投标报价进行算术性校核（如采用固化工程量清单，本步骤省略）；</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（3）以评标标准和方法为依据，列出投标文件相对于招标文件的所有偏差，并进行归类汇总；</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（4）对投标人的资质</w:t>
            </w:r>
            <w:r>
              <w:rPr>
                <w:rFonts w:hint="eastAsia" w:ascii="宋体" w:hAnsi="宋体" w:eastAsia="宋体" w:cs="宋体"/>
                <w:strike/>
                <w:color w:val="auto"/>
                <w:sz w:val="21"/>
                <w:szCs w:val="21"/>
                <w:highlight w:val="none"/>
              </w:rPr>
              <w:t>、业绩</w:t>
            </w:r>
            <w:r>
              <w:rPr>
                <w:rFonts w:hint="eastAsia" w:ascii="宋体" w:hAnsi="宋体" w:eastAsia="宋体" w:cs="宋体"/>
                <w:color w:val="auto"/>
                <w:sz w:val="21"/>
                <w:szCs w:val="21"/>
                <w:highlight w:val="none"/>
              </w:rPr>
              <w:t>、主要人员资历和目前在岗情况、信用等级进行核实。</w:t>
            </w:r>
          </w:p>
          <w:p>
            <w:pPr>
              <w:keepNext w:val="0"/>
              <w:keepLines w:val="0"/>
              <w:pageBreakBefore w:val="0"/>
              <w:widowControl w:val="0"/>
              <w:kinsoku/>
              <w:wordWrap/>
              <w:overflowPunct/>
              <w:topLinePunct w:val="0"/>
              <w:bidi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招标人不得对投标文件作出任何评价，不得故意遗漏或者片面摘录，不得在评标委员会对所有偏差定性之前透露存有偏差的投标人名称。</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1.2.2评标委员会</w:t>
            </w:r>
          </w:p>
          <w:p>
            <w:pPr>
              <w:keepNext w:val="0"/>
              <w:keepLines w:val="0"/>
              <w:pageBreakBefore w:val="0"/>
              <w:widowControl w:val="0"/>
              <w:kinsoku/>
              <w:wordWrap/>
              <w:overflowPunct/>
              <w:topLinePunct w:val="0"/>
              <w:autoSpaceDE w:val="0"/>
              <w:autoSpaceDN w:val="0"/>
              <w:bidi w:val="0"/>
              <w:adjustRightIn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评标委员会由招标人按国家、广东省等的有关规定依法组建。评标委员会的主要工作内容包括：</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（1）评标委员会开始评标工作之前，首先听取招标人、协助工作组关于工程情况和辅助工作的说明，并认真研读招标文件，获取评标所需的重要信息和数据；</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（2）对协助工作组提供的评标工作用表和评标内容进行核查。</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（3）按照以下1.3款程序进行各项评审工作。</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1.3评审工作程序</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（一）第一个信封（商务及技术文件）：</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l、初步评审：包括形式评审与响应性评审、资格评审；</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2、详细评审（评审打分）：评标委员会首先对通过初步评审的投标文件第一个信封（商务及技术文件）进行详细评审，对投标人的施工组织设计、项目管理机构、其他因素等分别评审打分。</w:t>
            </w:r>
          </w:p>
          <w:p>
            <w:pPr>
              <w:keepNext w:val="0"/>
              <w:keepLines w:val="0"/>
              <w:pageBreakBefore w:val="0"/>
              <w:widowControl w:val="0"/>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（二）第二个信封（报价文件）：</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1、初步评审：</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（1）只有投标文件第一个信封通过详细评审的投标人才能继续参加第二个信封报价文件的形式评审与响应性评审；</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（2）报价算术性修正（如采用固化工程量清单，本步骤省略）；</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2、详细评审：计算评标基准价、评标价得分及综合得分；</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（三）投标文件相关信息的核查。</w:t>
            </w:r>
          </w:p>
          <w:p>
            <w:pPr>
              <w:keepNext w:val="0"/>
              <w:keepLines w:val="0"/>
              <w:pageBreakBefore w:val="0"/>
              <w:widowControl w:val="0"/>
              <w:kinsoku/>
              <w:wordWrap/>
              <w:overflowPunct/>
              <w:topLinePunct w:val="0"/>
              <w:bidi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(四)投标文件的澄清和说明(如有)</w:t>
            </w:r>
          </w:p>
          <w:p>
            <w:pPr>
              <w:keepNext w:val="0"/>
              <w:keepLines w:val="0"/>
              <w:pageBreakBefore w:val="0"/>
              <w:widowControl w:val="0"/>
              <w:kinsoku/>
              <w:wordWrap/>
              <w:overflowPunct/>
              <w:topLinePunct w:val="0"/>
              <w:bidi w:val="0"/>
              <w:spacing w:line="24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（五）按评标办法规定推荐中标候选人，编写评标报告。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3.2.2</w:t>
            </w:r>
          </w:p>
        </w:tc>
        <w:tc>
          <w:tcPr>
            <w:tcW w:w="8285" w:type="dxa"/>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将评标办法原文第3.2.2项修改如下：</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投标人的商务和技术得分分值计算保留小数点后三位，小数点后第四位“四舍五入”。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3.2.3</w:t>
            </w:r>
          </w:p>
        </w:tc>
        <w:tc>
          <w:tcPr>
            <w:tcW w:w="8285" w:type="dxa"/>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将评标办法范本原文第3.2.3项细化如下：</w:t>
            </w:r>
          </w:p>
          <w:p>
            <w:pPr>
              <w:keepNext w:val="0"/>
              <w:keepLines w:val="0"/>
              <w:pageBreakBefore w:val="0"/>
              <w:widowControl w:val="0"/>
              <w:kinsoku/>
              <w:wordWrap/>
              <w:overflowPunct/>
              <w:topLinePunct w:val="0"/>
              <w:bidi w:val="0"/>
              <w:adjustRightInd w:val="0"/>
              <w:snapToGrid w:val="0"/>
              <w:spacing w:line="24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投标人的商务和技术得分=A+B+D。</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u w:val="single"/>
              </w:rPr>
              <w:t>评标价、履约信誉</w:t>
            </w:r>
            <w:r>
              <w:rPr>
                <w:rFonts w:hint="eastAsia" w:ascii="宋体" w:hAnsi="宋体" w:eastAsia="宋体" w:cs="宋体"/>
                <w:color w:val="auto"/>
                <w:sz w:val="21"/>
                <w:szCs w:val="21"/>
                <w:highlight w:val="none"/>
              </w:rPr>
              <w:t>得分外，投标文件各评分因素细分项得分均不应低于其权重分的60%，评分低于权重分值60%的，评标委员会成员应当在评标报告中作出说明。</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w:t>
            </w:r>
            <w:r>
              <w:rPr>
                <w:rFonts w:hint="eastAsia" w:ascii="宋体" w:hAnsi="宋体" w:eastAsia="宋体" w:cs="宋体"/>
                <w:color w:val="auto"/>
                <w:sz w:val="21"/>
                <w:szCs w:val="21"/>
                <w:highlight w:val="none"/>
              </w:rPr>
              <w:t>保留小数点后三位，小数点后第四位“四舍五入”</w:t>
            </w:r>
            <w:r>
              <w:rPr>
                <w:rFonts w:hint="eastAsia" w:ascii="宋体" w:hAnsi="宋体" w:eastAsia="宋体" w:cs="宋体"/>
                <w:color w:val="auto"/>
                <w:kern w:val="2"/>
                <w:sz w:val="21"/>
                <w:szCs w:val="21"/>
                <w:highlight w:val="none"/>
                <w:lang w:val="en-US"/>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取消其中1名评委评分的办法（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kern w:val="2"/>
                <w:sz w:val="21"/>
                <w:szCs w:val="21"/>
                <w:highlight w:val="none"/>
                <w:lang w:val="en-US"/>
              </w:rPr>
            </w:pPr>
            <w:bookmarkStart w:id="7" w:name="_Hlk118845424"/>
            <w:r>
              <w:rPr>
                <w:rFonts w:hint="eastAsia" w:ascii="宋体" w:hAnsi="宋体" w:eastAsia="宋体" w:cs="宋体"/>
                <w:color w:val="auto"/>
                <w:kern w:val="2"/>
                <w:sz w:val="21"/>
                <w:szCs w:val="21"/>
                <w:highlight w:val="none"/>
                <w:lang w:val="en-US"/>
              </w:rPr>
              <w:t>注：如</w:t>
            </w:r>
            <w:r>
              <w:rPr>
                <w:rFonts w:hint="eastAsia" w:ascii="宋体" w:hAnsi="宋体" w:eastAsia="宋体" w:cs="宋体"/>
                <w:color w:val="auto"/>
                <w:kern w:val="2"/>
                <w:sz w:val="21"/>
                <w:szCs w:val="21"/>
                <w:highlight w:val="none"/>
                <w:lang w:val="en-US" w:eastAsia="zh-CN"/>
              </w:rPr>
              <w:t>某一评委</w:t>
            </w:r>
            <w:r>
              <w:rPr>
                <w:rFonts w:hint="eastAsia" w:ascii="宋体" w:hAnsi="宋体" w:eastAsia="宋体" w:cs="宋体"/>
                <w:color w:val="auto"/>
                <w:kern w:val="2"/>
                <w:sz w:val="21"/>
                <w:szCs w:val="21"/>
                <w:highlight w:val="none"/>
                <w:lang w:val="en-US"/>
              </w:rPr>
              <w:t>对每个投标人评分如下：10分、10分、9分、8分、8分、7分、7分的情况，次分差计算方式如下：10分-8分=2分</w:t>
            </w:r>
            <w:bookmarkEnd w:id="7"/>
            <w:r>
              <w:rPr>
                <w:rFonts w:hint="eastAsia" w:ascii="宋体" w:hAnsi="宋体" w:eastAsia="宋体" w:cs="宋体"/>
                <w:color w:val="auto"/>
                <w:kern w:val="2"/>
                <w:sz w:val="21"/>
                <w:szCs w:val="21"/>
                <w:highlight w:val="none"/>
                <w:lang w:val="en-US"/>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kern w:val="2"/>
                <w:sz w:val="21"/>
                <w:szCs w:val="21"/>
                <w:highlight w:val="none"/>
                <w:lang w:val="en-US"/>
              </w:rPr>
            </w:pP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kern w:val="2"/>
                <w:sz w:val="21"/>
                <w:szCs w:val="21"/>
                <w:highlight w:val="none"/>
                <w:lang w:val="en-US"/>
              </w:rPr>
            </w:pPr>
            <w:r>
              <w:rPr>
                <w:rFonts w:hint="eastAsia" w:ascii="宋体" w:hAnsi="宋体" w:eastAsia="宋体" w:cs="宋体"/>
                <w:color w:val="auto"/>
                <w:kern w:val="2"/>
                <w:sz w:val="21"/>
                <w:szCs w:val="21"/>
                <w:highlight w:val="none"/>
                <w:lang w:val="en-US"/>
              </w:rPr>
              <w:t>评标委员会人数为7人时，计算投标人技术得分时:各评分因素细分项中取消一个最高、一个最低分后计算算术平均值的和为投标人的最终技术得分，平均值计算保留小数点后三位，小数点后第四位“四舍五入”。</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rPr>
              <w:t>以上评标委员会人数以实际参与评审的评标委员会人数数量为准。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3.5.2</w:t>
            </w:r>
          </w:p>
        </w:tc>
        <w:tc>
          <w:tcPr>
            <w:tcW w:w="8285" w:type="dxa"/>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将评标办法原文第3.5.2项细化如下：</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投标人综合得分=投标人的商务和技术得分+C。（计算保留小数点后四位，小数点后第五位“四舍五入”）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w:t>
            </w:r>
          </w:p>
        </w:tc>
        <w:tc>
          <w:tcPr>
            <w:tcW w:w="8285" w:type="dxa"/>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ind w:right="130" w:rightChars="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3.6.2项（2）目末增加以下条款：</w:t>
            </w:r>
          </w:p>
          <w:p>
            <w:pPr>
              <w:keepNext w:val="0"/>
              <w:keepLines w:val="0"/>
              <w:pageBreakBefore w:val="0"/>
              <w:widowControl w:val="0"/>
              <w:kinsoku/>
              <w:wordWrap/>
              <w:overflowPunct/>
              <w:topLinePunct w:val="0"/>
              <w:bidi w:val="0"/>
              <w:adjustRightInd w:val="0"/>
              <w:snapToGrid w:val="0"/>
              <w:spacing w:line="240" w:lineRule="auto"/>
              <w:ind w:firstLine="220" w:firstLineChars="105"/>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w:t>
            </w:r>
            <w:r>
              <w:rPr>
                <w:rStyle w:val="21"/>
                <w:rFonts w:hint="eastAsia" w:ascii="宋体" w:hAnsi="宋体" w:eastAsia="宋体" w:cs="宋体"/>
                <w:color w:val="auto"/>
                <w:sz w:val="21"/>
                <w:szCs w:val="21"/>
                <w:highlight w:val="none"/>
              </w:rPr>
              <w:t>.当一家以上投标人评标价相同时，若各投标人工程量清单细目单价也相同，视为串标（一个标段仅一工作细目报价的除外）。</w:t>
            </w:r>
          </w:p>
          <w:p>
            <w:pPr>
              <w:keepNext w:val="0"/>
              <w:keepLines w:val="0"/>
              <w:pageBreakBefore w:val="0"/>
              <w:widowControl w:val="0"/>
              <w:kinsoku/>
              <w:wordWrap/>
              <w:overflowPunct/>
              <w:topLinePunct w:val="0"/>
              <w:bidi w:val="0"/>
              <w:adjustRightInd w:val="0"/>
              <w:snapToGrid w:val="0"/>
              <w:spacing w:line="240" w:lineRule="auto"/>
              <w:ind w:firstLine="220" w:firstLineChars="105"/>
              <w:textAlignment w:val="auto"/>
              <w:rPr>
                <w:rStyle w:val="21"/>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h.广东省实施《中华人民共和国招标投标法》办法第十六条规定的情形。</w:t>
            </w:r>
          </w:p>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增加3.6.3项：</w:t>
            </w:r>
          </w:p>
          <w:p>
            <w:pPr>
              <w:keepNext w:val="0"/>
              <w:keepLines w:val="0"/>
              <w:pageBreakBefore w:val="0"/>
              <w:widowControl w:val="0"/>
              <w:tabs>
                <w:tab w:val="left" w:pos="858"/>
              </w:tabs>
              <w:kinsoku/>
              <w:wordWrap/>
              <w:overflowPunct/>
              <w:topLinePunct w:val="0"/>
              <w:bidi w:val="0"/>
              <w:adjustRightInd w:val="0"/>
              <w:snapToGrid w:val="0"/>
              <w:spacing w:line="240" w:lineRule="auto"/>
              <w:textAlignment w:val="auto"/>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368" w:type="dxa"/>
            <w:shd w:val="clear" w:color="auto" w:fill="auto"/>
            <w:vAlign w:val="center"/>
          </w:tcPr>
          <w:p>
            <w:pPr>
              <w:keepNext w:val="0"/>
              <w:keepLines w:val="0"/>
              <w:pageBreakBefore w:val="0"/>
              <w:widowControl w:val="0"/>
              <w:kinsoku/>
              <w:wordWrap/>
              <w:overflowPunct/>
              <w:topLinePunct w:val="0"/>
              <w:bidi w:val="0"/>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p>
        </w:tc>
        <w:tc>
          <w:tcPr>
            <w:tcW w:w="8285" w:type="dxa"/>
            <w:shd w:val="clear" w:color="auto" w:fill="auto"/>
            <w:vAlign w:val="center"/>
          </w:tcPr>
          <w:p>
            <w:pPr>
              <w:keepNext w:val="0"/>
              <w:keepLines w:val="0"/>
              <w:pageBreakBefore w:val="0"/>
              <w:widowControl w:val="0"/>
              <w:kinsoku/>
              <w:wordWrap/>
              <w:overflowPunct/>
              <w:topLinePunct w:val="0"/>
              <w:bidi w:val="0"/>
              <w:adjustRightInd w:val="0"/>
              <w:snapToGrid w:val="0"/>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增加3.9.3-3.9.</w:t>
            </w:r>
            <w:r>
              <w:rPr>
                <w:rFonts w:hint="eastAsia" w:ascii="宋体" w:hAnsi="宋体" w:eastAsia="宋体" w:cs="宋体"/>
                <w:bCs/>
                <w:color w:val="auto"/>
                <w:sz w:val="21"/>
                <w:szCs w:val="21"/>
                <w:highlight w:val="none"/>
                <w:lang w:val="en-US" w:eastAsia="zh-CN"/>
              </w:rPr>
              <w:t>6</w:t>
            </w:r>
            <w:r>
              <w:rPr>
                <w:rFonts w:hint="eastAsia" w:ascii="宋体" w:hAnsi="宋体" w:eastAsia="宋体" w:cs="宋体"/>
                <w:color w:val="auto"/>
                <w:sz w:val="21"/>
                <w:szCs w:val="21"/>
                <w:highlight w:val="none"/>
              </w:rPr>
              <w:t>项</w:t>
            </w:r>
            <w:r>
              <w:rPr>
                <w:rFonts w:hint="eastAsia" w:ascii="宋体" w:hAnsi="宋体" w:eastAsia="宋体" w:cs="宋体"/>
                <w:bCs/>
                <w:color w:val="auto"/>
                <w:sz w:val="21"/>
                <w:szCs w:val="21"/>
                <w:highlight w:val="none"/>
              </w:rPr>
              <w:t>：</w:t>
            </w:r>
          </w:p>
          <w:p>
            <w:pPr>
              <w:keepNext w:val="0"/>
              <w:keepLines w:val="0"/>
              <w:pageBreakBefore w:val="0"/>
              <w:widowControl w:val="0"/>
              <w:kinsoku/>
              <w:wordWrap/>
              <w:overflowPunct/>
              <w:topLinePunct w:val="0"/>
              <w:bidi w:val="0"/>
              <w:adjustRightInd w:val="0"/>
              <w:snapToGrid w:val="0"/>
              <w:spacing w:line="240" w:lineRule="auto"/>
              <w:ind w:firstLine="432" w:firstLineChars="2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pPr>
              <w:keepNext w:val="0"/>
              <w:keepLines w:val="0"/>
              <w:pageBreakBefore w:val="0"/>
              <w:widowControl w:val="0"/>
              <w:kinsoku/>
              <w:wordWrap/>
              <w:overflowPunct/>
              <w:topLinePunct w:val="0"/>
              <w:bidi w:val="0"/>
              <w:adjustRightInd w:val="0"/>
              <w:snapToGrid w:val="0"/>
              <w:spacing w:line="240" w:lineRule="auto"/>
              <w:ind w:firstLine="424" w:firstLineChars="202"/>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pPr>
              <w:keepNext w:val="0"/>
              <w:keepLines w:val="0"/>
              <w:pageBreakBefore w:val="0"/>
              <w:widowControl w:val="0"/>
              <w:kinsoku/>
              <w:wordWrap/>
              <w:overflowPunct/>
              <w:topLinePunct w:val="0"/>
              <w:bidi w:val="0"/>
              <w:adjustRightInd w:val="0"/>
              <w:snapToGrid w:val="0"/>
              <w:spacing w:line="240" w:lineRule="auto"/>
              <w:ind w:firstLine="432" w:firstLineChars="2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如果发生无法确定推荐中标候选人的其他意外情况，评标委员会可建议招标人重新招标。</w:t>
            </w:r>
          </w:p>
          <w:p>
            <w:pPr>
              <w:keepNext w:val="0"/>
              <w:keepLines w:val="0"/>
              <w:pageBreakBefore w:val="0"/>
              <w:widowControl w:val="0"/>
              <w:kinsoku/>
              <w:wordWrap/>
              <w:overflowPunct/>
              <w:topLinePunct w:val="0"/>
              <w:bidi w:val="0"/>
              <w:adjustRightInd w:val="0"/>
              <w:snapToGrid w:val="0"/>
              <w:spacing w:line="240" w:lineRule="auto"/>
              <w:ind w:right="130" w:rightChars="5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3.9.</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本招标文件规定的否决投标条款包含在以下条款：</w:t>
            </w:r>
          </w:p>
          <w:p>
            <w:pPr>
              <w:keepNext w:val="0"/>
              <w:keepLines w:val="0"/>
              <w:pageBreakBefore w:val="0"/>
              <w:widowControl w:val="0"/>
              <w:kinsoku/>
              <w:wordWrap/>
              <w:overflowPunct/>
              <w:topLinePunct w:val="0"/>
              <w:bidi w:val="0"/>
              <w:adjustRightInd w:val="0"/>
              <w:snapToGrid w:val="0"/>
              <w:spacing w:line="240" w:lineRule="auto"/>
              <w:ind w:right="130" w:rightChars="5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（1）招标公告第3点 投标人资格要求；</w:t>
            </w:r>
          </w:p>
          <w:p>
            <w:pPr>
              <w:keepNext w:val="0"/>
              <w:keepLines w:val="0"/>
              <w:pageBreakBefore w:val="0"/>
              <w:widowControl w:val="0"/>
              <w:kinsoku/>
              <w:wordWrap/>
              <w:overflowPunct/>
              <w:topLinePunct w:val="0"/>
              <w:bidi w:val="0"/>
              <w:adjustRightInd w:val="0"/>
              <w:snapToGrid w:val="0"/>
              <w:spacing w:line="240" w:lineRule="auto"/>
              <w:ind w:right="130" w:rightChars="59"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u w:val="single"/>
              </w:rPr>
              <w:t>投标人须知1.4.3项、1.4.4项、1.11.1项、1.12.2项、3.4.2项、3.6.1项；</w:t>
            </w:r>
          </w:p>
          <w:p>
            <w:pPr>
              <w:keepNext w:val="0"/>
              <w:keepLines w:val="0"/>
              <w:pageBreakBefore w:val="0"/>
              <w:widowControl w:val="0"/>
              <w:kinsoku/>
              <w:wordWrap/>
              <w:overflowPunct/>
              <w:topLinePunct w:val="0"/>
              <w:bidi w:val="0"/>
              <w:adjustRightInd w:val="0"/>
              <w:snapToGrid w:val="0"/>
              <w:spacing w:line="240" w:lineRule="auto"/>
              <w:ind w:firstLine="432" w:firstLineChars="2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（3）本评标办法的否决条款。</w:t>
            </w:r>
          </w:p>
        </w:tc>
      </w:tr>
    </w:tbl>
    <w:p>
      <w:pPr>
        <w:wordWrap w:val="0"/>
        <w:topLinePunct/>
        <w:autoSpaceDE/>
        <w:autoSpaceDN/>
        <w:spacing w:after="0" w:line="270" w:lineRule="atLeast"/>
        <w:rPr>
          <w:sz w:val="21"/>
        </w:rPr>
        <w:sectPr>
          <w:pgSz w:w="11900" w:h="16840"/>
          <w:pgMar w:top="1420" w:right="580" w:bottom="800" w:left="760" w:header="0" w:footer="589" w:gutter="0"/>
          <w:pgBorders>
            <w:top w:val="none" w:sz="0" w:space="0"/>
            <w:left w:val="none" w:sz="0" w:space="0"/>
            <w:bottom w:val="none" w:sz="0" w:space="0"/>
            <w:right w:val="none" w:sz="0" w:space="0"/>
          </w:pgBorders>
          <w:cols w:space="720" w:num="1"/>
        </w:sectPr>
      </w:pPr>
    </w:p>
    <w:p>
      <w:pPr>
        <w:pStyle w:val="12"/>
        <w:numPr>
          <w:ilvl w:val="0"/>
          <w:numId w:val="4"/>
        </w:numPr>
        <w:tabs>
          <w:tab w:val="left" w:pos="1069"/>
        </w:tabs>
        <w:wordWrap w:val="0"/>
        <w:topLinePunct/>
        <w:autoSpaceDE/>
        <w:autoSpaceDN/>
        <w:spacing w:before="41" w:after="0" w:line="240" w:lineRule="auto"/>
        <w:ind w:left="1068" w:right="0" w:hanging="412"/>
        <w:jc w:val="left"/>
        <w:rPr>
          <w:rFonts w:ascii="PMingLiU-ExtB" w:eastAsia="PMingLiU-ExtB"/>
          <w:sz w:val="24"/>
        </w:rPr>
      </w:pPr>
      <w:r>
        <w:rPr>
          <w:spacing w:val="29"/>
          <w:sz w:val="24"/>
        </w:rPr>
        <w:t>评标方法</w:t>
      </w:r>
    </w:p>
    <w:p>
      <w:pPr>
        <w:wordWrap w:val="0"/>
        <w:topLinePunct/>
        <w:autoSpaceDE/>
        <w:autoSpaceDN/>
        <w:spacing w:before="143" w:line="364" w:lineRule="auto"/>
        <w:ind w:left="656" w:right="835" w:firstLine="372"/>
        <w:jc w:val="both"/>
        <w:rPr>
          <w:sz w:val="21"/>
        </w:rPr>
      </w:pPr>
      <w:r>
        <w:rPr>
          <w:spacing w:val="0"/>
          <w:w w:val="100"/>
          <w:sz w:val="21"/>
        </w:rPr>
        <w:t>本次评标采用综合评分法。评标委员会对满足招标文件实质性要求的投标文件，按照本章第</w:t>
      </w:r>
      <w:r>
        <w:rPr>
          <w:spacing w:val="0"/>
          <w:sz w:val="21"/>
        </w:rPr>
        <w:t xml:space="preserve"> </w:t>
      </w:r>
      <w:r>
        <w:rPr>
          <w:spacing w:val="0"/>
          <w:w w:val="100"/>
          <w:sz w:val="21"/>
        </w:rPr>
        <w:t>2．</w:t>
      </w:r>
      <w:r>
        <w:rPr>
          <w:w w:val="100"/>
          <w:sz w:val="21"/>
        </w:rPr>
        <w:t>2</w:t>
      </w:r>
      <w:r>
        <w:rPr>
          <w:sz w:val="21"/>
        </w:rPr>
        <w:t>款规定的评分标准进行打分，并按得分由高到低顺序推荐中标候选人，或根据招标人授权直接确定中标人，但投标报价低于其成本的除外。综合评分相等时，评标委员会应按照评标办法前附表规定的优先次序推荐中标候选人或确定中标人。</w:t>
      </w:r>
    </w:p>
    <w:p>
      <w:pPr>
        <w:pStyle w:val="12"/>
        <w:numPr>
          <w:ilvl w:val="0"/>
          <w:numId w:val="4"/>
        </w:numPr>
        <w:tabs>
          <w:tab w:val="left" w:pos="1032"/>
        </w:tabs>
        <w:wordWrap w:val="0"/>
        <w:topLinePunct/>
        <w:autoSpaceDE/>
        <w:autoSpaceDN/>
        <w:spacing w:before="0" w:after="0" w:line="307" w:lineRule="exact"/>
        <w:ind w:left="1031" w:right="0" w:hanging="375"/>
        <w:jc w:val="left"/>
        <w:rPr>
          <w:rFonts w:ascii="Arial" w:eastAsia="Arial"/>
          <w:sz w:val="22"/>
        </w:rPr>
      </w:pPr>
      <w:bookmarkStart w:id="8" w:name="2．评审标准"/>
      <w:bookmarkEnd w:id="8"/>
      <w:bookmarkStart w:id="9" w:name="2．评审标准"/>
      <w:bookmarkEnd w:id="9"/>
      <w:r>
        <w:rPr>
          <w:sz w:val="24"/>
        </w:rPr>
        <w:t>评审标准</w:t>
      </w:r>
    </w:p>
    <w:p>
      <w:pPr>
        <w:pStyle w:val="12"/>
        <w:numPr>
          <w:ilvl w:val="1"/>
          <w:numId w:val="4"/>
        </w:numPr>
        <w:tabs>
          <w:tab w:val="left" w:pos="1441"/>
        </w:tabs>
        <w:wordWrap w:val="0"/>
        <w:topLinePunct/>
        <w:autoSpaceDE/>
        <w:autoSpaceDN/>
        <w:spacing w:before="161" w:after="0" w:line="240" w:lineRule="auto"/>
        <w:ind w:left="1440" w:right="0" w:hanging="360"/>
        <w:jc w:val="left"/>
        <w:rPr>
          <w:sz w:val="24"/>
        </w:rPr>
      </w:pPr>
      <w:bookmarkStart w:id="10" w:name="2.1初步评审标准"/>
      <w:bookmarkEnd w:id="10"/>
      <w:bookmarkStart w:id="11" w:name="2.1初步评审标准"/>
      <w:bookmarkEnd w:id="11"/>
      <w:r>
        <w:rPr>
          <w:sz w:val="24"/>
        </w:rPr>
        <w:t>初步评审标准</w:t>
      </w:r>
    </w:p>
    <w:p>
      <w:pPr>
        <w:pStyle w:val="12"/>
        <w:numPr>
          <w:ilvl w:val="2"/>
          <w:numId w:val="4"/>
        </w:numPr>
        <w:tabs>
          <w:tab w:val="left" w:pos="1607"/>
        </w:tabs>
        <w:wordWrap w:val="0"/>
        <w:topLinePunct/>
        <w:autoSpaceDE/>
        <w:autoSpaceDN/>
        <w:spacing w:before="226" w:after="0" w:line="240" w:lineRule="auto"/>
        <w:ind w:left="1606" w:right="0" w:hanging="578"/>
        <w:jc w:val="left"/>
        <w:rPr>
          <w:rFonts w:hint="eastAsia"/>
          <w:sz w:val="21"/>
        </w:rPr>
      </w:pPr>
      <w:r>
        <w:rPr>
          <w:rFonts w:hint="eastAsia"/>
          <w:w w:val="95"/>
          <w:sz w:val="21"/>
        </w:rPr>
        <w:t>形式评审标准：见评标办法前附表。</w:t>
      </w:r>
    </w:p>
    <w:p>
      <w:pPr>
        <w:pStyle w:val="12"/>
        <w:numPr>
          <w:ilvl w:val="2"/>
          <w:numId w:val="4"/>
        </w:numPr>
        <w:tabs>
          <w:tab w:val="left" w:pos="1607"/>
        </w:tabs>
        <w:wordWrap w:val="0"/>
        <w:topLinePunct/>
        <w:autoSpaceDE/>
        <w:autoSpaceDN/>
        <w:spacing w:before="139" w:after="0" w:line="240" w:lineRule="auto"/>
        <w:ind w:left="1606" w:right="0" w:hanging="578"/>
        <w:jc w:val="left"/>
        <w:rPr>
          <w:rFonts w:hint="eastAsia"/>
          <w:sz w:val="21"/>
        </w:rPr>
      </w:pPr>
      <w:r>
        <w:rPr>
          <w:rFonts w:hint="eastAsia"/>
          <w:w w:val="95"/>
          <w:sz w:val="21"/>
        </w:rPr>
        <w:t>资格评审标准：见评标办法前附表。</w:t>
      </w:r>
    </w:p>
    <w:p>
      <w:pPr>
        <w:pStyle w:val="12"/>
        <w:numPr>
          <w:ilvl w:val="2"/>
          <w:numId w:val="4"/>
        </w:numPr>
        <w:tabs>
          <w:tab w:val="left" w:pos="1607"/>
        </w:tabs>
        <w:wordWrap w:val="0"/>
        <w:topLinePunct/>
        <w:autoSpaceDE/>
        <w:autoSpaceDN/>
        <w:spacing w:before="226" w:after="0" w:line="240" w:lineRule="auto"/>
        <w:ind w:left="1606" w:right="0" w:hanging="578"/>
        <w:jc w:val="left"/>
        <w:rPr>
          <w:rFonts w:hint="eastAsia"/>
          <w:w w:val="95"/>
          <w:sz w:val="21"/>
        </w:rPr>
      </w:pPr>
      <w:r>
        <w:rPr>
          <w:rFonts w:hint="eastAsia"/>
          <w:w w:val="95"/>
          <w:sz w:val="21"/>
        </w:rPr>
        <w:t>响应性评审标准：见评标办法前附表。</w:t>
      </w:r>
    </w:p>
    <w:p>
      <w:pPr>
        <w:pStyle w:val="12"/>
        <w:numPr>
          <w:ilvl w:val="1"/>
          <w:numId w:val="5"/>
        </w:numPr>
        <w:tabs>
          <w:tab w:val="left" w:pos="1441"/>
        </w:tabs>
        <w:wordWrap w:val="0"/>
        <w:topLinePunct/>
        <w:autoSpaceDE/>
        <w:autoSpaceDN/>
        <w:spacing w:before="140" w:after="0" w:line="240" w:lineRule="auto"/>
        <w:ind w:left="1440" w:right="0" w:hanging="360"/>
        <w:jc w:val="left"/>
        <w:rPr>
          <w:sz w:val="24"/>
        </w:rPr>
      </w:pPr>
      <w:bookmarkStart w:id="12" w:name="2.2分值构成与评分标准"/>
      <w:bookmarkEnd w:id="12"/>
      <w:bookmarkStart w:id="13" w:name="2.2分值构成与评分标准"/>
      <w:bookmarkEnd w:id="13"/>
      <w:r>
        <w:rPr>
          <w:sz w:val="24"/>
        </w:rPr>
        <w:t>分值构成与评分标准</w:t>
      </w:r>
    </w:p>
    <w:p>
      <w:pPr>
        <w:pStyle w:val="12"/>
        <w:numPr>
          <w:ilvl w:val="2"/>
          <w:numId w:val="5"/>
        </w:numPr>
        <w:tabs>
          <w:tab w:val="left" w:pos="1712"/>
        </w:tabs>
        <w:wordWrap w:val="0"/>
        <w:topLinePunct/>
        <w:autoSpaceDE/>
        <w:autoSpaceDN/>
        <w:spacing w:before="229" w:after="0" w:line="240" w:lineRule="auto"/>
        <w:ind w:left="1712" w:right="0" w:hanging="579"/>
        <w:jc w:val="left"/>
        <w:rPr>
          <w:sz w:val="21"/>
        </w:rPr>
      </w:pPr>
      <w:r>
        <w:rPr>
          <w:sz w:val="21"/>
        </w:rPr>
        <w:t>分值构成</w:t>
      </w:r>
    </w:p>
    <w:p>
      <w:pPr>
        <w:pStyle w:val="12"/>
        <w:numPr>
          <w:ilvl w:val="0"/>
          <w:numId w:val="6"/>
        </w:numPr>
        <w:tabs>
          <w:tab w:val="left" w:pos="1555"/>
        </w:tabs>
        <w:wordWrap w:val="0"/>
        <w:topLinePunct/>
        <w:autoSpaceDE/>
        <w:autoSpaceDN/>
        <w:spacing w:before="139" w:after="0" w:line="240" w:lineRule="auto"/>
        <w:ind w:left="1554" w:right="0" w:hanging="526"/>
        <w:jc w:val="left"/>
        <w:rPr>
          <w:w w:val="95"/>
          <w:sz w:val="21"/>
        </w:rPr>
      </w:pPr>
      <w:r>
        <w:rPr>
          <w:w w:val="95"/>
          <w:sz w:val="21"/>
        </w:rPr>
        <w:t>施工组织设计：见评标办法前附表；</w:t>
      </w:r>
    </w:p>
    <w:p>
      <w:pPr>
        <w:pStyle w:val="12"/>
        <w:numPr>
          <w:ilvl w:val="0"/>
          <w:numId w:val="6"/>
        </w:numPr>
        <w:tabs>
          <w:tab w:val="left" w:pos="1555"/>
        </w:tabs>
        <w:wordWrap w:val="0"/>
        <w:topLinePunct/>
        <w:autoSpaceDE/>
        <w:autoSpaceDN/>
        <w:spacing w:before="139" w:after="0" w:line="240" w:lineRule="auto"/>
        <w:ind w:left="1554" w:right="0" w:hanging="526"/>
        <w:jc w:val="left"/>
        <w:rPr>
          <w:sz w:val="21"/>
        </w:rPr>
      </w:pPr>
      <w:r>
        <w:rPr>
          <w:w w:val="95"/>
          <w:sz w:val="21"/>
        </w:rPr>
        <w:t>主要人员：见评标办法前附表；</w:t>
      </w:r>
    </w:p>
    <w:p>
      <w:pPr>
        <w:pStyle w:val="12"/>
        <w:numPr>
          <w:ilvl w:val="0"/>
          <w:numId w:val="6"/>
        </w:numPr>
        <w:tabs>
          <w:tab w:val="left" w:pos="1555"/>
        </w:tabs>
        <w:wordWrap w:val="0"/>
        <w:topLinePunct/>
        <w:autoSpaceDE/>
        <w:autoSpaceDN/>
        <w:spacing w:before="141" w:after="0" w:line="240" w:lineRule="auto"/>
        <w:ind w:left="1554" w:right="0" w:hanging="526"/>
        <w:jc w:val="left"/>
        <w:rPr>
          <w:sz w:val="21"/>
        </w:rPr>
      </w:pPr>
      <w:r>
        <w:rPr>
          <w:w w:val="95"/>
          <w:sz w:val="21"/>
        </w:rPr>
        <w:t>投标报价：见评标办法前附表；</w:t>
      </w:r>
    </w:p>
    <w:p>
      <w:pPr>
        <w:pStyle w:val="12"/>
        <w:numPr>
          <w:ilvl w:val="0"/>
          <w:numId w:val="6"/>
        </w:numPr>
        <w:tabs>
          <w:tab w:val="left" w:pos="1555"/>
        </w:tabs>
        <w:wordWrap w:val="0"/>
        <w:topLinePunct/>
        <w:autoSpaceDE/>
        <w:autoSpaceDN/>
        <w:spacing w:before="139" w:after="0" w:line="240" w:lineRule="auto"/>
        <w:ind w:left="1554" w:right="0" w:hanging="526"/>
        <w:jc w:val="left"/>
        <w:rPr>
          <w:sz w:val="21"/>
        </w:rPr>
      </w:pPr>
      <w:r>
        <w:rPr>
          <w:w w:val="95"/>
          <w:sz w:val="21"/>
        </w:rPr>
        <w:t>其他因素：见评标办法前附表。</w:t>
      </w:r>
    </w:p>
    <w:p>
      <w:pPr>
        <w:pStyle w:val="12"/>
        <w:numPr>
          <w:ilvl w:val="2"/>
          <w:numId w:val="5"/>
        </w:numPr>
        <w:tabs>
          <w:tab w:val="left" w:pos="1607"/>
        </w:tabs>
        <w:wordWrap w:val="0"/>
        <w:topLinePunct/>
        <w:autoSpaceDE/>
        <w:autoSpaceDN/>
        <w:spacing w:before="139" w:after="0" w:line="240" w:lineRule="auto"/>
        <w:ind w:left="1606" w:right="0" w:hanging="578"/>
        <w:jc w:val="left"/>
        <w:rPr>
          <w:sz w:val="21"/>
        </w:rPr>
      </w:pPr>
      <w:r>
        <w:rPr>
          <w:sz w:val="21"/>
        </w:rPr>
        <w:t>评标基准价计算：见评标办法前附表；</w:t>
      </w:r>
    </w:p>
    <w:p>
      <w:pPr>
        <w:pStyle w:val="12"/>
        <w:numPr>
          <w:ilvl w:val="2"/>
          <w:numId w:val="5"/>
        </w:numPr>
        <w:tabs>
          <w:tab w:val="left" w:pos="1607"/>
        </w:tabs>
        <w:wordWrap w:val="0"/>
        <w:topLinePunct/>
        <w:autoSpaceDE/>
        <w:autoSpaceDN/>
        <w:spacing w:before="139" w:after="0" w:line="240" w:lineRule="auto"/>
        <w:ind w:left="1606" w:right="0" w:hanging="578"/>
        <w:jc w:val="left"/>
        <w:rPr>
          <w:sz w:val="21"/>
        </w:rPr>
      </w:pPr>
      <w:r>
        <w:rPr>
          <w:sz w:val="21"/>
        </w:rPr>
        <w:t>投标报价的偏差率计算：见评标办法前附表；</w:t>
      </w:r>
    </w:p>
    <w:p>
      <w:pPr>
        <w:pStyle w:val="12"/>
        <w:numPr>
          <w:ilvl w:val="2"/>
          <w:numId w:val="5"/>
        </w:numPr>
        <w:tabs>
          <w:tab w:val="left" w:pos="1607"/>
        </w:tabs>
        <w:wordWrap w:val="0"/>
        <w:topLinePunct/>
        <w:autoSpaceDE/>
        <w:autoSpaceDN/>
        <w:spacing w:before="139" w:after="0" w:line="240" w:lineRule="auto"/>
        <w:ind w:left="1606" w:right="0" w:hanging="578"/>
        <w:jc w:val="left"/>
        <w:rPr>
          <w:sz w:val="21"/>
        </w:rPr>
      </w:pPr>
      <w:r>
        <w:rPr>
          <w:sz w:val="21"/>
        </w:rPr>
        <w:t>评分标准</w:t>
      </w:r>
    </w:p>
    <w:p>
      <w:pPr>
        <w:pStyle w:val="12"/>
        <w:numPr>
          <w:ilvl w:val="0"/>
          <w:numId w:val="7"/>
        </w:numPr>
        <w:tabs>
          <w:tab w:val="left" w:pos="1555"/>
        </w:tabs>
        <w:wordWrap w:val="0"/>
        <w:topLinePunct/>
        <w:autoSpaceDE/>
        <w:autoSpaceDN/>
        <w:spacing w:before="141" w:after="0" w:line="240" w:lineRule="auto"/>
        <w:ind w:left="1554" w:right="0" w:hanging="526"/>
        <w:jc w:val="left"/>
        <w:rPr>
          <w:w w:val="95"/>
          <w:sz w:val="21"/>
        </w:rPr>
      </w:pPr>
      <w:r>
        <w:rPr>
          <w:w w:val="95"/>
          <w:sz w:val="21"/>
        </w:rPr>
        <w:t>施工组织设计评分标准：见评标办法前附表；</w:t>
      </w:r>
    </w:p>
    <w:p>
      <w:pPr>
        <w:pStyle w:val="12"/>
        <w:numPr>
          <w:ilvl w:val="0"/>
          <w:numId w:val="7"/>
        </w:numPr>
        <w:tabs>
          <w:tab w:val="left" w:pos="1555"/>
        </w:tabs>
        <w:wordWrap w:val="0"/>
        <w:topLinePunct/>
        <w:autoSpaceDE/>
        <w:autoSpaceDN/>
        <w:spacing w:before="141" w:after="0" w:line="240" w:lineRule="auto"/>
        <w:ind w:left="1554" w:right="0" w:hanging="526"/>
        <w:jc w:val="left"/>
        <w:rPr>
          <w:w w:val="95"/>
          <w:sz w:val="21"/>
        </w:rPr>
      </w:pPr>
      <w:r>
        <w:rPr>
          <w:w w:val="95"/>
          <w:sz w:val="21"/>
        </w:rPr>
        <w:t>主要人员评分标准：见评标办法前附表；</w:t>
      </w:r>
    </w:p>
    <w:p>
      <w:pPr>
        <w:pStyle w:val="12"/>
        <w:numPr>
          <w:ilvl w:val="0"/>
          <w:numId w:val="7"/>
        </w:numPr>
        <w:tabs>
          <w:tab w:val="left" w:pos="1555"/>
        </w:tabs>
        <w:wordWrap w:val="0"/>
        <w:topLinePunct/>
        <w:autoSpaceDE/>
        <w:autoSpaceDN/>
        <w:spacing w:before="139" w:after="0" w:line="240" w:lineRule="auto"/>
        <w:ind w:left="1554" w:right="0" w:hanging="526"/>
        <w:jc w:val="left"/>
        <w:rPr>
          <w:sz w:val="21"/>
        </w:rPr>
      </w:pPr>
      <w:r>
        <w:rPr>
          <w:w w:val="95"/>
          <w:sz w:val="21"/>
        </w:rPr>
        <w:t>投标报价评分标准：见评标办法前附表；</w:t>
      </w:r>
    </w:p>
    <w:p>
      <w:pPr>
        <w:pStyle w:val="5"/>
        <w:wordWrap w:val="0"/>
        <w:topLinePunct/>
        <w:autoSpaceDE/>
        <w:autoSpaceDN/>
        <w:spacing w:before="5"/>
        <w:rPr>
          <w:sz w:val="15"/>
        </w:rPr>
      </w:pPr>
    </w:p>
    <w:p>
      <w:pPr>
        <w:pStyle w:val="12"/>
        <w:numPr>
          <w:ilvl w:val="0"/>
          <w:numId w:val="7"/>
        </w:numPr>
        <w:tabs>
          <w:tab w:val="left" w:pos="1555"/>
        </w:tabs>
        <w:wordWrap w:val="0"/>
        <w:topLinePunct/>
        <w:autoSpaceDE/>
        <w:autoSpaceDN/>
        <w:spacing w:before="0" w:after="0" w:line="240" w:lineRule="auto"/>
        <w:ind w:left="1554" w:right="0" w:hanging="526"/>
        <w:jc w:val="left"/>
        <w:rPr>
          <w:sz w:val="21"/>
        </w:rPr>
      </w:pPr>
      <w:r>
        <w:rPr>
          <w:w w:val="95"/>
          <w:sz w:val="21"/>
        </w:rPr>
        <w:t>其他因素评分标准：见评标办法前附表；</w:t>
      </w:r>
    </w:p>
    <w:p>
      <w:pPr>
        <w:pStyle w:val="5"/>
        <w:wordWrap w:val="0"/>
        <w:topLinePunct/>
        <w:autoSpaceDE/>
        <w:autoSpaceDN/>
        <w:spacing w:before="1"/>
        <w:rPr>
          <w:sz w:val="17"/>
        </w:rPr>
      </w:pPr>
    </w:p>
    <w:p>
      <w:pPr>
        <w:pStyle w:val="12"/>
        <w:numPr>
          <w:ilvl w:val="0"/>
          <w:numId w:val="4"/>
        </w:numPr>
        <w:tabs>
          <w:tab w:val="left" w:pos="1032"/>
        </w:tabs>
        <w:wordWrap w:val="0"/>
        <w:topLinePunct/>
        <w:autoSpaceDE/>
        <w:autoSpaceDN/>
        <w:spacing w:before="0" w:after="0" w:line="240" w:lineRule="auto"/>
        <w:ind w:left="1031" w:right="0" w:hanging="375"/>
        <w:jc w:val="left"/>
        <w:rPr>
          <w:rFonts w:ascii="Arial" w:eastAsia="Arial"/>
          <w:sz w:val="22"/>
        </w:rPr>
      </w:pPr>
      <w:bookmarkStart w:id="14" w:name="3．评标程序"/>
      <w:bookmarkEnd w:id="14"/>
      <w:bookmarkStart w:id="15" w:name="3．评标程序"/>
      <w:bookmarkEnd w:id="15"/>
      <w:r>
        <w:rPr>
          <w:sz w:val="24"/>
        </w:rPr>
        <w:t>评标程序</w:t>
      </w:r>
    </w:p>
    <w:p>
      <w:pPr>
        <w:pStyle w:val="12"/>
        <w:numPr>
          <w:ilvl w:val="1"/>
          <w:numId w:val="4"/>
        </w:numPr>
        <w:tabs>
          <w:tab w:val="left" w:pos="1441"/>
        </w:tabs>
        <w:wordWrap w:val="0"/>
        <w:topLinePunct/>
        <w:autoSpaceDE/>
        <w:autoSpaceDN/>
        <w:spacing w:before="158" w:after="0" w:line="240" w:lineRule="auto"/>
        <w:ind w:left="1440" w:right="0" w:hanging="360"/>
        <w:jc w:val="left"/>
        <w:rPr>
          <w:sz w:val="24"/>
        </w:rPr>
      </w:pPr>
      <w:bookmarkStart w:id="16" w:name="3.1第一个信封初步评审"/>
      <w:bookmarkEnd w:id="16"/>
      <w:bookmarkStart w:id="17" w:name="3.1第一个信封初步评审"/>
      <w:bookmarkEnd w:id="17"/>
      <w:r>
        <w:rPr>
          <w:sz w:val="24"/>
        </w:rPr>
        <w:t>第一个信封初步评审</w:t>
      </w:r>
    </w:p>
    <w:p>
      <w:pPr>
        <w:pStyle w:val="12"/>
        <w:numPr>
          <w:ilvl w:val="2"/>
          <w:numId w:val="4"/>
        </w:numPr>
        <w:tabs>
          <w:tab w:val="left" w:pos="1662"/>
        </w:tabs>
        <w:wordWrap w:val="0"/>
        <w:topLinePunct/>
        <w:autoSpaceDE/>
        <w:autoSpaceDN/>
        <w:spacing w:before="229" w:after="0" w:line="364" w:lineRule="auto"/>
        <w:ind w:left="656" w:right="834" w:firstLine="372"/>
        <w:jc w:val="both"/>
        <w:rPr>
          <w:sz w:val="21"/>
        </w:rPr>
      </w:pPr>
      <w:r>
        <w:rPr>
          <w:spacing w:val="-2"/>
          <w:sz w:val="21"/>
        </w:rPr>
        <w:t xml:space="preserve">评标委员会可以要求投标人提交第二章“投标人须知”第 </w:t>
      </w:r>
      <w:r>
        <w:rPr>
          <w:sz w:val="21"/>
        </w:rPr>
        <w:t>3.5.1</w:t>
      </w:r>
      <w:r>
        <w:rPr>
          <w:spacing w:val="-21"/>
          <w:sz w:val="21"/>
        </w:rPr>
        <w:t xml:space="preserve"> 项至第 </w:t>
      </w:r>
      <w:r>
        <w:rPr>
          <w:sz w:val="21"/>
        </w:rPr>
        <w:t>3.5.6</w:t>
      </w:r>
      <w:r>
        <w:rPr>
          <w:spacing w:val="-9"/>
          <w:sz w:val="21"/>
        </w:rPr>
        <w:t xml:space="preserve"> 项规定的</w:t>
      </w:r>
      <w:r>
        <w:rPr>
          <w:spacing w:val="-11"/>
          <w:sz w:val="21"/>
        </w:rPr>
        <w:t xml:space="preserve">有关证明和证件的原件，以便核验。评标委员会依据本章第 </w:t>
      </w:r>
      <w:r>
        <w:rPr>
          <w:sz w:val="21"/>
        </w:rPr>
        <w:t>2.1</w:t>
      </w:r>
      <w:r>
        <w:rPr>
          <w:spacing w:val="-7"/>
          <w:sz w:val="21"/>
        </w:rPr>
        <w:t xml:space="preserve"> 款规定的标准对投标文件第一个信封（商务及技术文件）进行初步评审。有一项不符合评审标准的，评标委员会应否决其投标。</w:t>
      </w:r>
    </w:p>
    <w:p>
      <w:pPr>
        <w:pStyle w:val="12"/>
        <w:numPr>
          <w:ilvl w:val="1"/>
          <w:numId w:val="4"/>
        </w:numPr>
        <w:tabs>
          <w:tab w:val="left" w:pos="1441"/>
        </w:tabs>
        <w:wordWrap w:val="0"/>
        <w:topLinePunct/>
        <w:autoSpaceDE/>
        <w:autoSpaceDN/>
        <w:spacing w:before="1" w:after="0" w:line="240" w:lineRule="auto"/>
        <w:ind w:left="1440" w:right="0" w:hanging="360"/>
        <w:jc w:val="left"/>
        <w:rPr>
          <w:sz w:val="24"/>
        </w:rPr>
      </w:pPr>
      <w:bookmarkStart w:id="18" w:name="3.2第一个信封详细评审"/>
      <w:bookmarkEnd w:id="18"/>
      <w:bookmarkStart w:id="19" w:name="3.2第一个信封详细评审"/>
      <w:bookmarkEnd w:id="19"/>
      <w:r>
        <w:rPr>
          <w:sz w:val="24"/>
        </w:rPr>
        <w:t>第一个信封详细评审</w:t>
      </w:r>
    </w:p>
    <w:p>
      <w:pPr>
        <w:pStyle w:val="12"/>
        <w:numPr>
          <w:ilvl w:val="2"/>
          <w:numId w:val="4"/>
        </w:numPr>
        <w:tabs>
          <w:tab w:val="left" w:pos="1607"/>
        </w:tabs>
        <w:wordWrap w:val="0"/>
        <w:topLinePunct/>
        <w:autoSpaceDE/>
        <w:autoSpaceDN/>
        <w:spacing w:before="226" w:after="0" w:line="364" w:lineRule="auto"/>
        <w:ind w:left="656" w:right="837" w:firstLine="372"/>
        <w:jc w:val="left"/>
        <w:rPr>
          <w:sz w:val="21"/>
        </w:rPr>
      </w:pPr>
      <w:r>
        <w:rPr>
          <w:spacing w:val="-7"/>
          <w:sz w:val="21"/>
        </w:rPr>
        <w:t xml:space="preserve">评标委员会按本章第 </w:t>
      </w:r>
      <w:r>
        <w:rPr>
          <w:sz w:val="21"/>
        </w:rPr>
        <w:t>2.2</w:t>
      </w:r>
      <w:r>
        <w:rPr>
          <w:spacing w:val="-12"/>
          <w:sz w:val="21"/>
        </w:rPr>
        <w:t xml:space="preserve"> 款规定的量化因素和分值进行打分，并计算出各投标人的商务和技术得分。</w:t>
      </w:r>
    </w:p>
    <w:p>
      <w:pPr>
        <w:pStyle w:val="12"/>
        <w:numPr>
          <w:ilvl w:val="0"/>
          <w:numId w:val="8"/>
        </w:numPr>
        <w:tabs>
          <w:tab w:val="left" w:pos="1555"/>
        </w:tabs>
        <w:wordWrap w:val="0"/>
        <w:topLinePunct/>
        <w:autoSpaceDE/>
        <w:autoSpaceDN/>
        <w:spacing w:before="0" w:after="0" w:line="267" w:lineRule="exact"/>
        <w:ind w:left="1554" w:right="0" w:hanging="526"/>
        <w:jc w:val="left"/>
        <w:rPr>
          <w:sz w:val="21"/>
        </w:rPr>
      </w:pPr>
      <w:r>
        <w:rPr>
          <w:spacing w:val="-11"/>
          <w:sz w:val="21"/>
        </w:rPr>
        <w:t xml:space="preserve">按本章第 </w:t>
      </w:r>
      <w:r>
        <w:rPr>
          <w:sz w:val="21"/>
        </w:rPr>
        <w:t>2.2.4（1）</w:t>
      </w:r>
      <w:r>
        <w:rPr>
          <w:spacing w:val="-2"/>
          <w:sz w:val="21"/>
        </w:rPr>
        <w:t xml:space="preserve">目规定的评审因素和分值对施工组织设计部分计算出得分 </w:t>
      </w:r>
      <w:r>
        <w:rPr>
          <w:sz w:val="21"/>
        </w:rPr>
        <w:t>A；</w:t>
      </w:r>
    </w:p>
    <w:p>
      <w:pPr>
        <w:wordWrap w:val="0"/>
        <w:topLinePunct/>
        <w:autoSpaceDE/>
        <w:autoSpaceDN/>
        <w:spacing w:after="0" w:line="267" w:lineRule="exact"/>
        <w:jc w:val="left"/>
        <w:rPr>
          <w:sz w:val="21"/>
        </w:rPr>
        <w:sectPr>
          <w:pgSz w:w="11900" w:h="16840"/>
          <w:pgMar w:top="1360" w:right="580" w:bottom="780" w:left="760" w:header="0" w:footer="589" w:gutter="0"/>
          <w:pgBorders>
            <w:top w:val="none" w:sz="0" w:space="0"/>
            <w:left w:val="none" w:sz="0" w:space="0"/>
            <w:bottom w:val="none" w:sz="0" w:space="0"/>
            <w:right w:val="none" w:sz="0" w:space="0"/>
          </w:pgBorders>
          <w:cols w:space="720" w:num="1"/>
        </w:sectPr>
      </w:pPr>
    </w:p>
    <w:p>
      <w:pPr>
        <w:pStyle w:val="12"/>
        <w:numPr>
          <w:ilvl w:val="0"/>
          <w:numId w:val="8"/>
        </w:numPr>
        <w:tabs>
          <w:tab w:val="left" w:pos="1555"/>
        </w:tabs>
        <w:wordWrap w:val="0"/>
        <w:topLinePunct/>
        <w:autoSpaceDE/>
        <w:autoSpaceDN/>
        <w:spacing w:before="40" w:after="0" w:line="240" w:lineRule="auto"/>
        <w:ind w:left="1554" w:right="0" w:hanging="526"/>
        <w:jc w:val="left"/>
        <w:rPr>
          <w:sz w:val="21"/>
        </w:rPr>
      </w:pPr>
      <w:r>
        <w:rPr>
          <w:spacing w:val="-11"/>
          <w:sz w:val="21"/>
        </w:rPr>
        <w:t xml:space="preserve">按本章第 </w:t>
      </w:r>
      <w:r>
        <w:rPr>
          <w:sz w:val="21"/>
        </w:rPr>
        <w:t>2.2.4（2）</w:t>
      </w:r>
      <w:r>
        <w:rPr>
          <w:spacing w:val="-3"/>
          <w:sz w:val="21"/>
        </w:rPr>
        <w:t xml:space="preserve">目规定的评审因素和分值对主要人员部分计算出得分 </w:t>
      </w:r>
      <w:r>
        <w:rPr>
          <w:sz w:val="21"/>
        </w:rPr>
        <w:t>B；</w:t>
      </w:r>
    </w:p>
    <w:p>
      <w:pPr>
        <w:pStyle w:val="12"/>
        <w:numPr>
          <w:ilvl w:val="0"/>
          <w:numId w:val="8"/>
        </w:numPr>
        <w:tabs>
          <w:tab w:val="left" w:pos="1555"/>
        </w:tabs>
        <w:wordWrap w:val="0"/>
        <w:topLinePunct/>
        <w:autoSpaceDE/>
        <w:autoSpaceDN/>
        <w:spacing w:before="139" w:after="0" w:line="240" w:lineRule="auto"/>
        <w:ind w:left="1554" w:right="0" w:hanging="526"/>
        <w:jc w:val="left"/>
        <w:rPr>
          <w:sz w:val="21"/>
        </w:rPr>
      </w:pPr>
      <w:r>
        <w:rPr>
          <w:spacing w:val="-11"/>
          <w:sz w:val="21"/>
        </w:rPr>
        <w:t xml:space="preserve">按本章第 </w:t>
      </w:r>
      <w:r>
        <w:rPr>
          <w:sz w:val="21"/>
        </w:rPr>
        <w:t>2.2.4（4）</w:t>
      </w:r>
      <w:r>
        <w:rPr>
          <w:spacing w:val="-3"/>
          <w:sz w:val="21"/>
        </w:rPr>
        <w:t xml:space="preserve">目规定的评审因素和分值对其他部分计算出得分 </w:t>
      </w:r>
      <w:r>
        <w:rPr>
          <w:sz w:val="21"/>
        </w:rPr>
        <w:t>D。</w:t>
      </w:r>
    </w:p>
    <w:p>
      <w:pPr>
        <w:pStyle w:val="12"/>
        <w:numPr>
          <w:ilvl w:val="2"/>
          <w:numId w:val="4"/>
        </w:numPr>
        <w:tabs>
          <w:tab w:val="left" w:pos="1607"/>
        </w:tabs>
        <w:wordWrap w:val="0"/>
        <w:topLinePunct/>
        <w:autoSpaceDE/>
        <w:autoSpaceDN/>
        <w:spacing w:before="139" w:after="0" w:line="240" w:lineRule="auto"/>
        <w:ind w:left="1606" w:right="0" w:hanging="578"/>
        <w:jc w:val="left"/>
        <w:rPr>
          <w:sz w:val="21"/>
        </w:rPr>
      </w:pPr>
      <w:r>
        <w:rPr>
          <w:sz w:val="21"/>
        </w:rPr>
        <w:t>投标人的商务和技术得分分值计算保留小数点后两位，小数点后第三位“四舍五入”。</w:t>
      </w:r>
    </w:p>
    <w:p>
      <w:pPr>
        <w:pStyle w:val="12"/>
        <w:numPr>
          <w:ilvl w:val="2"/>
          <w:numId w:val="4"/>
        </w:numPr>
        <w:tabs>
          <w:tab w:val="left" w:pos="1607"/>
        </w:tabs>
        <w:wordWrap w:val="0"/>
        <w:topLinePunct/>
        <w:autoSpaceDE/>
        <w:autoSpaceDN/>
        <w:spacing w:before="139" w:after="0" w:line="240" w:lineRule="auto"/>
        <w:ind w:left="1606" w:right="0" w:hanging="578"/>
        <w:jc w:val="left"/>
        <w:rPr>
          <w:sz w:val="21"/>
        </w:rPr>
      </w:pPr>
      <w:r>
        <w:rPr>
          <w:sz w:val="21"/>
        </w:rPr>
        <w:t>投标人的商务和技术得分=A+B+D。</w:t>
      </w:r>
    </w:p>
    <w:p>
      <w:pPr>
        <w:pStyle w:val="12"/>
        <w:numPr>
          <w:ilvl w:val="1"/>
          <w:numId w:val="4"/>
        </w:numPr>
        <w:tabs>
          <w:tab w:val="left" w:pos="1441"/>
        </w:tabs>
        <w:wordWrap w:val="0"/>
        <w:topLinePunct/>
        <w:autoSpaceDE/>
        <w:autoSpaceDN/>
        <w:spacing w:before="142" w:after="0" w:line="240" w:lineRule="auto"/>
        <w:ind w:left="1440" w:right="0" w:hanging="360"/>
        <w:jc w:val="left"/>
        <w:rPr>
          <w:sz w:val="24"/>
        </w:rPr>
      </w:pPr>
      <w:bookmarkStart w:id="20" w:name="3.3第二个信封开标"/>
      <w:bookmarkEnd w:id="20"/>
      <w:bookmarkStart w:id="21" w:name="3.3第二个信封开标"/>
      <w:bookmarkEnd w:id="21"/>
      <w:r>
        <w:rPr>
          <w:sz w:val="24"/>
        </w:rPr>
        <w:t>第二个信封开标</w:t>
      </w:r>
    </w:p>
    <w:p>
      <w:pPr>
        <w:wordWrap w:val="0"/>
        <w:topLinePunct/>
        <w:autoSpaceDE/>
        <w:autoSpaceDN/>
        <w:spacing w:before="227" w:line="364" w:lineRule="auto"/>
        <w:ind w:left="656" w:right="837" w:firstLine="372"/>
        <w:jc w:val="both"/>
        <w:rPr>
          <w:sz w:val="21"/>
        </w:rPr>
      </w:pPr>
      <w:r>
        <w:rPr>
          <w:sz w:val="21"/>
        </w:rPr>
        <w:t>第一个信封（商务及技术文件</w:t>
      </w:r>
      <w:r>
        <w:rPr>
          <w:spacing w:val="4"/>
          <w:sz w:val="21"/>
        </w:rPr>
        <w:t>）</w:t>
      </w:r>
      <w:r>
        <w:rPr>
          <w:spacing w:val="-2"/>
          <w:sz w:val="21"/>
        </w:rPr>
        <w:t xml:space="preserve">评审结束后，招标人将按照第二章“投标人须知”第 </w:t>
      </w:r>
      <w:r>
        <w:rPr>
          <w:sz w:val="21"/>
        </w:rPr>
        <w:t>5.1</w:t>
      </w:r>
      <w:r>
        <w:rPr>
          <w:spacing w:val="-17"/>
          <w:sz w:val="21"/>
        </w:rPr>
        <w:t xml:space="preserve"> 款规定的时间和地点对通过投标文件第一个信封（商务及技术文件）评审的投标文件第二个信封（报价文件）进行开标。</w:t>
      </w:r>
    </w:p>
    <w:p>
      <w:pPr>
        <w:pStyle w:val="12"/>
        <w:numPr>
          <w:ilvl w:val="1"/>
          <w:numId w:val="4"/>
        </w:numPr>
        <w:tabs>
          <w:tab w:val="left" w:pos="1441"/>
        </w:tabs>
        <w:wordWrap w:val="0"/>
        <w:topLinePunct/>
        <w:autoSpaceDE/>
        <w:autoSpaceDN/>
        <w:spacing w:before="0" w:after="0" w:line="306" w:lineRule="exact"/>
        <w:ind w:left="1440" w:right="0" w:hanging="360"/>
        <w:jc w:val="left"/>
        <w:rPr>
          <w:sz w:val="24"/>
        </w:rPr>
      </w:pPr>
      <w:bookmarkStart w:id="22" w:name="3.4第二个信封初步评审"/>
      <w:bookmarkEnd w:id="22"/>
      <w:bookmarkStart w:id="23" w:name="3.4第二个信封初步评审"/>
      <w:bookmarkEnd w:id="23"/>
      <w:r>
        <w:rPr>
          <w:sz w:val="24"/>
        </w:rPr>
        <w:t>第二个信封初步评审</w:t>
      </w:r>
    </w:p>
    <w:p>
      <w:pPr>
        <w:pStyle w:val="12"/>
        <w:numPr>
          <w:ilvl w:val="2"/>
          <w:numId w:val="4"/>
        </w:numPr>
        <w:tabs>
          <w:tab w:val="left" w:pos="1607"/>
        </w:tabs>
        <w:wordWrap w:val="0"/>
        <w:topLinePunct/>
        <w:autoSpaceDE/>
        <w:autoSpaceDN/>
        <w:spacing w:before="226" w:after="0" w:line="367" w:lineRule="auto"/>
        <w:ind w:left="656" w:right="838" w:firstLine="372"/>
        <w:jc w:val="left"/>
        <w:rPr>
          <w:sz w:val="21"/>
        </w:rPr>
      </w:pPr>
      <w:r>
        <w:rPr>
          <w:spacing w:val="-6"/>
          <w:sz w:val="21"/>
        </w:rPr>
        <w:t xml:space="preserve">评标委员会依据本章第 </w:t>
      </w:r>
      <w:r>
        <w:rPr>
          <w:sz w:val="21"/>
        </w:rPr>
        <w:t>2.1.1</w:t>
      </w:r>
      <w:r>
        <w:rPr>
          <w:spacing w:val="-32"/>
          <w:sz w:val="21"/>
        </w:rPr>
        <w:t xml:space="preserve"> 项、第 </w:t>
      </w:r>
      <w:r>
        <w:rPr>
          <w:sz w:val="21"/>
        </w:rPr>
        <w:t>2.1.3</w:t>
      </w:r>
      <w:r>
        <w:rPr>
          <w:spacing w:val="-10"/>
          <w:sz w:val="21"/>
        </w:rPr>
        <w:t xml:space="preserve"> 项规定的评审标准对投标文件第二个信封</w:t>
      </w:r>
      <w:r>
        <w:rPr>
          <w:sz w:val="21"/>
        </w:rPr>
        <w:t>（报价文件）进行初步评审。有一项不符合评审标准的，评标委员会应否决其投标。</w:t>
      </w:r>
    </w:p>
    <w:p>
      <w:pPr>
        <w:wordWrap w:val="0"/>
        <w:topLinePunct/>
        <w:autoSpaceDE/>
        <w:autoSpaceDN/>
        <w:spacing w:before="0" w:line="364" w:lineRule="auto"/>
        <w:ind w:left="656" w:right="837" w:firstLine="372"/>
        <w:jc w:val="left"/>
        <w:rPr>
          <w:sz w:val="21"/>
        </w:rPr>
      </w:pPr>
      <w:r>
        <w:rPr>
          <w:spacing w:val="1"/>
          <w:w w:val="99"/>
          <w:sz w:val="21"/>
        </w:rPr>
        <w:t>3.4</w:t>
      </w:r>
      <w:r>
        <w:rPr>
          <w:spacing w:val="-2"/>
          <w:w w:val="99"/>
          <w:sz w:val="21"/>
        </w:rPr>
        <w:t>.</w:t>
      </w:r>
      <w:r>
        <w:rPr>
          <w:spacing w:val="1"/>
          <w:w w:val="99"/>
          <w:sz w:val="21"/>
        </w:rPr>
        <w:t>2</w:t>
      </w:r>
      <w:r>
        <w:rPr>
          <w:sz w:val="21"/>
        </w:rPr>
        <w:fldChar w:fldCharType="begin"/>
      </w:r>
      <w:r>
        <w:rPr>
          <w:sz w:val="21"/>
        </w:rPr>
        <w:instrText xml:space="preserve"> HYPERLINK \l "_bookmark6" </w:instrText>
      </w:r>
      <w:r>
        <w:rPr>
          <w:sz w:val="21"/>
        </w:rPr>
        <w:fldChar w:fldCharType="separate"/>
      </w:r>
      <w:r>
        <w:rPr>
          <w:spacing w:val="0"/>
          <w:w w:val="100"/>
          <w:position w:val="0"/>
          <w:sz w:val="21"/>
        </w:rPr>
        <w:t>1</w:t>
      </w:r>
      <w:r>
        <w:rPr>
          <w:spacing w:val="0"/>
          <w:w w:val="100"/>
          <w:position w:val="0"/>
          <w:sz w:val="21"/>
        </w:rPr>
        <w:fldChar w:fldCharType="end"/>
      </w:r>
      <w:r>
        <w:rPr>
          <w:spacing w:val="0"/>
          <w:w w:val="100"/>
          <w:sz w:val="21"/>
        </w:rPr>
        <w:t>投标报价有算术错误的，评标委员会按以下原则对投标报价进行修正，修正的价格经投标</w:t>
      </w:r>
      <w:r>
        <w:rPr>
          <w:sz w:val="21"/>
        </w:rPr>
        <w:t>人书面确认后具有约束力。投标人不接受修正价格的，评标委员会应否决其投标。</w:t>
      </w:r>
    </w:p>
    <w:p>
      <w:pPr>
        <w:pStyle w:val="12"/>
        <w:numPr>
          <w:ilvl w:val="0"/>
          <w:numId w:val="9"/>
        </w:numPr>
        <w:tabs>
          <w:tab w:val="left" w:pos="1345"/>
        </w:tabs>
        <w:wordWrap w:val="0"/>
        <w:topLinePunct/>
        <w:autoSpaceDE/>
        <w:autoSpaceDN/>
        <w:spacing w:before="0" w:after="0" w:line="267" w:lineRule="exact"/>
        <w:ind w:left="1344" w:right="0" w:hanging="316"/>
        <w:jc w:val="left"/>
        <w:rPr>
          <w:sz w:val="21"/>
        </w:rPr>
      </w:pPr>
      <w:r>
        <w:rPr>
          <w:sz w:val="21"/>
        </w:rPr>
        <w:t>投标文件中的大写金额与小写金额不一致的，以大写金额为准；</w:t>
      </w:r>
    </w:p>
    <w:p>
      <w:pPr>
        <w:pStyle w:val="12"/>
        <w:numPr>
          <w:ilvl w:val="0"/>
          <w:numId w:val="9"/>
        </w:numPr>
        <w:tabs>
          <w:tab w:val="left" w:pos="1345"/>
        </w:tabs>
        <w:wordWrap w:val="0"/>
        <w:topLinePunct/>
        <w:autoSpaceDE/>
        <w:autoSpaceDN/>
        <w:spacing w:before="137" w:after="0" w:line="364" w:lineRule="auto"/>
        <w:ind w:left="656" w:right="837" w:firstLine="372"/>
        <w:jc w:val="left"/>
        <w:rPr>
          <w:spacing w:val="-2"/>
          <w:w w:val="95"/>
          <w:sz w:val="21"/>
        </w:rPr>
      </w:pPr>
      <w:r>
        <w:rPr>
          <w:spacing w:val="-2"/>
          <w:w w:val="95"/>
          <w:sz w:val="21"/>
        </w:rPr>
        <w:t>总价金额与依据单价计算出的结果不一致的，以单价金额为准修正总价，但单价金额小数点有明显错误的除外；</w:t>
      </w:r>
    </w:p>
    <w:p>
      <w:pPr>
        <w:pStyle w:val="12"/>
        <w:numPr>
          <w:ilvl w:val="0"/>
          <w:numId w:val="9"/>
        </w:numPr>
        <w:tabs>
          <w:tab w:val="left" w:pos="1345"/>
        </w:tabs>
        <w:wordWrap w:val="0"/>
        <w:topLinePunct/>
        <w:autoSpaceDE/>
        <w:autoSpaceDN/>
        <w:spacing w:before="137" w:after="0" w:line="364" w:lineRule="auto"/>
        <w:ind w:left="656" w:right="837" w:firstLine="372"/>
        <w:jc w:val="left"/>
        <w:rPr>
          <w:spacing w:val="-2"/>
          <w:w w:val="95"/>
          <w:sz w:val="21"/>
        </w:rPr>
      </w:pPr>
      <w:r>
        <w:rPr>
          <w:spacing w:val="-2"/>
          <w:w w:val="95"/>
          <w:sz w:val="21"/>
        </w:rPr>
        <w:t>当单价与数量相乘不等于合价时，以单价计算为准，如果单价有明显的小数点位置差错，应以标出的合价为准，同时对单价予以修正；</w:t>
      </w:r>
    </w:p>
    <w:p>
      <w:pPr>
        <w:pStyle w:val="12"/>
        <w:numPr>
          <w:ilvl w:val="0"/>
          <w:numId w:val="9"/>
        </w:numPr>
        <w:tabs>
          <w:tab w:val="left" w:pos="1345"/>
        </w:tabs>
        <w:wordWrap w:val="0"/>
        <w:topLinePunct/>
        <w:autoSpaceDE/>
        <w:autoSpaceDN/>
        <w:spacing w:before="137" w:after="0" w:line="364" w:lineRule="auto"/>
        <w:ind w:left="656" w:right="837" w:firstLine="372"/>
        <w:jc w:val="left"/>
        <w:rPr>
          <w:spacing w:val="-2"/>
          <w:w w:val="95"/>
          <w:sz w:val="21"/>
        </w:rPr>
      </w:pPr>
      <w:r>
        <w:rPr>
          <w:spacing w:val="-2"/>
          <w:w w:val="95"/>
          <w:sz w:val="21"/>
        </w:rPr>
        <w:t>当各子目的合价累计不等于总价时，应以各子目合价累计数为准，修正总价。</w:t>
      </w:r>
    </w:p>
    <w:p>
      <w:pPr>
        <w:pStyle w:val="12"/>
        <w:numPr>
          <w:ilvl w:val="2"/>
          <w:numId w:val="10"/>
        </w:numPr>
        <w:tabs>
          <w:tab w:val="left" w:pos="1607"/>
        </w:tabs>
        <w:wordWrap w:val="0"/>
        <w:topLinePunct/>
        <w:autoSpaceDE/>
        <w:autoSpaceDN/>
        <w:spacing w:before="137" w:after="0" w:line="367" w:lineRule="auto"/>
        <w:ind w:left="656" w:right="838" w:firstLine="372"/>
        <w:jc w:val="left"/>
        <w:rPr>
          <w:sz w:val="21"/>
        </w:rPr>
      </w:pPr>
      <w:r>
        <w:rPr>
          <w:spacing w:val="-4"/>
          <w:w w:val="100"/>
          <w:sz w:val="21"/>
        </w:rPr>
        <w:t xml:space="preserve">工程量清单中的投标报价有其他错误的，评标委员会按以下原则对投标报价进行修正，修  </w:t>
      </w:r>
      <w:r>
        <w:rPr>
          <w:spacing w:val="-4"/>
          <w:sz w:val="21"/>
        </w:rPr>
        <w:t>正的价格经投标人书面确认后具有约束力。投标人不接受修正价格的，评标委员会应否决其投标。</w:t>
      </w:r>
    </w:p>
    <w:p>
      <w:pPr>
        <w:pStyle w:val="12"/>
        <w:numPr>
          <w:ilvl w:val="0"/>
          <w:numId w:val="11"/>
        </w:numPr>
        <w:tabs>
          <w:tab w:val="left" w:pos="1345"/>
        </w:tabs>
        <w:wordWrap w:val="0"/>
        <w:topLinePunct/>
        <w:autoSpaceDE/>
        <w:autoSpaceDN/>
        <w:spacing w:before="0" w:after="0" w:line="364" w:lineRule="auto"/>
        <w:ind w:left="656" w:right="838" w:firstLine="372"/>
        <w:jc w:val="both"/>
        <w:rPr>
          <w:sz w:val="21"/>
        </w:rPr>
      </w:pPr>
      <w:r>
        <w:rPr>
          <w:spacing w:val="-3"/>
          <w:w w:val="100"/>
          <w:sz w:val="21"/>
        </w:rPr>
        <w:t xml:space="preserve">在招标人给定的工程量清单中漏报了某个工程子目的单价、合价或总额价，或所报单价、合  </w:t>
      </w:r>
      <w:r>
        <w:rPr>
          <w:spacing w:val="-3"/>
          <w:sz w:val="21"/>
        </w:rPr>
        <w:t>价或总额价减少了报价范围，则漏报的工程子目单价、合价和总额价或单价、合价和总额价中减少的报价内容视为已含入其他工程子目的单价、合价和总额价之中。</w:t>
      </w:r>
    </w:p>
    <w:p>
      <w:pPr>
        <w:pStyle w:val="12"/>
        <w:numPr>
          <w:ilvl w:val="0"/>
          <w:numId w:val="11"/>
        </w:numPr>
        <w:tabs>
          <w:tab w:val="left" w:pos="1345"/>
        </w:tabs>
        <w:wordWrap w:val="0"/>
        <w:topLinePunct/>
        <w:autoSpaceDE/>
        <w:autoSpaceDN/>
        <w:spacing w:before="0" w:after="0" w:line="364" w:lineRule="auto"/>
        <w:ind w:left="656" w:right="838" w:firstLine="372"/>
        <w:jc w:val="both"/>
        <w:rPr>
          <w:sz w:val="21"/>
        </w:rPr>
      </w:pPr>
      <w:r>
        <w:rPr>
          <w:spacing w:val="-3"/>
          <w:w w:val="100"/>
          <w:sz w:val="21"/>
        </w:rPr>
        <w:t xml:space="preserve">在招标人给定的工程量清单中多报了某个工程子目的单价、合价或总额价，或所报单价、合  </w:t>
      </w:r>
      <w:r>
        <w:rPr>
          <w:spacing w:val="-3"/>
          <w:sz w:val="21"/>
        </w:rPr>
        <w:t>价或总额价增加了报价范围，则从投标报价中扣除多报的工程子目报价或工程子目报价中增加了报价范围的部分报价。</w:t>
      </w:r>
    </w:p>
    <w:p>
      <w:pPr>
        <w:pStyle w:val="12"/>
        <w:numPr>
          <w:ilvl w:val="0"/>
          <w:numId w:val="11"/>
        </w:numPr>
        <w:tabs>
          <w:tab w:val="left" w:pos="1345"/>
        </w:tabs>
        <w:wordWrap w:val="0"/>
        <w:topLinePunct/>
        <w:autoSpaceDE/>
        <w:autoSpaceDN/>
        <w:spacing w:before="0" w:after="0" w:line="364" w:lineRule="auto"/>
        <w:ind w:left="656" w:right="837" w:firstLine="372"/>
        <w:jc w:val="left"/>
        <w:rPr>
          <w:sz w:val="21"/>
        </w:rPr>
      </w:pPr>
      <w:r>
        <w:rPr>
          <w:spacing w:val="-2"/>
          <w:w w:val="100"/>
          <w:sz w:val="21"/>
        </w:rPr>
        <w:t xml:space="preserve">当单价与数量的乘积与合价(金额)虽然一致，但投标人修改了该子目的工程数量，则其合价  </w:t>
      </w:r>
      <w:r>
        <w:rPr>
          <w:spacing w:val="-2"/>
          <w:sz w:val="21"/>
        </w:rPr>
        <w:t>按招标人给定的工程数量乘以投标人所报单价予以修正。</w:t>
      </w:r>
    </w:p>
    <w:p>
      <w:pPr>
        <w:pStyle w:val="12"/>
        <w:numPr>
          <w:ilvl w:val="2"/>
          <w:numId w:val="10"/>
        </w:numPr>
        <w:tabs>
          <w:tab w:val="left" w:pos="1607"/>
        </w:tabs>
        <w:wordWrap w:val="0"/>
        <w:topLinePunct/>
        <w:autoSpaceDE/>
        <w:autoSpaceDN/>
        <w:spacing w:before="0" w:after="0" w:line="267" w:lineRule="exact"/>
        <w:ind w:left="1606" w:right="0" w:hanging="578"/>
        <w:jc w:val="left"/>
        <w:rPr>
          <w:sz w:val="21"/>
        </w:rPr>
      </w:pPr>
      <w:r>
        <w:rPr>
          <w:sz w:val="21"/>
        </w:rPr>
        <w:t>修正后的最终投标报价若超过最高投标限价(如有)，评标委员会应否决其投标。</w:t>
      </w:r>
    </w:p>
    <w:p>
      <w:pPr>
        <w:pStyle w:val="5"/>
        <w:wordWrap w:val="0"/>
        <w:topLinePunct/>
        <w:autoSpaceDE/>
        <w:autoSpaceDN/>
        <w:rPr>
          <w:sz w:val="20"/>
        </w:rPr>
      </w:pPr>
    </w:p>
    <w:p>
      <w:pPr>
        <w:wordWrap w:val="0"/>
        <w:topLinePunct/>
        <w:autoSpaceDE/>
        <w:autoSpaceDN/>
        <w:spacing w:before="167"/>
        <w:ind w:left="656" w:right="0" w:firstLine="0"/>
        <w:jc w:val="left"/>
        <w:rPr>
          <w:sz w:val="18"/>
        </w:rPr>
      </w:pPr>
      <w:bookmarkStart w:id="24" w:name="_bookmark6"/>
      <w:bookmarkEnd w:id="24"/>
      <w:r>
        <w:rPr>
          <w:position w:val="11"/>
          <w:sz w:val="10"/>
        </w:rPr>
        <w:t>1</w:t>
      </w:r>
      <w:r>
        <w:rPr>
          <w:sz w:val="18"/>
        </w:rPr>
        <w:t>如本项目招标采用第二章“投标人须知”第 3.2.1 项(2)目规定的由投标人按照招标人提供的工程量清单填写本合同</w:t>
      </w:r>
    </w:p>
    <w:p>
      <w:pPr>
        <w:wordWrap w:val="0"/>
        <w:topLinePunct/>
        <w:autoSpaceDE/>
        <w:autoSpaceDN/>
        <w:spacing w:before="12"/>
        <w:ind w:left="656" w:right="0" w:firstLine="0"/>
        <w:jc w:val="left"/>
        <w:rPr>
          <w:sz w:val="18"/>
        </w:rPr>
      </w:pPr>
      <w:r>
        <w:rPr>
          <w:sz w:val="18"/>
        </w:rPr>
        <w:t>各工程子目的单价、合价和总额价方式，则评标委员会按照本章第 3.4.2 项和第 3.4.3 项的规定对投标人的投标报</w:t>
      </w:r>
    </w:p>
    <w:p>
      <w:pPr>
        <w:wordWrap w:val="0"/>
        <w:topLinePunct/>
        <w:autoSpaceDE/>
        <w:autoSpaceDN/>
        <w:spacing w:before="2"/>
        <w:ind w:left="656" w:right="0" w:firstLine="0"/>
        <w:jc w:val="left"/>
        <w:rPr>
          <w:sz w:val="18"/>
        </w:rPr>
      </w:pPr>
      <w:r>
        <w:rPr>
          <w:sz w:val="18"/>
        </w:rPr>
        <w:t>价进行修正。如本项目招标采用第二章“投标人须知”第 3.2.1 项(1)目规定的投标人按照招标人提供的工程量固化</w:t>
      </w:r>
    </w:p>
    <w:p>
      <w:pPr>
        <w:wordWrap w:val="0"/>
        <w:topLinePunct/>
        <w:autoSpaceDE/>
        <w:autoSpaceDN/>
        <w:spacing w:before="2"/>
        <w:ind w:left="656" w:right="0" w:firstLine="0"/>
        <w:jc w:val="left"/>
        <w:rPr>
          <w:sz w:val="18"/>
        </w:rPr>
      </w:pPr>
      <w:r>
        <w:rPr>
          <w:sz w:val="18"/>
        </w:rPr>
        <w:t>清单电子文件填写工程量清单的，无须按照本章 3.4.2 项和第 3.4.3 项的规定对投标报价进行修正，第 3.4.2 项至</w:t>
      </w:r>
    </w:p>
    <w:p>
      <w:pPr>
        <w:wordWrap w:val="0"/>
        <w:topLinePunct/>
        <w:autoSpaceDE/>
        <w:autoSpaceDN/>
        <w:spacing w:before="2"/>
        <w:ind w:left="656" w:right="0" w:firstLine="0"/>
        <w:jc w:val="left"/>
        <w:rPr>
          <w:sz w:val="18"/>
        </w:rPr>
      </w:pPr>
      <w:r>
        <w:rPr>
          <w:sz w:val="18"/>
        </w:rPr>
        <w:t>第 3.4.5 项内容不适用。</w:t>
      </w:r>
    </w:p>
    <w:p>
      <w:pPr>
        <w:wordWrap w:val="0"/>
        <w:topLinePunct/>
        <w:autoSpaceDE/>
        <w:autoSpaceDN/>
        <w:spacing w:after="0"/>
        <w:jc w:val="left"/>
        <w:rPr>
          <w:sz w:val="18"/>
        </w:rPr>
        <w:sectPr>
          <w:pgSz w:w="11900" w:h="16840"/>
          <w:pgMar w:top="1360" w:right="580" w:bottom="860" w:left="760" w:header="0" w:footer="589" w:gutter="0"/>
          <w:pgBorders>
            <w:top w:val="none" w:sz="0" w:space="0"/>
            <w:left w:val="none" w:sz="0" w:space="0"/>
            <w:bottom w:val="none" w:sz="0" w:space="0"/>
            <w:right w:val="none" w:sz="0" w:space="0"/>
          </w:pgBorders>
          <w:cols w:space="720" w:num="1"/>
        </w:sectPr>
      </w:pPr>
    </w:p>
    <w:p>
      <w:pPr>
        <w:pStyle w:val="12"/>
        <w:numPr>
          <w:ilvl w:val="2"/>
          <w:numId w:val="10"/>
        </w:numPr>
        <w:tabs>
          <w:tab w:val="left" w:pos="1607"/>
        </w:tabs>
        <w:wordWrap w:val="0"/>
        <w:topLinePunct/>
        <w:autoSpaceDE/>
        <w:autoSpaceDN/>
        <w:spacing w:before="40" w:after="0" w:line="240" w:lineRule="auto"/>
        <w:ind w:left="1606" w:right="0" w:hanging="578"/>
        <w:jc w:val="left"/>
        <w:rPr>
          <w:sz w:val="21"/>
        </w:rPr>
      </w:pPr>
      <w:r>
        <w:rPr>
          <w:sz w:val="21"/>
        </w:rPr>
        <w:t>修正后的最终投标报价仅作为签订合同的一个依据，不参与评标价得分的计算。</w:t>
      </w:r>
    </w:p>
    <w:p>
      <w:pPr>
        <w:pStyle w:val="12"/>
        <w:numPr>
          <w:ilvl w:val="1"/>
          <w:numId w:val="12"/>
        </w:numPr>
        <w:tabs>
          <w:tab w:val="left" w:pos="1441"/>
        </w:tabs>
        <w:wordWrap w:val="0"/>
        <w:topLinePunct/>
        <w:autoSpaceDE/>
        <w:autoSpaceDN/>
        <w:spacing w:before="140" w:after="0" w:line="240" w:lineRule="auto"/>
        <w:ind w:left="1440" w:right="0" w:hanging="360"/>
        <w:jc w:val="left"/>
        <w:rPr>
          <w:sz w:val="24"/>
        </w:rPr>
      </w:pPr>
      <w:bookmarkStart w:id="25" w:name="3.5第二个信封详细评审"/>
      <w:bookmarkEnd w:id="25"/>
      <w:bookmarkStart w:id="26" w:name="3.5第二个信封详细评审"/>
      <w:bookmarkEnd w:id="26"/>
      <w:r>
        <w:rPr>
          <w:sz w:val="24"/>
        </w:rPr>
        <w:t>第二个信封详细评审</w:t>
      </w:r>
    </w:p>
    <w:p>
      <w:pPr>
        <w:pStyle w:val="12"/>
        <w:numPr>
          <w:ilvl w:val="2"/>
          <w:numId w:val="12"/>
        </w:numPr>
        <w:tabs>
          <w:tab w:val="left" w:pos="1607"/>
        </w:tabs>
        <w:wordWrap w:val="0"/>
        <w:topLinePunct/>
        <w:autoSpaceDE/>
        <w:autoSpaceDN/>
        <w:spacing w:before="227" w:after="0" w:line="364" w:lineRule="auto"/>
        <w:ind w:left="656" w:right="837" w:firstLine="372"/>
        <w:jc w:val="left"/>
        <w:rPr>
          <w:sz w:val="21"/>
        </w:rPr>
      </w:pPr>
      <w:r>
        <w:rPr>
          <w:spacing w:val="-7"/>
          <w:sz w:val="21"/>
        </w:rPr>
        <w:t xml:space="preserve">评标委员会按本章第 </w:t>
      </w:r>
      <w:r>
        <w:rPr>
          <w:spacing w:val="-6"/>
          <w:sz w:val="21"/>
        </w:rPr>
        <w:t>2.2.4（3）</w:t>
      </w:r>
      <w:r>
        <w:rPr>
          <w:spacing w:val="-3"/>
          <w:sz w:val="21"/>
        </w:rPr>
        <w:t xml:space="preserve">目规定的评审因素和分值对投标报价计算出得分 </w:t>
      </w:r>
      <w:r>
        <w:rPr>
          <w:sz w:val="21"/>
        </w:rPr>
        <w:t>C</w:t>
      </w:r>
      <w:r>
        <w:rPr>
          <w:spacing w:val="-8"/>
          <w:sz w:val="21"/>
        </w:rPr>
        <w:t>。投标报价得分分值计算保留小数点后两位，小数点后第三位“四舍五入”。</w:t>
      </w:r>
    </w:p>
    <w:p>
      <w:pPr>
        <w:pStyle w:val="12"/>
        <w:numPr>
          <w:ilvl w:val="2"/>
          <w:numId w:val="12"/>
        </w:numPr>
        <w:tabs>
          <w:tab w:val="left" w:pos="1607"/>
        </w:tabs>
        <w:wordWrap w:val="0"/>
        <w:topLinePunct/>
        <w:autoSpaceDE/>
        <w:autoSpaceDN/>
        <w:spacing w:before="227" w:after="0" w:line="364" w:lineRule="auto"/>
        <w:ind w:left="656" w:right="837" w:firstLine="372"/>
        <w:jc w:val="left"/>
        <w:rPr>
          <w:spacing w:val="-8"/>
          <w:sz w:val="21"/>
        </w:rPr>
      </w:pPr>
      <w:r>
        <w:rPr>
          <w:spacing w:val="-8"/>
          <w:w w:val="100"/>
          <w:sz w:val="21"/>
        </w:rPr>
        <w:t>投标人得分=投标人的商务和技术得分+C</w:t>
      </w:r>
    </w:p>
    <w:p>
      <w:pPr>
        <w:pStyle w:val="12"/>
        <w:numPr>
          <w:ilvl w:val="2"/>
          <w:numId w:val="12"/>
        </w:numPr>
        <w:tabs>
          <w:tab w:val="left" w:pos="1607"/>
        </w:tabs>
        <w:wordWrap w:val="0"/>
        <w:topLinePunct/>
        <w:autoSpaceDE/>
        <w:autoSpaceDN/>
        <w:spacing w:before="139" w:after="0" w:line="364" w:lineRule="auto"/>
        <w:ind w:left="656" w:right="837" w:firstLine="372"/>
        <w:jc w:val="both"/>
        <w:rPr>
          <w:sz w:val="21"/>
        </w:rPr>
      </w:pPr>
      <w:r>
        <w:rPr>
          <w:spacing w:val="-4"/>
          <w:w w:val="100"/>
          <w:sz w:val="21"/>
        </w:rPr>
        <w:t xml:space="preserve">评标委员会发现投标人的报价明显低于其他投标报价，使得其投标报价可能低于其个别成  </w:t>
      </w:r>
      <w:r>
        <w:rPr>
          <w:spacing w:val="-4"/>
          <w:sz w:val="21"/>
        </w:rPr>
        <w:t>本的，应要求该投标人作出书面说明并提供相应的证明材料。投标人不能合理说明或不能提供相应证明材料的，评标委员会应认定该投标人以低于成本报价竞标，并否决其投标。</w:t>
      </w:r>
    </w:p>
    <w:p>
      <w:pPr>
        <w:pStyle w:val="12"/>
        <w:numPr>
          <w:ilvl w:val="1"/>
          <w:numId w:val="12"/>
        </w:numPr>
        <w:tabs>
          <w:tab w:val="left" w:pos="1441"/>
        </w:tabs>
        <w:wordWrap w:val="0"/>
        <w:topLinePunct/>
        <w:autoSpaceDE/>
        <w:autoSpaceDN/>
        <w:spacing w:before="0" w:after="0" w:line="306" w:lineRule="exact"/>
        <w:ind w:left="1440" w:right="0" w:hanging="360"/>
        <w:jc w:val="left"/>
        <w:rPr>
          <w:sz w:val="24"/>
        </w:rPr>
      </w:pPr>
      <w:bookmarkStart w:id="27" w:name="3.6投标文件相关信息的核查"/>
      <w:bookmarkEnd w:id="27"/>
      <w:bookmarkStart w:id="28" w:name="3.6投标文件相关信息的核查"/>
      <w:bookmarkEnd w:id="28"/>
      <w:r>
        <w:rPr>
          <w:sz w:val="24"/>
        </w:rPr>
        <w:t>投标文件相关信息的核查</w:t>
      </w:r>
    </w:p>
    <w:p>
      <w:pPr>
        <w:pStyle w:val="12"/>
        <w:numPr>
          <w:ilvl w:val="2"/>
          <w:numId w:val="12"/>
        </w:numPr>
        <w:tabs>
          <w:tab w:val="left" w:pos="1607"/>
        </w:tabs>
        <w:wordWrap w:val="0"/>
        <w:topLinePunct/>
        <w:autoSpaceDE/>
        <w:autoSpaceDN/>
        <w:spacing w:before="226" w:after="0" w:line="364" w:lineRule="auto"/>
        <w:ind w:left="656" w:right="837" w:firstLine="372"/>
        <w:jc w:val="both"/>
        <w:rPr>
          <w:sz w:val="21"/>
        </w:rPr>
      </w:pPr>
      <w:r>
        <w:rPr>
          <w:spacing w:val="-3"/>
          <w:w w:val="95"/>
          <w:sz w:val="21"/>
        </w:rPr>
        <w:t xml:space="preserve">评标委员会应对在评标过程中发现的投标人与投标人之间、投标人与招标人之间存在的串   </w:t>
      </w:r>
      <w:r>
        <w:rPr>
          <w:spacing w:val="-3"/>
          <w:sz w:val="21"/>
        </w:rPr>
        <w:t>通投标的情形进行评审和认定。投标人存在串通投标、弄虚作假、行贿等违法行为的，评标委员会应否决其投标。</w:t>
      </w:r>
    </w:p>
    <w:p>
      <w:pPr>
        <w:pStyle w:val="12"/>
        <w:numPr>
          <w:ilvl w:val="0"/>
          <w:numId w:val="13"/>
        </w:numPr>
        <w:tabs>
          <w:tab w:val="left" w:pos="1555"/>
        </w:tabs>
        <w:wordWrap w:val="0"/>
        <w:topLinePunct/>
        <w:autoSpaceDE/>
        <w:autoSpaceDN/>
        <w:spacing w:before="0" w:after="0" w:line="269" w:lineRule="exact"/>
        <w:ind w:left="1554" w:right="0" w:hanging="526"/>
        <w:jc w:val="left"/>
        <w:rPr>
          <w:sz w:val="21"/>
        </w:rPr>
      </w:pPr>
      <w:r>
        <w:rPr>
          <w:sz w:val="21"/>
        </w:rPr>
        <w:t>有下列情形之一的，属于投标人相互串通投标：</w:t>
      </w:r>
    </w:p>
    <w:p>
      <w:pPr>
        <w:pStyle w:val="12"/>
        <w:numPr>
          <w:ilvl w:val="0"/>
          <w:numId w:val="14"/>
        </w:numPr>
        <w:tabs>
          <w:tab w:val="left" w:pos="1240"/>
        </w:tabs>
        <w:wordWrap w:val="0"/>
        <w:topLinePunct/>
        <w:autoSpaceDE/>
        <w:autoSpaceDN/>
        <w:spacing w:before="139" w:after="0" w:line="240" w:lineRule="auto"/>
        <w:ind w:left="1239" w:right="0" w:hanging="211"/>
        <w:jc w:val="left"/>
        <w:rPr>
          <w:sz w:val="21"/>
        </w:rPr>
      </w:pPr>
      <w:r>
        <w:rPr>
          <w:sz w:val="21"/>
        </w:rPr>
        <w:t>投标人之间协商投标报价等投标文件的实质性内容；</w:t>
      </w:r>
    </w:p>
    <w:p>
      <w:pPr>
        <w:pStyle w:val="12"/>
        <w:numPr>
          <w:ilvl w:val="0"/>
          <w:numId w:val="14"/>
        </w:numPr>
        <w:tabs>
          <w:tab w:val="left" w:pos="1240"/>
        </w:tabs>
        <w:wordWrap w:val="0"/>
        <w:topLinePunct/>
        <w:autoSpaceDE/>
        <w:autoSpaceDN/>
        <w:spacing w:before="142" w:after="0" w:line="240" w:lineRule="auto"/>
        <w:ind w:left="1239" w:right="0" w:hanging="211"/>
        <w:jc w:val="left"/>
        <w:rPr>
          <w:sz w:val="21"/>
        </w:rPr>
      </w:pPr>
      <w:r>
        <w:rPr>
          <w:sz w:val="21"/>
        </w:rPr>
        <w:t>投标人之间约定中标人；</w:t>
      </w:r>
    </w:p>
    <w:p>
      <w:pPr>
        <w:pStyle w:val="12"/>
        <w:numPr>
          <w:ilvl w:val="0"/>
          <w:numId w:val="14"/>
        </w:numPr>
        <w:tabs>
          <w:tab w:val="left" w:pos="1240"/>
        </w:tabs>
        <w:wordWrap w:val="0"/>
        <w:topLinePunct/>
        <w:autoSpaceDE/>
        <w:autoSpaceDN/>
        <w:spacing w:before="139" w:after="0" w:line="240" w:lineRule="auto"/>
        <w:ind w:left="1239" w:right="0" w:hanging="211"/>
        <w:jc w:val="left"/>
        <w:rPr>
          <w:sz w:val="21"/>
        </w:rPr>
      </w:pPr>
      <w:r>
        <w:rPr>
          <w:sz w:val="21"/>
        </w:rPr>
        <w:t>投标人之间约定部分投标人放弃投标或中标；</w:t>
      </w:r>
    </w:p>
    <w:p>
      <w:pPr>
        <w:pStyle w:val="12"/>
        <w:numPr>
          <w:ilvl w:val="0"/>
          <w:numId w:val="14"/>
        </w:numPr>
        <w:tabs>
          <w:tab w:val="left" w:pos="1240"/>
        </w:tabs>
        <w:wordWrap w:val="0"/>
        <w:topLinePunct/>
        <w:autoSpaceDE/>
        <w:autoSpaceDN/>
        <w:spacing w:before="139" w:after="0" w:line="240" w:lineRule="auto"/>
        <w:ind w:left="1239" w:right="0" w:hanging="211"/>
        <w:jc w:val="left"/>
        <w:rPr>
          <w:sz w:val="21"/>
        </w:rPr>
      </w:pPr>
      <w:r>
        <w:rPr>
          <w:sz w:val="21"/>
        </w:rPr>
        <w:t>属于同一集团、协会、商会等组织成员的投标人按照该组织要求协同投标；</w:t>
      </w:r>
    </w:p>
    <w:p>
      <w:pPr>
        <w:pStyle w:val="12"/>
        <w:numPr>
          <w:ilvl w:val="0"/>
          <w:numId w:val="14"/>
        </w:numPr>
        <w:tabs>
          <w:tab w:val="left" w:pos="1240"/>
        </w:tabs>
        <w:wordWrap w:val="0"/>
        <w:topLinePunct/>
        <w:autoSpaceDE/>
        <w:autoSpaceDN/>
        <w:spacing w:before="139" w:after="0" w:line="240" w:lineRule="auto"/>
        <w:ind w:left="1239" w:right="0" w:hanging="211"/>
        <w:jc w:val="left"/>
        <w:rPr>
          <w:sz w:val="21"/>
        </w:rPr>
      </w:pPr>
      <w:r>
        <w:rPr>
          <w:sz w:val="21"/>
        </w:rPr>
        <w:t>投标人之间为谋取中标或排斥特定投标人而采取的其他联合行动。</w:t>
      </w:r>
    </w:p>
    <w:p>
      <w:pPr>
        <w:pStyle w:val="12"/>
        <w:numPr>
          <w:ilvl w:val="0"/>
          <w:numId w:val="13"/>
        </w:numPr>
        <w:tabs>
          <w:tab w:val="left" w:pos="1555"/>
        </w:tabs>
        <w:wordWrap w:val="0"/>
        <w:topLinePunct/>
        <w:autoSpaceDE/>
        <w:autoSpaceDN/>
        <w:spacing w:before="138" w:after="0" w:line="240" w:lineRule="auto"/>
        <w:ind w:left="1554" w:right="0" w:hanging="526"/>
        <w:jc w:val="left"/>
        <w:rPr>
          <w:sz w:val="21"/>
        </w:rPr>
      </w:pPr>
      <w:r>
        <w:rPr>
          <w:sz w:val="21"/>
        </w:rPr>
        <w:t>有下列情形之一的，视为投标人相互串通投标：</w:t>
      </w:r>
    </w:p>
    <w:p>
      <w:pPr>
        <w:pStyle w:val="12"/>
        <w:numPr>
          <w:ilvl w:val="0"/>
          <w:numId w:val="15"/>
        </w:numPr>
        <w:tabs>
          <w:tab w:val="left" w:pos="1240"/>
        </w:tabs>
        <w:wordWrap w:val="0"/>
        <w:topLinePunct/>
        <w:autoSpaceDE/>
        <w:autoSpaceDN/>
        <w:spacing w:before="139" w:after="0" w:line="240" w:lineRule="auto"/>
        <w:ind w:left="1239" w:right="0" w:hanging="211"/>
        <w:jc w:val="left"/>
        <w:rPr>
          <w:sz w:val="21"/>
        </w:rPr>
      </w:pPr>
      <w:r>
        <w:rPr>
          <w:w w:val="95"/>
          <w:sz w:val="21"/>
        </w:rPr>
        <w:t>不同投标人的投标文件由同一单位或个人编制；</w:t>
      </w:r>
    </w:p>
    <w:p>
      <w:pPr>
        <w:pStyle w:val="12"/>
        <w:numPr>
          <w:ilvl w:val="0"/>
          <w:numId w:val="15"/>
        </w:numPr>
        <w:tabs>
          <w:tab w:val="left" w:pos="1240"/>
        </w:tabs>
        <w:wordWrap w:val="0"/>
        <w:topLinePunct/>
        <w:autoSpaceDE/>
        <w:autoSpaceDN/>
        <w:spacing w:before="142" w:after="0" w:line="240" w:lineRule="auto"/>
        <w:ind w:left="1239" w:right="0" w:hanging="211"/>
        <w:jc w:val="left"/>
        <w:rPr>
          <w:sz w:val="21"/>
        </w:rPr>
      </w:pPr>
      <w:r>
        <w:rPr>
          <w:w w:val="95"/>
          <w:sz w:val="21"/>
        </w:rPr>
        <w:t>不同投标人委托同一单位或个人办理投标事宜；</w:t>
      </w:r>
    </w:p>
    <w:p>
      <w:pPr>
        <w:pStyle w:val="12"/>
        <w:numPr>
          <w:ilvl w:val="0"/>
          <w:numId w:val="15"/>
        </w:numPr>
        <w:tabs>
          <w:tab w:val="left" w:pos="1240"/>
        </w:tabs>
        <w:wordWrap w:val="0"/>
        <w:topLinePunct/>
        <w:autoSpaceDE/>
        <w:autoSpaceDN/>
        <w:spacing w:before="139" w:after="0" w:line="240" w:lineRule="auto"/>
        <w:ind w:left="1239" w:right="0" w:hanging="211"/>
        <w:jc w:val="left"/>
        <w:rPr>
          <w:sz w:val="21"/>
        </w:rPr>
      </w:pPr>
      <w:r>
        <w:rPr>
          <w:sz w:val="21"/>
        </w:rPr>
        <w:t>不同投标人的投标文件载明的项目管理成员为同一人；</w:t>
      </w:r>
    </w:p>
    <w:p>
      <w:pPr>
        <w:pStyle w:val="12"/>
        <w:numPr>
          <w:ilvl w:val="0"/>
          <w:numId w:val="15"/>
        </w:numPr>
        <w:tabs>
          <w:tab w:val="left" w:pos="1240"/>
        </w:tabs>
        <w:wordWrap w:val="0"/>
        <w:topLinePunct/>
        <w:autoSpaceDE/>
        <w:autoSpaceDN/>
        <w:spacing w:before="139" w:after="0" w:line="240" w:lineRule="auto"/>
        <w:ind w:left="1239" w:right="0" w:hanging="211"/>
        <w:jc w:val="left"/>
        <w:rPr>
          <w:sz w:val="21"/>
        </w:rPr>
      </w:pPr>
      <w:r>
        <w:rPr>
          <w:sz w:val="21"/>
        </w:rPr>
        <w:t>不同投标人的投标文件异常一致或投标报价呈规律性差异；</w:t>
      </w:r>
    </w:p>
    <w:p>
      <w:pPr>
        <w:pStyle w:val="12"/>
        <w:numPr>
          <w:ilvl w:val="0"/>
          <w:numId w:val="15"/>
        </w:numPr>
        <w:tabs>
          <w:tab w:val="left" w:pos="1240"/>
        </w:tabs>
        <w:wordWrap w:val="0"/>
        <w:topLinePunct/>
        <w:autoSpaceDE/>
        <w:autoSpaceDN/>
        <w:spacing w:before="141" w:after="0" w:line="240" w:lineRule="auto"/>
        <w:ind w:left="1239" w:right="0" w:hanging="211"/>
        <w:jc w:val="left"/>
        <w:rPr>
          <w:sz w:val="21"/>
        </w:rPr>
      </w:pPr>
      <w:r>
        <w:rPr>
          <w:sz w:val="21"/>
        </w:rPr>
        <w:t>不同投标人的投标文件相互混装；</w:t>
      </w:r>
    </w:p>
    <w:p>
      <w:pPr>
        <w:pStyle w:val="12"/>
        <w:numPr>
          <w:ilvl w:val="0"/>
          <w:numId w:val="15"/>
        </w:numPr>
        <w:tabs>
          <w:tab w:val="left" w:pos="1240"/>
        </w:tabs>
        <w:wordWrap w:val="0"/>
        <w:topLinePunct/>
        <w:autoSpaceDE/>
        <w:autoSpaceDN/>
        <w:spacing w:before="139" w:after="0" w:line="240" w:lineRule="auto"/>
        <w:ind w:left="1239" w:right="0" w:hanging="211"/>
        <w:jc w:val="left"/>
        <w:rPr>
          <w:sz w:val="21"/>
        </w:rPr>
      </w:pPr>
      <w:r>
        <w:rPr>
          <w:sz w:val="21"/>
        </w:rPr>
        <w:t>不同投标人的投标保证金从同一单位或个人的账户转出。</w:t>
      </w:r>
    </w:p>
    <w:p>
      <w:pPr>
        <w:pStyle w:val="12"/>
        <w:numPr>
          <w:ilvl w:val="0"/>
          <w:numId w:val="13"/>
        </w:numPr>
        <w:tabs>
          <w:tab w:val="left" w:pos="1555"/>
        </w:tabs>
        <w:wordWrap w:val="0"/>
        <w:topLinePunct/>
        <w:autoSpaceDE/>
        <w:autoSpaceDN/>
        <w:spacing w:before="139" w:after="0" w:line="240" w:lineRule="auto"/>
        <w:ind w:left="1554" w:right="0" w:hanging="526"/>
        <w:jc w:val="left"/>
        <w:rPr>
          <w:sz w:val="21"/>
        </w:rPr>
      </w:pPr>
      <w:r>
        <w:rPr>
          <w:sz w:val="21"/>
        </w:rPr>
        <w:t>有下列情形之一的，属于招标人与投标人串通投标：</w:t>
      </w:r>
    </w:p>
    <w:p>
      <w:pPr>
        <w:pStyle w:val="12"/>
        <w:numPr>
          <w:ilvl w:val="0"/>
          <w:numId w:val="16"/>
        </w:numPr>
        <w:tabs>
          <w:tab w:val="left" w:pos="1240"/>
        </w:tabs>
        <w:wordWrap w:val="0"/>
        <w:topLinePunct/>
        <w:autoSpaceDE/>
        <w:autoSpaceDN/>
        <w:spacing w:before="139" w:after="0" w:line="240" w:lineRule="auto"/>
        <w:ind w:left="1239" w:right="0" w:hanging="211"/>
        <w:jc w:val="left"/>
        <w:rPr>
          <w:sz w:val="21"/>
        </w:rPr>
      </w:pPr>
      <w:r>
        <w:rPr>
          <w:sz w:val="21"/>
        </w:rPr>
        <w:t>招标人在开标前开启投标文件并将有关信息泄露给其他投标人;</w:t>
      </w:r>
    </w:p>
    <w:p>
      <w:pPr>
        <w:pStyle w:val="12"/>
        <w:numPr>
          <w:ilvl w:val="0"/>
          <w:numId w:val="16"/>
        </w:numPr>
        <w:tabs>
          <w:tab w:val="left" w:pos="1240"/>
        </w:tabs>
        <w:wordWrap w:val="0"/>
        <w:topLinePunct/>
        <w:autoSpaceDE/>
        <w:autoSpaceDN/>
        <w:spacing w:before="141" w:after="0" w:line="240" w:lineRule="auto"/>
        <w:ind w:left="1239" w:right="0" w:hanging="211"/>
        <w:jc w:val="left"/>
        <w:rPr>
          <w:sz w:val="21"/>
        </w:rPr>
      </w:pPr>
      <w:r>
        <w:rPr>
          <w:sz w:val="21"/>
        </w:rPr>
        <w:t>招标人直接或间接向投标人泄露标底、评标委员会成员等信息；</w:t>
      </w:r>
    </w:p>
    <w:p>
      <w:pPr>
        <w:pStyle w:val="12"/>
        <w:numPr>
          <w:ilvl w:val="0"/>
          <w:numId w:val="16"/>
        </w:numPr>
        <w:tabs>
          <w:tab w:val="left" w:pos="1240"/>
        </w:tabs>
        <w:wordWrap w:val="0"/>
        <w:topLinePunct/>
        <w:autoSpaceDE/>
        <w:autoSpaceDN/>
        <w:spacing w:before="139" w:after="0" w:line="240" w:lineRule="auto"/>
        <w:ind w:left="1239" w:right="0" w:hanging="211"/>
        <w:jc w:val="left"/>
        <w:rPr>
          <w:sz w:val="21"/>
        </w:rPr>
      </w:pPr>
      <w:r>
        <w:rPr>
          <w:sz w:val="21"/>
        </w:rPr>
        <w:t>招标人明示或暗示投标人压低或抬高投标报价；</w:t>
      </w:r>
    </w:p>
    <w:p>
      <w:pPr>
        <w:pStyle w:val="12"/>
        <w:numPr>
          <w:ilvl w:val="0"/>
          <w:numId w:val="16"/>
        </w:numPr>
        <w:tabs>
          <w:tab w:val="left" w:pos="1240"/>
        </w:tabs>
        <w:wordWrap w:val="0"/>
        <w:topLinePunct/>
        <w:autoSpaceDE/>
        <w:autoSpaceDN/>
        <w:spacing w:before="139" w:after="0" w:line="240" w:lineRule="auto"/>
        <w:ind w:left="1239" w:right="0" w:hanging="211"/>
        <w:jc w:val="left"/>
        <w:rPr>
          <w:sz w:val="21"/>
        </w:rPr>
      </w:pPr>
      <w:r>
        <w:rPr>
          <w:sz w:val="21"/>
        </w:rPr>
        <w:t>招标人授意投标人撤换、修改投标文件；</w:t>
      </w:r>
    </w:p>
    <w:p>
      <w:pPr>
        <w:pStyle w:val="12"/>
        <w:numPr>
          <w:ilvl w:val="0"/>
          <w:numId w:val="16"/>
        </w:numPr>
        <w:tabs>
          <w:tab w:val="left" w:pos="1240"/>
        </w:tabs>
        <w:wordWrap w:val="0"/>
        <w:topLinePunct/>
        <w:autoSpaceDE/>
        <w:autoSpaceDN/>
        <w:spacing w:before="139" w:after="0" w:line="240" w:lineRule="auto"/>
        <w:ind w:left="1239" w:right="0" w:hanging="211"/>
        <w:jc w:val="left"/>
        <w:rPr>
          <w:sz w:val="21"/>
        </w:rPr>
      </w:pPr>
      <w:r>
        <w:rPr>
          <w:sz w:val="21"/>
        </w:rPr>
        <w:t>招标人明示或暗示投标人为特定投标人中标提供方便；</w:t>
      </w:r>
    </w:p>
    <w:p>
      <w:pPr>
        <w:pStyle w:val="12"/>
        <w:numPr>
          <w:ilvl w:val="0"/>
          <w:numId w:val="16"/>
        </w:numPr>
        <w:tabs>
          <w:tab w:val="left" w:pos="1240"/>
        </w:tabs>
        <w:wordWrap w:val="0"/>
        <w:topLinePunct/>
        <w:autoSpaceDE/>
        <w:autoSpaceDN/>
        <w:spacing w:before="139" w:after="0" w:line="240" w:lineRule="auto"/>
        <w:ind w:left="1239" w:right="0" w:hanging="211"/>
        <w:jc w:val="left"/>
        <w:rPr>
          <w:sz w:val="21"/>
        </w:rPr>
      </w:pPr>
      <w:r>
        <w:rPr>
          <w:sz w:val="21"/>
        </w:rPr>
        <w:t>招标人与投标人为谋求特定投标人中标而采取的其他串通行为。</w:t>
      </w:r>
    </w:p>
    <w:p>
      <w:pPr>
        <w:pStyle w:val="12"/>
        <w:numPr>
          <w:ilvl w:val="0"/>
          <w:numId w:val="13"/>
        </w:numPr>
        <w:tabs>
          <w:tab w:val="left" w:pos="1555"/>
        </w:tabs>
        <w:wordWrap w:val="0"/>
        <w:topLinePunct/>
        <w:autoSpaceDE/>
        <w:autoSpaceDN/>
        <w:spacing w:before="139" w:after="0" w:line="240" w:lineRule="auto"/>
        <w:ind w:left="1554" w:right="0" w:hanging="526"/>
        <w:jc w:val="left"/>
        <w:rPr>
          <w:sz w:val="21"/>
        </w:rPr>
      </w:pPr>
      <w:r>
        <w:rPr>
          <w:sz w:val="21"/>
        </w:rPr>
        <w:t>投标人有下列情形之一的，属于弄虚作假的行为：</w:t>
      </w:r>
    </w:p>
    <w:p>
      <w:pPr>
        <w:wordWrap w:val="0"/>
        <w:topLinePunct/>
        <w:autoSpaceDE/>
        <w:autoSpaceDN/>
        <w:spacing w:after="0" w:line="240" w:lineRule="auto"/>
        <w:jc w:val="left"/>
        <w:rPr>
          <w:sz w:val="21"/>
        </w:rPr>
        <w:sectPr>
          <w:footerReference r:id="rId10" w:type="default"/>
          <w:pgSz w:w="11900" w:h="16840"/>
          <w:pgMar w:top="1360" w:right="580" w:bottom="860" w:left="760" w:header="0" w:footer="669" w:gutter="0"/>
          <w:pgBorders>
            <w:top w:val="none" w:sz="0" w:space="0"/>
            <w:left w:val="none" w:sz="0" w:space="0"/>
            <w:bottom w:val="none" w:sz="0" w:space="0"/>
            <w:right w:val="none" w:sz="0" w:space="0"/>
          </w:pgBorders>
          <w:pgNumType w:start="60"/>
          <w:cols w:space="720" w:num="1"/>
        </w:sectPr>
      </w:pPr>
    </w:p>
    <w:p>
      <w:pPr>
        <w:pStyle w:val="12"/>
        <w:numPr>
          <w:ilvl w:val="0"/>
          <w:numId w:val="17"/>
        </w:numPr>
        <w:tabs>
          <w:tab w:val="left" w:pos="1240"/>
        </w:tabs>
        <w:wordWrap w:val="0"/>
        <w:topLinePunct/>
        <w:autoSpaceDE/>
        <w:autoSpaceDN/>
        <w:spacing w:before="40" w:after="0" w:line="240" w:lineRule="auto"/>
        <w:ind w:left="1239" w:right="0" w:hanging="211"/>
        <w:jc w:val="left"/>
        <w:rPr>
          <w:sz w:val="21"/>
        </w:rPr>
      </w:pPr>
      <w:r>
        <w:rPr>
          <w:sz w:val="21"/>
        </w:rPr>
        <w:t>使用通过受让或租借等方式获取的资格、资质证书投标；</w:t>
      </w:r>
    </w:p>
    <w:p>
      <w:pPr>
        <w:pStyle w:val="12"/>
        <w:numPr>
          <w:ilvl w:val="0"/>
          <w:numId w:val="17"/>
        </w:numPr>
        <w:tabs>
          <w:tab w:val="left" w:pos="1240"/>
        </w:tabs>
        <w:wordWrap w:val="0"/>
        <w:topLinePunct/>
        <w:autoSpaceDE/>
        <w:autoSpaceDN/>
        <w:spacing w:before="139" w:after="0" w:line="240" w:lineRule="auto"/>
        <w:ind w:left="1239" w:right="0" w:hanging="211"/>
        <w:jc w:val="left"/>
        <w:rPr>
          <w:sz w:val="21"/>
        </w:rPr>
      </w:pPr>
      <w:r>
        <w:rPr>
          <w:w w:val="95"/>
          <w:sz w:val="21"/>
        </w:rPr>
        <w:t>使用伪造、变造的许可证件；</w:t>
      </w:r>
    </w:p>
    <w:p>
      <w:pPr>
        <w:pStyle w:val="12"/>
        <w:numPr>
          <w:ilvl w:val="0"/>
          <w:numId w:val="17"/>
        </w:numPr>
        <w:tabs>
          <w:tab w:val="left" w:pos="1240"/>
        </w:tabs>
        <w:wordWrap w:val="0"/>
        <w:topLinePunct/>
        <w:autoSpaceDE/>
        <w:autoSpaceDN/>
        <w:spacing w:before="139" w:after="0" w:line="240" w:lineRule="auto"/>
        <w:ind w:left="1239" w:right="0" w:hanging="211"/>
        <w:jc w:val="left"/>
        <w:rPr>
          <w:sz w:val="21"/>
        </w:rPr>
      </w:pPr>
      <w:r>
        <w:rPr>
          <w:w w:val="95"/>
          <w:sz w:val="21"/>
        </w:rPr>
        <w:t>提供虚假的财务状况或业绩；</w:t>
      </w:r>
    </w:p>
    <w:p>
      <w:pPr>
        <w:pStyle w:val="12"/>
        <w:numPr>
          <w:ilvl w:val="0"/>
          <w:numId w:val="17"/>
        </w:numPr>
        <w:tabs>
          <w:tab w:val="left" w:pos="1240"/>
        </w:tabs>
        <w:wordWrap w:val="0"/>
        <w:topLinePunct/>
        <w:autoSpaceDE/>
        <w:autoSpaceDN/>
        <w:spacing w:before="139" w:after="0" w:line="240" w:lineRule="auto"/>
        <w:ind w:left="1239" w:right="0" w:hanging="211"/>
        <w:jc w:val="left"/>
        <w:rPr>
          <w:sz w:val="21"/>
        </w:rPr>
      </w:pPr>
      <w:r>
        <w:rPr>
          <w:sz w:val="21"/>
        </w:rPr>
        <w:t>提供虚假的项目负责人或主要技术人员简历、劳动关系证明；</w:t>
      </w:r>
    </w:p>
    <w:p>
      <w:pPr>
        <w:pStyle w:val="12"/>
        <w:numPr>
          <w:ilvl w:val="0"/>
          <w:numId w:val="17"/>
        </w:numPr>
        <w:tabs>
          <w:tab w:val="left" w:pos="1240"/>
        </w:tabs>
        <w:wordWrap w:val="0"/>
        <w:topLinePunct/>
        <w:autoSpaceDE/>
        <w:autoSpaceDN/>
        <w:spacing w:before="141" w:after="0" w:line="240" w:lineRule="auto"/>
        <w:ind w:left="1239" w:right="0" w:hanging="211"/>
        <w:jc w:val="left"/>
        <w:rPr>
          <w:sz w:val="21"/>
        </w:rPr>
      </w:pPr>
      <w:r>
        <w:rPr>
          <w:w w:val="95"/>
          <w:sz w:val="21"/>
        </w:rPr>
        <w:t>提供虚假的信用状况；</w:t>
      </w:r>
    </w:p>
    <w:p>
      <w:pPr>
        <w:pStyle w:val="12"/>
        <w:numPr>
          <w:ilvl w:val="0"/>
          <w:numId w:val="17"/>
        </w:numPr>
        <w:tabs>
          <w:tab w:val="left" w:pos="1240"/>
        </w:tabs>
        <w:wordWrap w:val="0"/>
        <w:topLinePunct/>
        <w:autoSpaceDE/>
        <w:autoSpaceDN/>
        <w:spacing w:before="139" w:after="0" w:line="240" w:lineRule="auto"/>
        <w:ind w:left="1239" w:right="0" w:hanging="211"/>
        <w:jc w:val="left"/>
        <w:rPr>
          <w:sz w:val="21"/>
        </w:rPr>
      </w:pPr>
      <w:r>
        <w:rPr>
          <w:w w:val="95"/>
          <w:sz w:val="21"/>
        </w:rPr>
        <w:t>其他弄虚作假的行为。</w:t>
      </w:r>
    </w:p>
    <w:p>
      <w:pPr>
        <w:pStyle w:val="12"/>
        <w:numPr>
          <w:ilvl w:val="1"/>
          <w:numId w:val="18"/>
        </w:numPr>
        <w:tabs>
          <w:tab w:val="left" w:pos="1441"/>
        </w:tabs>
        <w:wordWrap w:val="0"/>
        <w:topLinePunct/>
        <w:autoSpaceDE/>
        <w:autoSpaceDN/>
        <w:spacing w:before="140" w:after="0" w:line="240" w:lineRule="auto"/>
        <w:ind w:left="1440" w:right="0" w:hanging="360"/>
        <w:jc w:val="left"/>
        <w:rPr>
          <w:sz w:val="24"/>
        </w:rPr>
      </w:pPr>
      <w:bookmarkStart w:id="29" w:name="3.7投标文件的澄清和说明"/>
      <w:bookmarkEnd w:id="29"/>
      <w:bookmarkStart w:id="30" w:name="3.7投标文件的澄清和说明"/>
      <w:bookmarkEnd w:id="30"/>
      <w:r>
        <w:rPr>
          <w:sz w:val="24"/>
        </w:rPr>
        <w:t>投标文件的澄清和说明</w:t>
      </w:r>
    </w:p>
    <w:p>
      <w:pPr>
        <w:pStyle w:val="12"/>
        <w:numPr>
          <w:ilvl w:val="2"/>
          <w:numId w:val="18"/>
        </w:numPr>
        <w:tabs>
          <w:tab w:val="left" w:pos="1662"/>
        </w:tabs>
        <w:wordWrap w:val="0"/>
        <w:topLinePunct/>
        <w:autoSpaceDE/>
        <w:autoSpaceDN/>
        <w:spacing w:before="227" w:after="0" w:line="364" w:lineRule="auto"/>
        <w:ind w:left="656" w:right="731" w:firstLine="372"/>
        <w:jc w:val="left"/>
        <w:rPr>
          <w:sz w:val="21"/>
        </w:rPr>
      </w:pPr>
      <w:r>
        <w:rPr>
          <w:sz w:val="21"/>
        </w:rPr>
        <w:t>在评标过程中，评标委员会可以书面形式要求投标人对所提交投标文件中含义不明确的</w:t>
      </w:r>
      <w:r>
        <w:rPr>
          <w:spacing w:val="-7"/>
          <w:w w:val="95"/>
          <w:sz w:val="21"/>
        </w:rPr>
        <w:t xml:space="preserve">内容、明显文字或计算错误进行书面澄清或说明。评标委员会不接受投标人主动提出的澄清、说明。   </w:t>
      </w:r>
      <w:r>
        <w:rPr>
          <w:spacing w:val="-7"/>
          <w:sz w:val="21"/>
        </w:rPr>
        <w:t>投标人不按评标委员会要求澄清或说明的，评标委员会应否决其投标。</w:t>
      </w:r>
    </w:p>
    <w:p>
      <w:pPr>
        <w:pStyle w:val="12"/>
        <w:numPr>
          <w:ilvl w:val="2"/>
          <w:numId w:val="18"/>
        </w:numPr>
        <w:tabs>
          <w:tab w:val="left" w:pos="1662"/>
        </w:tabs>
        <w:wordWrap w:val="0"/>
        <w:topLinePunct/>
        <w:autoSpaceDE/>
        <w:autoSpaceDN/>
        <w:spacing w:before="0" w:after="0" w:line="364" w:lineRule="auto"/>
        <w:ind w:left="656" w:right="834" w:firstLine="372"/>
        <w:jc w:val="left"/>
        <w:rPr>
          <w:sz w:val="21"/>
        </w:rPr>
      </w:pPr>
      <w:r>
        <w:rPr>
          <w:sz w:val="21"/>
        </w:rPr>
        <w:t>澄清和说明不得超出投标文件的范围或改变投标文件的实质性内容</w:t>
      </w:r>
      <w:r>
        <w:rPr>
          <w:spacing w:val="4"/>
          <w:sz w:val="21"/>
        </w:rPr>
        <w:t>（</w:t>
      </w:r>
      <w:r>
        <w:rPr>
          <w:sz w:val="21"/>
        </w:rPr>
        <w:t>算术性错误的修正除外）。投标人的书面澄清、说明属于投标文件的组成部分。</w:t>
      </w:r>
    </w:p>
    <w:p>
      <w:pPr>
        <w:pStyle w:val="12"/>
        <w:numPr>
          <w:ilvl w:val="2"/>
          <w:numId w:val="18"/>
        </w:numPr>
        <w:tabs>
          <w:tab w:val="left" w:pos="1662"/>
        </w:tabs>
        <w:wordWrap w:val="0"/>
        <w:topLinePunct/>
        <w:autoSpaceDE/>
        <w:autoSpaceDN/>
        <w:spacing w:before="0" w:after="0" w:line="364" w:lineRule="auto"/>
        <w:ind w:left="656" w:right="834" w:firstLine="372"/>
        <w:jc w:val="left"/>
        <w:rPr>
          <w:sz w:val="21"/>
        </w:rPr>
      </w:pPr>
      <w:r>
        <w:rPr>
          <w:sz w:val="21"/>
        </w:rPr>
        <w:t>评标委员会不得暗示或诱导投标人作出澄清、说明，对投标人提交的澄清、说明有疑问的，可以要求投标人进一步澄清或说明，直至满足评标委员会的要求。</w:t>
      </w:r>
    </w:p>
    <w:p>
      <w:pPr>
        <w:wordWrap w:val="0"/>
        <w:topLinePunct/>
        <w:autoSpaceDE/>
        <w:autoSpaceDN/>
        <w:spacing w:before="0" w:line="364" w:lineRule="auto"/>
        <w:ind w:left="656" w:right="834" w:firstLine="372"/>
        <w:jc w:val="left"/>
        <w:rPr>
          <w:sz w:val="21"/>
        </w:rPr>
      </w:pPr>
      <w:r>
        <w:rPr>
          <w:sz w:val="21"/>
        </w:rPr>
        <w:t>3.6.4 凡超出招标文件规定的或给招标人带来未曾要求的利益的变化、偏差或其他因素在评标时不予考虑。</w:t>
      </w:r>
    </w:p>
    <w:p>
      <w:pPr>
        <w:pStyle w:val="12"/>
        <w:numPr>
          <w:ilvl w:val="1"/>
          <w:numId w:val="19"/>
        </w:numPr>
        <w:tabs>
          <w:tab w:val="left" w:pos="1441"/>
        </w:tabs>
        <w:wordWrap w:val="0"/>
        <w:topLinePunct/>
        <w:autoSpaceDE/>
        <w:autoSpaceDN/>
        <w:spacing w:before="0" w:after="0" w:line="307" w:lineRule="exact"/>
        <w:ind w:left="1440" w:right="0" w:hanging="360"/>
        <w:jc w:val="left"/>
        <w:rPr>
          <w:sz w:val="24"/>
        </w:rPr>
      </w:pPr>
      <w:bookmarkStart w:id="31" w:name="3.8不得否决投标的情形"/>
      <w:bookmarkEnd w:id="31"/>
      <w:bookmarkStart w:id="32" w:name="3.8不得否决投标的情形"/>
      <w:bookmarkEnd w:id="32"/>
      <w:r>
        <w:rPr>
          <w:sz w:val="24"/>
        </w:rPr>
        <w:t>不得否决投标的情形</w:t>
      </w:r>
    </w:p>
    <w:p>
      <w:pPr>
        <w:wordWrap w:val="0"/>
        <w:topLinePunct/>
        <w:autoSpaceDE/>
        <w:autoSpaceDN/>
        <w:spacing w:before="224"/>
        <w:ind w:left="1028" w:right="0" w:firstLine="0"/>
        <w:jc w:val="left"/>
        <w:rPr>
          <w:sz w:val="21"/>
        </w:rPr>
      </w:pPr>
      <w:r>
        <w:rPr>
          <w:sz w:val="21"/>
        </w:rPr>
        <w:t>投标文件存在第二章“投标人须知”第 1.12.3 项所列情形的，均视为细微偏差，评标委员会不</w:t>
      </w:r>
    </w:p>
    <w:p>
      <w:pPr>
        <w:wordWrap w:val="0"/>
        <w:topLinePunct/>
        <w:autoSpaceDE/>
        <w:autoSpaceDN/>
        <w:spacing w:before="139"/>
        <w:ind w:left="656" w:right="0" w:firstLine="0"/>
        <w:jc w:val="left"/>
        <w:rPr>
          <w:sz w:val="21"/>
        </w:rPr>
      </w:pPr>
      <w:r>
        <w:rPr>
          <w:sz w:val="21"/>
        </w:rPr>
        <w:t>得否决投标人的投标，应按照第二章“投标人须知”第 1.12.4 项规定的原则处理。</w:t>
      </w:r>
    </w:p>
    <w:p>
      <w:pPr>
        <w:pStyle w:val="12"/>
        <w:numPr>
          <w:ilvl w:val="1"/>
          <w:numId w:val="19"/>
        </w:numPr>
        <w:tabs>
          <w:tab w:val="left" w:pos="1441"/>
        </w:tabs>
        <w:wordWrap w:val="0"/>
        <w:topLinePunct/>
        <w:autoSpaceDE/>
        <w:autoSpaceDN/>
        <w:spacing w:before="140" w:after="0" w:line="240" w:lineRule="auto"/>
        <w:ind w:left="1440" w:right="0" w:hanging="360"/>
        <w:jc w:val="left"/>
        <w:rPr>
          <w:sz w:val="24"/>
        </w:rPr>
      </w:pPr>
      <w:bookmarkStart w:id="33" w:name="3.9评标结果"/>
      <w:bookmarkEnd w:id="33"/>
      <w:bookmarkStart w:id="34" w:name="3.9评标结果"/>
      <w:bookmarkEnd w:id="34"/>
      <w:r>
        <w:rPr>
          <w:sz w:val="24"/>
        </w:rPr>
        <w:t>评标结果</w:t>
      </w:r>
    </w:p>
    <w:p>
      <w:pPr>
        <w:pStyle w:val="12"/>
        <w:numPr>
          <w:ilvl w:val="2"/>
          <w:numId w:val="19"/>
        </w:numPr>
        <w:tabs>
          <w:tab w:val="left" w:pos="1662"/>
        </w:tabs>
        <w:wordWrap w:val="0"/>
        <w:topLinePunct/>
        <w:autoSpaceDE/>
        <w:autoSpaceDN/>
        <w:spacing w:before="229" w:after="0" w:line="364" w:lineRule="auto"/>
        <w:ind w:left="656" w:right="837" w:firstLine="372"/>
        <w:jc w:val="left"/>
        <w:rPr>
          <w:sz w:val="21"/>
        </w:rPr>
      </w:pPr>
      <w:r>
        <w:rPr>
          <w:sz w:val="21"/>
        </w:rPr>
        <w:t>除第二章“投标人须知”前附表授权直接确定中标人外，评标委员会按照得分由高到低的顺序推荐中标候选人，并标明排序。</w:t>
      </w:r>
    </w:p>
    <w:p>
      <w:pPr>
        <w:pStyle w:val="12"/>
        <w:numPr>
          <w:ilvl w:val="2"/>
          <w:numId w:val="19"/>
        </w:numPr>
        <w:tabs>
          <w:tab w:val="left" w:pos="1660"/>
        </w:tabs>
        <w:wordWrap w:val="0"/>
        <w:topLinePunct/>
        <w:autoSpaceDE/>
        <w:autoSpaceDN/>
        <w:spacing w:before="0" w:after="0" w:line="267" w:lineRule="exact"/>
        <w:ind w:left="1659" w:right="0" w:hanging="631"/>
        <w:jc w:val="left"/>
        <w:rPr>
          <w:sz w:val="21"/>
        </w:rPr>
      </w:pPr>
      <w:r>
        <w:rPr>
          <w:sz w:val="21"/>
        </w:rPr>
        <w:t>评标委员会完成评标后，应向招标人提交书面评标报告。</w:t>
      </w:r>
    </w:p>
    <w:p>
      <w:pPr>
        <w:wordWrap w:val="0"/>
        <w:topLinePunct/>
        <w:autoSpaceDE/>
        <w:autoSpaceDN/>
        <w:spacing w:after="0" w:line="267" w:lineRule="exact"/>
        <w:jc w:val="left"/>
        <w:rPr>
          <w:sz w:val="21"/>
        </w:rPr>
        <w:sectPr>
          <w:pgSz w:w="11900" w:h="16840"/>
          <w:pgMar w:top="1360" w:right="580" w:bottom="860" w:left="760" w:header="0" w:footer="669" w:gutter="0"/>
          <w:pgBorders>
            <w:top w:val="none" w:sz="0" w:space="0"/>
            <w:left w:val="none" w:sz="0" w:space="0"/>
            <w:bottom w:val="none" w:sz="0" w:space="0"/>
            <w:right w:val="none" w:sz="0" w:space="0"/>
          </w:pgBorders>
          <w:cols w:space="720" w:num="1"/>
        </w:sectPr>
      </w:pPr>
    </w:p>
    <w:p>
      <w:pPr>
        <w:pStyle w:val="5"/>
        <w:wordWrap w:val="0"/>
        <w:topLinePunct/>
        <w:autoSpaceDE/>
        <w:autoSpaceDN/>
        <w:spacing w:before="4"/>
        <w:rPr>
          <w:sz w:val="22"/>
        </w:rPr>
      </w:pPr>
      <w:bookmarkStart w:id="35" w:name="_GoBack"/>
      <w:bookmarkEnd w:id="35"/>
    </w:p>
    <w:p>
      <w:pPr>
        <w:tabs>
          <w:tab w:val="left" w:pos="4855"/>
        </w:tabs>
        <w:wordWrap w:val="0"/>
        <w:topLinePunct/>
        <w:autoSpaceDE/>
        <w:autoSpaceDN/>
        <w:spacing w:before="34"/>
        <w:ind w:left="175" w:right="0" w:firstLine="0"/>
        <w:jc w:val="left"/>
        <w:rPr>
          <w:b/>
          <w:sz w:val="47"/>
        </w:rPr>
      </w:pPr>
      <w:r>
        <w:rPr>
          <w:b/>
          <w:sz w:val="32"/>
        </w:rPr>
        <w:t>附件</w:t>
      </w:r>
      <w:r>
        <w:rPr>
          <w:b/>
          <w:spacing w:val="-81"/>
          <w:sz w:val="32"/>
        </w:rPr>
        <w:t xml:space="preserve"> </w:t>
      </w:r>
      <w:r>
        <w:rPr>
          <w:b/>
          <w:sz w:val="32"/>
        </w:rPr>
        <w:t>4</w:t>
      </w:r>
      <w:r>
        <w:rPr>
          <w:b/>
          <w:sz w:val="32"/>
        </w:rPr>
        <w:tab/>
      </w:r>
      <w:r>
        <w:rPr>
          <w:b/>
          <w:spacing w:val="-3"/>
          <w:sz w:val="47"/>
        </w:rPr>
        <w:t>投</w:t>
      </w:r>
      <w:r>
        <w:rPr>
          <w:b/>
          <w:sz w:val="47"/>
        </w:rPr>
        <w:t>标</w:t>
      </w:r>
      <w:r>
        <w:rPr>
          <w:b/>
          <w:spacing w:val="-3"/>
          <w:sz w:val="47"/>
        </w:rPr>
        <w:t>登</w:t>
      </w:r>
      <w:r>
        <w:rPr>
          <w:b/>
          <w:sz w:val="47"/>
        </w:rPr>
        <w:t>记</w:t>
      </w:r>
      <w:r>
        <w:rPr>
          <w:b/>
          <w:spacing w:val="-3"/>
          <w:sz w:val="47"/>
        </w:rPr>
        <w:t>申</w:t>
      </w:r>
      <w:r>
        <w:rPr>
          <w:b/>
          <w:sz w:val="47"/>
        </w:rPr>
        <w:t>请表</w:t>
      </w:r>
    </w:p>
    <w:p>
      <w:pPr>
        <w:pStyle w:val="5"/>
        <w:wordWrap w:val="0"/>
        <w:topLinePunct/>
        <w:autoSpaceDE/>
        <w:autoSpaceDN/>
        <w:spacing w:before="10"/>
        <w:rPr>
          <w:b/>
          <w:sz w:val="7"/>
        </w:rPr>
      </w:pPr>
    </w:p>
    <w:p>
      <w:pPr>
        <w:tabs>
          <w:tab w:val="left" w:pos="875"/>
          <w:tab w:val="left" w:pos="1749"/>
        </w:tabs>
        <w:wordWrap w:val="0"/>
        <w:topLinePunct/>
        <w:autoSpaceDE/>
        <w:autoSpaceDN/>
        <w:spacing w:before="65" w:after="58"/>
        <w:ind w:left="0" w:right="754" w:firstLine="0"/>
        <w:jc w:val="right"/>
        <w:rPr>
          <w:sz w:val="25"/>
        </w:rPr>
      </w:pPr>
      <w:r>
        <w:rPr>
          <w:sz w:val="25"/>
        </w:rPr>
        <w:t>年</w:t>
      </w:r>
      <w:r>
        <w:rPr>
          <w:sz w:val="25"/>
        </w:rPr>
        <w:tab/>
      </w:r>
      <w:r>
        <w:rPr>
          <w:sz w:val="25"/>
        </w:rPr>
        <w:t>月</w:t>
      </w:r>
      <w:r>
        <w:rPr>
          <w:sz w:val="25"/>
        </w:rPr>
        <w:tab/>
      </w:r>
      <w:r>
        <w:rPr>
          <w:sz w:val="25"/>
        </w:rPr>
        <w:t>日</w:t>
      </w:r>
    </w:p>
    <w:tbl>
      <w:tblPr>
        <w:tblStyle w:val="9"/>
        <w:tblW w:w="14021" w:type="dxa"/>
        <w:tblInd w:w="30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643"/>
        <w:gridCol w:w="3967"/>
        <w:gridCol w:w="1577"/>
        <w:gridCol w:w="1589"/>
        <w:gridCol w:w="1777"/>
        <w:gridCol w:w="246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2643" w:type="dxa"/>
          </w:tcPr>
          <w:p>
            <w:pPr>
              <w:pStyle w:val="13"/>
              <w:wordWrap w:val="0"/>
              <w:topLinePunct/>
              <w:autoSpaceDE/>
              <w:autoSpaceDN/>
              <w:spacing w:before="202"/>
              <w:ind w:left="234" w:right="184"/>
              <w:jc w:val="center"/>
              <w:rPr>
                <w:sz w:val="24"/>
              </w:rPr>
            </w:pPr>
            <w:r>
              <w:rPr>
                <w:sz w:val="24"/>
              </w:rPr>
              <w:t>项目名称</w:t>
            </w:r>
          </w:p>
        </w:tc>
        <w:tc>
          <w:tcPr>
            <w:tcW w:w="7133" w:type="dxa"/>
            <w:gridSpan w:val="3"/>
          </w:tcPr>
          <w:p>
            <w:pPr>
              <w:pStyle w:val="13"/>
              <w:wordWrap w:val="0"/>
              <w:topLinePunct/>
              <w:autoSpaceDE/>
              <w:autoSpaceDN/>
              <w:rPr>
                <w:rFonts w:ascii="Times New Roman"/>
                <w:sz w:val="22"/>
              </w:rPr>
            </w:pPr>
          </w:p>
        </w:tc>
        <w:tc>
          <w:tcPr>
            <w:tcW w:w="1777" w:type="dxa"/>
          </w:tcPr>
          <w:p>
            <w:pPr>
              <w:pStyle w:val="13"/>
              <w:wordWrap w:val="0"/>
              <w:topLinePunct/>
              <w:autoSpaceDE/>
              <w:autoSpaceDN/>
              <w:spacing w:before="56"/>
              <w:ind w:left="406"/>
              <w:rPr>
                <w:sz w:val="24"/>
              </w:rPr>
            </w:pPr>
            <w:r>
              <w:rPr>
                <w:sz w:val="24"/>
              </w:rPr>
              <w:t>项目编号</w:t>
            </w:r>
          </w:p>
          <w:p>
            <w:pPr>
              <w:pStyle w:val="13"/>
              <w:wordWrap w:val="0"/>
              <w:topLinePunct/>
              <w:autoSpaceDE/>
              <w:autoSpaceDN/>
              <w:spacing w:before="5"/>
              <w:ind w:left="466"/>
              <w:rPr>
                <w:sz w:val="24"/>
              </w:rPr>
            </w:pPr>
            <w:r>
              <w:rPr>
                <w:sz w:val="24"/>
              </w:rPr>
              <w:t>/标段号</w:t>
            </w:r>
          </w:p>
        </w:tc>
        <w:tc>
          <w:tcPr>
            <w:tcW w:w="2468" w:type="dxa"/>
          </w:tcPr>
          <w:p>
            <w:pPr>
              <w:pStyle w:val="13"/>
              <w:wordWrap w:val="0"/>
              <w:topLinePunct/>
              <w:autoSpaceDE/>
              <w:autoSpaceDN/>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2643" w:type="dxa"/>
          </w:tcPr>
          <w:p>
            <w:pPr>
              <w:pStyle w:val="13"/>
              <w:wordWrap w:val="0"/>
              <w:topLinePunct/>
              <w:autoSpaceDE/>
              <w:autoSpaceDN/>
              <w:spacing w:before="56"/>
              <w:ind w:left="234" w:right="184"/>
              <w:jc w:val="center"/>
              <w:rPr>
                <w:sz w:val="24"/>
              </w:rPr>
            </w:pPr>
            <w:r>
              <w:rPr>
                <w:sz w:val="24"/>
              </w:rPr>
              <w:t>投标人名称</w:t>
            </w:r>
          </w:p>
          <w:p>
            <w:pPr>
              <w:pStyle w:val="13"/>
              <w:wordWrap w:val="0"/>
              <w:topLinePunct/>
              <w:autoSpaceDE/>
              <w:autoSpaceDN/>
              <w:spacing w:before="4"/>
              <w:ind w:left="234" w:right="184"/>
              <w:jc w:val="center"/>
              <w:rPr>
                <w:sz w:val="24"/>
              </w:rPr>
            </w:pPr>
            <w:r>
              <w:rPr>
                <w:sz w:val="24"/>
              </w:rPr>
              <w:t>（企业编号）</w:t>
            </w:r>
          </w:p>
        </w:tc>
        <w:tc>
          <w:tcPr>
            <w:tcW w:w="3967" w:type="dxa"/>
          </w:tcPr>
          <w:p>
            <w:pPr>
              <w:pStyle w:val="13"/>
              <w:wordWrap w:val="0"/>
              <w:topLinePunct/>
              <w:autoSpaceDE/>
              <w:autoSpaceDN/>
              <w:rPr>
                <w:rFonts w:ascii="Times New Roman"/>
                <w:sz w:val="22"/>
              </w:rPr>
            </w:pPr>
          </w:p>
        </w:tc>
        <w:tc>
          <w:tcPr>
            <w:tcW w:w="1577" w:type="dxa"/>
          </w:tcPr>
          <w:p>
            <w:pPr>
              <w:pStyle w:val="13"/>
              <w:wordWrap w:val="0"/>
              <w:topLinePunct/>
              <w:autoSpaceDE/>
              <w:autoSpaceDN/>
              <w:spacing w:before="202"/>
              <w:ind w:left="453"/>
              <w:rPr>
                <w:sz w:val="24"/>
              </w:rPr>
            </w:pPr>
            <w:r>
              <w:rPr>
                <w:sz w:val="24"/>
              </w:rPr>
              <w:t>被授权人</w:t>
            </w:r>
          </w:p>
        </w:tc>
        <w:tc>
          <w:tcPr>
            <w:tcW w:w="1589" w:type="dxa"/>
          </w:tcPr>
          <w:p>
            <w:pPr>
              <w:pStyle w:val="13"/>
              <w:wordWrap w:val="0"/>
              <w:topLinePunct/>
              <w:autoSpaceDE/>
              <w:autoSpaceDN/>
              <w:rPr>
                <w:rFonts w:ascii="Times New Roman"/>
                <w:sz w:val="22"/>
              </w:rPr>
            </w:pPr>
          </w:p>
        </w:tc>
        <w:tc>
          <w:tcPr>
            <w:tcW w:w="1777" w:type="dxa"/>
          </w:tcPr>
          <w:p>
            <w:pPr>
              <w:pStyle w:val="13"/>
              <w:wordWrap w:val="0"/>
              <w:topLinePunct/>
              <w:autoSpaceDE/>
              <w:autoSpaceDN/>
              <w:spacing w:before="202"/>
              <w:ind w:left="613"/>
              <w:rPr>
                <w:sz w:val="24"/>
              </w:rPr>
            </w:pPr>
            <w:r>
              <w:rPr>
                <w:sz w:val="24"/>
              </w:rPr>
              <w:t>联系电话</w:t>
            </w:r>
          </w:p>
        </w:tc>
        <w:tc>
          <w:tcPr>
            <w:tcW w:w="2468" w:type="dxa"/>
          </w:tcPr>
          <w:p>
            <w:pPr>
              <w:pStyle w:val="13"/>
              <w:wordWrap w:val="0"/>
              <w:topLinePunct/>
              <w:autoSpaceDE/>
              <w:autoSpaceDN/>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6" w:hRule="atLeast"/>
        </w:trPr>
        <w:tc>
          <w:tcPr>
            <w:tcW w:w="2643" w:type="dxa"/>
          </w:tcPr>
          <w:p>
            <w:pPr>
              <w:pStyle w:val="13"/>
              <w:wordWrap w:val="0"/>
              <w:topLinePunct/>
              <w:autoSpaceDE/>
              <w:autoSpaceDN/>
              <w:spacing w:before="56"/>
              <w:ind w:left="234" w:right="184"/>
              <w:jc w:val="center"/>
              <w:rPr>
                <w:sz w:val="24"/>
              </w:rPr>
            </w:pPr>
            <w:r>
              <w:rPr>
                <w:sz w:val="24"/>
              </w:rPr>
              <w:t>项目负责人</w:t>
            </w:r>
          </w:p>
          <w:p>
            <w:pPr>
              <w:pStyle w:val="13"/>
              <w:wordWrap w:val="0"/>
              <w:topLinePunct/>
              <w:autoSpaceDE/>
              <w:autoSpaceDN/>
              <w:spacing w:before="2"/>
              <w:ind w:left="234" w:right="189"/>
              <w:jc w:val="center"/>
              <w:rPr>
                <w:sz w:val="24"/>
              </w:rPr>
            </w:pPr>
            <w:r>
              <w:rPr>
                <w:sz w:val="24"/>
              </w:rPr>
              <w:t>（经理/总监/其他）</w:t>
            </w:r>
          </w:p>
        </w:tc>
        <w:tc>
          <w:tcPr>
            <w:tcW w:w="3967" w:type="dxa"/>
          </w:tcPr>
          <w:p>
            <w:pPr>
              <w:pStyle w:val="13"/>
              <w:wordWrap w:val="0"/>
              <w:topLinePunct/>
              <w:autoSpaceDE/>
              <w:autoSpaceDN/>
              <w:rPr>
                <w:rFonts w:ascii="Times New Roman"/>
                <w:sz w:val="22"/>
              </w:rPr>
            </w:pPr>
          </w:p>
        </w:tc>
        <w:tc>
          <w:tcPr>
            <w:tcW w:w="3166" w:type="dxa"/>
            <w:gridSpan w:val="2"/>
          </w:tcPr>
          <w:p>
            <w:pPr>
              <w:pStyle w:val="13"/>
              <w:wordWrap w:val="0"/>
              <w:topLinePunct/>
              <w:autoSpaceDE/>
              <w:autoSpaceDN/>
              <w:spacing w:before="202"/>
              <w:ind w:left="558"/>
              <w:rPr>
                <w:sz w:val="24"/>
              </w:rPr>
            </w:pPr>
            <w:r>
              <w:rPr>
                <w:sz w:val="24"/>
              </w:rPr>
              <w:t>项目负责人资质证号</w:t>
            </w:r>
          </w:p>
        </w:tc>
        <w:tc>
          <w:tcPr>
            <w:tcW w:w="4245" w:type="dxa"/>
            <w:gridSpan w:val="2"/>
          </w:tcPr>
          <w:p>
            <w:pPr>
              <w:pStyle w:val="13"/>
              <w:wordWrap w:val="0"/>
              <w:topLinePunct/>
              <w:autoSpaceDE/>
              <w:autoSpaceDN/>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2643" w:type="dxa"/>
          </w:tcPr>
          <w:p>
            <w:pPr>
              <w:pStyle w:val="13"/>
              <w:wordWrap w:val="0"/>
              <w:topLinePunct/>
              <w:autoSpaceDE/>
              <w:autoSpaceDN/>
              <w:spacing w:before="202"/>
              <w:ind w:left="234" w:right="184"/>
              <w:jc w:val="center"/>
              <w:rPr>
                <w:sz w:val="24"/>
              </w:rPr>
            </w:pPr>
            <w:r>
              <w:rPr>
                <w:sz w:val="24"/>
              </w:rPr>
              <w:t>安全员</w:t>
            </w:r>
          </w:p>
        </w:tc>
        <w:tc>
          <w:tcPr>
            <w:tcW w:w="3967" w:type="dxa"/>
          </w:tcPr>
          <w:p>
            <w:pPr>
              <w:pStyle w:val="13"/>
              <w:wordWrap w:val="0"/>
              <w:topLinePunct/>
              <w:autoSpaceDE/>
              <w:autoSpaceDN/>
              <w:rPr>
                <w:rFonts w:ascii="Times New Roman"/>
                <w:sz w:val="22"/>
              </w:rPr>
            </w:pPr>
          </w:p>
        </w:tc>
        <w:tc>
          <w:tcPr>
            <w:tcW w:w="3166" w:type="dxa"/>
            <w:gridSpan w:val="2"/>
          </w:tcPr>
          <w:p>
            <w:pPr>
              <w:pStyle w:val="13"/>
              <w:wordWrap w:val="0"/>
              <w:topLinePunct/>
              <w:autoSpaceDE/>
              <w:autoSpaceDN/>
              <w:spacing w:before="202"/>
              <w:ind w:left="558"/>
              <w:rPr>
                <w:sz w:val="24"/>
              </w:rPr>
            </w:pPr>
            <w:r>
              <w:rPr>
                <w:sz w:val="24"/>
              </w:rPr>
              <w:t>安全员安全考核证号</w:t>
            </w:r>
          </w:p>
        </w:tc>
        <w:tc>
          <w:tcPr>
            <w:tcW w:w="4245" w:type="dxa"/>
            <w:gridSpan w:val="2"/>
          </w:tcPr>
          <w:p>
            <w:pPr>
              <w:pStyle w:val="13"/>
              <w:wordWrap w:val="0"/>
              <w:topLinePunct/>
              <w:autoSpaceDE/>
              <w:autoSpaceDN/>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2" w:hRule="atLeast"/>
        </w:trPr>
        <w:tc>
          <w:tcPr>
            <w:tcW w:w="2643" w:type="dxa"/>
          </w:tcPr>
          <w:p>
            <w:pPr>
              <w:pStyle w:val="13"/>
              <w:wordWrap w:val="0"/>
              <w:topLinePunct/>
              <w:autoSpaceDE/>
              <w:autoSpaceDN/>
              <w:spacing w:before="137"/>
              <w:ind w:left="155" w:right="189"/>
              <w:jc w:val="center"/>
              <w:rPr>
                <w:sz w:val="24"/>
              </w:rPr>
            </w:pPr>
            <w:r>
              <w:rPr>
                <w:sz w:val="24"/>
              </w:rPr>
              <w:t>保证书</w:t>
            </w:r>
          </w:p>
        </w:tc>
        <w:tc>
          <w:tcPr>
            <w:tcW w:w="11378" w:type="dxa"/>
            <w:gridSpan w:val="5"/>
          </w:tcPr>
          <w:p>
            <w:pPr>
              <w:pStyle w:val="13"/>
              <w:wordWrap w:val="0"/>
              <w:topLinePunct/>
              <w:autoSpaceDE/>
              <w:autoSpaceDN/>
              <w:spacing w:before="137"/>
              <w:ind w:left="690"/>
              <w:rPr>
                <w:sz w:val="24"/>
              </w:rPr>
            </w:pPr>
            <w:r>
              <w:rPr>
                <w:sz w:val="24"/>
              </w:rPr>
              <w:t>我公司保证该项目由本单位承包，不接受他人挂靠，不转包，不非法分包。如有违犯，责任自负。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0" w:hRule="atLeast"/>
        </w:trPr>
        <w:tc>
          <w:tcPr>
            <w:tcW w:w="2643" w:type="dxa"/>
          </w:tcPr>
          <w:p>
            <w:pPr>
              <w:pStyle w:val="13"/>
              <w:wordWrap w:val="0"/>
              <w:topLinePunct/>
              <w:autoSpaceDE/>
              <w:autoSpaceDN/>
              <w:spacing w:before="1"/>
              <w:rPr>
                <w:sz w:val="35"/>
              </w:rPr>
            </w:pPr>
          </w:p>
          <w:p>
            <w:pPr>
              <w:pStyle w:val="13"/>
              <w:wordWrap w:val="0"/>
              <w:topLinePunct/>
              <w:autoSpaceDE/>
              <w:autoSpaceDN/>
              <w:ind w:left="155" w:right="189"/>
              <w:jc w:val="center"/>
              <w:rPr>
                <w:sz w:val="24"/>
              </w:rPr>
            </w:pPr>
            <w:r>
              <w:rPr>
                <w:sz w:val="24"/>
              </w:rPr>
              <w:t>投标人盖章</w:t>
            </w:r>
          </w:p>
        </w:tc>
        <w:tc>
          <w:tcPr>
            <w:tcW w:w="3967" w:type="dxa"/>
          </w:tcPr>
          <w:p>
            <w:pPr>
              <w:pStyle w:val="13"/>
              <w:wordWrap w:val="0"/>
              <w:topLinePunct/>
              <w:autoSpaceDE/>
              <w:autoSpaceDN/>
              <w:rPr>
                <w:rFonts w:ascii="Times New Roman"/>
                <w:sz w:val="22"/>
              </w:rPr>
            </w:pPr>
          </w:p>
        </w:tc>
        <w:tc>
          <w:tcPr>
            <w:tcW w:w="3166" w:type="dxa"/>
            <w:gridSpan w:val="2"/>
          </w:tcPr>
          <w:p>
            <w:pPr>
              <w:pStyle w:val="13"/>
              <w:wordWrap w:val="0"/>
              <w:topLinePunct/>
              <w:autoSpaceDE/>
              <w:autoSpaceDN/>
              <w:spacing w:before="1"/>
              <w:rPr>
                <w:sz w:val="35"/>
              </w:rPr>
            </w:pPr>
          </w:p>
          <w:p>
            <w:pPr>
              <w:pStyle w:val="13"/>
              <w:wordWrap w:val="0"/>
              <w:topLinePunct/>
              <w:autoSpaceDE/>
              <w:autoSpaceDN/>
              <w:ind w:left="743"/>
              <w:rPr>
                <w:sz w:val="24"/>
              </w:rPr>
            </w:pPr>
            <w:r>
              <w:rPr>
                <w:sz w:val="24"/>
              </w:rPr>
              <w:t>法定代表人盖章</w:t>
            </w:r>
          </w:p>
        </w:tc>
        <w:tc>
          <w:tcPr>
            <w:tcW w:w="4245" w:type="dxa"/>
            <w:gridSpan w:val="2"/>
          </w:tcPr>
          <w:p>
            <w:pPr>
              <w:pStyle w:val="13"/>
              <w:wordWrap w:val="0"/>
              <w:topLinePunct/>
              <w:autoSpaceDE/>
              <w:autoSpaceDN/>
              <w:rPr>
                <w:rFonts w:ascii="Times New Roman"/>
                <w:sz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0" w:hRule="atLeast"/>
        </w:trPr>
        <w:tc>
          <w:tcPr>
            <w:tcW w:w="2643" w:type="dxa"/>
          </w:tcPr>
          <w:p>
            <w:pPr>
              <w:pStyle w:val="13"/>
              <w:wordWrap w:val="0"/>
              <w:topLinePunct/>
              <w:autoSpaceDE/>
              <w:autoSpaceDN/>
              <w:spacing w:before="1"/>
              <w:rPr>
                <w:sz w:val="21"/>
              </w:rPr>
            </w:pPr>
          </w:p>
          <w:p>
            <w:pPr>
              <w:pStyle w:val="13"/>
              <w:wordWrap w:val="0"/>
              <w:topLinePunct/>
              <w:autoSpaceDE/>
              <w:autoSpaceDN/>
              <w:ind w:left="234" w:right="184"/>
              <w:jc w:val="center"/>
              <w:rPr>
                <w:sz w:val="24"/>
              </w:rPr>
            </w:pPr>
            <w:r>
              <w:rPr>
                <w:sz w:val="24"/>
              </w:rPr>
              <w:t>招标人意见</w:t>
            </w:r>
          </w:p>
        </w:tc>
        <w:tc>
          <w:tcPr>
            <w:tcW w:w="11378" w:type="dxa"/>
            <w:gridSpan w:val="5"/>
          </w:tcPr>
          <w:p>
            <w:pPr>
              <w:pStyle w:val="13"/>
              <w:wordWrap w:val="0"/>
              <w:topLinePunct/>
              <w:autoSpaceDE/>
              <w:autoSpaceDN/>
              <w:rPr>
                <w:rFonts w:ascii="Times New Roman"/>
                <w:sz w:val="22"/>
              </w:rPr>
            </w:pPr>
          </w:p>
        </w:tc>
      </w:tr>
    </w:tbl>
    <w:p>
      <w:pPr>
        <w:wordWrap w:val="0"/>
        <w:topLinePunct/>
        <w:autoSpaceDE/>
        <w:autoSpaceDN/>
        <w:spacing w:before="80"/>
        <w:ind w:left="9120" w:right="0" w:firstLine="0"/>
        <w:jc w:val="left"/>
        <w:rPr>
          <w:sz w:val="23"/>
        </w:rPr>
      </w:pPr>
      <w:r>
        <w:rPr>
          <w:sz w:val="23"/>
        </w:rPr>
        <w:t>广州交易集团有限公司（广州公共资源交易中心）</w:t>
      </w:r>
    </w:p>
    <w:p>
      <w:pPr>
        <w:pStyle w:val="12"/>
        <w:numPr>
          <w:ilvl w:val="0"/>
          <w:numId w:val="20"/>
        </w:numPr>
        <w:tabs>
          <w:tab w:val="left" w:pos="599"/>
        </w:tabs>
        <w:wordWrap w:val="0"/>
        <w:topLinePunct/>
        <w:autoSpaceDE/>
        <w:autoSpaceDN/>
        <w:spacing w:before="100" w:after="0" w:line="240" w:lineRule="auto"/>
        <w:ind w:left="598" w:right="0" w:hanging="211"/>
        <w:jc w:val="left"/>
        <w:rPr>
          <w:sz w:val="21"/>
        </w:rPr>
      </w:pPr>
      <w:r>
        <w:rPr>
          <w:sz w:val="21"/>
        </w:rPr>
        <w:t>本表内容不允许涂改或增删。</w:t>
      </w:r>
    </w:p>
    <w:p>
      <w:pPr>
        <w:pStyle w:val="12"/>
        <w:numPr>
          <w:ilvl w:val="0"/>
          <w:numId w:val="20"/>
        </w:numPr>
        <w:tabs>
          <w:tab w:val="left" w:pos="599"/>
        </w:tabs>
        <w:wordWrap w:val="0"/>
        <w:topLinePunct/>
        <w:autoSpaceDE/>
        <w:autoSpaceDN/>
        <w:spacing w:before="2" w:after="0" w:line="240" w:lineRule="auto"/>
        <w:ind w:left="598" w:right="0" w:hanging="211"/>
        <w:jc w:val="left"/>
        <w:rPr>
          <w:sz w:val="21"/>
        </w:rPr>
      </w:pPr>
      <w:r>
        <w:rPr>
          <w:sz w:val="21"/>
        </w:rPr>
        <w:t>如项目没有划分标段时，标段号不必填写。</w:t>
      </w:r>
    </w:p>
    <w:p>
      <w:pPr>
        <w:pStyle w:val="12"/>
        <w:numPr>
          <w:ilvl w:val="0"/>
          <w:numId w:val="20"/>
        </w:numPr>
        <w:tabs>
          <w:tab w:val="left" w:pos="599"/>
        </w:tabs>
        <w:wordWrap w:val="0"/>
        <w:topLinePunct/>
        <w:autoSpaceDE/>
        <w:autoSpaceDN/>
        <w:spacing w:before="2" w:after="0" w:line="240" w:lineRule="auto"/>
        <w:ind w:left="598" w:right="0" w:hanging="211"/>
        <w:jc w:val="left"/>
        <w:rPr>
          <w:sz w:val="21"/>
        </w:rPr>
      </w:pPr>
      <w:r>
        <w:rPr>
          <w:sz w:val="21"/>
        </w:rPr>
        <w:t>如一个项目中划分多个标段时，应将所投标段的标段号及项目编号填写完整。</w:t>
      </w:r>
    </w:p>
    <w:p>
      <w:pPr>
        <w:pStyle w:val="12"/>
        <w:numPr>
          <w:ilvl w:val="0"/>
          <w:numId w:val="20"/>
        </w:numPr>
        <w:tabs>
          <w:tab w:val="left" w:pos="599"/>
        </w:tabs>
        <w:wordWrap w:val="0"/>
        <w:topLinePunct/>
        <w:autoSpaceDE/>
        <w:autoSpaceDN/>
        <w:spacing w:before="5" w:after="0" w:line="240" w:lineRule="auto"/>
        <w:ind w:left="598" w:right="0" w:hanging="211"/>
        <w:jc w:val="left"/>
        <w:rPr>
          <w:sz w:val="21"/>
        </w:rPr>
      </w:pPr>
      <w:r>
        <w:rPr>
          <w:sz w:val="21"/>
        </w:rPr>
        <w:t>如为联合体投标时，必须将联合体的所有成员单位的全称填写完整。</w:t>
      </w:r>
    </w:p>
    <w:p>
      <w:pPr>
        <w:pStyle w:val="12"/>
        <w:numPr>
          <w:ilvl w:val="0"/>
          <w:numId w:val="20"/>
        </w:numPr>
        <w:tabs>
          <w:tab w:val="left" w:pos="599"/>
        </w:tabs>
        <w:wordWrap w:val="0"/>
        <w:topLinePunct/>
        <w:autoSpaceDE/>
        <w:autoSpaceDN/>
        <w:spacing w:before="5" w:after="0" w:line="240" w:lineRule="auto"/>
        <w:ind w:left="598" w:right="0" w:hanging="211"/>
        <w:jc w:val="left"/>
        <w:rPr>
          <w:sz w:val="21"/>
        </w:rPr>
      </w:pPr>
      <w:r>
        <w:rPr>
          <w:sz w:val="21"/>
        </w:rPr>
        <w:t>本表由招标人保存。</w:t>
      </w:r>
    </w:p>
    <w:p>
      <w:pPr>
        <w:pStyle w:val="12"/>
        <w:numPr>
          <w:ilvl w:val="0"/>
          <w:numId w:val="20"/>
        </w:numPr>
        <w:tabs>
          <w:tab w:val="left" w:pos="599"/>
        </w:tabs>
        <w:wordWrap w:val="0"/>
        <w:topLinePunct/>
        <w:autoSpaceDE/>
        <w:autoSpaceDN/>
        <w:spacing w:before="2" w:after="0" w:line="240" w:lineRule="auto"/>
        <w:ind w:left="598" w:right="0" w:hanging="211"/>
        <w:jc w:val="left"/>
        <w:rPr>
          <w:sz w:val="21"/>
        </w:rPr>
      </w:pPr>
      <w:r>
        <w:rPr>
          <w:sz w:val="21"/>
        </w:rPr>
        <w:t>本表可在广州交易集团有限公司（广州公共资源交易中心）网站下载。</w:t>
      </w:r>
    </w:p>
    <w:p>
      <w:pPr>
        <w:wordWrap w:val="0"/>
        <w:topLinePunct/>
        <w:autoSpaceDE/>
        <w:autoSpaceDN/>
        <w:spacing w:after="0" w:line="240" w:lineRule="auto"/>
        <w:jc w:val="left"/>
        <w:rPr>
          <w:sz w:val="21"/>
        </w:rPr>
        <w:sectPr>
          <w:footerReference r:id="rId11" w:type="default"/>
          <w:pgSz w:w="16840" w:h="11900" w:orient="landscape"/>
          <w:pgMar w:top="1100" w:right="1160" w:bottom="860" w:left="1240" w:header="0" w:footer="671" w:gutter="0"/>
          <w:pgBorders>
            <w:top w:val="none" w:sz="0" w:space="0"/>
            <w:left w:val="none" w:sz="0" w:space="0"/>
            <w:bottom w:val="none" w:sz="0" w:space="0"/>
            <w:right w:val="none" w:sz="0" w:space="0"/>
          </w:pgBorders>
          <w:pgNumType w:start="10"/>
          <w:cols w:space="720" w:num="1"/>
        </w:sectPr>
      </w:pPr>
    </w:p>
    <w:p>
      <w:pPr>
        <w:pStyle w:val="5"/>
        <w:wordWrap w:val="0"/>
        <w:topLinePunct/>
        <w:autoSpaceDE/>
        <w:autoSpaceDN/>
        <w:spacing w:before="10"/>
        <w:rPr>
          <w:sz w:val="20"/>
        </w:rPr>
      </w:pPr>
    </w:p>
    <w:p>
      <w:pPr>
        <w:wordWrap w:val="0"/>
        <w:topLinePunct/>
        <w:autoSpaceDE/>
        <w:autoSpaceDN/>
        <w:spacing w:after="0"/>
        <w:rPr>
          <w:sz w:val="20"/>
        </w:rPr>
        <w:sectPr>
          <w:pgSz w:w="16840" w:h="11900" w:orient="landscape"/>
          <w:pgMar w:top="1100" w:right="1160" w:bottom="860" w:left="1240" w:header="0" w:footer="671" w:gutter="0"/>
          <w:pgBorders>
            <w:top w:val="none" w:sz="0" w:space="0"/>
            <w:left w:val="none" w:sz="0" w:space="0"/>
            <w:bottom w:val="none" w:sz="0" w:space="0"/>
            <w:right w:val="none" w:sz="0" w:space="0"/>
          </w:pgBorders>
          <w:cols w:space="720" w:num="1"/>
        </w:sectPr>
      </w:pPr>
    </w:p>
    <w:p>
      <w:pPr>
        <w:pStyle w:val="4"/>
        <w:wordWrap w:val="0"/>
        <w:topLinePunct/>
        <w:autoSpaceDE/>
        <w:autoSpaceDN/>
        <w:spacing w:before="54"/>
        <w:ind w:left="175"/>
      </w:pPr>
      <w:r>
        <w:rPr>
          <w:spacing w:val="-28"/>
        </w:rPr>
        <w:t xml:space="preserve">附件 </w:t>
      </w:r>
      <w:r>
        <w:t>5</w:t>
      </w:r>
    </w:p>
    <w:p>
      <w:pPr>
        <w:pStyle w:val="5"/>
        <w:wordWrap w:val="0"/>
        <w:topLinePunct/>
        <w:autoSpaceDE/>
        <w:autoSpaceDN/>
        <w:spacing w:before="7"/>
        <w:rPr>
          <w:b/>
          <w:sz w:val="36"/>
        </w:rPr>
      </w:pPr>
      <w:r>
        <w:br w:type="column"/>
      </w:r>
    </w:p>
    <w:p>
      <w:pPr>
        <w:pStyle w:val="3"/>
        <w:wordWrap w:val="0"/>
        <w:topLinePunct/>
        <w:autoSpaceDE/>
        <w:autoSpaceDN/>
        <w:spacing w:before="0"/>
        <w:ind w:left="176"/>
      </w:pPr>
      <w:r>
        <w:t>招标文件领取登记表</w:t>
      </w:r>
    </w:p>
    <w:p>
      <w:pPr>
        <w:wordWrap w:val="0"/>
        <w:topLinePunct/>
        <w:autoSpaceDE/>
        <w:autoSpaceDN/>
        <w:spacing w:after="0"/>
        <w:sectPr>
          <w:type w:val="continuous"/>
          <w:pgSz w:w="16840" w:h="11900" w:orient="landscape"/>
          <w:pgMar w:top="1600" w:right="1160" w:bottom="280" w:left="1240" w:header="720" w:footer="720" w:gutter="0"/>
          <w:pgBorders>
            <w:top w:val="none" w:sz="0" w:space="0"/>
            <w:left w:val="none" w:sz="0" w:space="0"/>
            <w:bottom w:val="none" w:sz="0" w:space="0"/>
            <w:right w:val="none" w:sz="0" w:space="0"/>
          </w:pgBorders>
          <w:cols w:equalWidth="0" w:num="2">
            <w:col w:w="1098" w:space="4278"/>
            <w:col w:w="9064"/>
          </w:cols>
        </w:sectPr>
      </w:pPr>
    </w:p>
    <w:p>
      <w:pPr>
        <w:pStyle w:val="5"/>
        <w:wordWrap w:val="0"/>
        <w:topLinePunct/>
        <w:autoSpaceDE/>
        <w:autoSpaceDN/>
        <w:rPr>
          <w:b/>
          <w:sz w:val="20"/>
        </w:rPr>
      </w:pPr>
    </w:p>
    <w:p>
      <w:pPr>
        <w:pStyle w:val="5"/>
        <w:wordWrap w:val="0"/>
        <w:topLinePunct/>
        <w:autoSpaceDE/>
        <w:autoSpaceDN/>
        <w:spacing w:before="9"/>
        <w:rPr>
          <w:b/>
          <w:sz w:val="16"/>
        </w:rPr>
      </w:pPr>
    </w:p>
    <w:tbl>
      <w:tblPr>
        <w:tblStyle w:val="9"/>
        <w:tblW w:w="14144"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2592"/>
        <w:gridCol w:w="1930"/>
        <w:gridCol w:w="2390"/>
        <w:gridCol w:w="3030"/>
        <w:gridCol w:w="32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0" w:hRule="atLeast"/>
        </w:trPr>
        <w:tc>
          <w:tcPr>
            <w:tcW w:w="3544" w:type="dxa"/>
            <w:gridSpan w:val="2"/>
          </w:tcPr>
          <w:p>
            <w:pPr>
              <w:pStyle w:val="13"/>
              <w:wordWrap w:val="0"/>
              <w:topLinePunct/>
              <w:autoSpaceDE/>
              <w:autoSpaceDN/>
              <w:spacing w:before="11"/>
              <w:rPr>
                <w:b/>
                <w:sz w:val="22"/>
              </w:rPr>
            </w:pPr>
          </w:p>
          <w:p>
            <w:pPr>
              <w:pStyle w:val="13"/>
              <w:wordWrap w:val="0"/>
              <w:topLinePunct/>
              <w:autoSpaceDE/>
              <w:autoSpaceDN/>
              <w:ind w:left="932"/>
              <w:rPr>
                <w:sz w:val="28"/>
              </w:rPr>
            </w:pPr>
            <w:r>
              <w:rPr>
                <w:sz w:val="28"/>
              </w:rPr>
              <w:t>招标项目编号</w:t>
            </w:r>
          </w:p>
        </w:tc>
        <w:tc>
          <w:tcPr>
            <w:tcW w:w="4320" w:type="dxa"/>
            <w:gridSpan w:val="2"/>
          </w:tcPr>
          <w:p>
            <w:pPr>
              <w:pStyle w:val="13"/>
              <w:wordWrap w:val="0"/>
              <w:topLinePunct/>
              <w:autoSpaceDE/>
              <w:autoSpaceDN/>
              <w:rPr>
                <w:rFonts w:ascii="Times New Roman"/>
                <w:sz w:val="28"/>
              </w:rPr>
            </w:pPr>
          </w:p>
        </w:tc>
        <w:tc>
          <w:tcPr>
            <w:tcW w:w="3030" w:type="dxa"/>
          </w:tcPr>
          <w:p>
            <w:pPr>
              <w:pStyle w:val="13"/>
              <w:wordWrap w:val="0"/>
              <w:topLinePunct/>
              <w:autoSpaceDE/>
              <w:autoSpaceDN/>
              <w:spacing w:before="11"/>
              <w:rPr>
                <w:b/>
                <w:sz w:val="22"/>
              </w:rPr>
            </w:pPr>
          </w:p>
          <w:p>
            <w:pPr>
              <w:pStyle w:val="13"/>
              <w:wordWrap w:val="0"/>
              <w:topLinePunct/>
              <w:autoSpaceDE/>
              <w:autoSpaceDN/>
              <w:ind w:left="92" w:right="85"/>
              <w:jc w:val="center"/>
              <w:rPr>
                <w:sz w:val="28"/>
              </w:rPr>
            </w:pPr>
            <w:r>
              <w:rPr>
                <w:sz w:val="28"/>
              </w:rPr>
              <w:t>投标登记时间</w:t>
            </w:r>
          </w:p>
        </w:tc>
        <w:tc>
          <w:tcPr>
            <w:tcW w:w="3250" w:type="dxa"/>
          </w:tcPr>
          <w:p>
            <w:pPr>
              <w:pStyle w:val="13"/>
              <w:wordWrap w:val="0"/>
              <w:topLinePunct/>
              <w:autoSpaceDE/>
              <w:autoSpaceDN/>
              <w:spacing w:before="11"/>
              <w:rPr>
                <w:b/>
                <w:sz w:val="22"/>
              </w:rPr>
            </w:pPr>
          </w:p>
          <w:p>
            <w:pPr>
              <w:pStyle w:val="13"/>
              <w:tabs>
                <w:tab w:val="left" w:pos="1607"/>
                <w:tab w:val="left" w:pos="2169"/>
                <w:tab w:val="left" w:pos="2728"/>
              </w:tabs>
              <w:wordWrap w:val="0"/>
              <w:topLinePunct/>
              <w:autoSpaceDE/>
              <w:autoSpaceDN/>
              <w:ind w:right="12"/>
              <w:jc w:val="center"/>
              <w:rPr>
                <w:sz w:val="28"/>
              </w:rPr>
            </w:pPr>
            <w:r>
              <w:rPr>
                <w:sz w:val="28"/>
              </w:rPr>
              <w:t>2023</w:t>
            </w:r>
            <w:r>
              <w:rPr>
                <w:spacing w:val="-72"/>
                <w:sz w:val="28"/>
              </w:rPr>
              <w:t xml:space="preserve"> </w:t>
            </w:r>
            <w:r>
              <w:rPr>
                <w:sz w:val="28"/>
              </w:rPr>
              <w:t>年</w:t>
            </w:r>
            <w:r>
              <w:rPr>
                <w:spacing w:val="-1"/>
                <w:sz w:val="28"/>
              </w:rPr>
              <w:t xml:space="preserve"> </w:t>
            </w:r>
            <w:r>
              <w:rPr>
                <w:sz w:val="28"/>
              </w:rPr>
              <w:t>月</w:t>
            </w:r>
            <w:r>
              <w:rPr>
                <w:sz w:val="28"/>
              </w:rPr>
              <w:tab/>
            </w:r>
            <w:r>
              <w:rPr>
                <w:sz w:val="28"/>
              </w:rPr>
              <w:t>日</w:t>
            </w:r>
            <w:r>
              <w:rPr>
                <w:sz w:val="28"/>
              </w:rPr>
              <w:tab/>
            </w:r>
            <w:r>
              <w:rPr>
                <w:sz w:val="28"/>
              </w:rPr>
              <w:t>时</w:t>
            </w:r>
            <w:r>
              <w:rPr>
                <w:sz w:val="28"/>
              </w:rPr>
              <w:tab/>
            </w:r>
            <w:r>
              <w:rPr>
                <w:sz w:val="28"/>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3544" w:type="dxa"/>
            <w:gridSpan w:val="2"/>
          </w:tcPr>
          <w:p>
            <w:pPr>
              <w:pStyle w:val="13"/>
              <w:wordWrap w:val="0"/>
              <w:topLinePunct/>
              <w:autoSpaceDE/>
              <w:autoSpaceDN/>
              <w:spacing w:before="8"/>
              <w:rPr>
                <w:b/>
                <w:sz w:val="21"/>
              </w:rPr>
            </w:pPr>
          </w:p>
          <w:p>
            <w:pPr>
              <w:pStyle w:val="13"/>
              <w:wordWrap w:val="0"/>
              <w:topLinePunct/>
              <w:autoSpaceDE/>
              <w:autoSpaceDN/>
              <w:ind w:left="932"/>
              <w:rPr>
                <w:sz w:val="28"/>
              </w:rPr>
            </w:pPr>
            <w:r>
              <w:rPr>
                <w:sz w:val="28"/>
              </w:rPr>
              <w:t>招标项目名称</w:t>
            </w:r>
          </w:p>
        </w:tc>
        <w:tc>
          <w:tcPr>
            <w:tcW w:w="10600" w:type="dxa"/>
            <w:gridSpan w:val="4"/>
          </w:tcPr>
          <w:p>
            <w:pPr>
              <w:pStyle w:val="13"/>
              <w:wordWrap w:val="0"/>
              <w:topLinePunct/>
              <w:autoSpaceDE/>
              <w:autoSpaceDN/>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52" w:type="dxa"/>
            <w:vMerge w:val="restart"/>
            <w:textDirection w:val="tbRl"/>
          </w:tcPr>
          <w:p>
            <w:pPr>
              <w:pStyle w:val="13"/>
              <w:wordWrap w:val="0"/>
              <w:topLinePunct/>
              <w:autoSpaceDE/>
              <w:autoSpaceDN/>
              <w:spacing w:before="150"/>
              <w:ind w:left="1144"/>
              <w:rPr>
                <w:sz w:val="28"/>
              </w:rPr>
            </w:pPr>
            <w:r>
              <w:rPr>
                <w:sz w:val="28"/>
              </w:rPr>
              <w:t>投 标 人 资 料</w:t>
            </w:r>
          </w:p>
        </w:tc>
        <w:tc>
          <w:tcPr>
            <w:tcW w:w="2592" w:type="dxa"/>
          </w:tcPr>
          <w:p>
            <w:pPr>
              <w:pStyle w:val="13"/>
              <w:wordWrap w:val="0"/>
              <w:topLinePunct/>
              <w:autoSpaceDE/>
              <w:autoSpaceDN/>
              <w:spacing w:before="1"/>
              <w:rPr>
                <w:b/>
                <w:sz w:val="23"/>
              </w:rPr>
            </w:pPr>
          </w:p>
          <w:p>
            <w:pPr>
              <w:pStyle w:val="13"/>
              <w:wordWrap w:val="0"/>
              <w:topLinePunct/>
              <w:autoSpaceDE/>
              <w:autoSpaceDN/>
              <w:ind w:left="435" w:right="427"/>
              <w:jc w:val="center"/>
              <w:rPr>
                <w:sz w:val="28"/>
              </w:rPr>
            </w:pPr>
            <w:r>
              <w:rPr>
                <w:sz w:val="28"/>
              </w:rPr>
              <w:t>投标人名称</w:t>
            </w:r>
          </w:p>
        </w:tc>
        <w:tc>
          <w:tcPr>
            <w:tcW w:w="4320" w:type="dxa"/>
            <w:gridSpan w:val="2"/>
          </w:tcPr>
          <w:p>
            <w:pPr>
              <w:pStyle w:val="13"/>
              <w:wordWrap w:val="0"/>
              <w:topLinePunct/>
              <w:autoSpaceDE/>
              <w:autoSpaceDN/>
              <w:rPr>
                <w:rFonts w:ascii="Times New Roman"/>
                <w:sz w:val="28"/>
              </w:rPr>
            </w:pPr>
          </w:p>
        </w:tc>
        <w:tc>
          <w:tcPr>
            <w:tcW w:w="3030" w:type="dxa"/>
          </w:tcPr>
          <w:p>
            <w:pPr>
              <w:pStyle w:val="13"/>
              <w:wordWrap w:val="0"/>
              <w:topLinePunct/>
              <w:autoSpaceDE/>
              <w:autoSpaceDN/>
              <w:spacing w:before="1"/>
              <w:rPr>
                <w:b/>
                <w:sz w:val="23"/>
              </w:rPr>
            </w:pPr>
          </w:p>
          <w:p>
            <w:pPr>
              <w:pStyle w:val="13"/>
              <w:wordWrap w:val="0"/>
              <w:topLinePunct/>
              <w:autoSpaceDE/>
              <w:autoSpaceDN/>
              <w:ind w:left="95" w:right="83"/>
              <w:jc w:val="center"/>
              <w:rPr>
                <w:sz w:val="28"/>
              </w:rPr>
            </w:pPr>
            <w:r>
              <w:rPr>
                <w:sz w:val="28"/>
              </w:rPr>
              <w:t>法定代表人</w:t>
            </w:r>
          </w:p>
        </w:tc>
        <w:tc>
          <w:tcPr>
            <w:tcW w:w="3250" w:type="dxa"/>
          </w:tcPr>
          <w:p>
            <w:pPr>
              <w:pStyle w:val="13"/>
              <w:wordWrap w:val="0"/>
              <w:topLinePunct/>
              <w:autoSpaceDE/>
              <w:autoSpaceDN/>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trPr>
        <w:tc>
          <w:tcPr>
            <w:tcW w:w="952" w:type="dxa"/>
            <w:vMerge w:val="continue"/>
            <w:tcBorders>
              <w:top w:val="nil"/>
            </w:tcBorders>
            <w:textDirection w:val="tbRl"/>
          </w:tcPr>
          <w:p>
            <w:pPr>
              <w:wordWrap w:val="0"/>
              <w:topLinePunct/>
              <w:autoSpaceDE/>
              <w:autoSpaceDN/>
              <w:rPr>
                <w:sz w:val="2"/>
                <w:szCs w:val="2"/>
              </w:rPr>
            </w:pPr>
          </w:p>
        </w:tc>
        <w:tc>
          <w:tcPr>
            <w:tcW w:w="2592" w:type="dxa"/>
          </w:tcPr>
          <w:p>
            <w:pPr>
              <w:pStyle w:val="13"/>
              <w:wordWrap w:val="0"/>
              <w:topLinePunct/>
              <w:autoSpaceDE/>
              <w:autoSpaceDN/>
              <w:rPr>
                <w:b/>
                <w:sz w:val="23"/>
              </w:rPr>
            </w:pPr>
          </w:p>
          <w:p>
            <w:pPr>
              <w:pStyle w:val="13"/>
              <w:wordWrap w:val="0"/>
              <w:topLinePunct/>
              <w:autoSpaceDE/>
              <w:autoSpaceDN/>
              <w:ind w:left="435" w:right="424"/>
              <w:jc w:val="center"/>
              <w:rPr>
                <w:sz w:val="28"/>
              </w:rPr>
            </w:pPr>
            <w:r>
              <w:rPr>
                <w:sz w:val="28"/>
              </w:rPr>
              <w:t>联系地址</w:t>
            </w:r>
          </w:p>
        </w:tc>
        <w:tc>
          <w:tcPr>
            <w:tcW w:w="4320" w:type="dxa"/>
            <w:gridSpan w:val="2"/>
          </w:tcPr>
          <w:p>
            <w:pPr>
              <w:pStyle w:val="13"/>
              <w:wordWrap w:val="0"/>
              <w:topLinePunct/>
              <w:autoSpaceDE/>
              <w:autoSpaceDN/>
              <w:rPr>
                <w:rFonts w:ascii="Times New Roman"/>
                <w:sz w:val="28"/>
              </w:rPr>
            </w:pPr>
          </w:p>
        </w:tc>
        <w:tc>
          <w:tcPr>
            <w:tcW w:w="3030" w:type="dxa"/>
          </w:tcPr>
          <w:p>
            <w:pPr>
              <w:pStyle w:val="13"/>
              <w:wordWrap w:val="0"/>
              <w:topLinePunct/>
              <w:autoSpaceDE/>
              <w:autoSpaceDN/>
              <w:rPr>
                <w:b/>
                <w:sz w:val="23"/>
              </w:rPr>
            </w:pPr>
          </w:p>
          <w:p>
            <w:pPr>
              <w:pStyle w:val="13"/>
              <w:wordWrap w:val="0"/>
              <w:topLinePunct/>
              <w:autoSpaceDE/>
              <w:autoSpaceDN/>
              <w:ind w:left="95" w:right="83"/>
              <w:jc w:val="center"/>
              <w:rPr>
                <w:sz w:val="28"/>
              </w:rPr>
            </w:pPr>
            <w:r>
              <w:rPr>
                <w:sz w:val="28"/>
              </w:rPr>
              <w:t>统一社会信用代码</w:t>
            </w:r>
          </w:p>
        </w:tc>
        <w:tc>
          <w:tcPr>
            <w:tcW w:w="3250" w:type="dxa"/>
          </w:tcPr>
          <w:p>
            <w:pPr>
              <w:pStyle w:val="13"/>
              <w:wordWrap w:val="0"/>
              <w:topLinePunct/>
              <w:autoSpaceDE/>
              <w:autoSpaceDN/>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trPr>
        <w:tc>
          <w:tcPr>
            <w:tcW w:w="952" w:type="dxa"/>
            <w:vMerge w:val="continue"/>
            <w:tcBorders>
              <w:top w:val="nil"/>
            </w:tcBorders>
            <w:textDirection w:val="tbRl"/>
          </w:tcPr>
          <w:p>
            <w:pPr>
              <w:wordWrap w:val="0"/>
              <w:topLinePunct/>
              <w:autoSpaceDE/>
              <w:autoSpaceDN/>
              <w:rPr>
                <w:sz w:val="2"/>
                <w:szCs w:val="2"/>
              </w:rPr>
            </w:pPr>
          </w:p>
        </w:tc>
        <w:tc>
          <w:tcPr>
            <w:tcW w:w="2592" w:type="dxa"/>
          </w:tcPr>
          <w:p>
            <w:pPr>
              <w:pStyle w:val="13"/>
              <w:wordWrap w:val="0"/>
              <w:topLinePunct/>
              <w:autoSpaceDE/>
              <w:autoSpaceDN/>
              <w:spacing w:before="210"/>
              <w:ind w:left="435" w:right="427"/>
              <w:jc w:val="center"/>
              <w:rPr>
                <w:sz w:val="28"/>
              </w:rPr>
            </w:pPr>
            <w:r>
              <w:rPr>
                <w:sz w:val="28"/>
              </w:rPr>
              <w:t>领取资料组成</w:t>
            </w:r>
          </w:p>
        </w:tc>
        <w:tc>
          <w:tcPr>
            <w:tcW w:w="4320" w:type="dxa"/>
            <w:gridSpan w:val="2"/>
          </w:tcPr>
          <w:p>
            <w:pPr>
              <w:pStyle w:val="13"/>
              <w:wordWrap w:val="0"/>
              <w:topLinePunct/>
              <w:autoSpaceDE/>
              <w:autoSpaceDN/>
              <w:rPr>
                <w:rFonts w:ascii="Times New Roman"/>
                <w:sz w:val="28"/>
              </w:rPr>
            </w:pPr>
          </w:p>
        </w:tc>
        <w:tc>
          <w:tcPr>
            <w:tcW w:w="3030" w:type="dxa"/>
          </w:tcPr>
          <w:p>
            <w:pPr>
              <w:pStyle w:val="13"/>
              <w:wordWrap w:val="0"/>
              <w:topLinePunct/>
              <w:autoSpaceDE/>
              <w:autoSpaceDN/>
              <w:spacing w:before="210"/>
              <w:ind w:left="95" w:right="85"/>
              <w:jc w:val="center"/>
              <w:rPr>
                <w:sz w:val="28"/>
              </w:rPr>
            </w:pPr>
            <w:r>
              <w:rPr>
                <w:sz w:val="28"/>
              </w:rPr>
              <w:t>是否提交登记书面文件</w:t>
            </w:r>
          </w:p>
        </w:tc>
        <w:tc>
          <w:tcPr>
            <w:tcW w:w="3250" w:type="dxa"/>
          </w:tcPr>
          <w:p>
            <w:pPr>
              <w:pStyle w:val="13"/>
              <w:wordWrap w:val="0"/>
              <w:topLinePunct/>
              <w:autoSpaceDE/>
              <w:autoSpaceDN/>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2" w:hRule="atLeast"/>
        </w:trPr>
        <w:tc>
          <w:tcPr>
            <w:tcW w:w="952" w:type="dxa"/>
            <w:vMerge w:val="continue"/>
            <w:tcBorders>
              <w:top w:val="nil"/>
            </w:tcBorders>
            <w:textDirection w:val="tbRl"/>
          </w:tcPr>
          <w:p>
            <w:pPr>
              <w:wordWrap w:val="0"/>
              <w:topLinePunct/>
              <w:autoSpaceDE/>
              <w:autoSpaceDN/>
              <w:rPr>
                <w:sz w:val="2"/>
                <w:szCs w:val="2"/>
              </w:rPr>
            </w:pPr>
          </w:p>
        </w:tc>
        <w:tc>
          <w:tcPr>
            <w:tcW w:w="2592" w:type="dxa"/>
            <w:vMerge w:val="restart"/>
          </w:tcPr>
          <w:p>
            <w:pPr>
              <w:pStyle w:val="13"/>
              <w:wordWrap w:val="0"/>
              <w:topLinePunct/>
              <w:autoSpaceDE/>
              <w:autoSpaceDN/>
              <w:rPr>
                <w:b/>
                <w:sz w:val="28"/>
              </w:rPr>
            </w:pPr>
          </w:p>
          <w:p>
            <w:pPr>
              <w:pStyle w:val="13"/>
              <w:wordWrap w:val="0"/>
              <w:topLinePunct/>
              <w:autoSpaceDE/>
              <w:autoSpaceDN/>
              <w:spacing w:before="8"/>
              <w:rPr>
                <w:b/>
                <w:sz w:val="21"/>
              </w:rPr>
            </w:pPr>
          </w:p>
          <w:p>
            <w:pPr>
              <w:pStyle w:val="13"/>
              <w:wordWrap w:val="0"/>
              <w:topLinePunct/>
              <w:autoSpaceDE/>
              <w:autoSpaceDN/>
              <w:ind w:left="594"/>
              <w:rPr>
                <w:sz w:val="28"/>
              </w:rPr>
            </w:pPr>
            <w:r>
              <w:rPr>
                <w:sz w:val="28"/>
              </w:rPr>
              <w:t>经办人信息</w:t>
            </w:r>
          </w:p>
        </w:tc>
        <w:tc>
          <w:tcPr>
            <w:tcW w:w="1930" w:type="dxa"/>
          </w:tcPr>
          <w:p>
            <w:pPr>
              <w:pStyle w:val="13"/>
              <w:wordWrap w:val="0"/>
              <w:topLinePunct/>
              <w:autoSpaceDE/>
              <w:autoSpaceDN/>
              <w:spacing w:before="208"/>
              <w:ind w:left="265"/>
              <w:rPr>
                <w:sz w:val="28"/>
              </w:rPr>
            </w:pPr>
            <w:r>
              <w:rPr>
                <w:sz w:val="28"/>
              </w:rPr>
              <w:t>经办人姓名</w:t>
            </w:r>
          </w:p>
        </w:tc>
        <w:tc>
          <w:tcPr>
            <w:tcW w:w="2390" w:type="dxa"/>
          </w:tcPr>
          <w:p>
            <w:pPr>
              <w:pStyle w:val="13"/>
              <w:wordWrap w:val="0"/>
              <w:topLinePunct/>
              <w:autoSpaceDE/>
              <w:autoSpaceDN/>
              <w:spacing w:before="208"/>
              <w:ind w:left="634"/>
              <w:rPr>
                <w:sz w:val="28"/>
              </w:rPr>
            </w:pPr>
            <w:r>
              <w:rPr>
                <w:sz w:val="28"/>
              </w:rPr>
              <w:t>手机号码</w:t>
            </w:r>
          </w:p>
        </w:tc>
        <w:tc>
          <w:tcPr>
            <w:tcW w:w="3030" w:type="dxa"/>
          </w:tcPr>
          <w:p>
            <w:pPr>
              <w:pStyle w:val="13"/>
              <w:wordWrap w:val="0"/>
              <w:topLinePunct/>
              <w:autoSpaceDE/>
              <w:autoSpaceDN/>
              <w:spacing w:before="208"/>
              <w:ind w:left="95" w:right="85"/>
              <w:jc w:val="center"/>
              <w:rPr>
                <w:sz w:val="28"/>
              </w:rPr>
            </w:pPr>
            <w:r>
              <w:rPr>
                <w:sz w:val="28"/>
              </w:rPr>
              <w:t>电子邮箱</w:t>
            </w:r>
          </w:p>
        </w:tc>
        <w:tc>
          <w:tcPr>
            <w:tcW w:w="3250" w:type="dxa"/>
          </w:tcPr>
          <w:p>
            <w:pPr>
              <w:pStyle w:val="13"/>
              <w:wordWrap w:val="0"/>
              <w:topLinePunct/>
              <w:autoSpaceDE/>
              <w:autoSpaceDN/>
              <w:spacing w:before="208"/>
              <w:ind w:left="22" w:right="12"/>
              <w:jc w:val="center"/>
              <w:rPr>
                <w:sz w:val="28"/>
              </w:rPr>
            </w:pPr>
            <w:r>
              <w:rPr>
                <w:sz w:val="28"/>
              </w:rPr>
              <w:t>传真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3" w:hRule="atLeast"/>
        </w:trPr>
        <w:tc>
          <w:tcPr>
            <w:tcW w:w="952" w:type="dxa"/>
            <w:vMerge w:val="continue"/>
            <w:tcBorders>
              <w:top w:val="nil"/>
            </w:tcBorders>
            <w:textDirection w:val="tbRl"/>
          </w:tcPr>
          <w:p>
            <w:pPr>
              <w:wordWrap w:val="0"/>
              <w:topLinePunct/>
              <w:autoSpaceDE/>
              <w:autoSpaceDN/>
              <w:rPr>
                <w:sz w:val="2"/>
                <w:szCs w:val="2"/>
              </w:rPr>
            </w:pPr>
          </w:p>
        </w:tc>
        <w:tc>
          <w:tcPr>
            <w:tcW w:w="2592" w:type="dxa"/>
            <w:vMerge w:val="continue"/>
            <w:tcBorders>
              <w:top w:val="nil"/>
            </w:tcBorders>
          </w:tcPr>
          <w:p>
            <w:pPr>
              <w:wordWrap w:val="0"/>
              <w:topLinePunct/>
              <w:autoSpaceDE/>
              <w:autoSpaceDN/>
              <w:rPr>
                <w:sz w:val="2"/>
                <w:szCs w:val="2"/>
              </w:rPr>
            </w:pPr>
          </w:p>
        </w:tc>
        <w:tc>
          <w:tcPr>
            <w:tcW w:w="1930" w:type="dxa"/>
          </w:tcPr>
          <w:p>
            <w:pPr>
              <w:pStyle w:val="13"/>
              <w:wordWrap w:val="0"/>
              <w:topLinePunct/>
              <w:autoSpaceDE/>
              <w:autoSpaceDN/>
              <w:rPr>
                <w:rFonts w:ascii="Times New Roman"/>
                <w:sz w:val="28"/>
              </w:rPr>
            </w:pPr>
          </w:p>
        </w:tc>
        <w:tc>
          <w:tcPr>
            <w:tcW w:w="2390" w:type="dxa"/>
          </w:tcPr>
          <w:p>
            <w:pPr>
              <w:pStyle w:val="13"/>
              <w:wordWrap w:val="0"/>
              <w:topLinePunct/>
              <w:autoSpaceDE/>
              <w:autoSpaceDN/>
              <w:rPr>
                <w:rFonts w:ascii="Times New Roman"/>
                <w:sz w:val="28"/>
              </w:rPr>
            </w:pPr>
          </w:p>
        </w:tc>
        <w:tc>
          <w:tcPr>
            <w:tcW w:w="3030" w:type="dxa"/>
          </w:tcPr>
          <w:p>
            <w:pPr>
              <w:pStyle w:val="13"/>
              <w:wordWrap w:val="0"/>
              <w:topLinePunct/>
              <w:autoSpaceDE/>
              <w:autoSpaceDN/>
              <w:rPr>
                <w:rFonts w:ascii="Times New Roman"/>
                <w:sz w:val="28"/>
              </w:rPr>
            </w:pPr>
          </w:p>
        </w:tc>
        <w:tc>
          <w:tcPr>
            <w:tcW w:w="3250" w:type="dxa"/>
          </w:tcPr>
          <w:p>
            <w:pPr>
              <w:pStyle w:val="13"/>
              <w:wordWrap w:val="0"/>
              <w:topLinePunct/>
              <w:autoSpaceDE/>
              <w:autoSpaceDN/>
              <w:rPr>
                <w:rFonts w:ascii="Times New Roman"/>
                <w:sz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3" w:hRule="atLeast"/>
        </w:trPr>
        <w:tc>
          <w:tcPr>
            <w:tcW w:w="952" w:type="dxa"/>
          </w:tcPr>
          <w:p>
            <w:pPr>
              <w:pStyle w:val="13"/>
              <w:wordWrap w:val="0"/>
              <w:topLinePunct/>
              <w:autoSpaceDE/>
              <w:autoSpaceDN/>
              <w:spacing w:before="9"/>
              <w:rPr>
                <w:b/>
                <w:sz w:val="20"/>
              </w:rPr>
            </w:pPr>
          </w:p>
          <w:p>
            <w:pPr>
              <w:pStyle w:val="13"/>
              <w:wordWrap w:val="0"/>
              <w:topLinePunct/>
              <w:autoSpaceDE/>
              <w:autoSpaceDN/>
              <w:spacing w:before="1"/>
              <w:ind w:left="195"/>
              <w:rPr>
                <w:sz w:val="28"/>
              </w:rPr>
            </w:pPr>
            <w:r>
              <w:rPr>
                <w:sz w:val="28"/>
              </w:rPr>
              <w:t>备注</w:t>
            </w:r>
          </w:p>
        </w:tc>
        <w:tc>
          <w:tcPr>
            <w:tcW w:w="13192" w:type="dxa"/>
            <w:gridSpan w:val="5"/>
          </w:tcPr>
          <w:p>
            <w:pPr>
              <w:pStyle w:val="13"/>
              <w:wordWrap w:val="0"/>
              <w:topLinePunct/>
              <w:autoSpaceDE/>
              <w:autoSpaceDN/>
              <w:rPr>
                <w:rFonts w:ascii="Times New Roman"/>
                <w:sz w:val="28"/>
              </w:rPr>
            </w:pPr>
          </w:p>
        </w:tc>
      </w:tr>
    </w:tbl>
    <w:p>
      <w:pPr>
        <w:wordWrap w:val="0"/>
        <w:topLinePunct/>
        <w:autoSpaceDE/>
        <w:autoSpaceDN/>
        <w:spacing w:after="0"/>
        <w:rPr>
          <w:rFonts w:ascii="Times New Roman"/>
          <w:sz w:val="28"/>
        </w:rPr>
        <w:sectPr>
          <w:type w:val="continuous"/>
          <w:pgSz w:w="16840" w:h="11900" w:orient="landscape"/>
          <w:pgMar w:top="1600" w:right="1160" w:bottom="280" w:left="1240" w:header="720" w:footer="720" w:gutter="0"/>
          <w:pgBorders>
            <w:top w:val="none" w:sz="0" w:space="0"/>
            <w:left w:val="none" w:sz="0" w:space="0"/>
            <w:bottom w:val="none" w:sz="0" w:space="0"/>
            <w:right w:val="none" w:sz="0" w:space="0"/>
          </w:pgBorders>
          <w:cols w:space="720" w:num="1"/>
        </w:sect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Sylfaen">
    <w:panose1 w:val="010A0502050306030303"/>
    <w:charset w:val="00"/>
    <w:family w:val="roman"/>
    <w:pitch w:val="default"/>
    <w:sig w:usb0="04000687" w:usb1="00000000" w:usb2="00000000" w:usb3="00000000" w:csb0="2000009F"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14935" cy="131445"/>
              <wp:effectExtent l="0" t="0" r="0" b="0"/>
              <wp:wrapNone/>
              <wp:docPr id="15"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7"/>
                            <w:rPr>
                              <w:rStyle w:val="11"/>
                            </w:rPr>
                          </w:pPr>
                          <w:r>
                            <w:fldChar w:fldCharType="begin"/>
                          </w:r>
                          <w:r>
                            <w:rPr>
                              <w:rStyle w:val="11"/>
                            </w:rPr>
                            <w:instrText xml:space="preserve"> PAGE  \* MERGEFORMAT </w:instrText>
                          </w:r>
                          <w:r>
                            <w:fldChar w:fldCharType="separate"/>
                          </w:r>
                          <w:r>
                            <w:rPr>
                              <w:rStyle w:val="11"/>
                            </w:rPr>
                            <w:t>63</w:t>
                          </w:r>
                          <w:r>
                            <w:fldChar w:fldCharType="end"/>
                          </w:r>
                        </w:p>
                      </w:txbxContent>
                    </wps:txbx>
                    <wps:bodyPr vert="horz" wrap="none" lIns="0" tIns="0" rIns="0" bIns="0" anchor="t" anchorCtr="0">
                      <a:spAutoFit/>
                    </wps:bodyPr>
                  </wps:wsp>
                </a:graphicData>
              </a:graphic>
            </wp:anchor>
          </w:drawing>
        </mc:Choice>
        <mc:Fallback>
          <w:pict>
            <v:shape id="文本框2" o:spid="_x0000_s1026" o:spt="202" type="#_x0000_t202" style="position:absolute;left:0pt;height:10.35pt;width:9.05pt;mso-position-horizontal:center;mso-position-horizontal-relative:margin;mso-position-vertical:top;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D5X5J0AAAAAMBAAAPAAAAAAAAAAEAIAAA&#10;ACIAAABkcnMvZG93bnJldi54bWxQSwECFAAUAAAACACHTuJAq6ResdsBAACwAwAADgAAAAAAAAAB&#10;ACAAAAAfAQAAZHJzL2Uyb0RvYy54bWxQSwUGAAAAAAYABgBZAQAAbAUAAAAA&#10;">
              <v:fill on="f" focussize="0,0"/>
              <v:stroke on="f"/>
              <v:imagedata o:title=""/>
              <o:lock v:ext="edit" aspectratio="f"/>
              <v:textbox inset="0mm,0mm,0mm,0mm" style="mso-fit-shape-to-text:t;">
                <w:txbxContent>
                  <w:p>
                    <w:pPr>
                      <w:pStyle w:val="7"/>
                      <w:rPr>
                        <w:rStyle w:val="11"/>
                      </w:rPr>
                    </w:pPr>
                    <w:r>
                      <w:fldChar w:fldCharType="begin"/>
                    </w:r>
                    <w:r>
                      <w:rPr>
                        <w:rStyle w:val="11"/>
                      </w:rPr>
                      <w:instrText xml:space="preserve"> PAGE  \* MERGEFORMAT </w:instrText>
                    </w:r>
                    <w:r>
                      <w:fldChar w:fldCharType="separate"/>
                    </w:r>
                    <w:r>
                      <w:rPr>
                        <w:rStyle w:val="11"/>
                      </w:rPr>
                      <w:t>63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2"/>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pPr>
                            <w:pStyle w:val="7"/>
                            <w:rPr>
                              <w:rStyle w:val="11"/>
                            </w:rPr>
                          </w:pPr>
                          <w:r>
                            <w:fldChar w:fldCharType="begin"/>
                          </w:r>
                          <w:r>
                            <w:rPr>
                              <w:rStyle w:val="11"/>
                            </w:rPr>
                            <w:instrText xml:space="preserve"> PAGE  \* MERGEFORMAT </w:instrText>
                          </w:r>
                          <w:r>
                            <w:fldChar w:fldCharType="separate"/>
                          </w:r>
                          <w:r>
                            <w:rPr>
                              <w:rStyle w:val="11"/>
                            </w:rPr>
                            <w:t>63</w:t>
                          </w:r>
                          <w:r>
                            <w:fldChar w:fldCharType="end"/>
                          </w:r>
                        </w:p>
                      </w:txbxContent>
                    </wps:txbx>
                    <wps:bodyPr vert="horz" wrap="none" lIns="0" tIns="0" rIns="0" bIns="0" anchor="t" anchorCtr="0">
                      <a:spAutoFit/>
                    </wps:bodyPr>
                  </wps:wsp>
                </a:graphicData>
              </a:graphic>
            </wp:anchor>
          </w:drawing>
        </mc:Choice>
        <mc:Fallback>
          <w:pict>
            <v:shape id="文本框2" o:spid="_x0000_s1026" o:spt="202" type="#_x0000_t202" style="position:absolute;left:0pt;height:10.35pt;width:9.05pt;mso-position-horizontal:center;mso-position-horizontal-relative:margin;mso-position-vertical:top;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V+SdAAAAADAQAADwAAAAAAAAABACAA&#10;AAAiAAAAZHJzL2Rvd25yZXYueG1sUEsBAhQAFAAAAAgAh07iQE+WtSvcAQAArwMAAA4AAAAAAAAA&#10;AQAgAAAAHwEAAGRycy9lMm9Eb2MueG1sUEsFBgAAAAAGAAYAWQEAAG0FAAAAAA==&#10;">
              <v:fill on="f" focussize="0,0"/>
              <v:stroke on="f"/>
              <v:imagedata o:title=""/>
              <o:lock v:ext="edit" aspectratio="f"/>
              <v:textbox inset="0mm,0mm,0mm,0mm" style="mso-fit-shape-to-text:t;">
                <w:txbxContent>
                  <w:p>
                    <w:pPr>
                      <w:pStyle w:val="7"/>
                      <w:rPr>
                        <w:rStyle w:val="11"/>
                      </w:rPr>
                    </w:pPr>
                    <w:r>
                      <w:fldChar w:fldCharType="begin"/>
                    </w:r>
                    <w:r>
                      <w:rPr>
                        <w:rStyle w:val="11"/>
                      </w:rPr>
                      <w:instrText xml:space="preserve"> PAGE  \* MERGEFORMAT </w:instrText>
                    </w:r>
                    <w:r>
                      <w:fldChar w:fldCharType="separate"/>
                    </w:r>
                    <w:r>
                      <w:rPr>
                        <w:rStyle w:val="11"/>
                      </w:rPr>
                      <w:t>63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19"/>
      </w:rPr>
    </w:pPr>
    <w:r>
      <mc:AlternateContent>
        <mc:Choice Requires="wps">
          <w:drawing>
            <wp:anchor distT="0" distB="0" distL="114300" distR="114300" simplePos="0" relativeHeight="251661312" behindDoc="1" locked="0" layoutInCell="1" allowOverlap="1">
              <wp:simplePos x="0" y="0"/>
              <wp:positionH relativeFrom="page">
                <wp:posOffset>3685540</wp:posOffset>
              </wp:positionH>
              <wp:positionV relativeFrom="page">
                <wp:posOffset>10120630</wp:posOffset>
              </wp:positionV>
              <wp:extent cx="166370" cy="159385"/>
              <wp:effectExtent l="0" t="0" r="0" b="0"/>
              <wp:wrapNone/>
              <wp:docPr id="6" name="文本框 7"/>
              <wp:cNvGraphicFramePr/>
              <a:graphic xmlns:a="http://schemas.openxmlformats.org/drawingml/2006/main">
                <a:graphicData uri="http://schemas.microsoft.com/office/word/2010/wordprocessingShape">
                  <wps:wsp>
                    <wps:cNvSpPr txBox="1"/>
                    <wps:spPr>
                      <a:xfrm>
                        <a:off x="0" y="0"/>
                        <a:ext cx="166370" cy="159385"/>
                      </a:xfrm>
                      <a:prstGeom prst="rect">
                        <a:avLst/>
                      </a:prstGeom>
                      <a:noFill/>
                      <a:ln>
                        <a:noFill/>
                      </a:ln>
                    </wps:spPr>
                    <wps:txbx>
                      <w:txbxContent>
                        <w:p>
                          <w:pPr>
                            <w:spacing w:before="24"/>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文本框 7" o:spid="_x0000_s1026" o:spt="202" type="#_x0000_t202" style="position:absolute;left:0pt;margin-left:290.2pt;margin-top:796.9pt;height:12.55pt;width:13.1pt;mso-position-horizontal-relative:page;mso-position-vertical-relative:page;z-index:-251655168;mso-width-relative:page;mso-height-relative:page;" filled="f" stroked="f" coordsize="21600,21600" o:gfxdata="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65EC99oAAAANAQAADwAAAAAAAAABACAAAAAiAAAAZHJzL2Rvd25yZXYueG1sUEsB&#10;AhQAFAAAAAgAh07iQNxIUSu6AQAAcQMAAA4AAAAAAAAAAQAgAAAAKQEAAGRycy9lMm9Eb2MueG1s&#10;UEsFBgAAAAAGAAYAWQEAAFUFAAAAAA==&#10;">
              <v:fill on="f" focussize="0,0"/>
              <v:stroke on="f"/>
              <v:imagedata o:title=""/>
              <o:lock v:ext="edit" aspectratio="f"/>
              <v:textbox inset="0mm,0mm,0mm,0mm">
                <w:txbxContent>
                  <w:p>
                    <w:pPr>
                      <w:spacing w:before="24"/>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3685540</wp:posOffset>
              </wp:positionH>
              <wp:positionV relativeFrom="page">
                <wp:posOffset>10126980</wp:posOffset>
              </wp:positionV>
              <wp:extent cx="166370" cy="152400"/>
              <wp:effectExtent l="0" t="0" r="0" b="0"/>
              <wp:wrapNone/>
              <wp:docPr id="57" name="文本框 8"/>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0.2pt;margin-top:797.4pt;height:12pt;width:13.1pt;mso-position-horizontal-relative:page;mso-position-vertical-relative:page;z-index:-251655168;mso-width-relative:page;mso-height-relative:page;" filled="f" stroked="f" coordsize="21600,21600" o:gfxdata="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K0lLhLaAAAADQEAAA8AAAAAAAAAAQAgAAAAIgAAAGRycy9kb3ducmV2LnhtbFBL&#10;AQIUABQAAAAIAIdO4kBjGidzuwEAAHIDAAAOAAAAAAAAAAEAIAAAACkBAABkcnMvZTJvRG9jLnht&#10;bFBLBQYAAAAABgAGAFkBAABWBQ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5253355</wp:posOffset>
              </wp:positionH>
              <wp:positionV relativeFrom="page">
                <wp:posOffset>6990715</wp:posOffset>
              </wp:positionV>
              <wp:extent cx="166370" cy="152400"/>
              <wp:effectExtent l="0" t="0" r="0" b="0"/>
              <wp:wrapNone/>
              <wp:docPr id="51" name="文本框 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413.65pt;margin-top:550.45pt;height:12pt;width:13.1pt;mso-position-horizontal-relative:page;mso-position-vertical-relative:page;z-index:-251657216;mso-width-relative:page;mso-height-relative:page;" filled="f" stroked="f" coordsize="21600,21600" o:gfxdata="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82gRg2wAAAA0BAAAPAAAAAAAAAAEAIAAAACIAAABkcnMvZG93bnJldi54bWxQ&#10;SwECFAAUAAAACACHTuJAlVIqZrsBAAByAwAADgAAAAAAAAABACAAAAAqAQAAZHJzL2Uyb0RvYy54&#10;bWxQSwUGAAAAAAYABgBZAQAAVwUAAAAA&#10;">
              <v:fill on="f" focussize="0,0"/>
              <v:stroke on="f"/>
              <v:imagedata o:title=""/>
              <o:lock v:ext="edit" aspectratio="f"/>
              <v:textbox inset="0mm,0mm,0mm,0mm">
                <w:txbxContent>
                  <w:p>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5207"/>
    <w:multiLevelType w:val="multilevel"/>
    <w:tmpl w:val="A0F05207"/>
    <w:lvl w:ilvl="0" w:tentative="0">
      <w:start w:val="1"/>
      <w:numFmt w:val="lowerLetter"/>
      <w:lvlText w:val="%1."/>
      <w:lvlJc w:val="left"/>
      <w:pPr>
        <w:ind w:left="1239" w:hanging="212"/>
        <w:jc w:val="left"/>
      </w:pPr>
      <w:rPr>
        <w:rFonts w:hint="default" w:ascii="宋体" w:hAnsi="宋体" w:eastAsia="宋体" w:cs="宋体"/>
        <w:spacing w:val="1"/>
        <w:w w:val="99"/>
        <w:sz w:val="19"/>
        <w:szCs w:val="19"/>
      </w:rPr>
    </w:lvl>
    <w:lvl w:ilvl="1" w:tentative="0">
      <w:start w:val="0"/>
      <w:numFmt w:val="bullet"/>
      <w:lvlText w:val="•"/>
      <w:lvlJc w:val="left"/>
      <w:pPr>
        <w:ind w:left="2172" w:hanging="212"/>
      </w:pPr>
      <w:rPr>
        <w:rFonts w:hint="default"/>
      </w:rPr>
    </w:lvl>
    <w:lvl w:ilvl="2" w:tentative="0">
      <w:start w:val="0"/>
      <w:numFmt w:val="bullet"/>
      <w:lvlText w:val="•"/>
      <w:lvlJc w:val="left"/>
      <w:pPr>
        <w:ind w:left="3104" w:hanging="212"/>
      </w:pPr>
      <w:rPr>
        <w:rFonts w:hint="default"/>
      </w:rPr>
    </w:lvl>
    <w:lvl w:ilvl="3" w:tentative="0">
      <w:start w:val="0"/>
      <w:numFmt w:val="bullet"/>
      <w:lvlText w:val="•"/>
      <w:lvlJc w:val="left"/>
      <w:pPr>
        <w:ind w:left="4036" w:hanging="212"/>
      </w:pPr>
      <w:rPr>
        <w:rFonts w:hint="default"/>
      </w:rPr>
    </w:lvl>
    <w:lvl w:ilvl="4" w:tentative="0">
      <w:start w:val="0"/>
      <w:numFmt w:val="bullet"/>
      <w:lvlText w:val="•"/>
      <w:lvlJc w:val="left"/>
      <w:pPr>
        <w:ind w:left="4968" w:hanging="212"/>
      </w:pPr>
      <w:rPr>
        <w:rFonts w:hint="default"/>
      </w:rPr>
    </w:lvl>
    <w:lvl w:ilvl="5" w:tentative="0">
      <w:start w:val="0"/>
      <w:numFmt w:val="bullet"/>
      <w:lvlText w:val="•"/>
      <w:lvlJc w:val="left"/>
      <w:pPr>
        <w:ind w:left="5900" w:hanging="212"/>
      </w:pPr>
      <w:rPr>
        <w:rFonts w:hint="default"/>
      </w:rPr>
    </w:lvl>
    <w:lvl w:ilvl="6" w:tentative="0">
      <w:start w:val="0"/>
      <w:numFmt w:val="bullet"/>
      <w:lvlText w:val="•"/>
      <w:lvlJc w:val="left"/>
      <w:pPr>
        <w:ind w:left="6832" w:hanging="212"/>
      </w:pPr>
      <w:rPr>
        <w:rFonts w:hint="default"/>
      </w:rPr>
    </w:lvl>
    <w:lvl w:ilvl="7" w:tentative="0">
      <w:start w:val="0"/>
      <w:numFmt w:val="bullet"/>
      <w:lvlText w:val="•"/>
      <w:lvlJc w:val="left"/>
      <w:pPr>
        <w:ind w:left="7764" w:hanging="212"/>
      </w:pPr>
      <w:rPr>
        <w:rFonts w:hint="default"/>
      </w:rPr>
    </w:lvl>
    <w:lvl w:ilvl="8" w:tentative="0">
      <w:start w:val="0"/>
      <w:numFmt w:val="bullet"/>
      <w:lvlText w:val="•"/>
      <w:lvlJc w:val="left"/>
      <w:pPr>
        <w:ind w:left="8696" w:hanging="212"/>
      </w:pPr>
      <w:rPr>
        <w:rFonts w:hint="default"/>
      </w:rPr>
    </w:lvl>
  </w:abstractNum>
  <w:abstractNum w:abstractNumId="1">
    <w:nsid w:val="B23A94A9"/>
    <w:multiLevelType w:val="multilevel"/>
    <w:tmpl w:val="B23A94A9"/>
    <w:lvl w:ilvl="0" w:tentative="0">
      <w:start w:val="3"/>
      <w:numFmt w:val="decimal"/>
      <w:lvlText w:val="%1"/>
      <w:lvlJc w:val="left"/>
      <w:pPr>
        <w:ind w:left="1440" w:hanging="360"/>
        <w:jc w:val="left"/>
      </w:pPr>
      <w:rPr>
        <w:rFonts w:hint="default"/>
      </w:rPr>
    </w:lvl>
    <w:lvl w:ilvl="1" w:tentative="0">
      <w:start w:val="5"/>
      <w:numFmt w:val="decimal"/>
      <w:lvlText w:val="%1.%2"/>
      <w:lvlJc w:val="left"/>
      <w:pPr>
        <w:ind w:left="1440" w:hanging="360"/>
        <w:jc w:val="left"/>
      </w:pPr>
      <w:rPr>
        <w:rFonts w:hint="default" w:ascii="Times New Roman" w:hAnsi="Times New Roman" w:eastAsia="Times New Roman" w:cs="Times New Roman"/>
        <w:w w:val="100"/>
        <w:sz w:val="24"/>
        <w:szCs w:val="24"/>
      </w:rPr>
    </w:lvl>
    <w:lvl w:ilvl="2" w:tentative="0">
      <w:start w:val="1"/>
      <w:numFmt w:val="decimal"/>
      <w:lvlText w:val="%1.%2.%3"/>
      <w:lvlJc w:val="left"/>
      <w:pPr>
        <w:ind w:left="656" w:hanging="579"/>
        <w:jc w:val="left"/>
      </w:pPr>
      <w:rPr>
        <w:rFonts w:hint="default" w:ascii="宋体" w:hAnsi="宋体" w:eastAsia="宋体" w:cs="宋体"/>
        <w:spacing w:val="-2"/>
        <w:w w:val="99"/>
        <w:sz w:val="21"/>
        <w:szCs w:val="21"/>
      </w:rPr>
    </w:lvl>
    <w:lvl w:ilvl="3" w:tentative="0">
      <w:start w:val="0"/>
      <w:numFmt w:val="bullet"/>
      <w:lvlText w:val="•"/>
      <w:lvlJc w:val="left"/>
      <w:pPr>
        <w:ind w:left="3466" w:hanging="579"/>
      </w:pPr>
      <w:rPr>
        <w:rFonts w:hint="default"/>
      </w:rPr>
    </w:lvl>
    <w:lvl w:ilvl="4" w:tentative="0">
      <w:start w:val="0"/>
      <w:numFmt w:val="bullet"/>
      <w:lvlText w:val="•"/>
      <w:lvlJc w:val="left"/>
      <w:pPr>
        <w:ind w:left="4480" w:hanging="579"/>
      </w:pPr>
      <w:rPr>
        <w:rFonts w:hint="default"/>
      </w:rPr>
    </w:lvl>
    <w:lvl w:ilvl="5" w:tentative="0">
      <w:start w:val="0"/>
      <w:numFmt w:val="bullet"/>
      <w:lvlText w:val="•"/>
      <w:lvlJc w:val="left"/>
      <w:pPr>
        <w:ind w:left="5493" w:hanging="579"/>
      </w:pPr>
      <w:rPr>
        <w:rFonts w:hint="default"/>
      </w:rPr>
    </w:lvl>
    <w:lvl w:ilvl="6" w:tentative="0">
      <w:start w:val="0"/>
      <w:numFmt w:val="bullet"/>
      <w:lvlText w:val="•"/>
      <w:lvlJc w:val="left"/>
      <w:pPr>
        <w:ind w:left="6506" w:hanging="579"/>
      </w:pPr>
      <w:rPr>
        <w:rFonts w:hint="default"/>
      </w:rPr>
    </w:lvl>
    <w:lvl w:ilvl="7" w:tentative="0">
      <w:start w:val="0"/>
      <w:numFmt w:val="bullet"/>
      <w:lvlText w:val="•"/>
      <w:lvlJc w:val="left"/>
      <w:pPr>
        <w:ind w:left="7520" w:hanging="579"/>
      </w:pPr>
      <w:rPr>
        <w:rFonts w:hint="default"/>
      </w:rPr>
    </w:lvl>
    <w:lvl w:ilvl="8" w:tentative="0">
      <w:start w:val="0"/>
      <w:numFmt w:val="bullet"/>
      <w:lvlText w:val="•"/>
      <w:lvlJc w:val="left"/>
      <w:pPr>
        <w:ind w:left="8533" w:hanging="579"/>
      </w:pPr>
      <w:rPr>
        <w:rFonts w:hint="default"/>
      </w:rPr>
    </w:lvl>
  </w:abstractNum>
  <w:abstractNum w:abstractNumId="2">
    <w:nsid w:val="B53F3350"/>
    <w:multiLevelType w:val="multilevel"/>
    <w:tmpl w:val="B53F3350"/>
    <w:lvl w:ilvl="0" w:tentative="0">
      <w:start w:val="2"/>
      <w:numFmt w:val="decimal"/>
      <w:lvlText w:val="%1"/>
      <w:lvlJc w:val="left"/>
      <w:pPr>
        <w:ind w:left="1440" w:hanging="360"/>
        <w:jc w:val="left"/>
      </w:pPr>
      <w:rPr>
        <w:rFonts w:hint="default"/>
      </w:rPr>
    </w:lvl>
    <w:lvl w:ilvl="1" w:tentative="0">
      <w:start w:val="2"/>
      <w:numFmt w:val="decimal"/>
      <w:lvlText w:val="%1.%2"/>
      <w:lvlJc w:val="left"/>
      <w:pPr>
        <w:ind w:left="1440" w:hanging="360"/>
        <w:jc w:val="left"/>
      </w:pPr>
      <w:rPr>
        <w:rFonts w:hint="default" w:ascii="Times New Roman" w:hAnsi="Times New Roman" w:eastAsia="Times New Roman" w:cs="Times New Roman"/>
        <w:w w:val="100"/>
        <w:sz w:val="24"/>
        <w:szCs w:val="24"/>
      </w:rPr>
    </w:lvl>
    <w:lvl w:ilvl="2" w:tentative="0">
      <w:start w:val="1"/>
      <w:numFmt w:val="decimal"/>
      <w:lvlText w:val="%1.%2.%3"/>
      <w:lvlJc w:val="left"/>
      <w:pPr>
        <w:ind w:left="1712" w:hanging="579"/>
        <w:jc w:val="right"/>
      </w:pPr>
      <w:rPr>
        <w:rFonts w:hint="default" w:ascii="宋体" w:hAnsi="宋体" w:eastAsia="宋体" w:cs="宋体"/>
        <w:spacing w:val="-2"/>
        <w:w w:val="99"/>
        <w:sz w:val="21"/>
        <w:szCs w:val="21"/>
      </w:rPr>
    </w:lvl>
    <w:lvl w:ilvl="3" w:tentative="0">
      <w:start w:val="0"/>
      <w:numFmt w:val="bullet"/>
      <w:lvlText w:val="•"/>
      <w:lvlJc w:val="left"/>
      <w:pPr>
        <w:ind w:left="3684" w:hanging="579"/>
      </w:pPr>
      <w:rPr>
        <w:rFonts w:hint="default"/>
      </w:rPr>
    </w:lvl>
    <w:lvl w:ilvl="4" w:tentative="0">
      <w:start w:val="0"/>
      <w:numFmt w:val="bullet"/>
      <w:lvlText w:val="•"/>
      <w:lvlJc w:val="left"/>
      <w:pPr>
        <w:ind w:left="4666" w:hanging="579"/>
      </w:pPr>
      <w:rPr>
        <w:rFonts w:hint="default"/>
      </w:rPr>
    </w:lvl>
    <w:lvl w:ilvl="5" w:tentative="0">
      <w:start w:val="0"/>
      <w:numFmt w:val="bullet"/>
      <w:lvlText w:val="•"/>
      <w:lvlJc w:val="left"/>
      <w:pPr>
        <w:ind w:left="5648" w:hanging="579"/>
      </w:pPr>
      <w:rPr>
        <w:rFonts w:hint="default"/>
      </w:rPr>
    </w:lvl>
    <w:lvl w:ilvl="6" w:tentative="0">
      <w:start w:val="0"/>
      <w:numFmt w:val="bullet"/>
      <w:lvlText w:val="•"/>
      <w:lvlJc w:val="left"/>
      <w:pPr>
        <w:ind w:left="6631" w:hanging="579"/>
      </w:pPr>
      <w:rPr>
        <w:rFonts w:hint="default"/>
      </w:rPr>
    </w:lvl>
    <w:lvl w:ilvl="7" w:tentative="0">
      <w:start w:val="0"/>
      <w:numFmt w:val="bullet"/>
      <w:lvlText w:val="•"/>
      <w:lvlJc w:val="left"/>
      <w:pPr>
        <w:ind w:left="7613" w:hanging="579"/>
      </w:pPr>
      <w:rPr>
        <w:rFonts w:hint="default"/>
      </w:rPr>
    </w:lvl>
    <w:lvl w:ilvl="8" w:tentative="0">
      <w:start w:val="0"/>
      <w:numFmt w:val="bullet"/>
      <w:lvlText w:val="•"/>
      <w:lvlJc w:val="left"/>
      <w:pPr>
        <w:ind w:left="8595" w:hanging="579"/>
      </w:pPr>
      <w:rPr>
        <w:rFonts w:hint="default"/>
      </w:rPr>
    </w:lvl>
  </w:abstractNum>
  <w:abstractNum w:abstractNumId="3">
    <w:nsid w:val="BF205925"/>
    <w:multiLevelType w:val="multilevel"/>
    <w:tmpl w:val="BF205925"/>
    <w:lvl w:ilvl="0" w:tentative="0">
      <w:start w:val="1"/>
      <w:numFmt w:val="decimal"/>
      <w:lvlText w:val="%1."/>
      <w:lvlJc w:val="left"/>
      <w:pPr>
        <w:ind w:left="598" w:hanging="212"/>
        <w:jc w:val="left"/>
      </w:pPr>
      <w:rPr>
        <w:rFonts w:hint="default" w:ascii="宋体" w:hAnsi="宋体" w:eastAsia="宋体" w:cs="宋体"/>
        <w:spacing w:val="-2"/>
        <w:w w:val="99"/>
        <w:sz w:val="19"/>
        <w:szCs w:val="19"/>
      </w:rPr>
    </w:lvl>
    <w:lvl w:ilvl="1" w:tentative="0">
      <w:start w:val="1"/>
      <w:numFmt w:val="decimal"/>
      <w:lvlText w:val="%2."/>
      <w:lvlJc w:val="left"/>
      <w:pPr>
        <w:ind w:left="1005" w:hanging="241"/>
        <w:jc w:val="left"/>
      </w:pPr>
      <w:rPr>
        <w:rFonts w:hint="default" w:ascii="宋体" w:hAnsi="宋体" w:eastAsia="宋体" w:cs="宋体"/>
        <w:w w:val="100"/>
        <w:sz w:val="22"/>
        <w:szCs w:val="22"/>
      </w:rPr>
    </w:lvl>
    <w:lvl w:ilvl="2" w:tentative="0">
      <w:start w:val="1"/>
      <w:numFmt w:val="decimal"/>
      <w:lvlText w:val="%2.%3"/>
      <w:lvlJc w:val="left"/>
      <w:pPr>
        <w:ind w:left="1244" w:hanging="480"/>
        <w:jc w:val="left"/>
      </w:pPr>
      <w:rPr>
        <w:rFonts w:hint="default" w:ascii="宋体" w:hAnsi="宋体" w:eastAsia="宋体" w:cs="宋体"/>
        <w:w w:val="100"/>
        <w:sz w:val="24"/>
        <w:szCs w:val="24"/>
      </w:rPr>
    </w:lvl>
    <w:lvl w:ilvl="3" w:tentative="0">
      <w:start w:val="1"/>
      <w:numFmt w:val="decimal"/>
      <w:lvlText w:val="%2.%3.%4"/>
      <w:lvlJc w:val="left"/>
      <w:pPr>
        <w:ind w:left="764" w:hanging="720"/>
        <w:jc w:val="left"/>
      </w:pPr>
      <w:rPr>
        <w:rFonts w:hint="default"/>
        <w:spacing w:val="-44"/>
        <w:w w:val="100"/>
      </w:rPr>
    </w:lvl>
    <w:lvl w:ilvl="4" w:tentative="0">
      <w:start w:val="0"/>
      <w:numFmt w:val="bullet"/>
      <w:lvlText w:val="•"/>
      <w:lvlJc w:val="left"/>
      <w:pPr>
        <w:ind w:left="1960" w:hanging="720"/>
      </w:pPr>
      <w:rPr>
        <w:rFonts w:hint="default"/>
      </w:rPr>
    </w:lvl>
    <w:lvl w:ilvl="5" w:tentative="0">
      <w:start w:val="0"/>
      <w:numFmt w:val="bullet"/>
      <w:lvlText w:val="•"/>
      <w:lvlJc w:val="left"/>
      <w:pPr>
        <w:ind w:left="3313" w:hanging="720"/>
      </w:pPr>
      <w:rPr>
        <w:rFonts w:hint="default"/>
      </w:rPr>
    </w:lvl>
    <w:lvl w:ilvl="6" w:tentative="0">
      <w:start w:val="0"/>
      <w:numFmt w:val="bullet"/>
      <w:lvlText w:val="•"/>
      <w:lvlJc w:val="left"/>
      <w:pPr>
        <w:ind w:left="4666" w:hanging="720"/>
      </w:pPr>
      <w:rPr>
        <w:rFonts w:hint="default"/>
      </w:rPr>
    </w:lvl>
    <w:lvl w:ilvl="7" w:tentative="0">
      <w:start w:val="0"/>
      <w:numFmt w:val="bullet"/>
      <w:lvlText w:val="•"/>
      <w:lvlJc w:val="left"/>
      <w:pPr>
        <w:ind w:left="6020" w:hanging="720"/>
      </w:pPr>
      <w:rPr>
        <w:rFonts w:hint="default"/>
      </w:rPr>
    </w:lvl>
    <w:lvl w:ilvl="8" w:tentative="0">
      <w:start w:val="0"/>
      <w:numFmt w:val="bullet"/>
      <w:lvlText w:val="•"/>
      <w:lvlJc w:val="left"/>
      <w:pPr>
        <w:ind w:left="7373" w:hanging="720"/>
      </w:pPr>
      <w:rPr>
        <w:rFonts w:hint="default"/>
      </w:rPr>
    </w:lvl>
  </w:abstractNum>
  <w:abstractNum w:abstractNumId="4">
    <w:nsid w:val="C0915F4F"/>
    <w:multiLevelType w:val="multilevel"/>
    <w:tmpl w:val="C0915F4F"/>
    <w:lvl w:ilvl="0" w:tentative="0">
      <w:start w:val="3"/>
      <w:numFmt w:val="decimal"/>
      <w:lvlText w:val="%1"/>
      <w:lvlJc w:val="left"/>
      <w:pPr>
        <w:ind w:left="656" w:hanging="579"/>
        <w:jc w:val="left"/>
      </w:pPr>
      <w:rPr>
        <w:rFonts w:hint="default"/>
      </w:rPr>
    </w:lvl>
    <w:lvl w:ilvl="1" w:tentative="0">
      <w:start w:val="4"/>
      <w:numFmt w:val="decimal"/>
      <w:lvlText w:val="%1.%2"/>
      <w:lvlJc w:val="left"/>
      <w:pPr>
        <w:ind w:left="656" w:hanging="579"/>
        <w:jc w:val="left"/>
      </w:pPr>
      <w:rPr>
        <w:rFonts w:hint="default"/>
      </w:rPr>
    </w:lvl>
    <w:lvl w:ilvl="2" w:tentative="0">
      <w:start w:val="3"/>
      <w:numFmt w:val="decimal"/>
      <w:lvlText w:val="%1.%2.%3"/>
      <w:lvlJc w:val="left"/>
      <w:pPr>
        <w:ind w:left="656" w:hanging="579"/>
        <w:jc w:val="left"/>
      </w:pPr>
      <w:rPr>
        <w:rFonts w:hint="default" w:ascii="宋体" w:hAnsi="宋体" w:eastAsia="宋体" w:cs="宋体"/>
        <w:spacing w:val="-2"/>
        <w:w w:val="99"/>
        <w:sz w:val="21"/>
        <w:szCs w:val="21"/>
      </w:rPr>
    </w:lvl>
    <w:lvl w:ilvl="3" w:tentative="0">
      <w:start w:val="0"/>
      <w:numFmt w:val="bullet"/>
      <w:lvlText w:val="•"/>
      <w:lvlJc w:val="left"/>
      <w:pPr>
        <w:ind w:left="3630" w:hanging="579"/>
      </w:pPr>
      <w:rPr>
        <w:rFonts w:hint="default"/>
      </w:rPr>
    </w:lvl>
    <w:lvl w:ilvl="4" w:tentative="0">
      <w:start w:val="0"/>
      <w:numFmt w:val="bullet"/>
      <w:lvlText w:val="•"/>
      <w:lvlJc w:val="left"/>
      <w:pPr>
        <w:ind w:left="4620" w:hanging="579"/>
      </w:pPr>
      <w:rPr>
        <w:rFonts w:hint="default"/>
      </w:rPr>
    </w:lvl>
    <w:lvl w:ilvl="5" w:tentative="0">
      <w:start w:val="0"/>
      <w:numFmt w:val="bullet"/>
      <w:lvlText w:val="•"/>
      <w:lvlJc w:val="left"/>
      <w:pPr>
        <w:ind w:left="5610" w:hanging="579"/>
      </w:pPr>
      <w:rPr>
        <w:rFonts w:hint="default"/>
      </w:rPr>
    </w:lvl>
    <w:lvl w:ilvl="6" w:tentative="0">
      <w:start w:val="0"/>
      <w:numFmt w:val="bullet"/>
      <w:lvlText w:val="•"/>
      <w:lvlJc w:val="left"/>
      <w:pPr>
        <w:ind w:left="6600" w:hanging="579"/>
      </w:pPr>
      <w:rPr>
        <w:rFonts w:hint="default"/>
      </w:rPr>
    </w:lvl>
    <w:lvl w:ilvl="7" w:tentative="0">
      <w:start w:val="0"/>
      <w:numFmt w:val="bullet"/>
      <w:lvlText w:val="•"/>
      <w:lvlJc w:val="left"/>
      <w:pPr>
        <w:ind w:left="7590" w:hanging="579"/>
      </w:pPr>
      <w:rPr>
        <w:rFonts w:hint="default"/>
      </w:rPr>
    </w:lvl>
    <w:lvl w:ilvl="8" w:tentative="0">
      <w:start w:val="0"/>
      <w:numFmt w:val="bullet"/>
      <w:lvlText w:val="•"/>
      <w:lvlJc w:val="left"/>
      <w:pPr>
        <w:ind w:left="8580" w:hanging="579"/>
      </w:pPr>
      <w:rPr>
        <w:rFonts w:hint="default"/>
      </w:rPr>
    </w:lvl>
  </w:abstractNum>
  <w:abstractNum w:abstractNumId="5">
    <w:nsid w:val="CF092B84"/>
    <w:multiLevelType w:val="multilevel"/>
    <w:tmpl w:val="CF092B84"/>
    <w:lvl w:ilvl="0" w:tentative="0">
      <w:start w:val="3"/>
      <w:numFmt w:val="decimal"/>
      <w:lvlText w:val="%1"/>
      <w:lvlJc w:val="left"/>
      <w:pPr>
        <w:ind w:left="1157" w:hanging="361"/>
        <w:jc w:val="left"/>
      </w:pPr>
      <w:rPr>
        <w:rFonts w:hint="default"/>
      </w:rPr>
    </w:lvl>
    <w:lvl w:ilvl="1" w:tentative="0">
      <w:start w:val="2"/>
      <w:numFmt w:val="decimal"/>
      <w:lvlText w:val="%1.%2"/>
      <w:lvlJc w:val="left"/>
      <w:pPr>
        <w:ind w:left="1157" w:hanging="361"/>
        <w:jc w:val="left"/>
      </w:pPr>
      <w:rPr>
        <w:rFonts w:hint="default" w:ascii="宋体" w:hAnsi="宋体" w:eastAsia="宋体" w:cs="宋体"/>
        <w:w w:val="100"/>
        <w:sz w:val="22"/>
        <w:szCs w:val="22"/>
      </w:rPr>
    </w:lvl>
    <w:lvl w:ilvl="2" w:tentative="0">
      <w:start w:val="0"/>
      <w:numFmt w:val="bullet"/>
      <w:lvlText w:val="•"/>
      <w:lvlJc w:val="left"/>
      <w:pPr>
        <w:ind w:left="2868" w:hanging="361"/>
      </w:pPr>
      <w:rPr>
        <w:rFonts w:hint="default"/>
      </w:rPr>
    </w:lvl>
    <w:lvl w:ilvl="3" w:tentative="0">
      <w:start w:val="0"/>
      <w:numFmt w:val="bullet"/>
      <w:lvlText w:val="•"/>
      <w:lvlJc w:val="left"/>
      <w:pPr>
        <w:ind w:left="3722" w:hanging="361"/>
      </w:pPr>
      <w:rPr>
        <w:rFonts w:hint="default"/>
      </w:rPr>
    </w:lvl>
    <w:lvl w:ilvl="4" w:tentative="0">
      <w:start w:val="0"/>
      <w:numFmt w:val="bullet"/>
      <w:lvlText w:val="•"/>
      <w:lvlJc w:val="left"/>
      <w:pPr>
        <w:ind w:left="4576" w:hanging="361"/>
      </w:pPr>
      <w:rPr>
        <w:rFonts w:hint="default"/>
      </w:rPr>
    </w:lvl>
    <w:lvl w:ilvl="5" w:tentative="0">
      <w:start w:val="0"/>
      <w:numFmt w:val="bullet"/>
      <w:lvlText w:val="•"/>
      <w:lvlJc w:val="left"/>
      <w:pPr>
        <w:ind w:left="5430" w:hanging="361"/>
      </w:pPr>
      <w:rPr>
        <w:rFonts w:hint="default"/>
      </w:rPr>
    </w:lvl>
    <w:lvl w:ilvl="6" w:tentative="0">
      <w:start w:val="0"/>
      <w:numFmt w:val="bullet"/>
      <w:lvlText w:val="•"/>
      <w:lvlJc w:val="left"/>
      <w:pPr>
        <w:ind w:left="6284" w:hanging="361"/>
      </w:pPr>
      <w:rPr>
        <w:rFonts w:hint="default"/>
      </w:rPr>
    </w:lvl>
    <w:lvl w:ilvl="7" w:tentative="0">
      <w:start w:val="0"/>
      <w:numFmt w:val="bullet"/>
      <w:lvlText w:val="•"/>
      <w:lvlJc w:val="left"/>
      <w:pPr>
        <w:ind w:left="7138" w:hanging="361"/>
      </w:pPr>
      <w:rPr>
        <w:rFonts w:hint="default"/>
      </w:rPr>
    </w:lvl>
    <w:lvl w:ilvl="8" w:tentative="0">
      <w:start w:val="0"/>
      <w:numFmt w:val="bullet"/>
      <w:lvlText w:val="•"/>
      <w:lvlJc w:val="left"/>
      <w:pPr>
        <w:ind w:left="7992" w:hanging="361"/>
      </w:pPr>
      <w:rPr>
        <w:rFonts w:hint="default"/>
      </w:rPr>
    </w:lvl>
  </w:abstractNum>
  <w:abstractNum w:abstractNumId="6">
    <w:nsid w:val="F689643B"/>
    <w:multiLevelType w:val="multilevel"/>
    <w:tmpl w:val="F689643B"/>
    <w:lvl w:ilvl="0" w:tentative="0">
      <w:start w:val="1"/>
      <w:numFmt w:val="lowerLetter"/>
      <w:lvlText w:val="%1."/>
      <w:lvlJc w:val="left"/>
      <w:pPr>
        <w:ind w:left="1239" w:hanging="212"/>
        <w:jc w:val="left"/>
      </w:pPr>
      <w:rPr>
        <w:rFonts w:hint="default" w:ascii="宋体" w:hAnsi="宋体" w:eastAsia="宋体" w:cs="宋体"/>
        <w:spacing w:val="1"/>
        <w:w w:val="99"/>
        <w:sz w:val="19"/>
        <w:szCs w:val="19"/>
      </w:rPr>
    </w:lvl>
    <w:lvl w:ilvl="1" w:tentative="0">
      <w:start w:val="0"/>
      <w:numFmt w:val="bullet"/>
      <w:lvlText w:val="•"/>
      <w:lvlJc w:val="left"/>
      <w:pPr>
        <w:ind w:left="2172" w:hanging="212"/>
      </w:pPr>
      <w:rPr>
        <w:rFonts w:hint="default"/>
      </w:rPr>
    </w:lvl>
    <w:lvl w:ilvl="2" w:tentative="0">
      <w:start w:val="0"/>
      <w:numFmt w:val="bullet"/>
      <w:lvlText w:val="•"/>
      <w:lvlJc w:val="left"/>
      <w:pPr>
        <w:ind w:left="3104" w:hanging="212"/>
      </w:pPr>
      <w:rPr>
        <w:rFonts w:hint="default"/>
      </w:rPr>
    </w:lvl>
    <w:lvl w:ilvl="3" w:tentative="0">
      <w:start w:val="0"/>
      <w:numFmt w:val="bullet"/>
      <w:lvlText w:val="•"/>
      <w:lvlJc w:val="left"/>
      <w:pPr>
        <w:ind w:left="4036" w:hanging="212"/>
      </w:pPr>
      <w:rPr>
        <w:rFonts w:hint="default"/>
      </w:rPr>
    </w:lvl>
    <w:lvl w:ilvl="4" w:tentative="0">
      <w:start w:val="0"/>
      <w:numFmt w:val="bullet"/>
      <w:lvlText w:val="•"/>
      <w:lvlJc w:val="left"/>
      <w:pPr>
        <w:ind w:left="4968" w:hanging="212"/>
      </w:pPr>
      <w:rPr>
        <w:rFonts w:hint="default"/>
      </w:rPr>
    </w:lvl>
    <w:lvl w:ilvl="5" w:tentative="0">
      <w:start w:val="0"/>
      <w:numFmt w:val="bullet"/>
      <w:lvlText w:val="•"/>
      <w:lvlJc w:val="left"/>
      <w:pPr>
        <w:ind w:left="5900" w:hanging="212"/>
      </w:pPr>
      <w:rPr>
        <w:rFonts w:hint="default"/>
      </w:rPr>
    </w:lvl>
    <w:lvl w:ilvl="6" w:tentative="0">
      <w:start w:val="0"/>
      <w:numFmt w:val="bullet"/>
      <w:lvlText w:val="•"/>
      <w:lvlJc w:val="left"/>
      <w:pPr>
        <w:ind w:left="6832" w:hanging="212"/>
      </w:pPr>
      <w:rPr>
        <w:rFonts w:hint="default"/>
      </w:rPr>
    </w:lvl>
    <w:lvl w:ilvl="7" w:tentative="0">
      <w:start w:val="0"/>
      <w:numFmt w:val="bullet"/>
      <w:lvlText w:val="•"/>
      <w:lvlJc w:val="left"/>
      <w:pPr>
        <w:ind w:left="7764" w:hanging="212"/>
      </w:pPr>
      <w:rPr>
        <w:rFonts w:hint="default"/>
      </w:rPr>
    </w:lvl>
    <w:lvl w:ilvl="8" w:tentative="0">
      <w:start w:val="0"/>
      <w:numFmt w:val="bullet"/>
      <w:lvlText w:val="•"/>
      <w:lvlJc w:val="left"/>
      <w:pPr>
        <w:ind w:left="8696" w:hanging="212"/>
      </w:pPr>
      <w:rPr>
        <w:rFonts w:hint="default"/>
      </w:rPr>
    </w:lvl>
  </w:abstractNum>
  <w:abstractNum w:abstractNumId="7">
    <w:nsid w:val="FEC2EA36"/>
    <w:multiLevelType w:val="multilevel"/>
    <w:tmpl w:val="FEC2EA36"/>
    <w:lvl w:ilvl="0" w:tentative="0">
      <w:start w:val="1"/>
      <w:numFmt w:val="lowerLetter"/>
      <w:lvlText w:val="%1."/>
      <w:lvlJc w:val="left"/>
      <w:pPr>
        <w:ind w:left="1239" w:hanging="212"/>
        <w:jc w:val="left"/>
      </w:pPr>
      <w:rPr>
        <w:rFonts w:hint="default" w:ascii="宋体" w:hAnsi="宋体" w:eastAsia="宋体" w:cs="宋体"/>
        <w:spacing w:val="1"/>
        <w:w w:val="99"/>
        <w:sz w:val="19"/>
        <w:szCs w:val="19"/>
      </w:rPr>
    </w:lvl>
    <w:lvl w:ilvl="1" w:tentative="0">
      <w:start w:val="0"/>
      <w:numFmt w:val="bullet"/>
      <w:lvlText w:val="•"/>
      <w:lvlJc w:val="left"/>
      <w:pPr>
        <w:ind w:left="2172" w:hanging="212"/>
      </w:pPr>
      <w:rPr>
        <w:rFonts w:hint="default"/>
      </w:rPr>
    </w:lvl>
    <w:lvl w:ilvl="2" w:tentative="0">
      <w:start w:val="0"/>
      <w:numFmt w:val="bullet"/>
      <w:lvlText w:val="•"/>
      <w:lvlJc w:val="left"/>
      <w:pPr>
        <w:ind w:left="3104" w:hanging="212"/>
      </w:pPr>
      <w:rPr>
        <w:rFonts w:hint="default"/>
      </w:rPr>
    </w:lvl>
    <w:lvl w:ilvl="3" w:tentative="0">
      <w:start w:val="0"/>
      <w:numFmt w:val="bullet"/>
      <w:lvlText w:val="•"/>
      <w:lvlJc w:val="left"/>
      <w:pPr>
        <w:ind w:left="4036" w:hanging="212"/>
      </w:pPr>
      <w:rPr>
        <w:rFonts w:hint="default"/>
      </w:rPr>
    </w:lvl>
    <w:lvl w:ilvl="4" w:tentative="0">
      <w:start w:val="0"/>
      <w:numFmt w:val="bullet"/>
      <w:lvlText w:val="•"/>
      <w:lvlJc w:val="left"/>
      <w:pPr>
        <w:ind w:left="4968" w:hanging="212"/>
      </w:pPr>
      <w:rPr>
        <w:rFonts w:hint="default"/>
      </w:rPr>
    </w:lvl>
    <w:lvl w:ilvl="5" w:tentative="0">
      <w:start w:val="0"/>
      <w:numFmt w:val="bullet"/>
      <w:lvlText w:val="•"/>
      <w:lvlJc w:val="left"/>
      <w:pPr>
        <w:ind w:left="5900" w:hanging="212"/>
      </w:pPr>
      <w:rPr>
        <w:rFonts w:hint="default"/>
      </w:rPr>
    </w:lvl>
    <w:lvl w:ilvl="6" w:tentative="0">
      <w:start w:val="0"/>
      <w:numFmt w:val="bullet"/>
      <w:lvlText w:val="•"/>
      <w:lvlJc w:val="left"/>
      <w:pPr>
        <w:ind w:left="6832" w:hanging="212"/>
      </w:pPr>
      <w:rPr>
        <w:rFonts w:hint="default"/>
      </w:rPr>
    </w:lvl>
    <w:lvl w:ilvl="7" w:tentative="0">
      <w:start w:val="0"/>
      <w:numFmt w:val="bullet"/>
      <w:lvlText w:val="•"/>
      <w:lvlJc w:val="left"/>
      <w:pPr>
        <w:ind w:left="7764" w:hanging="212"/>
      </w:pPr>
      <w:rPr>
        <w:rFonts w:hint="default"/>
      </w:rPr>
    </w:lvl>
    <w:lvl w:ilvl="8" w:tentative="0">
      <w:start w:val="0"/>
      <w:numFmt w:val="bullet"/>
      <w:lvlText w:val="•"/>
      <w:lvlJc w:val="left"/>
      <w:pPr>
        <w:ind w:left="8696" w:hanging="212"/>
      </w:pPr>
      <w:rPr>
        <w:rFonts w:hint="default"/>
      </w:rPr>
    </w:lvl>
  </w:abstractNum>
  <w:abstractNum w:abstractNumId="8">
    <w:nsid w:val="0053208E"/>
    <w:multiLevelType w:val="multilevel"/>
    <w:tmpl w:val="0053208E"/>
    <w:lvl w:ilvl="0" w:tentative="0">
      <w:start w:val="1"/>
      <w:numFmt w:val="decimal"/>
      <w:lvlText w:val="%1."/>
      <w:lvlJc w:val="left"/>
      <w:pPr>
        <w:ind w:left="1039" w:hanging="244"/>
        <w:jc w:val="right"/>
      </w:pPr>
      <w:rPr>
        <w:rFonts w:hint="default" w:ascii="宋体" w:hAnsi="宋体" w:eastAsia="宋体" w:cs="宋体"/>
        <w:b/>
        <w:bCs/>
        <w:spacing w:val="0"/>
        <w:w w:val="99"/>
        <w:sz w:val="22"/>
        <w:szCs w:val="22"/>
      </w:rPr>
    </w:lvl>
    <w:lvl w:ilvl="1" w:tentative="0">
      <w:start w:val="1"/>
      <w:numFmt w:val="decimal"/>
      <w:lvlText w:val="%1.%2"/>
      <w:lvlJc w:val="left"/>
      <w:pPr>
        <w:ind w:left="1216" w:hanging="420"/>
        <w:jc w:val="left"/>
      </w:pPr>
      <w:rPr>
        <w:rFonts w:hint="default" w:ascii="宋体" w:hAnsi="宋体" w:eastAsia="宋体" w:cs="宋体"/>
        <w:w w:val="100"/>
        <w:sz w:val="24"/>
        <w:szCs w:val="24"/>
      </w:rPr>
    </w:lvl>
    <w:lvl w:ilvl="2" w:tentative="0">
      <w:start w:val="0"/>
      <w:numFmt w:val="bullet"/>
      <w:lvlText w:val="•"/>
      <w:lvlJc w:val="left"/>
      <w:pPr>
        <w:ind w:left="1220" w:hanging="420"/>
      </w:pPr>
      <w:rPr>
        <w:rFonts w:hint="default"/>
      </w:rPr>
    </w:lvl>
    <w:lvl w:ilvl="3" w:tentative="0">
      <w:start w:val="0"/>
      <w:numFmt w:val="bullet"/>
      <w:lvlText w:val="•"/>
      <w:lvlJc w:val="left"/>
      <w:pPr>
        <w:ind w:left="2280" w:hanging="420"/>
      </w:pPr>
      <w:rPr>
        <w:rFonts w:hint="default"/>
      </w:rPr>
    </w:lvl>
    <w:lvl w:ilvl="4" w:tentative="0">
      <w:start w:val="0"/>
      <w:numFmt w:val="bullet"/>
      <w:lvlText w:val="•"/>
      <w:lvlJc w:val="left"/>
      <w:pPr>
        <w:ind w:left="3340" w:hanging="420"/>
      </w:pPr>
      <w:rPr>
        <w:rFonts w:hint="default"/>
      </w:rPr>
    </w:lvl>
    <w:lvl w:ilvl="5" w:tentative="0">
      <w:start w:val="0"/>
      <w:numFmt w:val="bullet"/>
      <w:lvlText w:val="•"/>
      <w:lvlJc w:val="left"/>
      <w:pPr>
        <w:ind w:left="4400" w:hanging="420"/>
      </w:pPr>
      <w:rPr>
        <w:rFonts w:hint="default"/>
      </w:rPr>
    </w:lvl>
    <w:lvl w:ilvl="6" w:tentative="0">
      <w:start w:val="0"/>
      <w:numFmt w:val="bullet"/>
      <w:lvlText w:val="•"/>
      <w:lvlJc w:val="left"/>
      <w:pPr>
        <w:ind w:left="5460" w:hanging="420"/>
      </w:pPr>
      <w:rPr>
        <w:rFonts w:hint="default"/>
      </w:rPr>
    </w:lvl>
    <w:lvl w:ilvl="7" w:tentative="0">
      <w:start w:val="0"/>
      <w:numFmt w:val="bullet"/>
      <w:lvlText w:val="•"/>
      <w:lvlJc w:val="left"/>
      <w:pPr>
        <w:ind w:left="6520" w:hanging="420"/>
      </w:pPr>
      <w:rPr>
        <w:rFonts w:hint="default"/>
      </w:rPr>
    </w:lvl>
    <w:lvl w:ilvl="8" w:tentative="0">
      <w:start w:val="0"/>
      <w:numFmt w:val="bullet"/>
      <w:lvlText w:val="•"/>
      <w:lvlJc w:val="left"/>
      <w:pPr>
        <w:ind w:left="7580" w:hanging="420"/>
      </w:pPr>
      <w:rPr>
        <w:rFonts w:hint="default"/>
      </w:rPr>
    </w:lvl>
  </w:abstractNum>
  <w:abstractNum w:abstractNumId="9">
    <w:nsid w:val="03A63A41"/>
    <w:multiLevelType w:val="multilevel"/>
    <w:tmpl w:val="03A63A41"/>
    <w:lvl w:ilvl="0" w:tentative="0">
      <w:start w:val="1"/>
      <w:numFmt w:val="decimal"/>
      <w:lvlText w:val="(%1)"/>
      <w:lvlJc w:val="left"/>
      <w:pPr>
        <w:ind w:left="1344" w:hanging="317"/>
        <w:jc w:val="left"/>
      </w:pPr>
      <w:rPr>
        <w:rFonts w:hint="default" w:ascii="宋体" w:hAnsi="宋体" w:eastAsia="宋体" w:cs="宋体"/>
        <w:spacing w:val="1"/>
        <w:w w:val="99"/>
        <w:sz w:val="19"/>
        <w:szCs w:val="19"/>
      </w:rPr>
    </w:lvl>
    <w:lvl w:ilvl="1" w:tentative="0">
      <w:start w:val="0"/>
      <w:numFmt w:val="bullet"/>
      <w:lvlText w:val="•"/>
      <w:lvlJc w:val="left"/>
      <w:pPr>
        <w:ind w:left="2262" w:hanging="317"/>
      </w:pPr>
      <w:rPr>
        <w:rFonts w:hint="default"/>
      </w:rPr>
    </w:lvl>
    <w:lvl w:ilvl="2" w:tentative="0">
      <w:start w:val="0"/>
      <w:numFmt w:val="bullet"/>
      <w:lvlText w:val="•"/>
      <w:lvlJc w:val="left"/>
      <w:pPr>
        <w:ind w:left="3184" w:hanging="317"/>
      </w:pPr>
      <w:rPr>
        <w:rFonts w:hint="default"/>
      </w:rPr>
    </w:lvl>
    <w:lvl w:ilvl="3" w:tentative="0">
      <w:start w:val="0"/>
      <w:numFmt w:val="bullet"/>
      <w:lvlText w:val="•"/>
      <w:lvlJc w:val="left"/>
      <w:pPr>
        <w:ind w:left="4106" w:hanging="317"/>
      </w:pPr>
      <w:rPr>
        <w:rFonts w:hint="default"/>
      </w:rPr>
    </w:lvl>
    <w:lvl w:ilvl="4" w:tentative="0">
      <w:start w:val="0"/>
      <w:numFmt w:val="bullet"/>
      <w:lvlText w:val="•"/>
      <w:lvlJc w:val="left"/>
      <w:pPr>
        <w:ind w:left="5028" w:hanging="317"/>
      </w:pPr>
      <w:rPr>
        <w:rFonts w:hint="default"/>
      </w:rPr>
    </w:lvl>
    <w:lvl w:ilvl="5" w:tentative="0">
      <w:start w:val="0"/>
      <w:numFmt w:val="bullet"/>
      <w:lvlText w:val="•"/>
      <w:lvlJc w:val="left"/>
      <w:pPr>
        <w:ind w:left="5950" w:hanging="317"/>
      </w:pPr>
      <w:rPr>
        <w:rFonts w:hint="default"/>
      </w:rPr>
    </w:lvl>
    <w:lvl w:ilvl="6" w:tentative="0">
      <w:start w:val="0"/>
      <w:numFmt w:val="bullet"/>
      <w:lvlText w:val="•"/>
      <w:lvlJc w:val="left"/>
      <w:pPr>
        <w:ind w:left="6872" w:hanging="317"/>
      </w:pPr>
      <w:rPr>
        <w:rFonts w:hint="default"/>
      </w:rPr>
    </w:lvl>
    <w:lvl w:ilvl="7" w:tentative="0">
      <w:start w:val="0"/>
      <w:numFmt w:val="bullet"/>
      <w:lvlText w:val="•"/>
      <w:lvlJc w:val="left"/>
      <w:pPr>
        <w:ind w:left="7794" w:hanging="317"/>
      </w:pPr>
      <w:rPr>
        <w:rFonts w:hint="default"/>
      </w:rPr>
    </w:lvl>
    <w:lvl w:ilvl="8" w:tentative="0">
      <w:start w:val="0"/>
      <w:numFmt w:val="bullet"/>
      <w:lvlText w:val="•"/>
      <w:lvlJc w:val="left"/>
      <w:pPr>
        <w:ind w:left="8716" w:hanging="317"/>
      </w:pPr>
      <w:rPr>
        <w:rFonts w:hint="default"/>
      </w:rPr>
    </w:lvl>
  </w:abstractNum>
  <w:abstractNum w:abstractNumId="10">
    <w:nsid w:val="0F9F9CCA"/>
    <w:multiLevelType w:val="multilevel"/>
    <w:tmpl w:val="0F9F9CCA"/>
    <w:lvl w:ilvl="0" w:tentative="0">
      <w:start w:val="1"/>
      <w:numFmt w:val="decimal"/>
      <w:lvlText w:val="（%1）"/>
      <w:lvlJc w:val="left"/>
      <w:pPr>
        <w:ind w:left="1554" w:hanging="527"/>
        <w:jc w:val="left"/>
      </w:pPr>
      <w:rPr>
        <w:rFonts w:hint="default" w:ascii="宋体" w:hAnsi="宋体" w:eastAsia="宋体" w:cs="宋体"/>
        <w:spacing w:val="-1"/>
        <w:w w:val="99"/>
        <w:sz w:val="19"/>
        <w:szCs w:val="19"/>
      </w:rPr>
    </w:lvl>
    <w:lvl w:ilvl="1" w:tentative="0">
      <w:start w:val="0"/>
      <w:numFmt w:val="bullet"/>
      <w:lvlText w:val="•"/>
      <w:lvlJc w:val="left"/>
      <w:pPr>
        <w:ind w:left="2460" w:hanging="527"/>
      </w:pPr>
      <w:rPr>
        <w:rFonts w:hint="default"/>
      </w:rPr>
    </w:lvl>
    <w:lvl w:ilvl="2" w:tentative="0">
      <w:start w:val="0"/>
      <w:numFmt w:val="bullet"/>
      <w:lvlText w:val="•"/>
      <w:lvlJc w:val="left"/>
      <w:pPr>
        <w:ind w:left="3360" w:hanging="527"/>
      </w:pPr>
      <w:rPr>
        <w:rFonts w:hint="default"/>
      </w:rPr>
    </w:lvl>
    <w:lvl w:ilvl="3" w:tentative="0">
      <w:start w:val="0"/>
      <w:numFmt w:val="bullet"/>
      <w:lvlText w:val="•"/>
      <w:lvlJc w:val="left"/>
      <w:pPr>
        <w:ind w:left="4260" w:hanging="527"/>
      </w:pPr>
      <w:rPr>
        <w:rFonts w:hint="default"/>
      </w:rPr>
    </w:lvl>
    <w:lvl w:ilvl="4" w:tentative="0">
      <w:start w:val="0"/>
      <w:numFmt w:val="bullet"/>
      <w:lvlText w:val="•"/>
      <w:lvlJc w:val="left"/>
      <w:pPr>
        <w:ind w:left="5160" w:hanging="527"/>
      </w:pPr>
      <w:rPr>
        <w:rFonts w:hint="default"/>
      </w:rPr>
    </w:lvl>
    <w:lvl w:ilvl="5" w:tentative="0">
      <w:start w:val="0"/>
      <w:numFmt w:val="bullet"/>
      <w:lvlText w:val="•"/>
      <w:lvlJc w:val="left"/>
      <w:pPr>
        <w:ind w:left="6060" w:hanging="527"/>
      </w:pPr>
      <w:rPr>
        <w:rFonts w:hint="default"/>
      </w:rPr>
    </w:lvl>
    <w:lvl w:ilvl="6" w:tentative="0">
      <w:start w:val="0"/>
      <w:numFmt w:val="bullet"/>
      <w:lvlText w:val="•"/>
      <w:lvlJc w:val="left"/>
      <w:pPr>
        <w:ind w:left="6960" w:hanging="527"/>
      </w:pPr>
      <w:rPr>
        <w:rFonts w:hint="default"/>
      </w:rPr>
    </w:lvl>
    <w:lvl w:ilvl="7" w:tentative="0">
      <w:start w:val="0"/>
      <w:numFmt w:val="bullet"/>
      <w:lvlText w:val="•"/>
      <w:lvlJc w:val="left"/>
      <w:pPr>
        <w:ind w:left="7860" w:hanging="527"/>
      </w:pPr>
      <w:rPr>
        <w:rFonts w:hint="default"/>
      </w:rPr>
    </w:lvl>
    <w:lvl w:ilvl="8" w:tentative="0">
      <w:start w:val="0"/>
      <w:numFmt w:val="bullet"/>
      <w:lvlText w:val="•"/>
      <w:lvlJc w:val="left"/>
      <w:pPr>
        <w:ind w:left="8760" w:hanging="527"/>
      </w:pPr>
      <w:rPr>
        <w:rFonts w:hint="default"/>
      </w:rPr>
    </w:lvl>
  </w:abstractNum>
  <w:abstractNum w:abstractNumId="11">
    <w:nsid w:val="12EADF99"/>
    <w:multiLevelType w:val="multilevel"/>
    <w:tmpl w:val="12EADF99"/>
    <w:lvl w:ilvl="0" w:tentative="0">
      <w:start w:val="1"/>
      <w:numFmt w:val="decimal"/>
      <w:lvlText w:val="(%1)"/>
      <w:lvlJc w:val="left"/>
      <w:pPr>
        <w:ind w:left="656" w:hanging="317"/>
        <w:jc w:val="left"/>
      </w:pPr>
      <w:rPr>
        <w:rFonts w:hint="default" w:ascii="宋体" w:hAnsi="宋体" w:eastAsia="宋体" w:cs="宋体"/>
        <w:spacing w:val="1"/>
        <w:w w:val="99"/>
        <w:sz w:val="19"/>
        <w:szCs w:val="19"/>
      </w:rPr>
    </w:lvl>
    <w:lvl w:ilvl="1" w:tentative="0">
      <w:start w:val="0"/>
      <w:numFmt w:val="bullet"/>
      <w:lvlText w:val="•"/>
      <w:lvlJc w:val="left"/>
      <w:pPr>
        <w:ind w:left="1650" w:hanging="317"/>
      </w:pPr>
      <w:rPr>
        <w:rFonts w:hint="default"/>
      </w:rPr>
    </w:lvl>
    <w:lvl w:ilvl="2" w:tentative="0">
      <w:start w:val="0"/>
      <w:numFmt w:val="bullet"/>
      <w:lvlText w:val="•"/>
      <w:lvlJc w:val="left"/>
      <w:pPr>
        <w:ind w:left="2640" w:hanging="317"/>
      </w:pPr>
      <w:rPr>
        <w:rFonts w:hint="default"/>
      </w:rPr>
    </w:lvl>
    <w:lvl w:ilvl="3" w:tentative="0">
      <w:start w:val="0"/>
      <w:numFmt w:val="bullet"/>
      <w:lvlText w:val="•"/>
      <w:lvlJc w:val="left"/>
      <w:pPr>
        <w:ind w:left="3630" w:hanging="317"/>
      </w:pPr>
      <w:rPr>
        <w:rFonts w:hint="default"/>
      </w:rPr>
    </w:lvl>
    <w:lvl w:ilvl="4" w:tentative="0">
      <w:start w:val="0"/>
      <w:numFmt w:val="bullet"/>
      <w:lvlText w:val="•"/>
      <w:lvlJc w:val="left"/>
      <w:pPr>
        <w:ind w:left="4620" w:hanging="317"/>
      </w:pPr>
      <w:rPr>
        <w:rFonts w:hint="default"/>
      </w:rPr>
    </w:lvl>
    <w:lvl w:ilvl="5" w:tentative="0">
      <w:start w:val="0"/>
      <w:numFmt w:val="bullet"/>
      <w:lvlText w:val="•"/>
      <w:lvlJc w:val="left"/>
      <w:pPr>
        <w:ind w:left="5610" w:hanging="317"/>
      </w:pPr>
      <w:rPr>
        <w:rFonts w:hint="default"/>
      </w:rPr>
    </w:lvl>
    <w:lvl w:ilvl="6" w:tentative="0">
      <w:start w:val="0"/>
      <w:numFmt w:val="bullet"/>
      <w:lvlText w:val="•"/>
      <w:lvlJc w:val="left"/>
      <w:pPr>
        <w:ind w:left="6600" w:hanging="317"/>
      </w:pPr>
      <w:rPr>
        <w:rFonts w:hint="default"/>
      </w:rPr>
    </w:lvl>
    <w:lvl w:ilvl="7" w:tentative="0">
      <w:start w:val="0"/>
      <w:numFmt w:val="bullet"/>
      <w:lvlText w:val="•"/>
      <w:lvlJc w:val="left"/>
      <w:pPr>
        <w:ind w:left="7590" w:hanging="317"/>
      </w:pPr>
      <w:rPr>
        <w:rFonts w:hint="default"/>
      </w:rPr>
    </w:lvl>
    <w:lvl w:ilvl="8" w:tentative="0">
      <w:start w:val="0"/>
      <w:numFmt w:val="bullet"/>
      <w:lvlText w:val="•"/>
      <w:lvlJc w:val="left"/>
      <w:pPr>
        <w:ind w:left="8580" w:hanging="317"/>
      </w:pPr>
      <w:rPr>
        <w:rFonts w:hint="default"/>
      </w:rPr>
    </w:lvl>
  </w:abstractNum>
  <w:abstractNum w:abstractNumId="12">
    <w:nsid w:val="18F74015"/>
    <w:multiLevelType w:val="multilevel"/>
    <w:tmpl w:val="18F74015"/>
    <w:lvl w:ilvl="0" w:tentative="0">
      <w:start w:val="3"/>
      <w:numFmt w:val="decimal"/>
      <w:lvlText w:val="%1"/>
      <w:lvlJc w:val="left"/>
      <w:pPr>
        <w:ind w:left="1440" w:hanging="360"/>
        <w:jc w:val="left"/>
      </w:pPr>
      <w:rPr>
        <w:rFonts w:hint="default"/>
      </w:rPr>
    </w:lvl>
    <w:lvl w:ilvl="1" w:tentative="0">
      <w:start w:val="7"/>
      <w:numFmt w:val="decimal"/>
      <w:lvlText w:val="%1.%2"/>
      <w:lvlJc w:val="left"/>
      <w:pPr>
        <w:ind w:left="1440" w:hanging="360"/>
        <w:jc w:val="left"/>
      </w:pPr>
      <w:rPr>
        <w:rFonts w:hint="default" w:ascii="Times New Roman" w:hAnsi="Times New Roman" w:eastAsia="Times New Roman" w:cs="Times New Roman"/>
        <w:w w:val="100"/>
        <w:sz w:val="24"/>
        <w:szCs w:val="24"/>
      </w:rPr>
    </w:lvl>
    <w:lvl w:ilvl="2" w:tentative="0">
      <w:start w:val="1"/>
      <w:numFmt w:val="decimal"/>
      <w:lvlText w:val="%1.%2.%3"/>
      <w:lvlJc w:val="left"/>
      <w:pPr>
        <w:ind w:left="656" w:hanging="634"/>
        <w:jc w:val="left"/>
      </w:pPr>
      <w:rPr>
        <w:rFonts w:hint="default" w:ascii="宋体" w:hAnsi="宋体" w:eastAsia="宋体" w:cs="宋体"/>
        <w:spacing w:val="-2"/>
        <w:w w:val="99"/>
        <w:sz w:val="21"/>
        <w:szCs w:val="21"/>
      </w:rPr>
    </w:lvl>
    <w:lvl w:ilvl="3" w:tentative="0">
      <w:start w:val="0"/>
      <w:numFmt w:val="bullet"/>
      <w:lvlText w:val="•"/>
      <w:lvlJc w:val="left"/>
      <w:pPr>
        <w:ind w:left="3466" w:hanging="634"/>
      </w:pPr>
      <w:rPr>
        <w:rFonts w:hint="default"/>
      </w:rPr>
    </w:lvl>
    <w:lvl w:ilvl="4" w:tentative="0">
      <w:start w:val="0"/>
      <w:numFmt w:val="bullet"/>
      <w:lvlText w:val="•"/>
      <w:lvlJc w:val="left"/>
      <w:pPr>
        <w:ind w:left="4480" w:hanging="634"/>
      </w:pPr>
      <w:rPr>
        <w:rFonts w:hint="default"/>
      </w:rPr>
    </w:lvl>
    <w:lvl w:ilvl="5" w:tentative="0">
      <w:start w:val="0"/>
      <w:numFmt w:val="bullet"/>
      <w:lvlText w:val="•"/>
      <w:lvlJc w:val="left"/>
      <w:pPr>
        <w:ind w:left="5493" w:hanging="634"/>
      </w:pPr>
      <w:rPr>
        <w:rFonts w:hint="default"/>
      </w:rPr>
    </w:lvl>
    <w:lvl w:ilvl="6" w:tentative="0">
      <w:start w:val="0"/>
      <w:numFmt w:val="bullet"/>
      <w:lvlText w:val="•"/>
      <w:lvlJc w:val="left"/>
      <w:pPr>
        <w:ind w:left="6506" w:hanging="634"/>
      </w:pPr>
      <w:rPr>
        <w:rFonts w:hint="default"/>
      </w:rPr>
    </w:lvl>
    <w:lvl w:ilvl="7" w:tentative="0">
      <w:start w:val="0"/>
      <w:numFmt w:val="bullet"/>
      <w:lvlText w:val="•"/>
      <w:lvlJc w:val="left"/>
      <w:pPr>
        <w:ind w:left="7520" w:hanging="634"/>
      </w:pPr>
      <w:rPr>
        <w:rFonts w:hint="default"/>
      </w:rPr>
    </w:lvl>
    <w:lvl w:ilvl="8" w:tentative="0">
      <w:start w:val="0"/>
      <w:numFmt w:val="bullet"/>
      <w:lvlText w:val="•"/>
      <w:lvlJc w:val="left"/>
      <w:pPr>
        <w:ind w:left="8533" w:hanging="634"/>
      </w:pPr>
      <w:rPr>
        <w:rFonts w:hint="default"/>
      </w:rPr>
    </w:lvl>
  </w:abstractNum>
  <w:abstractNum w:abstractNumId="13">
    <w:nsid w:val="23E97754"/>
    <w:multiLevelType w:val="multilevel"/>
    <w:tmpl w:val="23E97754"/>
    <w:lvl w:ilvl="0" w:tentative="0">
      <w:start w:val="1"/>
      <w:numFmt w:val="decimal"/>
      <w:lvlText w:val="%1."/>
      <w:lvlJc w:val="left"/>
      <w:pPr>
        <w:ind w:left="1068" w:hanging="413"/>
        <w:jc w:val="left"/>
      </w:pPr>
      <w:rPr>
        <w:rFonts w:hint="default"/>
        <w:spacing w:val="0"/>
        <w:w w:val="100"/>
      </w:rPr>
    </w:lvl>
    <w:lvl w:ilvl="1" w:tentative="0">
      <w:start w:val="1"/>
      <w:numFmt w:val="decimal"/>
      <w:lvlText w:val="%1.%2"/>
      <w:lvlJc w:val="left"/>
      <w:pPr>
        <w:ind w:left="1440" w:hanging="360"/>
        <w:jc w:val="left"/>
      </w:pPr>
      <w:rPr>
        <w:rFonts w:hint="default" w:ascii="Times New Roman" w:hAnsi="Times New Roman" w:eastAsia="Times New Roman" w:cs="Times New Roman"/>
        <w:w w:val="100"/>
        <w:sz w:val="24"/>
        <w:szCs w:val="24"/>
      </w:rPr>
    </w:lvl>
    <w:lvl w:ilvl="2" w:tentative="0">
      <w:start w:val="1"/>
      <w:numFmt w:val="decimal"/>
      <w:lvlText w:val="%1.%2.%3"/>
      <w:lvlJc w:val="left"/>
      <w:pPr>
        <w:ind w:left="1606" w:hanging="579"/>
        <w:jc w:val="left"/>
      </w:pPr>
      <w:rPr>
        <w:rFonts w:hint="default" w:ascii="宋体" w:hAnsi="宋体" w:eastAsia="宋体" w:cs="宋体"/>
        <w:spacing w:val="-2"/>
        <w:w w:val="99"/>
        <w:sz w:val="21"/>
        <w:szCs w:val="21"/>
      </w:rPr>
    </w:lvl>
    <w:lvl w:ilvl="3" w:tentative="0">
      <w:start w:val="0"/>
      <w:numFmt w:val="bullet"/>
      <w:lvlText w:val="•"/>
      <w:lvlJc w:val="left"/>
      <w:pPr>
        <w:ind w:left="1600" w:hanging="579"/>
      </w:pPr>
      <w:rPr>
        <w:rFonts w:hint="default"/>
      </w:rPr>
    </w:lvl>
    <w:lvl w:ilvl="4" w:tentative="0">
      <w:start w:val="0"/>
      <w:numFmt w:val="bullet"/>
      <w:lvlText w:val="•"/>
      <w:lvlJc w:val="left"/>
      <w:pPr>
        <w:ind w:left="2880" w:hanging="579"/>
      </w:pPr>
      <w:rPr>
        <w:rFonts w:hint="default"/>
      </w:rPr>
    </w:lvl>
    <w:lvl w:ilvl="5" w:tentative="0">
      <w:start w:val="0"/>
      <w:numFmt w:val="bullet"/>
      <w:lvlText w:val="•"/>
      <w:lvlJc w:val="left"/>
      <w:pPr>
        <w:ind w:left="4160" w:hanging="579"/>
      </w:pPr>
      <w:rPr>
        <w:rFonts w:hint="default"/>
      </w:rPr>
    </w:lvl>
    <w:lvl w:ilvl="6" w:tentative="0">
      <w:start w:val="0"/>
      <w:numFmt w:val="bullet"/>
      <w:lvlText w:val="•"/>
      <w:lvlJc w:val="left"/>
      <w:pPr>
        <w:ind w:left="5440" w:hanging="579"/>
      </w:pPr>
      <w:rPr>
        <w:rFonts w:hint="default"/>
      </w:rPr>
    </w:lvl>
    <w:lvl w:ilvl="7" w:tentative="0">
      <w:start w:val="0"/>
      <w:numFmt w:val="bullet"/>
      <w:lvlText w:val="•"/>
      <w:lvlJc w:val="left"/>
      <w:pPr>
        <w:ind w:left="6720" w:hanging="579"/>
      </w:pPr>
      <w:rPr>
        <w:rFonts w:hint="default"/>
      </w:rPr>
    </w:lvl>
    <w:lvl w:ilvl="8" w:tentative="0">
      <w:start w:val="0"/>
      <w:numFmt w:val="bullet"/>
      <w:lvlText w:val="•"/>
      <w:lvlJc w:val="left"/>
      <w:pPr>
        <w:ind w:left="8000" w:hanging="579"/>
      </w:pPr>
      <w:rPr>
        <w:rFonts w:hint="default"/>
      </w:rPr>
    </w:lvl>
  </w:abstractNum>
  <w:abstractNum w:abstractNumId="14">
    <w:nsid w:val="30A0AC00"/>
    <w:multiLevelType w:val="multilevel"/>
    <w:tmpl w:val="30A0AC00"/>
    <w:lvl w:ilvl="0" w:tentative="0">
      <w:start w:val="1"/>
      <w:numFmt w:val="lowerLetter"/>
      <w:lvlText w:val="%1."/>
      <w:lvlJc w:val="left"/>
      <w:pPr>
        <w:ind w:left="1239" w:hanging="212"/>
        <w:jc w:val="left"/>
      </w:pPr>
      <w:rPr>
        <w:rFonts w:hint="default" w:ascii="宋体" w:hAnsi="宋体" w:eastAsia="宋体" w:cs="宋体"/>
        <w:spacing w:val="1"/>
        <w:w w:val="99"/>
        <w:sz w:val="19"/>
        <w:szCs w:val="19"/>
      </w:rPr>
    </w:lvl>
    <w:lvl w:ilvl="1" w:tentative="0">
      <w:start w:val="0"/>
      <w:numFmt w:val="bullet"/>
      <w:lvlText w:val="•"/>
      <w:lvlJc w:val="left"/>
      <w:pPr>
        <w:ind w:left="2172" w:hanging="212"/>
      </w:pPr>
      <w:rPr>
        <w:rFonts w:hint="default"/>
      </w:rPr>
    </w:lvl>
    <w:lvl w:ilvl="2" w:tentative="0">
      <w:start w:val="0"/>
      <w:numFmt w:val="bullet"/>
      <w:lvlText w:val="•"/>
      <w:lvlJc w:val="left"/>
      <w:pPr>
        <w:ind w:left="3104" w:hanging="212"/>
      </w:pPr>
      <w:rPr>
        <w:rFonts w:hint="default"/>
      </w:rPr>
    </w:lvl>
    <w:lvl w:ilvl="3" w:tentative="0">
      <w:start w:val="0"/>
      <w:numFmt w:val="bullet"/>
      <w:lvlText w:val="•"/>
      <w:lvlJc w:val="left"/>
      <w:pPr>
        <w:ind w:left="4036" w:hanging="212"/>
      </w:pPr>
      <w:rPr>
        <w:rFonts w:hint="default"/>
      </w:rPr>
    </w:lvl>
    <w:lvl w:ilvl="4" w:tentative="0">
      <w:start w:val="0"/>
      <w:numFmt w:val="bullet"/>
      <w:lvlText w:val="•"/>
      <w:lvlJc w:val="left"/>
      <w:pPr>
        <w:ind w:left="4968" w:hanging="212"/>
      </w:pPr>
      <w:rPr>
        <w:rFonts w:hint="default"/>
      </w:rPr>
    </w:lvl>
    <w:lvl w:ilvl="5" w:tentative="0">
      <w:start w:val="0"/>
      <w:numFmt w:val="bullet"/>
      <w:lvlText w:val="•"/>
      <w:lvlJc w:val="left"/>
      <w:pPr>
        <w:ind w:left="5900" w:hanging="212"/>
      </w:pPr>
      <w:rPr>
        <w:rFonts w:hint="default"/>
      </w:rPr>
    </w:lvl>
    <w:lvl w:ilvl="6" w:tentative="0">
      <w:start w:val="0"/>
      <w:numFmt w:val="bullet"/>
      <w:lvlText w:val="•"/>
      <w:lvlJc w:val="left"/>
      <w:pPr>
        <w:ind w:left="6832" w:hanging="212"/>
      </w:pPr>
      <w:rPr>
        <w:rFonts w:hint="default"/>
      </w:rPr>
    </w:lvl>
    <w:lvl w:ilvl="7" w:tentative="0">
      <w:start w:val="0"/>
      <w:numFmt w:val="bullet"/>
      <w:lvlText w:val="•"/>
      <w:lvlJc w:val="left"/>
      <w:pPr>
        <w:ind w:left="7764" w:hanging="212"/>
      </w:pPr>
      <w:rPr>
        <w:rFonts w:hint="default"/>
      </w:rPr>
    </w:lvl>
    <w:lvl w:ilvl="8" w:tentative="0">
      <w:start w:val="0"/>
      <w:numFmt w:val="bullet"/>
      <w:lvlText w:val="•"/>
      <w:lvlJc w:val="left"/>
      <w:pPr>
        <w:ind w:left="8696" w:hanging="212"/>
      </w:pPr>
      <w:rPr>
        <w:rFonts w:hint="default"/>
      </w:rPr>
    </w:lvl>
  </w:abstractNum>
  <w:abstractNum w:abstractNumId="15">
    <w:nsid w:val="35E83B33"/>
    <w:multiLevelType w:val="multilevel"/>
    <w:tmpl w:val="35E83B33"/>
    <w:lvl w:ilvl="0" w:tentative="0">
      <w:start w:val="1"/>
      <w:numFmt w:val="decimal"/>
      <w:lvlText w:val="（%1）"/>
      <w:lvlJc w:val="left"/>
      <w:pPr>
        <w:ind w:left="1554" w:hanging="527"/>
        <w:jc w:val="left"/>
      </w:pPr>
      <w:rPr>
        <w:rFonts w:hint="default" w:ascii="宋体" w:hAnsi="宋体" w:eastAsia="宋体" w:cs="宋体"/>
        <w:spacing w:val="-1"/>
        <w:w w:val="99"/>
        <w:sz w:val="19"/>
        <w:szCs w:val="19"/>
      </w:rPr>
    </w:lvl>
    <w:lvl w:ilvl="1" w:tentative="0">
      <w:start w:val="0"/>
      <w:numFmt w:val="bullet"/>
      <w:lvlText w:val="•"/>
      <w:lvlJc w:val="left"/>
      <w:pPr>
        <w:ind w:left="2460" w:hanging="527"/>
      </w:pPr>
      <w:rPr>
        <w:rFonts w:hint="default"/>
      </w:rPr>
    </w:lvl>
    <w:lvl w:ilvl="2" w:tentative="0">
      <w:start w:val="0"/>
      <w:numFmt w:val="bullet"/>
      <w:lvlText w:val="•"/>
      <w:lvlJc w:val="left"/>
      <w:pPr>
        <w:ind w:left="3360" w:hanging="527"/>
      </w:pPr>
      <w:rPr>
        <w:rFonts w:hint="default"/>
      </w:rPr>
    </w:lvl>
    <w:lvl w:ilvl="3" w:tentative="0">
      <w:start w:val="0"/>
      <w:numFmt w:val="bullet"/>
      <w:lvlText w:val="•"/>
      <w:lvlJc w:val="left"/>
      <w:pPr>
        <w:ind w:left="4260" w:hanging="527"/>
      </w:pPr>
      <w:rPr>
        <w:rFonts w:hint="default"/>
      </w:rPr>
    </w:lvl>
    <w:lvl w:ilvl="4" w:tentative="0">
      <w:start w:val="0"/>
      <w:numFmt w:val="bullet"/>
      <w:lvlText w:val="•"/>
      <w:lvlJc w:val="left"/>
      <w:pPr>
        <w:ind w:left="5160" w:hanging="527"/>
      </w:pPr>
      <w:rPr>
        <w:rFonts w:hint="default"/>
      </w:rPr>
    </w:lvl>
    <w:lvl w:ilvl="5" w:tentative="0">
      <w:start w:val="0"/>
      <w:numFmt w:val="bullet"/>
      <w:lvlText w:val="•"/>
      <w:lvlJc w:val="left"/>
      <w:pPr>
        <w:ind w:left="6060" w:hanging="527"/>
      </w:pPr>
      <w:rPr>
        <w:rFonts w:hint="default"/>
      </w:rPr>
    </w:lvl>
    <w:lvl w:ilvl="6" w:tentative="0">
      <w:start w:val="0"/>
      <w:numFmt w:val="bullet"/>
      <w:lvlText w:val="•"/>
      <w:lvlJc w:val="left"/>
      <w:pPr>
        <w:ind w:left="6960" w:hanging="527"/>
      </w:pPr>
      <w:rPr>
        <w:rFonts w:hint="default"/>
      </w:rPr>
    </w:lvl>
    <w:lvl w:ilvl="7" w:tentative="0">
      <w:start w:val="0"/>
      <w:numFmt w:val="bullet"/>
      <w:lvlText w:val="•"/>
      <w:lvlJc w:val="left"/>
      <w:pPr>
        <w:ind w:left="7860" w:hanging="527"/>
      </w:pPr>
      <w:rPr>
        <w:rFonts w:hint="default"/>
      </w:rPr>
    </w:lvl>
    <w:lvl w:ilvl="8" w:tentative="0">
      <w:start w:val="0"/>
      <w:numFmt w:val="bullet"/>
      <w:lvlText w:val="•"/>
      <w:lvlJc w:val="left"/>
      <w:pPr>
        <w:ind w:left="8760" w:hanging="527"/>
      </w:pPr>
      <w:rPr>
        <w:rFonts w:hint="default"/>
      </w:rPr>
    </w:lvl>
  </w:abstractNum>
  <w:abstractNum w:abstractNumId="16">
    <w:nsid w:val="3B8127DF"/>
    <w:multiLevelType w:val="multilevel"/>
    <w:tmpl w:val="3B8127DF"/>
    <w:lvl w:ilvl="0" w:tentative="0">
      <w:start w:val="1"/>
      <w:numFmt w:val="decimal"/>
      <w:lvlText w:val="（%1）"/>
      <w:lvlJc w:val="left"/>
      <w:pPr>
        <w:ind w:left="1554" w:hanging="527"/>
        <w:jc w:val="left"/>
      </w:pPr>
      <w:rPr>
        <w:rFonts w:hint="default" w:ascii="宋体" w:hAnsi="宋体" w:eastAsia="宋体" w:cs="宋体"/>
        <w:spacing w:val="-1"/>
        <w:w w:val="99"/>
        <w:sz w:val="19"/>
        <w:szCs w:val="19"/>
      </w:rPr>
    </w:lvl>
    <w:lvl w:ilvl="1" w:tentative="0">
      <w:start w:val="0"/>
      <w:numFmt w:val="bullet"/>
      <w:lvlText w:val="•"/>
      <w:lvlJc w:val="left"/>
      <w:pPr>
        <w:ind w:left="2460" w:hanging="527"/>
      </w:pPr>
      <w:rPr>
        <w:rFonts w:hint="default"/>
      </w:rPr>
    </w:lvl>
    <w:lvl w:ilvl="2" w:tentative="0">
      <w:start w:val="0"/>
      <w:numFmt w:val="bullet"/>
      <w:lvlText w:val="•"/>
      <w:lvlJc w:val="left"/>
      <w:pPr>
        <w:ind w:left="3360" w:hanging="527"/>
      </w:pPr>
      <w:rPr>
        <w:rFonts w:hint="default"/>
      </w:rPr>
    </w:lvl>
    <w:lvl w:ilvl="3" w:tentative="0">
      <w:start w:val="0"/>
      <w:numFmt w:val="bullet"/>
      <w:lvlText w:val="•"/>
      <w:lvlJc w:val="left"/>
      <w:pPr>
        <w:ind w:left="4260" w:hanging="527"/>
      </w:pPr>
      <w:rPr>
        <w:rFonts w:hint="default"/>
      </w:rPr>
    </w:lvl>
    <w:lvl w:ilvl="4" w:tentative="0">
      <w:start w:val="0"/>
      <w:numFmt w:val="bullet"/>
      <w:lvlText w:val="•"/>
      <w:lvlJc w:val="left"/>
      <w:pPr>
        <w:ind w:left="5160" w:hanging="527"/>
      </w:pPr>
      <w:rPr>
        <w:rFonts w:hint="default"/>
      </w:rPr>
    </w:lvl>
    <w:lvl w:ilvl="5" w:tentative="0">
      <w:start w:val="0"/>
      <w:numFmt w:val="bullet"/>
      <w:lvlText w:val="•"/>
      <w:lvlJc w:val="left"/>
      <w:pPr>
        <w:ind w:left="6060" w:hanging="527"/>
      </w:pPr>
      <w:rPr>
        <w:rFonts w:hint="default"/>
      </w:rPr>
    </w:lvl>
    <w:lvl w:ilvl="6" w:tentative="0">
      <w:start w:val="0"/>
      <w:numFmt w:val="bullet"/>
      <w:lvlText w:val="•"/>
      <w:lvlJc w:val="left"/>
      <w:pPr>
        <w:ind w:left="6960" w:hanging="527"/>
      </w:pPr>
      <w:rPr>
        <w:rFonts w:hint="default"/>
      </w:rPr>
    </w:lvl>
    <w:lvl w:ilvl="7" w:tentative="0">
      <w:start w:val="0"/>
      <w:numFmt w:val="bullet"/>
      <w:lvlText w:val="•"/>
      <w:lvlJc w:val="left"/>
      <w:pPr>
        <w:ind w:left="7860" w:hanging="527"/>
      </w:pPr>
      <w:rPr>
        <w:rFonts w:hint="default"/>
      </w:rPr>
    </w:lvl>
    <w:lvl w:ilvl="8" w:tentative="0">
      <w:start w:val="0"/>
      <w:numFmt w:val="bullet"/>
      <w:lvlText w:val="•"/>
      <w:lvlJc w:val="left"/>
      <w:pPr>
        <w:ind w:left="8760" w:hanging="527"/>
      </w:pPr>
      <w:rPr>
        <w:rFonts w:hint="default"/>
      </w:rPr>
    </w:lvl>
  </w:abstractNum>
  <w:abstractNum w:abstractNumId="17">
    <w:nsid w:val="40B249F9"/>
    <w:multiLevelType w:val="multilevel"/>
    <w:tmpl w:val="40B249F9"/>
    <w:lvl w:ilvl="0" w:tentative="0">
      <w:start w:val="1"/>
      <w:numFmt w:val="decimal"/>
      <w:lvlText w:val="（%1）"/>
      <w:lvlJc w:val="left"/>
      <w:pPr>
        <w:ind w:left="1554" w:hanging="527"/>
        <w:jc w:val="left"/>
      </w:pPr>
      <w:rPr>
        <w:rFonts w:hint="default" w:ascii="宋体" w:hAnsi="宋体" w:eastAsia="宋体" w:cs="宋体"/>
        <w:spacing w:val="-1"/>
        <w:w w:val="99"/>
        <w:sz w:val="19"/>
        <w:szCs w:val="19"/>
      </w:rPr>
    </w:lvl>
    <w:lvl w:ilvl="1" w:tentative="0">
      <w:start w:val="0"/>
      <w:numFmt w:val="bullet"/>
      <w:lvlText w:val="•"/>
      <w:lvlJc w:val="left"/>
      <w:pPr>
        <w:ind w:left="2460" w:hanging="527"/>
      </w:pPr>
      <w:rPr>
        <w:rFonts w:hint="default"/>
      </w:rPr>
    </w:lvl>
    <w:lvl w:ilvl="2" w:tentative="0">
      <w:start w:val="0"/>
      <w:numFmt w:val="bullet"/>
      <w:lvlText w:val="•"/>
      <w:lvlJc w:val="left"/>
      <w:pPr>
        <w:ind w:left="3360" w:hanging="527"/>
      </w:pPr>
      <w:rPr>
        <w:rFonts w:hint="default"/>
      </w:rPr>
    </w:lvl>
    <w:lvl w:ilvl="3" w:tentative="0">
      <w:start w:val="0"/>
      <w:numFmt w:val="bullet"/>
      <w:lvlText w:val="•"/>
      <w:lvlJc w:val="left"/>
      <w:pPr>
        <w:ind w:left="4260" w:hanging="527"/>
      </w:pPr>
      <w:rPr>
        <w:rFonts w:hint="default"/>
      </w:rPr>
    </w:lvl>
    <w:lvl w:ilvl="4" w:tentative="0">
      <w:start w:val="0"/>
      <w:numFmt w:val="bullet"/>
      <w:lvlText w:val="•"/>
      <w:lvlJc w:val="left"/>
      <w:pPr>
        <w:ind w:left="5160" w:hanging="527"/>
      </w:pPr>
      <w:rPr>
        <w:rFonts w:hint="default"/>
      </w:rPr>
    </w:lvl>
    <w:lvl w:ilvl="5" w:tentative="0">
      <w:start w:val="0"/>
      <w:numFmt w:val="bullet"/>
      <w:lvlText w:val="•"/>
      <w:lvlJc w:val="left"/>
      <w:pPr>
        <w:ind w:left="6060" w:hanging="527"/>
      </w:pPr>
      <w:rPr>
        <w:rFonts w:hint="default"/>
      </w:rPr>
    </w:lvl>
    <w:lvl w:ilvl="6" w:tentative="0">
      <w:start w:val="0"/>
      <w:numFmt w:val="bullet"/>
      <w:lvlText w:val="•"/>
      <w:lvlJc w:val="left"/>
      <w:pPr>
        <w:ind w:left="6960" w:hanging="527"/>
      </w:pPr>
      <w:rPr>
        <w:rFonts w:hint="default"/>
      </w:rPr>
    </w:lvl>
    <w:lvl w:ilvl="7" w:tentative="0">
      <w:start w:val="0"/>
      <w:numFmt w:val="bullet"/>
      <w:lvlText w:val="•"/>
      <w:lvlJc w:val="left"/>
      <w:pPr>
        <w:ind w:left="7860" w:hanging="527"/>
      </w:pPr>
      <w:rPr>
        <w:rFonts w:hint="default"/>
      </w:rPr>
    </w:lvl>
    <w:lvl w:ilvl="8" w:tentative="0">
      <w:start w:val="0"/>
      <w:numFmt w:val="bullet"/>
      <w:lvlText w:val="•"/>
      <w:lvlJc w:val="left"/>
      <w:pPr>
        <w:ind w:left="8760" w:hanging="527"/>
      </w:pPr>
      <w:rPr>
        <w:rFonts w:hint="default"/>
      </w:rPr>
    </w:lvl>
  </w:abstractNum>
  <w:abstractNum w:abstractNumId="18">
    <w:nsid w:val="59ADCABA"/>
    <w:multiLevelType w:val="multilevel"/>
    <w:tmpl w:val="59ADCABA"/>
    <w:lvl w:ilvl="0" w:tentative="0">
      <w:start w:val="1"/>
      <w:numFmt w:val="decimal"/>
      <w:lvlText w:val="（%1）"/>
      <w:lvlJc w:val="left"/>
      <w:pPr>
        <w:ind w:left="316" w:hanging="606"/>
        <w:jc w:val="left"/>
      </w:pPr>
      <w:rPr>
        <w:rFonts w:hint="default"/>
        <w:spacing w:val="0"/>
        <w:sz w:val="22"/>
        <w:szCs w:val="22"/>
        <w:u w:val="single" w:color="000000"/>
      </w:rPr>
    </w:lvl>
    <w:lvl w:ilvl="1" w:tentative="0">
      <w:start w:val="2"/>
      <w:numFmt w:val="decimal"/>
      <w:lvlText w:val="（%2）"/>
      <w:lvlJc w:val="left"/>
      <w:pPr>
        <w:ind w:left="1845" w:hanging="601"/>
        <w:jc w:val="left"/>
      </w:pPr>
      <w:rPr>
        <w:rFonts w:hint="default" w:ascii="宋体" w:hAnsi="宋体" w:eastAsia="宋体" w:cs="宋体"/>
        <w:w w:val="100"/>
        <w:sz w:val="22"/>
        <w:szCs w:val="22"/>
      </w:rPr>
    </w:lvl>
    <w:lvl w:ilvl="2" w:tentative="0">
      <w:start w:val="0"/>
      <w:numFmt w:val="bullet"/>
      <w:lvlText w:val="•"/>
      <w:lvlJc w:val="left"/>
      <w:pPr>
        <w:ind w:left="2713" w:hanging="601"/>
      </w:pPr>
      <w:rPr>
        <w:rFonts w:hint="default"/>
      </w:rPr>
    </w:lvl>
    <w:lvl w:ilvl="3" w:tentative="0">
      <w:start w:val="0"/>
      <w:numFmt w:val="bullet"/>
      <w:lvlText w:val="•"/>
      <w:lvlJc w:val="left"/>
      <w:pPr>
        <w:ind w:left="3586" w:hanging="601"/>
      </w:pPr>
      <w:rPr>
        <w:rFonts w:hint="default"/>
      </w:rPr>
    </w:lvl>
    <w:lvl w:ilvl="4" w:tentative="0">
      <w:start w:val="0"/>
      <w:numFmt w:val="bullet"/>
      <w:lvlText w:val="•"/>
      <w:lvlJc w:val="left"/>
      <w:pPr>
        <w:ind w:left="4460" w:hanging="601"/>
      </w:pPr>
      <w:rPr>
        <w:rFonts w:hint="default"/>
      </w:rPr>
    </w:lvl>
    <w:lvl w:ilvl="5" w:tentative="0">
      <w:start w:val="0"/>
      <w:numFmt w:val="bullet"/>
      <w:lvlText w:val="•"/>
      <w:lvlJc w:val="left"/>
      <w:pPr>
        <w:ind w:left="5333" w:hanging="601"/>
      </w:pPr>
      <w:rPr>
        <w:rFonts w:hint="default"/>
      </w:rPr>
    </w:lvl>
    <w:lvl w:ilvl="6" w:tentative="0">
      <w:start w:val="0"/>
      <w:numFmt w:val="bullet"/>
      <w:lvlText w:val="•"/>
      <w:lvlJc w:val="left"/>
      <w:pPr>
        <w:ind w:left="6206" w:hanging="601"/>
      </w:pPr>
      <w:rPr>
        <w:rFonts w:hint="default"/>
      </w:rPr>
    </w:lvl>
    <w:lvl w:ilvl="7" w:tentative="0">
      <w:start w:val="0"/>
      <w:numFmt w:val="bullet"/>
      <w:lvlText w:val="•"/>
      <w:lvlJc w:val="left"/>
      <w:pPr>
        <w:ind w:left="7080" w:hanging="601"/>
      </w:pPr>
      <w:rPr>
        <w:rFonts w:hint="default"/>
      </w:rPr>
    </w:lvl>
    <w:lvl w:ilvl="8" w:tentative="0">
      <w:start w:val="0"/>
      <w:numFmt w:val="bullet"/>
      <w:lvlText w:val="•"/>
      <w:lvlJc w:val="left"/>
      <w:pPr>
        <w:ind w:left="7953" w:hanging="601"/>
      </w:pPr>
      <w:rPr>
        <w:rFonts w:hint="default"/>
      </w:rPr>
    </w:lvl>
  </w:abstractNum>
  <w:abstractNum w:abstractNumId="19">
    <w:nsid w:val="700FDCEF"/>
    <w:multiLevelType w:val="multilevel"/>
    <w:tmpl w:val="700FDCEF"/>
    <w:lvl w:ilvl="0" w:tentative="0">
      <w:start w:val="3"/>
      <w:numFmt w:val="decimal"/>
      <w:lvlText w:val="%1"/>
      <w:lvlJc w:val="left"/>
      <w:pPr>
        <w:ind w:left="1440" w:hanging="360"/>
        <w:jc w:val="left"/>
      </w:pPr>
      <w:rPr>
        <w:rFonts w:hint="default"/>
      </w:rPr>
    </w:lvl>
    <w:lvl w:ilvl="1" w:tentative="0">
      <w:start w:val="8"/>
      <w:numFmt w:val="decimal"/>
      <w:lvlText w:val="%1.%2"/>
      <w:lvlJc w:val="left"/>
      <w:pPr>
        <w:ind w:left="1440" w:hanging="360"/>
        <w:jc w:val="left"/>
      </w:pPr>
      <w:rPr>
        <w:rFonts w:hint="default" w:ascii="Times New Roman" w:hAnsi="Times New Roman" w:eastAsia="Times New Roman" w:cs="Times New Roman"/>
        <w:w w:val="100"/>
        <w:sz w:val="24"/>
        <w:szCs w:val="24"/>
      </w:rPr>
    </w:lvl>
    <w:lvl w:ilvl="2" w:tentative="0">
      <w:start w:val="1"/>
      <w:numFmt w:val="decimal"/>
      <w:lvlText w:val="%1.%2.%3"/>
      <w:lvlJc w:val="left"/>
      <w:pPr>
        <w:ind w:left="656" w:hanging="634"/>
        <w:jc w:val="left"/>
      </w:pPr>
      <w:rPr>
        <w:rFonts w:hint="default" w:ascii="宋体" w:hAnsi="宋体" w:eastAsia="宋体" w:cs="宋体"/>
        <w:spacing w:val="-2"/>
        <w:w w:val="99"/>
        <w:sz w:val="21"/>
        <w:szCs w:val="21"/>
      </w:rPr>
    </w:lvl>
    <w:lvl w:ilvl="3" w:tentative="0">
      <w:start w:val="0"/>
      <w:numFmt w:val="bullet"/>
      <w:lvlText w:val="•"/>
      <w:lvlJc w:val="left"/>
      <w:pPr>
        <w:ind w:left="3466" w:hanging="634"/>
      </w:pPr>
      <w:rPr>
        <w:rFonts w:hint="default"/>
      </w:rPr>
    </w:lvl>
    <w:lvl w:ilvl="4" w:tentative="0">
      <w:start w:val="0"/>
      <w:numFmt w:val="bullet"/>
      <w:lvlText w:val="•"/>
      <w:lvlJc w:val="left"/>
      <w:pPr>
        <w:ind w:left="4480" w:hanging="634"/>
      </w:pPr>
      <w:rPr>
        <w:rFonts w:hint="default"/>
      </w:rPr>
    </w:lvl>
    <w:lvl w:ilvl="5" w:tentative="0">
      <w:start w:val="0"/>
      <w:numFmt w:val="bullet"/>
      <w:lvlText w:val="•"/>
      <w:lvlJc w:val="left"/>
      <w:pPr>
        <w:ind w:left="5493" w:hanging="634"/>
      </w:pPr>
      <w:rPr>
        <w:rFonts w:hint="default"/>
      </w:rPr>
    </w:lvl>
    <w:lvl w:ilvl="6" w:tentative="0">
      <w:start w:val="0"/>
      <w:numFmt w:val="bullet"/>
      <w:lvlText w:val="•"/>
      <w:lvlJc w:val="left"/>
      <w:pPr>
        <w:ind w:left="6506" w:hanging="634"/>
      </w:pPr>
      <w:rPr>
        <w:rFonts w:hint="default"/>
      </w:rPr>
    </w:lvl>
    <w:lvl w:ilvl="7" w:tentative="0">
      <w:start w:val="0"/>
      <w:numFmt w:val="bullet"/>
      <w:lvlText w:val="•"/>
      <w:lvlJc w:val="left"/>
      <w:pPr>
        <w:ind w:left="7520" w:hanging="634"/>
      </w:pPr>
      <w:rPr>
        <w:rFonts w:hint="default"/>
      </w:rPr>
    </w:lvl>
    <w:lvl w:ilvl="8" w:tentative="0">
      <w:start w:val="0"/>
      <w:numFmt w:val="bullet"/>
      <w:lvlText w:val="•"/>
      <w:lvlJc w:val="left"/>
      <w:pPr>
        <w:ind w:left="8533" w:hanging="634"/>
      </w:pPr>
      <w:rPr>
        <w:rFonts w:hint="default"/>
      </w:rPr>
    </w:lvl>
  </w:abstractNum>
  <w:num w:numId="1">
    <w:abstractNumId w:val="8"/>
  </w:num>
  <w:num w:numId="2">
    <w:abstractNumId w:val="5"/>
  </w:num>
  <w:num w:numId="3">
    <w:abstractNumId w:val="18"/>
  </w:num>
  <w:num w:numId="4">
    <w:abstractNumId w:val="13"/>
  </w:num>
  <w:num w:numId="5">
    <w:abstractNumId w:val="2"/>
  </w:num>
  <w:num w:numId="6">
    <w:abstractNumId w:val="17"/>
  </w:num>
  <w:num w:numId="7">
    <w:abstractNumId w:val="10"/>
  </w:num>
  <w:num w:numId="8">
    <w:abstractNumId w:val="15"/>
  </w:num>
  <w:num w:numId="9">
    <w:abstractNumId w:val="9"/>
  </w:num>
  <w:num w:numId="10">
    <w:abstractNumId w:val="4"/>
  </w:num>
  <w:num w:numId="11">
    <w:abstractNumId w:val="11"/>
  </w:num>
  <w:num w:numId="12">
    <w:abstractNumId w:val="1"/>
  </w:num>
  <w:num w:numId="13">
    <w:abstractNumId w:val="16"/>
  </w:num>
  <w:num w:numId="14">
    <w:abstractNumId w:val="0"/>
  </w:num>
  <w:num w:numId="15">
    <w:abstractNumId w:val="6"/>
  </w:num>
  <w:num w:numId="16">
    <w:abstractNumId w:val="14"/>
  </w:num>
  <w:num w:numId="17">
    <w:abstractNumId w:val="7"/>
  </w:num>
  <w:num w:numId="18">
    <w:abstractNumId w:val="12"/>
  </w:num>
  <w:num w:numId="19">
    <w:abstractNumId w:val="19"/>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yYTc5Yzk4OWZiYjlkZTJjMGM4ZDk3ZmQ3YmUzMzUifQ=="/>
  </w:docVars>
  <w:rsids>
    <w:rsidRoot w:val="2217769C"/>
    <w:rsid w:val="072D77D5"/>
    <w:rsid w:val="2217769C"/>
    <w:rsid w:val="79EA4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qFormat/>
    <w:uiPriority w:val="1"/>
    <w:pPr>
      <w:ind w:left="109"/>
      <w:jc w:val="center"/>
      <w:outlineLvl w:val="2"/>
    </w:pPr>
    <w:rPr>
      <w:rFonts w:ascii="宋体" w:hAnsi="宋体" w:eastAsia="宋体" w:cs="宋体"/>
      <w:sz w:val="52"/>
      <w:szCs w:val="52"/>
    </w:rPr>
  </w:style>
  <w:style w:type="paragraph" w:styleId="3">
    <w:name w:val="heading 7"/>
    <w:basedOn w:val="1"/>
    <w:next w:val="1"/>
    <w:qFormat/>
    <w:uiPriority w:val="1"/>
    <w:pPr>
      <w:spacing w:before="19"/>
      <w:outlineLvl w:val="7"/>
    </w:pPr>
    <w:rPr>
      <w:rFonts w:ascii="宋体" w:hAnsi="宋体" w:eastAsia="宋体" w:cs="宋体"/>
      <w:b/>
      <w:bCs/>
      <w:sz w:val="36"/>
      <w:szCs w:val="36"/>
    </w:rPr>
  </w:style>
  <w:style w:type="paragraph" w:styleId="4">
    <w:name w:val="heading 9"/>
    <w:basedOn w:val="1"/>
    <w:next w:val="1"/>
    <w:qFormat/>
    <w:uiPriority w:val="1"/>
    <w:pPr>
      <w:ind w:left="656"/>
      <w:outlineLvl w:val="9"/>
    </w:pPr>
    <w:rPr>
      <w:rFonts w:ascii="宋体" w:hAnsi="宋体" w:eastAsia="宋体" w:cs="宋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eastAsia="宋体" w:cs="宋体"/>
      <w:sz w:val="24"/>
      <w:szCs w:val="24"/>
    </w:rPr>
  </w:style>
  <w:style w:type="paragraph" w:styleId="6">
    <w:name w:val="Plain Text"/>
    <w:basedOn w:val="1"/>
    <w:next w:val="1"/>
    <w:qFormat/>
    <w:uiPriority w:val="0"/>
    <w:rPr>
      <w:rFonts w:ascii="宋体" w:hAnsi="Courier New"/>
      <w:kern w:val="0"/>
      <w:sz w:val="20"/>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qFormat/>
    <w:uiPriority w:val="0"/>
  </w:style>
  <w:style w:type="paragraph" w:styleId="12">
    <w:name w:val="List Paragraph"/>
    <w:basedOn w:val="1"/>
    <w:qFormat/>
    <w:uiPriority w:val="1"/>
    <w:pPr>
      <w:ind w:left="656" w:firstLine="480"/>
    </w:pPr>
    <w:rPr>
      <w:rFonts w:ascii="宋体" w:hAnsi="宋体" w:eastAsia="宋体" w:cs="宋体"/>
    </w:rPr>
  </w:style>
  <w:style w:type="paragraph" w:customStyle="1" w:styleId="13">
    <w:name w:val="Table Paragraph"/>
    <w:basedOn w:val="1"/>
    <w:qFormat/>
    <w:uiPriority w:val="1"/>
    <w:rPr>
      <w:rFonts w:ascii="宋体" w:hAnsi="宋体" w:eastAsia="宋体" w:cs="宋体"/>
    </w:rPr>
  </w:style>
  <w:style w:type="paragraph" w:customStyle="1" w:styleId="14">
    <w:name w:val="CM68"/>
    <w:basedOn w:val="15"/>
    <w:next w:val="15"/>
    <w:qFormat/>
    <w:uiPriority w:val="0"/>
    <w:pPr>
      <w:spacing w:line="440" w:lineRule="atLeast"/>
    </w:pPr>
    <w:rPr>
      <w:rFonts w:cs="Times New Roman"/>
      <w:color w:val="auto"/>
    </w:rPr>
  </w:style>
  <w:style w:type="paragraph" w:customStyle="1" w:styleId="15">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6">
    <w:name w:val="CM63"/>
    <w:basedOn w:val="15"/>
    <w:next w:val="1"/>
    <w:qFormat/>
    <w:uiPriority w:val="0"/>
    <w:pPr>
      <w:spacing w:after="903"/>
    </w:pPr>
    <w:rPr>
      <w:rFonts w:cs="Times New Roman"/>
      <w:color w:val="auto"/>
    </w:rPr>
  </w:style>
  <w:style w:type="paragraph" w:customStyle="1" w:styleId="17">
    <w:name w:val="CM65"/>
    <w:basedOn w:val="15"/>
    <w:next w:val="15"/>
    <w:qFormat/>
    <w:uiPriority w:val="0"/>
    <w:pPr>
      <w:spacing w:after="235"/>
    </w:pPr>
    <w:rPr>
      <w:rFonts w:cs="Times New Roman"/>
      <w:color w:val="auto"/>
    </w:rPr>
  </w:style>
  <w:style w:type="character" w:customStyle="1" w:styleId="18">
    <w:name w:val="标题 1 Char1"/>
    <w:qFormat/>
    <w:locked/>
    <w:uiPriority w:val="0"/>
    <w:rPr>
      <w:b/>
      <w:bCs/>
      <w:kern w:val="44"/>
      <w:sz w:val="44"/>
      <w:szCs w:val="44"/>
    </w:rPr>
  </w:style>
  <w:style w:type="paragraph" w:customStyle="1" w:styleId="19">
    <w:name w:val="正文文本 (2)1"/>
    <w:basedOn w:val="1"/>
    <w:qFormat/>
    <w:uiPriority w:val="99"/>
    <w:pPr>
      <w:shd w:val="clear" w:color="auto" w:fill="FFFFFF"/>
      <w:spacing w:before="300" w:line="439" w:lineRule="exact"/>
      <w:jc w:val="distribute"/>
    </w:pPr>
    <w:rPr>
      <w:rFonts w:ascii="MingLiU" w:eastAsia="MingLiU"/>
      <w:spacing w:val="20"/>
      <w:kern w:val="0"/>
      <w:sz w:val="22"/>
      <w:szCs w:val="20"/>
      <w:shd w:val="clear" w:color="auto" w:fill="FFFFFF"/>
    </w:rPr>
  </w:style>
  <w:style w:type="character" w:customStyle="1" w:styleId="20">
    <w:name w:val="正文文本 (2) + 间距 0 pt5"/>
    <w:qFormat/>
    <w:uiPriority w:val="99"/>
    <w:rPr>
      <w:rFonts w:ascii="MingLiU" w:eastAsia="MingLiU" w:cs="MingLiU"/>
      <w:spacing w:val="0"/>
      <w:sz w:val="22"/>
      <w:szCs w:val="22"/>
      <w:u w:val="none"/>
    </w:rPr>
  </w:style>
  <w:style w:type="character" w:customStyle="1" w:styleId="21">
    <w:name w:val="正文文本 (2) + 10 pt37"/>
    <w:qFormat/>
    <w:uiPriority w:val="0"/>
    <w:rPr>
      <w:rFonts w:ascii="MingLiU" w:eastAsia="MingLiU" w:cs="MingLiU"/>
      <w:spacing w:val="0"/>
      <w:sz w:val="20"/>
      <w:szCs w:val="20"/>
      <w:u w:val="none"/>
    </w:rPr>
  </w:style>
  <w:style w:type="character" w:customStyle="1" w:styleId="22">
    <w:name w:val="正文文本 (2) + 间距 -1 pt"/>
    <w:qFormat/>
    <w:uiPriority w:val="99"/>
    <w:rPr>
      <w:rFonts w:ascii="MingLiU" w:eastAsia="MingLiU" w:cs="MingLiU"/>
      <w:spacing w:val="-20"/>
      <w:sz w:val="22"/>
      <w:szCs w:val="22"/>
      <w:u w:val="none"/>
    </w:rPr>
  </w:style>
  <w:style w:type="paragraph" w:customStyle="1" w:styleId="23">
    <w:name w:val="表格标题 (5)"/>
    <w:basedOn w:val="1"/>
    <w:link w:val="24"/>
    <w:qFormat/>
    <w:uiPriority w:val="99"/>
    <w:pPr>
      <w:shd w:val="clear" w:color="auto" w:fill="FFFFFF"/>
      <w:spacing w:line="240" w:lineRule="atLeast"/>
    </w:pPr>
    <w:rPr>
      <w:rFonts w:ascii="MingLiU" w:eastAsia="MingLiU"/>
      <w:kern w:val="0"/>
      <w:sz w:val="22"/>
      <w:szCs w:val="22"/>
    </w:rPr>
  </w:style>
  <w:style w:type="character" w:customStyle="1" w:styleId="24">
    <w:name w:val="表格标题 (5)_"/>
    <w:link w:val="23"/>
    <w:qFormat/>
    <w:locked/>
    <w:uiPriority w:val="99"/>
    <w:rPr>
      <w:rFonts w:ascii="MingLiU" w:eastAsia="MingLiU"/>
      <w:kern w:val="0"/>
      <w:sz w:val="22"/>
      <w:szCs w:val="22"/>
    </w:rPr>
  </w:style>
  <w:style w:type="character" w:customStyle="1" w:styleId="25">
    <w:name w:val="正文文本 (2) + 10 pt24"/>
    <w:qFormat/>
    <w:uiPriority w:val="99"/>
    <w:rPr>
      <w:rFonts w:ascii="MingLiU" w:eastAsia="MingLiU" w:cs="MingLiU"/>
      <w:b/>
      <w:bCs/>
      <w:spacing w:val="0"/>
      <w:sz w:val="20"/>
      <w:szCs w:val="20"/>
      <w:u w:val="none"/>
    </w:rPr>
  </w:style>
  <w:style w:type="character" w:customStyle="1" w:styleId="26">
    <w:name w:val="正文文本 (2) + Sylfaen10"/>
    <w:qFormat/>
    <w:uiPriority w:val="99"/>
    <w:rPr>
      <w:rFonts w:ascii="Sylfaen" w:hAnsi="Sylfaen" w:eastAsia="MingLiU" w:cs="Sylfaen"/>
      <w:spacing w:val="20"/>
      <w:sz w:val="14"/>
      <w:szCs w:val="14"/>
      <w:u w:val="none"/>
      <w:lang w:val="en-US" w:eastAsia="en-US"/>
    </w:rPr>
  </w:style>
  <w:style w:type="character" w:customStyle="1" w:styleId="27">
    <w:name w:val="正文文本 (17) + 间距 0 pt"/>
    <w:qFormat/>
    <w:uiPriority w:val="99"/>
    <w:rPr>
      <w:rFonts w:ascii="MingLiU" w:eastAsia="MingLiU" w:cs="MingLiU"/>
      <w:spacing w:val="0"/>
      <w:sz w:val="22"/>
      <w:szCs w:val="22"/>
      <w:u w:val="single"/>
    </w:rPr>
  </w:style>
  <w:style w:type="character" w:customStyle="1" w:styleId="28">
    <w:name w:val="正文文本 (5)_"/>
    <w:link w:val="29"/>
    <w:qFormat/>
    <w:locked/>
    <w:uiPriority w:val="99"/>
    <w:rPr>
      <w:rFonts w:ascii="MingLiU" w:eastAsia="MingLiU"/>
      <w:kern w:val="0"/>
      <w:sz w:val="20"/>
      <w:szCs w:val="20"/>
    </w:rPr>
  </w:style>
  <w:style w:type="paragraph" w:customStyle="1" w:styleId="29">
    <w:name w:val="正文文本 (5)1"/>
    <w:basedOn w:val="1"/>
    <w:link w:val="28"/>
    <w:qFormat/>
    <w:uiPriority w:val="99"/>
    <w:pPr>
      <w:shd w:val="clear" w:color="auto" w:fill="FFFFFF"/>
      <w:spacing w:before="5100" w:line="240" w:lineRule="atLeast"/>
    </w:pPr>
    <w:rPr>
      <w:rFonts w:ascii="MingLiU" w:eastAsia="MingLiU"/>
      <w:kern w:val="0"/>
      <w:sz w:val="20"/>
      <w:szCs w:val="20"/>
    </w:rPr>
  </w:style>
  <w:style w:type="paragraph" w:customStyle="1" w:styleId="30">
    <w:name w:val="正文文本 (7)"/>
    <w:basedOn w:val="1"/>
    <w:qFormat/>
    <w:uiPriority w:val="99"/>
    <w:pPr>
      <w:shd w:val="clear" w:color="auto" w:fill="FFFFFF"/>
      <w:spacing w:before="120" w:after="300" w:line="240" w:lineRule="atLeast"/>
      <w:jc w:val="center"/>
    </w:pPr>
    <w:rPr>
      <w:rFonts w:ascii="MingLiU" w:eastAsia="MingLiU"/>
      <w:spacing w:val="10"/>
      <w:sz w:val="22"/>
      <w:szCs w:val="22"/>
    </w:rPr>
  </w:style>
  <w:style w:type="character" w:customStyle="1" w:styleId="31">
    <w:name w:val="正文文本 (2) + 间距 0 pt3"/>
    <w:qFormat/>
    <w:uiPriority w:val="99"/>
    <w:rPr>
      <w:rFonts w:ascii="MingLiU" w:eastAsia="MingLiU" w:cs="MingLiU"/>
      <w:spacing w:val="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2023-10-30T03:28:00Z</dcterms:created>
  <dc:creator>WPS_1470985716</dc:creator>
  <cp:lastModifiedBy>WPS_1470985716</cp:lastModifiedBy>
  <dcterms:modified xsi:type="dcterms:W3CDTF">2023-10-31T06:11:11Z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EB9B1916A18D4EFD8FCBB68B2A0E073F_11</vt:lpwstr>
  </property>
</Properties>
</file>