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kern w:val="0"/>
          <w:sz w:val="32"/>
          <w:szCs w:val="32"/>
        </w:rPr>
      </w:pPr>
      <w:r>
        <w:rPr>
          <w:rFonts w:hint="eastAsia" w:ascii="宋体" w:hAnsi="宋体"/>
          <w:b/>
          <w:kern w:val="0"/>
          <w:sz w:val="32"/>
          <w:szCs w:val="32"/>
        </w:rPr>
        <w:t>芦苞涌、西南涌和白坭河（花都段）碧道建设项目施工总承包招标公告</w:t>
      </w:r>
    </w:p>
    <w:p>
      <w:pPr>
        <w:pStyle w:val="3"/>
        <w:spacing w:before="156" w:beforeLines="50" w:after="156" w:afterLines="50" w:line="500" w:lineRule="exact"/>
        <w:rPr>
          <w:kern w:val="0"/>
        </w:rPr>
      </w:pPr>
      <w:bookmarkStart w:id="0" w:name="_Toc21787626"/>
      <w:r>
        <w:rPr>
          <w:rFonts w:hint="eastAsia"/>
          <w:kern w:val="0"/>
        </w:rPr>
        <w:t>招标条件</w:t>
      </w:r>
      <w:bookmarkEnd w:id="0"/>
    </w:p>
    <w:p>
      <w:pPr>
        <w:spacing w:line="500" w:lineRule="exact"/>
        <w:ind w:firstLine="540" w:firstLineChars="225"/>
        <w:rPr>
          <w:rFonts w:ascii="宋体" w:hAnsi="宋体"/>
          <w:kern w:val="0"/>
          <w:sz w:val="24"/>
          <w:szCs w:val="24"/>
        </w:rPr>
      </w:pPr>
      <w:r>
        <w:rPr>
          <w:rFonts w:ascii="宋体" w:hAnsi="宋体"/>
          <w:kern w:val="0"/>
          <w:sz w:val="24"/>
          <w:szCs w:val="24"/>
        </w:rPr>
        <w:t>本招标项目</w:t>
      </w:r>
      <w:r>
        <w:rPr>
          <w:rFonts w:hint="eastAsia" w:ascii="宋体" w:hAnsi="宋体"/>
          <w:sz w:val="24"/>
          <w:szCs w:val="24"/>
          <w:u w:val="single"/>
        </w:rPr>
        <w:t>芦苞涌、西南涌和白坭河（花都段）碧道建设项目</w:t>
      </w:r>
      <w:r>
        <w:rPr>
          <w:rFonts w:ascii="宋体" w:hAnsi="宋体"/>
          <w:kern w:val="0"/>
          <w:sz w:val="24"/>
          <w:szCs w:val="24"/>
        </w:rPr>
        <w:t>已由</w:t>
      </w:r>
      <w:r>
        <w:rPr>
          <w:rFonts w:hint="eastAsia" w:ascii="宋体" w:hAnsi="宋体"/>
          <w:sz w:val="24"/>
          <w:szCs w:val="24"/>
          <w:u w:val="single"/>
        </w:rPr>
        <w:t>花水字〔2023〕103 号</w:t>
      </w:r>
      <w:r>
        <w:rPr>
          <w:rFonts w:ascii="宋体" w:hAnsi="宋体"/>
          <w:kern w:val="0"/>
          <w:sz w:val="24"/>
          <w:szCs w:val="24"/>
        </w:rPr>
        <w:t>批准建设</w:t>
      </w:r>
      <w:r>
        <w:rPr>
          <w:rFonts w:hint="eastAsia" w:ascii="宋体" w:hAnsi="宋体"/>
          <w:kern w:val="0"/>
          <w:sz w:val="24"/>
          <w:szCs w:val="24"/>
        </w:rPr>
        <w:t>，</w:t>
      </w:r>
      <w:r>
        <w:rPr>
          <w:rFonts w:ascii="宋体" w:hAnsi="宋体"/>
          <w:kern w:val="0"/>
          <w:sz w:val="24"/>
          <w:szCs w:val="24"/>
        </w:rPr>
        <w:t>项目业主为</w:t>
      </w:r>
      <w:r>
        <w:rPr>
          <w:rFonts w:hint="eastAsia" w:ascii="宋体" w:hAnsi="宋体"/>
          <w:sz w:val="24"/>
          <w:szCs w:val="24"/>
          <w:u w:val="single"/>
        </w:rPr>
        <w:t>广州市花都区水务建设管理中心</w:t>
      </w:r>
      <w:r>
        <w:rPr>
          <w:rFonts w:ascii="宋体" w:hAnsi="宋体"/>
          <w:kern w:val="0"/>
          <w:sz w:val="24"/>
          <w:szCs w:val="24"/>
        </w:rPr>
        <w:t>，建设资金来自</w:t>
      </w:r>
      <w:r>
        <w:rPr>
          <w:rFonts w:hint="eastAsia" w:ascii="宋体" w:hAnsi="宋体"/>
          <w:kern w:val="0"/>
          <w:sz w:val="24"/>
          <w:szCs w:val="24"/>
          <w:u w:val="single"/>
        </w:rPr>
        <w:t>市</w:t>
      </w:r>
      <w:r>
        <w:rPr>
          <w:rFonts w:hint="eastAsia" w:ascii="宋体" w:hAnsi="宋体"/>
          <w:sz w:val="24"/>
          <w:szCs w:val="24"/>
          <w:u w:val="single"/>
        </w:rPr>
        <w:t>财政资金</w:t>
      </w:r>
      <w:r>
        <w:rPr>
          <w:rFonts w:ascii="宋体" w:hAnsi="宋体"/>
          <w:kern w:val="0"/>
          <w:sz w:val="24"/>
          <w:szCs w:val="24"/>
        </w:rPr>
        <w:t>，项目出资比例为</w:t>
      </w:r>
      <w:r>
        <w:rPr>
          <w:rFonts w:hint="eastAsia" w:ascii="宋体" w:hAnsi="宋体"/>
          <w:kern w:val="0"/>
          <w:sz w:val="24"/>
          <w:szCs w:val="24"/>
          <w:u w:val="single"/>
        </w:rPr>
        <w:t>100%</w:t>
      </w:r>
      <w:r>
        <w:rPr>
          <w:rFonts w:ascii="宋体" w:hAnsi="宋体"/>
          <w:kern w:val="0"/>
          <w:sz w:val="24"/>
          <w:szCs w:val="24"/>
        </w:rPr>
        <w:t>, 招标人为</w:t>
      </w:r>
      <w:r>
        <w:rPr>
          <w:rFonts w:hint="eastAsia" w:ascii="宋体" w:hAnsi="宋体"/>
          <w:sz w:val="24"/>
          <w:szCs w:val="24"/>
          <w:u w:val="single"/>
        </w:rPr>
        <w:t>广州市花都区水务建设管理中心</w:t>
      </w:r>
      <w:r>
        <w:rPr>
          <w:rFonts w:hint="eastAsia" w:ascii="宋体" w:hAnsi="宋体"/>
          <w:kern w:val="0"/>
          <w:sz w:val="24"/>
          <w:szCs w:val="24"/>
        </w:rPr>
        <w:t>。</w:t>
      </w:r>
      <w:r>
        <w:rPr>
          <w:rFonts w:ascii="宋体" w:hAnsi="宋体"/>
          <w:kern w:val="0"/>
          <w:sz w:val="24"/>
          <w:szCs w:val="24"/>
        </w:rPr>
        <w:t>项目已具备招标条件，现对该项目施工进行公开招标。</w:t>
      </w:r>
    </w:p>
    <w:p>
      <w:pPr>
        <w:pStyle w:val="3"/>
        <w:spacing w:before="156" w:beforeLines="50" w:after="156" w:afterLines="50" w:line="500" w:lineRule="exact"/>
        <w:rPr>
          <w:kern w:val="0"/>
        </w:rPr>
      </w:pPr>
      <w:bookmarkStart w:id="1" w:name="_Toc21787627"/>
      <w:r>
        <w:rPr>
          <w:kern w:val="0"/>
        </w:rPr>
        <w:t>项目概况与招标范围</w:t>
      </w:r>
      <w:bookmarkEnd w:id="1"/>
    </w:p>
    <w:p>
      <w:pPr>
        <w:numPr>
          <w:ilvl w:val="1"/>
          <w:numId w:val="1"/>
        </w:numPr>
        <w:spacing w:line="440" w:lineRule="exact"/>
        <w:rPr>
          <w:rFonts w:ascii="宋体" w:hAnsi="宋体"/>
          <w:sz w:val="24"/>
          <w:szCs w:val="24"/>
        </w:rPr>
      </w:pPr>
      <w:r>
        <w:rPr>
          <w:rFonts w:hint="eastAsia" w:ascii="宋体" w:hAnsi="宋体"/>
          <w:sz w:val="24"/>
          <w:szCs w:val="24"/>
        </w:rPr>
        <w:t>建设地点：</w:t>
      </w:r>
      <w:r>
        <w:rPr>
          <w:rFonts w:hint="eastAsia" w:ascii="宋体" w:hAnsi="宋体"/>
          <w:sz w:val="24"/>
          <w:u w:val="single"/>
        </w:rPr>
        <w:t>广州市花都区赤坭镇、炭步镇、秀全街</w:t>
      </w:r>
      <w:r>
        <w:rPr>
          <w:rFonts w:hint="eastAsia" w:ascii="宋体" w:hAnsi="宋体"/>
          <w:sz w:val="24"/>
          <w:szCs w:val="24"/>
          <w:u w:val="single"/>
        </w:rPr>
        <w:t>。</w:t>
      </w:r>
    </w:p>
    <w:p>
      <w:pPr>
        <w:numPr>
          <w:ilvl w:val="1"/>
          <w:numId w:val="1"/>
        </w:numPr>
        <w:spacing w:line="360" w:lineRule="auto"/>
        <w:ind w:left="7" w:hanging="7"/>
        <w:rPr>
          <w:rFonts w:hint="eastAsia" w:ascii="宋体" w:hAnsi="宋体"/>
          <w:sz w:val="24"/>
          <w:szCs w:val="24"/>
        </w:rPr>
      </w:pPr>
      <w:r>
        <w:rPr>
          <w:rFonts w:hint="eastAsia" w:ascii="宋体" w:hAnsi="宋体"/>
          <w:sz w:val="24"/>
          <w:szCs w:val="24"/>
        </w:rPr>
        <w:t>项目规模：芦苞涌(花都段)碧道建设、西南涌(花都段)碧道建设、白坭河(花都段)碧道建设，共建设碧道长40.9km，本工程堤防工程等别为IV等，工程等级为4级。</w:t>
      </w:r>
    </w:p>
    <w:p>
      <w:pPr>
        <w:spacing w:line="360" w:lineRule="auto"/>
        <w:ind w:firstLine="540" w:firstLineChars="225"/>
        <w:rPr>
          <w:rFonts w:hint="eastAsia" w:ascii="宋体" w:hAnsi="宋体"/>
          <w:sz w:val="24"/>
          <w:szCs w:val="24"/>
        </w:rPr>
      </w:pPr>
      <w:r>
        <w:rPr>
          <w:rFonts w:hint="eastAsia" w:ascii="宋体" w:hAnsi="宋体"/>
          <w:sz w:val="24"/>
          <w:szCs w:val="24"/>
        </w:rPr>
        <w:t>(一)芦苞涌(花都段)碧道长10km(单侧左岸实施),主要包括：水安全提升(沿线防溺水设施、警示牌各45组)、游憩系统构建(堤顶路慢行道长9.86km,非堤顶路慢行道长0.14km,LOGO喷涂，环境保护牌45个，导向牌35个，标识牌23组)、生态节点改造提升(芦苞特大桥桥下游憩活动空间节点、花木场文化标识牌宣传节点)。</w:t>
      </w:r>
    </w:p>
    <w:p>
      <w:pPr>
        <w:spacing w:line="360" w:lineRule="auto"/>
        <w:ind w:firstLine="540" w:firstLineChars="225"/>
        <w:rPr>
          <w:rFonts w:hint="eastAsia" w:ascii="宋体" w:hAnsi="宋体"/>
          <w:sz w:val="24"/>
          <w:szCs w:val="24"/>
        </w:rPr>
      </w:pPr>
      <w:r>
        <w:rPr>
          <w:rFonts w:hint="eastAsia" w:ascii="宋体" w:hAnsi="宋体"/>
          <w:sz w:val="24"/>
          <w:szCs w:val="24"/>
        </w:rPr>
        <w:t>(二)西南涌碧道段长2.3km(不构建慢行系统),主要包括：水安全提升(沿线防溺水设施、警示牌各12组)、游憩系统构建(L0GO喷涂，环境保护牌12个，导向牌13个，标识牌5组)。</w:t>
      </w:r>
    </w:p>
    <w:p>
      <w:pPr>
        <w:spacing w:line="440" w:lineRule="exact"/>
        <w:ind w:firstLine="480" w:firstLineChars="200"/>
        <w:rPr>
          <w:rFonts w:hint="eastAsia" w:ascii="宋体" w:hAnsi="宋体"/>
          <w:sz w:val="24"/>
          <w:szCs w:val="24"/>
          <w:u w:val="single"/>
        </w:rPr>
      </w:pPr>
      <w:r>
        <w:rPr>
          <w:rFonts w:hint="eastAsia" w:ascii="宋体" w:hAnsi="宋体"/>
          <w:sz w:val="24"/>
          <w:szCs w:val="24"/>
        </w:rPr>
        <w:t xml:space="preserve">(三)白坭河(花都段)碧道长28.6km(双侧实施),主要包括：水安全提升(沿线防溺水设施、警示牌197组，对长约1.98km堤段进行达标改造)、游憩系统构建(堤顶路慢行道长42.67km,非堤顶路的慢行道长2.63km,LOGO喷涂，标识标牌110个，导向牌115个，水文化环境保护标牌55个)、生态节点改造提升(白坭河赤坭镇卫生院南沿江路与泰康路交汇处现状公园节点，赤坭大道与古树大道交汇处现状滩涂节点，三和泵站周边生态环境节点)。(具体建设内容以招标人发出的图纸和清单为准）。 </w:t>
      </w:r>
    </w:p>
    <w:p>
      <w:pPr>
        <w:numPr>
          <w:ilvl w:val="1"/>
          <w:numId w:val="1"/>
        </w:numPr>
        <w:spacing w:line="440" w:lineRule="exact"/>
        <w:rPr>
          <w:rFonts w:ascii="宋体" w:hAnsi="宋体"/>
          <w:sz w:val="24"/>
          <w:szCs w:val="24"/>
        </w:rPr>
      </w:pPr>
      <w:r>
        <w:rPr>
          <w:rFonts w:hint="eastAsia" w:ascii="宋体" w:hAnsi="宋体"/>
          <w:sz w:val="24"/>
          <w:szCs w:val="24"/>
        </w:rPr>
        <w:t>最高投标限价：</w:t>
      </w:r>
      <w:r>
        <w:rPr>
          <w:rFonts w:hint="eastAsia" w:ascii="宋体" w:hAnsi="宋体"/>
          <w:sz w:val="24"/>
          <w:szCs w:val="24"/>
          <w:u w:val="single"/>
          <w:lang w:val="en-US" w:eastAsia="zh-CN"/>
        </w:rPr>
        <w:t>21500409.71</w:t>
      </w:r>
      <w:r>
        <w:rPr>
          <w:rFonts w:ascii="宋体" w:hAnsi="宋体"/>
          <w:sz w:val="24"/>
          <w:szCs w:val="24"/>
        </w:rPr>
        <w:t>元</w:t>
      </w:r>
      <w:r>
        <w:rPr>
          <w:rFonts w:hint="eastAsia" w:ascii="宋体" w:hAnsi="宋体"/>
          <w:sz w:val="24"/>
          <w:szCs w:val="24"/>
        </w:rPr>
        <w:t>。</w:t>
      </w:r>
      <w:bookmarkStart w:id="11" w:name="_GoBack"/>
      <w:bookmarkEnd w:id="11"/>
    </w:p>
    <w:p>
      <w:pPr>
        <w:numPr>
          <w:ilvl w:val="1"/>
          <w:numId w:val="1"/>
        </w:numPr>
        <w:spacing w:line="440" w:lineRule="exact"/>
        <w:rPr>
          <w:rFonts w:ascii="宋体" w:hAnsi="宋体"/>
          <w:sz w:val="24"/>
          <w:szCs w:val="24"/>
        </w:rPr>
      </w:pPr>
      <w:r>
        <w:rPr>
          <w:rFonts w:hint="eastAsia" w:ascii="宋体" w:hAnsi="宋体"/>
          <w:sz w:val="24"/>
          <w:szCs w:val="24"/>
        </w:rPr>
        <w:t>计划工期：</w:t>
      </w:r>
      <w:r>
        <w:rPr>
          <w:rFonts w:hint="eastAsia" w:ascii="宋体" w:hAnsi="宋体"/>
          <w:sz w:val="24"/>
          <w:szCs w:val="24"/>
          <w:u w:val="single"/>
        </w:rPr>
        <w:t>9</w:t>
      </w:r>
      <w:r>
        <w:rPr>
          <w:rFonts w:hint="eastAsia" w:ascii="宋体" w:hAnsi="宋体"/>
          <w:sz w:val="24"/>
          <w:szCs w:val="24"/>
        </w:rPr>
        <w:t>个月。</w:t>
      </w:r>
    </w:p>
    <w:p>
      <w:pPr>
        <w:numPr>
          <w:ilvl w:val="1"/>
          <w:numId w:val="1"/>
        </w:numPr>
        <w:spacing w:line="360" w:lineRule="auto"/>
        <w:ind w:left="7" w:hanging="7"/>
        <w:rPr>
          <w:rFonts w:hint="eastAsia" w:ascii="宋体" w:hAnsi="宋体"/>
          <w:sz w:val="24"/>
          <w:szCs w:val="24"/>
        </w:rPr>
      </w:pPr>
      <w:r>
        <w:rPr>
          <w:rFonts w:hint="eastAsia" w:ascii="宋体" w:hAnsi="宋体"/>
          <w:sz w:val="24"/>
          <w:szCs w:val="24"/>
        </w:rPr>
        <w:t>招标内容：芦苞涌(花都段)碧道建设、西南涌(花都段)碧道建设、白坭河(花都段)碧道建设，共建设碧道长40.9km，本工程堤防工程等别为IV等，工程等级为4级。</w:t>
      </w:r>
    </w:p>
    <w:p>
      <w:pPr>
        <w:spacing w:line="360" w:lineRule="auto"/>
        <w:ind w:firstLine="540" w:firstLineChars="225"/>
        <w:rPr>
          <w:rFonts w:hint="eastAsia" w:ascii="宋体" w:hAnsi="宋体"/>
          <w:sz w:val="24"/>
          <w:szCs w:val="24"/>
        </w:rPr>
      </w:pPr>
      <w:r>
        <w:rPr>
          <w:rFonts w:hint="eastAsia" w:ascii="宋体" w:hAnsi="宋体"/>
          <w:sz w:val="24"/>
          <w:szCs w:val="24"/>
        </w:rPr>
        <w:t>(一)芦苞涌(花都段)碧道长10km(单侧左岸实施),主要包括：水安全提升(沿线防溺水设施、警示牌各45组)、游憩系统构建(堤顶路慢行道长9.86km,非堤顶路慢行道长0.14km,LOGO喷涂，环境保护牌45个，导向牌35个，标识牌23组)、生态节点改造提升(芦苞特大桥桥下游憩活动空间节点、花木场文化标识牌宣传节点)。</w:t>
      </w:r>
    </w:p>
    <w:p>
      <w:pPr>
        <w:spacing w:line="360" w:lineRule="auto"/>
        <w:ind w:firstLine="540" w:firstLineChars="225"/>
        <w:rPr>
          <w:rFonts w:hint="eastAsia" w:ascii="宋体" w:hAnsi="宋体"/>
          <w:sz w:val="24"/>
          <w:szCs w:val="24"/>
        </w:rPr>
      </w:pPr>
      <w:r>
        <w:rPr>
          <w:rFonts w:hint="eastAsia" w:ascii="宋体" w:hAnsi="宋体"/>
          <w:sz w:val="24"/>
          <w:szCs w:val="24"/>
        </w:rPr>
        <w:t>(二)西南涌碧道段长2.3km(不构建慢行系统),主要包括：水安全提升(沿线防溺水设施、警示牌各12组)、游憩系统构建(L0GO喷涂，环境保护牌12个，导向牌13个，标识牌5组)。</w:t>
      </w:r>
    </w:p>
    <w:p>
      <w:pPr>
        <w:spacing w:line="440" w:lineRule="exact"/>
        <w:ind w:firstLine="480" w:firstLineChars="200"/>
        <w:rPr>
          <w:rFonts w:ascii="宋体" w:hAnsi="宋体"/>
          <w:sz w:val="24"/>
          <w:szCs w:val="24"/>
        </w:rPr>
      </w:pPr>
      <w:r>
        <w:rPr>
          <w:rFonts w:hint="eastAsia" w:ascii="宋体" w:hAnsi="宋体"/>
          <w:sz w:val="24"/>
          <w:szCs w:val="24"/>
        </w:rPr>
        <w:t xml:space="preserve">(三)白坭河(花都段)碧道长28.6km(双侧实施),主要包括：水安全提升(沿线防溺水设施、警示牌197组，对长约1.98km堤段进行达标改造)、游憩系统构建(堤顶路慢行道长42.67km,非堤顶路的慢行道长2.63km,LOGO喷涂，标识标牌110个，导向牌115个，水文化环境保护标牌55个)、生态节点改造提升(白坭河赤坭镇卫生院南沿江路与泰康路交汇处现状公园节点，赤坭大道与古树大道交汇处现状滩涂节点，三和泵站周边生态环境节点)。(具体建设内容以招标人发出的图纸和清单为准）。 </w:t>
      </w:r>
    </w:p>
    <w:p>
      <w:pPr>
        <w:numPr>
          <w:ilvl w:val="1"/>
          <w:numId w:val="1"/>
        </w:numPr>
        <w:spacing w:line="440" w:lineRule="exact"/>
        <w:rPr>
          <w:rFonts w:ascii="宋体" w:hAnsi="宋体"/>
          <w:sz w:val="24"/>
          <w:szCs w:val="24"/>
        </w:rPr>
      </w:pPr>
      <w:r>
        <w:rPr>
          <w:rFonts w:hint="eastAsia" w:ascii="宋体" w:hAnsi="宋体"/>
          <w:sz w:val="24"/>
          <w:szCs w:val="24"/>
        </w:rPr>
        <w:t>标段划分：</w:t>
      </w:r>
      <w:r>
        <w:rPr>
          <w:rFonts w:hint="eastAsia" w:ascii="宋体" w:hAnsi="宋体"/>
          <w:sz w:val="24"/>
          <w:szCs w:val="24"/>
          <w:u w:val="single"/>
        </w:rPr>
        <w:t>1</w:t>
      </w:r>
      <w:r>
        <w:rPr>
          <w:rFonts w:hint="eastAsia" w:ascii="宋体" w:hAnsi="宋体"/>
          <w:sz w:val="24"/>
          <w:szCs w:val="24"/>
        </w:rPr>
        <w:t>个标段。</w:t>
      </w:r>
    </w:p>
    <w:p>
      <w:pPr>
        <w:numPr>
          <w:ilvl w:val="1"/>
          <w:numId w:val="1"/>
        </w:numPr>
        <w:spacing w:line="440" w:lineRule="exact"/>
        <w:rPr>
          <w:rFonts w:ascii="宋体" w:hAnsi="宋体"/>
          <w:sz w:val="24"/>
          <w:szCs w:val="24"/>
        </w:rPr>
      </w:pPr>
      <w:r>
        <w:rPr>
          <w:rFonts w:hint="eastAsia" w:ascii="宋体" w:hAnsi="宋体"/>
          <w:sz w:val="24"/>
          <w:szCs w:val="24"/>
        </w:rPr>
        <w:t xml:space="preserve">承包方式： </w:t>
      </w:r>
      <w:r>
        <w:rPr>
          <w:rFonts w:hint="eastAsia" w:ascii="宋体" w:hAnsi="宋体"/>
          <w:sz w:val="24"/>
          <w:szCs w:val="24"/>
          <w:u w:val="single"/>
        </w:rPr>
        <w:t>包工、包料、包工期、包质量、包安全、包文明施工。</w:t>
      </w:r>
      <w:r>
        <w:rPr>
          <w:rFonts w:hint="eastAsia" w:ascii="宋体" w:hAnsi="宋体"/>
          <w:sz w:val="24"/>
          <w:szCs w:val="24"/>
          <w:u w:val="single"/>
          <w:lang w:val="en-US" w:eastAsia="zh-CN"/>
        </w:rPr>
        <w:t>总价</w:t>
      </w:r>
      <w:r>
        <w:rPr>
          <w:rFonts w:hint="eastAsia" w:ascii="宋体" w:hAnsi="宋体"/>
          <w:sz w:val="24"/>
          <w:szCs w:val="24"/>
          <w:u w:val="single"/>
        </w:rPr>
        <w:t>包干、项目措施费包干。</w:t>
      </w:r>
    </w:p>
    <w:p>
      <w:pPr>
        <w:pStyle w:val="3"/>
        <w:spacing w:before="120" w:after="120" w:line="500" w:lineRule="exact"/>
      </w:pPr>
      <w:bookmarkStart w:id="2" w:name="_Toc21787628"/>
      <w:r>
        <w:t>投标人资格要求</w:t>
      </w:r>
      <w:bookmarkEnd w:id="2"/>
    </w:p>
    <w:p>
      <w:pPr>
        <w:spacing w:line="440" w:lineRule="exact"/>
        <w:ind w:firstLine="480" w:firstLineChars="200"/>
        <w:jc w:val="left"/>
        <w:rPr>
          <w:rFonts w:ascii="宋体" w:hAnsi="宋体"/>
          <w:bCs/>
          <w:sz w:val="24"/>
        </w:rPr>
      </w:pPr>
      <w:r>
        <w:rPr>
          <w:rFonts w:hint="eastAsia" w:ascii="宋体" w:hAnsi="宋体"/>
          <w:bCs/>
          <w:sz w:val="24"/>
        </w:rPr>
        <w:t>投标人应具备承担本工程施工的资质条件、能力和信誉，具体要求如下：</w:t>
      </w:r>
    </w:p>
    <w:p>
      <w:pPr>
        <w:widowControl/>
        <w:numPr>
          <w:ilvl w:val="0"/>
          <w:numId w:val="2"/>
        </w:numPr>
        <w:spacing w:line="440" w:lineRule="exact"/>
        <w:ind w:left="420"/>
        <w:jc w:val="left"/>
        <w:rPr>
          <w:rFonts w:ascii="宋体" w:hAnsi="宋体" w:cs="仿宋_GB2312"/>
          <w:sz w:val="24"/>
          <w:szCs w:val="24"/>
        </w:rPr>
      </w:pPr>
      <w:r>
        <w:rPr>
          <w:rFonts w:hint="eastAsia" w:ascii="宋体" w:hAnsi="宋体" w:cs="仿宋_GB2312"/>
          <w:sz w:val="24"/>
          <w:szCs w:val="24"/>
        </w:rPr>
        <w:t>投标人应具有独立法人资格并依法取得营业执照，营业执照处于有效期。</w:t>
      </w:r>
    </w:p>
    <w:p>
      <w:pPr>
        <w:widowControl/>
        <w:numPr>
          <w:ilvl w:val="0"/>
          <w:numId w:val="2"/>
        </w:numPr>
        <w:spacing w:line="440" w:lineRule="exact"/>
        <w:ind w:left="420"/>
        <w:jc w:val="left"/>
        <w:rPr>
          <w:rFonts w:ascii="宋体" w:hAnsi="宋体" w:cs="仿宋_GB2312"/>
          <w:sz w:val="24"/>
          <w:szCs w:val="24"/>
        </w:rPr>
      </w:pPr>
      <w:r>
        <w:rPr>
          <w:rFonts w:hint="eastAsia" w:ascii="宋体" w:hAnsi="宋体" w:cs="仿宋_GB2312"/>
          <w:sz w:val="24"/>
          <w:szCs w:val="24"/>
        </w:rPr>
        <w:t>投标人应持有建设行政主管部门颁发的企业资质证书及安全生产许可证。</w:t>
      </w:r>
    </w:p>
    <w:p>
      <w:pPr>
        <w:widowControl/>
        <w:numPr>
          <w:ilvl w:val="0"/>
          <w:numId w:val="2"/>
        </w:numPr>
        <w:spacing w:line="440" w:lineRule="exact"/>
        <w:ind w:left="420"/>
        <w:jc w:val="left"/>
        <w:rPr>
          <w:rFonts w:ascii="宋体" w:hAnsi="宋体" w:cs="仿宋_GB2312"/>
          <w:sz w:val="24"/>
          <w:szCs w:val="24"/>
        </w:rPr>
      </w:pPr>
      <w:r>
        <w:rPr>
          <w:rFonts w:hint="eastAsia" w:ascii="宋体" w:hAnsi="宋体" w:cs="宋体"/>
          <w:kern w:val="0"/>
          <w:sz w:val="24"/>
          <w:szCs w:val="24"/>
        </w:rPr>
        <w:t>投标人应具备以下资质：</w:t>
      </w:r>
    </w:p>
    <w:p>
      <w:pPr>
        <w:widowControl/>
        <w:tabs>
          <w:tab w:val="left" w:pos="3570"/>
        </w:tabs>
        <w:spacing w:line="44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投标人均具有承接本工程所需的水利水电工程施工总承包三级或以上级别施工总承包资质。（注：联合体的，以资质等级低的一方为等级标准）。</w:t>
      </w:r>
    </w:p>
    <w:p>
      <w:pPr>
        <w:widowControl/>
        <w:tabs>
          <w:tab w:val="left" w:pos="3570"/>
        </w:tabs>
        <w:spacing w:line="44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注：工程建筑业企业资质证书有效期按《住房和城乡建设部办公厅关于建设工程企业资质延续有关事项的通知》（建办市函〔2020〕334号）、《住房和城乡建设部建筑市场监管司关于建设工程企业资质有效期延期的通知》（建司局函市〔2020〕38号）、《广东省住房和城乡建设厅关于建设工程企业资质延续有关事项的通知》（粤建许函〔2020〕298号）、《广州市住房和城乡建设局关于建设工程企业资质有效期顺延的通知》（穗建审批〔2020〕295号）、《住房和城乡建设部办公厅关于做好建筑业“证照分离”改革衔接有关工作的通知》（建办市〔2021〕30号）、《住房和城乡建设部办公厅关于建设工程企业资质统一延续有关事项的通知》（建办市函[2021]510号）、《广东省住房和城乡建设厅关于建设工程企业资质有效期延期的通知》（粤建许函〔2021〕849号）的要求设置执行。</w:t>
      </w:r>
    </w:p>
    <w:p>
      <w:pPr>
        <w:widowControl/>
        <w:tabs>
          <w:tab w:val="left" w:pos="3570"/>
        </w:tabs>
        <w:spacing w:line="440" w:lineRule="exact"/>
        <w:ind w:firstLine="480" w:firstLineChars="200"/>
        <w:jc w:val="left"/>
        <w:rPr>
          <w:rFonts w:hint="eastAsia" w:ascii="宋体" w:hAnsi="宋体" w:cs="宋体"/>
          <w:kern w:val="0"/>
          <w:sz w:val="24"/>
          <w:szCs w:val="24"/>
          <w:u w:val="single"/>
        </w:rPr>
      </w:pPr>
      <w:r>
        <w:rPr>
          <w:rFonts w:hint="eastAsia" w:ascii="宋体" w:hAnsi="宋体" w:cs="宋体"/>
          <w:kern w:val="0"/>
          <w:sz w:val="24"/>
          <w:szCs w:val="24"/>
        </w:rPr>
        <w:t>如投标人的企业资质是根据 2020年11月30日发布的《住房和城乡建设部关于印发建设工程企业资质管理制度改革方案的通知》（建市〔2020〕94号）办理的，则资质相应要求如下：</w:t>
      </w:r>
      <w:r>
        <w:rPr>
          <w:rFonts w:hint="eastAsia" w:ascii="宋体" w:hAnsi="宋体" w:cs="宋体"/>
          <w:kern w:val="0"/>
          <w:sz w:val="24"/>
          <w:szCs w:val="24"/>
          <w:u w:val="single"/>
        </w:rPr>
        <w:t>具有建设行政主管部门颁发的水利水电工程施工总承包乙级或以上资质。</w:t>
      </w:r>
    </w:p>
    <w:p>
      <w:pPr>
        <w:widowControl/>
        <w:numPr>
          <w:ilvl w:val="0"/>
          <w:numId w:val="2"/>
        </w:numPr>
        <w:spacing w:line="440" w:lineRule="exact"/>
        <w:ind w:left="420"/>
        <w:jc w:val="left"/>
        <w:rPr>
          <w:rFonts w:ascii="宋体" w:hAnsi="宋体" w:cs="宋体"/>
          <w:kern w:val="0"/>
          <w:sz w:val="24"/>
          <w:szCs w:val="24"/>
        </w:rPr>
      </w:pPr>
      <w:r>
        <w:rPr>
          <w:rFonts w:hint="eastAsia" w:ascii="宋体" w:hAnsi="宋体" w:cs="宋体"/>
          <w:kern w:val="0"/>
          <w:sz w:val="24"/>
          <w:szCs w:val="24"/>
        </w:rPr>
        <w:t>对投标人拟派项目负责人的要求：</w:t>
      </w:r>
    </w:p>
    <w:p>
      <w:pPr>
        <w:spacing w:line="440" w:lineRule="exact"/>
        <w:ind w:firstLine="240" w:firstLineChars="100"/>
        <w:rPr>
          <w:rFonts w:ascii="宋体" w:hAnsi="宋体"/>
          <w:sz w:val="24"/>
          <w:szCs w:val="24"/>
        </w:rPr>
      </w:pPr>
      <w:r>
        <w:rPr>
          <w:rFonts w:hint="eastAsia" w:ascii="宋体" w:hAnsi="宋体"/>
          <w:bCs/>
          <w:sz w:val="24"/>
        </w:rPr>
        <w:t>（1）投标人拟担任本工程项目负责人</w:t>
      </w:r>
      <w:r>
        <w:rPr>
          <w:rFonts w:hint="eastAsia" w:ascii="宋体" w:hAnsi="宋体"/>
          <w:bCs/>
          <w:sz w:val="24"/>
          <w:highlight w:val="none"/>
        </w:rPr>
        <w:t>的人员须具有</w:t>
      </w:r>
      <w:r>
        <w:rPr>
          <w:rFonts w:hint="eastAsia" w:ascii="宋体" w:hAnsi="宋体" w:cs="宋体"/>
          <w:kern w:val="0"/>
          <w:sz w:val="24"/>
          <w:szCs w:val="24"/>
          <w:highlight w:val="none"/>
          <w:u w:val="single"/>
        </w:rPr>
        <w:t>水利水电</w:t>
      </w:r>
      <w:r>
        <w:rPr>
          <w:rFonts w:hint="eastAsia" w:ascii="宋体" w:hAnsi="宋体"/>
          <w:sz w:val="24"/>
          <w:szCs w:val="24"/>
          <w:highlight w:val="none"/>
        </w:rPr>
        <w:t>专业</w:t>
      </w:r>
      <w:r>
        <w:rPr>
          <w:rFonts w:hint="eastAsia" w:ascii="宋体" w:hAnsi="宋体"/>
          <w:sz w:val="24"/>
          <w:szCs w:val="24"/>
          <w:highlight w:val="none"/>
          <w:u w:val="single"/>
        </w:rPr>
        <w:t>贰级</w:t>
      </w:r>
      <w:r>
        <w:rPr>
          <w:rFonts w:hint="eastAsia" w:ascii="宋体" w:hAnsi="宋体"/>
          <w:sz w:val="24"/>
          <w:szCs w:val="24"/>
          <w:highlight w:val="none"/>
        </w:rPr>
        <w:t>或以</w:t>
      </w:r>
      <w:r>
        <w:rPr>
          <w:rFonts w:hint="eastAsia" w:ascii="宋体" w:hAnsi="宋体"/>
          <w:sz w:val="24"/>
          <w:szCs w:val="24"/>
        </w:rPr>
        <w:t>上级别的注册建造师。</w:t>
      </w:r>
    </w:p>
    <w:p>
      <w:pPr>
        <w:spacing w:line="440" w:lineRule="exact"/>
        <w:ind w:firstLine="240" w:firstLineChars="100"/>
        <w:rPr>
          <w:rFonts w:ascii="宋体" w:hAnsi="宋体"/>
          <w:sz w:val="24"/>
          <w:szCs w:val="24"/>
        </w:rPr>
      </w:pPr>
      <w:r>
        <w:rPr>
          <w:rFonts w:hint="eastAsia" w:ascii="宋体" w:hAnsi="宋体"/>
          <w:sz w:val="24"/>
          <w:szCs w:val="24"/>
        </w:rPr>
        <w:t>（</w:t>
      </w:r>
      <w:r>
        <w:rPr>
          <w:rFonts w:ascii="宋体" w:hAnsi="宋体"/>
          <w:sz w:val="24"/>
          <w:szCs w:val="24"/>
        </w:rPr>
        <w:t>2）项目负责人持有</w:t>
      </w:r>
      <w:r>
        <w:rPr>
          <w:rFonts w:hint="eastAsia" w:ascii="宋体" w:hAnsi="宋体"/>
          <w:sz w:val="24"/>
          <w:szCs w:val="24"/>
        </w:rPr>
        <w:t>水行政主管部门颁发的安全生产考核合格证（</w:t>
      </w:r>
      <w:r>
        <w:rPr>
          <w:rFonts w:ascii="宋体" w:hAnsi="宋体"/>
          <w:sz w:val="24"/>
          <w:szCs w:val="24"/>
        </w:rPr>
        <w:t>B类）</w:t>
      </w:r>
    </w:p>
    <w:p>
      <w:pPr>
        <w:spacing w:line="440" w:lineRule="exact"/>
        <w:ind w:firstLine="240" w:firstLineChars="100"/>
        <w:rPr>
          <w:rFonts w:ascii="宋体" w:hAnsi="宋体"/>
          <w:sz w:val="24"/>
          <w:szCs w:val="24"/>
        </w:rPr>
      </w:pPr>
      <w:r>
        <w:rPr>
          <w:rFonts w:hint="eastAsia" w:ascii="宋体" w:hAnsi="宋体"/>
          <w:sz w:val="24"/>
          <w:szCs w:val="24"/>
        </w:rPr>
        <w:t>注：①项目负责人在任职期间不得担任专职安全员，项目专职安全员在任职期间也不得担任项目负责人，项目负责人和安全员不为同一人。</w:t>
      </w:r>
    </w:p>
    <w:p>
      <w:pPr>
        <w:widowControl/>
        <w:numPr>
          <w:ilvl w:val="0"/>
          <w:numId w:val="2"/>
        </w:numPr>
        <w:spacing w:line="440" w:lineRule="exact"/>
        <w:ind w:left="420"/>
        <w:jc w:val="left"/>
        <w:rPr>
          <w:rFonts w:ascii="宋体" w:hAnsi="宋体" w:cs="宋体"/>
          <w:kern w:val="0"/>
          <w:sz w:val="24"/>
          <w:szCs w:val="24"/>
        </w:rPr>
      </w:pPr>
      <w:r>
        <w:rPr>
          <w:rFonts w:hint="eastAsia" w:ascii="宋体" w:hAnsi="宋体" w:cs="宋体"/>
          <w:kern w:val="0"/>
          <w:sz w:val="24"/>
          <w:szCs w:val="24"/>
        </w:rPr>
        <w:t>对投标人拟派专职安全员的要求：</w:t>
      </w:r>
    </w:p>
    <w:p>
      <w:pPr>
        <w:widowControl/>
        <w:spacing w:line="440" w:lineRule="exact"/>
        <w:ind w:firstLine="480" w:firstLineChars="200"/>
        <w:jc w:val="left"/>
        <w:rPr>
          <w:rFonts w:ascii="宋体" w:hAnsi="宋体" w:cs="仿宋_GB2312"/>
          <w:sz w:val="24"/>
          <w:szCs w:val="24"/>
        </w:rPr>
      </w:pPr>
      <w:r>
        <w:rPr>
          <w:rFonts w:hint="eastAsia" w:ascii="宋体" w:hAnsi="宋体" w:cs="仿宋_GB2312"/>
          <w:sz w:val="24"/>
          <w:szCs w:val="24"/>
        </w:rPr>
        <w:t>专职安全员须具有水行政主管部门颁发的安全生产考核合格证（</w:t>
      </w:r>
      <w:r>
        <w:rPr>
          <w:rFonts w:ascii="宋体" w:hAnsi="宋体" w:cs="仿宋_GB2312"/>
          <w:sz w:val="24"/>
          <w:szCs w:val="24"/>
        </w:rPr>
        <w:t>C类）</w:t>
      </w:r>
    </w:p>
    <w:p>
      <w:pPr>
        <w:widowControl/>
        <w:numPr>
          <w:ilvl w:val="0"/>
          <w:numId w:val="2"/>
        </w:numPr>
        <w:spacing w:line="440" w:lineRule="exact"/>
        <w:ind w:left="420"/>
        <w:jc w:val="left"/>
        <w:rPr>
          <w:rFonts w:ascii="宋体" w:hAnsi="宋体" w:cs="宋体"/>
          <w:kern w:val="0"/>
          <w:sz w:val="24"/>
          <w:szCs w:val="24"/>
        </w:rPr>
      </w:pPr>
      <w:r>
        <w:rPr>
          <w:rFonts w:hint="eastAsia" w:ascii="宋体" w:hAnsi="宋体" w:cs="宋体"/>
          <w:kern w:val="0"/>
          <w:sz w:val="24"/>
          <w:szCs w:val="24"/>
        </w:rPr>
        <w:t>类似项目业绩要求：</w:t>
      </w:r>
      <w:r>
        <w:rPr>
          <w:rFonts w:hint="eastAsia" w:ascii="宋体" w:hAnsi="宋体" w:cs="宋体"/>
          <w:kern w:val="0"/>
          <w:sz w:val="24"/>
          <w:szCs w:val="24"/>
          <w:u w:val="single"/>
        </w:rPr>
        <w:t>无</w:t>
      </w:r>
    </w:p>
    <w:p>
      <w:pPr>
        <w:widowControl/>
        <w:numPr>
          <w:ilvl w:val="0"/>
          <w:numId w:val="2"/>
        </w:numPr>
        <w:spacing w:line="440" w:lineRule="exact"/>
        <w:ind w:left="420"/>
        <w:jc w:val="left"/>
        <w:rPr>
          <w:rFonts w:ascii="宋体" w:hAnsi="宋体" w:cs="宋体"/>
          <w:kern w:val="0"/>
          <w:sz w:val="24"/>
          <w:szCs w:val="24"/>
        </w:rPr>
      </w:pPr>
      <w:r>
        <w:rPr>
          <w:rFonts w:hint="eastAsia" w:ascii="宋体" w:hAnsi="宋体" w:cs="宋体"/>
          <w:kern w:val="0"/>
          <w:sz w:val="24"/>
          <w:szCs w:val="24"/>
        </w:rPr>
        <w:t>提交社保文件的要求</w:t>
      </w:r>
    </w:p>
    <w:p>
      <w:pPr>
        <w:widowControl/>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rPr>
        <w:t>投标申请人须保证授权的委托代理人及项目部主要组成人员（项目负责人、技术负责人（如有）、专职安全员）均为本单位的正式职工，必须具有离投标截止时间最近</w:t>
      </w:r>
      <w:r>
        <w:rPr>
          <w:rFonts w:hint="eastAsia" w:ascii="宋体" w:hAnsi="宋体" w:cs="宋体"/>
          <w:kern w:val="0"/>
          <w:sz w:val="24"/>
          <w:szCs w:val="24"/>
          <w:u w:val="single"/>
        </w:rPr>
        <w:t>1个</w:t>
      </w:r>
      <w:r>
        <w:rPr>
          <w:rFonts w:hint="eastAsia" w:ascii="宋体" w:hAnsi="宋体" w:cs="宋体"/>
          <w:kern w:val="0"/>
          <w:sz w:val="24"/>
          <w:szCs w:val="24"/>
        </w:rPr>
        <w:t>月（时间为2023年9月）在本单位交纳的社保证明文件（以加盖社会保险基金管理中心印章的《投保单》或《社会保险参保人员证明》资料为准）。</w:t>
      </w:r>
    </w:p>
    <w:p>
      <w:pPr>
        <w:widowControl/>
        <w:spacing w:line="440" w:lineRule="exact"/>
        <w:rPr>
          <w:rFonts w:hint="eastAsia" w:ascii="宋体" w:hAnsi="宋体" w:cs="宋体"/>
          <w:sz w:val="24"/>
          <w:szCs w:val="24"/>
        </w:rPr>
      </w:pPr>
      <w:r>
        <w:rPr>
          <w:rFonts w:hint="eastAsia" w:ascii="宋体" w:hAnsi="宋体" w:cs="宋体"/>
          <w:kern w:val="0"/>
          <w:sz w:val="24"/>
          <w:szCs w:val="24"/>
        </w:rPr>
        <w:t>3.8关于联合体投标：</w:t>
      </w:r>
      <w:r>
        <w:rPr>
          <w:rFonts w:hint="eastAsia" w:ascii="宋体" w:hAnsi="宋体" w:cs="宋体"/>
          <w:sz w:val="24"/>
          <w:szCs w:val="24"/>
        </w:rPr>
        <w:t>本次招标接受联合体投标。</w:t>
      </w:r>
    </w:p>
    <w:p>
      <w:pPr>
        <w:widowControl/>
        <w:spacing w:line="360" w:lineRule="auto"/>
        <w:ind w:firstLine="426"/>
        <w:jc w:val="left"/>
        <w:rPr>
          <w:rFonts w:hint="eastAsia" w:ascii="宋体" w:hAnsi="宋体" w:cs="宋体"/>
          <w:sz w:val="24"/>
          <w:szCs w:val="24"/>
        </w:rPr>
      </w:pPr>
      <w:r>
        <w:rPr>
          <w:rFonts w:hint="eastAsia" w:ascii="宋体" w:hAnsi="宋体" w:cs="宋体"/>
          <w:sz w:val="24"/>
          <w:szCs w:val="24"/>
        </w:rPr>
        <w:t>如投标人组成联合体，应明确联合体成员主办方，并签定联合体工作协议。投标人拟任本工程项目负责人应为主办方正式员工。联合体工作协议应明确约定各方拟承担的工作和责任。</w:t>
      </w:r>
    </w:p>
    <w:p>
      <w:pPr>
        <w:widowControl/>
        <w:spacing w:line="360" w:lineRule="auto"/>
        <w:ind w:firstLine="426"/>
        <w:jc w:val="left"/>
        <w:rPr>
          <w:rFonts w:hint="eastAsia" w:ascii="宋体" w:hAnsi="宋体" w:cs="宋体"/>
          <w:sz w:val="24"/>
          <w:szCs w:val="24"/>
        </w:rPr>
      </w:pPr>
      <w:r>
        <w:rPr>
          <w:rFonts w:hint="eastAsia" w:ascii="宋体" w:hAnsi="宋体" w:cs="宋体"/>
          <w:sz w:val="24"/>
          <w:szCs w:val="24"/>
        </w:rPr>
        <w:t>（1）组成联合体承接按资质标准划分为同一类工程的投标人，资质等级按类别就低计算，其人员、资金、机械设备等资源性指标可合并计算。</w:t>
      </w:r>
    </w:p>
    <w:p>
      <w:pPr>
        <w:widowControl/>
        <w:spacing w:line="360" w:lineRule="auto"/>
        <w:ind w:firstLine="426"/>
        <w:jc w:val="left"/>
        <w:rPr>
          <w:rFonts w:hint="eastAsia" w:ascii="宋体" w:hAnsi="宋体" w:cs="宋体"/>
          <w:sz w:val="24"/>
          <w:szCs w:val="24"/>
        </w:rPr>
      </w:pPr>
      <w:r>
        <w:rPr>
          <w:rFonts w:hint="eastAsia" w:ascii="宋体" w:hAnsi="宋体" w:cs="宋体"/>
          <w:sz w:val="24"/>
          <w:szCs w:val="24"/>
        </w:rPr>
        <w:t>（2）组成联合体承接按资质标准划分为多类工程的投标人，应在联合体协议中明确承接每一类工程的成员单位。</w:t>
      </w:r>
    </w:p>
    <w:p>
      <w:pPr>
        <w:widowControl/>
        <w:spacing w:line="440" w:lineRule="exact"/>
        <w:ind w:firstLine="480" w:firstLineChars="200"/>
        <w:rPr>
          <w:rFonts w:hint="eastAsia" w:ascii="宋体" w:hAnsi="宋体" w:cs="宋体"/>
          <w:sz w:val="24"/>
          <w:szCs w:val="24"/>
        </w:rPr>
      </w:pPr>
      <w:r>
        <w:rPr>
          <w:rFonts w:hint="eastAsia" w:ascii="宋体" w:hAnsi="宋体" w:cs="宋体"/>
          <w:sz w:val="24"/>
          <w:szCs w:val="24"/>
        </w:rPr>
        <w:t>（3）联合体组成单位数量不得超过2家。在投标过程中联合体不允许发生联合体成员变更的情形，否则其投标资格将被取消。</w:t>
      </w:r>
    </w:p>
    <w:p>
      <w:pPr>
        <w:widowControl/>
        <w:spacing w:line="440" w:lineRule="exact"/>
        <w:rPr>
          <w:rFonts w:hint="eastAsia" w:ascii="宋体" w:hAnsi="宋体" w:cs="宋体"/>
          <w:kern w:val="0"/>
          <w:sz w:val="24"/>
          <w:szCs w:val="24"/>
        </w:rPr>
      </w:pPr>
      <w:r>
        <w:rPr>
          <w:rFonts w:hint="eastAsia" w:ascii="宋体" w:hAnsi="宋体" w:cs="宋体"/>
          <w:kern w:val="0"/>
          <w:sz w:val="24"/>
          <w:szCs w:val="24"/>
        </w:rPr>
        <w:t>3.9落实失信联合惩戒措施</w:t>
      </w:r>
    </w:p>
    <w:p>
      <w:pPr>
        <w:widowControl/>
        <w:spacing w:line="440" w:lineRule="exact"/>
        <w:ind w:firstLine="480" w:firstLineChars="200"/>
        <w:rPr>
          <w:rFonts w:hint="eastAsia" w:ascii="宋体" w:hAnsi="宋体"/>
          <w:sz w:val="24"/>
          <w:szCs w:val="24"/>
        </w:rPr>
      </w:pPr>
      <w:r>
        <w:rPr>
          <w:rFonts w:hint="eastAsia" w:ascii="宋体" w:hAnsi="宋体" w:cs="宋体"/>
          <w:kern w:val="0"/>
          <w:sz w:val="24"/>
          <w:szCs w:val="24"/>
        </w:rPr>
        <w:t>未被纳入国家、省、市、区的失信联合惩戒名单且未被限制参加建设工程投标的（具体名单以递交投标文件截止时间“信用广州”https://credit1.gz.gov.cn/sgs/sgsXkNew公布的“失信黑名单”为准。</w:t>
      </w:r>
    </w:p>
    <w:p>
      <w:pPr>
        <w:pStyle w:val="3"/>
        <w:spacing w:before="100" w:after="100" w:line="440" w:lineRule="exact"/>
      </w:pPr>
      <w:bookmarkStart w:id="3" w:name="_Toc21787629"/>
      <w:r>
        <w:rPr>
          <w:rFonts w:hint="eastAsia"/>
        </w:rPr>
        <w:t>招标公告和</w:t>
      </w:r>
      <w:r>
        <w:t>招标文件的获取</w:t>
      </w:r>
      <w:bookmarkEnd w:id="3"/>
    </w:p>
    <w:p>
      <w:pPr>
        <w:widowControl/>
        <w:numPr>
          <w:ilvl w:val="1"/>
          <w:numId w:val="1"/>
        </w:numPr>
        <w:shd w:val="clear" w:color="auto" w:fill="FFFFFF"/>
        <w:snapToGrid w:val="0"/>
        <w:spacing w:line="440" w:lineRule="exact"/>
        <w:rPr>
          <w:rFonts w:ascii="宋体" w:hAnsi="宋体"/>
          <w:bCs/>
          <w:sz w:val="24"/>
        </w:rPr>
      </w:pPr>
      <w:r>
        <w:rPr>
          <w:rFonts w:hint="eastAsia" w:ascii="宋体" w:hAnsi="宋体"/>
          <w:bCs/>
          <w:sz w:val="24"/>
        </w:rPr>
        <w:t>招标公告发布时间</w:t>
      </w:r>
    </w:p>
    <w:p>
      <w:pPr>
        <w:widowControl/>
        <w:shd w:val="clear" w:color="auto" w:fill="FFFFFF"/>
        <w:snapToGrid w:val="0"/>
        <w:spacing w:line="440" w:lineRule="exact"/>
        <w:ind w:firstLine="480" w:firstLineChars="200"/>
        <w:rPr>
          <w:rFonts w:ascii="宋体" w:hAnsi="宋体"/>
          <w:sz w:val="24"/>
          <w:szCs w:val="24"/>
        </w:rPr>
      </w:pPr>
      <w:r>
        <w:rPr>
          <w:rFonts w:hint="eastAsia" w:ascii="宋体" w:hAnsi="宋体"/>
          <w:bCs/>
          <w:sz w:val="24"/>
        </w:rPr>
        <w:t>从</w:t>
      </w:r>
      <w:r>
        <w:rPr>
          <w:rFonts w:hint="eastAsia" w:ascii="宋体" w:hAnsi="宋体"/>
          <w:bCs/>
          <w:sz w:val="24"/>
          <w:u w:val="single"/>
        </w:rPr>
        <w:t>2023</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日至</w:t>
      </w:r>
      <w:r>
        <w:rPr>
          <w:rFonts w:hint="eastAsia" w:ascii="宋体" w:hAnsi="宋体"/>
          <w:bCs/>
          <w:sz w:val="24"/>
          <w:u w:val="single"/>
        </w:rPr>
        <w:t>2023</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w:t>
      </w:r>
      <w:r>
        <w:rPr>
          <w:rFonts w:hint="eastAsia" w:ascii="宋体" w:hAnsi="宋体"/>
          <w:bCs/>
          <w:sz w:val="24"/>
          <w:u w:val="single"/>
        </w:rPr>
        <w:t xml:space="preserve">  </w:t>
      </w:r>
      <w:r>
        <w:rPr>
          <w:rFonts w:hint="eastAsia" w:ascii="宋体" w:hAnsi="宋体"/>
          <w:bCs/>
          <w:sz w:val="24"/>
        </w:rPr>
        <w:t>时</w:t>
      </w:r>
      <w:r>
        <w:rPr>
          <w:rFonts w:hint="eastAsia" w:ascii="宋体" w:hAnsi="宋体"/>
          <w:bCs/>
          <w:sz w:val="24"/>
          <w:u w:val="single"/>
        </w:rPr>
        <w:t xml:space="preserve">   </w:t>
      </w:r>
      <w:r>
        <w:rPr>
          <w:rFonts w:hint="eastAsia" w:ascii="宋体" w:hAnsi="宋体"/>
          <w:bCs/>
          <w:sz w:val="24"/>
        </w:rPr>
        <w:t>分（注：发布招标公告的时间为招标公告发出之日起至投标截止时间止）。</w:t>
      </w:r>
    </w:p>
    <w:p>
      <w:pPr>
        <w:widowControl/>
        <w:numPr>
          <w:ilvl w:val="1"/>
          <w:numId w:val="1"/>
        </w:numPr>
        <w:shd w:val="clear" w:color="auto" w:fill="FFFFFF"/>
        <w:snapToGrid w:val="0"/>
        <w:spacing w:line="440" w:lineRule="exact"/>
        <w:rPr>
          <w:rFonts w:ascii="宋体" w:hAnsi="宋体"/>
          <w:bCs/>
          <w:sz w:val="24"/>
        </w:rPr>
      </w:pPr>
      <w:r>
        <w:rPr>
          <w:rFonts w:hint="eastAsia" w:ascii="宋体" w:hAnsi="宋体"/>
          <w:bCs/>
          <w:sz w:val="24"/>
        </w:rPr>
        <w:t>招标文件获取方式</w:t>
      </w:r>
    </w:p>
    <w:p>
      <w:pPr>
        <w:widowControl/>
        <w:shd w:val="clear" w:color="auto" w:fill="FFFFFF"/>
        <w:snapToGrid w:val="0"/>
        <w:spacing w:line="440" w:lineRule="exact"/>
        <w:ind w:firstLine="480" w:firstLineChars="200"/>
        <w:rPr>
          <w:rFonts w:ascii="宋体" w:hAnsi="宋体" w:cs="宋体"/>
          <w:kern w:val="0"/>
          <w:sz w:val="24"/>
          <w:szCs w:val="24"/>
        </w:rPr>
      </w:pPr>
      <w:r>
        <w:rPr>
          <w:rFonts w:hint="eastAsia" w:ascii="宋体" w:hAnsi="宋体" w:cs="宋体"/>
          <w:kern w:val="0"/>
          <w:sz w:val="24"/>
          <w:szCs w:val="24"/>
        </w:rPr>
        <w:t>本项目招标文件随招标公告一并在</w:t>
      </w:r>
      <w:r>
        <w:rPr>
          <w:rFonts w:hint="eastAsia" w:ascii="宋体" w:hAnsi="宋体"/>
          <w:sz w:val="24"/>
          <w:szCs w:val="24"/>
        </w:rPr>
        <w:t>广州公共资源交易</w:t>
      </w:r>
      <w:r>
        <w:rPr>
          <w:rFonts w:hint="eastAsia" w:ascii="宋体" w:hAnsi="宋体"/>
          <w:sz w:val="24"/>
        </w:rPr>
        <w:t>网发布</w:t>
      </w:r>
      <w:r>
        <w:rPr>
          <w:rFonts w:hint="eastAsia" w:ascii="黑体" w:hAnsi="黑体" w:eastAsia="黑体" w:cs="宋体"/>
          <w:kern w:val="0"/>
          <w:sz w:val="28"/>
          <w:szCs w:val="28"/>
        </w:rPr>
        <w:t>，</w:t>
      </w:r>
      <w:r>
        <w:rPr>
          <w:rFonts w:hint="eastAsia" w:ascii="宋体" w:hAnsi="宋体"/>
          <w:sz w:val="24"/>
          <w:szCs w:val="24"/>
        </w:rPr>
        <w:t>由投标</w:t>
      </w:r>
      <w:r>
        <w:rPr>
          <w:rFonts w:hint="eastAsia" w:ascii="宋体" w:hAnsi="宋体" w:cs="宋体"/>
          <w:kern w:val="0"/>
          <w:sz w:val="24"/>
          <w:szCs w:val="24"/>
        </w:rPr>
        <w:t>人自行下载。</w:t>
      </w:r>
    </w:p>
    <w:p>
      <w:pPr>
        <w:widowControl/>
        <w:numPr>
          <w:ilvl w:val="1"/>
          <w:numId w:val="1"/>
        </w:numPr>
        <w:shd w:val="clear" w:color="auto" w:fill="FFFFFF"/>
        <w:snapToGrid w:val="0"/>
        <w:spacing w:line="440" w:lineRule="exact"/>
        <w:rPr>
          <w:rFonts w:ascii="宋体" w:hAnsi="宋体"/>
          <w:bCs/>
          <w:sz w:val="24"/>
        </w:rPr>
      </w:pPr>
      <w:r>
        <w:rPr>
          <w:rFonts w:hint="eastAsia" w:ascii="宋体" w:hAnsi="宋体"/>
          <w:bCs/>
          <w:sz w:val="24"/>
        </w:rPr>
        <w:t>招标公告网上发布时，同时发布招标文件、施工图纸、招标控制价。</w:t>
      </w:r>
    </w:p>
    <w:p>
      <w:pPr>
        <w:widowControl/>
        <w:numPr>
          <w:ilvl w:val="1"/>
          <w:numId w:val="1"/>
        </w:numPr>
        <w:shd w:val="clear" w:color="auto" w:fill="FFFFFF"/>
        <w:snapToGrid w:val="0"/>
        <w:spacing w:line="440" w:lineRule="exact"/>
        <w:rPr>
          <w:rFonts w:ascii="宋体" w:hAnsi="宋体"/>
          <w:bCs/>
          <w:sz w:val="24"/>
        </w:rPr>
      </w:pPr>
      <w:r>
        <w:rPr>
          <w:rFonts w:hint="eastAsia" w:ascii="宋体" w:hAnsi="宋体"/>
          <w:bCs/>
          <w:sz w:val="24"/>
        </w:rPr>
        <w:t>招标公告、招标文件发布媒体</w:t>
      </w:r>
    </w:p>
    <w:p>
      <w:pPr>
        <w:widowControl/>
        <w:shd w:val="clear" w:color="auto" w:fill="FFFFFF"/>
        <w:snapToGrid w:val="0"/>
        <w:spacing w:line="440" w:lineRule="exact"/>
        <w:ind w:firstLine="480" w:firstLineChars="200"/>
        <w:rPr>
          <w:rFonts w:ascii="宋体" w:hAnsi="宋体"/>
          <w:bCs/>
          <w:sz w:val="24"/>
        </w:rPr>
      </w:pPr>
      <w:r>
        <w:rPr>
          <w:rFonts w:hint="eastAsia" w:ascii="宋体" w:hAnsi="宋体"/>
          <w:bCs/>
          <w:sz w:val="24"/>
        </w:rPr>
        <w:t>本公告在广州公共资源交易网（网址：http://www.gzggzy.cn/）、广东省招标投标监管网（网址：</w:t>
      </w:r>
      <w:r>
        <w:rPr>
          <w:rFonts w:ascii="宋体" w:hAnsi="宋体"/>
          <w:bCs/>
          <w:sz w:val="24"/>
        </w:rPr>
        <w:t xml:space="preserve"> http://zbtb.gd.gov.cn/login</w:t>
      </w:r>
      <w:r>
        <w:rPr>
          <w:rFonts w:hint="eastAsia" w:ascii="宋体" w:hAnsi="宋体"/>
          <w:bCs/>
          <w:sz w:val="24"/>
        </w:rPr>
        <w:t>）和中国招标投标公共服务平台（网址：http://www.cebpubservice.com/）发布，本公告的修改、补充，在广州公共资源交易网发布。</w:t>
      </w:r>
    </w:p>
    <w:p>
      <w:pPr>
        <w:pStyle w:val="3"/>
        <w:spacing w:before="100" w:after="100" w:line="440" w:lineRule="exact"/>
      </w:pPr>
      <w:bookmarkStart w:id="4" w:name="_Toc21787630"/>
      <w:r>
        <w:t>投标文件的递交</w:t>
      </w:r>
      <w:bookmarkEnd w:id="4"/>
    </w:p>
    <w:p>
      <w:pPr>
        <w:numPr>
          <w:ilvl w:val="0"/>
          <w:numId w:val="3"/>
        </w:numPr>
        <w:spacing w:line="440" w:lineRule="exact"/>
        <w:ind w:left="422" w:hanging="422" w:hangingChars="176"/>
        <w:jc w:val="left"/>
        <w:rPr>
          <w:rFonts w:ascii="宋体" w:hAnsi="宋体"/>
          <w:sz w:val="24"/>
          <w:szCs w:val="24"/>
        </w:rPr>
      </w:pPr>
      <w:r>
        <w:rPr>
          <w:rFonts w:hint="eastAsia" w:ascii="宋体" w:hAnsi="宋体"/>
          <w:sz w:val="24"/>
          <w:szCs w:val="24"/>
        </w:rPr>
        <w:t>投标文件递交的截止时间（投标截止时间，下同）为</w:t>
      </w:r>
      <w:r>
        <w:rPr>
          <w:rFonts w:hint="eastAsia" w:ascii="宋体" w:hAnsi="宋体"/>
          <w:bCs/>
          <w:sz w:val="24"/>
          <w:u w:val="single"/>
        </w:rPr>
        <w:t>2023</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w:t>
      </w:r>
      <w:r>
        <w:rPr>
          <w:rFonts w:hint="eastAsia" w:ascii="宋体" w:hAnsi="宋体"/>
          <w:bCs/>
          <w:sz w:val="24"/>
          <w:u w:val="single"/>
        </w:rPr>
        <w:t xml:space="preserve"> </w:t>
      </w:r>
      <w:r>
        <w:rPr>
          <w:rFonts w:hint="eastAsia" w:ascii="宋体" w:hAnsi="宋体"/>
          <w:bCs/>
          <w:sz w:val="24"/>
        </w:rPr>
        <w:t>时</w:t>
      </w:r>
      <w:r>
        <w:rPr>
          <w:rFonts w:hint="eastAsia" w:ascii="宋体" w:hAnsi="宋体"/>
          <w:bCs/>
          <w:sz w:val="24"/>
          <w:u w:val="single"/>
        </w:rPr>
        <w:t xml:space="preserve"> </w:t>
      </w:r>
      <w:r>
        <w:rPr>
          <w:rFonts w:hint="eastAsia" w:ascii="宋体" w:hAnsi="宋体"/>
          <w:bCs/>
          <w:sz w:val="24"/>
        </w:rPr>
        <w:t>分</w:t>
      </w:r>
    </w:p>
    <w:p>
      <w:pPr>
        <w:spacing w:line="440" w:lineRule="exact"/>
        <w:rPr>
          <w:rFonts w:ascii="宋体" w:hAnsi="宋体"/>
          <w:sz w:val="24"/>
          <w:szCs w:val="24"/>
        </w:rPr>
      </w:pPr>
      <w:r>
        <w:rPr>
          <w:rFonts w:hint="eastAsia" w:ascii="宋体" w:hAnsi="宋体"/>
          <w:sz w:val="24"/>
          <w:szCs w:val="24"/>
        </w:rPr>
        <w:t>投标人投标文件解密时间为投标截止时间后</w:t>
      </w:r>
      <w:r>
        <w:rPr>
          <w:rFonts w:hint="eastAsia" w:ascii="宋体" w:hAnsi="宋体"/>
          <w:sz w:val="24"/>
          <w:szCs w:val="24"/>
          <w:u w:val="single"/>
        </w:rPr>
        <w:t xml:space="preserve"> 0.5 </w:t>
      </w:r>
      <w:r>
        <w:rPr>
          <w:rFonts w:hint="eastAsia" w:ascii="宋体" w:hAnsi="宋体"/>
          <w:sz w:val="24"/>
          <w:szCs w:val="24"/>
        </w:rPr>
        <w:t>小时，即：</w:t>
      </w:r>
    </w:p>
    <w:p>
      <w:pPr>
        <w:spacing w:line="440" w:lineRule="exact"/>
        <w:ind w:firstLine="480" w:firstLineChars="200"/>
        <w:rPr>
          <w:rFonts w:ascii="宋体" w:hAnsi="宋体"/>
          <w:sz w:val="24"/>
          <w:szCs w:val="24"/>
        </w:rPr>
      </w:pPr>
      <w:r>
        <w:rPr>
          <w:rFonts w:hint="eastAsia" w:ascii="宋体" w:hAnsi="宋体"/>
          <w:bCs/>
          <w:sz w:val="24"/>
          <w:u w:val="single"/>
        </w:rPr>
        <w:t>2023</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w:t>
      </w:r>
      <w:r>
        <w:rPr>
          <w:rFonts w:hint="eastAsia" w:ascii="宋体" w:hAnsi="宋体"/>
          <w:bCs/>
          <w:sz w:val="24"/>
          <w:u w:val="single"/>
        </w:rPr>
        <w:t xml:space="preserve">  </w:t>
      </w:r>
      <w:r>
        <w:rPr>
          <w:rFonts w:hint="eastAsia" w:ascii="宋体" w:hAnsi="宋体"/>
          <w:bCs/>
          <w:sz w:val="24"/>
        </w:rPr>
        <w:t>时</w:t>
      </w:r>
      <w:r>
        <w:rPr>
          <w:rFonts w:hint="eastAsia" w:ascii="宋体" w:hAnsi="宋体"/>
          <w:bCs/>
          <w:sz w:val="24"/>
          <w:u w:val="single"/>
        </w:rPr>
        <w:t xml:space="preserve">  </w:t>
      </w:r>
      <w:r>
        <w:rPr>
          <w:rFonts w:hint="eastAsia" w:ascii="宋体" w:hAnsi="宋体"/>
          <w:bCs/>
          <w:sz w:val="24"/>
        </w:rPr>
        <w:t>分</w:t>
      </w:r>
      <w:r>
        <w:rPr>
          <w:rFonts w:ascii="宋体" w:hAnsi="宋体"/>
          <w:sz w:val="24"/>
          <w:szCs w:val="24"/>
        </w:rPr>
        <w:t>至</w:t>
      </w:r>
      <w:r>
        <w:rPr>
          <w:rFonts w:hint="eastAsia" w:ascii="宋体" w:hAnsi="宋体"/>
          <w:bCs/>
          <w:sz w:val="24"/>
          <w:u w:val="single"/>
        </w:rPr>
        <w:t>2023</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w:t>
      </w:r>
      <w:r>
        <w:rPr>
          <w:rFonts w:hint="eastAsia" w:ascii="宋体" w:hAnsi="宋体"/>
          <w:bCs/>
          <w:sz w:val="24"/>
          <w:u w:val="single"/>
        </w:rPr>
        <w:t xml:space="preserve">  </w:t>
      </w:r>
      <w:r>
        <w:rPr>
          <w:rFonts w:hint="eastAsia" w:ascii="宋体" w:hAnsi="宋体"/>
          <w:bCs/>
          <w:sz w:val="24"/>
        </w:rPr>
        <w:t>时</w:t>
      </w:r>
      <w:r>
        <w:rPr>
          <w:rFonts w:hint="eastAsia" w:ascii="宋体" w:hAnsi="宋体"/>
          <w:bCs/>
          <w:sz w:val="24"/>
          <w:u w:val="single"/>
        </w:rPr>
        <w:t xml:space="preserve"> </w:t>
      </w:r>
      <w:r>
        <w:rPr>
          <w:rFonts w:hint="eastAsia" w:ascii="宋体" w:hAnsi="宋体"/>
          <w:bCs/>
          <w:sz w:val="24"/>
        </w:rPr>
        <w:t>分</w:t>
      </w:r>
    </w:p>
    <w:p>
      <w:pPr>
        <w:numPr>
          <w:ilvl w:val="0"/>
          <w:numId w:val="3"/>
        </w:numPr>
        <w:spacing w:line="440" w:lineRule="exact"/>
        <w:ind w:hanging="846"/>
        <w:rPr>
          <w:rFonts w:ascii="宋体" w:hAnsi="宋体"/>
          <w:sz w:val="24"/>
          <w:szCs w:val="24"/>
        </w:rPr>
      </w:pPr>
      <w:r>
        <w:rPr>
          <w:rFonts w:hint="eastAsia" w:ascii="宋体" w:hAnsi="宋体"/>
          <w:sz w:val="24"/>
          <w:szCs w:val="24"/>
        </w:rPr>
        <w:t>开标时间：</w:t>
      </w:r>
      <w:r>
        <w:rPr>
          <w:rFonts w:hint="eastAsia" w:ascii="宋体" w:hAnsi="宋体"/>
          <w:bCs/>
          <w:sz w:val="24"/>
          <w:u w:val="single"/>
        </w:rPr>
        <w:t>2023</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w:t>
      </w:r>
      <w:r>
        <w:rPr>
          <w:rFonts w:hint="eastAsia" w:ascii="宋体" w:hAnsi="宋体"/>
          <w:bCs/>
          <w:sz w:val="24"/>
          <w:u w:val="single"/>
        </w:rPr>
        <w:t xml:space="preserve">  </w:t>
      </w:r>
      <w:r>
        <w:rPr>
          <w:rFonts w:hint="eastAsia" w:ascii="宋体" w:hAnsi="宋体"/>
          <w:bCs/>
          <w:sz w:val="24"/>
        </w:rPr>
        <w:t>时</w:t>
      </w:r>
      <w:r>
        <w:rPr>
          <w:rFonts w:hint="eastAsia" w:ascii="宋体" w:hAnsi="宋体"/>
          <w:bCs/>
          <w:sz w:val="24"/>
          <w:u w:val="single"/>
        </w:rPr>
        <w:t xml:space="preserve">  </w:t>
      </w:r>
      <w:r>
        <w:rPr>
          <w:rFonts w:hint="eastAsia" w:ascii="宋体" w:hAnsi="宋体"/>
          <w:bCs/>
          <w:sz w:val="24"/>
        </w:rPr>
        <w:t>分</w:t>
      </w:r>
      <w:r>
        <w:rPr>
          <w:rFonts w:hint="eastAsia" w:ascii="宋体" w:hAnsi="宋体"/>
          <w:sz w:val="24"/>
          <w:szCs w:val="24"/>
        </w:rPr>
        <w:t xml:space="preserve">。    </w:t>
      </w:r>
    </w:p>
    <w:p>
      <w:pPr>
        <w:numPr>
          <w:ilvl w:val="0"/>
          <w:numId w:val="3"/>
        </w:numPr>
        <w:spacing w:line="440" w:lineRule="exact"/>
        <w:ind w:hanging="846"/>
        <w:rPr>
          <w:rFonts w:ascii="宋体" w:hAnsi="宋体"/>
          <w:sz w:val="24"/>
          <w:szCs w:val="24"/>
        </w:rPr>
      </w:pPr>
      <w:r>
        <w:rPr>
          <w:rFonts w:hint="eastAsia" w:ascii="宋体" w:hAnsi="宋体"/>
          <w:sz w:val="24"/>
          <w:szCs w:val="24"/>
        </w:rPr>
        <w:t>投标截止时间与开标时间是否有变化，请密切留意招标答疑中的相关信息。递交投标文件截止时间后，开标时间因故推迟的，相关评标信息仍以原递交投标文件截止时间的信息为准。</w:t>
      </w:r>
    </w:p>
    <w:p>
      <w:pPr>
        <w:numPr>
          <w:ilvl w:val="0"/>
          <w:numId w:val="3"/>
        </w:numPr>
        <w:spacing w:line="440" w:lineRule="exact"/>
        <w:ind w:left="426" w:hanging="426"/>
        <w:jc w:val="left"/>
        <w:rPr>
          <w:rFonts w:ascii="宋体" w:hAnsi="宋体"/>
          <w:sz w:val="24"/>
          <w:szCs w:val="24"/>
        </w:rPr>
      </w:pPr>
      <w:r>
        <w:rPr>
          <w:rFonts w:hint="eastAsia" w:ascii="宋体" w:hAnsi="宋体"/>
          <w:sz w:val="24"/>
          <w:szCs w:val="24"/>
        </w:rPr>
        <w:t>投标人通过</w:t>
      </w:r>
      <w:r>
        <w:rPr>
          <w:rFonts w:hint="eastAsia" w:ascii="宋体" w:hAnsi="宋体"/>
          <w:sz w:val="24"/>
          <w:szCs w:val="24"/>
          <w:u w:val="single"/>
        </w:rPr>
        <w:t>广州公共资源</w:t>
      </w:r>
      <w:r>
        <w:rPr>
          <w:rFonts w:hint="eastAsia" w:ascii="宋体" w:hAnsi="宋体"/>
          <w:sz w:val="24"/>
          <w:szCs w:val="24"/>
        </w:rPr>
        <w:t>交易平台递交电子投标文件。投标人应在递交投标文件截止时间前，登录</w:t>
      </w:r>
      <w:r>
        <w:rPr>
          <w:rFonts w:hint="eastAsia" w:ascii="宋体" w:hAnsi="宋体"/>
          <w:sz w:val="24"/>
          <w:szCs w:val="24"/>
          <w:u w:val="single"/>
        </w:rPr>
        <w:t>广州公共资源</w:t>
      </w:r>
      <w:r>
        <w:rPr>
          <w:rFonts w:hint="eastAsia" w:ascii="宋体" w:hAnsi="宋体"/>
          <w:sz w:val="24"/>
          <w:szCs w:val="24"/>
        </w:rPr>
        <w:t>交易平台网站办理网上投标登记手续；完成所有投标文件的上传，并取得回执码，</w:t>
      </w:r>
      <w:r>
        <w:rPr>
          <w:rFonts w:ascii="宋体" w:hAnsi="宋体"/>
          <w:sz w:val="24"/>
          <w:szCs w:val="24"/>
        </w:rPr>
        <w:t>投标截止时间前未完成投标文件传输的，视为未递交投标文件</w:t>
      </w:r>
      <w:r>
        <w:rPr>
          <w:rFonts w:hint="eastAsia" w:ascii="宋体" w:hAnsi="宋体"/>
          <w:sz w:val="24"/>
          <w:szCs w:val="24"/>
        </w:rPr>
        <w:t>。</w:t>
      </w:r>
    </w:p>
    <w:p>
      <w:pPr>
        <w:numPr>
          <w:ilvl w:val="0"/>
          <w:numId w:val="3"/>
        </w:numPr>
        <w:spacing w:line="440" w:lineRule="exact"/>
        <w:ind w:left="426" w:hanging="426"/>
        <w:rPr>
          <w:rFonts w:ascii="宋体" w:hAnsi="宋体"/>
          <w:sz w:val="24"/>
          <w:szCs w:val="24"/>
        </w:rPr>
      </w:pPr>
      <w:r>
        <w:rPr>
          <w:rFonts w:hint="eastAsia" w:ascii="宋体" w:hAnsi="宋体"/>
          <w:sz w:val="24"/>
          <w:szCs w:val="24"/>
        </w:rPr>
        <w:t>投标人办理网上投标登记时，对拟派项目负责人是否被交易平台其他项目锁定进行检查，如果已经锁定，则无法完成投标登记。成功办理网上投标登记的，拟派项目负责人将被锁定。中标候选人公示结束后，未中标的投标人的拟派项目负责人即自动解锁。</w:t>
      </w:r>
    </w:p>
    <w:p>
      <w:pPr>
        <w:numPr>
          <w:ilvl w:val="0"/>
          <w:numId w:val="3"/>
        </w:numPr>
        <w:spacing w:line="440" w:lineRule="exact"/>
        <w:ind w:left="420"/>
        <w:rPr>
          <w:rFonts w:ascii="宋体" w:hAnsi="宋体"/>
          <w:sz w:val="24"/>
          <w:szCs w:val="24"/>
        </w:rPr>
      </w:pPr>
      <w:r>
        <w:rPr>
          <w:rFonts w:hint="eastAsia" w:ascii="宋体" w:hAnsi="宋体"/>
          <w:sz w:val="24"/>
          <w:szCs w:val="24"/>
        </w:rPr>
        <w:t>在投标文件递交截止时间之前，投标人可以撤回或替换已递交的投标文件；可以修改网上投标登记相关信息。</w:t>
      </w:r>
    </w:p>
    <w:p>
      <w:pPr>
        <w:pStyle w:val="3"/>
        <w:spacing w:before="100" w:after="100" w:line="440" w:lineRule="exact"/>
      </w:pPr>
      <w:bookmarkStart w:id="5" w:name="_Toc21787631"/>
      <w:r>
        <w:rPr>
          <w:rFonts w:hint="eastAsia"/>
        </w:rPr>
        <w:t>投标保证金</w:t>
      </w:r>
      <w:bookmarkEnd w:id="5"/>
    </w:p>
    <w:p>
      <w:pPr>
        <w:spacing w:line="440" w:lineRule="exact"/>
        <w:ind w:firstLine="480" w:firstLineChars="200"/>
        <w:rPr>
          <w:rFonts w:hint="eastAsia" w:ascii="宋体" w:hAnsi="宋体"/>
          <w:sz w:val="24"/>
          <w:szCs w:val="24"/>
        </w:rPr>
      </w:pPr>
      <w:bookmarkStart w:id="6" w:name="_Toc21787632"/>
      <w:r>
        <w:rPr>
          <w:rFonts w:hint="eastAsia" w:ascii="宋体" w:hAnsi="宋体"/>
          <w:sz w:val="24"/>
          <w:szCs w:val="24"/>
        </w:rPr>
        <w:t>本项目不收取投标保证金。</w:t>
      </w:r>
    </w:p>
    <w:p>
      <w:pPr>
        <w:pStyle w:val="3"/>
        <w:spacing w:before="100" w:after="100" w:line="440" w:lineRule="exact"/>
      </w:pPr>
      <w:r>
        <w:rPr>
          <w:rFonts w:hint="eastAsia"/>
        </w:rPr>
        <w:t>资格审查方式</w:t>
      </w:r>
      <w:bookmarkEnd w:id="6"/>
    </w:p>
    <w:p>
      <w:pPr>
        <w:numPr>
          <w:ilvl w:val="0"/>
          <w:numId w:val="4"/>
        </w:numPr>
        <w:spacing w:line="440" w:lineRule="exact"/>
        <w:ind w:left="420"/>
        <w:rPr>
          <w:rFonts w:ascii="宋体" w:hAnsi="宋体"/>
          <w:sz w:val="24"/>
          <w:szCs w:val="24"/>
        </w:rPr>
      </w:pPr>
      <w:r>
        <w:rPr>
          <w:rFonts w:hint="eastAsia" w:ascii="宋体" w:hAnsi="宋体"/>
          <w:sz w:val="24"/>
          <w:szCs w:val="24"/>
        </w:rPr>
        <w:t>本工程采用资格后审方式，由评标委员会负责资格审查。</w:t>
      </w:r>
    </w:p>
    <w:p>
      <w:pPr>
        <w:numPr>
          <w:ilvl w:val="0"/>
          <w:numId w:val="4"/>
        </w:numPr>
        <w:spacing w:line="440" w:lineRule="exact"/>
        <w:ind w:left="420"/>
        <w:rPr>
          <w:rFonts w:ascii="宋体" w:hAnsi="宋体"/>
          <w:sz w:val="24"/>
          <w:szCs w:val="24"/>
        </w:rPr>
      </w:pPr>
      <w:r>
        <w:rPr>
          <w:rFonts w:hint="eastAsia" w:ascii="宋体" w:hAnsi="宋体"/>
          <w:sz w:val="24"/>
          <w:szCs w:val="24"/>
        </w:rPr>
        <w:t>资格审查结果将在广州公共资源交易网和广东省招标投标监管网公示，公示时间不得少于3日。</w:t>
      </w:r>
    </w:p>
    <w:p>
      <w:pPr>
        <w:pStyle w:val="3"/>
        <w:spacing w:before="100" w:after="100" w:line="440" w:lineRule="exact"/>
      </w:pPr>
      <w:bookmarkStart w:id="7" w:name="_Toc21787633"/>
      <w:r>
        <w:rPr>
          <w:rFonts w:hint="eastAsia"/>
        </w:rPr>
        <w:t>企业信息登记</w:t>
      </w:r>
      <w:bookmarkEnd w:id="7"/>
    </w:p>
    <w:p>
      <w:pPr>
        <w:spacing w:line="440" w:lineRule="exact"/>
        <w:ind w:firstLine="480" w:firstLineChars="200"/>
      </w:pPr>
      <w:r>
        <w:rPr>
          <w:rFonts w:hint="eastAsia"/>
          <w:sz w:val="24"/>
        </w:rPr>
        <w:t>本次招标要求投标人办理网上投标登记前，须在</w:t>
      </w:r>
      <w:r>
        <w:rPr>
          <w:rFonts w:hint="eastAsia" w:ascii="宋体" w:hAnsi="宋体"/>
          <w:sz w:val="24"/>
          <w:szCs w:val="24"/>
          <w:u w:val="single"/>
        </w:rPr>
        <w:t>广州公共资源</w:t>
      </w:r>
      <w:r>
        <w:rPr>
          <w:rFonts w:hint="eastAsia"/>
          <w:sz w:val="24"/>
        </w:rPr>
        <w:t>交易平台完成企业信息登记，及拟担任本工程项目负责人、专职安全员须是本企业信息登记中的在册人员。</w:t>
      </w:r>
      <w:r>
        <w:rPr>
          <w:rFonts w:hint="eastAsia" w:ascii="宋体" w:hAnsi="宋体" w:cs="宋体"/>
          <w:kern w:val="0"/>
          <w:sz w:val="24"/>
          <w:szCs w:val="24"/>
        </w:rPr>
        <w:t>企业信息登记应按照</w:t>
      </w:r>
      <w:r>
        <w:rPr>
          <w:rFonts w:hint="eastAsia" w:ascii="宋体" w:hAnsi="宋体"/>
          <w:sz w:val="24"/>
          <w:szCs w:val="24"/>
          <w:u w:val="single"/>
        </w:rPr>
        <w:t>广州公共资源</w:t>
      </w:r>
      <w:r>
        <w:rPr>
          <w:rFonts w:hint="eastAsia" w:ascii="宋体" w:hAnsi="宋体" w:cs="宋体"/>
          <w:kern w:val="0"/>
          <w:sz w:val="24"/>
          <w:szCs w:val="24"/>
        </w:rPr>
        <w:t>交易平台关于企业信息登记的相关指南进行操作。详见：</w:t>
      </w:r>
      <w:r>
        <w:rPr>
          <w:rFonts w:hint="eastAsia" w:ascii="宋体" w:hAnsi="宋体" w:cs="宋体"/>
          <w:sz w:val="24"/>
          <w:szCs w:val="24"/>
          <w:u w:val="single"/>
        </w:rPr>
        <w:t xml:space="preserve">广州公共资源交易中心网站 </w:t>
      </w:r>
      <w:r>
        <w:rPr>
          <w:rFonts w:hint="eastAsia" w:ascii="宋体" w:hAnsi="宋体" w:cs="宋体"/>
          <w:sz w:val="24"/>
          <w:szCs w:val="24"/>
        </w:rPr>
        <w:t>。</w:t>
      </w:r>
    </w:p>
    <w:p>
      <w:pPr>
        <w:pStyle w:val="3"/>
        <w:spacing w:before="100" w:after="100" w:line="440" w:lineRule="exact"/>
      </w:pPr>
      <w:bookmarkStart w:id="8" w:name="_Toc21787634"/>
      <w:r>
        <w:rPr>
          <w:rFonts w:hint="eastAsia"/>
        </w:rPr>
        <w:t>诚信得分</w:t>
      </w:r>
      <w:bookmarkEnd w:id="8"/>
    </w:p>
    <w:p>
      <w:pPr>
        <w:pStyle w:val="3"/>
        <w:numPr>
          <w:ilvl w:val="0"/>
          <w:numId w:val="0"/>
        </w:numPr>
        <w:spacing w:before="100" w:after="100" w:line="440" w:lineRule="exact"/>
        <w:ind w:firstLine="480" w:firstLineChars="200"/>
        <w:rPr>
          <w:rFonts w:hint="eastAsia" w:ascii="宋体" w:hAnsi="宋体" w:eastAsia="宋体" w:cs="宋体"/>
          <w:b w:val="0"/>
          <w:bCs w:val="0"/>
          <w:kern w:val="0"/>
          <w:sz w:val="24"/>
          <w:szCs w:val="24"/>
          <w:u w:val="single"/>
        </w:rPr>
      </w:pPr>
      <w:bookmarkStart w:id="9" w:name="_Toc21787635"/>
      <w:r>
        <w:rPr>
          <w:rFonts w:hint="eastAsia" w:ascii="宋体" w:hAnsi="宋体" w:eastAsia="宋体" w:cs="宋体"/>
          <w:b w:val="0"/>
          <w:bCs w:val="0"/>
          <w:kern w:val="0"/>
          <w:sz w:val="24"/>
          <w:szCs w:val="24"/>
          <w:u w:val="single"/>
        </w:rPr>
        <w:t>投标人诚信评价分取自本项目招标公告发布第一天所在季度的上一季度广州市水务工程企业信息库及诚信中心网站（http://120.236.111.11:8001/#/website）中的“诚信排名&gt;&gt;施工—水利”中“诚信综合评价”分，未在“诚信管理系统”录入企业信息的施工企业（简称“未入库企业”），诚信评价总分的计算方法：即“未入库企业”的诚信评价总分=100（市场行为评价分）×20%+75（质量安全管理评价得分）×50%+75（履约评价得分）×30%=80分。两个水务建设市场主体组成联合体投标时，按联合体中诚信评价得分低的市场主体作为联合体的诚信评价得分。</w:t>
      </w:r>
    </w:p>
    <w:p>
      <w:pPr>
        <w:pStyle w:val="3"/>
        <w:spacing w:before="100" w:after="100" w:line="440" w:lineRule="exact"/>
      </w:pPr>
      <w:r>
        <w:rPr>
          <w:rFonts w:hint="eastAsia"/>
        </w:rPr>
        <w:t>疑问、异议、投诉处理</w:t>
      </w:r>
      <w:bookmarkEnd w:id="9"/>
    </w:p>
    <w:p>
      <w:pPr>
        <w:spacing w:line="440" w:lineRule="exact"/>
        <w:ind w:left="480" w:hanging="480" w:hangingChars="200"/>
        <w:rPr>
          <w:sz w:val="24"/>
        </w:rPr>
      </w:pPr>
      <w:r>
        <w:rPr>
          <w:rFonts w:hint="eastAsia"/>
          <w:sz w:val="24"/>
        </w:rPr>
        <w:t>10.1关于疑问、异议、投诉的基本概念和处理程序详见《广州市水务局关于明确市属水务工程招标投标活动中疑问、异议和投诉有关事项的通知》（穗水建设〔2017〕31号，以下简称《通知》）。《通知》可通过广州市水务局门户网站或广州公共资源交易中心网站获取。</w:t>
      </w:r>
    </w:p>
    <w:p>
      <w:pPr>
        <w:spacing w:line="440" w:lineRule="exact"/>
        <w:ind w:left="480" w:hanging="480" w:hangingChars="200"/>
        <w:rPr>
          <w:rFonts w:hint="eastAsia"/>
        </w:rPr>
      </w:pPr>
      <w:r>
        <w:rPr>
          <w:rFonts w:hint="eastAsia"/>
          <w:sz w:val="24"/>
        </w:rPr>
        <w:t>10.2潜在投标人或利害关系人对本招标告及招标文件、开标、评标结果有疑问或异议的，向招标人提出，由招标人受理。投诉由本招标项目的招标监督机构受理。</w:t>
      </w:r>
    </w:p>
    <w:p>
      <w:pPr>
        <w:spacing w:line="440" w:lineRule="exact"/>
        <w:ind w:firstLine="480" w:firstLineChars="200"/>
        <w:rPr>
          <w:rFonts w:hint="eastAsia"/>
          <w:sz w:val="24"/>
        </w:rPr>
      </w:pPr>
      <w:r>
        <w:rPr>
          <w:rFonts w:hint="eastAsia"/>
          <w:sz w:val="24"/>
        </w:rPr>
        <w:t>注：潜在投标人或利害关系人可以通过线下书面或线上的形式提出异议。选择线上异议方式的，其中对资格预审文件、招标文件和评标结果有异议的，通过广交易建设工程电子交易系统提出；对开标有异议的，通过广交易建设工程电子开标系统提出。具体操作详见“广州交易集团有限公司（广州公共资源交易中心）门户网站首页-&gt;服务指南-&gt;系统帮助-&gt;操作手册-&gt;发起及受理异议操作指引”</w:t>
      </w:r>
    </w:p>
    <w:p>
      <w:pPr>
        <w:pStyle w:val="3"/>
        <w:spacing w:before="100" w:after="100" w:line="440" w:lineRule="exact"/>
      </w:pPr>
      <w:bookmarkStart w:id="10" w:name="_Toc21787636"/>
      <w:r>
        <w:t>联系方式</w:t>
      </w:r>
      <w:bookmarkEnd w:id="10"/>
    </w:p>
    <w:p>
      <w:pPr>
        <w:spacing w:line="440" w:lineRule="exact"/>
        <w:ind w:firstLine="480" w:firstLineChars="200"/>
        <w:rPr>
          <w:rFonts w:hint="eastAsia" w:ascii="宋体"/>
          <w:sz w:val="24"/>
          <w:u w:val="single"/>
        </w:rPr>
      </w:pPr>
      <w:r>
        <w:rPr>
          <w:rFonts w:hint="eastAsia" w:ascii="宋体" w:hAnsi="宋体"/>
          <w:sz w:val="24"/>
        </w:rPr>
        <w:t>招标单位：广州市花都区水务建设管理中心</w:t>
      </w:r>
    </w:p>
    <w:p>
      <w:pPr>
        <w:topLinePunct/>
        <w:spacing w:line="400" w:lineRule="exact"/>
        <w:ind w:firstLine="480" w:firstLineChars="200"/>
        <w:rPr>
          <w:rFonts w:hint="eastAsia" w:ascii="宋体"/>
          <w:color w:val="0000FF"/>
          <w:sz w:val="24"/>
          <w:u w:val="single"/>
        </w:rPr>
      </w:pPr>
      <w:r>
        <w:rPr>
          <w:rFonts w:hint="eastAsia" w:ascii="宋体" w:hAnsi="宋体"/>
          <w:sz w:val="24"/>
        </w:rPr>
        <w:t xml:space="preserve">联系人：张工 </w:t>
      </w:r>
      <w:r>
        <w:rPr>
          <w:rFonts w:hint="eastAsia" w:ascii="宋体" w:hAnsi="宋体"/>
          <w:color w:val="0000FF"/>
          <w:sz w:val="24"/>
        </w:rPr>
        <w:t xml:space="preserve">       </w:t>
      </w:r>
      <w:r>
        <w:rPr>
          <w:rFonts w:hint="eastAsia" w:ascii="宋体" w:hAnsi="宋体"/>
          <w:sz w:val="24"/>
        </w:rPr>
        <w:t xml:space="preserve"> 联系电话：020-36810682  </w:t>
      </w:r>
      <w:r>
        <w:t xml:space="preserve">            </w:t>
      </w:r>
      <w:r>
        <w:rPr>
          <w:rFonts w:hint="eastAsia"/>
        </w:rPr>
        <w:t xml:space="preserve">   </w:t>
      </w:r>
      <w:r>
        <w:rPr>
          <w:rFonts w:hint="eastAsia" w:ascii="宋体" w:hAnsi="宋体"/>
          <w:sz w:val="24"/>
        </w:rPr>
        <w:t xml:space="preserve"> </w:t>
      </w:r>
    </w:p>
    <w:p>
      <w:pPr>
        <w:spacing w:line="440" w:lineRule="exact"/>
        <w:ind w:firstLine="480" w:firstLineChars="200"/>
        <w:rPr>
          <w:rFonts w:hint="eastAsia" w:ascii="宋体"/>
          <w:sz w:val="24"/>
          <w:u w:val="single"/>
        </w:rPr>
      </w:pPr>
      <w:r>
        <w:rPr>
          <w:rFonts w:hint="eastAsia" w:ascii="宋体" w:hAnsi="宋体"/>
          <w:sz w:val="24"/>
        </w:rPr>
        <w:t>招标代理机构：广州市南悦工程顾问有限公司</w:t>
      </w:r>
    </w:p>
    <w:p>
      <w:pPr>
        <w:spacing w:line="440" w:lineRule="exact"/>
        <w:ind w:firstLine="480" w:firstLineChars="200"/>
        <w:rPr>
          <w:rFonts w:hint="eastAsia" w:ascii="宋体"/>
          <w:sz w:val="24"/>
          <w:u w:val="single"/>
        </w:rPr>
      </w:pPr>
      <w:r>
        <w:rPr>
          <w:rFonts w:hint="eastAsia" w:ascii="宋体" w:hAnsi="宋体"/>
          <w:sz w:val="24"/>
        </w:rPr>
        <w:t>联系人：钟工、冯工        联系电话：020－87576487</w:t>
      </w:r>
    </w:p>
    <w:p>
      <w:pPr>
        <w:spacing w:line="440" w:lineRule="exact"/>
        <w:ind w:firstLine="480" w:firstLineChars="200"/>
        <w:rPr>
          <w:rFonts w:ascii="宋体"/>
          <w:sz w:val="24"/>
        </w:rPr>
      </w:pPr>
      <w:r>
        <w:rPr>
          <w:rFonts w:hint="eastAsia" w:ascii="宋体" w:hAnsi="宋体"/>
          <w:sz w:val="24"/>
        </w:rPr>
        <w:t>招标监督机构：广州市花都区建设工程招标和造价管理中心</w:t>
      </w:r>
    </w:p>
    <w:p>
      <w:pPr>
        <w:spacing w:line="440" w:lineRule="exact"/>
        <w:ind w:firstLine="480" w:firstLineChars="200"/>
        <w:rPr>
          <w:sz w:val="24"/>
          <w:szCs w:val="21"/>
        </w:rPr>
      </w:pPr>
      <w:r>
        <w:rPr>
          <w:rFonts w:hint="eastAsia" w:ascii="宋体" w:hAnsi="宋体"/>
          <w:sz w:val="24"/>
        </w:rPr>
        <w:t>监督电话：020-36897092</w:t>
      </w:r>
    </w:p>
    <w:p>
      <w:pPr>
        <w:spacing w:line="440" w:lineRule="exact"/>
        <w:ind w:firstLine="480" w:firstLineChars="200"/>
        <w:rPr>
          <w:sz w:val="24"/>
          <w:szCs w:val="21"/>
        </w:rPr>
      </w:pPr>
    </w:p>
    <w:p>
      <w:pPr>
        <w:spacing w:line="440" w:lineRule="exact"/>
        <w:jc w:val="right"/>
        <w:rPr>
          <w:rFonts w:ascii="宋体" w:hAnsi="宋体"/>
          <w:sz w:val="24"/>
        </w:rPr>
      </w:pPr>
      <w:r>
        <w:rPr>
          <w:rFonts w:hint="eastAsia" w:ascii="宋体" w:hAnsi="宋体"/>
          <w:sz w:val="24"/>
          <w:u w:val="single"/>
        </w:rPr>
        <w:t>2023</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440" w:lineRule="exact"/>
        <w:jc w:val="right"/>
        <w:rPr>
          <w:rFonts w:ascii="宋体" w:hAnsi="宋体"/>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8C4EF6"/>
    <w:multiLevelType w:val="multilevel"/>
    <w:tmpl w:val="198C4EF6"/>
    <w:lvl w:ilvl="0" w:tentative="0">
      <w:start w:val="1"/>
      <w:numFmt w:val="decimal"/>
      <w:lvlText w:val="5.%1"/>
      <w:lvlJc w:val="left"/>
      <w:pPr>
        <w:ind w:left="846" w:hanging="420"/>
      </w:pPr>
      <w:rPr>
        <w:rFonts w:hint="eastAsia"/>
      </w:rPr>
    </w:lvl>
    <w:lvl w:ilvl="1" w:tentative="0">
      <w:start w:val="1"/>
      <w:numFmt w:val="lowerLetter"/>
      <w:lvlText w:val="%2)"/>
      <w:lvlJc w:val="left"/>
      <w:pPr>
        <w:ind w:left="726" w:hanging="420"/>
      </w:pPr>
    </w:lvl>
    <w:lvl w:ilvl="2" w:tentative="0">
      <w:start w:val="1"/>
      <w:numFmt w:val="lowerRoman"/>
      <w:lvlText w:val="%3."/>
      <w:lvlJc w:val="right"/>
      <w:pPr>
        <w:ind w:left="1146" w:hanging="420"/>
      </w:pPr>
    </w:lvl>
    <w:lvl w:ilvl="3" w:tentative="0">
      <w:start w:val="1"/>
      <w:numFmt w:val="decimal"/>
      <w:lvlText w:val="%4."/>
      <w:lvlJc w:val="left"/>
      <w:pPr>
        <w:ind w:left="1566" w:hanging="420"/>
      </w:pPr>
    </w:lvl>
    <w:lvl w:ilvl="4" w:tentative="0">
      <w:start w:val="1"/>
      <w:numFmt w:val="lowerLetter"/>
      <w:lvlText w:val="%5)"/>
      <w:lvlJc w:val="left"/>
      <w:pPr>
        <w:ind w:left="1986" w:hanging="420"/>
      </w:pPr>
    </w:lvl>
    <w:lvl w:ilvl="5" w:tentative="0">
      <w:start w:val="1"/>
      <w:numFmt w:val="lowerRoman"/>
      <w:lvlText w:val="%6."/>
      <w:lvlJc w:val="right"/>
      <w:pPr>
        <w:ind w:left="2406" w:hanging="420"/>
      </w:pPr>
    </w:lvl>
    <w:lvl w:ilvl="6" w:tentative="0">
      <w:start w:val="1"/>
      <w:numFmt w:val="decimal"/>
      <w:lvlText w:val="%7."/>
      <w:lvlJc w:val="left"/>
      <w:pPr>
        <w:ind w:left="2826" w:hanging="420"/>
      </w:pPr>
    </w:lvl>
    <w:lvl w:ilvl="7" w:tentative="0">
      <w:start w:val="1"/>
      <w:numFmt w:val="lowerLetter"/>
      <w:lvlText w:val="%8)"/>
      <w:lvlJc w:val="left"/>
      <w:pPr>
        <w:ind w:left="3246" w:hanging="420"/>
      </w:pPr>
    </w:lvl>
    <w:lvl w:ilvl="8" w:tentative="0">
      <w:start w:val="1"/>
      <w:numFmt w:val="lowerRoman"/>
      <w:lvlText w:val="%9."/>
      <w:lvlJc w:val="right"/>
      <w:pPr>
        <w:ind w:left="3666" w:hanging="420"/>
      </w:pPr>
    </w:lvl>
  </w:abstractNum>
  <w:abstractNum w:abstractNumId="1">
    <w:nsid w:val="5095272C"/>
    <w:multiLevelType w:val="multilevel"/>
    <w:tmpl w:val="5095272C"/>
    <w:lvl w:ilvl="0" w:tentative="0">
      <w:start w:val="1"/>
      <w:numFmt w:val="decimal"/>
      <w:lvlText w:val="7.%1"/>
      <w:lvlJc w:val="left"/>
      <w:pPr>
        <w:ind w:left="9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EA36FE3"/>
    <w:multiLevelType w:val="multilevel"/>
    <w:tmpl w:val="5EA36FE3"/>
    <w:lvl w:ilvl="0" w:tentative="0">
      <w:start w:val="1"/>
      <w:numFmt w:val="decimal"/>
      <w:lvlText w:val="3.%1"/>
      <w:lvlJc w:val="left"/>
      <w:pPr>
        <w:ind w:left="960" w:hanging="420"/>
      </w:pPr>
      <w:rPr>
        <w:rFonts w:hint="eastAsia"/>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3">
    <w:nsid w:val="74AB13E1"/>
    <w:multiLevelType w:val="multilevel"/>
    <w:tmpl w:val="74AB13E1"/>
    <w:lvl w:ilvl="0" w:tentative="0">
      <w:start w:val="1"/>
      <w:numFmt w:val="decimal"/>
      <w:pStyle w:val="3"/>
      <w:lvlText w:val="%1."/>
      <w:lvlJc w:val="left"/>
      <w:pPr>
        <w:ind w:left="420" w:hanging="420"/>
      </w:pPr>
      <w:rPr>
        <w:rFonts w:hint="eastAsia"/>
        <w:sz w:val="30"/>
        <w:szCs w:val="30"/>
      </w:rPr>
    </w:lvl>
    <w:lvl w:ilvl="1" w:tentative="0">
      <w:start w:val="1"/>
      <w:numFmt w:val="decimal"/>
      <w:isLgl/>
      <w:lvlText w:val="%1.%2"/>
      <w:lvlJc w:val="left"/>
      <w:pPr>
        <w:ind w:left="567" w:hanging="567"/>
      </w:pPr>
      <w:rPr>
        <w:rFonts w:hint="default"/>
      </w:rPr>
    </w:lvl>
    <w:lvl w:ilvl="2" w:tentative="0">
      <w:start w:val="1"/>
      <w:numFmt w:val="decimal"/>
      <w:isLgl/>
      <w:lvlText w:val="%1.%2.%3"/>
      <w:lvlJc w:val="left"/>
      <w:pPr>
        <w:ind w:left="567" w:hanging="567"/>
      </w:pPr>
      <w:rPr>
        <w:rFonts w:hint="eastAsia" w:eastAsia="黑体"/>
        <w:b w:val="0"/>
        <w:i w:val="0"/>
      </w:rPr>
    </w:lvl>
    <w:lvl w:ilvl="3" w:tentative="0">
      <w:start w:val="1"/>
      <w:numFmt w:val="decimal"/>
      <w:isLgl/>
      <w:lvlText w:val="%1.%2.%3.%4"/>
      <w:lvlJc w:val="left"/>
      <w:pPr>
        <w:ind w:left="2526" w:hanging="1080"/>
      </w:pPr>
      <w:rPr>
        <w:rFonts w:hint="default"/>
      </w:rPr>
    </w:lvl>
    <w:lvl w:ilvl="4" w:tentative="0">
      <w:start w:val="1"/>
      <w:numFmt w:val="decimal"/>
      <w:isLgl/>
      <w:lvlText w:val="%1.%2.%3.%4.%5"/>
      <w:lvlJc w:val="left"/>
      <w:pPr>
        <w:ind w:left="3368" w:hanging="1440"/>
      </w:pPr>
      <w:rPr>
        <w:rFonts w:hint="default"/>
      </w:rPr>
    </w:lvl>
    <w:lvl w:ilvl="5" w:tentative="0">
      <w:start w:val="1"/>
      <w:numFmt w:val="decimal"/>
      <w:isLgl/>
      <w:lvlText w:val="%1.%2.%3.%4.%5.%6"/>
      <w:lvlJc w:val="left"/>
      <w:pPr>
        <w:ind w:left="3850" w:hanging="1440"/>
      </w:pPr>
      <w:rPr>
        <w:rFonts w:hint="default"/>
      </w:rPr>
    </w:lvl>
    <w:lvl w:ilvl="6" w:tentative="0">
      <w:start w:val="1"/>
      <w:numFmt w:val="decimal"/>
      <w:isLgl/>
      <w:lvlText w:val="%1.%2.%3.%4.%5.%6.%7"/>
      <w:lvlJc w:val="left"/>
      <w:pPr>
        <w:ind w:left="4692" w:hanging="1800"/>
      </w:pPr>
      <w:rPr>
        <w:rFonts w:hint="default"/>
      </w:rPr>
    </w:lvl>
    <w:lvl w:ilvl="7" w:tentative="0">
      <w:start w:val="1"/>
      <w:numFmt w:val="decimal"/>
      <w:isLgl/>
      <w:lvlText w:val="%1.%2.%3.%4.%5.%6.%7.%8"/>
      <w:lvlJc w:val="left"/>
      <w:pPr>
        <w:ind w:left="5534" w:hanging="2160"/>
      </w:pPr>
      <w:rPr>
        <w:rFonts w:hint="default"/>
      </w:rPr>
    </w:lvl>
    <w:lvl w:ilvl="8" w:tentative="0">
      <w:start w:val="1"/>
      <w:numFmt w:val="decimal"/>
      <w:isLgl/>
      <w:lvlText w:val="%1.%2.%3.%4.%5.%6.%7.%8.%9"/>
      <w:lvlJc w:val="left"/>
      <w:pPr>
        <w:ind w:left="6016" w:hanging="21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MTExNmNhMTE1MmFhNTc1NTk5ZGEwOGZmZDAxOGUifQ=="/>
  </w:docVars>
  <w:rsids>
    <w:rsidRoot w:val="0AB0272F"/>
    <w:rsid w:val="0AB0272F"/>
    <w:rsid w:val="7BCF0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numPr>
        <w:ilvl w:val="0"/>
        <w:numId w:val="1"/>
      </w:numPr>
      <w:spacing w:before="260" w:after="260" w:line="415" w:lineRule="auto"/>
      <w:outlineLvl w:val="1"/>
    </w:pPr>
    <w:rPr>
      <w:rFonts w:ascii="黑体" w:hAnsi="黑体" w:eastAsia="黑体"/>
      <w:b/>
      <w:bCs/>
      <w:kern w:val="44"/>
      <w:sz w:val="30"/>
      <w:szCs w:val="3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 宋体 行距: 1.5 倍行距"/>
    <w:basedOn w:val="1"/>
    <w:qFormat/>
    <w:uiPriority w:val="0"/>
    <w:pPr>
      <w:jc w:val="center"/>
    </w:pPr>
    <w:rPr>
      <w:rFonts w:ascii="Times New Roman" w:hAnsi="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2023-10-30T02:54:00Z</dcterms:created>
  <dc:creator>…KING</dc:creator>
  <cp:lastModifiedBy>…KING</cp:lastModifiedBy>
  <dcterms:modified xsi:type="dcterms:W3CDTF">2023-10-31T00:06:09Z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41281BD147CE4FA0A7965503D21C1C95_11</vt:lpwstr>
  </property>
</Properties>
</file>