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Arial" w:hAnsi="Arial" w:cs="Arial"/>
          <w:color w:val="auto"/>
          <w:szCs w:val="21"/>
          <w:highlight w:val="none"/>
        </w:rPr>
      </w:pPr>
    </w:p>
    <w:p>
      <w:pPr>
        <w:spacing w:line="360" w:lineRule="auto"/>
        <w:ind w:left="359" w:leftChars="171"/>
        <w:jc w:val="left"/>
        <w:rPr>
          <w:rFonts w:ascii="Arial" w:hAnsi="Arial" w:cs="Arial"/>
          <w:b/>
          <w:bCs/>
          <w:color w:val="auto"/>
          <w:spacing w:val="40"/>
          <w:sz w:val="44"/>
          <w:szCs w:val="44"/>
          <w:highlight w:val="none"/>
        </w:rPr>
      </w:pPr>
    </w:p>
    <w:p>
      <w:pPr>
        <w:spacing w:line="360" w:lineRule="auto"/>
        <w:rPr>
          <w:rFonts w:ascii="Arial" w:hAnsi="Arial" w:cs="Arial"/>
          <w:b/>
          <w:bCs/>
          <w:color w:val="auto"/>
          <w:spacing w:val="40"/>
          <w:sz w:val="44"/>
          <w:szCs w:val="44"/>
          <w:highlight w:val="none"/>
        </w:rPr>
      </w:pPr>
    </w:p>
    <w:p>
      <w:pPr>
        <w:spacing w:line="360" w:lineRule="auto"/>
        <w:ind w:left="359" w:leftChars="171"/>
        <w:jc w:val="center"/>
        <w:rPr>
          <w:rFonts w:hint="eastAsia" w:ascii="Arial" w:hAnsi="Arial" w:eastAsia="宋体" w:cs="Arial"/>
          <w:b/>
          <w:bCs/>
          <w:color w:val="auto"/>
          <w:spacing w:val="40"/>
          <w:sz w:val="44"/>
          <w:szCs w:val="44"/>
          <w:highlight w:val="none"/>
          <w:lang w:eastAsia="zh-CN"/>
        </w:rPr>
      </w:pPr>
      <w:r>
        <w:rPr>
          <w:rFonts w:hint="eastAsia" w:ascii="Arial" w:hAnsi="Arial" w:cs="Arial"/>
          <w:b/>
          <w:bCs/>
          <w:color w:val="auto"/>
          <w:spacing w:val="40"/>
          <w:sz w:val="44"/>
          <w:szCs w:val="44"/>
          <w:highlight w:val="none"/>
          <w:lang w:eastAsia="zh-CN"/>
        </w:rPr>
        <w:t>城维计划—道路配套交通设施信号灯建设项目施工总承包一标段</w:t>
      </w:r>
    </w:p>
    <w:p>
      <w:pPr>
        <w:spacing w:line="360" w:lineRule="auto"/>
        <w:jc w:val="center"/>
        <w:rPr>
          <w:rFonts w:ascii="Arial" w:hAnsi="Arial" w:cs="Arial"/>
          <w:color w:val="auto"/>
          <w:sz w:val="36"/>
          <w:highlight w:val="none"/>
          <w:u w:val="single"/>
        </w:rPr>
      </w:pPr>
    </w:p>
    <w:p>
      <w:pPr>
        <w:spacing w:line="360" w:lineRule="auto"/>
        <w:jc w:val="center"/>
        <w:rPr>
          <w:rFonts w:ascii="Arial" w:hAnsi="Arial" w:cs="Arial"/>
          <w:b/>
          <w:bCs/>
          <w:color w:val="auto"/>
          <w:spacing w:val="26"/>
          <w:sz w:val="110"/>
          <w:szCs w:val="110"/>
          <w:highlight w:val="none"/>
        </w:rPr>
      </w:pPr>
      <w:r>
        <w:rPr>
          <w:rFonts w:ascii="Arial" w:hAnsi="Arial" w:cs="Arial"/>
          <w:b/>
          <w:bCs/>
          <w:color w:val="auto"/>
          <w:spacing w:val="26"/>
          <w:sz w:val="110"/>
          <w:szCs w:val="110"/>
          <w:highlight w:val="none"/>
        </w:rPr>
        <w:t>招标文件</w:t>
      </w:r>
    </w:p>
    <w:p>
      <w:pPr>
        <w:spacing w:line="360" w:lineRule="auto"/>
        <w:jc w:val="center"/>
        <w:rPr>
          <w:rFonts w:ascii="Arial" w:hAnsi="Arial" w:cs="Arial"/>
          <w:color w:val="auto"/>
          <w:sz w:val="32"/>
          <w:highlight w:val="none"/>
        </w:rPr>
      </w:pPr>
    </w:p>
    <w:p>
      <w:pPr>
        <w:spacing w:line="360" w:lineRule="auto"/>
        <w:ind w:firstLine="2560" w:firstLineChars="800"/>
        <w:rPr>
          <w:rFonts w:ascii="Arial" w:hAnsi="Arial" w:cs="Arial"/>
          <w:color w:val="auto"/>
          <w:sz w:val="32"/>
          <w:highlight w:val="none"/>
        </w:rPr>
      </w:pPr>
    </w:p>
    <w:p>
      <w:pPr>
        <w:spacing w:line="360" w:lineRule="auto"/>
        <w:rPr>
          <w:rFonts w:ascii="Arial" w:hAnsi="Arial" w:cs="Arial"/>
          <w:color w:val="auto"/>
          <w:sz w:val="52"/>
          <w:highlight w:val="none"/>
        </w:rPr>
      </w:pPr>
    </w:p>
    <w:p>
      <w:pPr>
        <w:spacing w:line="360" w:lineRule="auto"/>
        <w:rPr>
          <w:rFonts w:ascii="Arial" w:hAnsi="Arial" w:cs="Arial"/>
          <w:color w:val="auto"/>
          <w:sz w:val="52"/>
          <w:highlight w:val="none"/>
        </w:rPr>
      </w:pPr>
    </w:p>
    <w:p>
      <w:pPr>
        <w:spacing w:line="360" w:lineRule="auto"/>
        <w:ind w:firstLine="900" w:firstLineChars="300"/>
        <w:rPr>
          <w:rFonts w:hint="eastAsia" w:ascii="Arial" w:hAnsi="Arial" w:eastAsia="宋体" w:cs="Arial"/>
          <w:color w:val="auto"/>
          <w:sz w:val="30"/>
          <w:szCs w:val="30"/>
          <w:highlight w:val="none"/>
          <w:u w:val="single"/>
          <w:lang w:eastAsia="zh-CN"/>
        </w:rPr>
      </w:pPr>
      <w:r>
        <w:rPr>
          <w:rFonts w:ascii="Arial" w:hAnsi="Arial" w:cs="Arial"/>
          <w:color w:val="auto"/>
          <w:sz w:val="30"/>
          <w:szCs w:val="30"/>
          <w:highlight w:val="none"/>
        </w:rPr>
        <w:t>招  标 单 位：</w:t>
      </w:r>
      <w:r>
        <w:rPr>
          <w:rFonts w:hint="eastAsia" w:ascii="Arial" w:hAnsi="Arial" w:cs="Arial"/>
          <w:color w:val="auto"/>
          <w:sz w:val="30"/>
          <w:szCs w:val="30"/>
          <w:highlight w:val="none"/>
          <w:u w:val="single"/>
          <w:lang w:eastAsia="zh-CN"/>
        </w:rPr>
        <w:t>广州市广园市政建设有限公司</w:t>
      </w:r>
    </w:p>
    <w:p>
      <w:pPr>
        <w:spacing w:line="360" w:lineRule="auto"/>
        <w:ind w:firstLine="945"/>
        <w:rPr>
          <w:rFonts w:ascii="Arial" w:hAnsi="Arial" w:cs="Arial"/>
          <w:color w:val="auto"/>
          <w:sz w:val="30"/>
          <w:szCs w:val="30"/>
          <w:highlight w:val="none"/>
          <w:u w:val="single"/>
        </w:rPr>
      </w:pPr>
      <w:r>
        <w:rPr>
          <w:rFonts w:ascii="Arial" w:hAnsi="Arial" w:cs="Arial"/>
          <w:color w:val="auto"/>
          <w:sz w:val="30"/>
          <w:szCs w:val="30"/>
          <w:highlight w:val="none"/>
        </w:rPr>
        <w:t>招标代理单位：</w:t>
      </w:r>
      <w:r>
        <w:rPr>
          <w:rFonts w:ascii="Arial" w:hAnsi="Arial" w:cs="Arial"/>
          <w:color w:val="auto"/>
          <w:sz w:val="30"/>
          <w:szCs w:val="30"/>
          <w:highlight w:val="none"/>
          <w:u w:val="single"/>
        </w:rPr>
        <w:t xml:space="preserve"> </w:t>
      </w:r>
      <w:r>
        <w:rPr>
          <w:rFonts w:hint="eastAsia" w:ascii="Arial" w:hAnsi="Arial" w:cs="Arial"/>
          <w:color w:val="auto"/>
          <w:sz w:val="30"/>
          <w:szCs w:val="30"/>
          <w:highlight w:val="none"/>
          <w:u w:val="single"/>
          <w:lang w:eastAsia="zh-CN"/>
        </w:rPr>
        <w:t>广州市广园工程技术咨询有限公司</w:t>
      </w:r>
      <w:r>
        <w:rPr>
          <w:rFonts w:ascii="Arial" w:hAnsi="Arial" w:cs="Arial"/>
          <w:color w:val="auto"/>
          <w:sz w:val="30"/>
          <w:szCs w:val="30"/>
          <w:highlight w:val="none"/>
          <w:u w:val="single"/>
        </w:rPr>
        <w:t xml:space="preserve">  </w:t>
      </w:r>
    </w:p>
    <w:p>
      <w:pPr>
        <w:spacing w:line="360" w:lineRule="auto"/>
        <w:ind w:firstLine="945"/>
        <w:rPr>
          <w:rFonts w:ascii="Arial" w:hAnsi="Arial" w:cs="Arial"/>
          <w:color w:val="auto"/>
          <w:sz w:val="32"/>
          <w:highlight w:val="none"/>
        </w:rPr>
      </w:pPr>
      <w:r>
        <w:rPr>
          <w:rFonts w:ascii="Arial" w:hAnsi="Arial" w:cs="Arial"/>
          <w:color w:val="auto"/>
          <w:sz w:val="32"/>
          <w:highlight w:val="none"/>
        </w:rPr>
        <w:t>日        期：</w:t>
      </w:r>
      <w:r>
        <w:rPr>
          <w:rFonts w:hint="eastAsia" w:ascii="Arial" w:hAnsi="Arial" w:cs="Arial"/>
          <w:color w:val="auto"/>
          <w:sz w:val="32"/>
          <w:highlight w:val="none"/>
          <w:u w:val="single"/>
          <w:lang w:val="en-US" w:eastAsia="zh-CN"/>
        </w:rPr>
        <w:t>2023</w:t>
      </w:r>
      <w:r>
        <w:rPr>
          <w:rFonts w:ascii="Arial" w:hAnsi="Arial" w:cs="Arial"/>
          <w:color w:val="auto"/>
          <w:sz w:val="32"/>
          <w:highlight w:val="none"/>
          <w:u w:val="single"/>
        </w:rPr>
        <w:t xml:space="preserve"> </w:t>
      </w:r>
      <w:r>
        <w:rPr>
          <w:rFonts w:ascii="Arial" w:hAnsi="Arial" w:cs="Arial"/>
          <w:color w:val="auto"/>
          <w:sz w:val="32"/>
          <w:highlight w:val="none"/>
        </w:rPr>
        <w:t>年</w:t>
      </w:r>
      <w:r>
        <w:rPr>
          <w:rFonts w:hint="eastAsia" w:ascii="Arial" w:hAnsi="Arial" w:cs="Arial"/>
          <w:color w:val="auto"/>
          <w:sz w:val="32"/>
          <w:highlight w:val="none"/>
          <w:u w:val="single"/>
          <w:lang w:val="en-US" w:eastAsia="zh-CN"/>
        </w:rPr>
        <w:t>10</w:t>
      </w:r>
      <w:r>
        <w:rPr>
          <w:rFonts w:ascii="Arial" w:hAnsi="Arial" w:cs="Arial"/>
          <w:color w:val="auto"/>
          <w:sz w:val="32"/>
          <w:highlight w:val="none"/>
        </w:rPr>
        <w:t>月</w:t>
      </w:r>
    </w:p>
    <w:p>
      <w:pPr>
        <w:jc w:val="center"/>
        <w:rPr>
          <w:rFonts w:ascii="Arial" w:hAnsi="Arial" w:cs="Arial"/>
          <w:b/>
          <w:caps/>
          <w:color w:val="auto"/>
          <w:kern w:val="0"/>
          <w:highlight w:val="none"/>
        </w:rPr>
      </w:pPr>
      <w:r>
        <w:rPr>
          <w:rStyle w:val="64"/>
          <w:rFonts w:ascii="Arial" w:hAnsi="Arial" w:cs="Arial"/>
          <w:b/>
          <w:bCs/>
          <w:color w:val="auto"/>
          <w:highlight w:val="none"/>
        </w:rPr>
        <w:br w:type="page"/>
      </w:r>
      <w:r>
        <w:rPr>
          <w:rStyle w:val="64"/>
          <w:rFonts w:ascii="Arial" w:hAnsi="Arial" w:cs="Arial"/>
          <w:b/>
          <w:bCs/>
          <w:color w:val="auto"/>
          <w:sz w:val="28"/>
          <w:szCs w:val="28"/>
          <w:highlight w:val="none"/>
        </w:rPr>
        <w:t>目录</w:t>
      </w:r>
    </w:p>
    <w:p>
      <w:pPr>
        <w:pStyle w:val="38"/>
        <w:rPr>
          <w:rFonts w:ascii="Arial" w:hAnsi="Arial" w:cs="Arial"/>
          <w:caps w:val="0"/>
          <w:color w:val="auto"/>
          <w:kern w:val="2"/>
          <w:sz w:val="21"/>
          <w:szCs w:val="22"/>
          <w:highlight w:val="none"/>
        </w:rPr>
      </w:pPr>
      <w:r>
        <w:rPr>
          <w:rFonts w:ascii="Arial" w:hAnsi="Arial" w:cs="Arial"/>
          <w:color w:val="auto"/>
          <w:highlight w:val="none"/>
        </w:rPr>
        <w:fldChar w:fldCharType="begin"/>
      </w:r>
      <w:r>
        <w:rPr>
          <w:rFonts w:ascii="Arial" w:hAnsi="Arial" w:cs="Arial"/>
          <w:color w:val="auto"/>
          <w:highlight w:val="none"/>
        </w:rPr>
        <w:instrText xml:space="preserve"> TOC \o "1-3" \h \z \u </w:instrText>
      </w:r>
      <w:r>
        <w:rPr>
          <w:rFonts w:ascii="Arial" w:hAnsi="Arial" w:cs="Arial"/>
          <w:color w:val="auto"/>
          <w:highlight w:val="none"/>
        </w:rPr>
        <w:fldChar w:fldCharType="separate"/>
      </w:r>
      <w:r>
        <w:rPr>
          <w:color w:val="auto"/>
          <w:highlight w:val="none"/>
        </w:rPr>
        <w:fldChar w:fldCharType="begin"/>
      </w:r>
      <w:r>
        <w:rPr>
          <w:color w:val="auto"/>
          <w:highlight w:val="none"/>
        </w:rPr>
        <w:instrText xml:space="preserve"> HYPERLINK \l "_Toc101266278" </w:instrText>
      </w:r>
      <w:r>
        <w:rPr>
          <w:color w:val="auto"/>
          <w:highlight w:val="none"/>
        </w:rPr>
        <w:fldChar w:fldCharType="separate"/>
      </w:r>
      <w:r>
        <w:rPr>
          <w:rStyle w:val="64"/>
          <w:rFonts w:ascii="Arial" w:hAnsi="Arial" w:cs="Arial"/>
          <w:color w:val="auto"/>
          <w:highlight w:val="none"/>
        </w:rPr>
        <w:t>第一章  投标须知</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_Toc101266278 \h </w:instrText>
      </w:r>
      <w:r>
        <w:rPr>
          <w:rFonts w:ascii="Arial" w:hAnsi="Arial" w:cs="Arial"/>
          <w:color w:val="auto"/>
          <w:highlight w:val="none"/>
        </w:rPr>
        <w:fldChar w:fldCharType="separate"/>
      </w:r>
      <w:r>
        <w:rPr>
          <w:rFonts w:ascii="Arial" w:hAnsi="Arial" w:cs="Arial"/>
          <w:color w:val="auto"/>
          <w:highlight w:val="none"/>
        </w:rPr>
        <w:t>3</w:t>
      </w:r>
      <w:r>
        <w:rPr>
          <w:rFonts w:ascii="Arial" w:hAnsi="Arial" w:cs="Arial"/>
          <w:color w:val="auto"/>
          <w:highlight w:val="none"/>
        </w:rPr>
        <w:fldChar w:fldCharType="end"/>
      </w:r>
      <w:r>
        <w:rPr>
          <w:rFonts w:ascii="Arial" w:hAnsi="Arial" w:cs="Arial"/>
          <w:color w:val="auto"/>
          <w:highlight w:val="none"/>
        </w:rPr>
        <w:fldChar w:fldCharType="end"/>
      </w:r>
    </w:p>
    <w:p>
      <w:pPr>
        <w:pStyle w:val="46"/>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"_Toc101266279" </w:instrText>
      </w:r>
      <w:r>
        <w:rPr>
          <w:color w:val="auto"/>
          <w:highlight w:val="none"/>
        </w:rPr>
        <w:fldChar w:fldCharType="separate"/>
      </w:r>
      <w:r>
        <w:rPr>
          <w:rStyle w:val="64"/>
          <w:rFonts w:ascii="Arial" w:hAnsi="Arial" w:cs="Arial"/>
          <w:color w:val="auto"/>
          <w:highlight w:val="none"/>
        </w:rPr>
        <w:t>一、投标须知前附表</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_Toc101266279 \h </w:instrText>
      </w:r>
      <w:r>
        <w:rPr>
          <w:rFonts w:ascii="Arial" w:hAnsi="Arial" w:cs="Arial"/>
          <w:color w:val="auto"/>
          <w:highlight w:val="none"/>
        </w:rPr>
        <w:fldChar w:fldCharType="separate"/>
      </w:r>
      <w:r>
        <w:rPr>
          <w:rFonts w:ascii="Arial" w:hAnsi="Arial" w:cs="Arial"/>
          <w:color w:val="auto"/>
          <w:highlight w:val="none"/>
        </w:rPr>
        <w:t>3</w:t>
      </w:r>
      <w:r>
        <w:rPr>
          <w:rFonts w:ascii="Arial" w:hAnsi="Arial" w:cs="Arial"/>
          <w:color w:val="auto"/>
          <w:highlight w:val="none"/>
        </w:rPr>
        <w:fldChar w:fldCharType="end"/>
      </w:r>
      <w:r>
        <w:rPr>
          <w:rFonts w:ascii="Arial" w:hAnsi="Arial" w:cs="Arial"/>
          <w:color w:val="auto"/>
          <w:highlight w:val="none"/>
        </w:rPr>
        <w:fldChar w:fldCharType="end"/>
      </w:r>
    </w:p>
    <w:p>
      <w:pPr>
        <w:pStyle w:val="46"/>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"_Toc101266280" </w:instrText>
      </w:r>
      <w:r>
        <w:rPr>
          <w:color w:val="auto"/>
          <w:highlight w:val="none"/>
        </w:rPr>
        <w:fldChar w:fldCharType="separate"/>
      </w:r>
      <w:r>
        <w:rPr>
          <w:rStyle w:val="64"/>
          <w:rFonts w:ascii="Arial" w:hAnsi="Arial" w:cs="Arial"/>
          <w:color w:val="auto"/>
          <w:highlight w:val="none"/>
        </w:rPr>
        <w:t>二、投标须知修改表</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_Toc101266280 \h </w:instrText>
      </w:r>
      <w:r>
        <w:rPr>
          <w:rFonts w:ascii="Arial" w:hAnsi="Arial" w:cs="Arial"/>
          <w:color w:val="auto"/>
          <w:highlight w:val="none"/>
        </w:rPr>
        <w:fldChar w:fldCharType="separate"/>
      </w:r>
      <w:r>
        <w:rPr>
          <w:rFonts w:ascii="Arial" w:hAnsi="Arial" w:cs="Arial"/>
          <w:color w:val="auto"/>
          <w:highlight w:val="none"/>
        </w:rPr>
        <w:t>8</w:t>
      </w:r>
      <w:r>
        <w:rPr>
          <w:rFonts w:ascii="Arial" w:hAnsi="Arial" w:cs="Arial"/>
          <w:color w:val="auto"/>
          <w:highlight w:val="none"/>
        </w:rPr>
        <w:fldChar w:fldCharType="end"/>
      </w:r>
      <w:r>
        <w:rPr>
          <w:rFonts w:ascii="Arial" w:hAnsi="Arial" w:cs="Arial"/>
          <w:color w:val="auto"/>
          <w:highlight w:val="none"/>
        </w:rPr>
        <w:fldChar w:fldCharType="end"/>
      </w:r>
    </w:p>
    <w:p>
      <w:pPr>
        <w:pStyle w:val="46"/>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"_Toc101266281" </w:instrText>
      </w:r>
      <w:r>
        <w:rPr>
          <w:color w:val="auto"/>
          <w:highlight w:val="none"/>
        </w:rPr>
        <w:fldChar w:fldCharType="separate"/>
      </w:r>
      <w:r>
        <w:rPr>
          <w:rStyle w:val="64"/>
          <w:rFonts w:ascii="Arial" w:hAnsi="Arial" w:cs="Arial"/>
          <w:color w:val="auto"/>
          <w:highlight w:val="none"/>
        </w:rPr>
        <w:t>三、投标须知通用条款</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_Toc101266281 \h </w:instrText>
      </w:r>
      <w:r>
        <w:rPr>
          <w:rFonts w:ascii="Arial" w:hAnsi="Arial" w:cs="Arial"/>
          <w:color w:val="auto"/>
          <w:highlight w:val="none"/>
        </w:rPr>
        <w:fldChar w:fldCharType="separate"/>
      </w:r>
      <w:r>
        <w:rPr>
          <w:rFonts w:ascii="Arial" w:hAnsi="Arial" w:cs="Arial"/>
          <w:color w:val="auto"/>
          <w:highlight w:val="none"/>
        </w:rPr>
        <w:t>20</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"_Toc101266282" </w:instrText>
      </w:r>
      <w:r>
        <w:rPr>
          <w:color w:val="auto"/>
          <w:highlight w:val="none"/>
        </w:rPr>
        <w:fldChar w:fldCharType="separate"/>
      </w:r>
      <w:r>
        <w:rPr>
          <w:rStyle w:val="64"/>
          <w:rFonts w:ascii="Arial" w:hAnsi="Arial" w:cs="Arial"/>
          <w:color w:val="auto"/>
          <w:highlight w:val="none"/>
        </w:rPr>
        <w:t>（一）总则</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_Toc101266282 \h </w:instrText>
      </w:r>
      <w:r>
        <w:rPr>
          <w:rFonts w:ascii="Arial" w:hAnsi="Arial" w:cs="Arial"/>
          <w:color w:val="auto"/>
          <w:highlight w:val="none"/>
        </w:rPr>
        <w:fldChar w:fldCharType="separate"/>
      </w:r>
      <w:r>
        <w:rPr>
          <w:rFonts w:ascii="Arial" w:hAnsi="Arial" w:cs="Arial"/>
          <w:color w:val="auto"/>
          <w:highlight w:val="none"/>
        </w:rPr>
        <w:t>20</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"_Toc101266283" </w:instrText>
      </w:r>
      <w:r>
        <w:rPr>
          <w:color w:val="auto"/>
          <w:highlight w:val="none"/>
        </w:rPr>
        <w:fldChar w:fldCharType="separate"/>
      </w:r>
      <w:r>
        <w:rPr>
          <w:rStyle w:val="64"/>
          <w:rFonts w:ascii="Arial" w:hAnsi="Arial" w:cs="Arial"/>
          <w:color w:val="auto"/>
          <w:highlight w:val="none"/>
        </w:rPr>
        <w:t>（二）招标文件</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_Toc101266283 \h </w:instrText>
      </w:r>
      <w:r>
        <w:rPr>
          <w:rFonts w:ascii="Arial" w:hAnsi="Arial" w:cs="Arial"/>
          <w:color w:val="auto"/>
          <w:highlight w:val="none"/>
        </w:rPr>
        <w:fldChar w:fldCharType="separate"/>
      </w:r>
      <w:r>
        <w:rPr>
          <w:rFonts w:ascii="Arial" w:hAnsi="Arial" w:cs="Arial"/>
          <w:color w:val="auto"/>
          <w:highlight w:val="none"/>
        </w:rPr>
        <w:t>21</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"_Toc101266284" </w:instrText>
      </w:r>
      <w:r>
        <w:rPr>
          <w:color w:val="auto"/>
          <w:highlight w:val="none"/>
        </w:rPr>
        <w:fldChar w:fldCharType="separate"/>
      </w:r>
      <w:r>
        <w:rPr>
          <w:rStyle w:val="64"/>
          <w:rFonts w:ascii="Arial" w:hAnsi="Arial" w:cs="Arial"/>
          <w:color w:val="auto"/>
          <w:highlight w:val="none"/>
        </w:rPr>
        <w:t>（三）投标文件的编制</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_Toc101266284 \h </w:instrText>
      </w:r>
      <w:r>
        <w:rPr>
          <w:rFonts w:ascii="Arial" w:hAnsi="Arial" w:cs="Arial"/>
          <w:color w:val="auto"/>
          <w:highlight w:val="none"/>
        </w:rPr>
        <w:fldChar w:fldCharType="separate"/>
      </w:r>
      <w:r>
        <w:rPr>
          <w:rFonts w:ascii="Arial" w:hAnsi="Arial" w:cs="Arial"/>
          <w:color w:val="auto"/>
          <w:highlight w:val="none"/>
        </w:rPr>
        <w:t>22</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"_Toc101266285" </w:instrText>
      </w:r>
      <w:r>
        <w:rPr>
          <w:color w:val="auto"/>
          <w:highlight w:val="none"/>
        </w:rPr>
        <w:fldChar w:fldCharType="separate"/>
      </w:r>
      <w:r>
        <w:rPr>
          <w:rStyle w:val="64"/>
          <w:rFonts w:ascii="Arial" w:hAnsi="Arial" w:cs="Arial"/>
          <w:color w:val="auto"/>
          <w:highlight w:val="none"/>
        </w:rPr>
        <w:t>（四）投标文件的提交</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_Toc101266285 \h </w:instrText>
      </w:r>
      <w:r>
        <w:rPr>
          <w:rFonts w:ascii="Arial" w:hAnsi="Arial" w:cs="Arial"/>
          <w:color w:val="auto"/>
          <w:highlight w:val="none"/>
        </w:rPr>
        <w:fldChar w:fldCharType="separate"/>
      </w:r>
      <w:r>
        <w:rPr>
          <w:rFonts w:ascii="Arial" w:hAnsi="Arial" w:cs="Arial"/>
          <w:color w:val="auto"/>
          <w:highlight w:val="none"/>
        </w:rPr>
        <w:t>29</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"_Toc101266286" </w:instrText>
      </w:r>
      <w:r>
        <w:rPr>
          <w:color w:val="auto"/>
          <w:highlight w:val="none"/>
        </w:rPr>
        <w:fldChar w:fldCharType="separate"/>
      </w:r>
      <w:r>
        <w:rPr>
          <w:rStyle w:val="64"/>
          <w:rFonts w:ascii="Arial" w:hAnsi="Arial" w:cs="Arial"/>
          <w:color w:val="auto"/>
          <w:highlight w:val="none"/>
        </w:rPr>
        <w:t>（五）开标、评标、定标及合同签定</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_Toc101266286 \h </w:instrText>
      </w:r>
      <w:r>
        <w:rPr>
          <w:rFonts w:ascii="Arial" w:hAnsi="Arial" w:cs="Arial"/>
          <w:color w:val="auto"/>
          <w:highlight w:val="none"/>
        </w:rPr>
        <w:fldChar w:fldCharType="separate"/>
      </w:r>
      <w:r>
        <w:rPr>
          <w:rFonts w:ascii="Arial" w:hAnsi="Arial" w:cs="Arial"/>
          <w:color w:val="auto"/>
          <w:highlight w:val="none"/>
        </w:rPr>
        <w:t>30</w:t>
      </w:r>
      <w:r>
        <w:rPr>
          <w:rFonts w:ascii="Arial" w:hAnsi="Arial" w:cs="Arial"/>
          <w:color w:val="auto"/>
          <w:highlight w:val="none"/>
        </w:rPr>
        <w:fldChar w:fldCharType="end"/>
      </w:r>
      <w:r>
        <w:rPr>
          <w:rFonts w:ascii="Arial" w:hAnsi="Arial" w:cs="Arial"/>
          <w:color w:val="auto"/>
          <w:highlight w:val="none"/>
        </w:rPr>
        <w:fldChar w:fldCharType="end"/>
      </w:r>
    </w:p>
    <w:p>
      <w:pPr>
        <w:pStyle w:val="38"/>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"_Toc101266287" </w:instrText>
      </w:r>
      <w:r>
        <w:rPr>
          <w:color w:val="auto"/>
          <w:highlight w:val="none"/>
        </w:rPr>
        <w:fldChar w:fldCharType="separate"/>
      </w:r>
      <w:r>
        <w:rPr>
          <w:rStyle w:val="64"/>
          <w:rFonts w:ascii="Arial" w:hAnsi="Arial" w:cs="Arial"/>
          <w:color w:val="auto"/>
          <w:highlight w:val="none"/>
        </w:rPr>
        <w:t>第二章  开标、评标及定标办法</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_Toc101266287 \h </w:instrText>
      </w:r>
      <w:r>
        <w:rPr>
          <w:rFonts w:ascii="Arial" w:hAnsi="Arial" w:cs="Arial"/>
          <w:color w:val="auto"/>
          <w:highlight w:val="none"/>
        </w:rPr>
        <w:fldChar w:fldCharType="separate"/>
      </w:r>
      <w:r>
        <w:rPr>
          <w:rFonts w:ascii="Arial" w:hAnsi="Arial" w:cs="Arial"/>
          <w:color w:val="auto"/>
          <w:highlight w:val="none"/>
        </w:rPr>
        <w:t>33</w:t>
      </w:r>
      <w:r>
        <w:rPr>
          <w:rFonts w:ascii="Arial" w:hAnsi="Arial" w:cs="Arial"/>
          <w:color w:val="auto"/>
          <w:highlight w:val="none"/>
        </w:rPr>
        <w:fldChar w:fldCharType="end"/>
      </w:r>
      <w:r>
        <w:rPr>
          <w:rFonts w:ascii="Arial" w:hAnsi="Arial" w:cs="Arial"/>
          <w:color w:val="auto"/>
          <w:highlight w:val="none"/>
        </w:rPr>
        <w:fldChar w:fldCharType="end"/>
      </w:r>
    </w:p>
    <w:p>
      <w:pPr>
        <w:pStyle w:val="46"/>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"_Toc101266288" </w:instrText>
      </w:r>
      <w:r>
        <w:rPr>
          <w:color w:val="auto"/>
          <w:highlight w:val="none"/>
        </w:rPr>
        <w:fldChar w:fldCharType="separate"/>
      </w:r>
      <w:r>
        <w:rPr>
          <w:rStyle w:val="64"/>
          <w:rFonts w:ascii="Arial" w:hAnsi="Arial" w:cs="Arial"/>
          <w:color w:val="auto"/>
          <w:highlight w:val="none"/>
        </w:rPr>
        <w:t>一、开标、评标及定标办法修改表</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_Toc101266288 \h </w:instrText>
      </w:r>
      <w:r>
        <w:rPr>
          <w:rFonts w:ascii="Arial" w:hAnsi="Arial" w:cs="Arial"/>
          <w:color w:val="auto"/>
          <w:highlight w:val="none"/>
        </w:rPr>
        <w:fldChar w:fldCharType="separate"/>
      </w:r>
      <w:r>
        <w:rPr>
          <w:rFonts w:ascii="Arial" w:hAnsi="Arial" w:cs="Arial"/>
          <w:color w:val="auto"/>
          <w:highlight w:val="none"/>
        </w:rPr>
        <w:t>33</w:t>
      </w:r>
      <w:r>
        <w:rPr>
          <w:rFonts w:ascii="Arial" w:hAnsi="Arial" w:cs="Arial"/>
          <w:color w:val="auto"/>
          <w:highlight w:val="none"/>
        </w:rPr>
        <w:fldChar w:fldCharType="end"/>
      </w:r>
      <w:r>
        <w:rPr>
          <w:rFonts w:ascii="Arial" w:hAnsi="Arial" w:cs="Arial"/>
          <w:color w:val="auto"/>
          <w:highlight w:val="none"/>
        </w:rPr>
        <w:fldChar w:fldCharType="end"/>
      </w:r>
    </w:p>
    <w:p>
      <w:pPr>
        <w:pStyle w:val="46"/>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"_Toc101266289" </w:instrText>
      </w:r>
      <w:r>
        <w:rPr>
          <w:color w:val="auto"/>
          <w:highlight w:val="none"/>
        </w:rPr>
        <w:fldChar w:fldCharType="separate"/>
      </w:r>
      <w:r>
        <w:rPr>
          <w:rStyle w:val="64"/>
          <w:rFonts w:ascii="Arial" w:hAnsi="Arial" w:cs="Arial"/>
          <w:color w:val="auto"/>
          <w:highlight w:val="none"/>
        </w:rPr>
        <w:t>二、开标、评标及定标办法通用条款</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_Toc101266289 \h </w:instrText>
      </w:r>
      <w:r>
        <w:rPr>
          <w:rFonts w:ascii="Arial" w:hAnsi="Arial" w:cs="Arial"/>
          <w:color w:val="auto"/>
          <w:highlight w:val="none"/>
        </w:rPr>
        <w:fldChar w:fldCharType="separate"/>
      </w:r>
      <w:r>
        <w:rPr>
          <w:rFonts w:ascii="Arial" w:hAnsi="Arial" w:cs="Arial"/>
          <w:color w:val="auto"/>
          <w:highlight w:val="none"/>
        </w:rPr>
        <w:t>41</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"_Toc101266290" </w:instrText>
      </w:r>
      <w:r>
        <w:rPr>
          <w:color w:val="auto"/>
          <w:highlight w:val="none"/>
        </w:rPr>
        <w:fldChar w:fldCharType="separate"/>
      </w:r>
      <w:r>
        <w:rPr>
          <w:rStyle w:val="64"/>
          <w:rFonts w:ascii="Arial" w:hAnsi="Arial" w:cs="Arial"/>
          <w:color w:val="auto"/>
          <w:highlight w:val="none"/>
        </w:rPr>
        <w:t>（一）总则</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_Toc101266290 \h </w:instrText>
      </w:r>
      <w:r>
        <w:rPr>
          <w:rFonts w:ascii="Arial" w:hAnsi="Arial" w:cs="Arial"/>
          <w:color w:val="auto"/>
          <w:highlight w:val="none"/>
        </w:rPr>
        <w:fldChar w:fldCharType="separate"/>
      </w:r>
      <w:r>
        <w:rPr>
          <w:rFonts w:ascii="Arial" w:hAnsi="Arial" w:cs="Arial"/>
          <w:color w:val="auto"/>
          <w:highlight w:val="none"/>
        </w:rPr>
        <w:t>41</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"_Toc101266291" </w:instrText>
      </w:r>
      <w:r>
        <w:rPr>
          <w:color w:val="auto"/>
          <w:highlight w:val="none"/>
        </w:rPr>
        <w:fldChar w:fldCharType="separate"/>
      </w:r>
      <w:r>
        <w:rPr>
          <w:rStyle w:val="64"/>
          <w:rFonts w:ascii="Arial" w:hAnsi="Arial" w:cs="Arial"/>
          <w:color w:val="auto"/>
          <w:highlight w:val="none"/>
        </w:rPr>
        <w:t>（二）开标评标办法程序和细则</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_Toc101266291 \h </w:instrText>
      </w:r>
      <w:r>
        <w:rPr>
          <w:rFonts w:ascii="Arial" w:hAnsi="Arial" w:cs="Arial"/>
          <w:color w:val="auto"/>
          <w:highlight w:val="none"/>
        </w:rPr>
        <w:fldChar w:fldCharType="separate"/>
      </w:r>
      <w:r>
        <w:rPr>
          <w:rFonts w:ascii="Arial" w:hAnsi="Arial" w:cs="Arial"/>
          <w:color w:val="auto"/>
          <w:highlight w:val="none"/>
        </w:rPr>
        <w:t>43</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"_Toc101266292" </w:instrText>
      </w:r>
      <w:r>
        <w:rPr>
          <w:color w:val="auto"/>
          <w:highlight w:val="none"/>
        </w:rPr>
        <w:fldChar w:fldCharType="separate"/>
      </w:r>
      <w:r>
        <w:rPr>
          <w:rStyle w:val="64"/>
          <w:rFonts w:ascii="Arial" w:hAnsi="Arial" w:cs="Arial"/>
          <w:color w:val="auto"/>
          <w:highlight w:val="none"/>
        </w:rPr>
        <w:t>可选办法一（适合综合评分法一，技术标与经济标先后分别开启）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_Toc101266292 \h </w:instrText>
      </w:r>
      <w:r>
        <w:rPr>
          <w:rFonts w:ascii="Arial" w:hAnsi="Arial" w:cs="Arial"/>
          <w:color w:val="auto"/>
          <w:highlight w:val="none"/>
        </w:rPr>
        <w:fldChar w:fldCharType="separate"/>
      </w:r>
      <w:r>
        <w:rPr>
          <w:rFonts w:ascii="Arial" w:hAnsi="Arial" w:cs="Arial"/>
          <w:color w:val="auto"/>
          <w:highlight w:val="none"/>
        </w:rPr>
        <w:t>43</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"_Toc101266293" </w:instrText>
      </w:r>
      <w:r>
        <w:rPr>
          <w:color w:val="auto"/>
          <w:highlight w:val="none"/>
        </w:rPr>
        <w:fldChar w:fldCharType="separate"/>
      </w:r>
      <w:r>
        <w:rPr>
          <w:rStyle w:val="64"/>
          <w:rFonts w:ascii="Arial" w:hAnsi="Arial" w:cs="Arial"/>
          <w:color w:val="auto"/>
          <w:highlight w:val="none"/>
        </w:rPr>
        <w:t>可选办法二（适合综合评分法一，技术标与经济标同时开启）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_Toc101266293 \h </w:instrText>
      </w:r>
      <w:r>
        <w:rPr>
          <w:rFonts w:ascii="Arial" w:hAnsi="Arial" w:cs="Arial"/>
          <w:color w:val="auto"/>
          <w:highlight w:val="none"/>
        </w:rPr>
        <w:fldChar w:fldCharType="separate"/>
      </w:r>
      <w:r>
        <w:rPr>
          <w:rFonts w:ascii="Arial" w:hAnsi="Arial" w:cs="Arial"/>
          <w:color w:val="auto"/>
          <w:highlight w:val="none"/>
        </w:rPr>
        <w:t>48</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"_Toc101266294" </w:instrText>
      </w:r>
      <w:r>
        <w:rPr>
          <w:color w:val="auto"/>
          <w:highlight w:val="none"/>
        </w:rPr>
        <w:fldChar w:fldCharType="separate"/>
      </w:r>
      <w:r>
        <w:rPr>
          <w:rStyle w:val="64"/>
          <w:rFonts w:ascii="Arial" w:hAnsi="Arial" w:cs="Arial"/>
          <w:color w:val="auto"/>
          <w:highlight w:val="none"/>
        </w:rPr>
        <w:t>可选办法三（适合综合评分法二，技术标与经济标先后分别开启）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_Toc101266294 \h </w:instrText>
      </w:r>
      <w:r>
        <w:rPr>
          <w:rFonts w:ascii="Arial" w:hAnsi="Arial" w:cs="Arial"/>
          <w:color w:val="auto"/>
          <w:highlight w:val="none"/>
        </w:rPr>
        <w:fldChar w:fldCharType="separate"/>
      </w:r>
      <w:r>
        <w:rPr>
          <w:rFonts w:ascii="Arial" w:hAnsi="Arial" w:cs="Arial"/>
          <w:color w:val="auto"/>
          <w:highlight w:val="none"/>
        </w:rPr>
        <w:t>52</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"_Toc101266295" </w:instrText>
      </w:r>
      <w:r>
        <w:rPr>
          <w:color w:val="auto"/>
          <w:highlight w:val="none"/>
        </w:rPr>
        <w:fldChar w:fldCharType="separate"/>
      </w:r>
      <w:r>
        <w:rPr>
          <w:rStyle w:val="64"/>
          <w:rFonts w:ascii="Arial" w:hAnsi="Arial" w:cs="Arial"/>
          <w:color w:val="auto"/>
          <w:highlight w:val="none"/>
        </w:rPr>
        <w:t>可选办法四（适合综合评分法二，技术标与经济标同时开启）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_Toc101266295 \h </w:instrText>
      </w:r>
      <w:r>
        <w:rPr>
          <w:rFonts w:ascii="Arial" w:hAnsi="Arial" w:cs="Arial"/>
          <w:color w:val="auto"/>
          <w:highlight w:val="none"/>
        </w:rPr>
        <w:fldChar w:fldCharType="separate"/>
      </w:r>
      <w:r>
        <w:rPr>
          <w:rFonts w:ascii="Arial" w:hAnsi="Arial" w:cs="Arial"/>
          <w:color w:val="auto"/>
          <w:highlight w:val="none"/>
        </w:rPr>
        <w:t>56</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"_Toc101266296" </w:instrText>
      </w:r>
      <w:r>
        <w:rPr>
          <w:color w:val="auto"/>
          <w:highlight w:val="none"/>
        </w:rPr>
        <w:fldChar w:fldCharType="separate"/>
      </w:r>
      <w:r>
        <w:rPr>
          <w:rStyle w:val="64"/>
          <w:rFonts w:ascii="Arial" w:hAnsi="Arial" w:cs="Arial"/>
          <w:color w:val="auto"/>
          <w:highlight w:val="none"/>
        </w:rPr>
        <w:t>可选办法五（适合综合评分法三，技术标与经济标先后分别开启）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_Toc101266296 \h </w:instrText>
      </w:r>
      <w:r>
        <w:rPr>
          <w:rFonts w:ascii="Arial" w:hAnsi="Arial" w:cs="Arial"/>
          <w:color w:val="auto"/>
          <w:highlight w:val="none"/>
        </w:rPr>
        <w:fldChar w:fldCharType="separate"/>
      </w:r>
      <w:r>
        <w:rPr>
          <w:rFonts w:ascii="Arial" w:hAnsi="Arial" w:cs="Arial"/>
          <w:color w:val="auto"/>
          <w:highlight w:val="none"/>
        </w:rPr>
        <w:t>61</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"_Toc101266297" </w:instrText>
      </w:r>
      <w:r>
        <w:rPr>
          <w:color w:val="auto"/>
          <w:highlight w:val="none"/>
        </w:rPr>
        <w:fldChar w:fldCharType="separate"/>
      </w:r>
      <w:r>
        <w:rPr>
          <w:rStyle w:val="64"/>
          <w:rFonts w:ascii="Arial" w:hAnsi="Arial" w:cs="Arial"/>
          <w:color w:val="auto"/>
          <w:highlight w:val="none"/>
        </w:rPr>
        <w:t>可选办法六（适合综合评分法三，技术标与经济标同时开启）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_Toc101266297 \h </w:instrText>
      </w:r>
      <w:r>
        <w:rPr>
          <w:rFonts w:ascii="Arial" w:hAnsi="Arial" w:cs="Arial"/>
          <w:color w:val="auto"/>
          <w:highlight w:val="none"/>
        </w:rPr>
        <w:fldChar w:fldCharType="separate"/>
      </w:r>
      <w:r>
        <w:rPr>
          <w:rFonts w:ascii="Arial" w:hAnsi="Arial" w:cs="Arial"/>
          <w:color w:val="auto"/>
          <w:highlight w:val="none"/>
        </w:rPr>
        <w:t>66</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"_Toc101266298" </w:instrText>
      </w:r>
      <w:r>
        <w:rPr>
          <w:color w:val="auto"/>
          <w:highlight w:val="none"/>
        </w:rPr>
        <w:fldChar w:fldCharType="separate"/>
      </w:r>
      <w:r>
        <w:rPr>
          <w:rStyle w:val="64"/>
          <w:rFonts w:ascii="Arial" w:hAnsi="Arial" w:cs="Arial"/>
          <w:color w:val="auto"/>
          <w:highlight w:val="none"/>
        </w:rPr>
        <w:t>可选办法七（适合综合评分法四，技术标与经济标同时开启）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_Toc101266298 \h </w:instrText>
      </w:r>
      <w:r>
        <w:rPr>
          <w:rFonts w:ascii="Arial" w:hAnsi="Arial" w:cs="Arial"/>
          <w:color w:val="auto"/>
          <w:highlight w:val="none"/>
        </w:rPr>
        <w:fldChar w:fldCharType="separate"/>
      </w:r>
      <w:r>
        <w:rPr>
          <w:rFonts w:ascii="Arial" w:hAnsi="Arial" w:cs="Arial"/>
          <w:color w:val="auto"/>
          <w:highlight w:val="none"/>
        </w:rPr>
        <w:t>70</w:t>
      </w:r>
      <w:r>
        <w:rPr>
          <w:rFonts w:ascii="Arial" w:hAnsi="Arial" w:cs="Arial"/>
          <w:color w:val="auto"/>
          <w:highlight w:val="none"/>
        </w:rPr>
        <w:fldChar w:fldCharType="end"/>
      </w:r>
      <w:r>
        <w:rPr>
          <w:rFonts w:ascii="Arial" w:hAnsi="Arial" w:cs="Arial"/>
          <w:color w:val="auto"/>
          <w:highlight w:val="none"/>
        </w:rPr>
        <w:fldChar w:fldCharType="end"/>
      </w:r>
    </w:p>
    <w:p>
      <w:pPr>
        <w:pStyle w:val="29"/>
        <w:tabs>
          <w:tab w:val="right" w:leader="dot" w:pos="9060"/>
        </w:tabs>
        <w:ind w:left="840"/>
        <w:rPr>
          <w:rFonts w:ascii="Arial" w:hAnsi="Arial" w:cs="Arial"/>
          <w:color w:val="auto"/>
          <w:sz w:val="21"/>
          <w:szCs w:val="22"/>
          <w:highlight w:val="none"/>
        </w:rPr>
      </w:pPr>
      <w:r>
        <w:rPr>
          <w:color w:val="auto"/>
          <w:highlight w:val="none"/>
        </w:rPr>
        <w:fldChar w:fldCharType="begin"/>
      </w:r>
      <w:r>
        <w:rPr>
          <w:color w:val="auto"/>
          <w:highlight w:val="none"/>
        </w:rPr>
        <w:instrText xml:space="preserve"> HYPERLINK \l "_Toc101266299" </w:instrText>
      </w:r>
      <w:r>
        <w:rPr>
          <w:color w:val="auto"/>
          <w:highlight w:val="none"/>
        </w:rPr>
        <w:fldChar w:fldCharType="separate"/>
      </w:r>
      <w:r>
        <w:rPr>
          <w:rStyle w:val="64"/>
          <w:rFonts w:ascii="Arial" w:hAnsi="Arial" w:cs="Arial"/>
          <w:color w:val="auto"/>
          <w:highlight w:val="none"/>
        </w:rPr>
        <w:t>可选办法八（适合经评审的最低投标价法，技术标与经济标同时开启）</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_Toc101266299 \h </w:instrText>
      </w:r>
      <w:r>
        <w:rPr>
          <w:rFonts w:ascii="Arial" w:hAnsi="Arial" w:cs="Arial"/>
          <w:color w:val="auto"/>
          <w:highlight w:val="none"/>
        </w:rPr>
        <w:fldChar w:fldCharType="separate"/>
      </w:r>
      <w:r>
        <w:rPr>
          <w:rFonts w:ascii="Arial" w:hAnsi="Arial" w:cs="Arial"/>
          <w:color w:val="auto"/>
          <w:highlight w:val="none"/>
        </w:rPr>
        <w:t>75</w:t>
      </w:r>
      <w:r>
        <w:rPr>
          <w:rFonts w:ascii="Arial" w:hAnsi="Arial" w:cs="Arial"/>
          <w:color w:val="auto"/>
          <w:highlight w:val="none"/>
        </w:rPr>
        <w:fldChar w:fldCharType="end"/>
      </w:r>
      <w:r>
        <w:rPr>
          <w:rFonts w:ascii="Arial" w:hAnsi="Arial" w:cs="Arial"/>
          <w:color w:val="auto"/>
          <w:highlight w:val="none"/>
        </w:rPr>
        <w:fldChar w:fldCharType="end"/>
      </w:r>
    </w:p>
    <w:p>
      <w:pPr>
        <w:pStyle w:val="38"/>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"_Toc101266300" </w:instrText>
      </w:r>
      <w:r>
        <w:rPr>
          <w:color w:val="auto"/>
          <w:highlight w:val="none"/>
        </w:rPr>
        <w:fldChar w:fldCharType="separate"/>
      </w:r>
      <w:r>
        <w:rPr>
          <w:rStyle w:val="64"/>
          <w:rFonts w:ascii="Arial" w:hAnsi="Arial" w:cs="Arial"/>
          <w:color w:val="auto"/>
          <w:highlight w:val="none"/>
        </w:rPr>
        <w:t>第三章  合同条款</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_Toc101266300 \h </w:instrText>
      </w:r>
      <w:r>
        <w:rPr>
          <w:rFonts w:ascii="Arial" w:hAnsi="Arial" w:cs="Arial"/>
          <w:color w:val="auto"/>
          <w:highlight w:val="none"/>
        </w:rPr>
        <w:fldChar w:fldCharType="separate"/>
      </w:r>
      <w:r>
        <w:rPr>
          <w:rFonts w:ascii="Arial" w:hAnsi="Arial" w:cs="Arial"/>
          <w:color w:val="auto"/>
          <w:highlight w:val="none"/>
        </w:rPr>
        <w:t>91</w:t>
      </w:r>
      <w:r>
        <w:rPr>
          <w:rFonts w:ascii="Arial" w:hAnsi="Arial" w:cs="Arial"/>
          <w:color w:val="auto"/>
          <w:highlight w:val="none"/>
        </w:rPr>
        <w:fldChar w:fldCharType="end"/>
      </w:r>
      <w:r>
        <w:rPr>
          <w:rFonts w:ascii="Arial" w:hAnsi="Arial" w:cs="Arial"/>
          <w:color w:val="auto"/>
          <w:highlight w:val="none"/>
        </w:rPr>
        <w:fldChar w:fldCharType="end"/>
      </w:r>
    </w:p>
    <w:p>
      <w:pPr>
        <w:pStyle w:val="38"/>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"_Toc101266301" </w:instrText>
      </w:r>
      <w:r>
        <w:rPr>
          <w:color w:val="auto"/>
          <w:highlight w:val="none"/>
        </w:rPr>
        <w:fldChar w:fldCharType="separate"/>
      </w:r>
      <w:r>
        <w:rPr>
          <w:rStyle w:val="64"/>
          <w:rFonts w:ascii="Arial" w:hAnsi="Arial" w:cs="Arial"/>
          <w:color w:val="auto"/>
          <w:highlight w:val="none"/>
        </w:rPr>
        <w:t>第四章  投标文件格式</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_Toc101266301 \h </w:instrText>
      </w:r>
      <w:r>
        <w:rPr>
          <w:rFonts w:ascii="Arial" w:hAnsi="Arial" w:cs="Arial"/>
          <w:color w:val="auto"/>
          <w:highlight w:val="none"/>
        </w:rPr>
        <w:fldChar w:fldCharType="separate"/>
      </w:r>
      <w:r>
        <w:rPr>
          <w:rFonts w:ascii="Arial" w:hAnsi="Arial" w:cs="Arial"/>
          <w:color w:val="auto"/>
          <w:highlight w:val="none"/>
        </w:rPr>
        <w:t>92</w:t>
      </w:r>
      <w:r>
        <w:rPr>
          <w:rFonts w:ascii="Arial" w:hAnsi="Arial" w:cs="Arial"/>
          <w:color w:val="auto"/>
          <w:highlight w:val="none"/>
        </w:rPr>
        <w:fldChar w:fldCharType="end"/>
      </w:r>
      <w:r>
        <w:rPr>
          <w:rFonts w:ascii="Arial" w:hAnsi="Arial" w:cs="Arial"/>
          <w:color w:val="auto"/>
          <w:highlight w:val="none"/>
        </w:rPr>
        <w:fldChar w:fldCharType="end"/>
      </w:r>
    </w:p>
    <w:p>
      <w:pPr>
        <w:pStyle w:val="38"/>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"_Toc101266308" </w:instrText>
      </w:r>
      <w:r>
        <w:rPr>
          <w:color w:val="auto"/>
          <w:highlight w:val="none"/>
        </w:rPr>
        <w:fldChar w:fldCharType="separate"/>
      </w:r>
      <w:r>
        <w:rPr>
          <w:rStyle w:val="64"/>
          <w:rFonts w:ascii="Arial" w:hAnsi="Arial" w:cs="Arial"/>
          <w:color w:val="auto"/>
          <w:highlight w:val="none"/>
        </w:rPr>
        <w:t>第五章  技术条件（工程建设标准）</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_Toc101266308 \h </w:instrText>
      </w:r>
      <w:r>
        <w:rPr>
          <w:rFonts w:ascii="Arial" w:hAnsi="Arial" w:cs="Arial"/>
          <w:color w:val="auto"/>
          <w:highlight w:val="none"/>
        </w:rPr>
        <w:fldChar w:fldCharType="separate"/>
      </w:r>
      <w:r>
        <w:rPr>
          <w:rFonts w:ascii="Arial" w:hAnsi="Arial" w:cs="Arial"/>
          <w:color w:val="auto"/>
          <w:highlight w:val="none"/>
        </w:rPr>
        <w:t>103</w:t>
      </w:r>
      <w:r>
        <w:rPr>
          <w:rFonts w:ascii="Arial" w:hAnsi="Arial" w:cs="Arial"/>
          <w:color w:val="auto"/>
          <w:highlight w:val="none"/>
        </w:rPr>
        <w:fldChar w:fldCharType="end"/>
      </w:r>
      <w:r>
        <w:rPr>
          <w:rFonts w:ascii="Arial" w:hAnsi="Arial" w:cs="Arial"/>
          <w:color w:val="auto"/>
          <w:highlight w:val="none"/>
        </w:rPr>
        <w:fldChar w:fldCharType="end"/>
      </w:r>
    </w:p>
    <w:p>
      <w:pPr>
        <w:pStyle w:val="38"/>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"_Toc101266309" </w:instrText>
      </w:r>
      <w:r>
        <w:rPr>
          <w:color w:val="auto"/>
          <w:highlight w:val="none"/>
        </w:rPr>
        <w:fldChar w:fldCharType="separate"/>
      </w:r>
      <w:r>
        <w:rPr>
          <w:rStyle w:val="64"/>
          <w:rFonts w:ascii="Arial" w:hAnsi="Arial" w:cs="Arial"/>
          <w:color w:val="auto"/>
          <w:highlight w:val="none"/>
        </w:rPr>
        <w:t>第六章  图纸及勘察资料</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_Toc101266309 \h </w:instrText>
      </w:r>
      <w:r>
        <w:rPr>
          <w:rFonts w:ascii="Arial" w:hAnsi="Arial" w:cs="Arial"/>
          <w:color w:val="auto"/>
          <w:highlight w:val="none"/>
        </w:rPr>
        <w:fldChar w:fldCharType="separate"/>
      </w:r>
      <w:r>
        <w:rPr>
          <w:rFonts w:ascii="Arial" w:hAnsi="Arial" w:cs="Arial"/>
          <w:color w:val="auto"/>
          <w:highlight w:val="none"/>
        </w:rPr>
        <w:t>106</w:t>
      </w:r>
      <w:r>
        <w:rPr>
          <w:rFonts w:ascii="Arial" w:hAnsi="Arial" w:cs="Arial"/>
          <w:color w:val="auto"/>
          <w:highlight w:val="none"/>
        </w:rPr>
        <w:fldChar w:fldCharType="end"/>
      </w:r>
      <w:r>
        <w:rPr>
          <w:rFonts w:ascii="Arial" w:hAnsi="Arial" w:cs="Arial"/>
          <w:color w:val="auto"/>
          <w:highlight w:val="none"/>
        </w:rPr>
        <w:fldChar w:fldCharType="end"/>
      </w:r>
    </w:p>
    <w:p>
      <w:pPr>
        <w:pStyle w:val="38"/>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"_Toc101266310" </w:instrText>
      </w:r>
      <w:r>
        <w:rPr>
          <w:color w:val="auto"/>
          <w:highlight w:val="none"/>
        </w:rPr>
        <w:fldChar w:fldCharType="separate"/>
      </w:r>
      <w:r>
        <w:rPr>
          <w:rStyle w:val="64"/>
          <w:rFonts w:ascii="Arial" w:hAnsi="Arial" w:cs="Arial"/>
          <w:color w:val="auto"/>
          <w:highlight w:val="none"/>
        </w:rPr>
        <w:t>第七章  工程量清单</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_Toc101266310 \h </w:instrText>
      </w:r>
      <w:r>
        <w:rPr>
          <w:rFonts w:ascii="Arial" w:hAnsi="Arial" w:cs="Arial"/>
          <w:color w:val="auto"/>
          <w:highlight w:val="none"/>
        </w:rPr>
        <w:fldChar w:fldCharType="separate"/>
      </w:r>
      <w:r>
        <w:rPr>
          <w:rFonts w:ascii="Arial" w:hAnsi="Arial" w:cs="Arial"/>
          <w:color w:val="auto"/>
          <w:highlight w:val="none"/>
        </w:rPr>
        <w:t>107</w:t>
      </w:r>
      <w:r>
        <w:rPr>
          <w:rFonts w:ascii="Arial" w:hAnsi="Arial" w:cs="Arial"/>
          <w:color w:val="auto"/>
          <w:highlight w:val="none"/>
        </w:rPr>
        <w:fldChar w:fldCharType="end"/>
      </w:r>
      <w:r>
        <w:rPr>
          <w:rFonts w:ascii="Arial" w:hAnsi="Arial" w:cs="Arial"/>
          <w:color w:val="auto"/>
          <w:highlight w:val="none"/>
        </w:rPr>
        <w:fldChar w:fldCharType="end"/>
      </w:r>
    </w:p>
    <w:p>
      <w:pPr>
        <w:pStyle w:val="38"/>
        <w:rPr>
          <w:rFonts w:ascii="Arial" w:hAnsi="Arial" w:cs="Arial"/>
          <w:caps w:val="0"/>
          <w:color w:val="auto"/>
          <w:kern w:val="2"/>
          <w:sz w:val="21"/>
          <w:szCs w:val="22"/>
          <w:highlight w:val="none"/>
        </w:rPr>
      </w:pPr>
      <w:r>
        <w:rPr>
          <w:color w:val="auto"/>
          <w:highlight w:val="none"/>
        </w:rPr>
        <w:fldChar w:fldCharType="begin"/>
      </w:r>
      <w:r>
        <w:rPr>
          <w:color w:val="auto"/>
          <w:highlight w:val="none"/>
        </w:rPr>
        <w:instrText xml:space="preserve"> HYPERLINK \l "_Toc101266311" </w:instrText>
      </w:r>
      <w:r>
        <w:rPr>
          <w:color w:val="auto"/>
          <w:highlight w:val="none"/>
        </w:rPr>
        <w:fldChar w:fldCharType="separate"/>
      </w:r>
      <w:r>
        <w:rPr>
          <w:rStyle w:val="64"/>
          <w:rFonts w:ascii="Arial" w:hAnsi="Arial" w:cs="Arial"/>
          <w:color w:val="auto"/>
          <w:highlight w:val="none"/>
        </w:rPr>
        <w:t>第八章  最高投标限价</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_Toc101266311 \h </w:instrText>
      </w:r>
      <w:r>
        <w:rPr>
          <w:rFonts w:ascii="Arial" w:hAnsi="Arial" w:cs="Arial"/>
          <w:color w:val="auto"/>
          <w:highlight w:val="none"/>
        </w:rPr>
        <w:fldChar w:fldCharType="separate"/>
      </w:r>
      <w:r>
        <w:rPr>
          <w:rFonts w:ascii="Arial" w:hAnsi="Arial" w:cs="Arial"/>
          <w:color w:val="auto"/>
          <w:highlight w:val="none"/>
        </w:rPr>
        <w:t>108</w:t>
      </w:r>
      <w:r>
        <w:rPr>
          <w:rFonts w:ascii="Arial" w:hAnsi="Arial" w:cs="Arial"/>
          <w:color w:val="auto"/>
          <w:highlight w:val="none"/>
        </w:rPr>
        <w:fldChar w:fldCharType="end"/>
      </w:r>
      <w:r>
        <w:rPr>
          <w:rFonts w:ascii="Arial" w:hAnsi="Arial" w:cs="Arial"/>
          <w:color w:val="auto"/>
          <w:highlight w:val="none"/>
        </w:rPr>
        <w:fldChar w:fldCharType="end"/>
      </w:r>
    </w:p>
    <w:p>
      <w:pPr>
        <w:pStyle w:val="3"/>
        <w:rPr>
          <w:rFonts w:cs="Arial"/>
          <w:color w:val="auto"/>
          <w:highlight w:val="none"/>
        </w:rPr>
      </w:pPr>
      <w:r>
        <w:rPr>
          <w:rFonts w:cs="Arial"/>
          <w:color w:val="auto"/>
          <w:highlight w:val="none"/>
        </w:rPr>
        <w:fldChar w:fldCharType="end"/>
      </w:r>
      <w:bookmarkStart w:id="0" w:name="_Toc101266278"/>
      <w:bookmarkStart w:id="1" w:name="_Toc2272545"/>
      <w:r>
        <w:rPr>
          <w:rFonts w:cs="Arial"/>
          <w:color w:val="auto"/>
          <w:highlight w:val="none"/>
        </w:rPr>
        <w:t>第一章  投标须知</w:t>
      </w:r>
      <w:bookmarkEnd w:id="0"/>
      <w:bookmarkEnd w:id="1"/>
    </w:p>
    <w:p>
      <w:pPr>
        <w:pStyle w:val="4"/>
        <w:rPr>
          <w:rFonts w:cs="Arial"/>
          <w:color w:val="auto"/>
          <w:highlight w:val="none"/>
        </w:rPr>
      </w:pPr>
      <w:bookmarkStart w:id="2" w:name="_Toc2272546"/>
      <w:bookmarkStart w:id="3" w:name="_Toc101266279"/>
      <w:r>
        <w:rPr>
          <w:rFonts w:cs="Arial"/>
          <w:color w:val="auto"/>
          <w:highlight w:val="none"/>
        </w:rPr>
        <w:t>一、投标须知前附表</w:t>
      </w:r>
      <w:bookmarkEnd w:id="2"/>
      <w:bookmarkEnd w:id="3"/>
    </w:p>
    <w:p>
      <w:pPr>
        <w:pStyle w:val="5"/>
        <w:spacing w:line="360" w:lineRule="auto"/>
        <w:ind w:firstLine="0"/>
        <w:rPr>
          <w:rFonts w:ascii="Arial" w:hAnsi="Arial" w:cs="Arial"/>
          <w:b/>
          <w:color w:val="auto"/>
          <w:sz w:val="24"/>
          <w:szCs w:val="24"/>
          <w:highlight w:val="none"/>
        </w:rPr>
      </w:pPr>
      <w:r>
        <w:rPr>
          <w:rFonts w:ascii="Arial" w:hAnsi="Arial" w:cs="Arial"/>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55"/>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r>
              <w:rPr>
                <w:rFonts w:ascii="Arial" w:hAnsi="Arial" w:cs="Arial"/>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31"/>
              <w:ind w:firstLine="458"/>
              <w:jc w:val="center"/>
              <w:rPr>
                <w:rFonts w:ascii="Arial" w:hAnsi="Arial" w:cs="Arial"/>
                <w:color w:val="auto"/>
                <w:szCs w:val="21"/>
                <w:highlight w:val="none"/>
              </w:rPr>
            </w:pPr>
            <w:r>
              <w:rPr>
                <w:rFonts w:ascii="Arial" w:hAnsi="Arial" w:cs="Arial"/>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招标人（即发包人）：</w:t>
            </w:r>
            <w:r>
              <w:rPr>
                <w:rFonts w:hint="eastAsia" w:ascii="Arial" w:hAnsi="Arial" w:cs="Arial"/>
                <w:color w:val="auto"/>
                <w:szCs w:val="21"/>
                <w:highlight w:val="none"/>
                <w:u w:val="single"/>
                <w:lang w:eastAsia="zh-CN"/>
              </w:rPr>
              <w:t>广州市广园市政建设有限公司</w:t>
            </w:r>
            <w:r>
              <w:rPr>
                <w:rFonts w:ascii="Arial" w:hAnsi="Arial" w:cs="Arial"/>
                <w:color w:val="auto"/>
                <w:szCs w:val="21"/>
                <w:highlight w:val="none"/>
                <w:u w:val="single"/>
              </w:rPr>
              <w:t xml:space="preserve"> </w:t>
            </w:r>
          </w:p>
          <w:p>
            <w:pPr>
              <w:rPr>
                <w:rFonts w:ascii="Arial" w:hAnsi="Arial" w:cs="Arial"/>
                <w:color w:val="auto"/>
                <w:szCs w:val="21"/>
                <w:highlight w:val="none"/>
              </w:rPr>
            </w:pPr>
            <w:r>
              <w:rPr>
                <w:rFonts w:ascii="Arial" w:hAnsi="Arial" w:cs="Arial"/>
                <w:color w:val="auto"/>
                <w:szCs w:val="21"/>
                <w:highlight w:val="none"/>
              </w:rPr>
              <w:t>招标代理：</w:t>
            </w:r>
            <w:r>
              <w:rPr>
                <w:rFonts w:ascii="Arial" w:hAnsi="Arial" w:cs="Arial"/>
                <w:color w:val="auto"/>
                <w:szCs w:val="21"/>
                <w:highlight w:val="none"/>
                <w:u w:val="single"/>
              </w:rPr>
              <w:t xml:space="preserve"> </w:t>
            </w:r>
            <w:r>
              <w:rPr>
                <w:rFonts w:hint="eastAsia" w:ascii="Arial" w:hAnsi="Arial" w:cs="Arial"/>
                <w:color w:val="auto"/>
                <w:szCs w:val="21"/>
                <w:highlight w:val="none"/>
                <w:u w:val="single"/>
                <w:lang w:eastAsia="zh-CN"/>
              </w:rPr>
              <w:t>广州市广园工程技术咨询有限公司</w:t>
            </w:r>
            <w:r>
              <w:rPr>
                <w:rFonts w:ascii="Arial" w:hAnsi="Arial" w:cs="Arial"/>
                <w:color w:val="auto"/>
                <w:szCs w:val="21"/>
                <w:highlight w:val="none"/>
                <w:u w:val="single"/>
              </w:rPr>
              <w:t xml:space="preserve">    </w:t>
            </w:r>
          </w:p>
          <w:p>
            <w:pPr>
              <w:rPr>
                <w:rFonts w:ascii="Arial" w:hAnsi="Arial" w:cs="Arial"/>
                <w:color w:val="auto"/>
                <w:szCs w:val="21"/>
                <w:highlight w:val="none"/>
              </w:rPr>
            </w:pPr>
            <w:r>
              <w:rPr>
                <w:rFonts w:ascii="Arial" w:hAnsi="Arial" w:cs="Arial"/>
                <w:color w:val="auto"/>
                <w:szCs w:val="21"/>
                <w:highlight w:val="none"/>
              </w:rPr>
              <w:t>设计单位：</w:t>
            </w:r>
            <w:r>
              <w:rPr>
                <w:rFonts w:ascii="Arial" w:hAnsi="Arial" w:cs="Arial"/>
                <w:color w:val="auto"/>
                <w:szCs w:val="21"/>
                <w:highlight w:val="none"/>
                <w:u w:val="single"/>
              </w:rPr>
              <w:t xml:space="preserve"> </w:t>
            </w:r>
            <w:r>
              <w:rPr>
                <w:rFonts w:hint="eastAsia" w:ascii="Arial" w:hAnsi="Arial" w:cs="Arial"/>
                <w:color w:val="auto"/>
                <w:szCs w:val="21"/>
                <w:highlight w:val="none"/>
                <w:u w:val="single"/>
                <w:lang w:val="en-US" w:eastAsia="zh-CN"/>
              </w:rPr>
              <w:t xml:space="preserve"> 广州市市政工程设计研究总院有限公司</w:t>
            </w:r>
            <w:r>
              <w:rPr>
                <w:rFonts w:ascii="Arial" w:hAnsi="Arial" w:cs="Arial"/>
                <w:color w:val="auto"/>
                <w:szCs w:val="21"/>
                <w:highlight w:val="none"/>
                <w:u w:val="single"/>
              </w:rPr>
              <w:t xml:space="preserve">  </w:t>
            </w:r>
          </w:p>
          <w:p>
            <w:pPr>
              <w:rPr>
                <w:rFonts w:hint="default" w:ascii="Arial" w:hAnsi="Arial" w:cs="Arial"/>
                <w:color w:val="auto"/>
                <w:szCs w:val="21"/>
                <w:highlight w:val="none"/>
                <w:u w:val="none"/>
                <w:lang w:val="en-US"/>
              </w:rPr>
            </w:pPr>
            <w:r>
              <w:rPr>
                <w:rFonts w:ascii="Arial" w:hAnsi="Arial" w:cs="Arial"/>
                <w:color w:val="auto"/>
                <w:szCs w:val="21"/>
                <w:highlight w:val="none"/>
              </w:rPr>
              <w:t>监理单位：</w:t>
            </w:r>
            <w:r>
              <w:rPr>
                <w:rFonts w:hint="eastAsia" w:ascii="Arial" w:hAnsi="Arial" w:cs="Arial"/>
                <w:color w:val="auto"/>
                <w:szCs w:val="21"/>
                <w:highlight w:val="none"/>
                <w:lang w:val="en-US" w:eastAsia="zh-CN"/>
              </w:rPr>
              <w:t xml:space="preserve"> </w:t>
            </w:r>
            <w:r>
              <w:rPr>
                <w:rFonts w:hint="eastAsia" w:ascii="Arial" w:hAnsi="Arial" w:cs="Arial"/>
                <w:color w:val="auto"/>
                <w:szCs w:val="21"/>
                <w:highlight w:val="none"/>
                <w:u w:val="single"/>
                <w:lang w:val="en-US" w:eastAsia="zh-CN"/>
              </w:rPr>
              <w:t xml:space="preserve"> / </w:t>
            </w:r>
          </w:p>
          <w:p>
            <w:pPr>
              <w:rPr>
                <w:rFonts w:ascii="Arial" w:hAnsi="Arial" w:cs="Arial"/>
                <w:color w:val="auto"/>
                <w:szCs w:val="21"/>
                <w:highlight w:val="none"/>
              </w:rPr>
            </w:pPr>
            <w:r>
              <w:rPr>
                <w:rFonts w:ascii="Arial" w:hAnsi="Arial" w:cs="Arial"/>
                <w:color w:val="auto"/>
                <w:szCs w:val="21"/>
                <w:highlight w:val="none"/>
              </w:rPr>
              <w:t>检测机构：</w:t>
            </w:r>
            <w:r>
              <w:rPr>
                <w:rFonts w:ascii="Arial" w:hAnsi="Arial" w:cs="Arial"/>
                <w:color w:val="auto"/>
                <w:szCs w:val="21"/>
                <w:highlight w:val="none"/>
                <w:u w:val="single"/>
              </w:rPr>
              <w:t xml:space="preserve"> </w:t>
            </w:r>
            <w:r>
              <w:rPr>
                <w:rFonts w:hint="eastAsia" w:ascii="Arial" w:hAnsi="Arial" w:cs="Arial"/>
                <w:color w:val="auto"/>
                <w:szCs w:val="21"/>
                <w:highlight w:val="none"/>
                <w:u w:val="single"/>
                <w:lang w:val="en-US" w:eastAsia="zh-CN"/>
              </w:rPr>
              <w:t xml:space="preserve"> /</w:t>
            </w:r>
            <w:r>
              <w:rPr>
                <w:rFonts w:ascii="Arial" w:hAnsi="Arial" w:cs="Arial"/>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hint="eastAsia" w:ascii="Arial" w:hAnsi="Arial" w:cs="Arial"/>
                <w:color w:val="auto"/>
                <w:szCs w:val="21"/>
                <w:highlight w:val="none"/>
                <w:u w:val="single"/>
                <w:lang w:eastAsia="zh-CN"/>
              </w:rPr>
              <w:t>城维计划—道路配套交通设施信号灯建设项目施工总承包一标段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Arial" w:hAnsi="Arial" w:eastAsia="宋体" w:cs="Arial"/>
                <w:color w:val="auto"/>
                <w:szCs w:val="21"/>
                <w:highlight w:val="none"/>
                <w:u w:val="single"/>
                <w:lang w:eastAsia="zh-CN"/>
              </w:rPr>
            </w:pPr>
            <w:r>
              <w:rPr>
                <w:rFonts w:ascii="Arial" w:hAnsi="Arial" w:cs="Arial"/>
                <w:color w:val="auto"/>
                <w:szCs w:val="21"/>
                <w:highlight w:val="none"/>
                <w:u w:val="single"/>
              </w:rPr>
              <w:t>广州市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ascii="Arial" w:hAnsi="Arial" w:cs="Arial"/>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宋体" w:hAnsi="宋体" w:eastAsia="宋体" w:cs="宋体"/>
                <w:color w:val="auto"/>
                <w:szCs w:val="21"/>
                <w:highlight w:val="none"/>
                <w:u w:val="single"/>
              </w:rPr>
              <w:t>包工、包料、包设备、包工期、包质量、包安全、包文明施工包验收、包保修。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Arial" w:hAnsi="Arial" w:eastAsia="宋体" w:cs="Arial"/>
                <w:color w:val="auto"/>
                <w:szCs w:val="21"/>
                <w:highlight w:val="none"/>
                <w:u w:val="single"/>
                <w:lang w:eastAsia="zh-CN"/>
              </w:rPr>
            </w:pPr>
            <w:r>
              <w:rPr>
                <w:rFonts w:hint="eastAsia" w:ascii="Arial" w:hAnsi="Arial" w:cs="Arial"/>
                <w:color w:val="auto"/>
                <w:szCs w:val="21"/>
                <w:highlight w:val="none"/>
                <w:u w:val="single"/>
                <w:lang w:val="en-US" w:eastAsia="zh-CN"/>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ascii="Arial" w:hAnsi="Arial" w:cs="Arial"/>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0" w:firstLineChars="0"/>
              <w:rPr>
                <w:rFonts w:ascii="Arial" w:hAnsi="Arial" w:cs="Arial"/>
                <w:color w:val="auto"/>
                <w:szCs w:val="21"/>
                <w:highlight w:val="none"/>
              </w:rPr>
            </w:pPr>
            <w:r>
              <w:rPr>
                <w:rFonts w:hint="eastAsia" w:ascii="Arial" w:hAnsi="Arial" w:cs="Arial"/>
                <w:color w:val="auto"/>
                <w:szCs w:val="21"/>
                <w:highlight w:val="none"/>
              </w:rPr>
              <w:t>开工日期具体以经批复的开工文件为准，暂定总工期</w:t>
            </w:r>
            <w:r>
              <w:rPr>
                <w:rFonts w:hint="eastAsia" w:ascii="Arial" w:hAnsi="Arial" w:cs="Arial"/>
                <w:color w:val="auto"/>
                <w:szCs w:val="21"/>
                <w:highlight w:val="none"/>
                <w:lang w:val="en-US" w:eastAsia="zh-CN"/>
              </w:rPr>
              <w:t>90</w:t>
            </w:r>
            <w:r>
              <w:rPr>
                <w:rFonts w:hint="eastAsia" w:ascii="Arial" w:hAnsi="Arial" w:cs="Arial"/>
                <w:color w:val="auto"/>
                <w:szCs w:val="21"/>
                <w:highlight w:val="none"/>
              </w:rPr>
              <w:t>日历天</w:t>
            </w:r>
            <w:r>
              <w:rPr>
                <w:rFonts w:hint="eastAsia" w:ascii="Arial" w:hAnsi="Arial" w:cs="Arial"/>
                <w:color w:val="auto"/>
                <w:szCs w:val="21"/>
                <w:highlight w:val="none"/>
                <w:lang w:eastAsia="zh-CN"/>
              </w:rPr>
              <w:t>，须于2023年12月30日前完成全部主体施工任务</w:t>
            </w:r>
            <w:r>
              <w:rPr>
                <w:rFonts w:hint="eastAsia" w:ascii="Arial" w:hAnsi="Arial" w:cs="Arial"/>
                <w:color w:val="auto"/>
                <w:szCs w:val="21"/>
                <w:highlight w:val="none"/>
              </w:rPr>
              <w:t>。</w:t>
            </w:r>
            <w:r>
              <w:rPr>
                <w:rFonts w:ascii="Arial" w:hAnsi="Arial" w:cs="Arial"/>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ascii="Arial" w:hAnsi="Arial" w:cs="Arial"/>
                <w:color w:val="auto"/>
                <w:szCs w:val="21"/>
                <w:highlight w:val="none"/>
                <w:u w:val="single"/>
              </w:rPr>
              <w:t>财政性资金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工程量清单计价，按国家、省有关计价规范执行。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ascii="Arial" w:hAnsi="Arial" w:cs="Arial"/>
                <w:color w:val="auto"/>
                <w:szCs w:val="21"/>
                <w:highlight w:val="none"/>
                <w:u w:val="single"/>
              </w:rPr>
              <w:t xml:space="preserve"> 90</w:t>
            </w:r>
            <w:r>
              <w:rPr>
                <w:rFonts w:ascii="Arial" w:hAnsi="Arial" w:cs="Arial"/>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0" w:firstLineChars="0"/>
              <w:rPr>
                <w:rFonts w:ascii="Arial" w:hAnsi="Arial" w:cs="Arial"/>
                <w:color w:val="auto"/>
                <w:highlight w:val="none"/>
              </w:rPr>
            </w:pPr>
            <w:r>
              <w:rPr>
                <w:rFonts w:hint="eastAsia" w:ascii="宋体" w:hAnsi="宋体" w:cs="宋体"/>
                <w:color w:val="auto"/>
                <w:szCs w:val="21"/>
                <w:highlight w:val="none"/>
                <w:u w:val="single"/>
                <w:lang w:val="en-US" w:eastAsia="zh-CN"/>
              </w:rPr>
              <w:t>本项目不收取投标保证金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31"/>
              <w:rPr>
                <w:rFonts w:ascii="Arial" w:hAnsi="Arial" w:cs="Arial"/>
                <w:color w:val="auto"/>
                <w:szCs w:val="21"/>
                <w:highlight w:val="none"/>
              </w:rPr>
            </w:pPr>
            <w:r>
              <w:rPr>
                <w:rFonts w:ascii="Arial" w:hAnsi="Arial" w:cs="Arial"/>
                <w:color w:val="auto"/>
                <w:szCs w:val="21"/>
                <w:highlight w:val="none"/>
              </w:rPr>
              <w:t xml:space="preserve">招标人不集中组织，由投标人自行踏勘。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疑问提交时间：投标人在递交投标文件截止时间18天前提出；</w:t>
            </w:r>
          </w:p>
          <w:p>
            <w:pPr>
              <w:rPr>
                <w:rFonts w:ascii="Arial" w:hAnsi="Arial" w:cs="Arial"/>
                <w:color w:val="auto"/>
                <w:szCs w:val="21"/>
                <w:highlight w:val="none"/>
              </w:rPr>
            </w:pPr>
            <w:r>
              <w:rPr>
                <w:rFonts w:hint="eastAsia" w:ascii="Arial" w:hAnsi="Arial" w:cs="Arial"/>
                <w:color w:val="auto"/>
                <w:szCs w:val="21"/>
                <w:highlight w:val="none"/>
              </w:rPr>
              <w:t>形式：投标人的疑问通过</w:t>
            </w:r>
            <w:r>
              <w:rPr>
                <w:rFonts w:hint="eastAsia" w:ascii="宋体" w:hAnsi="宋体" w:eastAsia="宋体" w:cs="宋体"/>
                <w:bCs/>
                <w:color w:val="auto"/>
                <w:szCs w:val="21"/>
                <w:highlight w:val="none"/>
                <w:u w:val="single"/>
              </w:rPr>
              <w:t>广州交易集团有限公司（广州公共资源交易中心）</w:t>
            </w:r>
            <w:r>
              <w:rPr>
                <w:rFonts w:hint="eastAsia" w:ascii="Arial" w:hAnsi="Arial" w:cs="Arial"/>
                <w:color w:val="auto"/>
                <w:szCs w:val="21"/>
                <w:highlight w:val="none"/>
              </w:rPr>
              <w:t>网站提交。</w:t>
            </w:r>
          </w:p>
          <w:p>
            <w:pPr>
              <w:wordWrap w:val="0"/>
              <w:rPr>
                <w:rFonts w:ascii="Arial" w:hAnsi="Arial" w:cs="Arial"/>
                <w:color w:val="auto"/>
                <w:szCs w:val="21"/>
                <w:highlight w:val="none"/>
              </w:rPr>
            </w:pPr>
            <w:r>
              <w:rPr>
                <w:rFonts w:hint="eastAsia" w:ascii="Arial" w:hAnsi="Arial" w:cs="Arial"/>
                <w:color w:val="auto"/>
                <w:szCs w:val="21"/>
                <w:highlight w:val="none"/>
              </w:rPr>
              <w:t>具体要求：按照交易平台关于全流程电子化项目的相关指南进行操作，详见：【房建市政】【交易系统】【投标人】全流程电子化交易系统操作手册（http://www.gzggzy.cn/cms/wz/view/index/layout3/index.jsp?siteId=1&amp;infoId=486799&amp;channelId=942&amp;tdsourcetag=s_pcqq_aiomsg）。</w:t>
            </w:r>
          </w:p>
          <w:p>
            <w:pPr>
              <w:rPr>
                <w:rFonts w:ascii="Arial" w:hAnsi="Arial" w:cs="Arial"/>
                <w:color w:val="auto"/>
                <w:szCs w:val="21"/>
                <w:highlight w:val="none"/>
              </w:rPr>
            </w:pPr>
            <w:r>
              <w:rPr>
                <w:rFonts w:hint="eastAsia" w:ascii="Arial" w:hAnsi="Arial" w:cs="Arial"/>
                <w:color w:val="auto"/>
                <w:szCs w:val="21"/>
                <w:highlight w:val="none"/>
              </w:rPr>
              <w:t>进入到提问区域的密码为123456，提问一律不得署名。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trike/>
                <w:color w:val="auto"/>
                <w:szCs w:val="21"/>
                <w:highlight w:val="none"/>
              </w:rPr>
            </w:pP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r>
              <w:rPr>
                <w:rFonts w:ascii="Arial" w:hAnsi="Arial" w:cs="Arial"/>
                <w:color w:val="auto"/>
                <w:szCs w:val="21"/>
                <w:highlight w:val="none"/>
                <w:u w:val="single"/>
              </w:rPr>
              <w:t xml:space="preserve">   </w:t>
            </w:r>
            <w:r>
              <w:rPr>
                <w:rFonts w:ascii="Arial" w:hAnsi="Arial" w:cs="Arial"/>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（技术标和经济标同时开标）</w:t>
            </w:r>
          </w:p>
          <w:p>
            <w:pPr>
              <w:rPr>
                <w:rFonts w:ascii="Arial" w:hAnsi="Arial" w:cs="Arial"/>
                <w:color w:val="auto"/>
                <w:szCs w:val="21"/>
                <w:highlight w:val="none"/>
                <w:u w:val="single"/>
              </w:rPr>
            </w:pPr>
            <w:r>
              <w:rPr>
                <w:rFonts w:ascii="Arial" w:hAnsi="Arial" w:cs="Arial"/>
                <w:color w:val="auto"/>
                <w:szCs w:val="21"/>
                <w:highlight w:val="none"/>
              </w:rPr>
              <w:t>1、开标开始时间：</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r>
              <w:rPr>
                <w:rFonts w:ascii="Arial" w:hAnsi="Arial" w:cs="Arial"/>
                <w:color w:val="auto"/>
                <w:szCs w:val="21"/>
                <w:highlight w:val="none"/>
                <w:u w:val="single"/>
              </w:rPr>
              <w:t xml:space="preserve">   </w:t>
            </w:r>
            <w:r>
              <w:rPr>
                <w:rFonts w:ascii="Arial" w:hAnsi="Arial" w:cs="Arial"/>
                <w:color w:val="auto"/>
                <w:szCs w:val="21"/>
                <w:highlight w:val="none"/>
              </w:rPr>
              <w:t>时</w:t>
            </w:r>
            <w:r>
              <w:rPr>
                <w:rFonts w:ascii="Arial" w:hAnsi="Arial" w:cs="Arial"/>
                <w:color w:val="auto"/>
                <w:szCs w:val="21"/>
                <w:highlight w:val="none"/>
                <w:u w:val="single"/>
              </w:rPr>
              <w:t xml:space="preserve">   </w:t>
            </w:r>
            <w:r>
              <w:rPr>
                <w:rFonts w:ascii="Arial" w:hAnsi="Arial" w:cs="Arial"/>
                <w:color w:val="auto"/>
                <w:szCs w:val="21"/>
                <w:highlight w:val="none"/>
              </w:rPr>
              <w:t>分（与投标截止时间为同一时间），地点：</w:t>
            </w:r>
            <w:r>
              <w:rPr>
                <w:rFonts w:hint="eastAsia" w:ascii="宋体" w:hAnsi="宋体" w:eastAsia="宋体" w:cs="宋体"/>
                <w:bCs/>
                <w:color w:val="auto"/>
                <w:szCs w:val="21"/>
                <w:highlight w:val="none"/>
                <w:u w:val="single"/>
              </w:rPr>
              <w:t>广州交易集团有限公司（广州公共资源交易中心）</w:t>
            </w:r>
          </w:p>
          <w:p>
            <w:pPr>
              <w:wordWrap w:val="0"/>
              <w:rPr>
                <w:rFonts w:ascii="Arial" w:hAnsi="Arial" w:cs="Arial"/>
                <w:color w:val="auto"/>
                <w:szCs w:val="21"/>
                <w:highlight w:val="none"/>
              </w:rPr>
            </w:pPr>
            <w:r>
              <w:rPr>
                <w:rFonts w:ascii="Arial" w:hAnsi="Arial" w:cs="Arial"/>
                <w:color w:val="auto"/>
                <w:szCs w:val="21"/>
                <w:highlight w:val="none"/>
              </w:rPr>
              <w:t>注：</w:t>
            </w:r>
            <w:r>
              <w:rPr>
                <w:rFonts w:hint="eastAsia" w:ascii="Arial" w:hAnsi="Arial" w:cs="Arial"/>
                <w:color w:val="auto"/>
                <w:szCs w:val="21"/>
                <w:highlight w:val="none"/>
                <w:lang w:val="en-US" w:eastAsia="zh-CN"/>
              </w:rPr>
              <w:t>①投标人也可选择参加在线开标，具体按照交易平台相关指南进行操作。详见：</w:t>
            </w:r>
            <w:r>
              <w:rPr>
                <w:rFonts w:hint="eastAsia" w:ascii="Arial" w:hAnsi="Arial" w:cs="Arial"/>
                <w:color w:val="auto"/>
                <w:szCs w:val="21"/>
                <w:highlight w:val="none"/>
              </w:rPr>
              <w:t>【房建市政】【交易系统】【投标人】全流程电子化交易系统操作手册（http://www.gzggzy.cn/cms/wz/view/index/layout3/index.jsp?siteId=1&amp;infoId=486799&amp;channelId=942&amp;tdsourcetag=s_pcqq_aiomsg）</w:t>
            </w:r>
            <w:r>
              <w:rPr>
                <w:rFonts w:hint="eastAsia" w:ascii="Arial" w:hAnsi="Arial" w:cs="Arial"/>
                <w:color w:val="auto"/>
                <w:szCs w:val="21"/>
                <w:highlight w:val="none"/>
                <w:lang w:val="en-US" w:eastAsia="zh-CN"/>
              </w:rPr>
              <w:t>。</w:t>
            </w:r>
          </w:p>
          <w:p>
            <w:pPr>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②</w:t>
            </w:r>
            <w:r>
              <w:rPr>
                <w:rFonts w:ascii="Arial" w:hAnsi="Arial" w:cs="Arial"/>
                <w:color w:val="auto"/>
                <w:szCs w:val="21"/>
                <w:highlight w:val="none"/>
              </w:rPr>
              <w:t>投标文件解密问题。投标人只用执行一次解密，招标人执行解密次数根据招标文件开标次数确定。</w:t>
            </w:r>
          </w:p>
          <w:p>
            <w:pPr>
              <w:rPr>
                <w:rFonts w:ascii="Arial" w:hAnsi="Arial" w:cs="Arial"/>
                <w:color w:val="auto"/>
                <w:highlight w:val="none"/>
              </w:rPr>
            </w:pPr>
            <w:r>
              <w:rPr>
                <w:rFonts w:ascii="Arial" w:hAnsi="Arial" w:cs="Arial"/>
                <w:color w:val="auto"/>
                <w:szCs w:val="21"/>
                <w:highlight w:val="none"/>
              </w:rPr>
              <w:t>2、递交投标文件备用光盘时间：</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r>
              <w:rPr>
                <w:rFonts w:ascii="Arial" w:hAnsi="Arial" w:cs="Arial"/>
                <w:color w:val="auto"/>
                <w:szCs w:val="21"/>
                <w:highlight w:val="none"/>
                <w:u w:val="single"/>
              </w:rPr>
              <w:t xml:space="preserve">   </w:t>
            </w:r>
            <w:r>
              <w:rPr>
                <w:rFonts w:ascii="Arial" w:hAnsi="Arial" w:cs="Arial"/>
                <w:color w:val="auto"/>
                <w:szCs w:val="21"/>
                <w:highlight w:val="none"/>
              </w:rPr>
              <w:t>时</w:t>
            </w:r>
            <w:r>
              <w:rPr>
                <w:rFonts w:ascii="Arial" w:hAnsi="Arial" w:cs="Arial"/>
                <w:color w:val="auto"/>
                <w:szCs w:val="21"/>
                <w:highlight w:val="none"/>
                <w:u w:val="single"/>
              </w:rPr>
              <w:t xml:space="preserve">   </w:t>
            </w:r>
            <w:r>
              <w:rPr>
                <w:rFonts w:ascii="Arial" w:hAnsi="Arial" w:cs="Arial"/>
                <w:color w:val="auto"/>
                <w:szCs w:val="21"/>
                <w:highlight w:val="none"/>
              </w:rPr>
              <w:t>分至</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r>
              <w:rPr>
                <w:rFonts w:ascii="Arial" w:hAnsi="Arial" w:cs="Arial"/>
                <w:color w:val="auto"/>
                <w:szCs w:val="21"/>
                <w:highlight w:val="none"/>
                <w:u w:val="single"/>
              </w:rPr>
              <w:t xml:space="preserve">   </w:t>
            </w:r>
            <w:r>
              <w:rPr>
                <w:rFonts w:ascii="Arial" w:hAnsi="Arial" w:cs="Arial"/>
                <w:color w:val="auto"/>
                <w:szCs w:val="21"/>
                <w:highlight w:val="none"/>
              </w:rPr>
              <w:t>时</w:t>
            </w:r>
            <w:r>
              <w:rPr>
                <w:rFonts w:ascii="Arial" w:hAnsi="Arial" w:cs="Arial"/>
                <w:color w:val="auto"/>
                <w:szCs w:val="21"/>
                <w:highlight w:val="none"/>
                <w:u w:val="single"/>
              </w:rPr>
              <w:t xml:space="preserve">   </w:t>
            </w:r>
            <w:r>
              <w:rPr>
                <w:rFonts w:ascii="Arial" w:hAnsi="Arial" w:cs="Arial"/>
                <w:color w:val="auto"/>
                <w:szCs w:val="21"/>
                <w:highlight w:val="none"/>
              </w:rPr>
              <w:t>分；递交地点：</w:t>
            </w:r>
            <w:r>
              <w:rPr>
                <w:rFonts w:ascii="Arial" w:hAnsi="Arial" w:cs="Arial"/>
                <w:color w:val="auto"/>
                <w:highlight w:val="none"/>
                <w:u w:val="single"/>
              </w:rPr>
              <w:t xml:space="preserve">  </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highlight w:val="none"/>
              </w:rPr>
              <w:t>。(建议安排在投标文件截止时间前15分钟至投标文件截止时间）</w:t>
            </w:r>
          </w:p>
          <w:p>
            <w:pPr>
              <w:rPr>
                <w:rFonts w:ascii="Arial" w:hAnsi="Arial" w:cs="Arial"/>
                <w:color w:val="auto"/>
                <w:szCs w:val="21"/>
                <w:highlight w:val="none"/>
              </w:rPr>
            </w:pPr>
            <w:r>
              <w:rPr>
                <w:rFonts w:ascii="Arial" w:hAnsi="Arial" w:cs="Arial"/>
                <w:color w:val="auto"/>
                <w:szCs w:val="21"/>
                <w:highlight w:val="none"/>
              </w:rPr>
              <w:t>3、本项目不设置项目负责人签到。</w:t>
            </w:r>
          </w:p>
          <w:p>
            <w:pPr>
              <w:rPr>
                <w:rFonts w:ascii="Arial" w:hAnsi="Arial" w:cs="Arial"/>
                <w:color w:val="auto"/>
                <w:szCs w:val="21"/>
                <w:highlight w:val="none"/>
              </w:rPr>
            </w:pPr>
            <w:r>
              <w:rPr>
                <w:rFonts w:ascii="Arial" w:hAnsi="Arial" w:cs="Arial"/>
                <w:color w:val="auto"/>
                <w:highlight w:val="none"/>
              </w:rPr>
              <w:t>上述时间及地点是否有改变，请密切留意</w:t>
            </w:r>
            <w:r>
              <w:rPr>
                <w:rFonts w:hint="eastAsia" w:ascii="Arial" w:hAnsi="Arial" w:cs="Arial"/>
                <w:color w:val="auto"/>
                <w:highlight w:val="none"/>
                <w:lang w:val="en-US" w:eastAsia="zh-CN"/>
              </w:rPr>
              <w:t>补充公告和</w:t>
            </w:r>
            <w:r>
              <w:rPr>
                <w:rFonts w:ascii="Arial" w:hAnsi="Arial" w:cs="Arial"/>
                <w:color w:val="auto"/>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3"/>
              <w:ind w:firstLine="0"/>
              <w:rPr>
                <w:rFonts w:hint="eastAsia" w:ascii="Arial" w:hAnsi="Arial" w:cs="Arial"/>
                <w:color w:val="auto"/>
                <w:szCs w:val="21"/>
                <w:highlight w:val="none"/>
              </w:rPr>
            </w:pPr>
            <w:r>
              <w:rPr>
                <w:rFonts w:hint="eastAsia" w:ascii="Arial" w:hAnsi="Arial" w:cs="Arial"/>
                <w:color w:val="auto"/>
                <w:szCs w:val="21"/>
                <w:highlight w:val="none"/>
              </w:rPr>
              <w:t>方式一：选取方法七（综合评分法四，技术标与经济标同时开启）；</w:t>
            </w:r>
          </w:p>
          <w:p>
            <w:pPr>
              <w:pStyle w:val="53"/>
              <w:ind w:firstLine="0"/>
              <w:rPr>
                <w:rFonts w:ascii="Arial" w:hAnsi="Arial" w:cs="Arial"/>
                <w:color w:val="auto"/>
                <w:szCs w:val="21"/>
                <w:highlight w:val="none"/>
              </w:rPr>
            </w:pPr>
            <w:r>
              <w:rPr>
                <w:rFonts w:hint="eastAsia" w:ascii="Arial" w:hAnsi="Arial" w:cs="Arial"/>
                <w:color w:val="auto"/>
                <w:szCs w:val="21"/>
                <w:highlight w:val="none"/>
              </w:rPr>
              <w:t>投标人总得分=技术得分（满分</w:t>
            </w:r>
            <w:r>
              <w:rPr>
                <w:rFonts w:hint="eastAsia" w:ascii="Arial" w:hAnsi="Arial" w:cs="Arial"/>
                <w:color w:val="auto"/>
                <w:szCs w:val="21"/>
                <w:highlight w:val="none"/>
                <w:lang w:val="en-US" w:eastAsia="zh-CN"/>
              </w:rPr>
              <w:t>100</w:t>
            </w:r>
            <w:r>
              <w:rPr>
                <w:rFonts w:hint="eastAsia" w:ascii="Arial" w:hAnsi="Arial" w:cs="Arial"/>
                <w:color w:val="auto"/>
                <w:szCs w:val="21"/>
                <w:highlight w:val="none"/>
              </w:rPr>
              <w:t>分）×</w:t>
            </w:r>
            <w:r>
              <w:rPr>
                <w:rFonts w:hint="eastAsia" w:ascii="Arial" w:hAnsi="Arial" w:cs="Arial"/>
                <w:color w:val="auto"/>
                <w:szCs w:val="21"/>
                <w:highlight w:val="none"/>
                <w:lang w:val="en-US" w:eastAsia="zh-CN"/>
              </w:rPr>
              <w:t>技术得分权重（20%）</w:t>
            </w:r>
            <w:r>
              <w:rPr>
                <w:rFonts w:hint="eastAsia" w:ascii="Arial" w:hAnsi="Arial" w:cs="Arial"/>
                <w:color w:val="auto"/>
                <w:szCs w:val="21"/>
                <w:highlight w:val="none"/>
              </w:rPr>
              <w:t>＋经济得分（满分100分）×经济得分权重（80%）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highlight w:val="none"/>
              </w:rPr>
            </w:pPr>
            <w:r>
              <w:rPr>
                <w:rFonts w:ascii="Arial" w:hAnsi="Arial" w:cs="Arial"/>
                <w:color w:val="auto"/>
                <w:highlight w:val="none"/>
              </w:rPr>
              <w:t>中标人提供的履约保证金为中标价款的10%。银行保函或担保保证。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最高投标限价16997540.87元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本项目绿色施工安全防护措施费为</w:t>
            </w:r>
            <w:r>
              <w:rPr>
                <w:rFonts w:hint="eastAsia" w:ascii="Arial" w:hAnsi="Arial" w:cs="Arial"/>
                <w:color w:val="auto"/>
                <w:szCs w:val="21"/>
                <w:highlight w:val="none"/>
                <w:u w:val="single"/>
              </w:rPr>
              <w:t>559082.52</w:t>
            </w:r>
            <w:r>
              <w:rPr>
                <w:rFonts w:hint="eastAsia" w:ascii="Arial" w:hAnsi="Arial" w:cs="Arial"/>
                <w:color w:val="auto"/>
                <w:szCs w:val="21"/>
                <w:highlight w:val="none"/>
              </w:rPr>
              <w:t xml:space="preserve"> </w:t>
            </w:r>
            <w:r>
              <w:rPr>
                <w:rFonts w:ascii="Arial" w:hAnsi="Arial" w:cs="Arial"/>
                <w:color w:val="auto"/>
                <w:szCs w:val="21"/>
                <w:highlight w:val="none"/>
              </w:rPr>
              <w:t>元，暂列金额为</w:t>
            </w:r>
            <w:r>
              <w:rPr>
                <w:rFonts w:hint="eastAsia" w:ascii="Arial" w:hAnsi="Arial" w:cs="Arial"/>
                <w:color w:val="auto"/>
                <w:szCs w:val="21"/>
                <w:highlight w:val="none"/>
              </w:rPr>
              <w:t xml:space="preserve"> 674637.47 </w:t>
            </w:r>
            <w:r>
              <w:rPr>
                <w:rFonts w:ascii="Arial" w:hAnsi="Arial" w:cs="Arial"/>
                <w:color w:val="auto"/>
                <w:szCs w:val="21"/>
                <w:highlight w:val="none"/>
              </w:rPr>
              <w:t>元</w:t>
            </w:r>
            <w:r>
              <w:rPr>
                <w:rFonts w:hint="eastAsia" w:ascii="Arial" w:hAnsi="Arial" w:cs="Arial"/>
                <w:color w:val="auto"/>
                <w:szCs w:val="21"/>
                <w:highlight w:val="none"/>
                <w:lang w:eastAsia="zh-CN"/>
              </w:rPr>
              <w:t>，</w:t>
            </w:r>
            <w:r>
              <w:rPr>
                <w:rFonts w:hint="eastAsia" w:ascii="宋体" w:hAnsi="宋体" w:eastAsia="宋体" w:cs="宋体"/>
                <w:color w:val="auto"/>
                <w:szCs w:val="21"/>
                <w:highlight w:val="none"/>
              </w:rPr>
              <w:t>暂估价为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w:t>
            </w:r>
            <w:r>
              <w:rPr>
                <w:rFonts w:ascii="Arial" w:hAnsi="Arial" w:cs="Arial"/>
                <w:color w:val="auto"/>
                <w:szCs w:val="21"/>
                <w:highlight w:val="none"/>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3"/>
              <w:ind w:firstLine="0"/>
              <w:rPr>
                <w:rFonts w:ascii="Arial" w:hAnsi="Arial" w:cs="Arial"/>
                <w:color w:val="auto"/>
                <w:szCs w:val="21"/>
                <w:highlight w:val="none"/>
              </w:rPr>
            </w:pPr>
            <w:r>
              <w:rPr>
                <w:rFonts w:ascii="Arial" w:hAnsi="Arial" w:cs="Arial"/>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工程成本警戒价为</w:t>
            </w:r>
            <w:r>
              <w:rPr>
                <w:rFonts w:hint="eastAsia" w:ascii="Arial" w:hAnsi="Arial" w:cs="Arial"/>
                <w:color w:val="auto"/>
                <w:szCs w:val="21"/>
                <w:highlight w:val="none"/>
              </w:rPr>
              <w:t>15297786.78</w:t>
            </w:r>
            <w:r>
              <w:rPr>
                <w:rFonts w:hint="eastAsia" w:ascii="Arial" w:hAnsi="Arial" w:cs="Arial"/>
                <w:color w:val="auto"/>
                <w:szCs w:val="21"/>
                <w:highlight w:val="none"/>
                <w:u w:val="single"/>
                <w:lang w:val="en-US" w:eastAsia="zh-CN"/>
              </w:rPr>
              <w:t xml:space="preserve"> </w:t>
            </w:r>
            <w:r>
              <w:rPr>
                <w:rFonts w:ascii="Arial" w:hAnsi="Arial" w:cs="Arial"/>
                <w:color w:val="auto"/>
                <w:szCs w:val="21"/>
                <w:highlight w:val="none"/>
              </w:rPr>
              <w:t>元</w:t>
            </w:r>
            <w:r>
              <w:rPr>
                <w:rFonts w:ascii="Arial" w:hAnsi="Arial" w:cs="Arial"/>
                <w:color w:val="auto"/>
                <w:szCs w:val="21"/>
                <w:highlight w:val="none"/>
                <w:u w:val="single"/>
              </w:rPr>
              <w:t>（最高投标限价的</w:t>
            </w:r>
            <w:r>
              <w:rPr>
                <w:rFonts w:hint="eastAsia" w:ascii="Arial" w:hAnsi="Arial" w:cs="Arial"/>
                <w:color w:val="auto"/>
                <w:szCs w:val="21"/>
                <w:highlight w:val="none"/>
                <w:u w:val="single"/>
                <w:lang w:val="en-US" w:eastAsia="zh-CN"/>
              </w:rPr>
              <w:t>90</w:t>
            </w:r>
            <w:r>
              <w:rPr>
                <w:rFonts w:ascii="Arial" w:hAnsi="Arial" w:cs="Arial"/>
                <w:color w:val="auto"/>
                <w:szCs w:val="21"/>
                <w:highlight w:val="none"/>
                <w:u w:val="single"/>
              </w:rPr>
              <w:t>%）</w:t>
            </w:r>
            <w:r>
              <w:rPr>
                <w:rFonts w:ascii="Arial" w:hAnsi="Arial" w:cs="Arial"/>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本项目不采用企业诚信综合评价分数。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r>
              <w:rPr>
                <w:rFonts w:ascii="Arial" w:hAnsi="Arial" w:cs="Arial"/>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13.4、13.5.2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u w:val="single"/>
              </w:rPr>
            </w:pPr>
            <w:r>
              <w:rPr>
                <w:rFonts w:ascii="Arial" w:hAnsi="Arial" w:cs="Arial"/>
                <w:color w:val="auto"/>
                <w:szCs w:val="21"/>
                <w:highlight w:val="none"/>
                <w:u w:val="single"/>
              </w:rPr>
              <w:t xml:space="preserve">按合同条款相关约定调整。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kern w:val="0"/>
                <w:szCs w:val="21"/>
                <w:highlight w:val="none"/>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kern w:val="0"/>
                <w:szCs w:val="21"/>
                <w:highlight w:val="none"/>
                <w:lang w:val="zh-CN"/>
              </w:rPr>
            </w:pPr>
            <w:r>
              <w:rPr>
                <w:rFonts w:ascii="Arial" w:hAnsi="Arial" w:cs="Arial"/>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kern w:val="0"/>
                <w:szCs w:val="21"/>
                <w:highlight w:val="none"/>
                <w:lang w:val="zh-CN"/>
              </w:rPr>
            </w:pPr>
            <w:r>
              <w:rPr>
                <w:rFonts w:ascii="Arial" w:hAnsi="Arial" w:cs="Arial"/>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kern w:val="0"/>
                <w:szCs w:val="21"/>
                <w:highlight w:val="none"/>
                <w:lang w:val="zh-CN"/>
              </w:rPr>
            </w:pPr>
            <w:r>
              <w:rPr>
                <w:rFonts w:ascii="Arial" w:hAnsi="Arial" w:cs="Arial"/>
                <w:color w:val="auto"/>
                <w:kern w:val="0"/>
                <w:szCs w:val="21"/>
                <w:highlight w:val="none"/>
                <w:lang w:val="zh-CN"/>
              </w:rPr>
              <w:sym w:font="Wingdings 2" w:char="0052"/>
            </w:r>
            <w:r>
              <w:rPr>
                <w:rFonts w:ascii="Arial" w:hAnsi="Arial" w:cs="Arial"/>
                <w:color w:val="auto"/>
                <w:kern w:val="0"/>
                <w:szCs w:val="21"/>
                <w:highlight w:val="none"/>
                <w:lang w:val="zh-CN"/>
              </w:rPr>
              <w:t>不允许；</w:t>
            </w:r>
          </w:p>
          <w:p>
            <w:pPr>
              <w:rPr>
                <w:rFonts w:ascii="Arial" w:hAnsi="Arial" w:cs="Arial"/>
                <w:color w:val="auto"/>
                <w:kern w:val="0"/>
                <w:szCs w:val="21"/>
                <w:highlight w:val="none"/>
                <w:lang w:val="zh-CN"/>
              </w:rPr>
            </w:pPr>
            <w:r>
              <w:rPr>
                <w:rFonts w:ascii="Arial" w:hAnsi="Arial" w:cs="Arial"/>
                <w:color w:val="auto"/>
                <w:kern w:val="0"/>
                <w:szCs w:val="21"/>
                <w:highlight w:val="none"/>
                <w:lang w:val="zh-CN"/>
              </w:rPr>
              <w:t>□允许：分包内容要要求：</w:t>
            </w:r>
          </w:p>
          <w:p>
            <w:pPr>
              <w:rPr>
                <w:rFonts w:ascii="Arial" w:hAnsi="Arial" w:cs="Arial"/>
                <w:color w:val="auto"/>
                <w:kern w:val="0"/>
                <w:szCs w:val="21"/>
                <w:highlight w:val="none"/>
                <w:lang w:val="zh-CN"/>
              </w:rPr>
            </w:pPr>
            <w:r>
              <w:rPr>
                <w:rFonts w:ascii="Arial" w:hAnsi="Arial" w:cs="Arial"/>
                <w:color w:val="auto"/>
                <w:kern w:val="0"/>
                <w:szCs w:val="21"/>
                <w:highlight w:val="none"/>
                <w:lang w:val="zh-CN"/>
              </w:rPr>
              <w:t xml:space="preserve">        分包金额要求：</w:t>
            </w:r>
          </w:p>
          <w:p>
            <w:pPr>
              <w:rPr>
                <w:rFonts w:ascii="Arial" w:hAnsi="Arial" w:cs="Arial"/>
                <w:color w:val="auto"/>
                <w:kern w:val="0"/>
                <w:szCs w:val="21"/>
                <w:highlight w:val="none"/>
                <w:lang w:val="zh-CN"/>
              </w:rPr>
            </w:pPr>
            <w:r>
              <w:rPr>
                <w:rFonts w:ascii="Arial" w:hAnsi="Arial" w:cs="Arial"/>
                <w:color w:val="auto"/>
                <w:kern w:val="0"/>
                <w:szCs w:val="21"/>
                <w:highlight w:val="none"/>
                <w:lang w:val="zh-CN"/>
              </w:rPr>
              <w:t xml:space="preserve">        对分包人的资质要求：</w:t>
            </w:r>
          </w:p>
          <w:p>
            <w:pPr>
              <w:rPr>
                <w:rFonts w:ascii="Arial" w:hAnsi="Arial" w:cs="Arial"/>
                <w:color w:val="auto"/>
                <w:kern w:val="0"/>
                <w:szCs w:val="21"/>
                <w:highlight w:val="none"/>
                <w:lang w:val="zh-CN"/>
              </w:rPr>
            </w:pPr>
            <w:r>
              <w:rPr>
                <w:rFonts w:ascii="Arial" w:hAnsi="Arial" w:cs="Arial"/>
                <w:color w:val="auto"/>
                <w:kern w:val="0"/>
                <w:szCs w:val="21"/>
                <w:highlight w:val="none"/>
                <w:lang w:val="zh-CN"/>
              </w:rPr>
              <w:t xml:space="preserve">        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r>
              <w:rPr>
                <w:rFonts w:ascii="Arial" w:hAnsi="Arial" w:cs="Arial"/>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1、按照交易平台关于全流程电子化项目的相关指南进行操作。详见：</w:t>
            </w:r>
            <w:r>
              <w:rPr>
                <w:rFonts w:hint="eastAsia" w:ascii="Arial" w:hAnsi="Arial" w:cs="Arial"/>
                <w:color w:val="auto"/>
                <w:szCs w:val="24"/>
                <w:highlight w:val="none"/>
                <w:u w:val="single"/>
              </w:rPr>
              <w:t>【房建市政】【交易系统】【投标人】全流程电子化交易系统操作手册</w:t>
            </w:r>
            <w:r>
              <w:rPr>
                <w:rFonts w:ascii="Arial" w:hAnsi="Arial" w:cs="Arial"/>
                <w:color w:val="auto"/>
                <w:szCs w:val="21"/>
                <w:highlight w:val="none"/>
              </w:rPr>
              <w:t xml:space="preserve">。  </w:t>
            </w:r>
          </w:p>
          <w:p>
            <w:pPr>
              <w:rPr>
                <w:rFonts w:ascii="Arial" w:hAnsi="Arial" w:cs="Arial"/>
                <w:color w:val="auto"/>
                <w:szCs w:val="21"/>
                <w:highlight w:val="none"/>
              </w:rPr>
            </w:pPr>
            <w:r>
              <w:rPr>
                <w:rFonts w:ascii="Arial" w:hAnsi="Arial" w:cs="Arial"/>
                <w:color w:val="auto"/>
                <w:szCs w:val="21"/>
                <w:highlight w:val="none"/>
              </w:rPr>
              <w:t>2、提交投标文件光盘备用</w:t>
            </w:r>
          </w:p>
          <w:p>
            <w:pPr>
              <w:rPr>
                <w:rFonts w:ascii="Arial" w:hAnsi="Arial" w:cs="Arial"/>
                <w:color w:val="auto"/>
                <w:szCs w:val="21"/>
                <w:highlight w:val="none"/>
              </w:rPr>
            </w:pPr>
            <w:r>
              <w:rPr>
                <w:rFonts w:ascii="Arial" w:hAnsi="Arial" w:cs="Arial"/>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Arial" w:hAnsi="Arial" w:cs="Arial"/>
                <w:color w:val="auto"/>
                <w:szCs w:val="21"/>
                <w:highlight w:val="none"/>
              </w:rPr>
            </w:pPr>
            <w:r>
              <w:rPr>
                <w:rFonts w:ascii="Arial" w:hAnsi="Arial" w:cs="Arial"/>
                <w:color w:val="auto"/>
                <w:szCs w:val="21"/>
                <w:highlight w:val="none"/>
              </w:rPr>
              <w:t xml:space="preserve"> 3、补救方案</w:t>
            </w:r>
          </w:p>
          <w:p>
            <w:pPr>
              <w:rPr>
                <w:rFonts w:ascii="Arial" w:hAnsi="Arial" w:cs="Arial"/>
                <w:color w:val="auto"/>
                <w:szCs w:val="21"/>
                <w:highlight w:val="none"/>
              </w:rPr>
            </w:pPr>
            <w:r>
              <w:rPr>
                <w:rFonts w:ascii="Arial" w:hAnsi="Arial" w:cs="Arial"/>
                <w:color w:val="auto"/>
                <w:szCs w:val="21"/>
                <w:highlight w:val="none"/>
              </w:rPr>
              <w:t>（1）投标文件解密失败的补救方案：</w:t>
            </w:r>
          </w:p>
          <w:p>
            <w:pPr>
              <w:rPr>
                <w:rFonts w:ascii="Arial" w:hAnsi="Arial" w:cs="Arial"/>
                <w:color w:val="auto"/>
                <w:szCs w:val="21"/>
                <w:highlight w:val="none"/>
              </w:rPr>
            </w:pPr>
            <w:r>
              <w:rPr>
                <w:rFonts w:ascii="Arial" w:hAnsi="Arial" w:cs="Arial"/>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Arial" w:hAnsi="Arial" w:cs="Arial"/>
                <w:color w:val="auto"/>
                <w:szCs w:val="21"/>
                <w:highlight w:val="none"/>
              </w:rPr>
            </w:pPr>
            <w:r>
              <w:rPr>
                <w:rFonts w:ascii="Arial" w:hAnsi="Arial" w:cs="Arial"/>
                <w:color w:val="auto"/>
                <w:szCs w:val="21"/>
                <w:highlight w:val="none"/>
              </w:rPr>
              <w:t>（2）评标时突发情况的补救方案</w:t>
            </w:r>
          </w:p>
          <w:p>
            <w:pPr>
              <w:rPr>
                <w:rFonts w:ascii="Arial" w:hAnsi="Arial" w:cs="Arial"/>
                <w:color w:val="auto"/>
                <w:szCs w:val="21"/>
                <w:highlight w:val="none"/>
              </w:rPr>
            </w:pPr>
            <w:r>
              <w:rPr>
                <w:rFonts w:ascii="Arial" w:hAnsi="Arial" w:cs="Arial"/>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Arial" w:hAnsi="Arial" w:cs="Arial"/>
                <w:color w:val="auto"/>
                <w:szCs w:val="21"/>
                <w:highlight w:val="none"/>
              </w:rPr>
            </w:pPr>
            <w:r>
              <w:rPr>
                <w:rFonts w:ascii="Arial" w:hAnsi="Arial" w:cs="Arial"/>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color w:val="auto"/>
                <w:highlight w:val="none"/>
                <w:lang w:val="en-US" w:eastAsia="zh-CN"/>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其他</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shd w:val="clear" w:color="auto" w:fill="FFFFFF"/>
              <w:adjustRightInd w:val="0"/>
              <w:spacing w:line="48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中标后，中标单位在领取中标通知书时须提交与网上上传电子投标文件完全一致的纸质投标文件（一式三份，加盖公章）给招标单位 。</w:t>
            </w:r>
          </w:p>
        </w:tc>
      </w:tr>
    </w:tbl>
    <w:p>
      <w:pPr>
        <w:pStyle w:val="4"/>
        <w:rPr>
          <w:rFonts w:cs="Arial"/>
          <w:color w:val="auto"/>
          <w:highlight w:val="none"/>
        </w:rPr>
      </w:pPr>
      <w:r>
        <w:rPr>
          <w:rFonts w:cs="Arial"/>
          <w:color w:val="auto"/>
          <w:highlight w:val="none"/>
        </w:rPr>
        <w:br w:type="page"/>
      </w:r>
      <w:bookmarkStart w:id="4" w:name="_Toc2272547"/>
      <w:bookmarkStart w:id="5" w:name="_Toc101266280"/>
      <w:r>
        <w:rPr>
          <w:rFonts w:cs="Arial"/>
          <w:color w:val="auto"/>
          <w:highlight w:val="none"/>
        </w:rPr>
        <w:t>二、投标须知修改表</w:t>
      </w:r>
      <w:bookmarkEnd w:id="4"/>
      <w:bookmarkEnd w:id="5"/>
    </w:p>
    <w:p>
      <w:pPr>
        <w:pStyle w:val="53"/>
        <w:spacing w:line="360" w:lineRule="auto"/>
        <w:rPr>
          <w:rFonts w:ascii="Arial" w:hAnsi="Arial" w:cs="Arial"/>
          <w:b/>
          <w:color w:val="auto"/>
          <w:szCs w:val="21"/>
          <w:highlight w:val="none"/>
        </w:rPr>
      </w:pPr>
      <w:r>
        <w:rPr>
          <w:rFonts w:ascii="Arial" w:hAnsi="Arial" w:cs="Arial"/>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ascii="Arial" w:hAnsi="Arial" w:cs="Arial"/>
          <w:b/>
          <w:color w:val="auto"/>
          <w:szCs w:val="21"/>
          <w:highlight w:val="none"/>
        </w:rPr>
        <w:t>http://zfcj.gz.gov.cn/</w:t>
      </w:r>
      <w:r>
        <w:rPr>
          <w:rFonts w:ascii="Arial" w:hAnsi="Arial" w:cs="Arial"/>
          <w:b/>
          <w:color w:val="auto"/>
          <w:szCs w:val="21"/>
          <w:highlight w:val="none"/>
        </w:rPr>
        <w:t>）下载查阅。</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条款号：2.5    修改类型：增加</w:t>
      </w:r>
    </w:p>
    <w:p>
      <w:pPr>
        <w:pBdr>
          <w:bottom w:val="single" w:color="auto" w:sz="6" w:space="1"/>
        </w:pBd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2.5 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5620"/>
        </w:tabs>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条款号：5.1                     修改类型：修改</w:t>
      </w:r>
    </w:p>
    <w:p>
      <w:pPr>
        <w:tabs>
          <w:tab w:val="left" w:pos="5620"/>
        </w:tabs>
        <w:spacing w:line="360" w:lineRule="auto"/>
        <w:ind w:firstLine="472" w:firstLineChars="224"/>
        <w:rPr>
          <w:rFonts w:ascii="Arial" w:hAnsi="Arial" w:cs="Arial"/>
          <w:color w:val="auto"/>
          <w:szCs w:val="21"/>
          <w:highlight w:val="none"/>
        </w:rPr>
      </w:pPr>
      <w:r>
        <w:rPr>
          <w:rFonts w:ascii="Arial" w:hAnsi="Arial" w:cs="Arial"/>
          <w:b/>
          <w:color w:val="auto"/>
          <w:szCs w:val="21"/>
          <w:highlight w:val="none"/>
        </w:rPr>
        <w:t>原文：5</w:t>
      </w:r>
      <w:r>
        <w:rPr>
          <w:rFonts w:ascii="Arial" w:hAnsi="Arial" w:cs="Arial"/>
          <w:color w:val="auto"/>
          <w:szCs w:val="21"/>
          <w:highlight w:val="none"/>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4" w:space="1"/>
        </w:pBdr>
        <w:spacing w:line="360" w:lineRule="auto"/>
        <w:ind w:firstLine="422" w:firstLineChars="200"/>
        <w:rPr>
          <w:rFonts w:ascii="Arial" w:hAnsi="Arial" w:cs="Arial"/>
          <w:color w:val="auto"/>
          <w:szCs w:val="21"/>
          <w:highlight w:val="none"/>
          <w:u w:val="single"/>
        </w:rPr>
      </w:pPr>
      <w:r>
        <w:rPr>
          <w:rFonts w:ascii="Arial" w:hAnsi="Arial" w:cs="Arial"/>
          <w:b/>
          <w:color w:val="auto"/>
          <w:szCs w:val="21"/>
          <w:highlight w:val="none"/>
        </w:rPr>
        <w:t>现文：</w:t>
      </w:r>
      <w:r>
        <w:rPr>
          <w:rFonts w:ascii="Arial" w:hAnsi="Arial" w:cs="Arial"/>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ascii="Arial" w:hAnsi="Arial" w:cs="Arial"/>
          <w:color w:val="auto"/>
          <w:szCs w:val="21"/>
          <w:highlight w:val="none"/>
          <w:u w:val="single"/>
        </w:rPr>
        <w:t>投标人不进行踏勘的，视为已孰知现场条件，自行承担相关风险。</w:t>
      </w:r>
      <w:r>
        <w:rPr>
          <w:rFonts w:ascii="Arial" w:hAnsi="Arial" w:cs="Arial"/>
          <w:color w:val="auto"/>
          <w:szCs w:val="21"/>
          <w:highlight w:val="none"/>
        </w:rPr>
        <w:t>一旦中标，这种考察即被认为其结果已在中标文件中得到充分反映。考察现场的费用由投标人自己承担。</w:t>
      </w:r>
    </w:p>
    <w:p>
      <w:pPr>
        <w:spacing w:line="360" w:lineRule="auto"/>
        <w:ind w:firstLine="413" w:firstLineChars="196"/>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条款号：6.2 </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修改类型：增加</w:t>
      </w:r>
    </w:p>
    <w:p>
      <w:pPr>
        <w:pStyle w:val="53"/>
        <w:pBdr>
          <w:bottom w:val="single" w:color="auto" w:sz="6" w:space="1"/>
        </w:pBdr>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现文：6.2</w:t>
      </w:r>
      <w:r>
        <w:rPr>
          <w:rFonts w:hint="eastAsia" w:ascii="宋体" w:hAnsi="宋体" w:eastAsia="宋体" w:cs="宋体"/>
          <w:color w:val="auto"/>
          <w:sz w:val="21"/>
          <w:szCs w:val="21"/>
          <w:highlight w:val="none"/>
        </w:rPr>
        <w:t>中标人按《广州市发展改革委转发省发展改革委关于规范公共资源交易服务收费及有关问题的通知》（穗发改〔2017〕811号）文件的规定，向广州公共资源交易中心代缴交易服务费，交易服务费的金额为中标总金额的0.9‰，其费用包含在中标人投标报价中，招标人不另行支付。</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hint="eastAsia" w:ascii="Arial" w:hAnsi="Arial" w:cs="Arial"/>
          <w:b/>
          <w:color w:val="auto"/>
          <w:szCs w:val="21"/>
          <w:highlight w:val="none"/>
          <w:lang w:val="en-US" w:eastAsia="zh-CN"/>
        </w:rPr>
        <w:t>7</w:t>
      </w:r>
      <w:r>
        <w:rPr>
          <w:rFonts w:ascii="Arial" w:hAnsi="Arial" w:cs="Arial"/>
          <w:b/>
          <w:color w:val="auto"/>
          <w:szCs w:val="21"/>
          <w:highlight w:val="none"/>
        </w:rPr>
        <w:t xml:space="preserve">.1           </w:t>
      </w:r>
      <w:r>
        <w:rPr>
          <w:rFonts w:hint="eastAsia" w:ascii="Arial" w:hAnsi="Arial" w:cs="Arial"/>
          <w:b/>
          <w:color w:val="auto"/>
          <w:szCs w:val="21"/>
          <w:highlight w:val="none"/>
          <w:lang w:val="en-US" w:eastAsia="zh-CN"/>
        </w:rPr>
        <w:t xml:space="preserve">           </w:t>
      </w:r>
      <w:r>
        <w:rPr>
          <w:rFonts w:ascii="Arial" w:hAnsi="Arial" w:cs="Arial"/>
          <w:b/>
          <w:color w:val="auto"/>
          <w:szCs w:val="21"/>
          <w:highlight w:val="none"/>
        </w:rPr>
        <w:t>修改类型：修改</w:t>
      </w:r>
    </w:p>
    <w:p>
      <w:pPr>
        <w:tabs>
          <w:tab w:val="left" w:pos="5620"/>
        </w:tabs>
        <w:spacing w:line="360" w:lineRule="auto"/>
        <w:ind w:firstLine="472" w:firstLineChars="224"/>
        <w:rPr>
          <w:rFonts w:hint="default" w:ascii="Arial" w:hAnsi="Arial" w:eastAsia="宋体" w:cs="Arial"/>
          <w:b w:val="0"/>
          <w:bCs w:val="0"/>
          <w:color w:val="auto"/>
          <w:sz w:val="21"/>
          <w:szCs w:val="21"/>
          <w:highlight w:val="none"/>
        </w:rPr>
      </w:pPr>
      <w:r>
        <w:rPr>
          <w:rFonts w:hint="eastAsia" w:ascii="宋体" w:hAnsi="宋体" w:cs="宋体"/>
          <w:b/>
          <w:bCs/>
          <w:color w:val="auto"/>
          <w:sz w:val="21"/>
          <w:szCs w:val="21"/>
          <w:highlight w:val="none"/>
          <w:lang w:val="en-US" w:eastAsia="zh-CN"/>
        </w:rPr>
        <w:t>原</w:t>
      </w:r>
      <w:r>
        <w:rPr>
          <w:rFonts w:hint="eastAsia" w:ascii="宋体" w:hAnsi="宋体" w:eastAsia="宋体" w:cs="宋体"/>
          <w:b/>
          <w:bCs/>
          <w:color w:val="auto"/>
          <w:sz w:val="21"/>
          <w:szCs w:val="21"/>
          <w:highlight w:val="none"/>
        </w:rPr>
        <w:t>文：</w:t>
      </w:r>
      <w:r>
        <w:rPr>
          <w:rFonts w:hint="default" w:ascii="Arial" w:hAnsi="Arial" w:eastAsia="宋体" w:cs="Arial"/>
          <w:b w:val="0"/>
          <w:bCs w:val="0"/>
          <w:color w:val="auto"/>
          <w:sz w:val="21"/>
          <w:szCs w:val="21"/>
          <w:highlight w:val="none"/>
        </w:rPr>
        <w:t>7.1本招标文件包括下列文件，以及所有按本须知第8条发出的招标答疑会会议纪要和按本须知第9条发出的澄清或修改：</w:t>
      </w:r>
    </w:p>
    <w:p>
      <w:pPr>
        <w:tabs>
          <w:tab w:val="left" w:pos="5620"/>
        </w:tabs>
        <w:spacing w:line="360" w:lineRule="auto"/>
        <w:ind w:firstLine="470" w:firstLineChars="224"/>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sz w:val="21"/>
          <w:szCs w:val="21"/>
          <w:highlight w:val="none"/>
        </w:rPr>
        <w:t>第一章  投标须知</w:t>
      </w:r>
    </w:p>
    <w:p>
      <w:pPr>
        <w:tabs>
          <w:tab w:val="left" w:pos="5620"/>
        </w:tabs>
        <w:spacing w:line="360" w:lineRule="auto"/>
        <w:ind w:firstLine="470" w:firstLineChars="224"/>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sz w:val="21"/>
          <w:szCs w:val="21"/>
          <w:highlight w:val="none"/>
        </w:rPr>
        <w:t>第二章  开标、评标及定标办法</w:t>
      </w:r>
    </w:p>
    <w:p>
      <w:pPr>
        <w:tabs>
          <w:tab w:val="left" w:pos="5620"/>
        </w:tabs>
        <w:spacing w:line="360" w:lineRule="auto"/>
        <w:ind w:firstLine="470" w:firstLineChars="224"/>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sz w:val="21"/>
          <w:szCs w:val="21"/>
          <w:highlight w:val="none"/>
        </w:rPr>
        <w:t>第三章  合同条款</w:t>
      </w:r>
    </w:p>
    <w:p>
      <w:pPr>
        <w:tabs>
          <w:tab w:val="left" w:pos="5620"/>
        </w:tabs>
        <w:spacing w:line="360" w:lineRule="auto"/>
        <w:ind w:firstLine="470" w:firstLineChars="224"/>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sz w:val="21"/>
          <w:szCs w:val="21"/>
          <w:highlight w:val="none"/>
        </w:rPr>
        <w:t>第四章  投标文件格式</w:t>
      </w:r>
    </w:p>
    <w:p>
      <w:pPr>
        <w:tabs>
          <w:tab w:val="left" w:pos="5620"/>
        </w:tabs>
        <w:spacing w:line="360" w:lineRule="auto"/>
        <w:ind w:firstLine="470" w:firstLineChars="224"/>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sz w:val="21"/>
          <w:szCs w:val="21"/>
          <w:highlight w:val="none"/>
        </w:rPr>
        <w:t>第五章  技术条件（工程建设标准）（另册）</w:t>
      </w:r>
    </w:p>
    <w:p>
      <w:pPr>
        <w:tabs>
          <w:tab w:val="left" w:pos="5620"/>
        </w:tabs>
        <w:spacing w:line="360" w:lineRule="auto"/>
        <w:ind w:firstLine="470" w:firstLineChars="224"/>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sz w:val="21"/>
          <w:szCs w:val="21"/>
          <w:highlight w:val="none"/>
        </w:rPr>
        <w:t>第六章  图纸及勘察资料（另册）</w:t>
      </w:r>
    </w:p>
    <w:p>
      <w:pPr>
        <w:tabs>
          <w:tab w:val="left" w:pos="5620"/>
        </w:tabs>
        <w:spacing w:line="360" w:lineRule="auto"/>
        <w:ind w:firstLine="470" w:firstLineChars="224"/>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sz w:val="21"/>
          <w:szCs w:val="21"/>
          <w:highlight w:val="none"/>
        </w:rPr>
        <w:t>第七章  招标工程量清单（另册）</w:t>
      </w:r>
    </w:p>
    <w:p>
      <w:pPr>
        <w:tabs>
          <w:tab w:val="left" w:pos="5620"/>
        </w:tabs>
        <w:spacing w:line="360" w:lineRule="auto"/>
        <w:ind w:firstLine="470" w:firstLineChars="224"/>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sz w:val="21"/>
          <w:szCs w:val="21"/>
          <w:highlight w:val="none"/>
        </w:rPr>
        <w:t>第八章  最高投标限价</w:t>
      </w:r>
    </w:p>
    <w:p>
      <w:pPr>
        <w:tabs>
          <w:tab w:val="left" w:pos="5620"/>
        </w:tabs>
        <w:spacing w:line="360" w:lineRule="auto"/>
        <w:ind w:firstLine="472" w:firstLineChars="224"/>
        <w:rPr>
          <w:rFonts w:hint="default" w:ascii="Arial" w:hAnsi="Arial" w:cs="Arial"/>
          <w:b w:val="0"/>
          <w:bCs w:val="0"/>
          <w:color w:val="auto"/>
          <w:szCs w:val="21"/>
          <w:highlight w:val="none"/>
        </w:rPr>
      </w:pPr>
      <w:r>
        <w:rPr>
          <w:rFonts w:hint="eastAsia" w:ascii="宋体" w:hAnsi="Courier New" w:cs="Times New Roman"/>
          <w:b/>
          <w:bCs/>
          <w:color w:val="auto"/>
          <w:szCs w:val="20"/>
          <w:highlight w:val="none"/>
        </w:rPr>
        <w:t>现文：</w:t>
      </w:r>
      <w:r>
        <w:rPr>
          <w:rFonts w:hint="default" w:ascii="Arial" w:hAnsi="Arial" w:cs="Arial"/>
          <w:b w:val="0"/>
          <w:bCs w:val="0"/>
          <w:color w:val="auto"/>
          <w:szCs w:val="21"/>
          <w:highlight w:val="none"/>
        </w:rPr>
        <w:t>7.1本招标文件包括下列文件，以及所有按本须知第8条发出的招标答疑会会议纪要和按本须知第9条发出的澄清或修改：</w:t>
      </w:r>
    </w:p>
    <w:p>
      <w:pPr>
        <w:tabs>
          <w:tab w:val="left" w:pos="5620"/>
        </w:tabs>
        <w:spacing w:line="360" w:lineRule="auto"/>
        <w:ind w:firstLine="470" w:firstLineChars="224"/>
        <w:rPr>
          <w:rFonts w:hint="default" w:ascii="Arial" w:hAnsi="Arial" w:cs="Arial"/>
          <w:b w:val="0"/>
          <w:bCs w:val="0"/>
          <w:color w:val="auto"/>
          <w:szCs w:val="21"/>
          <w:highlight w:val="none"/>
        </w:rPr>
      </w:pPr>
      <w:r>
        <w:rPr>
          <w:rFonts w:hint="default" w:ascii="Arial" w:hAnsi="Arial" w:cs="Arial"/>
          <w:b w:val="0"/>
          <w:bCs w:val="0"/>
          <w:color w:val="auto"/>
          <w:szCs w:val="21"/>
          <w:highlight w:val="none"/>
        </w:rPr>
        <w:t>第一章  投标须知</w:t>
      </w:r>
    </w:p>
    <w:p>
      <w:pPr>
        <w:tabs>
          <w:tab w:val="left" w:pos="5620"/>
        </w:tabs>
        <w:spacing w:line="360" w:lineRule="auto"/>
        <w:ind w:firstLine="470" w:firstLineChars="224"/>
        <w:rPr>
          <w:rFonts w:hint="default" w:ascii="Arial" w:hAnsi="Arial" w:cs="Arial"/>
          <w:b w:val="0"/>
          <w:bCs w:val="0"/>
          <w:color w:val="auto"/>
          <w:szCs w:val="21"/>
          <w:highlight w:val="none"/>
        </w:rPr>
      </w:pPr>
      <w:r>
        <w:rPr>
          <w:rFonts w:hint="default" w:ascii="Arial" w:hAnsi="Arial" w:cs="Arial"/>
          <w:b w:val="0"/>
          <w:bCs w:val="0"/>
          <w:color w:val="auto"/>
          <w:szCs w:val="21"/>
          <w:highlight w:val="none"/>
        </w:rPr>
        <w:t>第二章  开标、评标及定标办法</w:t>
      </w:r>
    </w:p>
    <w:p>
      <w:pPr>
        <w:tabs>
          <w:tab w:val="left" w:pos="5620"/>
        </w:tabs>
        <w:spacing w:line="360" w:lineRule="auto"/>
        <w:ind w:firstLine="470" w:firstLineChars="224"/>
        <w:rPr>
          <w:rFonts w:hint="default" w:ascii="Arial" w:hAnsi="Arial" w:cs="Arial"/>
          <w:b w:val="0"/>
          <w:bCs w:val="0"/>
          <w:color w:val="auto"/>
          <w:szCs w:val="21"/>
          <w:highlight w:val="none"/>
        </w:rPr>
      </w:pPr>
      <w:r>
        <w:rPr>
          <w:rFonts w:hint="default" w:ascii="Arial" w:hAnsi="Arial" w:cs="Arial"/>
          <w:b w:val="0"/>
          <w:bCs w:val="0"/>
          <w:color w:val="auto"/>
          <w:szCs w:val="21"/>
          <w:highlight w:val="none"/>
        </w:rPr>
        <w:t>第三章  合同条款</w:t>
      </w:r>
    </w:p>
    <w:p>
      <w:pPr>
        <w:tabs>
          <w:tab w:val="left" w:pos="5620"/>
        </w:tabs>
        <w:spacing w:line="360" w:lineRule="auto"/>
        <w:ind w:firstLine="470" w:firstLineChars="224"/>
        <w:rPr>
          <w:rFonts w:hint="default" w:ascii="Arial" w:hAnsi="Arial" w:cs="Arial"/>
          <w:b w:val="0"/>
          <w:bCs w:val="0"/>
          <w:color w:val="auto"/>
          <w:szCs w:val="21"/>
          <w:highlight w:val="none"/>
        </w:rPr>
      </w:pPr>
      <w:r>
        <w:rPr>
          <w:rFonts w:hint="default" w:ascii="Arial" w:hAnsi="Arial" w:cs="Arial"/>
          <w:b w:val="0"/>
          <w:bCs w:val="0"/>
          <w:color w:val="auto"/>
          <w:szCs w:val="21"/>
          <w:highlight w:val="none"/>
        </w:rPr>
        <w:t>第四章  投标文件格式</w:t>
      </w:r>
    </w:p>
    <w:p>
      <w:pPr>
        <w:tabs>
          <w:tab w:val="left" w:pos="5620"/>
        </w:tabs>
        <w:spacing w:line="360" w:lineRule="auto"/>
        <w:ind w:firstLine="470" w:firstLineChars="224"/>
        <w:rPr>
          <w:rFonts w:hint="default" w:ascii="Arial" w:hAnsi="Arial" w:cs="Arial"/>
          <w:b w:val="0"/>
          <w:bCs w:val="0"/>
          <w:color w:val="auto"/>
          <w:szCs w:val="21"/>
          <w:highlight w:val="none"/>
        </w:rPr>
      </w:pPr>
      <w:r>
        <w:rPr>
          <w:rFonts w:hint="default" w:ascii="Arial" w:hAnsi="Arial" w:cs="Arial"/>
          <w:b w:val="0"/>
          <w:bCs w:val="0"/>
          <w:color w:val="auto"/>
          <w:szCs w:val="21"/>
          <w:highlight w:val="none"/>
        </w:rPr>
        <w:t>第五章  技术条件（工程建设标准）（另册）</w:t>
      </w:r>
    </w:p>
    <w:p>
      <w:pPr>
        <w:tabs>
          <w:tab w:val="left" w:pos="5620"/>
        </w:tabs>
        <w:spacing w:line="360" w:lineRule="auto"/>
        <w:ind w:firstLine="470" w:firstLineChars="224"/>
        <w:rPr>
          <w:rFonts w:hint="default" w:ascii="Arial" w:hAnsi="Arial" w:cs="Arial"/>
          <w:b w:val="0"/>
          <w:bCs w:val="0"/>
          <w:color w:val="auto"/>
          <w:szCs w:val="21"/>
          <w:highlight w:val="none"/>
        </w:rPr>
      </w:pPr>
      <w:r>
        <w:rPr>
          <w:rFonts w:hint="default" w:ascii="Arial" w:hAnsi="Arial" w:cs="Arial"/>
          <w:b w:val="0"/>
          <w:bCs w:val="0"/>
          <w:color w:val="auto"/>
          <w:szCs w:val="21"/>
          <w:highlight w:val="none"/>
        </w:rPr>
        <w:t>第六章  图纸及勘察资料（另册）</w:t>
      </w:r>
    </w:p>
    <w:p>
      <w:pPr>
        <w:tabs>
          <w:tab w:val="left" w:pos="5620"/>
        </w:tabs>
        <w:spacing w:line="360" w:lineRule="auto"/>
        <w:ind w:firstLine="470" w:firstLineChars="224"/>
        <w:rPr>
          <w:rFonts w:hint="default" w:ascii="Arial" w:hAnsi="Arial" w:cs="Arial"/>
          <w:b w:val="0"/>
          <w:bCs w:val="0"/>
          <w:color w:val="auto"/>
          <w:szCs w:val="21"/>
          <w:highlight w:val="none"/>
        </w:rPr>
      </w:pPr>
      <w:r>
        <w:rPr>
          <w:rFonts w:hint="default" w:ascii="Arial" w:hAnsi="Arial" w:cs="Arial"/>
          <w:b w:val="0"/>
          <w:bCs w:val="0"/>
          <w:color w:val="auto"/>
          <w:szCs w:val="21"/>
          <w:highlight w:val="none"/>
        </w:rPr>
        <w:t>第七章  招标工程量清单（另册）</w:t>
      </w:r>
    </w:p>
    <w:p>
      <w:pPr>
        <w:tabs>
          <w:tab w:val="left" w:pos="5620"/>
        </w:tabs>
        <w:spacing w:line="360" w:lineRule="auto"/>
        <w:ind w:firstLine="470" w:firstLineChars="224"/>
        <w:rPr>
          <w:rFonts w:hint="default" w:ascii="Arial" w:hAnsi="Arial" w:cs="Arial"/>
          <w:b w:val="0"/>
          <w:bCs w:val="0"/>
          <w:color w:val="auto"/>
          <w:szCs w:val="21"/>
          <w:highlight w:val="none"/>
        </w:rPr>
      </w:pPr>
      <w:r>
        <w:rPr>
          <w:rFonts w:hint="default" w:ascii="Arial" w:hAnsi="Arial" w:cs="Arial"/>
          <w:b w:val="0"/>
          <w:bCs w:val="0"/>
          <w:color w:val="auto"/>
          <w:szCs w:val="21"/>
          <w:highlight w:val="none"/>
        </w:rPr>
        <w:t>第八章  最高投标限价</w:t>
      </w:r>
    </w:p>
    <w:p>
      <w:pPr>
        <w:pBdr>
          <w:bottom w:val="single" w:color="auto" w:sz="4" w:space="0"/>
        </w:pBdr>
        <w:tabs>
          <w:tab w:val="left" w:pos="5620"/>
        </w:tabs>
        <w:spacing w:line="360" w:lineRule="auto"/>
        <w:ind w:firstLine="472" w:firstLineChars="224"/>
        <w:rPr>
          <w:rFonts w:ascii="Arial" w:hAnsi="Arial" w:cs="Arial"/>
          <w:b/>
          <w:bCs/>
          <w:color w:val="auto"/>
          <w:szCs w:val="21"/>
          <w:highlight w:val="none"/>
        </w:rPr>
      </w:pPr>
      <w:r>
        <w:rPr>
          <w:rFonts w:hint="default" w:ascii="Arial" w:hAnsi="Arial" w:cs="Arial"/>
          <w:b/>
          <w:bCs/>
          <w:color w:val="auto"/>
          <w:szCs w:val="21"/>
          <w:highlight w:val="none"/>
        </w:rPr>
        <w:t>注：招标人应在技术条件（工程建设标准）中明确施工现场建筑垃圾源头减量的具体要求和建筑垃圾综合利用产品的使用要求。</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 8.1           修改类型：修改</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8.1 投标人若对招标文件（包括招标图纸）中有疑问，可以书面形式通过</w:t>
      </w:r>
      <w:r>
        <w:rPr>
          <w:rFonts w:ascii="Arial" w:hAnsi="Arial" w:cs="Arial"/>
          <w:color w:val="auto"/>
          <w:szCs w:val="21"/>
          <w:highlight w:val="none"/>
          <w:u w:val="single"/>
        </w:rPr>
        <w:t xml:space="preserve">        </w:t>
      </w:r>
      <w:r>
        <w:rPr>
          <w:rFonts w:ascii="Arial" w:hAnsi="Arial" w:cs="Arial"/>
          <w:color w:val="auto"/>
          <w:szCs w:val="21"/>
          <w:highlight w:val="none"/>
        </w:rPr>
        <w:t>交易平台提交给招标人或招标代理人，提交形式见本须知前附表第16项。</w:t>
      </w:r>
    </w:p>
    <w:p>
      <w:pPr>
        <w:pBdr>
          <w:bottom w:val="single" w:color="auto" w:sz="6" w:space="1"/>
        </w:pBdr>
        <w:spacing w:line="360" w:lineRule="auto"/>
        <w:ind w:firstLine="472" w:firstLineChars="224"/>
        <w:rPr>
          <w:rFonts w:ascii="Arial" w:hAnsi="Arial" w:cs="Arial"/>
          <w:color w:val="auto"/>
          <w:szCs w:val="21"/>
          <w:highlight w:val="none"/>
        </w:rPr>
      </w:pPr>
      <w:r>
        <w:rPr>
          <w:rFonts w:ascii="Arial" w:hAnsi="Arial" w:cs="Arial"/>
          <w:b/>
          <w:color w:val="auto"/>
          <w:szCs w:val="21"/>
          <w:highlight w:val="none"/>
        </w:rPr>
        <w:t>现文：</w:t>
      </w:r>
      <w:r>
        <w:rPr>
          <w:rFonts w:hint="eastAsia" w:ascii="宋体" w:hAnsi="宋体" w:eastAsia="宋体" w:cs="宋体"/>
          <w:color w:val="auto"/>
          <w:szCs w:val="21"/>
          <w:highlight w:val="none"/>
          <w:u w:val="none"/>
        </w:rPr>
        <w:t>8.1 招标答疑采用网上答疑方式进行。投标人若对招标文件（包括招标图纸、清单、最高投标限价）有疑问的，可在规定的时间内通过</w:t>
      </w:r>
      <w:r>
        <w:rPr>
          <w:rFonts w:hint="eastAsia" w:ascii="宋体" w:hAnsi="宋体" w:eastAsia="宋体" w:cs="宋体"/>
          <w:bCs/>
          <w:color w:val="auto"/>
          <w:szCs w:val="21"/>
          <w:highlight w:val="none"/>
          <w:u w:val="single"/>
        </w:rPr>
        <w:t>广州交易集团有限公司（广州公共资源交易中心）</w:t>
      </w:r>
      <w:r>
        <w:rPr>
          <w:rFonts w:hint="eastAsia" w:ascii="宋体" w:hAnsi="宋体" w:eastAsia="宋体" w:cs="宋体"/>
          <w:color w:val="auto"/>
          <w:szCs w:val="21"/>
          <w:highlight w:val="none"/>
          <w:u w:val="none"/>
        </w:rPr>
        <w:t>网站凭密码进入提问区域将问题提交给招标人或招标代理人，提交问题时一律不得署名。提交形式见本须知前附表第16项。</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 8.2           修改类型：修改</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原文：</w:t>
      </w:r>
      <w:r>
        <w:rPr>
          <w:rFonts w:ascii="Arial" w:hAnsi="Arial" w:cs="Arial"/>
          <w:color w:val="auto"/>
          <w:highlight w:val="none"/>
        </w:rPr>
        <w:t>8.2招标答疑会会议纪要将在提交投标文件截止时间15日前在</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 xml:space="preserve"> “项目答疑纪要”专区公开发布。答疑纪要一经在</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发布，视作已发放给所有投标人。</w:t>
      </w:r>
    </w:p>
    <w:p>
      <w:pPr>
        <w:pBdr>
          <w:bottom w:val="single" w:color="auto" w:sz="6" w:space="1"/>
        </w:pBdr>
        <w:spacing w:line="360" w:lineRule="auto"/>
        <w:ind w:firstLine="527" w:firstLineChars="250"/>
        <w:rPr>
          <w:rFonts w:ascii="Arial" w:hAnsi="Arial" w:cs="Arial"/>
          <w:color w:val="auto"/>
          <w:highlight w:val="none"/>
        </w:rPr>
      </w:pPr>
      <w:r>
        <w:rPr>
          <w:rFonts w:ascii="Arial" w:hAnsi="Arial" w:cs="Arial"/>
          <w:b/>
          <w:color w:val="auto"/>
          <w:szCs w:val="21"/>
          <w:highlight w:val="none"/>
        </w:rPr>
        <w:t>现文：</w:t>
      </w:r>
      <w:r>
        <w:rPr>
          <w:rFonts w:ascii="Arial" w:hAnsi="Arial" w:cs="Arial"/>
          <w:color w:val="auto"/>
          <w:highlight w:val="none"/>
        </w:rPr>
        <w:t>8.2招标答疑会会议纪要将在提交投标文件截止时间15日前在</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 </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 xml:space="preserve"> “项目答疑纪要”专区公开发布。答疑纪要一经在</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4"/>
          <w:highlight w:val="none"/>
        </w:rPr>
        <w:t>交易平台</w:t>
      </w:r>
      <w:r>
        <w:rPr>
          <w:rFonts w:ascii="Arial" w:hAnsi="Arial" w:cs="Arial"/>
          <w:color w:val="auto"/>
          <w:highlight w:val="none"/>
        </w:rPr>
        <w:t>发布，视作已发放给所有投标人。</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条款号：8.4             修改类型：修改</w:t>
      </w:r>
    </w:p>
    <w:p>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8.4若招标答疑会会议纪要与招标文件有矛盾，以答疑会议纪要最后发出的书面形式的文件为准。</w:t>
      </w:r>
    </w:p>
    <w:p>
      <w:pPr>
        <w:pBdr>
          <w:bottom w:val="single" w:color="auto" w:sz="6" w:space="1"/>
        </w:pBdr>
        <w:spacing w:line="360" w:lineRule="auto"/>
        <w:ind w:firstLine="527" w:firstLineChars="2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8.4若</w:t>
      </w:r>
      <w:r>
        <w:rPr>
          <w:rFonts w:hint="eastAsia" w:ascii="宋体" w:hAnsi="宋体" w:eastAsia="宋体" w:cs="宋体"/>
          <w:color w:val="auto"/>
          <w:szCs w:val="21"/>
          <w:highlight w:val="none"/>
          <w:u w:val="single"/>
        </w:rPr>
        <w:t>招标答疑纪要</w:t>
      </w:r>
      <w:r>
        <w:rPr>
          <w:rFonts w:hint="eastAsia" w:ascii="宋体" w:hAnsi="宋体" w:eastAsia="宋体" w:cs="宋体"/>
          <w:color w:val="auto"/>
          <w:szCs w:val="21"/>
          <w:highlight w:val="none"/>
        </w:rPr>
        <w:t>与招标文件有矛盾时，以</w:t>
      </w:r>
      <w:r>
        <w:rPr>
          <w:rFonts w:hint="eastAsia" w:ascii="宋体" w:hAnsi="宋体" w:eastAsia="宋体" w:cs="宋体"/>
          <w:color w:val="auto"/>
          <w:szCs w:val="21"/>
          <w:highlight w:val="none"/>
          <w:u w:val="single"/>
        </w:rPr>
        <w:t>广州公共资源交易中心交易平台</w:t>
      </w:r>
      <w:r>
        <w:rPr>
          <w:rFonts w:hint="eastAsia" w:ascii="宋体" w:hAnsi="宋体" w:eastAsia="宋体" w:cs="宋体"/>
          <w:color w:val="auto"/>
          <w:szCs w:val="21"/>
          <w:highlight w:val="none"/>
        </w:rPr>
        <w:t>最后发布的答疑纪要为准。</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条款号：9.2           修改类型：修改</w:t>
      </w:r>
    </w:p>
    <w:p>
      <w:pPr>
        <w:spacing w:line="480" w:lineRule="auto"/>
        <w:ind w:firstLine="472" w:firstLineChars="224"/>
        <w:rPr>
          <w:rFonts w:ascii="Arial" w:hAnsi="Arial" w:cs="Arial"/>
          <w:b/>
          <w:color w:val="auto"/>
          <w:sz w:val="18"/>
          <w:szCs w:val="21"/>
          <w:highlight w:val="none"/>
        </w:rPr>
      </w:pPr>
      <w:r>
        <w:rPr>
          <w:rFonts w:ascii="Arial" w:hAnsi="Arial" w:cs="Arial"/>
          <w:b/>
          <w:color w:val="auto"/>
          <w:szCs w:val="21"/>
          <w:highlight w:val="none"/>
        </w:rPr>
        <w:t>原文：</w:t>
      </w:r>
      <w:r>
        <w:rPr>
          <w:rFonts w:ascii="Arial" w:hAnsi="Arial" w:cs="Arial"/>
          <w:color w:val="auto"/>
          <w:highlight w:val="none"/>
        </w:rPr>
        <w:t>9.2招标文件的澄清或修改将在</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“项目答疑纪要”专区公开发布。答疑纪要一经在</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发布，视作已发放给所有投标人，以</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上网发布时间作为送达时间。</w:t>
      </w:r>
    </w:p>
    <w:p>
      <w:pPr>
        <w:spacing w:line="440" w:lineRule="exact"/>
        <w:ind w:firstLine="472" w:firstLineChars="224"/>
        <w:rPr>
          <w:rFonts w:ascii="Arial" w:hAnsi="Arial" w:cs="Arial"/>
          <w:bCs/>
          <w:color w:val="auto"/>
          <w:sz w:val="24"/>
          <w:highlight w:val="none"/>
          <w:u w:val="single"/>
        </w:rPr>
      </w:pPr>
      <w:r>
        <w:rPr>
          <w:rFonts w:ascii="Arial" w:hAnsi="Arial" w:cs="Arial"/>
          <w:b/>
          <w:color w:val="auto"/>
          <w:szCs w:val="21"/>
          <w:highlight w:val="none"/>
        </w:rPr>
        <w:t>现文：</w:t>
      </w:r>
      <w:r>
        <w:rPr>
          <w:rFonts w:ascii="Arial" w:hAnsi="Arial" w:cs="Arial"/>
          <w:color w:val="auto"/>
          <w:highlight w:val="none"/>
        </w:rPr>
        <w:t>9.2招标文件的澄清或修改将在</w:t>
      </w:r>
      <w:r>
        <w:rPr>
          <w:rFonts w:ascii="Arial" w:hAnsi="Arial" w:cs="Arial"/>
          <w:color w:val="auto"/>
          <w:szCs w:val="24"/>
          <w:highlight w:val="none"/>
          <w:u w:val="single"/>
        </w:rPr>
        <w:t xml:space="preserve"> </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“项目答疑纪要”专区公开发布。答疑纪要一经在</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发布，视作已发放给所有投标人，以</w:t>
      </w:r>
      <w:r>
        <w:rPr>
          <w:rFonts w:ascii="Arial" w:hAnsi="Arial" w:cs="Arial"/>
          <w:color w:val="auto"/>
          <w:szCs w:val="24"/>
          <w:highlight w:val="none"/>
          <w:u w:val="single"/>
        </w:rPr>
        <w:t xml:space="preserve">  </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4"/>
          <w:highlight w:val="none"/>
          <w:u w:val="single"/>
        </w:rPr>
        <w:t xml:space="preserve">  </w:t>
      </w:r>
      <w:r>
        <w:rPr>
          <w:rFonts w:ascii="Arial" w:hAnsi="Arial" w:cs="Arial"/>
          <w:color w:val="auto"/>
          <w:szCs w:val="24"/>
          <w:highlight w:val="none"/>
        </w:rPr>
        <w:t>交易平台</w:t>
      </w:r>
      <w:r>
        <w:rPr>
          <w:rFonts w:ascii="Arial" w:hAnsi="Arial" w:cs="Arial"/>
          <w:color w:val="auto"/>
          <w:highlight w:val="none"/>
        </w:rPr>
        <w:t>上网发布时间作为送达时间。</w:t>
      </w:r>
    </w:p>
    <w:p>
      <w:pPr>
        <w:pBdr>
          <w:bottom w:val="single" w:color="auto" w:sz="6" w:space="1"/>
        </w:pBdr>
        <w:spacing w:line="440" w:lineRule="exact"/>
        <w:rPr>
          <w:rFonts w:ascii="Arial" w:hAnsi="Arial" w:cs="Arial"/>
          <w:bCs/>
          <w:color w:val="auto"/>
          <w:sz w:val="24"/>
          <w:highlight w:val="none"/>
          <w:u w:val="single"/>
        </w:rPr>
      </w:pP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 xml:space="preserve">9.4             </w:t>
      </w:r>
      <w:r>
        <w:rPr>
          <w:rFonts w:ascii="Arial" w:hAnsi="Arial" w:cs="Arial"/>
          <w:b/>
          <w:color w:val="auto"/>
          <w:szCs w:val="21"/>
          <w:highlight w:val="none"/>
        </w:rPr>
        <w:t>修改类型：修改</w:t>
      </w:r>
    </w:p>
    <w:p>
      <w:pPr>
        <w:pBdr>
          <w:bottom w:val="single" w:color="auto" w:sz="6" w:space="1"/>
        </w:pBdr>
        <w:spacing w:line="360" w:lineRule="auto"/>
        <w:ind w:firstLine="527" w:firstLineChars="250"/>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527" w:firstLineChars="25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9.4招标文件的澄清或修改均</w:t>
      </w:r>
      <w:r>
        <w:rPr>
          <w:rFonts w:ascii="Arial" w:hAnsi="Arial" w:cs="Arial"/>
          <w:color w:val="auto"/>
          <w:szCs w:val="21"/>
          <w:highlight w:val="none"/>
          <w:u w:val="single"/>
        </w:rPr>
        <w:t>在</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网站“网上答疑”专区公开发布。</w:t>
      </w:r>
      <w:r>
        <w:rPr>
          <w:rFonts w:ascii="Arial" w:hAnsi="Arial" w:cs="Arial"/>
          <w:color w:val="auto"/>
          <w:szCs w:val="21"/>
          <w:highlight w:val="none"/>
        </w:rPr>
        <w:t>当招标文件的澄清、修改、补充等在同一内容的表述不一致时，以最后发出的文件为准。</w:t>
      </w:r>
    </w:p>
    <w:p>
      <w:pPr>
        <w:spacing w:line="440" w:lineRule="exact"/>
        <w:ind w:firstLine="472" w:firstLineChars="224"/>
        <w:rPr>
          <w:rFonts w:ascii="Arial" w:hAnsi="Arial" w:cs="Arial"/>
          <w:b/>
          <w:color w:val="auto"/>
          <w:highlight w:val="none"/>
        </w:rPr>
      </w:pPr>
      <w:r>
        <w:rPr>
          <w:rFonts w:ascii="Arial" w:hAnsi="Arial" w:cs="Arial"/>
          <w:b/>
          <w:color w:val="auto"/>
          <w:highlight w:val="none"/>
        </w:rPr>
        <w:t>条款号：11.2.2            修改类型：修改</w:t>
      </w:r>
    </w:p>
    <w:p>
      <w:pPr>
        <w:spacing w:line="440" w:lineRule="exact"/>
        <w:ind w:firstLine="422" w:firstLineChars="200"/>
        <w:rPr>
          <w:rFonts w:ascii="Arial" w:hAnsi="Arial" w:cs="Arial"/>
          <w:bCs/>
          <w:color w:val="auto"/>
          <w:highlight w:val="none"/>
        </w:rPr>
      </w:pPr>
      <w:r>
        <w:rPr>
          <w:rFonts w:ascii="Arial" w:hAnsi="Arial" w:cs="Arial"/>
          <w:b/>
          <w:color w:val="auto"/>
          <w:highlight w:val="none"/>
        </w:rPr>
        <w:t>原文：</w:t>
      </w:r>
      <w:r>
        <w:rPr>
          <w:rFonts w:ascii="Arial" w:hAnsi="Arial" w:cs="Arial"/>
          <w:bCs/>
          <w:color w:val="auto"/>
          <w:highlight w:val="none"/>
        </w:rPr>
        <w:t>资格审查文件：</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 xml:space="preserve">（1）投标人声明； </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（2）法定代表人证明书、法定代表人签字或盖章的本投标文件授权委托证明书；</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（3）企业营业执照（取自平台内上传件）；</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（4）企业资质证书（取自平台内上传件）；</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（5）建筑施工企业安全生产许可证（取自平台内上传件）；</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（6）项目负责人（按网上投标登记时选择拟投标的项目负责人）</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（7）专职安全员（按网上投标登记时选择拟投标的专职安全员）</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（8）拟委托技术负责人的相关证书、资料（具体要求由招标人明确）</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 xml:space="preserve">（9）拟委派项目负责人的建造师注册证书或小型项目负责人相关证明（取自平台内上传件）； </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（10）项目负责人安全培训考核合格证明或在有效期内的安全考核合格证书（B类）或建筑施工企业项目负责人安全生产考核合格证书（取自平台内上传件）；</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（11）专职安全员须具有在有效期内的安全考核合格证书（C类）或建筑施工企业专职安全生产管理人员安全生产考核合格证书（取自平台内上传件）；</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（12）用于资格审查的业绩（设置业绩要求时选择此项，投标人须提供类似工程业绩的项目名称及项目编号，具体格式由招标人自定）；</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（13）资格审查前，投标人须在广州市住房和城乡建设局建立企业信用档案，拟担任本工程项目负责人、专职安全员须是本企业信用档案中的在册人员。</w:t>
      </w:r>
    </w:p>
    <w:p>
      <w:pPr>
        <w:spacing w:line="440" w:lineRule="exact"/>
        <w:ind w:firstLine="420" w:firstLineChars="200"/>
        <w:rPr>
          <w:rFonts w:ascii="Arial" w:hAnsi="Arial" w:cs="Arial"/>
          <w:bCs/>
          <w:color w:val="auto"/>
          <w:highlight w:val="none"/>
        </w:rPr>
      </w:pPr>
      <w:r>
        <w:rPr>
          <w:rFonts w:ascii="Arial" w:hAnsi="Arial" w:cs="Arial"/>
          <w:bCs/>
          <w:color w:val="auto"/>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440" w:lineRule="exact"/>
        <w:ind w:firstLine="420" w:firstLineChars="200"/>
        <w:rPr>
          <w:rFonts w:ascii="Arial" w:hAnsi="Arial" w:cs="Arial"/>
          <w:color w:val="auto"/>
          <w:highlight w:val="none"/>
        </w:rPr>
      </w:pPr>
      <w:r>
        <w:rPr>
          <w:rFonts w:ascii="Arial" w:hAnsi="Arial" w:cs="Arial"/>
          <w:bCs/>
          <w:color w:val="auto"/>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40" w:lineRule="exact"/>
        <w:ind w:firstLine="422" w:firstLineChars="200"/>
        <w:rPr>
          <w:rFonts w:ascii="Arial" w:hAnsi="Arial" w:cs="Arial"/>
          <w:bCs/>
          <w:color w:val="auto"/>
          <w:highlight w:val="none"/>
        </w:rPr>
      </w:pPr>
      <w:r>
        <w:rPr>
          <w:rFonts w:ascii="Arial" w:hAnsi="Arial" w:cs="Arial"/>
          <w:b/>
          <w:color w:val="auto"/>
          <w:highlight w:val="none"/>
        </w:rPr>
        <w:t>现文：</w:t>
      </w:r>
      <w:r>
        <w:rPr>
          <w:rFonts w:ascii="Arial" w:hAnsi="Arial" w:cs="Arial"/>
          <w:bCs/>
          <w:color w:val="auto"/>
          <w:highlight w:val="none"/>
        </w:rPr>
        <w:t>资格审查文件：</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（1）投标人声明</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hint="eastAsia" w:ascii="宋体" w:hAnsi="宋体" w:eastAsia="宋体" w:cs="宋体"/>
          <w:bCs/>
          <w:color w:val="auto"/>
          <w:szCs w:val="21"/>
          <w:highlight w:val="none"/>
          <w:u w:val="single"/>
        </w:rPr>
        <w:t>））</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（2）法定代表人证明书、法定代表人签字或盖章的本投标文件授权委托证明书</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hint="eastAsia" w:ascii="宋体" w:hAnsi="宋体" w:eastAsia="宋体" w:cs="宋体"/>
          <w:bCs/>
          <w:color w:val="auto"/>
          <w:szCs w:val="21"/>
          <w:highlight w:val="none"/>
          <w:u w:val="single"/>
        </w:rPr>
        <w:t>））</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（3）企业营业执照</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hint="eastAsia" w:ascii="宋体" w:hAnsi="宋体" w:eastAsia="宋体" w:cs="宋体"/>
          <w:bCs/>
          <w:color w:val="auto"/>
          <w:szCs w:val="21"/>
          <w:highlight w:val="none"/>
          <w:u w:val="single"/>
        </w:rPr>
        <w:t>））</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（4）企业资质证书</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hint="eastAsia" w:ascii="宋体" w:hAnsi="宋体" w:eastAsia="宋体" w:cs="宋体"/>
          <w:bCs/>
          <w:color w:val="auto"/>
          <w:szCs w:val="21"/>
          <w:highlight w:val="none"/>
          <w:u w:val="single"/>
        </w:rPr>
        <w:t>））</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（5）建筑施工企业安全生产许可证</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hint="eastAsia" w:ascii="宋体" w:hAnsi="宋体" w:eastAsia="宋体" w:cs="宋体"/>
          <w:bCs/>
          <w:color w:val="auto"/>
          <w:szCs w:val="21"/>
          <w:highlight w:val="none"/>
          <w:u w:val="single"/>
        </w:rPr>
        <w:t>））</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（6）项目负责人（按网上投标登记时选择拟投标的项目负责人）</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（7）专职安全员（按网上投标登记时选择拟投标的专职安全员）</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（8）拟委托技术负责人的相关证书、资料（</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hint="eastAsia" w:ascii="宋体" w:hAnsi="宋体" w:eastAsia="宋体" w:cs="宋体"/>
          <w:bCs/>
          <w:color w:val="auto"/>
          <w:szCs w:val="21"/>
          <w:highlight w:val="none"/>
          <w:u w:val="single"/>
        </w:rPr>
        <w:t>）</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（9）</w:t>
      </w:r>
      <w:r>
        <w:rPr>
          <w:rFonts w:ascii="Arial" w:hAnsi="Arial" w:cs="Arial"/>
          <w:bCs/>
          <w:color w:val="auto"/>
          <w:highlight w:val="none"/>
          <w:u w:val="single"/>
        </w:rPr>
        <w:t>拟委派项目负责人的建造师注册证书</w:t>
      </w:r>
      <w:r>
        <w:rPr>
          <w:rFonts w:ascii="Arial" w:hAnsi="Arial" w:cs="Arial"/>
          <w:bCs/>
          <w:color w:val="auto"/>
          <w:highlight w:val="none"/>
        </w:rPr>
        <w:t>（</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ascii="Arial" w:hAnsi="Arial" w:cs="Arial"/>
          <w:bCs/>
          <w:color w:val="auto"/>
          <w:highlight w:val="none"/>
        </w:rPr>
        <w:t xml:space="preserve">）； </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（10）项目负责人安全</w:t>
      </w:r>
      <w:r>
        <w:rPr>
          <w:rFonts w:hint="eastAsia" w:ascii="Arial" w:hAnsi="Arial" w:cs="Arial"/>
          <w:bCs/>
          <w:color w:val="auto"/>
          <w:highlight w:val="none"/>
          <w:lang w:val="en-US" w:eastAsia="zh-CN"/>
        </w:rPr>
        <w:t>生产</w:t>
      </w:r>
      <w:r>
        <w:rPr>
          <w:rFonts w:ascii="Arial" w:hAnsi="Arial" w:cs="Arial"/>
          <w:bCs/>
          <w:color w:val="auto"/>
          <w:highlight w:val="none"/>
        </w:rPr>
        <w:t>合格证明或在有效期内的安全考核合格证书（B类）或建筑施工企业项目负责人安全生产考核合格证书（</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（11）专职安全员须具有在有效期内的安全考核合格证书（C类）或建筑施工企业专职安全生产管理人员安全生产考核合格证书</w:t>
      </w:r>
      <w:r>
        <w:rPr>
          <w:rFonts w:hint="eastAsia" w:ascii="Arial" w:hAnsi="Arial" w:cs="Arial"/>
          <w:bCs/>
          <w:color w:val="auto"/>
          <w:highlight w:val="none"/>
          <w:lang w:eastAsia="zh-CN"/>
        </w:rPr>
        <w:t>（</w:t>
      </w:r>
      <w:r>
        <w:rPr>
          <w:rFonts w:hint="eastAsia" w:ascii="Arial" w:hAnsi="Arial" w:cs="Arial"/>
          <w:bCs/>
          <w:color w:val="auto"/>
          <w:highlight w:val="none"/>
          <w:lang w:val="en-US" w:eastAsia="zh-CN"/>
        </w:rPr>
        <w:t>C3类）</w:t>
      </w:r>
      <w:r>
        <w:rPr>
          <w:rFonts w:ascii="Arial" w:hAnsi="Arial" w:cs="Arial"/>
          <w:bCs/>
          <w:color w:val="auto"/>
          <w:highlight w:val="none"/>
        </w:rPr>
        <w:t>（</w:t>
      </w:r>
      <w:r>
        <w:rPr>
          <w:rFonts w:hint="eastAsia" w:ascii="宋体" w:hAnsi="宋体" w:eastAsia="宋体" w:cs="宋体"/>
          <w:bCs/>
          <w:color w:val="auto"/>
          <w:szCs w:val="21"/>
          <w:highlight w:val="none"/>
          <w:u w:val="single"/>
        </w:rPr>
        <w:t>彩色扫描件</w:t>
      </w:r>
      <w:r>
        <w:rPr>
          <w:rFonts w:hint="eastAsia" w:ascii="宋体" w:hAnsi="宋体" w:eastAsia="宋体" w:cs="宋体"/>
          <w:color w:val="auto"/>
          <w:szCs w:val="21"/>
          <w:highlight w:val="none"/>
          <w:u w:val="single"/>
          <w:lang w:eastAsia="zh-CN"/>
        </w:rPr>
        <w:t>加盖电子公章</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ascii="Arial" w:hAnsi="Arial" w:cs="Arial"/>
          <w:bCs/>
          <w:color w:val="auto"/>
          <w:highlight w:val="none"/>
        </w:rPr>
        <w:t>（12）</w:t>
      </w:r>
      <w:r>
        <w:rPr>
          <w:rFonts w:hint="eastAsia" w:ascii="宋体" w:hAnsi="宋体" w:eastAsia="宋体" w:cs="宋体"/>
          <w:bCs/>
          <w:color w:val="auto"/>
          <w:szCs w:val="21"/>
          <w:highlight w:val="none"/>
          <w:u w:val="single"/>
        </w:rPr>
        <w:t>资格审查前，投标人须在广州交易集团有限公司（广州公共资源交易中心）办理信息登记等相关投标登记手续及拟担任本工程项目负责人、专职安全员须是本企业的在册人员且与广州交易集团有限公司（广州公共资源交易中心）办理信息登记一致</w:t>
      </w:r>
      <w:r>
        <w:rPr>
          <w:rFonts w:ascii="Arial" w:hAnsi="Arial" w:cs="Arial"/>
          <w:bCs/>
          <w:color w:val="auto"/>
          <w:highlight w:val="none"/>
        </w:rPr>
        <w:t>。</w:t>
      </w:r>
    </w:p>
    <w:p>
      <w:pPr>
        <w:pBdr>
          <w:bottom w:val="single" w:color="auto" w:sz="6" w:space="1"/>
        </w:pBdr>
        <w:spacing w:line="440" w:lineRule="exact"/>
        <w:ind w:firstLine="470" w:firstLineChars="224"/>
        <w:rPr>
          <w:rFonts w:ascii="Arial" w:hAnsi="Arial" w:cs="Arial"/>
          <w:bCs/>
          <w:color w:val="auto"/>
          <w:highlight w:val="none"/>
        </w:rPr>
      </w:pPr>
      <w:r>
        <w:rPr>
          <w:rFonts w:hint="eastAsia" w:ascii="宋体" w:hAnsi="宋体" w:eastAsia="宋体" w:cs="宋体"/>
          <w:bCs/>
          <w:color w:val="auto"/>
          <w:szCs w:val="21"/>
          <w:highlight w:val="none"/>
          <w:u w:val="single"/>
        </w:rPr>
        <w:t>（13）本项目不接受联合体单位投标；</w:t>
      </w:r>
    </w:p>
    <w:p>
      <w:pPr>
        <w:pBdr>
          <w:bottom w:val="single" w:color="auto" w:sz="6" w:space="1"/>
        </w:pBdr>
        <w:spacing w:line="440" w:lineRule="exact"/>
        <w:ind w:firstLine="470" w:firstLineChars="224"/>
        <w:rPr>
          <w:rFonts w:ascii="Arial" w:hAnsi="Arial" w:cs="Arial"/>
          <w:bCs/>
          <w:color w:val="auto"/>
          <w:highlight w:val="none"/>
        </w:rPr>
      </w:pPr>
      <w:r>
        <w:rPr>
          <w:rFonts w:hint="eastAsia" w:ascii="Arial" w:hAnsi="Arial" w:cs="Arial"/>
          <w:bCs/>
          <w:color w:val="auto"/>
          <w:highlight w:val="none"/>
        </w:rPr>
        <w:t>（</w:t>
      </w:r>
      <w:r>
        <w:rPr>
          <w:rFonts w:hint="eastAsia" w:ascii="Arial" w:hAnsi="Arial" w:cs="Arial"/>
          <w:bCs/>
          <w:color w:val="auto"/>
          <w:highlight w:val="none"/>
          <w:lang w:val="en-US" w:eastAsia="zh-CN"/>
        </w:rPr>
        <w:t>14</w:t>
      </w:r>
      <w:r>
        <w:rPr>
          <w:rFonts w:hint="eastAsia" w:ascii="Arial" w:hAnsi="Arial" w:cs="Arial"/>
          <w:bCs/>
          <w:color w:val="auto"/>
          <w:highlight w:val="none"/>
        </w:rPr>
        <w:t>）投标人声明中签字的项目负责人和技术负责人与本项目拟派的项目负责人和技术负责人一致。</w:t>
      </w:r>
    </w:p>
    <w:p>
      <w:pPr>
        <w:pBdr>
          <w:top w:val="single" w:color="auto" w:sz="4" w:space="0"/>
        </w:pBdr>
        <w:spacing w:line="440" w:lineRule="exact"/>
        <w:ind w:firstLine="472" w:firstLineChars="224"/>
        <w:rPr>
          <w:rFonts w:ascii="Arial" w:hAnsi="Arial" w:cs="Arial"/>
          <w:b/>
          <w:color w:val="auto"/>
          <w:highlight w:val="none"/>
        </w:rPr>
      </w:pPr>
      <w:r>
        <w:rPr>
          <w:rFonts w:hint="eastAsia" w:ascii="Arial" w:hAnsi="Arial" w:cs="Arial"/>
          <w:b/>
          <w:color w:val="auto"/>
          <w:highlight w:val="none"/>
        </w:rPr>
        <w:t>条款号：11.2.3</w:t>
      </w:r>
      <w:r>
        <w:rPr>
          <w:rFonts w:ascii="Arial" w:hAnsi="Arial" w:cs="Arial"/>
          <w:b/>
          <w:color w:val="auto"/>
          <w:highlight w:val="none"/>
        </w:rPr>
        <w:t xml:space="preserve"> </w:t>
      </w:r>
      <w:r>
        <w:rPr>
          <w:rFonts w:hint="eastAsia" w:ascii="Arial" w:hAnsi="Arial" w:cs="Arial"/>
          <w:b/>
          <w:color w:val="auto"/>
          <w:highlight w:val="none"/>
          <w:lang w:val="en-US" w:eastAsia="zh-CN"/>
        </w:rPr>
        <w:t>-11.2.8</w:t>
      </w:r>
      <w:r>
        <w:rPr>
          <w:rFonts w:ascii="Arial" w:hAnsi="Arial" w:cs="Arial"/>
          <w:b/>
          <w:color w:val="auto"/>
          <w:highlight w:val="none"/>
        </w:rPr>
        <w:t xml:space="preserve">           </w:t>
      </w:r>
      <w:r>
        <w:rPr>
          <w:rFonts w:hint="eastAsia" w:ascii="Arial" w:hAnsi="Arial" w:cs="Arial"/>
          <w:b/>
          <w:color w:val="auto"/>
          <w:highlight w:val="none"/>
        </w:rPr>
        <w:t>修改类型：修改</w:t>
      </w:r>
    </w:p>
    <w:p>
      <w:pPr>
        <w:spacing w:line="360" w:lineRule="auto"/>
        <w:ind w:firstLine="422" w:firstLineChars="200"/>
        <w:rPr>
          <w:rFonts w:ascii="Arial" w:hAnsi="Arial" w:cs="Arial"/>
          <w:color w:val="auto"/>
          <w:highlight w:val="none"/>
        </w:rPr>
      </w:pPr>
      <w:r>
        <w:rPr>
          <w:rFonts w:hint="eastAsia" w:ascii="Arial" w:hAnsi="Arial" w:cs="Arial"/>
          <w:b/>
          <w:color w:val="auto"/>
          <w:highlight w:val="none"/>
        </w:rPr>
        <w:t>原文：</w:t>
      </w:r>
      <w:r>
        <w:rPr>
          <w:rFonts w:hint="eastAsia" w:ascii="Arial" w:hAnsi="Arial" w:cs="Arial"/>
          <w:color w:val="auto"/>
          <w:highlight w:val="none"/>
        </w:rPr>
        <w:t>11.2.3项目管理机构配备。</w:t>
      </w:r>
    </w:p>
    <w:p>
      <w:pPr>
        <w:spacing w:line="360" w:lineRule="auto"/>
        <w:ind w:firstLine="420" w:firstLineChars="200"/>
        <w:rPr>
          <w:rFonts w:ascii="Arial" w:hAnsi="Arial" w:cs="Arial"/>
          <w:color w:val="auto"/>
          <w:highlight w:val="none"/>
        </w:rPr>
      </w:pPr>
      <w:r>
        <w:rPr>
          <w:rFonts w:hint="eastAsia" w:ascii="Arial" w:hAnsi="Arial" w:cs="Arial"/>
          <w:color w:val="auto"/>
          <w:highlight w:val="none"/>
        </w:rPr>
        <w:t>（1）投标人应列出该项目工程的施工组织机构构成和画出机构框架图及其负责人；</w:t>
      </w:r>
    </w:p>
    <w:p>
      <w:pPr>
        <w:spacing w:line="360" w:lineRule="auto"/>
        <w:ind w:firstLine="420" w:firstLineChars="200"/>
        <w:rPr>
          <w:rFonts w:ascii="Arial" w:hAnsi="Arial" w:cs="Arial"/>
          <w:color w:val="auto"/>
          <w:highlight w:val="none"/>
        </w:rPr>
      </w:pPr>
      <w:r>
        <w:rPr>
          <w:rFonts w:hint="eastAsia" w:ascii="Arial" w:hAnsi="Arial" w:cs="Arial"/>
          <w:color w:val="auto"/>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Arial" w:hAnsi="Arial" w:cs="Arial"/>
          <w:color w:val="auto"/>
          <w:highlight w:val="none"/>
        </w:rPr>
      </w:pPr>
      <w:r>
        <w:rPr>
          <w:rFonts w:hint="eastAsia" w:ascii="Arial" w:hAnsi="Arial" w:cs="Arial"/>
          <w:color w:val="auto"/>
          <w:highlight w:val="none"/>
        </w:rPr>
        <w:t>（3）其他辅助说明资料。</w:t>
      </w:r>
    </w:p>
    <w:p>
      <w:pPr>
        <w:spacing w:line="460" w:lineRule="exact"/>
        <w:ind w:firstLine="422" w:firstLineChars="200"/>
        <w:rPr>
          <w:rFonts w:hint="eastAsia" w:ascii="Arial" w:hAnsi="Arial" w:cs="Arial"/>
          <w:color w:val="auto"/>
          <w:highlight w:val="none"/>
        </w:rPr>
      </w:pPr>
      <w:r>
        <w:rPr>
          <w:rFonts w:hint="eastAsia" w:ascii="宋体" w:hAnsi="宋体" w:cs="宋体"/>
          <w:b/>
          <w:bCs w:val="0"/>
          <w:color w:val="auto"/>
          <w:szCs w:val="21"/>
          <w:highlight w:val="none"/>
          <w:lang w:val="en-US" w:eastAsia="zh-CN"/>
        </w:rPr>
        <w:t>现文：</w:t>
      </w:r>
      <w:r>
        <w:rPr>
          <w:rFonts w:hint="eastAsia" w:ascii="Arial" w:hAnsi="Arial" w:cs="Arial"/>
          <w:color w:val="auto"/>
          <w:highlight w:val="none"/>
        </w:rPr>
        <w:t>11.2.3项目管理机构配备。</w:t>
      </w:r>
    </w:p>
    <w:p>
      <w:pPr>
        <w:spacing w:line="46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（1）投标人应列出该项目工程的施工组织机构构成和画出机构框架图及其负责人；</w:t>
      </w:r>
    </w:p>
    <w:p>
      <w:pPr>
        <w:spacing w:line="46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（2）投标人应详细列出该施工组织机构中主要成员的名单、简历资料、职务职称和在本项目中拟担任的职务等资料，并附上有关证明材料扫描件；</w:t>
      </w:r>
    </w:p>
    <w:p>
      <w:pPr>
        <w:spacing w:line="46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（3）其他辅助说明资料。</w:t>
      </w:r>
    </w:p>
    <w:p>
      <w:pPr>
        <w:spacing w:line="4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11.2.4</w:t>
      </w:r>
      <w:r>
        <w:rPr>
          <w:rFonts w:hint="eastAsia" w:ascii="宋体" w:hAnsi="宋体" w:eastAsia="宋体" w:cs="宋体"/>
          <w:bCs/>
          <w:color w:val="auto"/>
          <w:szCs w:val="21"/>
          <w:highlight w:val="none"/>
          <w:u w:val="single"/>
        </w:rPr>
        <w:t>按照招标文件要求填写的《投标文件编制人员名单》</w:t>
      </w: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lang w:val="en-US" w:eastAsia="zh-CN"/>
        </w:rPr>
        <w:t>详见附件三</w:t>
      </w:r>
      <w:r>
        <w:rPr>
          <w:rFonts w:hint="eastAsia" w:ascii="宋体" w:hAnsi="宋体" w:cs="宋体"/>
          <w:bCs/>
          <w:color w:val="auto"/>
          <w:szCs w:val="21"/>
          <w:highlight w:val="none"/>
          <w:u w:val="single"/>
          <w:lang w:eastAsia="zh-CN"/>
        </w:rPr>
        <w:t>）</w:t>
      </w:r>
      <w:r>
        <w:rPr>
          <w:rFonts w:hint="eastAsia" w:ascii="宋体" w:hAnsi="宋体" w:eastAsia="宋体" w:cs="宋体"/>
          <w:bCs/>
          <w:color w:val="auto"/>
          <w:szCs w:val="21"/>
          <w:highlight w:val="none"/>
        </w:rPr>
        <w:t>。</w:t>
      </w:r>
    </w:p>
    <w:p>
      <w:pPr>
        <w:pBdr>
          <w:bottom w:val="single" w:color="auto" w:sz="4" w:space="0"/>
        </w:pBdr>
        <w:spacing w:line="360" w:lineRule="auto"/>
        <w:ind w:firstLine="210" w:firstLineChars="1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11.2.</w:t>
      </w:r>
      <w:r>
        <w:rPr>
          <w:rFonts w:hint="eastAsia" w:ascii="宋体" w:hAnsi="宋体" w:eastAsia="宋体" w:cs="宋体"/>
          <w:bCs/>
          <w:color w:val="auto"/>
          <w:szCs w:val="21"/>
          <w:highlight w:val="none"/>
          <w:u w:val="single"/>
          <w:lang w:val="en-US" w:eastAsia="zh-CN"/>
        </w:rPr>
        <w:t>5</w:t>
      </w:r>
      <w:r>
        <w:rPr>
          <w:rFonts w:hint="eastAsia" w:ascii="宋体" w:hAnsi="宋体" w:eastAsia="宋体" w:cs="宋体"/>
          <w:bCs/>
          <w:color w:val="auto"/>
          <w:szCs w:val="21"/>
          <w:highlight w:val="none"/>
          <w:u w:val="single"/>
        </w:rPr>
        <w:t>承诺书（必须按照招标文件中提供的承诺书格式进行承诺，详见附件四）。</w:t>
      </w:r>
    </w:p>
    <w:p>
      <w:pPr>
        <w:pBdr>
          <w:bottom w:val="single" w:color="auto" w:sz="4" w:space="0"/>
        </w:pBdr>
        <w:spacing w:line="360" w:lineRule="auto"/>
        <w:ind w:firstLine="210" w:firstLineChars="1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11.2.</w:t>
      </w:r>
      <w:r>
        <w:rPr>
          <w:rFonts w:hint="eastAsia" w:ascii="宋体" w:hAnsi="宋体" w:eastAsia="宋体" w:cs="宋体"/>
          <w:bCs/>
          <w:color w:val="auto"/>
          <w:szCs w:val="21"/>
          <w:highlight w:val="none"/>
          <w:u w:val="single"/>
          <w:lang w:val="en-US" w:eastAsia="zh-CN"/>
        </w:rPr>
        <w:t>6</w:t>
      </w:r>
      <w:r>
        <w:rPr>
          <w:rFonts w:hint="eastAsia" w:ascii="宋体" w:hAnsi="宋体" w:eastAsia="宋体" w:cs="宋体"/>
          <w:bCs/>
          <w:color w:val="auto"/>
          <w:szCs w:val="21"/>
          <w:highlight w:val="none"/>
          <w:u w:val="single"/>
        </w:rPr>
        <w:t>响应招标文件所附施工组织设计（详见附件</w:t>
      </w:r>
      <w:r>
        <w:rPr>
          <w:rFonts w:hint="eastAsia" w:ascii="宋体" w:hAnsi="宋体" w:cs="宋体"/>
          <w:bCs/>
          <w:color w:val="auto"/>
          <w:szCs w:val="21"/>
          <w:highlight w:val="none"/>
          <w:u w:val="single"/>
          <w:lang w:val="en-US" w:eastAsia="zh-CN"/>
        </w:rPr>
        <w:t>八</w:t>
      </w:r>
      <w:r>
        <w:rPr>
          <w:rFonts w:hint="eastAsia" w:ascii="宋体" w:hAnsi="宋体" w:eastAsia="宋体" w:cs="宋体"/>
          <w:bCs/>
          <w:color w:val="auto"/>
          <w:szCs w:val="21"/>
          <w:highlight w:val="none"/>
          <w:u w:val="single"/>
        </w:rPr>
        <w:t>）。</w:t>
      </w:r>
    </w:p>
    <w:p>
      <w:pPr>
        <w:pBdr>
          <w:bottom w:val="single" w:color="auto" w:sz="4" w:space="0"/>
        </w:pBdr>
        <w:spacing w:line="4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u w:val="single"/>
        </w:rPr>
        <w:t>11.2.</w:t>
      </w:r>
      <w:r>
        <w:rPr>
          <w:rFonts w:hint="eastAsia" w:ascii="宋体" w:hAnsi="宋体" w:eastAsia="宋体" w:cs="宋体"/>
          <w:bCs/>
          <w:color w:val="auto"/>
          <w:szCs w:val="21"/>
          <w:highlight w:val="none"/>
          <w:u w:val="single"/>
          <w:lang w:val="en-US" w:eastAsia="zh-CN"/>
        </w:rPr>
        <w:t>7</w:t>
      </w:r>
      <w:r>
        <w:rPr>
          <w:rFonts w:hint="eastAsia" w:ascii="宋体" w:hAnsi="宋体" w:eastAsia="宋体" w:cs="宋体"/>
          <w:bCs/>
          <w:color w:val="auto"/>
          <w:szCs w:val="21"/>
          <w:highlight w:val="none"/>
        </w:rPr>
        <w:t>按照招标文件要求填写的《中小企业声明函》</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详见附件十</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lang w:eastAsia="zh-CN"/>
        </w:rPr>
        <w:t>。</w:t>
      </w:r>
    </w:p>
    <w:p>
      <w:pPr>
        <w:pBdr>
          <w:bottom w:val="single" w:color="auto" w:sz="4" w:space="0"/>
        </w:pBdr>
        <w:spacing w:line="360" w:lineRule="auto"/>
        <w:ind w:firstLine="210" w:firstLineChars="1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11.2.8</w:t>
      </w:r>
      <w:r>
        <w:rPr>
          <w:rFonts w:hint="eastAsia" w:ascii="宋体" w:hAnsi="宋体" w:eastAsia="宋体" w:cs="宋体"/>
          <w:bCs/>
          <w:color w:val="auto"/>
          <w:szCs w:val="21"/>
          <w:highlight w:val="none"/>
          <w:u w:val="single"/>
        </w:rPr>
        <w:t>投标人认为应提交其他的资料。</w:t>
      </w:r>
    </w:p>
    <w:p>
      <w:pPr>
        <w:pBdr>
          <w:bottom w:val="single" w:color="auto" w:sz="6" w:space="1"/>
        </w:pBdr>
        <w:spacing w:line="440" w:lineRule="exact"/>
        <w:ind w:firstLine="472" w:firstLineChars="224"/>
        <w:rPr>
          <w:rFonts w:ascii="Arial" w:hAnsi="Arial" w:cs="Arial"/>
          <w:b/>
          <w:color w:val="auto"/>
          <w:highlight w:val="none"/>
        </w:rPr>
      </w:pPr>
    </w:p>
    <w:p>
      <w:pPr>
        <w:pBdr>
          <w:bottom w:val="single" w:color="auto" w:sz="6" w:space="1"/>
        </w:pBdr>
        <w:snapToGrid/>
        <w:spacing w:line="440" w:lineRule="exact"/>
        <w:ind w:firstLine="472" w:firstLineChars="224"/>
        <w:rPr>
          <w:rFonts w:ascii="Arial" w:hAnsi="Arial" w:cs="Arial"/>
          <w:b/>
          <w:color w:val="auto"/>
          <w:highlight w:val="none"/>
        </w:rPr>
      </w:pPr>
      <w:r>
        <w:rPr>
          <w:rFonts w:ascii="Arial" w:hAnsi="Arial" w:cs="Arial"/>
          <w:b/>
          <w:color w:val="auto"/>
          <w:highlight w:val="none"/>
        </w:rPr>
        <w:t>条款号：11.3            修改类型：修改</w:t>
      </w:r>
    </w:p>
    <w:p>
      <w:pPr>
        <w:pBdr>
          <w:bottom w:val="single" w:color="auto" w:sz="6" w:space="1"/>
        </w:pBdr>
        <w:snapToGrid/>
        <w:spacing w:line="440" w:lineRule="exact"/>
        <w:ind w:firstLine="472" w:firstLineChars="224"/>
        <w:rPr>
          <w:rFonts w:ascii="Arial" w:hAnsi="Arial" w:cs="Arial"/>
          <w:color w:val="auto"/>
          <w:highlight w:val="none"/>
        </w:rPr>
      </w:pPr>
      <w:r>
        <w:rPr>
          <w:rFonts w:ascii="Arial" w:hAnsi="Arial" w:cs="Arial"/>
          <w:b/>
          <w:color w:val="auto"/>
          <w:highlight w:val="none"/>
        </w:rPr>
        <w:t>原文：</w:t>
      </w:r>
      <w:r>
        <w:rPr>
          <w:rFonts w:ascii="Arial" w:hAnsi="Arial" w:cs="Arial"/>
          <w:color w:val="auto"/>
          <w:highlight w:val="none"/>
        </w:rPr>
        <w:t>11.3 经济部分投标文件主要包括下列内容：</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11.3.1 经济投标文件(按招标文件的要求填写)。</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（1）投标总价封面、扉页；</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（2）总说明</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（3）工程项目投标报价汇总表；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（4）单项工程投标报价汇总表；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（5）单位工程投标报价汇总表；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（6）分部分项工程清单与计价表；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（7）单价措施项目清单与计价表；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（8）总价措施项目清单与计价表；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（9）综合单价分析表；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（10）其他项目清单与计价汇总表；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（11）暂列金额明细表；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（12）材料（工程设备）暂估价明细表；</w:t>
      </w:r>
    </w:p>
    <w:p>
      <w:pPr>
        <w:pBdr>
          <w:bottom w:val="single" w:color="auto" w:sz="6" w:space="1"/>
        </w:pBdr>
        <w:snapToGrid/>
        <w:spacing w:line="440" w:lineRule="exact"/>
        <w:ind w:firstLine="470" w:firstLineChars="224"/>
        <w:rPr>
          <w:rFonts w:ascii="Arial" w:hAnsi="Arial" w:cs="Arial"/>
          <w:color w:val="auto"/>
          <w:highlight w:val="none"/>
        </w:rPr>
      </w:pPr>
      <w:r>
        <w:rPr>
          <w:rFonts w:ascii="Arial" w:hAnsi="Arial" w:cs="Arial"/>
          <w:color w:val="auto"/>
          <w:highlight w:val="none"/>
        </w:rPr>
        <w:t>（13）专业工程暂估价明细表；</w:t>
      </w:r>
    </w:p>
    <w:p>
      <w:pPr>
        <w:pStyle w:val="2"/>
        <w:snapToGrid w:val="0"/>
        <w:spacing w:line="360" w:lineRule="auto"/>
        <w:ind w:firstLine="420" w:firstLineChars="200"/>
        <w:rPr>
          <w:rFonts w:ascii="Arial" w:hAnsi="Arial" w:cs="Arial"/>
          <w:color w:val="auto"/>
          <w:highlight w:val="none"/>
        </w:rPr>
      </w:pPr>
      <w:r>
        <w:rPr>
          <w:rFonts w:ascii="Arial" w:hAnsi="Arial" w:cs="Arial"/>
          <w:color w:val="auto"/>
          <w:highlight w:val="none"/>
        </w:rPr>
        <w:t>（14）计日工表；</w:t>
      </w:r>
    </w:p>
    <w:p>
      <w:pPr>
        <w:pStyle w:val="2"/>
        <w:snapToGrid w:val="0"/>
        <w:spacing w:line="360" w:lineRule="auto"/>
        <w:ind w:firstLine="420" w:firstLineChars="200"/>
        <w:rPr>
          <w:rFonts w:ascii="Arial" w:hAnsi="Arial" w:cs="Arial"/>
          <w:color w:val="auto"/>
          <w:highlight w:val="none"/>
        </w:rPr>
      </w:pPr>
      <w:r>
        <w:rPr>
          <w:rFonts w:ascii="Arial" w:hAnsi="Arial" w:cs="Arial"/>
          <w:color w:val="auto"/>
          <w:highlight w:val="none"/>
        </w:rPr>
        <w:t>（15）总承包服务计价表；</w:t>
      </w:r>
    </w:p>
    <w:p>
      <w:pPr>
        <w:pStyle w:val="2"/>
        <w:snapToGrid w:val="0"/>
        <w:spacing w:line="360" w:lineRule="auto"/>
        <w:ind w:firstLine="420" w:firstLineChars="200"/>
        <w:rPr>
          <w:rFonts w:ascii="Arial" w:hAnsi="Arial" w:cs="Arial"/>
          <w:color w:val="auto"/>
          <w:highlight w:val="none"/>
        </w:rPr>
      </w:pPr>
      <w:r>
        <w:rPr>
          <w:rFonts w:ascii="Arial" w:hAnsi="Arial" w:cs="Arial"/>
          <w:color w:val="auto"/>
          <w:highlight w:val="none"/>
        </w:rPr>
        <w:t>（16）规费和税金项目计价表；</w:t>
      </w:r>
    </w:p>
    <w:p>
      <w:pPr>
        <w:pStyle w:val="2"/>
        <w:snapToGrid w:val="0"/>
        <w:spacing w:line="360" w:lineRule="auto"/>
        <w:ind w:firstLine="420" w:firstLineChars="200"/>
        <w:rPr>
          <w:rFonts w:ascii="Arial" w:hAnsi="Arial" w:cs="Arial"/>
          <w:color w:val="auto"/>
          <w:highlight w:val="none"/>
        </w:rPr>
      </w:pPr>
      <w:r>
        <w:rPr>
          <w:rFonts w:ascii="Arial" w:hAnsi="Arial" w:cs="Arial"/>
          <w:color w:val="auto"/>
          <w:highlight w:val="none"/>
        </w:rPr>
        <w:t xml:space="preserve"> （17）人工、主要材料和设备一览表</w:t>
      </w:r>
    </w:p>
    <w:p>
      <w:pPr>
        <w:pStyle w:val="2"/>
        <w:snapToGrid w:val="0"/>
        <w:spacing w:line="360" w:lineRule="auto"/>
        <w:ind w:firstLine="420" w:firstLineChars="200"/>
        <w:rPr>
          <w:rFonts w:ascii="Arial" w:hAnsi="Arial" w:cs="Arial"/>
          <w:color w:val="auto"/>
          <w:highlight w:val="none"/>
        </w:rPr>
      </w:pPr>
      <w:r>
        <w:rPr>
          <w:rFonts w:ascii="Arial" w:hAnsi="Arial" w:cs="Arial"/>
          <w:color w:val="auto"/>
          <w:highlight w:val="none"/>
        </w:rPr>
        <w:t>11.3.3按照招标文件要求填写的《参与编制经济标投标文件人员名单》。</w:t>
      </w:r>
    </w:p>
    <w:p>
      <w:pPr>
        <w:pStyle w:val="2"/>
        <w:snapToGrid w:val="0"/>
        <w:spacing w:line="360" w:lineRule="auto"/>
        <w:ind w:firstLine="420" w:firstLineChars="200"/>
        <w:rPr>
          <w:rFonts w:ascii="Arial" w:hAnsi="Arial" w:cs="Arial"/>
          <w:color w:val="auto"/>
          <w:highlight w:val="none"/>
        </w:rPr>
      </w:pPr>
      <w:r>
        <w:rPr>
          <w:rFonts w:ascii="Arial" w:hAnsi="Arial" w:cs="Arial"/>
          <w:color w:val="auto"/>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napToGrid w:val="0"/>
        <w:spacing w:line="360" w:lineRule="auto"/>
        <w:ind w:firstLine="472" w:firstLineChars="224"/>
        <w:rPr>
          <w:rFonts w:ascii="Arial" w:hAnsi="Arial" w:cs="Arial"/>
          <w:color w:val="auto"/>
          <w:highlight w:val="none"/>
        </w:rPr>
      </w:pPr>
      <w:r>
        <w:rPr>
          <w:rFonts w:ascii="Arial" w:hAnsi="Arial" w:cs="Arial"/>
          <w:b/>
          <w:color w:val="auto"/>
          <w:highlight w:val="none"/>
        </w:rPr>
        <w:t>现文：</w:t>
      </w:r>
      <w:r>
        <w:rPr>
          <w:rFonts w:ascii="Arial" w:hAnsi="Arial" w:cs="Arial"/>
          <w:color w:val="auto"/>
          <w:highlight w:val="none"/>
        </w:rPr>
        <w:t>11.3 经济部分投标文件主要包括下列内容：</w:t>
      </w:r>
    </w:p>
    <w:p>
      <w:pPr>
        <w:pBdr>
          <w:bottom w:val="single" w:color="auto" w:sz="6" w:space="1"/>
        </w:pBdr>
        <w:snapToGrid w:val="0"/>
        <w:spacing w:line="360" w:lineRule="auto"/>
        <w:ind w:firstLine="470" w:firstLineChars="224"/>
        <w:rPr>
          <w:rFonts w:ascii="Arial" w:hAnsi="Arial" w:cs="Arial"/>
          <w:color w:val="auto"/>
          <w:highlight w:val="none"/>
        </w:rPr>
      </w:pPr>
      <w:r>
        <w:rPr>
          <w:rFonts w:ascii="Arial" w:hAnsi="Arial" w:cs="Arial"/>
          <w:color w:val="auto"/>
          <w:highlight w:val="none"/>
        </w:rPr>
        <w:t>11.3.1 广州建设工程施工招标投标书(按招标文件附件</w:t>
      </w:r>
      <w:r>
        <w:rPr>
          <w:rFonts w:hint="eastAsia" w:ascii="Arial" w:hAnsi="Arial" w:cs="Arial"/>
          <w:color w:val="auto"/>
          <w:highlight w:val="none"/>
        </w:rPr>
        <w:t>二</w:t>
      </w:r>
      <w:r>
        <w:rPr>
          <w:rFonts w:ascii="Arial" w:hAnsi="Arial" w:cs="Arial"/>
          <w:color w:val="auto"/>
          <w:highlight w:val="none"/>
        </w:rPr>
        <w:t>的要求填写)。</w:t>
      </w:r>
    </w:p>
    <w:p>
      <w:pPr>
        <w:pBdr>
          <w:bottom w:val="single" w:color="auto" w:sz="6" w:space="1"/>
        </w:pBdr>
        <w:snapToGrid w:val="0"/>
        <w:spacing w:line="360" w:lineRule="auto"/>
        <w:ind w:firstLine="470" w:firstLineChars="224"/>
        <w:rPr>
          <w:rFonts w:ascii="Arial" w:hAnsi="Arial" w:cs="Arial"/>
          <w:color w:val="auto"/>
          <w:highlight w:val="none"/>
        </w:rPr>
      </w:pPr>
      <w:r>
        <w:rPr>
          <w:rFonts w:ascii="Arial" w:hAnsi="Arial" w:cs="Arial"/>
          <w:color w:val="auto"/>
          <w:highlight w:val="none"/>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投标报价的工程量清单的组成、格式等由</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highlight w:val="none"/>
        </w:rPr>
        <w:t>的投标文件管理软件自动生成）</w:t>
      </w:r>
    </w:p>
    <w:p>
      <w:pPr>
        <w:pBdr>
          <w:bottom w:val="single" w:color="auto" w:sz="6" w:space="1"/>
        </w:pBdr>
        <w:snapToGrid w:val="0"/>
        <w:spacing w:line="360" w:lineRule="auto"/>
        <w:ind w:firstLine="470" w:firstLineChars="224"/>
        <w:rPr>
          <w:rFonts w:ascii="Arial" w:hAnsi="Arial" w:cs="Arial"/>
          <w:color w:val="auto"/>
          <w:highlight w:val="none"/>
        </w:rPr>
      </w:pPr>
      <w:r>
        <w:rPr>
          <w:rFonts w:ascii="Arial" w:hAnsi="Arial" w:cs="Arial"/>
          <w:color w:val="auto"/>
          <w:highlight w:val="none"/>
        </w:rPr>
        <w:t>11.3.3 按照招标文件要求填写的《参与编制经济标投标文件人员名单》。</w:t>
      </w:r>
    </w:p>
    <w:p>
      <w:pPr>
        <w:pBdr>
          <w:bottom w:val="single" w:color="auto" w:sz="6" w:space="1"/>
        </w:pBdr>
        <w:snapToGrid w:val="0"/>
        <w:spacing w:line="360" w:lineRule="auto"/>
        <w:ind w:firstLine="470" w:firstLineChars="224"/>
        <w:rPr>
          <w:rFonts w:ascii="Arial" w:hAnsi="Arial" w:cs="Arial"/>
          <w:color w:val="auto"/>
          <w:highlight w:val="none"/>
        </w:rPr>
      </w:pPr>
      <w:r>
        <w:rPr>
          <w:rFonts w:ascii="Arial" w:hAnsi="Arial" w:cs="Arial"/>
          <w:color w:val="auto"/>
          <w:highlight w:val="none"/>
        </w:rPr>
        <w:t>11.3.4 《对投标文件编制的承诺》(按招标文件附件</w:t>
      </w:r>
      <w:r>
        <w:rPr>
          <w:rFonts w:hint="eastAsia" w:ascii="Arial" w:hAnsi="Arial" w:cs="Arial"/>
          <w:color w:val="auto"/>
          <w:highlight w:val="none"/>
        </w:rPr>
        <w:t>四</w:t>
      </w:r>
      <w:r>
        <w:rPr>
          <w:rFonts w:ascii="Arial" w:hAnsi="Arial" w:cs="Arial"/>
          <w:color w:val="auto"/>
          <w:highlight w:val="none"/>
        </w:rPr>
        <w:t>的要求填写)。</w:t>
      </w:r>
    </w:p>
    <w:p>
      <w:pPr>
        <w:pBdr>
          <w:bottom w:val="single" w:color="auto" w:sz="6" w:space="1"/>
        </w:pBdr>
        <w:snapToGrid w:val="0"/>
        <w:spacing w:line="360" w:lineRule="auto"/>
        <w:ind w:firstLine="470" w:firstLineChars="224"/>
        <w:rPr>
          <w:rFonts w:ascii="Arial" w:hAnsi="Arial" w:cs="Arial"/>
          <w:color w:val="auto"/>
          <w:highlight w:val="none"/>
        </w:rPr>
      </w:pPr>
      <w:r>
        <w:rPr>
          <w:rFonts w:ascii="Arial" w:hAnsi="Arial" w:cs="Arial"/>
          <w:color w:val="auto"/>
          <w:highlight w:val="none"/>
        </w:rPr>
        <w:t>11.3.5 若投标人的投标报价低于工程成本警戒价的，投标人还须提供详细的施工组织设计、单价、措施性费用、单价分析表、主要材料价格表、投标人成本分析供评标委员会评审。</w:t>
      </w:r>
    </w:p>
    <w:p>
      <w:pPr>
        <w:snapToGrid w:val="0"/>
        <w:spacing w:line="360" w:lineRule="auto"/>
        <w:ind w:firstLine="495" w:firstLineChars="224"/>
        <w:rPr>
          <w:rFonts w:ascii="Arial" w:hAnsi="Arial" w:cs="Arial"/>
          <w:b/>
          <w:color w:val="auto"/>
          <w:sz w:val="22"/>
          <w:highlight w:val="none"/>
        </w:rPr>
      </w:pPr>
      <w:r>
        <w:rPr>
          <w:rFonts w:ascii="Arial" w:hAnsi="Arial" w:cs="Arial"/>
          <w:b/>
          <w:color w:val="auto"/>
          <w:sz w:val="22"/>
          <w:highlight w:val="none"/>
        </w:rPr>
        <w:t>条款号：12.2、12.3          修改类型：修改</w:t>
      </w:r>
    </w:p>
    <w:p>
      <w:pPr>
        <w:snapToGrid w:val="0"/>
        <w:spacing w:line="360" w:lineRule="auto"/>
        <w:ind w:firstLine="472" w:firstLineChars="224"/>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pPr>
        <w:snapToGrid w:val="0"/>
        <w:spacing w:line="360" w:lineRule="auto"/>
        <w:ind w:firstLine="470" w:firstLineChars="224"/>
        <w:rPr>
          <w:rFonts w:ascii="Arial" w:hAnsi="Arial" w:cs="Arial"/>
          <w:color w:val="auto"/>
          <w:highlight w:val="none"/>
        </w:rPr>
      </w:pPr>
      <w:r>
        <w:rPr>
          <w:rFonts w:ascii="Arial" w:hAnsi="Arial" w:cs="Arial"/>
          <w:color w:val="auto"/>
          <w:highlight w:val="none"/>
        </w:rPr>
        <w:t>12.3 投标文件应按照交易平台关于全流程电子化项目的相关指南进行编制，详见：</w:t>
      </w:r>
      <w:r>
        <w:rPr>
          <w:rFonts w:ascii="Arial" w:hAnsi="Arial" w:cs="Arial"/>
          <w:color w:val="auto"/>
          <w:highlight w:val="none"/>
          <w:u w:val="single"/>
        </w:rPr>
        <w:t xml:space="preserve">            </w:t>
      </w:r>
      <w:r>
        <w:rPr>
          <w:rFonts w:ascii="Arial" w:hAnsi="Arial" w:cs="Arial"/>
          <w:color w:val="auto"/>
          <w:highlight w:val="none"/>
        </w:rPr>
        <w:t>。</w:t>
      </w:r>
    </w:p>
    <w:p>
      <w:pPr>
        <w:pBdr>
          <w:bottom w:val="single" w:color="auto" w:sz="6" w:space="1"/>
        </w:pBdr>
        <w:snapToGrid w:val="0"/>
        <w:spacing w:line="360" w:lineRule="auto"/>
        <w:ind w:firstLine="472" w:firstLineChars="224"/>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网站</w:t>
      </w:r>
      <w:r>
        <w:rPr>
          <w:rFonts w:ascii="Arial" w:hAnsi="Arial" w:cs="Arial"/>
          <w:color w:val="auto"/>
          <w:szCs w:val="21"/>
          <w:highlight w:val="none"/>
        </w:rPr>
        <w:t xml:space="preserve"> 。</w:t>
      </w:r>
    </w:p>
    <w:p>
      <w:pPr>
        <w:pBdr>
          <w:bottom w:val="single" w:color="auto" w:sz="6" w:space="1"/>
        </w:pBdr>
        <w:snapToGrid w:val="0"/>
        <w:spacing w:line="360" w:lineRule="auto"/>
        <w:ind w:firstLine="470" w:firstLineChars="224"/>
        <w:rPr>
          <w:rFonts w:ascii="Arial" w:hAnsi="Arial" w:cs="Arial"/>
          <w:color w:val="auto"/>
          <w:sz w:val="22"/>
          <w:highlight w:val="none"/>
        </w:rPr>
      </w:pPr>
      <w:r>
        <w:rPr>
          <w:rFonts w:ascii="Arial" w:hAnsi="Arial" w:cs="Arial"/>
          <w:color w:val="auto"/>
          <w:szCs w:val="21"/>
          <w:highlight w:val="none"/>
        </w:rPr>
        <w:t>12.3</w:t>
      </w:r>
      <w:r>
        <w:rPr>
          <w:rFonts w:ascii="Arial" w:hAnsi="Arial" w:cs="Arial"/>
          <w:color w:val="auto"/>
          <w:sz w:val="24"/>
          <w:highlight w:val="none"/>
        </w:rPr>
        <w:t xml:space="preserve"> </w:t>
      </w:r>
      <w:r>
        <w:rPr>
          <w:rFonts w:ascii="Arial" w:hAnsi="Arial" w:cs="Arial"/>
          <w:bCs/>
          <w:color w:val="auto"/>
          <w:szCs w:val="21"/>
          <w:highlight w:val="none"/>
        </w:rPr>
        <w:t>投标文件应按</w:t>
      </w:r>
      <w:r>
        <w:rPr>
          <w:rFonts w:ascii="Arial" w:hAnsi="Arial" w:cs="Arial"/>
          <w:color w:val="auto"/>
          <w:szCs w:val="21"/>
          <w:highlight w:val="none"/>
        </w:rPr>
        <w:t>照交易平台关于全流程电子化项目的相关指南进行编制，详见：</w:t>
      </w:r>
      <w:r>
        <w:rPr>
          <w:rFonts w:ascii="Arial" w:hAnsi="Arial" w:cs="Arial"/>
          <w:color w:val="auto"/>
          <w:szCs w:val="21"/>
          <w:highlight w:val="none"/>
          <w:u w:val="single"/>
        </w:rPr>
        <w:t xml:space="preserve"> </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网站</w:t>
      </w:r>
      <w:r>
        <w:rPr>
          <w:rFonts w:ascii="Arial" w:hAnsi="Arial" w:cs="Arial"/>
          <w:color w:val="auto"/>
          <w:szCs w:val="21"/>
          <w:highlight w:val="none"/>
        </w:rPr>
        <w:t>。</w:t>
      </w:r>
    </w:p>
    <w:p>
      <w:pPr>
        <w:spacing w:line="440" w:lineRule="exact"/>
        <w:ind w:firstLine="472" w:firstLineChars="224"/>
        <w:rPr>
          <w:rFonts w:ascii="Arial" w:hAnsi="Arial" w:cs="Arial"/>
          <w:b/>
          <w:color w:val="auto"/>
          <w:szCs w:val="21"/>
          <w:highlight w:val="none"/>
        </w:rPr>
      </w:pPr>
      <w:r>
        <w:rPr>
          <w:rFonts w:ascii="Arial" w:hAnsi="Arial" w:cs="Arial"/>
          <w:b/>
          <w:color w:val="auto"/>
          <w:szCs w:val="21"/>
          <w:highlight w:val="none"/>
        </w:rPr>
        <w:t>条款号：13.1          修改类型：修改</w:t>
      </w:r>
    </w:p>
    <w:p>
      <w:pPr>
        <w:spacing w:line="440" w:lineRule="exact"/>
        <w:ind w:firstLine="472" w:firstLineChars="224"/>
        <w:rPr>
          <w:rFonts w:ascii="Arial" w:hAnsi="Arial" w:cs="Arial"/>
          <w:color w:val="auto"/>
          <w:sz w:val="18"/>
          <w:highlight w:val="none"/>
        </w:rPr>
      </w:pPr>
      <w:r>
        <w:rPr>
          <w:rFonts w:ascii="Arial" w:hAnsi="Arial" w:cs="Arial"/>
          <w:b/>
          <w:color w:val="auto"/>
          <w:highlight w:val="none"/>
        </w:rPr>
        <w:t>原文：</w:t>
      </w:r>
      <w:r>
        <w:rPr>
          <w:rFonts w:ascii="Arial" w:hAnsi="Arial" w:cs="Arial"/>
          <w:color w:val="auto"/>
          <w:highlight w:val="none"/>
        </w:rPr>
        <w:t>13.1 本工程的投标报价采用投标须知前附表第12项所规定的方式。投标报价（含单价及总价）精确到“分”。</w:t>
      </w:r>
    </w:p>
    <w:p>
      <w:pPr>
        <w:pBdr>
          <w:bottom w:val="single" w:color="auto" w:sz="6" w:space="1"/>
        </w:pBdr>
        <w:spacing w:line="440" w:lineRule="exact"/>
        <w:ind w:firstLine="472" w:firstLineChars="224"/>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highlight w:val="none"/>
        </w:rPr>
        <w:t>13.1 本工程的投标报价采用投标须知前附表第12项所规定的方式。</w:t>
      </w:r>
      <w:r>
        <w:rPr>
          <w:rFonts w:ascii="Arial" w:hAnsi="Arial" w:cs="Arial"/>
          <w:color w:val="auto"/>
          <w:szCs w:val="21"/>
          <w:highlight w:val="none"/>
          <w:u w:val="single"/>
        </w:rPr>
        <w:t>投标文件中的大写金额和小写金额不一致的，以大写金额为准，</w:t>
      </w:r>
      <w:r>
        <w:rPr>
          <w:rFonts w:ascii="Arial" w:hAnsi="Arial" w:cs="Arial"/>
          <w:color w:val="auto"/>
          <w:highlight w:val="none"/>
        </w:rPr>
        <w:t>投标报价（含单价及总价）精确到“分”。</w:t>
      </w:r>
    </w:p>
    <w:p>
      <w:pPr>
        <w:spacing w:line="440" w:lineRule="exact"/>
        <w:ind w:firstLine="472" w:firstLineChars="224"/>
        <w:rPr>
          <w:rFonts w:ascii="Arial" w:hAnsi="Arial" w:cs="Arial"/>
          <w:b/>
          <w:color w:val="auto"/>
          <w:szCs w:val="21"/>
          <w:highlight w:val="none"/>
        </w:rPr>
      </w:pPr>
      <w:r>
        <w:rPr>
          <w:rFonts w:ascii="Arial" w:hAnsi="Arial" w:cs="Arial"/>
          <w:b/>
          <w:color w:val="auto"/>
          <w:szCs w:val="21"/>
          <w:highlight w:val="none"/>
        </w:rPr>
        <w:t xml:space="preserve">条款号： </w:t>
      </w:r>
      <w:r>
        <w:rPr>
          <w:rFonts w:ascii="Arial" w:hAnsi="Arial" w:cs="Arial"/>
          <w:color w:val="auto"/>
          <w:szCs w:val="21"/>
          <w:highlight w:val="none"/>
        </w:rPr>
        <w:t>13.3</w:t>
      </w:r>
      <w:r>
        <w:rPr>
          <w:rFonts w:ascii="Arial" w:hAnsi="Arial" w:cs="Arial"/>
          <w:b/>
          <w:color w:val="auto"/>
          <w:szCs w:val="21"/>
          <w:highlight w:val="none"/>
        </w:rPr>
        <w:t xml:space="preserve">            修改类型：修改</w:t>
      </w:r>
    </w:p>
    <w:p>
      <w:pPr>
        <w:spacing w:line="440" w:lineRule="exact"/>
        <w:ind w:firstLine="472" w:firstLineChars="224"/>
        <w:rPr>
          <w:rFonts w:ascii="Arial" w:hAnsi="Arial" w:cs="Arial"/>
          <w:b/>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13.3</w:t>
      </w:r>
      <w:r>
        <w:rPr>
          <w:rFonts w:ascii="Arial" w:hAnsi="Arial" w:cs="Arial"/>
          <w:bCs/>
          <w:color w:val="auto"/>
          <w:szCs w:val="21"/>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460" w:lineRule="exact"/>
        <w:ind w:firstLine="413" w:firstLineChars="196"/>
        <w:rPr>
          <w:rFonts w:ascii="Arial" w:hAnsi="Arial" w:cs="Arial"/>
          <w:color w:val="auto"/>
          <w:szCs w:val="21"/>
          <w:highlight w:val="none"/>
        </w:rPr>
      </w:pPr>
      <w:r>
        <w:rPr>
          <w:rFonts w:ascii="Arial" w:hAnsi="Arial" w:cs="Arial"/>
          <w:b/>
          <w:color w:val="auto"/>
          <w:szCs w:val="21"/>
          <w:highlight w:val="none"/>
        </w:rPr>
        <w:t>现文：</w:t>
      </w:r>
      <w:r>
        <w:rPr>
          <w:rFonts w:hint="eastAsia" w:ascii="宋体" w:hAnsi="宋体" w:eastAsia="宋体" w:cs="宋体"/>
          <w:bCs/>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eastAsia="宋体" w:cs="宋体"/>
          <w:bCs/>
          <w:color w:val="auto"/>
          <w:szCs w:val="21"/>
          <w:highlight w:val="none"/>
          <w:u w:val="single"/>
        </w:rPr>
        <w:t>提供的招标图纸（包括有关于本项目招标的相关资料）及</w:t>
      </w:r>
      <w:r>
        <w:rPr>
          <w:rFonts w:hint="eastAsia" w:ascii="宋体" w:hAnsi="宋体" w:eastAsia="宋体" w:cs="宋体"/>
          <w:bCs/>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w:t>
      </w:r>
      <w:r>
        <w:rPr>
          <w:rFonts w:hint="eastAsia" w:ascii="宋体" w:hAnsi="宋体" w:eastAsia="宋体" w:cs="宋体"/>
          <w:bCs/>
          <w:color w:val="auto"/>
          <w:szCs w:val="21"/>
          <w:highlight w:val="none"/>
          <w:u w:val="single"/>
        </w:rPr>
        <w:t>费率</w:t>
      </w:r>
      <w:r>
        <w:rPr>
          <w:rFonts w:hint="eastAsia" w:ascii="宋体" w:hAnsi="宋体" w:eastAsia="宋体" w:cs="宋体"/>
          <w:bCs/>
          <w:color w:val="auto"/>
          <w:szCs w:val="21"/>
          <w:highlight w:val="none"/>
        </w:rPr>
        <w:t>、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440" w:lineRule="exact"/>
        <w:ind w:firstLine="472" w:firstLineChars="224"/>
        <w:rPr>
          <w:rFonts w:ascii="Arial" w:hAnsi="Arial" w:cs="Arial"/>
          <w:b/>
          <w:color w:val="auto"/>
          <w:szCs w:val="21"/>
          <w:highlight w:val="none"/>
        </w:rPr>
      </w:pPr>
      <w:r>
        <w:rPr>
          <w:rFonts w:ascii="Arial" w:hAnsi="Arial" w:cs="Arial"/>
          <w:b/>
          <w:color w:val="auto"/>
          <w:szCs w:val="21"/>
          <w:highlight w:val="none"/>
        </w:rPr>
        <w:t xml:space="preserve">条款号： </w:t>
      </w:r>
      <w:r>
        <w:rPr>
          <w:rFonts w:ascii="Arial" w:hAnsi="Arial" w:cs="Arial"/>
          <w:color w:val="auto"/>
          <w:szCs w:val="21"/>
          <w:highlight w:val="none"/>
        </w:rPr>
        <w:t>13.4</w:t>
      </w:r>
      <w:r>
        <w:rPr>
          <w:rFonts w:ascii="Arial" w:hAnsi="Arial" w:cs="Arial"/>
          <w:b/>
          <w:color w:val="auto"/>
          <w:szCs w:val="21"/>
          <w:highlight w:val="none"/>
        </w:rPr>
        <w:t xml:space="preserve">            修改类型：修改</w:t>
      </w:r>
    </w:p>
    <w:p>
      <w:pPr>
        <w:spacing w:line="440" w:lineRule="exact"/>
        <w:ind w:firstLine="472" w:firstLineChars="224"/>
        <w:rPr>
          <w:rFonts w:ascii="Arial" w:hAnsi="Arial" w:cs="Arial"/>
          <w:b/>
          <w:color w:val="auto"/>
          <w:szCs w:val="21"/>
          <w:highlight w:val="none"/>
        </w:rPr>
      </w:pPr>
      <w:r>
        <w:rPr>
          <w:rFonts w:ascii="Arial" w:hAnsi="Arial" w:cs="Arial"/>
          <w:b/>
          <w:color w:val="auto"/>
          <w:szCs w:val="21"/>
          <w:highlight w:val="none"/>
        </w:rPr>
        <w:t>原文：13.4</w:t>
      </w:r>
      <w:r>
        <w:rPr>
          <w:rFonts w:ascii="Arial" w:hAnsi="Arial" w:cs="Arial"/>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440" w:lineRule="exact"/>
        <w:ind w:firstLine="527" w:firstLineChars="250"/>
        <w:rPr>
          <w:rFonts w:ascii="Arial" w:hAnsi="Arial" w:cs="Arial"/>
          <w:color w:val="auto"/>
          <w:szCs w:val="21"/>
          <w:highlight w:val="none"/>
        </w:rPr>
      </w:pPr>
      <w:r>
        <w:rPr>
          <w:rFonts w:ascii="Arial" w:hAnsi="Arial" w:cs="Arial"/>
          <w:b/>
          <w:color w:val="auto"/>
          <w:szCs w:val="21"/>
          <w:highlight w:val="none"/>
        </w:rPr>
        <w:t>现文：13.4</w:t>
      </w:r>
      <w:r>
        <w:rPr>
          <w:rFonts w:hint="eastAsia" w:ascii="Arial" w:hAnsi="Arial" w:cs="Arial"/>
          <w:color w:val="auto"/>
          <w:szCs w:val="21"/>
          <w:highlight w:val="none"/>
          <w:u w:val="single"/>
        </w:rPr>
        <w:t>该约定内容按本招标文件第七章《工程量清单》相关要求及本工程施工合同专用条款约定执行。</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13.5</w:t>
      </w:r>
      <w:r>
        <w:rPr>
          <w:rFonts w:ascii="Arial" w:hAnsi="Arial" w:cs="Arial"/>
          <w:b/>
          <w:color w:val="auto"/>
          <w:szCs w:val="21"/>
          <w:highlight w:val="none"/>
        </w:rPr>
        <w:t xml:space="preserve">  </w:t>
      </w:r>
      <w:r>
        <w:rPr>
          <w:rFonts w:ascii="Arial" w:hAnsi="Arial" w:cs="Arial"/>
          <w:color w:val="auto"/>
          <w:szCs w:val="21"/>
          <w:highlight w:val="none"/>
        </w:rPr>
        <w:t>13.5.1</w:t>
      </w:r>
      <w:r>
        <w:rPr>
          <w:rFonts w:ascii="Arial" w:hAnsi="Arial" w:cs="Arial"/>
          <w:b/>
          <w:color w:val="auto"/>
          <w:szCs w:val="21"/>
          <w:highlight w:val="none"/>
        </w:rPr>
        <w:t xml:space="preserve">  </w:t>
      </w:r>
      <w:r>
        <w:rPr>
          <w:rFonts w:ascii="Arial" w:hAnsi="Arial" w:cs="Arial"/>
          <w:color w:val="auto"/>
          <w:szCs w:val="21"/>
          <w:highlight w:val="none"/>
        </w:rPr>
        <w:t>13.5.2</w:t>
      </w:r>
      <w:r>
        <w:rPr>
          <w:rFonts w:ascii="Arial" w:hAnsi="Arial" w:cs="Arial"/>
          <w:b/>
          <w:color w:val="auto"/>
          <w:szCs w:val="21"/>
          <w:highlight w:val="none"/>
        </w:rPr>
        <w:t xml:space="preserve">  </w:t>
      </w:r>
      <w:r>
        <w:rPr>
          <w:rFonts w:ascii="Arial" w:hAnsi="Arial" w:cs="Arial"/>
          <w:color w:val="auto"/>
          <w:szCs w:val="21"/>
          <w:highlight w:val="none"/>
        </w:rPr>
        <w:t>13.5.3</w:t>
      </w:r>
      <w:r>
        <w:rPr>
          <w:rFonts w:ascii="Arial" w:hAnsi="Arial" w:cs="Arial"/>
          <w:b/>
          <w:color w:val="auto"/>
          <w:szCs w:val="21"/>
          <w:highlight w:val="none"/>
        </w:rPr>
        <w:t xml:space="preserve">  </w:t>
      </w:r>
      <w:r>
        <w:rPr>
          <w:rFonts w:ascii="Arial" w:hAnsi="Arial" w:cs="Arial"/>
          <w:color w:val="auto"/>
          <w:szCs w:val="21"/>
          <w:highlight w:val="none"/>
        </w:rPr>
        <w:t>13.5.4</w:t>
      </w:r>
      <w:r>
        <w:rPr>
          <w:rFonts w:ascii="Arial" w:hAnsi="Arial" w:cs="Arial"/>
          <w:b/>
          <w:color w:val="auto"/>
          <w:szCs w:val="21"/>
          <w:highlight w:val="none"/>
        </w:rPr>
        <w:t xml:space="preserve">          修改类型：修改</w:t>
      </w:r>
    </w:p>
    <w:p>
      <w:pPr>
        <w:pStyle w:val="53"/>
        <w:pBdr>
          <w:bottom w:val="single" w:color="auto" w:sz="6" w:space="1"/>
        </w:pBdr>
        <w:spacing w:after="0" w:line="360" w:lineRule="auto"/>
        <w:ind w:firstLine="422" w:firstLineChars="200"/>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13.5工程项目实施期间……，中标后双方协商约定。</w:t>
      </w:r>
    </w:p>
    <w:p>
      <w:pPr>
        <w:pStyle w:val="53"/>
        <w:pBdr>
          <w:bottom w:val="single" w:color="auto" w:sz="6" w:space="1"/>
        </w:pBdr>
        <w:spacing w:after="0"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13.5</w:t>
      </w:r>
      <w:r>
        <w:rPr>
          <w:rFonts w:ascii="Arial" w:hAnsi="Arial" w:cs="Arial"/>
          <w:color w:val="auto"/>
          <w:szCs w:val="21"/>
          <w:highlight w:val="none"/>
          <w:u w:val="single"/>
        </w:rPr>
        <w:t>变更结算方式按招标文件及施工合同相关规定执行。</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13.6</w:t>
      </w:r>
      <w:r>
        <w:rPr>
          <w:rFonts w:ascii="Arial" w:hAnsi="Arial" w:cs="Arial"/>
          <w:b/>
          <w:color w:val="auto"/>
          <w:szCs w:val="21"/>
          <w:highlight w:val="none"/>
        </w:rPr>
        <w:t xml:space="preserve">              修改类型：修改</w:t>
      </w:r>
    </w:p>
    <w:p>
      <w:pPr>
        <w:pStyle w:val="53"/>
        <w:pBdr>
          <w:bottom w:val="single" w:color="auto" w:sz="6" w:space="1"/>
        </w:pBdr>
        <w:spacing w:after="0" w:line="360" w:lineRule="auto"/>
        <w:ind w:firstLine="422" w:firstLineChars="200"/>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13.6 暂列金额、暂估价</w:t>
      </w:r>
    </w:p>
    <w:p>
      <w:pPr>
        <w:pStyle w:val="53"/>
        <w:pBdr>
          <w:bottom w:val="single" w:color="auto" w:sz="6" w:space="1"/>
        </w:pBdr>
        <w:spacing w:after="0"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13.6</w:t>
      </w:r>
      <w:r>
        <w:rPr>
          <w:rFonts w:ascii="Arial" w:hAnsi="Arial" w:cs="Arial"/>
          <w:color w:val="auto"/>
          <w:szCs w:val="21"/>
          <w:highlight w:val="none"/>
          <w:u w:val="single"/>
        </w:rPr>
        <w:t>暂列金额、暂估价按施工合同相关规定执行。</w:t>
      </w:r>
    </w:p>
    <w:p>
      <w:pPr>
        <w:spacing w:line="36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条款号：16.1-16.6            修改类型：修改</w:t>
      </w:r>
    </w:p>
    <w:p>
      <w:pPr>
        <w:widowControl/>
        <w:jc w:val="left"/>
        <w:rPr>
          <w:rFonts w:hint="eastAsia" w:ascii="宋体" w:hAnsi="宋体" w:eastAsia="宋体" w:cs="宋体"/>
          <w:color w:val="auto"/>
          <w:kern w:val="0"/>
          <w:sz w:val="22"/>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kern w:val="0"/>
          <w:sz w:val="22"/>
          <w:highlight w:val="none"/>
        </w:rPr>
        <w:t>16.1投标人应按投标须知前附表第14项所述金额和时间递交投标保证金。招标人不得限定投标保证金只能以现金形式提交。投标保证金以现金或者支票形式提交的，必须由投标人的银行基本账户转出。</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16.2招标人可委托</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rPr>
        <w:t>交易平台具体实施保证金的收取和退还工作。通过</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rPr>
        <w:t>交易平台递交投标保证金的相关事宜，请自行咨询</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rPr>
        <w:t>交易平台。</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16.3</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rPr>
        <w:t>交易平台代收投标保证金的，其缴纳情况以</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rPr>
        <w:t>交易平台数据库记录的信息为准。</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16.4开标时投标人没有按要求提供投标保证金的，其投标文件将被否决。</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16.5中标候选人以外的投标人的投标保证金将尽快退还，最迟不超过中标通知书发出之日起五日内。</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16.6中标人和其他中标候选人的投标保证金，在书面合同订立之日起五日内予以退还。</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16.7如有下列情况之一的，招标人不予退还投标保证金：</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16.7.1因投标人原因造成投标文件未解密的；</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16.7.2投标人在投标有效期内撤回投标文件；</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16.7.3中标人未能在规定期限内按要求提交履约担保；</w:t>
      </w:r>
    </w:p>
    <w:p>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16.7.4中标人未能在规定期限内签署合同协议。</w:t>
      </w:r>
    </w:p>
    <w:p>
      <w:pPr>
        <w:pStyle w:val="54"/>
        <w:pBdr>
          <w:bottom w:val="single" w:color="auto" w:sz="4" w:space="0"/>
        </w:pBdr>
        <w:ind w:left="0" w:leftChars="0" w:firstLine="0" w:firstLineChars="0"/>
        <w:rPr>
          <w:rFonts w:hint="eastAsia" w:ascii="宋体" w:hAnsi="宋体" w:eastAsia="宋体" w:cs="宋体"/>
          <w:b/>
          <w:bCs/>
          <w:color w:val="auto"/>
          <w:szCs w:val="24"/>
          <w:highlight w:val="none"/>
          <w:u w:val="single"/>
          <w:lang w:val="en-US" w:eastAsia="zh-CN"/>
        </w:rPr>
      </w:pPr>
      <w:r>
        <w:rPr>
          <w:rFonts w:hint="eastAsia" w:ascii="宋体" w:hAnsi="宋体" w:eastAsia="宋体" w:cs="宋体"/>
          <w:b/>
          <w:bCs/>
          <w:color w:val="auto"/>
          <w:szCs w:val="24"/>
          <w:highlight w:val="none"/>
        </w:rPr>
        <w:t>现文：</w:t>
      </w:r>
      <w:r>
        <w:rPr>
          <w:rFonts w:hint="eastAsia" w:ascii="宋体" w:hAnsi="宋体" w:eastAsia="宋体" w:cs="宋体"/>
          <w:color w:val="auto"/>
          <w:kern w:val="0"/>
          <w:sz w:val="22"/>
          <w:highlight w:val="none"/>
        </w:rPr>
        <w:t>16.1</w:t>
      </w:r>
      <w:r>
        <w:rPr>
          <w:rFonts w:hint="eastAsia" w:ascii="宋体" w:hAnsi="宋体" w:cs="宋体"/>
          <w:color w:val="auto"/>
          <w:kern w:val="0"/>
          <w:sz w:val="22"/>
          <w:highlight w:val="none"/>
          <w:u w:val="single"/>
          <w:lang w:val="en-US" w:eastAsia="zh-CN"/>
        </w:rPr>
        <w:t>本项目不收取投标保证金。</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17.1</w:t>
      </w:r>
      <w:r>
        <w:rPr>
          <w:rFonts w:ascii="Arial" w:hAnsi="Arial" w:cs="Arial"/>
          <w:b/>
          <w:color w:val="auto"/>
          <w:szCs w:val="21"/>
          <w:highlight w:val="none"/>
        </w:rPr>
        <w:t xml:space="preserve">          修改类型：修改</w:t>
      </w:r>
    </w:p>
    <w:p>
      <w:pPr>
        <w:spacing w:line="360" w:lineRule="auto"/>
        <w:ind w:firstLine="472" w:firstLineChars="224"/>
        <w:rPr>
          <w:rFonts w:ascii="Arial" w:hAnsi="Arial" w:cs="Arial"/>
          <w:b/>
          <w:color w:val="auto"/>
          <w:szCs w:val="21"/>
          <w:highlight w:val="none"/>
        </w:rPr>
      </w:pPr>
      <w:r>
        <w:rPr>
          <w:rFonts w:ascii="Arial" w:hAnsi="Arial" w:cs="Arial"/>
          <w:b/>
          <w:color w:val="auto"/>
          <w:highlight w:val="none"/>
        </w:rPr>
        <w:t>原文：</w:t>
      </w:r>
      <w:r>
        <w:rPr>
          <w:rFonts w:ascii="Arial" w:hAnsi="Arial" w:cs="Arial"/>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pPr>
        <w:pStyle w:val="53"/>
        <w:pBdr>
          <w:bottom w:val="single" w:color="auto" w:sz="6" w:space="1"/>
        </w:pBdr>
        <w:spacing w:after="0"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Arial" w:hAnsi="Arial" w:cs="Arial"/>
          <w:color w:val="auto"/>
          <w:szCs w:val="21"/>
          <w:highlight w:val="none"/>
          <w:u w:val="single"/>
        </w:rPr>
        <w:t xml:space="preserve"> </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网站 </w:t>
      </w:r>
      <w:r>
        <w:rPr>
          <w:rFonts w:ascii="Arial" w:hAnsi="Arial" w:cs="Arial"/>
          <w:color w:val="auto"/>
          <w:szCs w:val="21"/>
          <w:highlight w:val="none"/>
        </w:rPr>
        <w:t xml:space="preserve"> </w:t>
      </w:r>
      <w:r>
        <w:rPr>
          <w:rFonts w:ascii="Arial" w:hAnsi="Arial" w:cs="Arial"/>
          <w:color w:val="auto"/>
          <w:szCs w:val="21"/>
          <w:highlight w:val="none"/>
          <w:u w:val="single"/>
        </w:rPr>
        <w:t>。</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18、19</w:t>
      </w:r>
      <w:r>
        <w:rPr>
          <w:rFonts w:ascii="Arial" w:hAnsi="Arial" w:cs="Arial"/>
          <w:b/>
          <w:color w:val="auto"/>
          <w:szCs w:val="21"/>
          <w:highlight w:val="none"/>
        </w:rPr>
        <w:t xml:space="preserve">          修改类型：修改</w:t>
      </w:r>
    </w:p>
    <w:p>
      <w:pPr>
        <w:pStyle w:val="53"/>
        <w:spacing w:after="0" w:line="360" w:lineRule="auto"/>
        <w:ind w:firstLine="422" w:firstLineChars="200"/>
        <w:rPr>
          <w:rFonts w:ascii="Arial" w:hAnsi="Arial" w:cs="Arial"/>
          <w:b/>
          <w:bCs/>
          <w:color w:val="auto"/>
          <w:szCs w:val="21"/>
          <w:highlight w:val="none"/>
        </w:rPr>
      </w:pPr>
      <w:r>
        <w:rPr>
          <w:rFonts w:ascii="Arial" w:hAnsi="Arial" w:cs="Arial"/>
          <w:b/>
          <w:color w:val="auto"/>
          <w:highlight w:val="none"/>
        </w:rPr>
        <w:t>原文：</w:t>
      </w:r>
      <w:r>
        <w:rPr>
          <w:rFonts w:ascii="Arial" w:hAnsi="Arial" w:cs="Arial"/>
          <w:b/>
          <w:bCs/>
          <w:color w:val="auto"/>
          <w:szCs w:val="21"/>
          <w:highlight w:val="none"/>
        </w:rPr>
        <w:t>18．</w:t>
      </w:r>
      <w:r>
        <w:rPr>
          <w:rFonts w:ascii="Arial" w:hAnsi="Arial" w:cs="Arial"/>
          <w:b/>
          <w:color w:val="auto"/>
          <w:szCs w:val="21"/>
          <w:highlight w:val="none"/>
        </w:rPr>
        <w:t>投标文件的密封和标记</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18.1递交的电子投标文件（不含备用光盘）必须进行加密。按照交易平台关于</w:t>
      </w:r>
      <w:r>
        <w:rPr>
          <w:rFonts w:ascii="Arial" w:hAnsi="Arial" w:cs="Arial"/>
          <w:color w:val="auto"/>
          <w:szCs w:val="21"/>
          <w:highlight w:val="none"/>
        </w:rPr>
        <w:t>全流程电子化项目的相关指南进行操作。详见：</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18.2 未按要求加密的投标文件，</w:t>
      </w:r>
      <w:r>
        <w:rPr>
          <w:rFonts w:ascii="Arial" w:hAnsi="Arial" w:cs="Arial"/>
          <w:color w:val="auto"/>
          <w:szCs w:val="21"/>
          <w:highlight w:val="none"/>
          <w:u w:val="single"/>
        </w:rPr>
        <w:t xml:space="preserve">        </w:t>
      </w:r>
      <w:r>
        <w:rPr>
          <w:rFonts w:ascii="Arial" w:hAnsi="Arial" w:cs="Arial"/>
          <w:color w:val="auto"/>
          <w:szCs w:val="21"/>
          <w:highlight w:val="none"/>
        </w:rPr>
        <w:t>交易平台</w:t>
      </w:r>
      <w:r>
        <w:rPr>
          <w:rFonts w:ascii="Arial" w:hAnsi="Arial" w:cs="Arial"/>
          <w:bCs/>
          <w:color w:val="auto"/>
          <w:szCs w:val="21"/>
          <w:highlight w:val="none"/>
        </w:rPr>
        <w:t>将予以拒收。</w:t>
      </w:r>
    </w:p>
    <w:p>
      <w:pPr>
        <w:spacing w:line="360" w:lineRule="auto"/>
        <w:ind w:firstLine="422" w:firstLineChars="200"/>
        <w:rPr>
          <w:rFonts w:ascii="Arial" w:hAnsi="Arial" w:cs="Arial"/>
          <w:b/>
          <w:bCs/>
          <w:color w:val="auto"/>
          <w:szCs w:val="21"/>
          <w:highlight w:val="none"/>
        </w:rPr>
      </w:pPr>
      <w:r>
        <w:rPr>
          <w:rFonts w:ascii="Arial" w:hAnsi="Arial" w:cs="Arial"/>
          <w:b/>
          <w:bCs/>
          <w:color w:val="auto"/>
          <w:szCs w:val="21"/>
          <w:highlight w:val="none"/>
        </w:rPr>
        <w:t>19．投标文件的递交和接收</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19.1投标人通过</w:t>
      </w:r>
      <w:r>
        <w:rPr>
          <w:rFonts w:ascii="Arial" w:hAnsi="Arial" w:cs="Arial"/>
          <w:color w:val="auto"/>
          <w:szCs w:val="21"/>
          <w:highlight w:val="none"/>
          <w:u w:val="single"/>
        </w:rPr>
        <w:t xml:space="preserve">        </w:t>
      </w:r>
      <w:r>
        <w:rPr>
          <w:rFonts w:ascii="Arial" w:hAnsi="Arial" w:cs="Arial"/>
          <w:color w:val="auto"/>
          <w:szCs w:val="21"/>
          <w:highlight w:val="none"/>
        </w:rPr>
        <w:t>交易平台递交电子投标文件。</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19.2投标人完成电子</w:t>
      </w:r>
      <w:r>
        <w:rPr>
          <w:rFonts w:ascii="Arial" w:hAnsi="Arial" w:cs="Arial"/>
          <w:color w:val="auto"/>
          <w:szCs w:val="21"/>
          <w:highlight w:val="none"/>
        </w:rPr>
        <w:t>投标文件</w:t>
      </w:r>
      <w:r>
        <w:rPr>
          <w:rFonts w:ascii="Arial" w:hAnsi="Arial" w:cs="Arial"/>
          <w:bCs/>
          <w:color w:val="auto"/>
          <w:szCs w:val="21"/>
          <w:highlight w:val="none"/>
        </w:rPr>
        <w:t>上传后，</w:t>
      </w:r>
      <w:r>
        <w:rPr>
          <w:rFonts w:ascii="Arial" w:hAnsi="Arial" w:cs="Arial"/>
          <w:color w:val="auto"/>
          <w:szCs w:val="21"/>
          <w:highlight w:val="none"/>
          <w:u w:val="single"/>
        </w:rPr>
        <w:t xml:space="preserve">        </w:t>
      </w:r>
      <w:r>
        <w:rPr>
          <w:rFonts w:ascii="Arial" w:hAnsi="Arial" w:cs="Arial"/>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Arial" w:hAnsi="Arial" w:cs="Arial"/>
          <w:color w:val="auto"/>
          <w:szCs w:val="21"/>
          <w:highlight w:val="none"/>
        </w:rPr>
      </w:pPr>
      <w:r>
        <w:rPr>
          <w:rFonts w:ascii="Arial" w:hAnsi="Arial" w:cs="Arial"/>
          <w:bCs/>
          <w:color w:val="auto"/>
          <w:szCs w:val="21"/>
          <w:highlight w:val="none"/>
        </w:rPr>
        <w:t>19.3逾期送达的电子投标文件，</w:t>
      </w:r>
      <w:r>
        <w:rPr>
          <w:rFonts w:ascii="Arial" w:hAnsi="Arial" w:cs="Arial"/>
          <w:color w:val="auto"/>
          <w:szCs w:val="21"/>
          <w:highlight w:val="none"/>
          <w:u w:val="single"/>
        </w:rPr>
        <w:t xml:space="preserve">        </w:t>
      </w:r>
      <w:r>
        <w:rPr>
          <w:rFonts w:ascii="Arial" w:hAnsi="Arial" w:cs="Arial"/>
          <w:color w:val="auto"/>
          <w:szCs w:val="21"/>
          <w:highlight w:val="none"/>
        </w:rPr>
        <w:t>交易平台将予以拒收。</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19.4 投标截止前，招标人拒绝接收符合条件的投标文件，投标人可向招标投标监督机构投诉。</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19.5如技术标和经济标先后分别开启，</w:t>
      </w:r>
      <w:r>
        <w:rPr>
          <w:rFonts w:ascii="Arial" w:hAnsi="Arial" w:cs="Arial"/>
          <w:color w:val="auto"/>
          <w:szCs w:val="21"/>
          <w:highlight w:val="none"/>
          <w:u w:val="single"/>
        </w:rPr>
        <w:t xml:space="preserve">        </w:t>
      </w:r>
      <w:r>
        <w:rPr>
          <w:rFonts w:ascii="Arial" w:hAnsi="Arial" w:cs="Arial"/>
          <w:color w:val="auto"/>
          <w:szCs w:val="21"/>
          <w:highlight w:val="none"/>
        </w:rPr>
        <w:t>交易平台将按招标文件规定的时间分别开启技术标和经济标。</w:t>
      </w:r>
    </w:p>
    <w:p>
      <w:pPr>
        <w:spacing w:line="360" w:lineRule="auto"/>
        <w:ind w:firstLine="470" w:firstLineChars="224"/>
        <w:rPr>
          <w:rFonts w:ascii="Arial" w:hAnsi="Arial" w:cs="Arial"/>
          <w:b/>
          <w:color w:val="auto"/>
          <w:szCs w:val="21"/>
          <w:highlight w:val="none"/>
        </w:rPr>
      </w:pPr>
      <w:r>
        <w:rPr>
          <w:rFonts w:ascii="Arial" w:hAnsi="Arial" w:cs="Arial"/>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53"/>
        <w:spacing w:after="0" w:line="360" w:lineRule="auto"/>
        <w:ind w:firstLine="422" w:firstLineChars="200"/>
        <w:rPr>
          <w:rFonts w:ascii="Arial" w:hAnsi="Arial" w:cs="Arial"/>
          <w:b/>
          <w:bCs/>
          <w:color w:val="auto"/>
          <w:szCs w:val="21"/>
          <w:highlight w:val="none"/>
        </w:rPr>
      </w:pPr>
      <w:r>
        <w:rPr>
          <w:rFonts w:ascii="Arial" w:hAnsi="Arial" w:cs="Arial"/>
          <w:b/>
          <w:color w:val="auto"/>
          <w:szCs w:val="21"/>
          <w:highlight w:val="none"/>
        </w:rPr>
        <w:t>现文：</w:t>
      </w:r>
      <w:r>
        <w:rPr>
          <w:rFonts w:ascii="Arial" w:hAnsi="Arial" w:cs="Arial"/>
          <w:b/>
          <w:bCs/>
          <w:color w:val="auto"/>
          <w:szCs w:val="21"/>
          <w:highlight w:val="none"/>
        </w:rPr>
        <w:t>18．</w:t>
      </w:r>
      <w:r>
        <w:rPr>
          <w:rFonts w:ascii="Arial" w:hAnsi="Arial" w:cs="Arial"/>
          <w:b/>
          <w:color w:val="auto"/>
          <w:szCs w:val="21"/>
          <w:highlight w:val="none"/>
        </w:rPr>
        <w:t>投标文件的密封和标记</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18.1递交的电子投标文件（不含备用光盘）必须进行加密。按照交易平台关于</w:t>
      </w:r>
      <w:r>
        <w:rPr>
          <w:rFonts w:ascii="Arial" w:hAnsi="Arial" w:cs="Arial"/>
          <w:color w:val="auto"/>
          <w:szCs w:val="21"/>
          <w:highlight w:val="none"/>
        </w:rPr>
        <w:t>全流程电子化项目的相关指南进行操作。详见：</w:t>
      </w:r>
      <w:r>
        <w:rPr>
          <w:rFonts w:ascii="Arial" w:hAnsi="Arial" w:cs="Arial"/>
          <w:color w:val="auto"/>
          <w:szCs w:val="21"/>
          <w:highlight w:val="none"/>
          <w:u w:val="single"/>
        </w:rPr>
        <w:t xml:space="preserve"> </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心网站  </w:t>
      </w:r>
      <w:r>
        <w:rPr>
          <w:rFonts w:ascii="Arial" w:hAnsi="Arial" w:cs="Arial"/>
          <w:color w:val="auto"/>
          <w:szCs w:val="21"/>
          <w:highlight w:val="none"/>
        </w:rPr>
        <w:t xml:space="preserve"> 。</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18.2 未按要求加密的投标文件，</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rPr>
        <w:t>交易平台</w:t>
      </w:r>
      <w:r>
        <w:rPr>
          <w:rFonts w:ascii="Arial" w:hAnsi="Arial" w:cs="Arial"/>
          <w:bCs/>
          <w:color w:val="auto"/>
          <w:szCs w:val="21"/>
          <w:highlight w:val="none"/>
        </w:rPr>
        <w:t>将予以拒收。</w:t>
      </w:r>
    </w:p>
    <w:p>
      <w:pPr>
        <w:spacing w:line="360" w:lineRule="auto"/>
        <w:ind w:firstLine="422" w:firstLineChars="200"/>
        <w:rPr>
          <w:rFonts w:ascii="Arial" w:hAnsi="Arial" w:cs="Arial"/>
          <w:b/>
          <w:bCs/>
          <w:color w:val="auto"/>
          <w:szCs w:val="21"/>
          <w:highlight w:val="none"/>
        </w:rPr>
      </w:pPr>
      <w:r>
        <w:rPr>
          <w:rFonts w:ascii="Arial" w:hAnsi="Arial" w:cs="Arial"/>
          <w:b/>
          <w:bCs/>
          <w:color w:val="auto"/>
          <w:szCs w:val="21"/>
          <w:highlight w:val="none"/>
        </w:rPr>
        <w:t>19．投标文件的递交和接收</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19.1投标人通过</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 </w:t>
      </w:r>
      <w:r>
        <w:rPr>
          <w:rFonts w:ascii="Arial" w:hAnsi="Arial" w:cs="Arial"/>
          <w:color w:val="auto"/>
          <w:szCs w:val="21"/>
          <w:highlight w:val="none"/>
        </w:rPr>
        <w:t>交易平台递交电子投标文件。</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19.2投标人完成电子</w:t>
      </w:r>
      <w:r>
        <w:rPr>
          <w:rFonts w:ascii="Arial" w:hAnsi="Arial" w:cs="Arial"/>
          <w:color w:val="auto"/>
          <w:szCs w:val="21"/>
          <w:highlight w:val="none"/>
        </w:rPr>
        <w:t>投标文件</w:t>
      </w:r>
      <w:r>
        <w:rPr>
          <w:rFonts w:ascii="Arial" w:hAnsi="Arial" w:cs="Arial"/>
          <w:bCs/>
          <w:color w:val="auto"/>
          <w:szCs w:val="21"/>
          <w:highlight w:val="none"/>
        </w:rPr>
        <w:t>上传后，</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 </w:t>
      </w:r>
      <w:r>
        <w:rPr>
          <w:rFonts w:ascii="Arial" w:hAnsi="Arial" w:cs="Arial"/>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Arial" w:hAnsi="Arial" w:cs="Arial"/>
          <w:color w:val="auto"/>
          <w:szCs w:val="21"/>
          <w:highlight w:val="none"/>
        </w:rPr>
      </w:pPr>
      <w:r>
        <w:rPr>
          <w:rFonts w:ascii="Arial" w:hAnsi="Arial" w:cs="Arial"/>
          <w:bCs/>
          <w:color w:val="auto"/>
          <w:szCs w:val="21"/>
          <w:highlight w:val="none"/>
        </w:rPr>
        <w:t>19.3逾期送达的电子投标文件，</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  </w:t>
      </w:r>
      <w:r>
        <w:rPr>
          <w:rFonts w:ascii="Arial" w:hAnsi="Arial" w:cs="Arial"/>
          <w:color w:val="auto"/>
          <w:szCs w:val="21"/>
          <w:highlight w:val="none"/>
        </w:rPr>
        <w:t>交易平台将予以拒收。</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19.4 投标截止前，招标人拒绝接收符合条件的投标文件，投标人可向招标投标监督机构投诉。</w:t>
      </w:r>
    </w:p>
    <w:p>
      <w:pPr>
        <w:pStyle w:val="53"/>
        <w:pBdr>
          <w:bottom w:val="single" w:color="auto" w:sz="6" w:space="1"/>
        </w:pBdr>
        <w:spacing w:after="0" w:line="360" w:lineRule="auto"/>
        <w:ind w:firstLineChars="200"/>
        <w:rPr>
          <w:rFonts w:ascii="Arial" w:hAnsi="Arial" w:cs="Arial"/>
          <w:color w:val="auto"/>
          <w:szCs w:val="21"/>
          <w:highlight w:val="none"/>
        </w:rPr>
      </w:pPr>
      <w:r>
        <w:rPr>
          <w:rFonts w:hint="eastAsia" w:ascii="Arial" w:hAnsi="Arial" w:cs="Arial"/>
          <w:color w:val="auto"/>
          <w:szCs w:val="21"/>
          <w:highlight w:val="none"/>
        </w:rPr>
        <w:t>19.5技术标和经济标同时开启，</w:t>
      </w:r>
      <w:r>
        <w:rPr>
          <w:rFonts w:hint="eastAsia" w:ascii="宋体" w:hAnsi="宋体" w:eastAsia="宋体" w:cs="宋体"/>
          <w:bCs/>
          <w:color w:val="auto"/>
          <w:szCs w:val="21"/>
          <w:highlight w:val="none"/>
          <w:u w:val="single"/>
        </w:rPr>
        <w:t>广州交易集团有限公司（广州公共资源交易中心）</w:t>
      </w:r>
      <w:r>
        <w:rPr>
          <w:rFonts w:hint="eastAsia" w:ascii="Arial" w:hAnsi="Arial" w:cs="Arial"/>
          <w:color w:val="auto"/>
          <w:szCs w:val="21"/>
          <w:highlight w:val="none"/>
        </w:rPr>
        <w:t>交易平台将按招标文件规定的时间同时开启技术标和经济标。</w:t>
      </w:r>
    </w:p>
    <w:p>
      <w:pPr>
        <w:adjustRightInd w:val="0"/>
        <w:spacing w:line="360" w:lineRule="auto"/>
        <w:ind w:firstLine="470" w:firstLineChars="223"/>
        <w:rPr>
          <w:rFonts w:ascii="Arial" w:hAnsi="Arial" w:cs="Arial"/>
          <w:b/>
          <w:color w:val="auto"/>
          <w:szCs w:val="21"/>
          <w:highlight w:val="none"/>
          <w:lang w:bidi="ar"/>
        </w:rPr>
      </w:pPr>
      <w:r>
        <w:rPr>
          <w:rFonts w:ascii="Arial" w:hAnsi="Arial" w:cs="Arial"/>
          <w:b/>
          <w:color w:val="auto"/>
          <w:szCs w:val="21"/>
          <w:highlight w:val="none"/>
          <w:lang w:bidi="ar"/>
        </w:rPr>
        <w:t>条款号：20.3             修改类型：修改</w:t>
      </w:r>
    </w:p>
    <w:p>
      <w:pPr>
        <w:adjustRightInd w:val="0"/>
        <w:spacing w:line="360" w:lineRule="auto"/>
        <w:ind w:firstLine="472" w:firstLineChars="224"/>
        <w:rPr>
          <w:rFonts w:ascii="Arial" w:hAnsi="Arial" w:cs="Arial"/>
          <w:b/>
          <w:color w:val="auto"/>
          <w:szCs w:val="21"/>
          <w:highlight w:val="none"/>
        </w:rPr>
      </w:pPr>
      <w:r>
        <w:rPr>
          <w:rFonts w:ascii="Arial" w:hAnsi="Arial" w:cs="Arial"/>
          <w:b/>
          <w:bCs/>
          <w:color w:val="auto"/>
          <w:szCs w:val="21"/>
          <w:highlight w:val="none"/>
        </w:rPr>
        <w:t>原文：</w:t>
      </w:r>
      <w:r>
        <w:rPr>
          <w:rFonts w:ascii="Arial" w:hAnsi="Arial" w:cs="Arial"/>
          <w:color w:val="auto"/>
          <w:szCs w:val="21"/>
          <w:highlight w:val="none"/>
        </w:rPr>
        <w:t>20.3 到投标截止时间止，招标人收到的投标文件少于3家的，招标人将重新组织招标（当N个标段同时招标且不允许兼中时，若有效投标单位不足N+4家，则重新组织招标）。</w:t>
      </w:r>
    </w:p>
    <w:p>
      <w:pPr>
        <w:pBdr>
          <w:bottom w:val="single" w:color="auto" w:sz="6" w:space="1"/>
        </w:pBdr>
        <w:adjustRightInd w:val="0"/>
        <w:spacing w:line="360" w:lineRule="auto"/>
        <w:ind w:firstLine="527" w:firstLineChars="250"/>
        <w:rPr>
          <w:rFonts w:ascii="Arial" w:hAnsi="Arial" w:cs="Arial"/>
          <w:b/>
          <w:color w:val="auto"/>
          <w:szCs w:val="21"/>
          <w:highlight w:val="none"/>
        </w:rPr>
      </w:pPr>
      <w:r>
        <w:rPr>
          <w:rFonts w:ascii="Arial" w:hAnsi="Arial" w:cs="Arial"/>
          <w:b/>
          <w:bCs/>
          <w:color w:val="auto"/>
          <w:szCs w:val="21"/>
          <w:highlight w:val="none"/>
        </w:rPr>
        <w:t>现文：</w:t>
      </w:r>
      <w:r>
        <w:rPr>
          <w:rFonts w:ascii="Arial" w:hAnsi="Arial" w:cs="Arial"/>
          <w:color w:val="auto"/>
          <w:szCs w:val="21"/>
          <w:highlight w:val="none"/>
        </w:rPr>
        <w:t>20.3 到投标截止时间止，招标人收到的投标文件少于</w:t>
      </w:r>
      <w:r>
        <w:rPr>
          <w:rFonts w:ascii="Arial" w:hAnsi="Arial" w:cs="Arial"/>
          <w:color w:val="auto"/>
          <w:szCs w:val="21"/>
          <w:highlight w:val="none"/>
          <w:u w:val="single"/>
        </w:rPr>
        <w:t>3家</w:t>
      </w:r>
      <w:r>
        <w:rPr>
          <w:rFonts w:ascii="Arial" w:hAnsi="Arial" w:cs="Arial"/>
          <w:color w:val="auto"/>
          <w:szCs w:val="21"/>
          <w:highlight w:val="none"/>
        </w:rPr>
        <w:t>的，招标人将重新组织招标。</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21.1</w:t>
      </w:r>
      <w:r>
        <w:rPr>
          <w:rFonts w:ascii="Arial" w:hAnsi="Arial" w:cs="Arial"/>
          <w:b/>
          <w:color w:val="auto"/>
          <w:szCs w:val="21"/>
          <w:highlight w:val="none"/>
        </w:rPr>
        <w:t xml:space="preserve">          修改类型：修改</w:t>
      </w:r>
    </w:p>
    <w:p>
      <w:pPr>
        <w:spacing w:line="360" w:lineRule="auto"/>
        <w:ind w:firstLine="472" w:firstLineChars="224"/>
        <w:rPr>
          <w:rFonts w:ascii="Arial" w:hAnsi="Arial" w:cs="Arial"/>
          <w:b/>
          <w:color w:val="auto"/>
          <w:szCs w:val="21"/>
          <w:highlight w:val="none"/>
        </w:rPr>
      </w:pPr>
      <w:r>
        <w:rPr>
          <w:rFonts w:ascii="Arial" w:hAnsi="Arial" w:cs="Arial"/>
          <w:b/>
          <w:color w:val="auto"/>
          <w:highlight w:val="none"/>
        </w:rPr>
        <w:t>原文：</w:t>
      </w:r>
      <w:r>
        <w:rPr>
          <w:rFonts w:ascii="Arial" w:hAnsi="Arial" w:cs="Arial"/>
          <w:color w:val="auto"/>
          <w:szCs w:val="21"/>
          <w:highlight w:val="none"/>
        </w:rPr>
        <w:t>21.1 本须知前附表第17项规定的投标截止时间后送达的电子投标文件，</w:t>
      </w:r>
      <w:r>
        <w:rPr>
          <w:rFonts w:ascii="Arial" w:hAnsi="Arial" w:cs="Arial"/>
          <w:color w:val="auto"/>
          <w:szCs w:val="21"/>
          <w:highlight w:val="none"/>
          <w:u w:val="single"/>
        </w:rPr>
        <w:t xml:space="preserve">       </w:t>
      </w:r>
      <w:r>
        <w:rPr>
          <w:rFonts w:ascii="Arial" w:hAnsi="Arial" w:cs="Arial"/>
          <w:color w:val="auto"/>
          <w:szCs w:val="21"/>
          <w:highlight w:val="none"/>
        </w:rPr>
        <w:t>交易平台将予以拒收。</w:t>
      </w:r>
    </w:p>
    <w:p>
      <w:pPr>
        <w:pStyle w:val="53"/>
        <w:pBdr>
          <w:bottom w:val="single" w:color="auto" w:sz="6" w:space="1"/>
        </w:pBdr>
        <w:spacing w:after="0"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21.1 本须知前附表第17项规定的投标截止时间后送达的电子投标文件，</w:t>
      </w:r>
      <w:r>
        <w:rPr>
          <w:rFonts w:ascii="Arial" w:hAnsi="Arial" w:cs="Arial"/>
          <w:color w:val="auto"/>
          <w:szCs w:val="21"/>
          <w:highlight w:val="none"/>
          <w:u w:val="single"/>
        </w:rPr>
        <w:t xml:space="preserve"> </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rPr>
        <w:t xml:space="preserve"> 交易平台将予以拒收。</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27.1</w:t>
      </w:r>
      <w:r>
        <w:rPr>
          <w:rFonts w:ascii="Arial" w:hAnsi="Arial" w:cs="Arial"/>
          <w:b/>
          <w:color w:val="auto"/>
          <w:szCs w:val="21"/>
          <w:highlight w:val="none"/>
        </w:rPr>
        <w:t xml:space="preserve">          修改类型：修改</w:t>
      </w:r>
    </w:p>
    <w:p>
      <w:pPr>
        <w:spacing w:line="360" w:lineRule="auto"/>
        <w:ind w:firstLine="472" w:firstLineChars="224"/>
        <w:rPr>
          <w:rFonts w:ascii="Arial" w:hAnsi="Arial" w:cs="Arial"/>
          <w:b/>
          <w:color w:val="auto"/>
          <w:szCs w:val="21"/>
          <w:highlight w:val="none"/>
        </w:rPr>
      </w:pPr>
      <w:r>
        <w:rPr>
          <w:rFonts w:ascii="Arial" w:hAnsi="Arial" w:cs="Arial"/>
          <w:b/>
          <w:color w:val="auto"/>
          <w:highlight w:val="none"/>
        </w:rPr>
        <w:t>原文：27.1</w:t>
      </w:r>
      <w:r>
        <w:rPr>
          <w:rFonts w:ascii="Arial" w:hAnsi="Arial" w:cs="Arial"/>
          <w:color w:val="auto"/>
          <w:szCs w:val="21"/>
          <w:highlight w:val="none"/>
        </w:rPr>
        <w:t>招标人将在</w:t>
      </w:r>
      <w:r>
        <w:rPr>
          <w:rFonts w:ascii="Arial" w:hAnsi="Arial" w:cs="Arial"/>
          <w:color w:val="auto"/>
          <w:szCs w:val="21"/>
          <w:highlight w:val="none"/>
          <w:u w:val="single"/>
        </w:rPr>
        <w:t xml:space="preserve">        </w:t>
      </w:r>
      <w:r>
        <w:rPr>
          <w:rFonts w:ascii="Arial" w:hAnsi="Arial" w:cs="Arial"/>
          <w:color w:val="auto"/>
          <w:szCs w:val="21"/>
          <w:highlight w:val="none"/>
        </w:rPr>
        <w:t>交易平台、广东省招标投标监管网和中国招标投标公共服务平台公示中标候选人，公示期为三天。</w:t>
      </w:r>
    </w:p>
    <w:p>
      <w:pPr>
        <w:pStyle w:val="53"/>
        <w:pBdr>
          <w:bottom w:val="single" w:color="auto" w:sz="6" w:space="1"/>
        </w:pBdr>
        <w:spacing w:after="0" w:line="360" w:lineRule="auto"/>
        <w:ind w:firstLine="422" w:firstLineChars="200"/>
        <w:rPr>
          <w:rFonts w:ascii="Arial" w:hAnsi="Arial" w:cs="Arial"/>
          <w:b/>
          <w:bCs/>
          <w:color w:val="auto"/>
          <w:szCs w:val="21"/>
          <w:highlight w:val="none"/>
        </w:rPr>
      </w:pPr>
      <w:r>
        <w:rPr>
          <w:rFonts w:ascii="Arial" w:hAnsi="Arial" w:cs="Arial"/>
          <w:b/>
          <w:color w:val="auto"/>
          <w:szCs w:val="21"/>
          <w:highlight w:val="none"/>
        </w:rPr>
        <w:t>现文：</w:t>
      </w:r>
      <w:r>
        <w:rPr>
          <w:rFonts w:ascii="Arial" w:hAnsi="Arial" w:cs="Arial"/>
          <w:b/>
          <w:color w:val="auto"/>
          <w:highlight w:val="none"/>
        </w:rPr>
        <w:t>27.1</w:t>
      </w:r>
      <w:r>
        <w:rPr>
          <w:rFonts w:ascii="Arial" w:hAnsi="Arial" w:cs="Arial"/>
          <w:color w:val="auto"/>
          <w:szCs w:val="21"/>
          <w:highlight w:val="none"/>
        </w:rPr>
        <w:t>招标人将在</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 </w:t>
      </w:r>
      <w:r>
        <w:rPr>
          <w:rFonts w:ascii="Arial" w:hAnsi="Arial" w:cs="Arial"/>
          <w:color w:val="auto"/>
          <w:szCs w:val="21"/>
          <w:highlight w:val="none"/>
        </w:rPr>
        <w:t>交易平台、广东省招标投标监管网和中国招标投标公共服务平台公示中标候选人，公示期为三天。</w:t>
      </w:r>
      <w:r>
        <w:rPr>
          <w:rFonts w:hint="eastAsia" w:ascii="Arial" w:hAnsi="Arial" w:cs="Arial"/>
          <w:b/>
          <w:bCs/>
          <w:color w:val="auto"/>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27.4</w:t>
      </w:r>
      <w:r>
        <w:rPr>
          <w:rFonts w:ascii="Arial" w:hAnsi="Arial" w:cs="Arial"/>
          <w:b/>
          <w:color w:val="auto"/>
          <w:szCs w:val="21"/>
          <w:highlight w:val="none"/>
        </w:rPr>
        <w:t xml:space="preserve">          修改类型：修改</w:t>
      </w:r>
    </w:p>
    <w:p>
      <w:pPr>
        <w:spacing w:line="360" w:lineRule="auto"/>
        <w:ind w:firstLine="472" w:firstLineChars="224"/>
        <w:rPr>
          <w:rFonts w:ascii="Arial" w:hAnsi="Arial" w:cs="Arial"/>
          <w:b/>
          <w:color w:val="auto"/>
          <w:sz w:val="18"/>
          <w:szCs w:val="21"/>
          <w:highlight w:val="none"/>
        </w:rPr>
      </w:pPr>
      <w:r>
        <w:rPr>
          <w:rFonts w:ascii="Arial" w:hAnsi="Arial" w:cs="Arial"/>
          <w:b/>
          <w:color w:val="auto"/>
          <w:highlight w:val="none"/>
        </w:rPr>
        <w:t>原文：</w:t>
      </w:r>
      <w:r>
        <w:rPr>
          <w:rFonts w:ascii="Arial" w:hAnsi="Arial" w:cs="Arial"/>
          <w:color w:val="auto"/>
          <w:highlight w:val="none"/>
        </w:rPr>
        <w:t>27.4在产生中标候选人后，招标人将中标候选人的投标文件商务部分文件的所有内容（包括报价清单、人员、业绩、奖项等资料）在</w:t>
      </w:r>
      <w:r>
        <w:rPr>
          <w:rFonts w:ascii="Arial" w:hAnsi="Arial" w:cs="Arial"/>
          <w:color w:val="auto"/>
          <w:szCs w:val="24"/>
          <w:highlight w:val="none"/>
          <w:u w:val="single"/>
        </w:rPr>
        <w:t xml:space="preserve">        </w:t>
      </w:r>
      <w:r>
        <w:rPr>
          <w:rFonts w:ascii="Arial" w:hAnsi="Arial" w:cs="Arial"/>
          <w:color w:val="auto"/>
          <w:szCs w:val="24"/>
          <w:highlight w:val="none"/>
        </w:rPr>
        <w:t>交易平台和广东省招标投标监管网</w:t>
      </w:r>
      <w:r>
        <w:rPr>
          <w:rFonts w:ascii="Arial" w:hAnsi="Arial" w:cs="Arial"/>
          <w:color w:val="auto"/>
          <w:highlight w:val="none"/>
        </w:rPr>
        <w:t>公开。</w:t>
      </w:r>
    </w:p>
    <w:p>
      <w:pPr>
        <w:pStyle w:val="53"/>
        <w:pBdr>
          <w:bottom w:val="single" w:color="auto" w:sz="6" w:space="1"/>
        </w:pBdr>
        <w:spacing w:after="0" w:line="360" w:lineRule="auto"/>
        <w:ind w:firstLine="422" w:firstLineChars="200"/>
        <w:rPr>
          <w:rFonts w:ascii="Arial" w:hAnsi="Arial" w:cs="Arial"/>
          <w:color w:val="auto"/>
          <w:sz w:val="18"/>
          <w:szCs w:val="21"/>
          <w:highlight w:val="none"/>
        </w:rPr>
      </w:pPr>
      <w:r>
        <w:rPr>
          <w:rFonts w:ascii="Arial" w:hAnsi="Arial" w:cs="Arial"/>
          <w:b/>
          <w:color w:val="auto"/>
          <w:szCs w:val="21"/>
          <w:highlight w:val="none"/>
        </w:rPr>
        <w:t>现文：</w:t>
      </w:r>
      <w:r>
        <w:rPr>
          <w:rFonts w:ascii="Arial" w:hAnsi="Arial" w:cs="Arial"/>
          <w:color w:val="auto"/>
          <w:highlight w:val="none"/>
        </w:rPr>
        <w:t>27.4在产生中标候选人后，招标人将中标候选人的投标文件商务部分文件的所有内容（包括人员、业绩、奖项等资料）在</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highlight w:val="none"/>
        </w:rPr>
        <w:t>交易平台和广东省招标投标监管网公开。</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条款号：28.4                       修改类型：修改</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28.4招标人支付工程款时，中标人应按规定开具发票。</w:t>
      </w:r>
    </w:p>
    <w:p>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28.4招标人支付工程款时，中标人应提供</w:t>
      </w:r>
      <w:r>
        <w:rPr>
          <w:rFonts w:hint="eastAsia" w:ascii="宋体" w:hAnsi="宋体" w:eastAsia="宋体" w:cs="宋体"/>
          <w:bCs/>
          <w:color w:val="auto"/>
          <w:szCs w:val="21"/>
          <w:highlight w:val="none"/>
          <w:u w:val="single"/>
        </w:rPr>
        <w:t>符合国家税务相关部门要求的</w:t>
      </w:r>
      <w:r>
        <w:rPr>
          <w:rFonts w:hint="eastAsia" w:ascii="宋体" w:hAnsi="宋体" w:eastAsia="宋体" w:cs="宋体"/>
          <w:bCs/>
          <w:color w:val="auto"/>
          <w:szCs w:val="21"/>
          <w:highlight w:val="none"/>
        </w:rPr>
        <w:t>发票。</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 xml:space="preserve">29    </w:t>
      </w:r>
      <w:r>
        <w:rPr>
          <w:rFonts w:ascii="Arial" w:hAnsi="Arial" w:cs="Arial"/>
          <w:b/>
          <w:color w:val="auto"/>
          <w:szCs w:val="21"/>
          <w:highlight w:val="none"/>
        </w:rPr>
        <w:t xml:space="preserve">          修改类型：修改</w:t>
      </w:r>
    </w:p>
    <w:p>
      <w:pPr>
        <w:spacing w:line="360" w:lineRule="auto"/>
        <w:ind w:firstLine="472" w:firstLineChars="224"/>
        <w:rPr>
          <w:rFonts w:ascii="Arial" w:hAnsi="Arial" w:cs="Arial"/>
          <w:color w:val="auto"/>
          <w:highlight w:val="none"/>
        </w:rPr>
      </w:pPr>
      <w:r>
        <w:rPr>
          <w:rFonts w:ascii="Arial" w:hAnsi="Arial" w:cs="Arial"/>
          <w:b/>
          <w:color w:val="auto"/>
          <w:highlight w:val="none"/>
        </w:rPr>
        <w:t>原文：</w:t>
      </w:r>
      <w:r>
        <w:rPr>
          <w:rFonts w:ascii="Arial" w:hAnsi="Arial" w:cs="Arial"/>
          <w:color w:val="auto"/>
          <w:highlight w:val="none"/>
        </w:rPr>
        <w:t>29．履约担保</w:t>
      </w:r>
    </w:p>
    <w:p>
      <w:pPr>
        <w:spacing w:line="360" w:lineRule="auto"/>
        <w:ind w:firstLine="470" w:firstLineChars="224"/>
        <w:rPr>
          <w:rFonts w:ascii="Arial" w:hAnsi="Arial" w:cs="Arial"/>
          <w:color w:val="auto"/>
          <w:highlight w:val="none"/>
        </w:rPr>
      </w:pPr>
      <w:r>
        <w:rPr>
          <w:rFonts w:ascii="Arial" w:hAnsi="Arial" w:cs="Arial"/>
          <w:color w:val="auto"/>
          <w:highlight w:val="none"/>
        </w:rPr>
        <w:t>29.1 在收到中标通知书后的15日内，中标人应按本须知前附表第20项的规定向招标人提交履约担保。</w:t>
      </w:r>
    </w:p>
    <w:p>
      <w:pPr>
        <w:spacing w:line="360" w:lineRule="auto"/>
        <w:ind w:firstLine="470" w:firstLineChars="224"/>
        <w:rPr>
          <w:rFonts w:ascii="Arial" w:hAnsi="Arial" w:cs="Arial"/>
          <w:b/>
          <w:color w:val="auto"/>
          <w:sz w:val="18"/>
          <w:szCs w:val="21"/>
          <w:highlight w:val="none"/>
        </w:rPr>
      </w:pPr>
      <w:r>
        <w:rPr>
          <w:rFonts w:ascii="Arial" w:hAnsi="Arial" w:cs="Arial"/>
          <w:color w:val="auto"/>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Style w:val="53"/>
        <w:pBdr>
          <w:bottom w:val="single" w:color="auto" w:sz="6" w:space="1"/>
        </w:pBdr>
        <w:spacing w:after="0" w:line="360" w:lineRule="auto"/>
        <w:ind w:firstLine="422" w:firstLineChars="200"/>
        <w:rPr>
          <w:rFonts w:ascii="Arial" w:hAnsi="Arial" w:cs="Arial"/>
          <w:color w:val="auto"/>
          <w:highlight w:val="none"/>
        </w:rPr>
      </w:pPr>
      <w:r>
        <w:rPr>
          <w:rFonts w:ascii="Arial" w:hAnsi="Arial" w:cs="Arial"/>
          <w:b/>
          <w:color w:val="auto"/>
          <w:szCs w:val="21"/>
          <w:highlight w:val="none"/>
        </w:rPr>
        <w:t>现文：</w:t>
      </w:r>
      <w:r>
        <w:rPr>
          <w:rFonts w:ascii="Arial" w:hAnsi="Arial" w:cs="Arial"/>
          <w:color w:val="auto"/>
          <w:highlight w:val="none"/>
        </w:rPr>
        <w:t>29．履约担保</w:t>
      </w:r>
    </w:p>
    <w:p>
      <w:pPr>
        <w:pStyle w:val="53"/>
        <w:pBdr>
          <w:bottom w:val="single" w:color="auto" w:sz="6" w:space="1"/>
        </w:pBdr>
        <w:spacing w:after="0" w:line="360" w:lineRule="auto"/>
        <w:ind w:firstLineChars="200"/>
        <w:rPr>
          <w:rFonts w:ascii="Arial" w:hAnsi="Arial" w:cs="Arial"/>
          <w:color w:val="auto"/>
          <w:highlight w:val="none"/>
        </w:rPr>
      </w:pPr>
      <w:r>
        <w:rPr>
          <w:rFonts w:ascii="Arial" w:hAnsi="Arial" w:cs="Arial"/>
          <w:color w:val="auto"/>
          <w:highlight w:val="none"/>
        </w:rPr>
        <w:t>29.1在签订合同后</w:t>
      </w:r>
      <w:r>
        <w:rPr>
          <w:rFonts w:hint="eastAsia" w:ascii="Arial" w:hAnsi="Arial" w:cs="Arial"/>
          <w:color w:val="auto"/>
          <w:highlight w:val="none"/>
          <w:lang w:val="en-US" w:eastAsia="zh-CN"/>
        </w:rPr>
        <w:t>15</w:t>
      </w:r>
      <w:r>
        <w:rPr>
          <w:rFonts w:ascii="Arial" w:hAnsi="Arial" w:cs="Arial"/>
          <w:color w:val="auto"/>
          <w:highlight w:val="none"/>
        </w:rPr>
        <w:t>个工作日内，中标人应按本须知前附表第20项的规定向招标人提交履约担保；</w:t>
      </w:r>
    </w:p>
    <w:p>
      <w:pPr>
        <w:pStyle w:val="53"/>
        <w:pBdr>
          <w:bottom w:val="single" w:color="auto" w:sz="6" w:space="1"/>
        </w:pBdr>
        <w:spacing w:after="0" w:line="360" w:lineRule="auto"/>
        <w:ind w:firstLineChars="200"/>
        <w:rPr>
          <w:rFonts w:ascii="Arial" w:hAnsi="Arial" w:cs="Arial"/>
          <w:color w:val="auto"/>
          <w:sz w:val="18"/>
          <w:szCs w:val="21"/>
          <w:highlight w:val="none"/>
        </w:rPr>
      </w:pPr>
      <w:r>
        <w:rPr>
          <w:rFonts w:ascii="Arial" w:hAnsi="Arial" w:cs="Arial"/>
          <w:color w:val="auto"/>
          <w:highlight w:val="none"/>
        </w:rPr>
        <w:t>29.2</w:t>
      </w:r>
      <w:r>
        <w:rPr>
          <w:rFonts w:hint="eastAsia" w:ascii="宋体" w:hAnsi="宋体" w:eastAsia="宋体" w:cs="宋体"/>
          <w:color w:val="auto"/>
          <w:szCs w:val="21"/>
          <w:highlight w:val="none"/>
          <w:u w:val="single"/>
        </w:rPr>
        <w:t>在签订合同后的15日后，</w:t>
      </w:r>
      <w:r>
        <w:rPr>
          <w:rFonts w:hint="eastAsia" w:ascii="宋体" w:hAnsi="宋体" w:eastAsia="宋体" w:cs="宋体"/>
          <w:color w:val="auto"/>
          <w:szCs w:val="21"/>
          <w:highlight w:val="none"/>
        </w:rPr>
        <w:t>中标人未按上款的规定提交履约担保，招标人将解除中标通知书，且依法承担相应法律责任。原中标人有异议的，可以向人民法院起诉。</w:t>
      </w:r>
    </w:p>
    <w:p>
      <w:pPr>
        <w:spacing w:line="360" w:lineRule="auto"/>
        <w:ind w:firstLine="424" w:firstLineChars="20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30.1        修改类型：修改</w:t>
      </w:r>
    </w:p>
    <w:p>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30.1在合同双方全权代表在合同协议书上签字，并分别加盖双方单位的公章后，合同正式生效。</w:t>
      </w:r>
    </w:p>
    <w:p>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30.1合同自发包人、承包人双方法定代表人或委托代理人签字并加盖公章之日起生效。</w:t>
      </w:r>
    </w:p>
    <w:p>
      <w:pPr>
        <w:pBdr>
          <w:top w:val="single" w:color="auto" w:sz="4" w:space="0"/>
        </w:pBdr>
        <w:spacing w:line="360" w:lineRule="auto"/>
        <w:ind w:firstLine="424" w:firstLineChars="201"/>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条款号： 30.</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val="en-US" w:eastAsia="zh-CN"/>
        </w:rPr>
        <w:t>新增</w:t>
      </w:r>
    </w:p>
    <w:p>
      <w:pPr>
        <w:pBdr>
          <w:top w:val="none" w:color="auto" w:sz="0" w:space="0"/>
        </w:pBdr>
        <w:spacing w:line="360" w:lineRule="auto"/>
        <w:ind w:firstLine="424" w:firstLineChars="201"/>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现文：30.2</w:t>
      </w:r>
      <w:r>
        <w:rPr>
          <w:rFonts w:hint="eastAsia" w:ascii="宋体" w:hAnsi="宋体" w:eastAsia="宋体" w:cs="宋体"/>
          <w:b w:val="0"/>
          <w:bCs/>
          <w:color w:val="auto"/>
          <w:szCs w:val="21"/>
          <w:highlight w:val="none"/>
          <w:lang w:val="en-US" w:eastAsia="zh-CN"/>
        </w:rPr>
        <w:t>本次招标由总承包单位和中标单位签订双方合同。</w:t>
      </w:r>
    </w:p>
    <w:p>
      <w:pPr>
        <w:pBdr>
          <w:top w:val="single" w:color="auto" w:sz="4" w:space="0"/>
        </w:pBdr>
        <w:spacing w:line="360" w:lineRule="auto"/>
        <w:ind w:firstLine="424" w:firstLineChars="201"/>
        <w:rPr>
          <w:rFonts w:ascii="Arial" w:hAnsi="Arial" w:cs="Arial"/>
          <w:b/>
          <w:color w:val="auto"/>
          <w:szCs w:val="21"/>
          <w:highlight w:val="none"/>
        </w:rPr>
      </w:pPr>
      <w:r>
        <w:rPr>
          <w:rFonts w:ascii="Arial" w:hAnsi="Arial" w:cs="Arial"/>
          <w:b/>
          <w:color w:val="auto"/>
          <w:szCs w:val="21"/>
          <w:highlight w:val="none"/>
        </w:rPr>
        <w:t>条款号：31.1       修改类型：增加</w:t>
      </w:r>
    </w:p>
    <w:p>
      <w:pPr>
        <w:pBdr>
          <w:bottom w:val="single" w:color="auto" w:sz="6" w:space="1"/>
        </w:pBdr>
        <w:spacing w:line="360" w:lineRule="auto"/>
        <w:ind w:firstLine="527" w:firstLineChars="250"/>
        <w:rPr>
          <w:rFonts w:ascii="Arial" w:hAnsi="Arial" w:cs="Arial"/>
          <w:color w:val="auto"/>
          <w:szCs w:val="21"/>
          <w:highlight w:val="none"/>
          <w:u w:val="single"/>
        </w:rPr>
      </w:pPr>
      <w:r>
        <w:rPr>
          <w:rFonts w:ascii="Arial" w:hAnsi="Arial" w:cs="Arial"/>
          <w:b/>
          <w:color w:val="auto"/>
          <w:szCs w:val="21"/>
          <w:highlight w:val="none"/>
        </w:rPr>
        <w:t>现文：31.1</w:t>
      </w:r>
      <w:r>
        <w:rPr>
          <w:rFonts w:hint="eastAsia" w:ascii="宋体" w:hAnsi="宋体" w:eastAsia="宋体" w:cs="宋体"/>
          <w:color w:val="auto"/>
          <w:szCs w:val="21"/>
          <w:highlight w:val="none"/>
        </w:rPr>
        <w:t>中标人应向</w:t>
      </w:r>
      <w:r>
        <w:rPr>
          <w:rFonts w:hint="eastAsia" w:ascii="宋体" w:hAnsi="宋体" w:eastAsia="宋体" w:cs="宋体"/>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交纳公共资源交易服务费, 其费用包含在中标人投标报价中，招标人不另行支付。</w:t>
      </w:r>
    </w:p>
    <w:p>
      <w:pPr>
        <w:pBdr>
          <w:top w:val="none" w:color="auto" w:sz="0" w:space="0"/>
        </w:pBdr>
        <w:spacing w:line="360" w:lineRule="auto"/>
        <w:ind w:firstLine="420" w:firstLineChars="200"/>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rPr>
        <w:t>条款号：3</w:t>
      </w:r>
      <w:r>
        <w:rPr>
          <w:rFonts w:hint="eastAsia" w:ascii="宋体" w:hAnsi="宋体" w:cs="宋体"/>
          <w:b w:val="0"/>
          <w:bCs/>
          <w:color w:val="auto"/>
          <w:szCs w:val="21"/>
          <w:highlight w:val="none"/>
          <w:lang w:val="en-US" w:eastAsia="zh-CN"/>
        </w:rPr>
        <w:t>2.3</w:t>
      </w:r>
      <w:r>
        <w:rPr>
          <w:rFonts w:hint="eastAsia" w:ascii="宋体" w:hAnsi="宋体" w:cs="宋体"/>
          <w:b w:val="0"/>
          <w:bCs/>
          <w:color w:val="auto"/>
          <w:szCs w:val="21"/>
          <w:highlight w:val="none"/>
        </w:rPr>
        <w:t xml:space="preserve">       修改类型：</w:t>
      </w:r>
      <w:r>
        <w:rPr>
          <w:rFonts w:hint="eastAsia" w:ascii="宋体" w:hAnsi="宋体" w:cs="宋体"/>
          <w:b w:val="0"/>
          <w:bCs/>
          <w:color w:val="auto"/>
          <w:szCs w:val="21"/>
          <w:highlight w:val="none"/>
          <w:lang w:val="en-US" w:eastAsia="zh-CN"/>
        </w:rPr>
        <w:t>修改</w:t>
      </w:r>
    </w:p>
    <w:p>
      <w:pPr>
        <w:spacing w:line="360" w:lineRule="auto"/>
        <w:ind w:firstLine="422" w:firstLineChars="200"/>
        <w:rPr>
          <w:rFonts w:hint="eastAsia" w:ascii="宋体" w:hAnsi="宋体" w:cs="宋体"/>
          <w:b w:val="0"/>
          <w:bCs/>
          <w:color w:val="auto"/>
          <w:szCs w:val="21"/>
          <w:highlight w:val="none"/>
          <w:lang w:val="en-US" w:eastAsia="zh-CN"/>
        </w:rPr>
      </w:pPr>
      <w:r>
        <w:rPr>
          <w:rFonts w:hint="eastAsia" w:ascii="宋体" w:hAnsi="宋体" w:cs="宋体"/>
          <w:b/>
          <w:bCs w:val="0"/>
          <w:color w:val="auto"/>
          <w:szCs w:val="21"/>
          <w:highlight w:val="none"/>
          <w:lang w:val="en-US" w:eastAsia="zh-CN"/>
        </w:rPr>
        <w:t>原文：</w:t>
      </w:r>
      <w:r>
        <w:rPr>
          <w:rFonts w:hint="eastAsia" w:ascii="宋体" w:hAnsi="宋体" w:cs="宋体"/>
          <w:b w:val="0"/>
          <w:bCs/>
          <w:color w:val="auto"/>
          <w:szCs w:val="21"/>
          <w:highlight w:val="none"/>
          <w:lang w:val="en-US" w:eastAsia="zh-CN"/>
        </w:rPr>
        <w:t>32.3投标人如在本项目中存在串通投标、弄虚作假、行贿情形的，中标无效，行政监督部门将对其违法行为进行政处罚并通报。该投标人将被招标人列入黑名单并限制其参与招标人后续项目的投标。</w:t>
      </w:r>
    </w:p>
    <w:p>
      <w:pPr>
        <w:spacing w:line="360" w:lineRule="auto"/>
        <w:ind w:firstLine="422" w:firstLineChars="200"/>
        <w:rPr>
          <w:rFonts w:hint="default" w:ascii="宋体" w:hAnsi="宋体" w:cs="宋体"/>
          <w:bCs/>
          <w:color w:val="auto"/>
          <w:szCs w:val="21"/>
          <w:highlight w:val="none"/>
          <w:lang w:val="en-US" w:eastAsia="zh-CN"/>
        </w:rPr>
      </w:pPr>
      <w:r>
        <w:rPr>
          <w:rFonts w:hint="eastAsia" w:ascii="宋体" w:hAnsi="宋体" w:cs="宋体"/>
          <w:b/>
          <w:bCs w:val="0"/>
          <w:color w:val="auto"/>
          <w:szCs w:val="21"/>
          <w:highlight w:val="none"/>
          <w:lang w:val="en-US" w:eastAsia="zh-CN"/>
        </w:rPr>
        <w:t>现文：</w:t>
      </w:r>
      <w:r>
        <w:rPr>
          <w:rFonts w:hint="eastAsia" w:ascii="宋体" w:hAnsi="宋体" w:cs="宋体"/>
          <w:b w:val="0"/>
          <w:bCs/>
          <w:color w:val="auto"/>
          <w:szCs w:val="21"/>
          <w:highlight w:val="none"/>
          <w:lang w:val="en-US" w:eastAsia="zh-CN"/>
        </w:rPr>
        <w:t>32.3投标人如在本项目中存在串通投标、弄虚作假骗取中标、行贿情形的，中标无效，行政监督部门将对其违法行为进行政处罚。该投标人将被招标人列入黑名单并限制其参与招标人后续项目的投标。</w:t>
      </w:r>
    </w:p>
    <w:p>
      <w:pPr>
        <w:pBdr>
          <w:top w:val="single" w:color="auto" w:sz="4" w:space="0"/>
        </w:pBdr>
        <w:spacing w:line="360" w:lineRule="auto"/>
        <w:ind w:firstLine="211" w:firstLineChars="100"/>
        <w:rPr>
          <w:rFonts w:hint="eastAsia" w:ascii="Arial" w:hAnsi="Arial" w:cs="Arial"/>
          <w:b/>
          <w:color w:val="auto"/>
          <w:szCs w:val="21"/>
          <w:highlight w:val="none"/>
          <w:lang w:val="en-US" w:eastAsia="zh-CN"/>
        </w:rPr>
      </w:pPr>
      <w:r>
        <w:rPr>
          <w:rFonts w:ascii="Arial" w:hAnsi="Arial" w:cs="Arial"/>
          <w:b/>
          <w:color w:val="auto"/>
          <w:szCs w:val="21"/>
          <w:highlight w:val="none"/>
        </w:rPr>
        <w:t>条款号：3</w:t>
      </w:r>
      <w:r>
        <w:rPr>
          <w:rFonts w:hint="eastAsia" w:ascii="Arial" w:hAnsi="Arial" w:cs="Arial"/>
          <w:b/>
          <w:color w:val="auto"/>
          <w:szCs w:val="21"/>
          <w:highlight w:val="none"/>
          <w:lang w:val="en-US" w:eastAsia="zh-CN"/>
        </w:rPr>
        <w:t xml:space="preserve">3  </w:t>
      </w:r>
      <w:r>
        <w:rPr>
          <w:rFonts w:ascii="Arial" w:hAnsi="Arial" w:cs="Arial"/>
          <w:b/>
          <w:color w:val="auto"/>
          <w:szCs w:val="21"/>
          <w:highlight w:val="none"/>
        </w:rPr>
        <w:t xml:space="preserve">       修改类型：</w:t>
      </w:r>
      <w:r>
        <w:rPr>
          <w:rFonts w:hint="eastAsia" w:ascii="Arial" w:hAnsi="Arial" w:cs="Arial"/>
          <w:b/>
          <w:color w:val="auto"/>
          <w:szCs w:val="21"/>
          <w:highlight w:val="none"/>
          <w:lang w:val="en-US" w:eastAsia="zh-CN"/>
        </w:rPr>
        <w:t>删除</w:t>
      </w:r>
    </w:p>
    <w:p>
      <w:pPr>
        <w:spacing w:line="360" w:lineRule="auto"/>
        <w:ind w:firstLine="422" w:firstLineChars="200"/>
        <w:rPr>
          <w:rFonts w:hint="eastAsia" w:ascii="宋体" w:hAnsi="宋体" w:cs="宋体"/>
          <w:b w:val="0"/>
          <w:bCs/>
          <w:color w:val="auto"/>
          <w:szCs w:val="21"/>
          <w:highlight w:val="none"/>
          <w:lang w:val="en-US" w:eastAsia="zh-CN"/>
        </w:rPr>
      </w:pPr>
      <w:r>
        <w:rPr>
          <w:rFonts w:hint="eastAsia" w:ascii="宋体" w:hAnsi="宋体" w:cs="宋体"/>
          <w:b/>
          <w:bCs w:val="0"/>
          <w:color w:val="auto"/>
          <w:szCs w:val="21"/>
          <w:highlight w:val="none"/>
          <w:lang w:val="en-US" w:eastAsia="zh-CN"/>
        </w:rPr>
        <w:t>原文</w:t>
      </w:r>
      <w:r>
        <w:rPr>
          <w:rFonts w:hint="eastAsia" w:ascii="宋体" w:hAnsi="宋体" w:cs="宋体"/>
          <w:b w:val="0"/>
          <w:bCs/>
          <w:color w:val="auto"/>
          <w:szCs w:val="21"/>
          <w:highlight w:val="none"/>
          <w:lang w:val="en-US" w:eastAsia="zh-CN"/>
        </w:rPr>
        <w:t>：33. 投标人信誉的要求</w:t>
      </w:r>
    </w:p>
    <w:p>
      <w:pPr>
        <w:spacing w:line="360" w:lineRule="auto"/>
        <w:ind w:firstLine="420" w:firstLineChars="200"/>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存在下列情形之一的，招标人可以限制其投标（需在招标文件中明确评定方法）</w:t>
      </w:r>
    </w:p>
    <w:p>
      <w:pPr>
        <w:spacing w:line="360" w:lineRule="auto"/>
        <w:ind w:firstLine="420" w:firstLineChars="200"/>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（1）被住房城乡建设行政主管部门在全国建筑市场监管一体化工作平台列入建筑市场主体“黑名单”；</w:t>
      </w:r>
    </w:p>
    <w:p>
      <w:pPr>
        <w:pBdr>
          <w:bottom w:val="single" w:color="auto" w:sz="4" w:space="0"/>
        </w:pBdr>
        <w:spacing w:line="360" w:lineRule="auto"/>
        <w:ind w:firstLine="420" w:firstLineChars="200"/>
        <w:rPr>
          <w:rFonts w:hint="eastAsia" w:ascii="宋体" w:hAnsi="宋体" w:cs="宋体"/>
          <w:bCs/>
          <w:color w:val="auto"/>
          <w:szCs w:val="21"/>
          <w:highlight w:val="none"/>
        </w:rPr>
      </w:pPr>
      <w:r>
        <w:rPr>
          <w:rFonts w:hint="eastAsia" w:ascii="宋体" w:hAnsi="宋体" w:cs="宋体"/>
          <w:b w:val="0"/>
          <w:bCs/>
          <w:color w:val="auto"/>
          <w:szCs w:val="21"/>
          <w:highlight w:val="none"/>
          <w:lang w:val="en-US" w:eastAsia="zh-CN"/>
        </w:rPr>
        <w:t>（2）被发改委、人力资源社会保障、质检总局等有关部门、单位在“信用中国”网站中列入联合惩戒失信黑名单。</w:t>
      </w:r>
    </w:p>
    <w:p>
      <w:pPr>
        <w:pStyle w:val="2"/>
        <w:pBdr>
          <w:bottom w:val="single" w:color="auto" w:sz="4" w:space="0"/>
        </w:pBdr>
        <w:rPr>
          <w:rFonts w:ascii="Arial" w:hAnsi="Arial" w:cs="Arial"/>
          <w:color w:val="auto"/>
          <w:highlight w:val="none"/>
        </w:rPr>
      </w:pPr>
    </w:p>
    <w:p>
      <w:pPr>
        <w:spacing w:line="360" w:lineRule="auto"/>
        <w:ind w:firstLine="211" w:firstLineChars="100"/>
        <w:rPr>
          <w:rFonts w:ascii="Arial" w:hAnsi="Arial" w:cs="Arial"/>
          <w:b/>
          <w:color w:val="auto"/>
          <w:szCs w:val="21"/>
          <w:highlight w:val="none"/>
        </w:rPr>
      </w:pPr>
      <w:r>
        <w:rPr>
          <w:rFonts w:ascii="Arial" w:hAnsi="Arial" w:cs="Arial"/>
          <w:b/>
          <w:color w:val="auto"/>
          <w:szCs w:val="21"/>
          <w:highlight w:val="none"/>
        </w:rPr>
        <w:t>注：以上修改，仅限于本范本中有可供选择条款的情形。</w:t>
      </w:r>
    </w:p>
    <w:p>
      <w:pPr>
        <w:spacing w:line="360" w:lineRule="auto"/>
        <w:rPr>
          <w:rFonts w:ascii="Arial" w:hAnsi="Arial" w:cs="Arial"/>
          <w:color w:val="auto"/>
          <w:highlight w:val="none"/>
        </w:rPr>
      </w:pPr>
      <w:r>
        <w:rPr>
          <w:rFonts w:ascii="Arial" w:hAnsi="Arial" w:cs="Arial"/>
          <w:b/>
          <w:color w:val="auto"/>
          <w:szCs w:val="21"/>
          <w:highlight w:val="none"/>
        </w:rPr>
        <w:t>（以下无正文）</w:t>
      </w:r>
    </w:p>
    <w:p>
      <w:pPr>
        <w:pStyle w:val="4"/>
        <w:rPr>
          <w:rFonts w:cs="Arial"/>
          <w:color w:val="auto"/>
          <w:highlight w:val="none"/>
        </w:rPr>
      </w:pPr>
      <w:r>
        <w:rPr>
          <w:rFonts w:cs="Arial"/>
          <w:color w:val="auto"/>
          <w:highlight w:val="none"/>
        </w:rPr>
        <w:br w:type="page"/>
      </w:r>
      <w:bookmarkStart w:id="6" w:name="_Toc101266281"/>
      <w:bookmarkStart w:id="7" w:name="_Toc2272548"/>
      <w:r>
        <w:rPr>
          <w:rFonts w:cs="Arial"/>
          <w:color w:val="auto"/>
          <w:highlight w:val="none"/>
        </w:rPr>
        <w:t>三、投标须知通用条款</w:t>
      </w:r>
      <w:bookmarkEnd w:id="6"/>
      <w:bookmarkEnd w:id="7"/>
    </w:p>
    <w:p>
      <w:pPr>
        <w:pStyle w:val="6"/>
        <w:spacing w:before="156" w:after="156"/>
        <w:rPr>
          <w:rFonts w:ascii="Arial" w:hAnsi="Arial" w:cs="Arial"/>
          <w:color w:val="auto"/>
          <w:highlight w:val="none"/>
        </w:rPr>
      </w:pPr>
      <w:bookmarkStart w:id="8" w:name="_Toc2272549"/>
      <w:bookmarkStart w:id="9" w:name="_Toc101266282"/>
      <w:r>
        <w:rPr>
          <w:rFonts w:ascii="Arial" w:hAnsi="Arial" w:cs="Arial"/>
          <w:color w:val="auto"/>
          <w:highlight w:val="none"/>
        </w:rPr>
        <w:t>（一）总则</w:t>
      </w:r>
      <w:bookmarkEnd w:id="8"/>
      <w:bookmarkEnd w:id="9"/>
    </w:p>
    <w:p>
      <w:pPr>
        <w:pStyle w:val="53"/>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1、定义</w:t>
      </w:r>
    </w:p>
    <w:p>
      <w:pPr>
        <w:pStyle w:val="53"/>
        <w:spacing w:after="0" w:line="360" w:lineRule="auto"/>
        <w:ind w:firstLine="480" w:firstLineChars="200"/>
        <w:rPr>
          <w:rFonts w:ascii="Arial" w:hAnsi="Arial" w:cs="Arial"/>
          <w:b/>
          <w:bCs/>
          <w:color w:val="auto"/>
          <w:sz w:val="24"/>
          <w:highlight w:val="none"/>
        </w:rPr>
      </w:pPr>
      <w:r>
        <w:rPr>
          <w:rFonts w:ascii="Arial" w:hAnsi="Arial" w:cs="Arial"/>
          <w:color w:val="auto"/>
          <w:sz w:val="24"/>
          <w:highlight w:val="none"/>
        </w:rPr>
        <w:t>本招标文件使用的下列词语具有如下规定的意义：</w:t>
      </w:r>
    </w:p>
    <w:p>
      <w:pPr>
        <w:pStyle w:val="53"/>
        <w:spacing w:after="0" w:line="360" w:lineRule="auto"/>
        <w:ind w:firstLine="480" w:firstLineChars="200"/>
        <w:rPr>
          <w:rFonts w:ascii="Arial" w:hAnsi="Arial" w:cs="Arial"/>
          <w:b/>
          <w:bCs/>
          <w:color w:val="auto"/>
          <w:sz w:val="24"/>
          <w:highlight w:val="none"/>
          <w:u w:val="single"/>
        </w:rPr>
      </w:pPr>
      <w:r>
        <w:rPr>
          <w:rFonts w:ascii="Arial" w:hAnsi="Arial" w:cs="Arial"/>
          <w:color w:val="auto"/>
          <w:sz w:val="24"/>
          <w:highlight w:val="none"/>
        </w:rPr>
        <w:t>（1）“招标人”（即发包人）、“项目建设管理单位”（或称“项目代建单位”）、“招标代理”、“设计单位”、“监理单位”均已在投标须知前附表中列明。</w:t>
      </w:r>
    </w:p>
    <w:p>
      <w:pPr>
        <w:pStyle w:val="53"/>
        <w:spacing w:after="0" w:line="360" w:lineRule="auto"/>
        <w:ind w:firstLine="480" w:firstLineChars="200"/>
        <w:rPr>
          <w:rFonts w:ascii="Arial" w:hAnsi="Arial" w:cs="Arial"/>
          <w:color w:val="auto"/>
          <w:sz w:val="24"/>
          <w:highlight w:val="none"/>
          <w:u w:val="single"/>
        </w:rPr>
      </w:pPr>
      <w:r>
        <w:rPr>
          <w:rFonts w:ascii="Arial" w:hAnsi="Arial" w:cs="Arial"/>
          <w:color w:val="auto"/>
          <w:sz w:val="24"/>
          <w:highlight w:val="none"/>
        </w:rPr>
        <w:t xml:space="preserve">（2）“投标人”指向招标人提交投标文件的当事人。   </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（3）“承包人”指其投标被招标人接受并与其签订承包合同的当事人。</w:t>
      </w:r>
    </w:p>
    <w:p>
      <w:pPr>
        <w:pStyle w:val="53"/>
        <w:spacing w:after="0" w:line="360" w:lineRule="auto"/>
        <w:ind w:firstLine="480" w:firstLineChars="200"/>
        <w:rPr>
          <w:rFonts w:ascii="Arial" w:hAnsi="Arial" w:cs="Arial"/>
          <w:color w:val="auto"/>
          <w:sz w:val="24"/>
          <w:highlight w:val="none"/>
          <w:u w:val="single"/>
        </w:rPr>
      </w:pPr>
      <w:r>
        <w:rPr>
          <w:rFonts w:ascii="Arial" w:hAnsi="Arial" w:cs="Arial"/>
          <w:color w:val="auto"/>
          <w:sz w:val="24"/>
          <w:highlight w:val="none"/>
        </w:rPr>
        <w:t>（4）“招标文件”指由招标代理发出的本文件（包括全部章节、附件）及招标答疑会会议纪要和</w:t>
      </w:r>
      <w:r>
        <w:rPr>
          <w:rFonts w:ascii="Arial" w:hAnsi="Arial" w:cs="Arial"/>
          <w:bCs/>
          <w:color w:val="auto"/>
          <w:sz w:val="24"/>
          <w:highlight w:val="none"/>
        </w:rPr>
        <w:t>招标文件的澄清与修改</w:t>
      </w:r>
      <w:r>
        <w:rPr>
          <w:rFonts w:ascii="Arial" w:hAnsi="Arial" w:cs="Arial"/>
          <w:color w:val="auto"/>
          <w:sz w:val="24"/>
          <w:highlight w:val="none"/>
        </w:rPr>
        <w:t>文件。</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（5）“投标文件”指投标人根据本项目招标文件向招标人提交的全部文件。</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（6）“书面形式”指打字或印刷的文件和数据电文（包括电报、电传、传真、电子数据交换和电子邮件）。</w:t>
      </w:r>
    </w:p>
    <w:p>
      <w:pPr>
        <w:spacing w:line="360" w:lineRule="auto"/>
        <w:ind w:firstLine="482" w:firstLineChars="200"/>
        <w:rPr>
          <w:rFonts w:ascii="Arial" w:hAnsi="Arial" w:cs="Arial"/>
          <w:b/>
          <w:color w:val="auto"/>
          <w:sz w:val="24"/>
          <w:highlight w:val="none"/>
        </w:rPr>
      </w:pPr>
      <w:r>
        <w:rPr>
          <w:rFonts w:ascii="Arial" w:hAnsi="Arial" w:cs="Arial"/>
          <w:b/>
          <w:color w:val="auto"/>
          <w:sz w:val="24"/>
          <w:highlight w:val="none"/>
        </w:rPr>
        <w:t>2、招标说明</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2.1本招标工程项目按照《中华人民共和国招标投标法》等有关法律、行政法规、规章和规范性文件，通过招标方式选定承包人。</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2.2工程名称、建设地点、建设规模、承包方式、质量标准、招标范围、工期要求等均在投标须知前附表中列明。</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2.3设计说明：详见招标图纸。</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2.4工程施工特点：详见招标图纸。</w:t>
      </w:r>
    </w:p>
    <w:p>
      <w:pPr>
        <w:tabs>
          <w:tab w:val="left" w:pos="105"/>
        </w:tabs>
        <w:spacing w:line="360" w:lineRule="auto"/>
        <w:ind w:firstLine="482" w:firstLineChars="200"/>
        <w:rPr>
          <w:rFonts w:ascii="Arial" w:hAnsi="Arial" w:cs="Arial"/>
          <w:b/>
          <w:color w:val="auto"/>
          <w:sz w:val="24"/>
          <w:highlight w:val="none"/>
        </w:rPr>
      </w:pPr>
      <w:r>
        <w:rPr>
          <w:rFonts w:ascii="Arial" w:hAnsi="Arial" w:cs="Arial"/>
          <w:b/>
          <w:color w:val="auto"/>
          <w:sz w:val="24"/>
          <w:highlight w:val="none"/>
        </w:rPr>
        <w:t>3．资金来源</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3.1本招标工程项目资金来源见投标须知前附表第9项</w:t>
      </w:r>
    </w:p>
    <w:p>
      <w:pPr>
        <w:tabs>
          <w:tab w:val="left" w:pos="105"/>
        </w:tabs>
        <w:spacing w:line="360" w:lineRule="auto"/>
        <w:ind w:firstLine="482" w:firstLineChars="200"/>
        <w:rPr>
          <w:rFonts w:ascii="Arial" w:hAnsi="Arial" w:cs="Arial"/>
          <w:b/>
          <w:color w:val="auto"/>
          <w:sz w:val="24"/>
          <w:highlight w:val="none"/>
        </w:rPr>
      </w:pPr>
      <w:r>
        <w:rPr>
          <w:rFonts w:ascii="Arial" w:hAnsi="Arial" w:cs="Arial"/>
          <w:b/>
          <w:color w:val="auto"/>
          <w:sz w:val="24"/>
          <w:highlight w:val="none"/>
        </w:rPr>
        <w:t>4．合格投标人的条件</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4.1详见本项目招标公告</w:t>
      </w:r>
    </w:p>
    <w:p>
      <w:pPr>
        <w:tabs>
          <w:tab w:val="left" w:pos="105"/>
        </w:tabs>
        <w:spacing w:line="360" w:lineRule="auto"/>
        <w:ind w:firstLine="482" w:firstLineChars="200"/>
        <w:rPr>
          <w:rFonts w:ascii="Arial" w:hAnsi="Arial" w:cs="Arial"/>
          <w:b/>
          <w:color w:val="auto"/>
          <w:sz w:val="24"/>
          <w:highlight w:val="none"/>
        </w:rPr>
      </w:pPr>
      <w:r>
        <w:rPr>
          <w:rFonts w:ascii="Arial" w:hAnsi="Arial" w:cs="Arial"/>
          <w:b/>
          <w:color w:val="auto"/>
          <w:sz w:val="24"/>
          <w:highlight w:val="none"/>
        </w:rPr>
        <w:t>5．踏勘现场</w:t>
      </w:r>
    </w:p>
    <w:p>
      <w:pPr>
        <w:spacing w:line="360" w:lineRule="auto"/>
        <w:ind w:firstLine="480" w:firstLineChars="200"/>
        <w:rPr>
          <w:rFonts w:ascii="Arial" w:hAnsi="Arial" w:cs="Arial"/>
          <w:bCs/>
          <w:color w:val="auto"/>
          <w:sz w:val="24"/>
          <w:highlight w:val="none"/>
          <w:u w:val="single"/>
        </w:rPr>
      </w:pPr>
      <w:r>
        <w:rPr>
          <w:rFonts w:ascii="Arial" w:hAnsi="Arial" w:cs="Arial"/>
          <w:bCs/>
          <w:color w:val="auto"/>
          <w:sz w:val="24"/>
          <w:highlight w:val="none"/>
        </w:rPr>
        <w:t>5.1 投标人应按本投标须知前附表第15项所述时间和要求对工程现场及周围环境进行踏勘，</w:t>
      </w:r>
      <w:r>
        <w:rPr>
          <w:rFonts w:ascii="Arial" w:hAnsi="Arial" w:cs="Arial"/>
          <w:color w:val="auto"/>
          <w:sz w:val="24"/>
          <w:highlight w:val="none"/>
        </w:rPr>
        <w:t>投标人应充分重视和仔细地进行这种考察，</w:t>
      </w:r>
      <w:r>
        <w:rPr>
          <w:rFonts w:ascii="Arial" w:hAnsi="Arial" w:cs="Arial"/>
          <w:bCs/>
          <w:color w:val="auto"/>
          <w:sz w:val="24"/>
          <w:highlight w:val="none"/>
        </w:rPr>
        <w:t>以便投标人获取</w:t>
      </w:r>
      <w:r>
        <w:rPr>
          <w:rFonts w:ascii="Arial" w:hAnsi="Arial" w:cs="Arial"/>
          <w:color w:val="auto"/>
          <w:sz w:val="24"/>
          <w:highlight w:val="none"/>
        </w:rPr>
        <w:t>那些须投标人自己负责的</w:t>
      </w:r>
      <w:r>
        <w:rPr>
          <w:rFonts w:ascii="Arial" w:hAnsi="Arial" w:cs="Arial"/>
          <w:bCs/>
          <w:color w:val="auto"/>
          <w:sz w:val="24"/>
          <w:highlight w:val="none"/>
        </w:rPr>
        <w:t>有关编制投标文件和签署合同所涉及现场所有的资料。</w:t>
      </w:r>
      <w:r>
        <w:rPr>
          <w:rFonts w:ascii="Arial" w:hAnsi="Arial" w:cs="Arial"/>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5.3 经招标人允许，投标人可为踏勘目的进入招标人的项目现场。</w:t>
      </w:r>
      <w:r>
        <w:rPr>
          <w:rFonts w:ascii="Arial" w:hAnsi="Arial" w:cs="Arial"/>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ascii="Arial" w:hAnsi="Arial" w:cs="Arial"/>
          <w:bCs/>
          <w:color w:val="auto"/>
          <w:sz w:val="24"/>
          <w:highlight w:val="none"/>
        </w:rPr>
        <w:t>投标人不得因此使招标人承担有关的责任和蒙受损失。</w:t>
      </w:r>
    </w:p>
    <w:p>
      <w:pPr>
        <w:tabs>
          <w:tab w:val="left" w:pos="105"/>
        </w:tabs>
        <w:spacing w:line="360" w:lineRule="auto"/>
        <w:ind w:firstLine="482" w:firstLineChars="200"/>
        <w:rPr>
          <w:rFonts w:ascii="Arial" w:hAnsi="Arial" w:cs="Arial"/>
          <w:b/>
          <w:color w:val="auto"/>
          <w:sz w:val="24"/>
          <w:highlight w:val="none"/>
        </w:rPr>
      </w:pPr>
      <w:r>
        <w:rPr>
          <w:rFonts w:ascii="Arial" w:hAnsi="Arial" w:cs="Arial"/>
          <w:b/>
          <w:color w:val="auto"/>
          <w:sz w:val="24"/>
          <w:highlight w:val="none"/>
        </w:rPr>
        <w:t>6．投标费用</w:t>
      </w:r>
    </w:p>
    <w:p>
      <w:pPr>
        <w:tabs>
          <w:tab w:val="left" w:pos="105"/>
        </w:tabs>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6.1</w:t>
      </w:r>
      <w:r>
        <w:rPr>
          <w:rFonts w:ascii="Arial" w:hAnsi="Arial" w:cs="Arial"/>
          <w:color w:val="auto"/>
          <w:sz w:val="24"/>
          <w:highlight w:val="none"/>
        </w:rPr>
        <w:t>不论投标结果如何，投标人应承担</w:t>
      </w:r>
      <w:r>
        <w:rPr>
          <w:rFonts w:ascii="Arial" w:hAnsi="Arial" w:cs="Arial"/>
          <w:bCs/>
          <w:color w:val="auto"/>
          <w:sz w:val="24"/>
          <w:highlight w:val="none"/>
        </w:rPr>
        <w:t>自身</w:t>
      </w:r>
      <w:r>
        <w:rPr>
          <w:rFonts w:ascii="Arial" w:hAnsi="Arial" w:cs="Arial"/>
          <w:color w:val="auto"/>
          <w:sz w:val="24"/>
          <w:highlight w:val="none"/>
        </w:rPr>
        <w:t>因投标文件编制、递交及其他</w:t>
      </w:r>
      <w:r>
        <w:rPr>
          <w:rFonts w:ascii="Arial" w:hAnsi="Arial" w:cs="Arial"/>
          <w:bCs/>
          <w:color w:val="auto"/>
          <w:sz w:val="24"/>
          <w:highlight w:val="none"/>
        </w:rPr>
        <w:t>参加本招标活动</w:t>
      </w:r>
      <w:r>
        <w:rPr>
          <w:rFonts w:ascii="Arial" w:hAnsi="Arial" w:cs="Arial"/>
          <w:color w:val="auto"/>
          <w:sz w:val="24"/>
          <w:highlight w:val="none"/>
        </w:rPr>
        <w:t>所涉及的一切费用，招标人对上述费用不负任何责任。</w:t>
      </w:r>
    </w:p>
    <w:p>
      <w:pPr>
        <w:pStyle w:val="6"/>
        <w:spacing w:before="156" w:after="156"/>
        <w:rPr>
          <w:rFonts w:ascii="Arial" w:hAnsi="Arial" w:cs="Arial"/>
          <w:color w:val="auto"/>
          <w:highlight w:val="none"/>
        </w:rPr>
      </w:pPr>
      <w:bookmarkStart w:id="10" w:name="_Toc2272550"/>
      <w:bookmarkStart w:id="11" w:name="_Toc101266283"/>
      <w:r>
        <w:rPr>
          <w:rFonts w:ascii="Arial" w:hAnsi="Arial" w:cs="Arial"/>
          <w:color w:val="auto"/>
          <w:highlight w:val="none"/>
        </w:rPr>
        <w:t>（二）招标文件</w:t>
      </w:r>
      <w:bookmarkEnd w:id="10"/>
      <w:bookmarkEnd w:id="11"/>
    </w:p>
    <w:p>
      <w:pPr>
        <w:tabs>
          <w:tab w:val="left" w:pos="105"/>
        </w:tabs>
        <w:spacing w:line="360" w:lineRule="auto"/>
        <w:ind w:firstLine="482" w:firstLineChars="200"/>
        <w:rPr>
          <w:rFonts w:ascii="Arial" w:hAnsi="Arial" w:cs="Arial"/>
          <w:b/>
          <w:color w:val="auto"/>
          <w:sz w:val="24"/>
          <w:highlight w:val="none"/>
        </w:rPr>
      </w:pPr>
      <w:r>
        <w:rPr>
          <w:rFonts w:ascii="Arial" w:hAnsi="Arial" w:cs="Arial"/>
          <w:b/>
          <w:color w:val="auto"/>
          <w:sz w:val="24"/>
          <w:highlight w:val="none"/>
        </w:rPr>
        <w:t>7.招标文件的组成</w:t>
      </w:r>
    </w:p>
    <w:p>
      <w:pPr>
        <w:spacing w:line="360" w:lineRule="auto"/>
        <w:ind w:firstLine="480" w:firstLineChars="200"/>
        <w:rPr>
          <w:rFonts w:ascii="Arial" w:hAnsi="Arial" w:cs="Arial"/>
          <w:color w:val="auto"/>
          <w:sz w:val="24"/>
          <w:highlight w:val="none"/>
        </w:rPr>
      </w:pPr>
      <w:r>
        <w:rPr>
          <w:rFonts w:ascii="Arial" w:hAnsi="Arial" w:cs="Arial"/>
          <w:bCs/>
          <w:color w:val="auto"/>
          <w:sz w:val="24"/>
          <w:highlight w:val="none"/>
        </w:rPr>
        <w:t>7.1</w:t>
      </w:r>
      <w:r>
        <w:rPr>
          <w:rFonts w:ascii="Arial" w:hAnsi="Arial" w:cs="Arial"/>
          <w:color w:val="auto"/>
          <w:sz w:val="24"/>
          <w:highlight w:val="none"/>
        </w:rPr>
        <w:t>本招标文件包括下列文件，以及所有按本须知第8条发出的招标答疑会会议纪要和按本须知第9条发出的澄清或修改：</w:t>
      </w:r>
    </w:p>
    <w:p>
      <w:pPr>
        <w:pStyle w:val="53"/>
        <w:spacing w:after="0" w:line="360" w:lineRule="auto"/>
        <w:ind w:left="-2" w:firstLine="480" w:firstLineChars="200"/>
        <w:rPr>
          <w:rFonts w:ascii="Arial" w:hAnsi="Arial" w:cs="Arial"/>
          <w:color w:val="auto"/>
          <w:sz w:val="24"/>
          <w:highlight w:val="none"/>
        </w:rPr>
      </w:pPr>
      <w:r>
        <w:rPr>
          <w:rFonts w:ascii="Arial" w:hAnsi="Arial" w:cs="Arial"/>
          <w:bCs/>
          <w:color w:val="auto"/>
          <w:sz w:val="24"/>
          <w:highlight w:val="none"/>
        </w:rPr>
        <w:t xml:space="preserve">第一章  </w:t>
      </w:r>
      <w:r>
        <w:rPr>
          <w:rFonts w:ascii="Arial" w:hAnsi="Arial" w:cs="Arial"/>
          <w:color w:val="auto"/>
          <w:sz w:val="24"/>
          <w:highlight w:val="none"/>
        </w:rPr>
        <w:t>投标须知</w:t>
      </w:r>
    </w:p>
    <w:p>
      <w:pPr>
        <w:pStyle w:val="53"/>
        <w:spacing w:after="0" w:line="360" w:lineRule="auto"/>
        <w:ind w:left="-2" w:firstLine="480" w:firstLineChars="200"/>
        <w:rPr>
          <w:rFonts w:ascii="Arial" w:hAnsi="Arial" w:cs="Arial"/>
          <w:color w:val="auto"/>
          <w:sz w:val="24"/>
          <w:highlight w:val="none"/>
        </w:rPr>
      </w:pPr>
      <w:r>
        <w:rPr>
          <w:rFonts w:ascii="Arial" w:hAnsi="Arial" w:cs="Arial"/>
          <w:bCs/>
          <w:color w:val="auto"/>
          <w:sz w:val="24"/>
          <w:highlight w:val="none"/>
        </w:rPr>
        <w:t xml:space="preserve">第二章  </w:t>
      </w:r>
      <w:r>
        <w:rPr>
          <w:rFonts w:ascii="Arial" w:hAnsi="Arial" w:cs="Arial"/>
          <w:color w:val="auto"/>
          <w:sz w:val="24"/>
          <w:highlight w:val="none"/>
        </w:rPr>
        <w:t>开标、评标及定标办法</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第三章  合同条款</w:t>
      </w:r>
    </w:p>
    <w:p>
      <w:pPr>
        <w:pStyle w:val="53"/>
        <w:spacing w:after="0" w:line="360" w:lineRule="auto"/>
        <w:ind w:firstLine="480" w:firstLineChars="200"/>
        <w:rPr>
          <w:rFonts w:ascii="Arial" w:hAnsi="Arial" w:cs="Arial"/>
          <w:color w:val="auto"/>
          <w:sz w:val="24"/>
          <w:highlight w:val="none"/>
        </w:rPr>
      </w:pPr>
      <w:r>
        <w:rPr>
          <w:rFonts w:ascii="Arial" w:hAnsi="Arial" w:cs="Arial"/>
          <w:bCs/>
          <w:color w:val="auto"/>
          <w:sz w:val="24"/>
          <w:highlight w:val="none"/>
        </w:rPr>
        <w:t xml:space="preserve">第四章  </w:t>
      </w:r>
      <w:r>
        <w:rPr>
          <w:rFonts w:ascii="Arial" w:hAnsi="Arial" w:cs="Arial"/>
          <w:color w:val="auto"/>
          <w:sz w:val="24"/>
          <w:highlight w:val="none"/>
        </w:rPr>
        <w:t>投标文件格式</w:t>
      </w:r>
    </w:p>
    <w:p>
      <w:pPr>
        <w:pStyle w:val="53"/>
        <w:spacing w:after="0" w:line="360" w:lineRule="auto"/>
        <w:ind w:left="-2" w:firstLine="480" w:firstLineChars="200"/>
        <w:rPr>
          <w:rFonts w:ascii="Arial" w:hAnsi="Arial" w:cs="Arial"/>
          <w:color w:val="auto"/>
          <w:sz w:val="24"/>
          <w:highlight w:val="none"/>
        </w:rPr>
      </w:pPr>
      <w:r>
        <w:rPr>
          <w:rFonts w:ascii="Arial" w:hAnsi="Arial" w:cs="Arial"/>
          <w:bCs/>
          <w:color w:val="auto"/>
          <w:sz w:val="24"/>
          <w:highlight w:val="none"/>
        </w:rPr>
        <w:t xml:space="preserve">第五章  </w:t>
      </w:r>
      <w:r>
        <w:rPr>
          <w:rFonts w:ascii="Arial" w:hAnsi="Arial" w:cs="Arial"/>
          <w:color w:val="auto"/>
          <w:sz w:val="24"/>
          <w:highlight w:val="none"/>
        </w:rPr>
        <w:t>技术条件（工程建设标准）（另册）</w:t>
      </w:r>
    </w:p>
    <w:p>
      <w:pPr>
        <w:pStyle w:val="53"/>
        <w:spacing w:after="0" w:line="360" w:lineRule="auto"/>
        <w:ind w:left="-2" w:firstLine="480" w:firstLineChars="200"/>
        <w:rPr>
          <w:rFonts w:ascii="Arial" w:hAnsi="Arial" w:cs="Arial"/>
          <w:color w:val="auto"/>
          <w:sz w:val="24"/>
          <w:highlight w:val="none"/>
        </w:rPr>
      </w:pPr>
      <w:r>
        <w:rPr>
          <w:rFonts w:ascii="Arial" w:hAnsi="Arial" w:cs="Arial"/>
          <w:bCs/>
          <w:color w:val="auto"/>
          <w:sz w:val="24"/>
          <w:highlight w:val="none"/>
        </w:rPr>
        <w:t xml:space="preserve">第六章  </w:t>
      </w:r>
      <w:r>
        <w:rPr>
          <w:rFonts w:ascii="Arial" w:hAnsi="Arial" w:cs="Arial"/>
          <w:color w:val="auto"/>
          <w:sz w:val="24"/>
          <w:highlight w:val="none"/>
        </w:rPr>
        <w:t>图纸及勘察资料（另册）</w:t>
      </w:r>
    </w:p>
    <w:p>
      <w:pPr>
        <w:pStyle w:val="53"/>
        <w:spacing w:after="0" w:line="360" w:lineRule="auto"/>
        <w:ind w:left="-2" w:firstLine="480" w:firstLineChars="200"/>
        <w:rPr>
          <w:rFonts w:ascii="Arial" w:hAnsi="Arial" w:cs="Arial"/>
          <w:color w:val="auto"/>
          <w:sz w:val="24"/>
          <w:highlight w:val="none"/>
        </w:rPr>
      </w:pPr>
      <w:r>
        <w:rPr>
          <w:rFonts w:ascii="Arial" w:hAnsi="Arial" w:cs="Arial"/>
          <w:bCs/>
          <w:color w:val="auto"/>
          <w:sz w:val="24"/>
          <w:highlight w:val="none"/>
        </w:rPr>
        <w:t>第七章  招标</w:t>
      </w:r>
      <w:r>
        <w:rPr>
          <w:rFonts w:ascii="Arial" w:hAnsi="Arial" w:cs="Arial"/>
          <w:color w:val="auto"/>
          <w:sz w:val="24"/>
          <w:highlight w:val="none"/>
        </w:rPr>
        <w:t>工程量清单（另册）</w:t>
      </w:r>
    </w:p>
    <w:p>
      <w:pPr>
        <w:pStyle w:val="53"/>
        <w:spacing w:after="0" w:line="360" w:lineRule="auto"/>
        <w:ind w:left="-2" w:firstLine="480" w:firstLineChars="200"/>
        <w:rPr>
          <w:rFonts w:ascii="Arial" w:hAnsi="Arial" w:cs="Arial"/>
          <w:color w:val="auto"/>
          <w:sz w:val="24"/>
          <w:highlight w:val="none"/>
        </w:rPr>
      </w:pPr>
      <w:r>
        <w:rPr>
          <w:rFonts w:ascii="Arial" w:hAnsi="Arial" w:cs="Arial"/>
          <w:color w:val="auto"/>
          <w:sz w:val="24"/>
          <w:highlight w:val="none"/>
        </w:rPr>
        <w:t>第八章  最高投标限价</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7.3 投标人一旦中标，招标文件的内容对招标人和中标人双方均有约束力。</w:t>
      </w:r>
    </w:p>
    <w:p>
      <w:pPr>
        <w:pStyle w:val="53"/>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8．招标答疑</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8.1 投标人若对招标文件（包括招标图纸）中有疑问，可以书面形式</w:t>
      </w:r>
      <w:r>
        <w:rPr>
          <w:rFonts w:ascii="Arial" w:hAnsi="Arial" w:cs="Arial"/>
          <w:color w:val="auto"/>
          <w:sz w:val="24"/>
          <w:szCs w:val="24"/>
          <w:highlight w:val="none"/>
        </w:rPr>
        <w:t>通过</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交易平台提交</w:t>
      </w:r>
      <w:r>
        <w:rPr>
          <w:rFonts w:ascii="Arial" w:hAnsi="Arial" w:cs="Arial"/>
          <w:color w:val="auto"/>
          <w:sz w:val="24"/>
          <w:highlight w:val="none"/>
        </w:rPr>
        <w:t>给招标人或招标代理人，提交形式见本须知前附表第16项。</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8.2招标答疑会会议纪要将在提交投标文件截止时间15日前在</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 xml:space="preserve"> “项目答疑纪要”专区公开发布。答疑纪要一经在</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发布，视作已发放给所有投标人。</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8.3答疑会会议纪要为招标文件的一部分。</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8.4若招标答疑会会议纪要与招标文件有矛盾，以答疑会议纪要最后发出的书面形式的文件为准。</w:t>
      </w:r>
    </w:p>
    <w:p>
      <w:pPr>
        <w:pStyle w:val="53"/>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9.招标文件的澄清与修改</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9.1招标文件发出后,在提交投标文件截止时间15日前，招标人可对招标文件进行必要的澄清或修改。</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9.2招标文件的澄清或修改将在</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“项目答疑纪要”专区公开发布。答疑纪要一经在</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发布，视作已发放给所有投标人，以</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上网发布时间作为送达时间。</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9.3招标文件的修改内容为招标文件的组成部分。</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9.4招标文件的澄清或修改均以书面形式明确的内容为准。当招标文件的澄清、修改、补充等在同一内容的表述不一致时，以最后发出的书面形式的文件为准。</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after="156"/>
        <w:rPr>
          <w:rFonts w:ascii="Arial" w:hAnsi="Arial" w:cs="Arial"/>
          <w:color w:val="auto"/>
          <w:highlight w:val="none"/>
        </w:rPr>
      </w:pPr>
      <w:bookmarkStart w:id="12" w:name="_Toc2272551"/>
      <w:bookmarkStart w:id="13" w:name="_Toc101266284"/>
      <w:r>
        <w:rPr>
          <w:rFonts w:ascii="Arial" w:hAnsi="Arial" w:cs="Arial"/>
          <w:color w:val="auto"/>
          <w:highlight w:val="none"/>
        </w:rPr>
        <w:t>（三）投标文件的编制</w:t>
      </w:r>
      <w:bookmarkEnd w:id="12"/>
      <w:bookmarkEnd w:id="13"/>
    </w:p>
    <w:p>
      <w:pPr>
        <w:pStyle w:val="53"/>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10．投标文件的语言及度量衡单位</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10.1 投标文件和与投标有关的所有文件均应使用中文。</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10.2 除工程规范另有规定外，投标文件使用的度量衡单位，均采用中华人民共和国法定计量单位。</w:t>
      </w:r>
    </w:p>
    <w:p>
      <w:pPr>
        <w:pStyle w:val="53"/>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11．投标文件的组成</w:t>
      </w:r>
    </w:p>
    <w:p>
      <w:pPr>
        <w:pStyle w:val="53"/>
        <w:spacing w:after="0" w:line="360" w:lineRule="auto"/>
        <w:ind w:firstLine="480" w:firstLineChars="200"/>
        <w:rPr>
          <w:rFonts w:ascii="Arial" w:hAnsi="Arial" w:cs="Arial"/>
          <w:b/>
          <w:color w:val="auto"/>
          <w:sz w:val="24"/>
          <w:highlight w:val="none"/>
        </w:rPr>
      </w:pPr>
      <w:r>
        <w:rPr>
          <w:rFonts w:ascii="Arial" w:hAnsi="Arial" w:cs="Arial"/>
          <w:color w:val="auto"/>
          <w:sz w:val="24"/>
          <w:highlight w:val="none"/>
        </w:rPr>
        <w:t>11.1 投标文件由技术部分（含资格审查文件）和经济部分二部分投标文件组成</w:t>
      </w:r>
      <w:r>
        <w:rPr>
          <w:rFonts w:ascii="Arial" w:hAnsi="Arial" w:cs="Arial"/>
          <w:b/>
          <w:color w:val="auto"/>
          <w:sz w:val="24"/>
          <w:highlight w:val="none"/>
        </w:rPr>
        <w:t>。</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11.2投标文件技术标部分主要包括下列内容:</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11.2.1 技术投标文件</w:t>
      </w:r>
      <w:r>
        <w:rPr>
          <w:rFonts w:ascii="Arial" w:hAnsi="Arial" w:cs="Arial"/>
          <w:color w:val="auto"/>
          <w:sz w:val="24"/>
          <w:highlight w:val="none"/>
        </w:rPr>
        <w:t>(按招标文件的要求填写)</w:t>
      </w:r>
      <w:r>
        <w:rPr>
          <w:rFonts w:ascii="Arial" w:hAnsi="Arial" w:cs="Arial"/>
          <w:bCs/>
          <w:color w:val="auto"/>
          <w:sz w:val="24"/>
          <w:highlight w:val="none"/>
        </w:rPr>
        <w:t>；</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11.2.2 资格审查文件：</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 xml:space="preserve">（1）投标人声明； </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（2）法定代表人证明书、法定代表人签字或盖章的本投标文件授权委托证明书；</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（3）企业营业执照（取自平台内上传件）；</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（4）企业资质证书（取自平台内上传件）；</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（5）建筑施工企业安全生产许可证（取自平台内上传件）；</w:t>
      </w:r>
    </w:p>
    <w:p>
      <w:pPr>
        <w:spacing w:line="360" w:lineRule="auto"/>
        <w:ind w:firstLine="480" w:firstLineChars="200"/>
        <w:rPr>
          <w:rFonts w:ascii="Arial" w:hAnsi="Arial" w:cs="Arial"/>
          <w:bCs/>
          <w:color w:val="auto"/>
          <w:sz w:val="24"/>
          <w:szCs w:val="24"/>
          <w:highlight w:val="none"/>
        </w:rPr>
      </w:pPr>
      <w:r>
        <w:rPr>
          <w:rFonts w:ascii="Arial" w:hAnsi="Arial" w:cs="Arial"/>
          <w:bCs/>
          <w:color w:val="auto"/>
          <w:sz w:val="24"/>
          <w:highlight w:val="none"/>
        </w:rPr>
        <w:t>（6）</w:t>
      </w:r>
      <w:r>
        <w:rPr>
          <w:rFonts w:ascii="Arial" w:hAnsi="Arial" w:cs="Arial"/>
          <w:bCs/>
          <w:color w:val="auto"/>
          <w:sz w:val="24"/>
          <w:szCs w:val="24"/>
          <w:highlight w:val="none"/>
        </w:rPr>
        <w:t>项目负责人（按网上投标登记时选择拟投标的项目负责人）</w:t>
      </w:r>
    </w:p>
    <w:p>
      <w:pPr>
        <w:spacing w:line="360" w:lineRule="auto"/>
        <w:ind w:firstLine="480" w:firstLineChars="200"/>
        <w:rPr>
          <w:rFonts w:ascii="Arial" w:hAnsi="Arial" w:cs="Arial"/>
          <w:bCs/>
          <w:color w:val="auto"/>
          <w:sz w:val="24"/>
          <w:szCs w:val="24"/>
          <w:highlight w:val="none"/>
        </w:rPr>
      </w:pPr>
      <w:r>
        <w:rPr>
          <w:rFonts w:ascii="Arial" w:hAnsi="Arial" w:cs="Arial"/>
          <w:bCs/>
          <w:color w:val="auto"/>
          <w:sz w:val="24"/>
          <w:szCs w:val="24"/>
          <w:highlight w:val="none"/>
        </w:rPr>
        <w:t>（7）专职安全员（按网上投标登记时选择拟投标的专职安全员）</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（8）拟委托技术负责人的相关证书、资料（具体要求由招标人明确）</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 xml:space="preserve">（9）拟委派项目负责人的建造师注册证书或小型项目负责人相关证明（取自平台内上传件）； </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（10）项目负责人安全培训考核合格证明或在有效期内的安全考核合格证书（B类）或建筑施工企业项目负责人安全生产考核合格证书（取自平台内上传件）</w:t>
      </w:r>
      <w:r>
        <w:rPr>
          <w:rFonts w:ascii="Arial" w:hAnsi="Arial" w:cs="Arial"/>
          <w:bCs/>
          <w:color w:val="auto"/>
          <w:sz w:val="24"/>
          <w:szCs w:val="24"/>
          <w:highlight w:val="none"/>
        </w:rPr>
        <w:t>；</w:t>
      </w:r>
    </w:p>
    <w:p>
      <w:pPr>
        <w:spacing w:line="360" w:lineRule="auto"/>
        <w:ind w:firstLine="480" w:firstLineChars="200"/>
        <w:rPr>
          <w:rFonts w:ascii="Arial" w:hAnsi="Arial" w:cs="Arial"/>
          <w:bCs/>
          <w:color w:val="auto"/>
          <w:sz w:val="24"/>
          <w:szCs w:val="24"/>
          <w:highlight w:val="none"/>
        </w:rPr>
      </w:pPr>
      <w:r>
        <w:rPr>
          <w:rFonts w:ascii="Arial" w:hAnsi="Arial" w:cs="Arial"/>
          <w:bCs/>
          <w:color w:val="auto"/>
          <w:sz w:val="24"/>
          <w:highlight w:val="none"/>
        </w:rPr>
        <w:t>（11）专职安全员须具有在有效期内的安全考核合格证书（C类）或建筑施工企业专职安全生产管理人员安全生产考核合格证书</w:t>
      </w:r>
      <w:r>
        <w:rPr>
          <w:rFonts w:ascii="Arial" w:hAnsi="Arial" w:cs="Arial"/>
          <w:bCs/>
          <w:color w:val="auto"/>
          <w:sz w:val="24"/>
          <w:szCs w:val="24"/>
          <w:highlight w:val="none"/>
        </w:rPr>
        <w:t>（取自平台内上传件）；</w:t>
      </w:r>
    </w:p>
    <w:p>
      <w:pPr>
        <w:spacing w:line="360" w:lineRule="auto"/>
        <w:ind w:firstLine="480" w:firstLineChars="200"/>
        <w:rPr>
          <w:rFonts w:ascii="Arial" w:hAnsi="Arial" w:cs="Arial"/>
          <w:bCs/>
          <w:color w:val="auto"/>
          <w:sz w:val="24"/>
          <w:szCs w:val="24"/>
          <w:highlight w:val="none"/>
        </w:rPr>
      </w:pPr>
      <w:r>
        <w:rPr>
          <w:rFonts w:ascii="Arial" w:hAnsi="Arial" w:cs="Arial"/>
          <w:bCs/>
          <w:color w:val="auto"/>
          <w:sz w:val="24"/>
          <w:szCs w:val="24"/>
          <w:highlight w:val="none"/>
        </w:rPr>
        <w:t>（12）用于资格审查的业绩（设置业绩要求时选择此项，投标人</w:t>
      </w:r>
      <w:r>
        <w:rPr>
          <w:rFonts w:ascii="Arial" w:hAnsi="Arial" w:cs="Arial"/>
          <w:color w:val="auto"/>
          <w:sz w:val="24"/>
          <w:highlight w:val="none"/>
        </w:rPr>
        <w:t>须提供类似工程业绩的项目名称及项目编号，具体格式由招标人自定</w:t>
      </w:r>
      <w:r>
        <w:rPr>
          <w:rFonts w:ascii="Arial" w:hAnsi="Arial" w:cs="Arial"/>
          <w:bCs/>
          <w:color w:val="auto"/>
          <w:sz w:val="24"/>
          <w:szCs w:val="24"/>
          <w:highlight w:val="none"/>
        </w:rPr>
        <w:t>）；</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Arial" w:hAnsi="Arial" w:cs="Arial"/>
          <w:bCs/>
          <w:color w:val="auto"/>
          <w:sz w:val="24"/>
          <w:szCs w:val="24"/>
          <w:highlight w:val="none"/>
        </w:rPr>
      </w:pPr>
      <w:r>
        <w:rPr>
          <w:rFonts w:ascii="Arial" w:hAnsi="Arial" w:cs="Arial"/>
          <w:bCs/>
          <w:color w:val="auto"/>
          <w:sz w:val="24"/>
          <w:szCs w:val="24"/>
          <w:highlight w:val="none"/>
        </w:rPr>
        <w:t>（14）列明主办单位的联合体工作协议（采用联合体投标时需递交，投标人拟任本工程项目负责人应为联合体主办方信用档案中的在册人员，</w:t>
      </w:r>
      <w:r>
        <w:rPr>
          <w:rFonts w:ascii="Arial" w:hAnsi="Arial" w:cs="Arial"/>
          <w:color w:val="auto"/>
          <w:sz w:val="24"/>
          <w:szCs w:val="24"/>
          <w:highlight w:val="none"/>
        </w:rPr>
        <w:t>联合体工作协议应明确约定各方拟承担的工作和责任</w:t>
      </w:r>
      <w:r>
        <w:rPr>
          <w:rFonts w:ascii="Arial" w:hAnsi="Arial" w:cs="Arial"/>
          <w:bCs/>
          <w:color w:val="auto"/>
          <w:sz w:val="24"/>
          <w:szCs w:val="24"/>
          <w:highlight w:val="none"/>
        </w:rPr>
        <w:t xml:space="preserve">）； </w:t>
      </w:r>
    </w:p>
    <w:p>
      <w:pPr>
        <w:spacing w:line="360" w:lineRule="auto"/>
        <w:ind w:firstLine="480" w:firstLineChars="200"/>
        <w:rPr>
          <w:rFonts w:ascii="Arial" w:hAnsi="Arial" w:cs="Arial"/>
          <w:bCs/>
          <w:color w:val="auto"/>
          <w:sz w:val="24"/>
          <w:highlight w:val="none"/>
        </w:rPr>
      </w:pPr>
      <w:r>
        <w:rPr>
          <w:rFonts w:ascii="Arial" w:hAnsi="Arial" w:cs="Arial"/>
          <w:bCs/>
          <w:color w:val="auto"/>
          <w:sz w:val="24"/>
          <w:szCs w:val="24"/>
          <w:highlight w:val="none"/>
        </w:rPr>
        <w:t>（15）</w:t>
      </w:r>
      <w:r>
        <w:rPr>
          <w:rFonts w:ascii="Arial" w:hAnsi="Arial" w:cs="Arial"/>
          <w:color w:val="auto"/>
          <w:sz w:val="24"/>
          <w:szCs w:val="24"/>
          <w:highlight w:val="none"/>
        </w:rPr>
        <w:t>投标人具有在广州地区可使用适合本工程的机械设备的证明文件（</w:t>
      </w:r>
      <w:r>
        <w:rPr>
          <w:rFonts w:ascii="Arial" w:hAnsi="Arial" w:cs="Arial"/>
          <w:color w:val="auto"/>
          <w:sz w:val="24"/>
          <w:highlight w:val="none"/>
        </w:rPr>
        <w:t>提供沥青摊铺机自有发票或权属证明及设备现场全貌彩照（彩照须能反映其规格型号）</w:t>
      </w:r>
      <w:r>
        <w:rPr>
          <w:rFonts w:ascii="Arial" w:hAnsi="Arial" w:cs="Arial"/>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11.2.3项目管理机构配备。</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（1）投标人应列出该项目工程的施工组织机构构成和画出机构框架图及其负责人；</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（3）其他辅助说明资料。</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Arial" w:hAnsi="Arial" w:cs="Arial"/>
          <w:color w:val="auto"/>
          <w:sz w:val="24"/>
          <w:highlight w:val="none"/>
        </w:rPr>
      </w:pPr>
      <w:r>
        <w:rPr>
          <w:rFonts w:ascii="Arial" w:hAnsi="Arial" w:cs="Arial"/>
          <w:color w:val="auto"/>
          <w:sz w:val="24"/>
          <w:highlight w:val="none"/>
        </w:rPr>
        <w:t>11.2.5施工组织设计或施工方案</w:t>
      </w:r>
      <w:r>
        <w:rPr>
          <w:rFonts w:hint="eastAsia" w:ascii="Arial" w:hAnsi="Arial" w:cs="Arial"/>
          <w:b/>
          <w:bCs/>
          <w:color w:val="auto"/>
          <w:sz w:val="24"/>
          <w:highlight w:val="none"/>
        </w:rPr>
        <w:t>（投标人在编制施工组织设计或施工方案时应按照招标人提出的施工现场建筑垃圾源头减量的具体要求以及建筑垃圾综合利用产品的使用要求提供相应措施。）</w:t>
      </w:r>
      <w:r>
        <w:rPr>
          <w:rFonts w:ascii="Arial" w:hAnsi="Arial" w:cs="Arial"/>
          <w:b/>
          <w:bCs/>
          <w:color w:val="auto"/>
          <w:sz w:val="24"/>
          <w:highlight w:val="none"/>
        </w:rPr>
        <w:t>。</w:t>
      </w:r>
    </w:p>
    <w:p>
      <w:pPr>
        <w:tabs>
          <w:tab w:val="left" w:pos="1125"/>
        </w:tabs>
        <w:spacing w:line="360" w:lineRule="auto"/>
        <w:ind w:firstLine="480" w:firstLineChars="200"/>
        <w:rPr>
          <w:rFonts w:ascii="Arial" w:hAnsi="Arial" w:cs="Arial"/>
          <w:color w:val="auto"/>
          <w:sz w:val="24"/>
          <w:highlight w:val="none"/>
        </w:rPr>
      </w:pPr>
      <w:r>
        <w:rPr>
          <w:rFonts w:ascii="Arial" w:hAnsi="Arial" w:cs="Arial"/>
          <w:color w:val="auto"/>
          <w:sz w:val="24"/>
          <w:highlight w:val="none"/>
        </w:rPr>
        <w:t>11.2.6按照</w:t>
      </w:r>
      <w:r>
        <w:rPr>
          <w:rFonts w:ascii="Arial" w:hAnsi="Arial" w:cs="Arial"/>
          <w:bCs/>
          <w:color w:val="auto"/>
          <w:sz w:val="24"/>
          <w:highlight w:val="none"/>
        </w:rPr>
        <w:t>招标文件要求</w:t>
      </w:r>
      <w:r>
        <w:rPr>
          <w:rFonts w:ascii="Arial" w:hAnsi="Arial" w:cs="Arial"/>
          <w:color w:val="auto"/>
          <w:sz w:val="24"/>
          <w:highlight w:val="none"/>
        </w:rPr>
        <w:t>填写的《参与编制技术标投标文件人员名单》。</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11.3 经济部分投标文件主要包括下列内容：</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11.3.1 经济投标文件(按招标文件的要求填写)。</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Arial" w:hAnsi="Arial" w:cs="Arial"/>
          <w:color w:val="auto"/>
          <w:sz w:val="24"/>
          <w:szCs w:val="24"/>
          <w:highlight w:val="none"/>
        </w:rPr>
        <w:t>其中包括如下：</w:t>
      </w:r>
      <w:r>
        <w:rPr>
          <w:rFonts w:ascii="Arial" w:hAnsi="Arial" w:cs="Arial"/>
          <w:color w:val="auto"/>
          <w:sz w:val="24"/>
          <w:highlight w:val="none"/>
        </w:rPr>
        <w:t xml:space="preserve"> </w:t>
      </w:r>
    </w:p>
    <w:p>
      <w:pPr>
        <w:spacing w:line="360" w:lineRule="auto"/>
        <w:ind w:firstLine="566" w:firstLineChars="236"/>
        <w:rPr>
          <w:rFonts w:ascii="Arial" w:hAnsi="Arial" w:cs="Arial"/>
          <w:color w:val="auto"/>
          <w:sz w:val="24"/>
          <w:highlight w:val="none"/>
        </w:rPr>
      </w:pPr>
      <w:r>
        <w:rPr>
          <w:rFonts w:ascii="Arial" w:hAnsi="Arial" w:cs="Arial"/>
          <w:color w:val="auto"/>
          <w:sz w:val="24"/>
          <w:highlight w:val="none"/>
        </w:rPr>
        <w:t>（1）投标总价封面、扉页；</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（2）总说明</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（3）工程项目投标报价汇总表；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（4）单项工程投标报价汇总表；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（5）单位工程投标报价汇总表；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（6）分部分项工程清单与计价表；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（7）单价措施项目清单与计价表；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（8）总价措施项目清单与计价表；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（9）综合单价分析表；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（10）其他项目清单与计价汇总表；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（11）暂列金额明细表；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（12）材料（工程设备）暂估价明细表；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（13）专业工程暂估价明细表；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（14）计日工表；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（15）总承包服务计价表；</w:t>
      </w:r>
    </w:p>
    <w:p>
      <w:pPr>
        <w:spacing w:line="360" w:lineRule="auto"/>
        <w:ind w:firstLine="566" w:firstLineChars="236"/>
        <w:rPr>
          <w:rFonts w:ascii="Arial" w:hAnsi="Arial" w:cs="Arial"/>
          <w:color w:val="auto"/>
          <w:sz w:val="24"/>
          <w:szCs w:val="24"/>
          <w:highlight w:val="none"/>
        </w:rPr>
      </w:pPr>
      <w:r>
        <w:rPr>
          <w:rFonts w:ascii="Arial" w:hAnsi="Arial" w:cs="Arial"/>
          <w:color w:val="auto"/>
          <w:sz w:val="24"/>
          <w:szCs w:val="24"/>
          <w:highlight w:val="none"/>
        </w:rPr>
        <w:t>（16）规费和税金项目计价表；</w:t>
      </w:r>
    </w:p>
    <w:p>
      <w:pPr>
        <w:spacing w:line="360" w:lineRule="auto"/>
        <w:ind w:firstLine="480" w:firstLineChars="200"/>
        <w:rPr>
          <w:rFonts w:ascii="Arial" w:hAnsi="Arial" w:cs="Arial"/>
          <w:color w:val="auto"/>
          <w:sz w:val="24"/>
          <w:highlight w:val="none"/>
        </w:rPr>
      </w:pPr>
      <w:r>
        <w:rPr>
          <w:rFonts w:ascii="Arial" w:hAnsi="Arial" w:cs="Arial"/>
          <w:color w:val="auto"/>
          <w:sz w:val="24"/>
          <w:szCs w:val="24"/>
          <w:highlight w:val="none"/>
        </w:rPr>
        <w:t xml:space="preserve"> （17）人工、主要材料和设备一览表</w:t>
      </w:r>
    </w:p>
    <w:p>
      <w:pPr>
        <w:tabs>
          <w:tab w:val="left" w:pos="1125"/>
        </w:tabs>
        <w:spacing w:line="360" w:lineRule="auto"/>
        <w:ind w:firstLine="480" w:firstLineChars="200"/>
        <w:rPr>
          <w:rFonts w:ascii="Arial" w:hAnsi="Arial" w:cs="Arial"/>
          <w:color w:val="auto"/>
          <w:sz w:val="24"/>
          <w:highlight w:val="none"/>
        </w:rPr>
      </w:pPr>
      <w:r>
        <w:rPr>
          <w:rFonts w:ascii="Arial" w:hAnsi="Arial" w:cs="Arial"/>
          <w:color w:val="auto"/>
          <w:sz w:val="24"/>
          <w:highlight w:val="none"/>
        </w:rPr>
        <w:t>11.3.3按照</w:t>
      </w:r>
      <w:r>
        <w:rPr>
          <w:rFonts w:ascii="Arial" w:hAnsi="Arial" w:cs="Arial"/>
          <w:bCs/>
          <w:color w:val="auto"/>
          <w:sz w:val="24"/>
          <w:highlight w:val="none"/>
        </w:rPr>
        <w:t>招标文件要求</w:t>
      </w:r>
      <w:r>
        <w:rPr>
          <w:rFonts w:ascii="Arial" w:hAnsi="Arial" w:cs="Arial"/>
          <w:color w:val="auto"/>
          <w:sz w:val="24"/>
          <w:highlight w:val="none"/>
        </w:rPr>
        <w:t>填写的《参与编制经济标投标文件人员名单》。</w:t>
      </w:r>
    </w:p>
    <w:p>
      <w:pPr>
        <w:tabs>
          <w:tab w:val="left" w:pos="1125"/>
        </w:tabs>
        <w:spacing w:line="360" w:lineRule="auto"/>
        <w:ind w:firstLine="480" w:firstLineChars="200"/>
        <w:rPr>
          <w:rFonts w:ascii="Arial" w:hAnsi="Arial" w:cs="Arial"/>
          <w:color w:val="auto"/>
          <w:sz w:val="24"/>
          <w:highlight w:val="none"/>
        </w:rPr>
      </w:pPr>
      <w:r>
        <w:rPr>
          <w:rFonts w:ascii="Arial" w:hAnsi="Arial" w:cs="Arial"/>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53"/>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12．投标文件格式</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12.1 投标文件包括本须知第11条中规定的内容，投标人提交的投标文件应当使用招标文件所提供的投标文件全部格式（表格可以按同样格式扩展）。</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ascii="Arial" w:hAnsi="Arial" w:cs="Arial"/>
          <w:color w:val="auto"/>
          <w:sz w:val="24"/>
          <w:szCs w:val="24"/>
          <w:highlight w:val="none"/>
        </w:rPr>
        <w:t>全流程电子化项目的相关指南进行操作。详见：</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 。</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12.3 </w:t>
      </w:r>
      <w:r>
        <w:rPr>
          <w:rFonts w:ascii="Arial" w:hAnsi="Arial" w:cs="Arial"/>
          <w:bCs/>
          <w:color w:val="auto"/>
          <w:sz w:val="24"/>
          <w:szCs w:val="24"/>
          <w:highlight w:val="none"/>
        </w:rPr>
        <w:t>投标文件应按</w:t>
      </w:r>
      <w:r>
        <w:rPr>
          <w:rFonts w:ascii="Arial" w:hAnsi="Arial" w:cs="Arial"/>
          <w:color w:val="auto"/>
          <w:sz w:val="24"/>
          <w:highlight w:val="none"/>
        </w:rPr>
        <w:t>照交易平台关于全流程电子化项目的相关指南进行编制，详见：</w:t>
      </w:r>
      <w:r>
        <w:rPr>
          <w:rFonts w:ascii="Arial" w:hAnsi="Arial" w:cs="Arial"/>
          <w:color w:val="auto"/>
          <w:sz w:val="24"/>
          <w:szCs w:val="24"/>
          <w:highlight w:val="none"/>
          <w:u w:val="single"/>
        </w:rPr>
        <w:t xml:space="preserve">            </w:t>
      </w:r>
      <w:r>
        <w:rPr>
          <w:rFonts w:ascii="Arial" w:hAnsi="Arial" w:cs="Arial"/>
          <w:color w:val="auto"/>
          <w:sz w:val="24"/>
          <w:highlight w:val="none"/>
        </w:rPr>
        <w:t xml:space="preserve">。               </w:t>
      </w:r>
    </w:p>
    <w:p>
      <w:pPr>
        <w:pStyle w:val="53"/>
        <w:spacing w:after="0" w:line="360" w:lineRule="auto"/>
        <w:ind w:firstLine="0"/>
        <w:rPr>
          <w:rFonts w:ascii="Arial" w:hAnsi="Arial" w:cs="Arial"/>
          <w:color w:val="auto"/>
          <w:sz w:val="24"/>
          <w:highlight w:val="none"/>
        </w:rPr>
      </w:pPr>
      <w:r>
        <w:rPr>
          <w:rFonts w:ascii="Arial" w:hAnsi="Arial" w:cs="Arial"/>
          <w:bCs/>
          <w:color w:val="auto"/>
          <w:sz w:val="24"/>
          <w:szCs w:val="24"/>
          <w:highlight w:val="none"/>
        </w:rPr>
        <w:t>如不按上述要求编制引起系统无法检索、读取相关信息的，其后果由投标人承担。</w:t>
      </w:r>
    </w:p>
    <w:p>
      <w:pPr>
        <w:pStyle w:val="53"/>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13．投标报价及造价承包和变更结算方式</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13.1 本工程的投标报价采用投标须知前附表第12项所规定的方式。投标报价（含单价及总价）精确到“分”。</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ascii="Arial" w:hAnsi="Arial" w:cs="Arial"/>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13.5.1中标的投标文件工程量清单中已有相同项目的适用综合单价，则沿用；</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13.5.3 中标的投标文件工程量清单中没有相同项目或类似项目的，如可套取相关定额，则以相关定额为基数下浮计算单价,下浮率为中标价</w:t>
      </w:r>
      <w:r>
        <w:rPr>
          <w:rFonts w:ascii="Arial" w:hAnsi="Arial" w:cs="Arial"/>
          <w:color w:val="auto"/>
          <w:sz w:val="24"/>
          <w:szCs w:val="24"/>
          <w:highlight w:val="none"/>
        </w:rPr>
        <w:t>相对于最高投标限价的下</w:t>
      </w:r>
      <w:r>
        <w:rPr>
          <w:rFonts w:ascii="Arial" w:hAnsi="Arial" w:cs="Arial"/>
          <w:color w:val="auto"/>
          <w:sz w:val="24"/>
          <w:highlight w:val="none"/>
        </w:rPr>
        <w:t>浮率（下浮率=(</w:t>
      </w:r>
      <w:r>
        <w:rPr>
          <w:rFonts w:ascii="Arial" w:hAnsi="Arial" w:cs="Arial"/>
          <w:color w:val="auto"/>
          <w:sz w:val="24"/>
          <w:szCs w:val="24"/>
          <w:highlight w:val="none"/>
        </w:rPr>
        <w:t>最高投标限价</w:t>
      </w:r>
      <w:r>
        <w:rPr>
          <w:rFonts w:ascii="Arial" w:hAnsi="Arial" w:cs="Arial"/>
          <w:color w:val="auto"/>
          <w:sz w:val="24"/>
          <w:highlight w:val="none"/>
        </w:rPr>
        <w:t>-中标价)/</w:t>
      </w:r>
      <w:r>
        <w:rPr>
          <w:rFonts w:ascii="Arial" w:hAnsi="Arial" w:cs="Arial"/>
          <w:color w:val="auto"/>
          <w:sz w:val="24"/>
          <w:szCs w:val="24"/>
          <w:highlight w:val="none"/>
        </w:rPr>
        <w:t xml:space="preserve"> 最高投标限价</w:t>
      </w:r>
      <w:r>
        <w:rPr>
          <w:rFonts w:ascii="Arial" w:hAnsi="Arial" w:cs="Arial"/>
          <w:color w:val="auto"/>
          <w:sz w:val="24"/>
          <w:highlight w:val="none"/>
        </w:rPr>
        <w:t>）。</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13.5.4 如相关定额没有相应子目的，其计价方式由招标人在本招标文件第三章中另行规定。未规定的，中标后双方协商约定。</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13.6暂列金额、暂估价</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暂估价是指招标人在工程量清单中提供的用于支付必然发生但暂时不能确定价格的材料的单价以及专业工程的金额。</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53"/>
        <w:spacing w:after="0" w:line="360" w:lineRule="auto"/>
        <w:ind w:firstLine="480" w:firstLineChars="200"/>
        <w:rPr>
          <w:rFonts w:ascii="Arial" w:hAnsi="Arial" w:cs="Arial"/>
          <w:color w:val="auto"/>
          <w:sz w:val="24"/>
          <w:szCs w:val="24"/>
          <w:highlight w:val="none"/>
        </w:rPr>
      </w:pPr>
      <w:r>
        <w:rPr>
          <w:rFonts w:ascii="Arial" w:hAnsi="Arial" w:cs="Arial"/>
          <w:color w:val="auto"/>
          <w:sz w:val="24"/>
          <w:highlight w:val="none"/>
        </w:rPr>
        <w:t>13.9</w:t>
      </w:r>
      <w:r>
        <w:rPr>
          <w:rFonts w:ascii="Arial" w:hAnsi="Arial" w:cs="Arial"/>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3"/>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14．投标货币</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14.1 本工程投标报价采用的币种为人民币。</w:t>
      </w:r>
    </w:p>
    <w:p>
      <w:pPr>
        <w:pStyle w:val="53"/>
        <w:spacing w:after="0" w:line="360" w:lineRule="auto"/>
        <w:ind w:firstLine="482" w:firstLineChars="200"/>
        <w:rPr>
          <w:rFonts w:ascii="Arial" w:hAnsi="Arial" w:cs="Arial"/>
          <w:color w:val="auto"/>
          <w:sz w:val="24"/>
          <w:highlight w:val="none"/>
        </w:rPr>
      </w:pPr>
      <w:r>
        <w:rPr>
          <w:rFonts w:ascii="Arial" w:hAnsi="Arial" w:cs="Arial"/>
          <w:b/>
          <w:bCs/>
          <w:color w:val="auto"/>
          <w:sz w:val="24"/>
          <w:highlight w:val="none"/>
        </w:rPr>
        <w:t>15．投标有效期</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15.1 投标有效期见投标须知前附表第13项所规定的期限，在此期限内，凡符合本招标文件要求的投标文件均保持有效。</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53"/>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16．投标保证金</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16.1投标人应按投标须知前附表第14项所述金额和时间递交</w:t>
      </w:r>
      <w:r>
        <w:rPr>
          <w:rFonts w:ascii="Arial" w:hAnsi="Arial" w:cs="Arial"/>
          <w:bCs/>
          <w:color w:val="auto"/>
          <w:sz w:val="24"/>
          <w:highlight w:val="none"/>
        </w:rPr>
        <w:t>投标保证金</w:t>
      </w:r>
      <w:r>
        <w:rPr>
          <w:rFonts w:ascii="Arial" w:hAnsi="Arial" w:cs="Arial"/>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16.1.1 采用现金或者支票形式提交的，投标保证金须从投标人的银行基本账户转出。</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16.3投标保证金应依据法律法规的相关规定退还。</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16.4.1因投标人原因造成投标文件未解密的；</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16.4.2投标人在投标有效期内撤销投标文件；</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16.4.3中标人未能在规定期限内按要求提交履约担保；</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16.4.4中标人未能在规定期限内签署合同协议。</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16.5.1投标人存在16.4条款所列情形且投标人提交的保函、担保或保证保险无法兑付的；</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16.5.3按招标文件要求免于提供投标保证金的投标人存在16.4条款所列情形的。</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注：16.5.3款由招标人二选一，需在招标文件中明确。</w:t>
      </w:r>
    </w:p>
    <w:p>
      <w:pPr>
        <w:pStyle w:val="53"/>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17．投标文件的签署</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Arial" w:hAnsi="Arial" w:cs="Arial"/>
          <w:color w:val="auto"/>
          <w:sz w:val="24"/>
          <w:highlight w:val="none"/>
          <w:u w:val="single"/>
        </w:rPr>
        <w:t xml:space="preserve">            </w:t>
      </w:r>
      <w:r>
        <w:rPr>
          <w:rFonts w:ascii="Arial" w:hAnsi="Arial" w:cs="Arial"/>
          <w:color w:val="auto"/>
          <w:sz w:val="24"/>
          <w:highlight w:val="none"/>
        </w:rPr>
        <w:t xml:space="preserve"> 。</w:t>
      </w:r>
    </w:p>
    <w:p>
      <w:pPr>
        <w:pStyle w:val="6"/>
        <w:spacing w:before="156" w:after="156"/>
        <w:rPr>
          <w:rFonts w:ascii="Arial" w:hAnsi="Arial" w:cs="Arial"/>
          <w:color w:val="auto"/>
          <w:highlight w:val="none"/>
        </w:rPr>
      </w:pPr>
      <w:bookmarkStart w:id="14" w:name="_Toc101266285"/>
      <w:bookmarkStart w:id="15" w:name="_Toc2272552"/>
      <w:r>
        <w:rPr>
          <w:rFonts w:ascii="Arial" w:hAnsi="Arial" w:cs="Arial"/>
          <w:color w:val="auto"/>
          <w:highlight w:val="none"/>
        </w:rPr>
        <w:t>（四）投标文件的提交</w:t>
      </w:r>
      <w:bookmarkEnd w:id="14"/>
      <w:bookmarkEnd w:id="15"/>
    </w:p>
    <w:p>
      <w:pPr>
        <w:pStyle w:val="53"/>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18．</w:t>
      </w:r>
      <w:r>
        <w:rPr>
          <w:rFonts w:ascii="Arial" w:hAnsi="Arial" w:cs="Arial"/>
          <w:b/>
          <w:color w:val="auto"/>
          <w:sz w:val="24"/>
          <w:szCs w:val="24"/>
          <w:highlight w:val="none"/>
        </w:rPr>
        <w:t>投标文件的密封和标记</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18.1递交的电子投标文件（不含备用光盘）必须进行加密。按照交易平台关于</w:t>
      </w:r>
      <w:r>
        <w:rPr>
          <w:rFonts w:ascii="Arial" w:hAnsi="Arial" w:cs="Arial"/>
          <w:color w:val="auto"/>
          <w:sz w:val="24"/>
          <w:szCs w:val="24"/>
          <w:highlight w:val="none"/>
        </w:rPr>
        <w:t>全流程电子化项目的相关指南进行操作。详见：</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 。</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18.2 未按要求加密的投标文件，</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bCs/>
          <w:color w:val="auto"/>
          <w:sz w:val="24"/>
          <w:highlight w:val="none"/>
        </w:rPr>
        <w:t>将予以拒收。</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19．投标文件的递交和接收</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19.1投标人通过</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递交电子投标文件。</w:t>
      </w:r>
    </w:p>
    <w:p>
      <w:pPr>
        <w:spacing w:line="360" w:lineRule="auto"/>
        <w:ind w:firstLine="480" w:firstLineChars="200"/>
        <w:rPr>
          <w:rFonts w:ascii="Arial" w:hAnsi="Arial" w:cs="Arial"/>
          <w:bCs/>
          <w:color w:val="auto"/>
          <w:sz w:val="24"/>
          <w:highlight w:val="none"/>
        </w:rPr>
      </w:pPr>
      <w:r>
        <w:rPr>
          <w:rFonts w:ascii="Arial" w:hAnsi="Arial" w:cs="Arial"/>
          <w:bCs/>
          <w:color w:val="auto"/>
          <w:sz w:val="24"/>
          <w:highlight w:val="none"/>
        </w:rPr>
        <w:t>19.2投标人完成电子</w:t>
      </w:r>
      <w:r>
        <w:rPr>
          <w:rFonts w:ascii="Arial" w:hAnsi="Arial" w:cs="Arial"/>
          <w:color w:val="auto"/>
          <w:sz w:val="24"/>
          <w:highlight w:val="none"/>
        </w:rPr>
        <w:t>投标文件</w:t>
      </w:r>
      <w:r>
        <w:rPr>
          <w:rFonts w:ascii="Arial" w:hAnsi="Arial" w:cs="Arial"/>
          <w:bCs/>
          <w:color w:val="auto"/>
          <w:sz w:val="24"/>
          <w:highlight w:val="none"/>
        </w:rPr>
        <w:t>上传后，</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即时向投标人发出递交回执通知。递交时间以递交回执通知载明的传输完成时间为准。</w:t>
      </w:r>
    </w:p>
    <w:p>
      <w:pPr>
        <w:spacing w:line="360" w:lineRule="auto"/>
        <w:ind w:firstLine="480" w:firstLineChars="200"/>
        <w:rPr>
          <w:rFonts w:ascii="Arial" w:hAnsi="Arial" w:cs="Arial"/>
          <w:color w:val="auto"/>
          <w:sz w:val="24"/>
          <w:highlight w:val="none"/>
        </w:rPr>
      </w:pPr>
      <w:r>
        <w:rPr>
          <w:rFonts w:ascii="Arial" w:hAnsi="Arial" w:cs="Arial"/>
          <w:bCs/>
          <w:color w:val="auto"/>
          <w:sz w:val="24"/>
          <w:highlight w:val="none"/>
        </w:rPr>
        <w:t>19.3</w:t>
      </w:r>
      <w:r>
        <w:rPr>
          <w:rFonts w:ascii="Arial" w:hAnsi="Arial" w:cs="Arial"/>
          <w:bCs/>
          <w:color w:val="auto"/>
          <w:sz w:val="24"/>
          <w:szCs w:val="24"/>
          <w:highlight w:val="none"/>
        </w:rPr>
        <w:t>逾期送达的</w:t>
      </w:r>
      <w:r>
        <w:rPr>
          <w:rFonts w:ascii="Arial" w:hAnsi="Arial" w:cs="Arial"/>
          <w:bCs/>
          <w:color w:val="auto"/>
          <w:sz w:val="24"/>
          <w:highlight w:val="none"/>
        </w:rPr>
        <w:t>电子投标文件，</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将予以拒收。</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 xml:space="preserve">19.4 </w:t>
      </w:r>
      <w:r>
        <w:rPr>
          <w:rFonts w:ascii="Arial" w:hAnsi="Arial" w:cs="Arial"/>
          <w:color w:val="auto"/>
          <w:sz w:val="24"/>
          <w:szCs w:val="24"/>
          <w:highlight w:val="none"/>
        </w:rPr>
        <w:t>投标截止前，招标人拒绝接收符合条件的投标文件，投标人可向招标投标监督机构投诉。</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19.5如技术标和经济标先后分别开启，</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将按招标文件规定的时间分别开启技术标和经济标。</w:t>
      </w:r>
    </w:p>
    <w:p>
      <w:pPr>
        <w:spacing w:line="360" w:lineRule="auto"/>
        <w:ind w:firstLine="480" w:firstLineChars="200"/>
        <w:rPr>
          <w:rFonts w:ascii="Arial" w:hAnsi="Arial" w:cs="Arial"/>
          <w:color w:val="auto"/>
          <w:sz w:val="24"/>
          <w:highlight w:val="none"/>
        </w:rPr>
      </w:pPr>
      <w:r>
        <w:rPr>
          <w:rFonts w:ascii="Arial" w:hAnsi="Arial" w:cs="Arial"/>
          <w:color w:val="auto"/>
          <w:sz w:val="24"/>
          <w:szCs w:val="24"/>
          <w:highlight w:val="none"/>
        </w:rPr>
        <w:t>19.6在规定的时间内，项目负责人须到自助签到。按照交易平台有关项目负责人自助签到流程进行操作。项目负责人凡未凭身份证按时到达指定地点签到的，</w:t>
      </w:r>
      <w:r>
        <w:rPr>
          <w:rFonts w:ascii="Arial" w:hAnsi="Arial" w:cs="Arial"/>
          <w:color w:val="auto"/>
          <w:sz w:val="24"/>
          <w:highlight w:val="none"/>
        </w:rPr>
        <w:t>该投标文件将不能参与资格审查和评标</w:t>
      </w:r>
      <w:r>
        <w:rPr>
          <w:rFonts w:ascii="Arial" w:hAnsi="Arial" w:cs="Arial"/>
          <w:color w:val="auto"/>
          <w:sz w:val="24"/>
          <w:szCs w:val="24"/>
          <w:highlight w:val="none"/>
        </w:rPr>
        <w:t>（选择性条款）。</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20．投标文件提交的截止时间</w:t>
      </w:r>
    </w:p>
    <w:p>
      <w:pPr>
        <w:spacing w:line="360" w:lineRule="auto"/>
        <w:ind w:firstLine="480" w:firstLineChars="200"/>
        <w:rPr>
          <w:rFonts w:ascii="Arial" w:hAnsi="Arial" w:cs="Arial"/>
          <w:b/>
          <w:bCs/>
          <w:color w:val="auto"/>
          <w:sz w:val="24"/>
          <w:highlight w:val="none"/>
        </w:rPr>
      </w:pPr>
      <w:r>
        <w:rPr>
          <w:rFonts w:ascii="Arial" w:hAnsi="Arial" w:cs="Arial"/>
          <w:color w:val="auto"/>
          <w:sz w:val="24"/>
          <w:highlight w:val="none"/>
        </w:rPr>
        <w:t>20.1投标人应在投标须知前附表第17项所述的时间前提交投标文件。</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20.3 到投标截止时间止，招标人收到的投标文件少于3家的，招标人将重新组织招标</w:t>
      </w:r>
      <w:r>
        <w:rPr>
          <w:rFonts w:ascii="Arial" w:hAnsi="Arial" w:cs="Arial"/>
          <w:color w:val="auto"/>
          <w:sz w:val="24"/>
          <w:szCs w:val="24"/>
          <w:highlight w:val="none"/>
        </w:rPr>
        <w:t>（当N个标段同时招标且不允许兼中时，若有效投标人不足N+2家，则重新组织招标）</w:t>
      </w:r>
      <w:r>
        <w:rPr>
          <w:rFonts w:ascii="Arial" w:hAnsi="Arial" w:cs="Arial"/>
          <w:color w:val="auto"/>
          <w:sz w:val="24"/>
          <w:highlight w:val="none"/>
        </w:rPr>
        <w:t>。</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21．迟交的投标文件</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21.1 本须知前附表第17项规定的投标截止时间</w:t>
      </w:r>
      <w:r>
        <w:rPr>
          <w:rFonts w:ascii="Arial" w:hAnsi="Arial" w:cs="Arial"/>
          <w:bCs/>
          <w:color w:val="auto"/>
          <w:sz w:val="24"/>
          <w:szCs w:val="24"/>
          <w:highlight w:val="none"/>
        </w:rPr>
        <w:t>后送达的</w:t>
      </w:r>
      <w:r>
        <w:rPr>
          <w:rFonts w:ascii="Arial" w:hAnsi="Arial" w:cs="Arial"/>
          <w:bCs/>
          <w:color w:val="auto"/>
          <w:sz w:val="24"/>
          <w:highlight w:val="none"/>
        </w:rPr>
        <w:t>电子投标文件，</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将予以拒收。</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22．投标文件的修改与撤回</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22.1在规定的投标截止时间前，投标人可以修改或撤回已递交的投标文件，但应以书面形式通知招标人。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22.2投标人修改或撤回已递交的投标文件，需在</w:t>
      </w:r>
      <w:r>
        <w:rPr>
          <w:rFonts w:ascii="Arial" w:hAnsi="Arial" w:cs="Arial"/>
          <w:color w:val="auto"/>
          <w:sz w:val="24"/>
          <w:highlight w:val="none"/>
        </w:rPr>
        <w:t>交易平台发出修改或撤回</w:t>
      </w:r>
      <w:r>
        <w:rPr>
          <w:rFonts w:ascii="Arial" w:hAnsi="Arial" w:cs="Arial"/>
          <w:color w:val="auto"/>
          <w:sz w:val="24"/>
          <w:szCs w:val="24"/>
          <w:highlight w:val="none"/>
        </w:rPr>
        <w:t>通知，并按要求加盖电子印章。</w:t>
      </w:r>
      <w:r>
        <w:rPr>
          <w:rFonts w:ascii="Arial" w:hAnsi="Arial" w:cs="Arial"/>
          <w:bCs/>
          <w:iCs/>
          <w:color w:val="auto"/>
          <w:sz w:val="24"/>
          <w:szCs w:val="24"/>
          <w:highlight w:val="none"/>
        </w:rPr>
        <w:t>电子招标投标交易平台收到通知后，</w:t>
      </w:r>
      <w:r>
        <w:rPr>
          <w:rFonts w:ascii="Arial" w:hAnsi="Arial" w:cs="Arial"/>
          <w:color w:val="auto"/>
          <w:sz w:val="24"/>
          <w:szCs w:val="24"/>
          <w:highlight w:val="none"/>
        </w:rPr>
        <w:t>即时向投标人发出确认回执通知。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22.3修改后再次递交的，按19点的规定执行。</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22.4 在投标截止时间之后，投标人不得补充、修改和更换投标文件。</w:t>
      </w:r>
    </w:p>
    <w:p>
      <w:pPr>
        <w:pStyle w:val="6"/>
        <w:spacing w:before="156" w:after="156"/>
        <w:rPr>
          <w:rFonts w:ascii="Arial" w:hAnsi="Arial" w:cs="Arial"/>
          <w:color w:val="auto"/>
          <w:highlight w:val="none"/>
        </w:rPr>
      </w:pPr>
      <w:bookmarkStart w:id="16" w:name="_Toc2272553"/>
      <w:bookmarkStart w:id="17" w:name="_Toc101266286"/>
      <w:r>
        <w:rPr>
          <w:rFonts w:ascii="Arial" w:hAnsi="Arial" w:cs="Arial"/>
          <w:color w:val="auto"/>
          <w:highlight w:val="none"/>
        </w:rPr>
        <w:t>（五）开标、评标、定标及合同签定</w:t>
      </w:r>
      <w:bookmarkEnd w:id="16"/>
      <w:bookmarkEnd w:id="17"/>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23、开标。</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详见第二章开标、评标及定标办法</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24．评标过程的保密</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24.2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25．投标文件的澄清，计算错误的修正</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详见招标文件第二章开标、评标及定标办法</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26．投标文件的评审、比较和否决</w:t>
      </w:r>
    </w:p>
    <w:p>
      <w:pPr>
        <w:spacing w:line="360" w:lineRule="auto"/>
        <w:ind w:firstLine="480" w:firstLineChars="200"/>
        <w:rPr>
          <w:rFonts w:ascii="Arial" w:hAnsi="Arial" w:cs="Arial"/>
          <w:bCs/>
          <w:color w:val="auto"/>
          <w:sz w:val="24"/>
          <w:szCs w:val="24"/>
          <w:highlight w:val="none"/>
        </w:rPr>
      </w:pPr>
      <w:r>
        <w:rPr>
          <w:rFonts w:ascii="Arial" w:hAnsi="Arial" w:cs="Arial"/>
          <w:color w:val="auto"/>
          <w:sz w:val="24"/>
          <w:highlight w:val="none"/>
        </w:rPr>
        <w:t>详见招标文件第二章开标、评标及定标办法。</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27．中标通知书</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27.1招标人将在</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、广东省招标投标监管网和中国招标投标公共服务平台公示中标候选人，公示期为三天。</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27.3中标人必须在收到中标通知书后24小时之内以书面形式回复招标人，确认收到。</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27.4在产生中标候选人后，招标人将中标候选人的投标文件商务部分文件的所有内容（包括报价清单、人员、业绩、奖项等资料）在</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交易平台和广东省招标投标监管网</w:t>
      </w:r>
      <w:r>
        <w:rPr>
          <w:rFonts w:ascii="Arial" w:hAnsi="Arial" w:cs="Arial"/>
          <w:color w:val="auto"/>
          <w:sz w:val="24"/>
          <w:highlight w:val="none"/>
        </w:rPr>
        <w:t>公开。</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28．合同协议书的签订</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28.4招标人支付工程款时，中标人应按规定开具发票。</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29．履约担保</w:t>
      </w:r>
    </w:p>
    <w:p>
      <w:pPr>
        <w:snapToGrid w:val="0"/>
        <w:spacing w:line="360" w:lineRule="auto"/>
        <w:ind w:firstLine="480" w:firstLineChars="200"/>
        <w:rPr>
          <w:rFonts w:ascii="Arial" w:hAnsi="Arial" w:cs="Arial"/>
          <w:color w:val="auto"/>
          <w:sz w:val="24"/>
          <w:highlight w:val="none"/>
        </w:rPr>
      </w:pPr>
      <w:r>
        <w:rPr>
          <w:rFonts w:ascii="Arial" w:hAnsi="Arial" w:cs="Arial"/>
          <w:color w:val="auto"/>
          <w:sz w:val="24"/>
          <w:highlight w:val="none"/>
        </w:rPr>
        <w:t>29.1 在收到中标通知书后的</w:t>
      </w:r>
      <w:r>
        <w:rPr>
          <w:rFonts w:ascii="Arial" w:hAnsi="Arial" w:cs="Arial"/>
          <w:b/>
          <w:color w:val="auto"/>
          <w:sz w:val="24"/>
          <w:highlight w:val="none"/>
        </w:rPr>
        <w:t>15日</w:t>
      </w:r>
      <w:r>
        <w:rPr>
          <w:rFonts w:ascii="Arial" w:hAnsi="Arial" w:cs="Arial"/>
          <w:color w:val="auto"/>
          <w:sz w:val="24"/>
          <w:highlight w:val="none"/>
        </w:rPr>
        <w:t>内，中标人应按本须知前附表第20项的规定向招标人提交履约担保。</w:t>
      </w:r>
    </w:p>
    <w:p>
      <w:pPr>
        <w:snapToGrid w:val="0"/>
        <w:spacing w:line="360" w:lineRule="auto"/>
        <w:ind w:firstLine="480" w:firstLineChars="200"/>
        <w:rPr>
          <w:rFonts w:ascii="Arial" w:hAnsi="Arial" w:cs="Arial"/>
          <w:color w:val="auto"/>
          <w:sz w:val="24"/>
          <w:highlight w:val="none"/>
        </w:rPr>
      </w:pPr>
      <w:r>
        <w:rPr>
          <w:rFonts w:ascii="Arial" w:hAnsi="Arial" w:cs="Arial"/>
          <w:color w:val="auto"/>
          <w:sz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30．合同生效</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30.1在合同双方全权代表在合同协议书上签字，并分别加盖双方单位的公章后，合同正式生效。</w:t>
      </w:r>
    </w:p>
    <w:p>
      <w:pPr>
        <w:spacing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31．其它费用</w:t>
      </w:r>
    </w:p>
    <w:p>
      <w:pPr>
        <w:pStyle w:val="53"/>
        <w:spacing w:after="0" w:line="360" w:lineRule="auto"/>
        <w:ind w:firstLine="482" w:firstLineChars="200"/>
        <w:rPr>
          <w:rFonts w:ascii="Arial" w:hAnsi="Arial" w:cs="Arial"/>
          <w:b/>
          <w:bCs/>
          <w:color w:val="auto"/>
          <w:sz w:val="24"/>
          <w:highlight w:val="none"/>
        </w:rPr>
      </w:pPr>
      <w:r>
        <w:rPr>
          <w:rFonts w:ascii="Arial" w:hAnsi="Arial" w:cs="Arial"/>
          <w:b/>
          <w:bCs/>
          <w:color w:val="auto"/>
          <w:sz w:val="24"/>
          <w:highlight w:val="none"/>
        </w:rPr>
        <w:t>32．腐败与欺诈行为</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在招标和合同实施期间，招标人要求投标人和承包人遵守最高的道德标准。</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32．1对本条款的规定，特定义如下词汇：</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1）、“腐败行为”是指在招标或合同执行期间，通过提供、给予、接受或索要任何有价值的东西，从而影响招标人有关人员工作的行为；</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32．2如果投标人被认定在本招标的竞争中有腐败或欺诈行为，则会被取消投标资格。</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40" w:firstLineChars="224"/>
        <w:rPr>
          <w:rFonts w:ascii="Arial" w:hAnsi="Arial" w:cs="Arial"/>
          <w:b/>
          <w:color w:val="auto"/>
          <w:sz w:val="24"/>
          <w:highlight w:val="none"/>
        </w:rPr>
      </w:pPr>
      <w:r>
        <w:rPr>
          <w:rFonts w:ascii="Arial" w:hAnsi="Arial" w:cs="Arial"/>
          <w:b/>
          <w:color w:val="auto"/>
          <w:sz w:val="24"/>
          <w:highlight w:val="none"/>
        </w:rPr>
        <w:t>33. 投标人信誉的要求</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存在下列情形之一的，招标人可以限制其投标（需在招标文件中明确评定方法）</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（1）被住房城乡建设行政主管部门在全国建筑市场监管一体化工作平台列入建筑市场主体“黑名单”；</w:t>
      </w:r>
    </w:p>
    <w:p>
      <w:pPr>
        <w:pStyle w:val="53"/>
        <w:spacing w:after="0" w:line="360" w:lineRule="auto"/>
        <w:ind w:firstLine="480" w:firstLineChars="200"/>
        <w:rPr>
          <w:rFonts w:ascii="Arial" w:hAnsi="Arial" w:cs="Arial"/>
          <w:color w:val="auto"/>
          <w:sz w:val="24"/>
          <w:highlight w:val="none"/>
        </w:rPr>
      </w:pPr>
      <w:r>
        <w:rPr>
          <w:rFonts w:ascii="Arial" w:hAnsi="Arial" w:cs="Arial"/>
          <w:color w:val="auto"/>
          <w:sz w:val="24"/>
          <w:highlight w:val="none"/>
        </w:rPr>
        <w:t>（2）被发改委、人力资源社会保障、质检总局等有关部门、单位在“信用中国”网站中列入联合惩戒失信黑名单。</w:t>
      </w:r>
    </w:p>
    <w:p>
      <w:pPr>
        <w:pStyle w:val="3"/>
        <w:rPr>
          <w:rFonts w:cs="Arial"/>
          <w:color w:val="auto"/>
          <w:highlight w:val="none"/>
        </w:rPr>
      </w:pPr>
      <w:r>
        <w:rPr>
          <w:rFonts w:cs="Arial"/>
          <w:color w:val="auto"/>
          <w:sz w:val="24"/>
          <w:highlight w:val="none"/>
        </w:rPr>
        <w:br w:type="page"/>
      </w:r>
      <w:bookmarkStart w:id="18" w:name="_Toc2272554"/>
      <w:bookmarkStart w:id="19" w:name="_Toc101266287"/>
      <w:r>
        <w:rPr>
          <w:rFonts w:cs="Arial"/>
          <w:color w:val="auto"/>
          <w:highlight w:val="none"/>
        </w:rPr>
        <w:t>第二章  开标、评标及定标办法</w:t>
      </w:r>
      <w:bookmarkEnd w:id="18"/>
      <w:bookmarkEnd w:id="19"/>
    </w:p>
    <w:p>
      <w:pPr>
        <w:pStyle w:val="4"/>
        <w:rPr>
          <w:rFonts w:cs="Arial"/>
          <w:color w:val="auto"/>
          <w:highlight w:val="none"/>
        </w:rPr>
      </w:pPr>
      <w:bookmarkStart w:id="20" w:name="_Toc2272555"/>
      <w:bookmarkStart w:id="21" w:name="_Toc101266288"/>
      <w:r>
        <w:rPr>
          <w:rFonts w:cs="Arial"/>
          <w:color w:val="auto"/>
          <w:sz w:val="28"/>
          <w:szCs w:val="28"/>
          <w:highlight w:val="none"/>
        </w:rPr>
        <w:t>一、</w:t>
      </w:r>
      <w:r>
        <w:rPr>
          <w:rFonts w:cs="Arial"/>
          <w:color w:val="auto"/>
          <w:highlight w:val="none"/>
        </w:rPr>
        <w:t>开标、评标及定标办法修改表</w:t>
      </w:r>
      <w:bookmarkEnd w:id="20"/>
      <w:bookmarkEnd w:id="21"/>
    </w:p>
    <w:p>
      <w:pPr>
        <w:pStyle w:val="53"/>
        <w:spacing w:after="0" w:line="360" w:lineRule="auto"/>
        <w:rPr>
          <w:rFonts w:ascii="Arial" w:hAnsi="Arial" w:cs="Arial"/>
          <w:b/>
          <w:color w:val="auto"/>
          <w:szCs w:val="21"/>
          <w:highlight w:val="none"/>
        </w:rPr>
      </w:pPr>
      <w:r>
        <w:rPr>
          <w:rFonts w:ascii="Arial" w:hAnsi="Arial" w:cs="Arial"/>
          <w:b/>
          <w:color w:val="auto"/>
          <w:szCs w:val="21"/>
          <w:highlight w:val="none"/>
        </w:rPr>
        <w:t>声明：本</w:t>
      </w:r>
      <w:r>
        <w:rPr>
          <w:rFonts w:ascii="Arial" w:hAnsi="Arial" w:cs="Arial"/>
          <w:b/>
          <w:color w:val="auto"/>
          <w:highlight w:val="none"/>
        </w:rPr>
        <w:t>开标、评标及定标办法使用GZZB2018-3招标文件范本的开标、评标及定标办法通用条款，与该通用条款不同之处，均在本表中列明，并以现文为准，原</w:t>
      </w:r>
      <w:r>
        <w:rPr>
          <w:rFonts w:ascii="Arial" w:hAnsi="Arial" w:cs="Arial"/>
          <w:b/>
          <w:color w:val="auto"/>
          <w:szCs w:val="21"/>
          <w:highlight w:val="none"/>
        </w:rPr>
        <w:t>文不再有效。本招标文件中不再转录</w:t>
      </w:r>
      <w:r>
        <w:rPr>
          <w:rFonts w:ascii="Arial" w:hAnsi="Arial" w:cs="Arial"/>
          <w:b/>
          <w:color w:val="auto"/>
          <w:highlight w:val="none"/>
        </w:rPr>
        <w:t>开标、评标及定标办法</w:t>
      </w:r>
      <w:r>
        <w:rPr>
          <w:rFonts w:ascii="Arial" w:hAnsi="Arial" w:cs="Arial"/>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Fonts w:hint="eastAsia"/>
          <w:color w:val="auto"/>
          <w:highlight w:val="none"/>
        </w:rPr>
        <w:t>http://zfcj.gz.gov.cn/</w:t>
      </w:r>
      <w:r>
        <w:rPr>
          <w:rStyle w:val="64"/>
          <w:rFonts w:ascii="Arial" w:hAnsi="Arial" w:cs="Arial"/>
          <w:b/>
          <w:color w:val="auto"/>
          <w:szCs w:val="21"/>
          <w:highlight w:val="none"/>
        </w:rPr>
        <w:t>）下载GZZB2018-3</w:t>
      </w:r>
      <w:r>
        <w:rPr>
          <w:rStyle w:val="64"/>
          <w:rFonts w:ascii="Arial" w:hAnsi="Arial" w:cs="Arial"/>
          <w:b/>
          <w:color w:val="auto"/>
          <w:szCs w:val="21"/>
          <w:highlight w:val="none"/>
        </w:rPr>
        <w:fldChar w:fldCharType="end"/>
      </w:r>
      <w:r>
        <w:rPr>
          <w:rFonts w:ascii="Arial" w:hAnsi="Arial" w:cs="Arial"/>
          <w:b/>
          <w:color w:val="auto"/>
          <w:szCs w:val="21"/>
          <w:highlight w:val="none"/>
        </w:rPr>
        <w:t>范本查阅。</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条款号：36.1          修改类型：修改</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rFonts w:ascii="Arial" w:hAnsi="Arial" w:cs="Arial"/>
          <w:b/>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r>
        <w:rPr>
          <w:rFonts w:ascii="Arial" w:hAnsi="Arial" w:cs="Arial"/>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条款号：36.3             修改类型：删除</w:t>
      </w:r>
    </w:p>
    <w:p>
      <w:pPr>
        <w:pBdr>
          <w:bottom w:val="single" w:color="auto" w:sz="6" w:space="1"/>
        </w:pBdr>
        <w:spacing w:line="480" w:lineRule="auto"/>
        <w:ind w:firstLine="472" w:firstLineChars="224"/>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条款号：36.4             修改类型：修改</w:t>
      </w:r>
    </w:p>
    <w:p>
      <w:pPr>
        <w:pBdr>
          <w:bottom w:val="single" w:color="auto" w:sz="6" w:space="1"/>
        </w:pBdr>
        <w:spacing w:line="480" w:lineRule="auto"/>
        <w:ind w:firstLine="472" w:firstLineChars="224"/>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36.4若递交投标文件的投标人不足3家，则重新组织招标。（当N个标段同时招标且不允许兼中时，若有效投标人不足N+2家，则重新组织招标）</w:t>
      </w:r>
    </w:p>
    <w:p>
      <w:pPr>
        <w:pBdr>
          <w:bottom w:val="single" w:color="auto" w:sz="6" w:space="1"/>
        </w:pBdr>
        <w:spacing w:line="480" w:lineRule="auto"/>
        <w:ind w:firstLine="472" w:firstLineChars="224"/>
        <w:rPr>
          <w:rFonts w:ascii="Arial" w:hAnsi="Arial" w:cs="Arial"/>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rPr>
        <w:t>36.4若递交投标文件的投标人不足3家，则重新组织招标。</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条款号：36.5.1             修改类型：修改</w:t>
      </w:r>
    </w:p>
    <w:p>
      <w:pPr>
        <w:spacing w:line="480" w:lineRule="auto"/>
        <w:ind w:firstLine="472" w:firstLineChars="224"/>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36.5.1在投标截止时间后半小时内，投标人通过</w:t>
      </w:r>
      <w:r>
        <w:rPr>
          <w:rFonts w:ascii="Arial" w:hAnsi="Arial" w:cs="Arial"/>
          <w:color w:val="auto"/>
          <w:szCs w:val="21"/>
          <w:highlight w:val="none"/>
          <w:u w:val="single"/>
        </w:rPr>
        <w:t xml:space="preserve">        </w:t>
      </w:r>
      <w:r>
        <w:rPr>
          <w:rFonts w:ascii="Arial" w:hAnsi="Arial" w:cs="Arial"/>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ascii="Arial" w:hAnsi="Arial" w:cs="Arial"/>
          <w:color w:val="auto"/>
          <w:highlight w:val="none"/>
        </w:rPr>
      </w:pPr>
      <w:r>
        <w:rPr>
          <w:rFonts w:ascii="Arial" w:hAnsi="Arial" w:cs="Arial"/>
          <w:b/>
          <w:color w:val="auto"/>
          <w:szCs w:val="21"/>
          <w:highlight w:val="none"/>
        </w:rPr>
        <w:t>现文：</w:t>
      </w:r>
      <w:r>
        <w:rPr>
          <w:rFonts w:ascii="Arial" w:hAnsi="Arial" w:cs="Arial"/>
          <w:color w:val="auto"/>
          <w:szCs w:val="21"/>
          <w:highlight w:val="none"/>
        </w:rPr>
        <w:t>36.5.1在投标截止时间后半小时内，投标人通过交易平台对已递交的电子投标文件进行解密。投标人完成解密后，再由</w:t>
      </w:r>
      <w:r>
        <w:rPr>
          <w:rFonts w:hint="eastAsia" w:ascii="宋体" w:hAnsi="宋体" w:eastAsia="宋体" w:cs="宋体"/>
          <w:bCs/>
          <w:color w:val="auto"/>
          <w:szCs w:val="21"/>
          <w:highlight w:val="none"/>
          <w:u w:val="single"/>
        </w:rPr>
        <w:t>招标人或招标代理机构</w:t>
      </w:r>
      <w:r>
        <w:rPr>
          <w:rFonts w:ascii="Arial" w:hAnsi="Arial" w:cs="Arial"/>
          <w:color w:val="auto"/>
          <w:szCs w:val="21"/>
          <w:highlight w:val="none"/>
        </w:rPr>
        <w:t>进行解密。解密完成后，公布招标项目名称、投标人名称的递交情况、投标报价、工期及其他内容；</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条款号：36.5.3             修改类型：修改</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36.5.3投标人代表、招标人代表、监标人、记录人等有关人员在开标记录上签字确认；若有关人员不签字的，不影响开标程序；</w:t>
      </w:r>
    </w:p>
    <w:p>
      <w:pPr>
        <w:pBdr>
          <w:bottom w:val="single" w:color="auto" w:sz="6" w:space="1"/>
        </w:pBdr>
        <w:spacing w:line="360" w:lineRule="auto"/>
        <w:ind w:firstLine="527" w:firstLineChars="250"/>
        <w:rPr>
          <w:rFonts w:ascii="Arial" w:hAnsi="Arial" w:cs="Arial"/>
          <w:color w:val="auto"/>
          <w:highlight w:val="none"/>
        </w:rPr>
      </w:pPr>
      <w:r>
        <w:rPr>
          <w:rFonts w:ascii="Arial" w:hAnsi="Arial" w:cs="Arial"/>
          <w:b/>
          <w:color w:val="auto"/>
          <w:szCs w:val="21"/>
          <w:highlight w:val="none"/>
        </w:rPr>
        <w:t>现文：</w:t>
      </w:r>
      <w:r>
        <w:rPr>
          <w:rFonts w:ascii="Arial" w:hAnsi="Arial" w:cs="Arial"/>
          <w:color w:val="auto"/>
          <w:szCs w:val="21"/>
          <w:highlight w:val="none"/>
        </w:rPr>
        <w:t>36.5.3投标人代表、招标人代表、监标人、记录人等有关人员在开标记录上签字确认；若有关人员不签字的，不影响开标程序；</w:t>
      </w:r>
      <w:r>
        <w:rPr>
          <w:rFonts w:ascii="Arial" w:hAnsi="Arial" w:cs="Arial"/>
          <w:color w:val="auto"/>
          <w:szCs w:val="21"/>
          <w:highlight w:val="none"/>
          <w:u w:val="single"/>
        </w:rPr>
        <w:t>若投标人不参加开标会的，或不签字确认的，视同该投标人认可开标结果。</w:t>
      </w:r>
    </w:p>
    <w:p>
      <w:pPr>
        <w:ind w:firstLine="472" w:firstLineChars="224"/>
        <w:rPr>
          <w:rFonts w:ascii="Arial" w:hAnsi="Arial" w:cs="Arial"/>
          <w:b/>
          <w:color w:val="auto"/>
          <w:szCs w:val="21"/>
          <w:highlight w:val="none"/>
        </w:rPr>
      </w:pPr>
      <w:r>
        <w:rPr>
          <w:rFonts w:ascii="Arial" w:hAnsi="Arial" w:cs="Arial"/>
          <w:b/>
          <w:color w:val="auto"/>
          <w:szCs w:val="21"/>
          <w:highlight w:val="none"/>
        </w:rPr>
        <w:t>条款号：38.1            修改类型：修改</w:t>
      </w:r>
    </w:p>
    <w:p>
      <w:pPr>
        <w:pStyle w:val="50"/>
        <w:spacing w:line="360" w:lineRule="auto"/>
        <w:ind w:firstLine="422" w:firstLineChars="200"/>
        <w:rPr>
          <w:rFonts w:ascii="Arial" w:hAnsi="Arial" w:cs="Arial"/>
          <w:bCs/>
          <w:color w:val="auto"/>
          <w:sz w:val="21"/>
          <w:szCs w:val="21"/>
          <w:highlight w:val="none"/>
          <w:shd w:val="clear" w:color="auto" w:fill="FFFFFF"/>
        </w:rPr>
      </w:pPr>
      <w:r>
        <w:rPr>
          <w:rFonts w:ascii="Arial" w:hAnsi="Arial" w:cs="Arial"/>
          <w:b/>
          <w:bCs/>
          <w:color w:val="auto"/>
          <w:sz w:val="21"/>
          <w:szCs w:val="21"/>
          <w:highlight w:val="none"/>
          <w:shd w:val="clear" w:color="auto" w:fill="FFFFFF"/>
        </w:rPr>
        <w:t>原文：</w:t>
      </w:r>
      <w:r>
        <w:rPr>
          <w:rFonts w:ascii="Arial" w:hAnsi="Arial" w:cs="Arial"/>
          <w:bCs/>
          <w:color w:val="auto"/>
          <w:sz w:val="21"/>
          <w:szCs w:val="21"/>
          <w:highlight w:val="none"/>
          <w:shd w:val="clear" w:color="auto" w:fill="FFFFFF"/>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rFonts w:ascii="Arial" w:hAnsi="Arial" w:cs="Arial"/>
          <w:b/>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ascii="Arial" w:hAnsi="Arial" w:cs="Arial"/>
          <w:color w:val="auto"/>
          <w:szCs w:val="21"/>
          <w:highlight w:val="none"/>
          <w:u w:val="single"/>
        </w:rPr>
        <w:t>对投标文件含义不明确、对同类问题表述不一致、有明显文字和计算错误的内容以及细微偏差的</w:t>
      </w:r>
      <w:r>
        <w:rPr>
          <w:rFonts w:ascii="Arial" w:hAnsi="Arial" w:cs="Arial"/>
          <w:color w:val="auto"/>
          <w:szCs w:val="21"/>
          <w:highlight w:val="none"/>
        </w:rPr>
        <w:t>内容作出澄清。</w:t>
      </w:r>
    </w:p>
    <w:p>
      <w:pPr>
        <w:pStyle w:val="50"/>
        <w:widowControl/>
        <w:spacing w:line="360" w:lineRule="auto"/>
        <w:ind w:firstLine="422" w:firstLineChars="200"/>
        <w:rPr>
          <w:rFonts w:ascii="Arial" w:hAnsi="Arial" w:cs="Arial"/>
          <w:b/>
          <w:bCs/>
          <w:color w:val="auto"/>
          <w:sz w:val="21"/>
          <w:szCs w:val="21"/>
          <w:highlight w:val="none"/>
          <w:shd w:val="clear" w:color="auto" w:fill="FFFFFF"/>
        </w:rPr>
      </w:pPr>
      <w:r>
        <w:rPr>
          <w:rFonts w:ascii="Arial" w:hAnsi="Arial" w:cs="Arial"/>
          <w:b/>
          <w:bCs/>
          <w:color w:val="auto"/>
          <w:sz w:val="21"/>
          <w:szCs w:val="21"/>
          <w:highlight w:val="none"/>
          <w:shd w:val="clear" w:color="auto" w:fill="FFFFFF"/>
        </w:rPr>
        <w:t>条款号：39.3 修改类型：修改</w:t>
      </w:r>
    </w:p>
    <w:p>
      <w:pPr>
        <w:widowControl/>
        <w:spacing w:line="360" w:lineRule="auto"/>
        <w:ind w:firstLine="413" w:firstLineChars="196"/>
        <w:jc w:val="left"/>
        <w:rPr>
          <w:rFonts w:ascii="Arial" w:hAnsi="Arial" w:cs="Arial"/>
          <w:color w:val="auto"/>
          <w:szCs w:val="21"/>
          <w:highlight w:val="none"/>
          <w:shd w:val="clear" w:color="auto" w:fill="FFFFFF"/>
        </w:rPr>
      </w:pPr>
      <w:r>
        <w:rPr>
          <w:rFonts w:ascii="Arial" w:hAnsi="Arial" w:cs="Arial"/>
          <w:b/>
          <w:color w:val="auto"/>
          <w:kern w:val="0"/>
          <w:szCs w:val="21"/>
          <w:highlight w:val="none"/>
          <w:shd w:val="clear" w:color="auto" w:fill="FFFFFF"/>
        </w:rPr>
        <w:t>原文：</w:t>
      </w:r>
      <w:r>
        <w:rPr>
          <w:rFonts w:ascii="Arial" w:hAnsi="Arial" w:cs="Arial"/>
          <w:color w:val="auto"/>
          <w:kern w:val="0"/>
          <w:szCs w:val="21"/>
          <w:highlight w:val="none"/>
          <w:shd w:val="clear" w:color="auto" w:fill="FFFFFF"/>
        </w:rPr>
        <w:t>39.3</w:t>
      </w:r>
      <w:r>
        <w:rPr>
          <w:rFonts w:ascii="Arial" w:hAnsi="Arial" w:cs="Arial"/>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shd w:val="clear" w:color="auto" w:fill="FFFFFF"/>
        </w:rPr>
        <w:t>现文：</w:t>
      </w:r>
      <w:r>
        <w:rPr>
          <w:rFonts w:ascii="Arial" w:hAnsi="Arial" w:cs="Arial"/>
          <w:color w:val="auto"/>
          <w:szCs w:val="21"/>
          <w:highlight w:val="none"/>
          <w:shd w:val="clear" w:color="auto" w:fill="FFFFFF"/>
        </w:rPr>
        <w:t>39.3</w:t>
      </w:r>
      <w:r>
        <w:rPr>
          <w:rFonts w:ascii="Arial" w:hAnsi="Arial" w:cs="Arial"/>
          <w:color w:val="auto"/>
          <w:szCs w:val="21"/>
          <w:highlight w:val="none"/>
        </w:rPr>
        <w:t>排名第一的中标候选人放弃中标、或因不可抗力提出不能履行合同，或者招标文件规定应当提交履约担保而在规定的期限内未能提交的，</w:t>
      </w:r>
      <w:r>
        <w:rPr>
          <w:rFonts w:ascii="Arial" w:hAnsi="Arial" w:cs="Arial"/>
          <w:b/>
          <w:bCs/>
          <w:color w:val="auto"/>
          <w:szCs w:val="21"/>
          <w:highlight w:val="none"/>
          <w:u w:val="single"/>
          <w:shd w:val="clear" w:color="auto" w:fill="FFFFFF"/>
        </w:rPr>
        <w:t>或经核查发现委派的项目负责人已在其他在建项目中任职的，</w:t>
      </w:r>
      <w:r>
        <w:rPr>
          <w:rFonts w:ascii="Arial" w:hAnsi="Arial" w:cs="Arial"/>
          <w:color w:val="auto"/>
          <w:szCs w:val="21"/>
          <w:highlight w:val="none"/>
          <w:u w:val="single"/>
        </w:rPr>
        <w:t>招标人可以确定排名第二的中标候选人为中标人。</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 评标办法        修改类型：删除</w:t>
      </w:r>
    </w:p>
    <w:p>
      <w:pPr>
        <w:pBdr>
          <w:bottom w:val="single" w:color="auto" w:sz="6" w:space="1"/>
        </w:pBdr>
        <w:spacing w:line="360" w:lineRule="auto"/>
        <w:ind w:firstLine="527" w:firstLineChars="250"/>
        <w:rPr>
          <w:rStyle w:val="64"/>
          <w:rFonts w:ascii="Arial" w:hAnsi="Arial" w:cs="Arial"/>
          <w:color w:val="auto"/>
          <w:szCs w:val="21"/>
          <w:highlight w:val="none"/>
        </w:rPr>
      </w:pPr>
      <w:r>
        <w:rPr>
          <w:rFonts w:ascii="Arial" w:hAnsi="Arial" w:cs="Arial"/>
          <w:b/>
          <w:color w:val="auto"/>
          <w:szCs w:val="21"/>
          <w:highlight w:val="none"/>
        </w:rPr>
        <w:t>原文：</w:t>
      </w:r>
      <w:r>
        <w:rPr>
          <w:rStyle w:val="64"/>
          <w:rFonts w:ascii="Arial" w:hAnsi="Arial" w:cs="Arial"/>
          <w:color w:val="auto"/>
          <w:szCs w:val="21"/>
          <w:highlight w:val="none"/>
        </w:rPr>
        <w:t>可选</w:t>
      </w:r>
      <w:r>
        <w:rPr>
          <w:rFonts w:ascii="Arial" w:hAnsi="Arial" w:cs="Arial"/>
          <w:color w:val="auto"/>
          <w:szCs w:val="21"/>
          <w:highlight w:val="none"/>
        </w:rPr>
        <w:t>办法</w:t>
      </w:r>
      <w:r>
        <w:rPr>
          <w:rStyle w:val="64"/>
          <w:rFonts w:ascii="Arial" w:hAnsi="Arial" w:cs="Arial"/>
          <w:color w:val="auto"/>
          <w:szCs w:val="21"/>
          <w:highlight w:val="none"/>
        </w:rPr>
        <w:t>一（适合</w:t>
      </w:r>
      <w:r>
        <w:rPr>
          <w:rStyle w:val="64"/>
          <w:rFonts w:ascii="Arial" w:hAnsi="Arial" w:cs="Arial"/>
          <w:color w:val="auto"/>
          <w:kern w:val="0"/>
          <w:szCs w:val="21"/>
          <w:highlight w:val="none"/>
        </w:rPr>
        <w:t>综合评分法一</w:t>
      </w:r>
      <w:r>
        <w:rPr>
          <w:rStyle w:val="64"/>
          <w:rFonts w:ascii="Arial" w:hAnsi="Arial" w:cs="Arial"/>
          <w:color w:val="auto"/>
          <w:szCs w:val="21"/>
          <w:highlight w:val="none"/>
        </w:rPr>
        <w:t>，技术标与经济标先后分别开启）</w:t>
      </w:r>
    </w:p>
    <w:p>
      <w:pPr>
        <w:pBdr>
          <w:bottom w:val="single" w:color="auto" w:sz="6" w:space="1"/>
        </w:pBdr>
        <w:spacing w:line="360" w:lineRule="auto"/>
        <w:ind w:firstLine="1155" w:firstLineChars="550"/>
        <w:rPr>
          <w:rStyle w:val="64"/>
          <w:rFonts w:ascii="Arial" w:hAnsi="Arial" w:cs="Arial"/>
          <w:color w:val="auto"/>
          <w:szCs w:val="21"/>
          <w:highlight w:val="none"/>
        </w:rPr>
      </w:pPr>
      <w:r>
        <w:rPr>
          <w:rStyle w:val="64"/>
          <w:rFonts w:ascii="Arial" w:hAnsi="Arial" w:cs="Arial"/>
          <w:color w:val="auto"/>
          <w:szCs w:val="21"/>
          <w:highlight w:val="none"/>
        </w:rPr>
        <w:t>可选</w:t>
      </w:r>
      <w:r>
        <w:rPr>
          <w:rFonts w:ascii="Arial" w:hAnsi="Arial" w:cs="Arial"/>
          <w:color w:val="auto"/>
          <w:szCs w:val="21"/>
          <w:highlight w:val="none"/>
        </w:rPr>
        <w:t>办法</w:t>
      </w:r>
      <w:r>
        <w:rPr>
          <w:rStyle w:val="64"/>
          <w:rFonts w:ascii="Arial" w:hAnsi="Arial" w:cs="Arial"/>
          <w:color w:val="auto"/>
          <w:szCs w:val="21"/>
          <w:highlight w:val="none"/>
        </w:rPr>
        <w:t>二（适合综合评分法一，技术标与经济标同时开启）</w:t>
      </w:r>
    </w:p>
    <w:p>
      <w:pPr>
        <w:pBdr>
          <w:bottom w:val="single" w:color="auto" w:sz="6" w:space="1"/>
        </w:pBdr>
        <w:spacing w:line="360" w:lineRule="auto"/>
        <w:ind w:firstLine="1155" w:firstLineChars="550"/>
        <w:rPr>
          <w:rStyle w:val="64"/>
          <w:rFonts w:ascii="Arial" w:hAnsi="Arial" w:cs="Arial"/>
          <w:color w:val="auto"/>
          <w:szCs w:val="21"/>
          <w:highlight w:val="none"/>
        </w:rPr>
      </w:pPr>
      <w:r>
        <w:rPr>
          <w:rStyle w:val="64"/>
          <w:rFonts w:ascii="Arial" w:hAnsi="Arial" w:cs="Arial"/>
          <w:color w:val="auto"/>
          <w:szCs w:val="21"/>
          <w:highlight w:val="none"/>
        </w:rPr>
        <w:t>可选办法三（适合综合评分法二，技术标与经济标先后分别开启）</w:t>
      </w:r>
    </w:p>
    <w:p>
      <w:pPr>
        <w:pBdr>
          <w:bottom w:val="single" w:color="auto" w:sz="6" w:space="1"/>
        </w:pBdr>
        <w:spacing w:line="360" w:lineRule="auto"/>
        <w:ind w:firstLine="1155" w:firstLineChars="550"/>
        <w:rPr>
          <w:rStyle w:val="64"/>
          <w:rFonts w:ascii="Arial" w:hAnsi="Arial" w:cs="Arial"/>
          <w:color w:val="auto"/>
          <w:szCs w:val="21"/>
          <w:highlight w:val="none"/>
        </w:rPr>
      </w:pPr>
      <w:r>
        <w:rPr>
          <w:rStyle w:val="64"/>
          <w:rFonts w:ascii="Arial" w:hAnsi="Arial" w:cs="Arial"/>
          <w:color w:val="auto"/>
          <w:szCs w:val="21"/>
          <w:highlight w:val="none"/>
        </w:rPr>
        <w:t>可选办法四（适合综合评分法二，技术标与经济标同时开启）</w:t>
      </w:r>
    </w:p>
    <w:p>
      <w:pPr>
        <w:pBdr>
          <w:bottom w:val="single" w:color="auto" w:sz="6" w:space="1"/>
        </w:pBdr>
        <w:spacing w:line="360" w:lineRule="auto"/>
        <w:ind w:firstLine="1155" w:firstLineChars="550"/>
        <w:rPr>
          <w:rStyle w:val="64"/>
          <w:rFonts w:ascii="Arial" w:hAnsi="Arial" w:cs="Arial"/>
          <w:color w:val="auto"/>
          <w:szCs w:val="21"/>
          <w:highlight w:val="none"/>
        </w:rPr>
      </w:pPr>
      <w:r>
        <w:rPr>
          <w:rStyle w:val="64"/>
          <w:rFonts w:ascii="Arial" w:hAnsi="Arial" w:cs="Arial"/>
          <w:color w:val="auto"/>
          <w:szCs w:val="21"/>
          <w:highlight w:val="none"/>
        </w:rPr>
        <w:t>可选办法五（适合综合评分法三，技术标与经济标先后分别开启）</w:t>
      </w:r>
    </w:p>
    <w:p>
      <w:pPr>
        <w:pBdr>
          <w:bottom w:val="single" w:color="auto" w:sz="6" w:space="1"/>
        </w:pBdr>
        <w:spacing w:line="360" w:lineRule="auto"/>
        <w:ind w:firstLine="1155" w:firstLineChars="550"/>
        <w:rPr>
          <w:rStyle w:val="64"/>
          <w:rFonts w:ascii="Arial" w:hAnsi="Arial" w:cs="Arial"/>
          <w:color w:val="auto"/>
          <w:szCs w:val="21"/>
          <w:highlight w:val="none"/>
        </w:rPr>
      </w:pPr>
      <w:r>
        <w:rPr>
          <w:rStyle w:val="64"/>
          <w:rFonts w:ascii="Arial" w:hAnsi="Arial" w:cs="Arial"/>
          <w:color w:val="auto"/>
          <w:szCs w:val="21"/>
          <w:highlight w:val="none"/>
        </w:rPr>
        <w:t>可选办法六（适合综合评分法三，技术标与经济标同时开启）</w:t>
      </w:r>
    </w:p>
    <w:p>
      <w:pPr>
        <w:pBdr>
          <w:bottom w:val="single" w:color="auto" w:sz="6" w:space="1"/>
        </w:pBdr>
        <w:spacing w:line="360" w:lineRule="auto"/>
        <w:ind w:firstLine="1155" w:firstLineChars="550"/>
        <w:rPr>
          <w:rFonts w:ascii="Arial" w:hAnsi="Arial" w:cs="Arial"/>
          <w:b/>
          <w:color w:val="auto"/>
          <w:szCs w:val="21"/>
          <w:highlight w:val="none"/>
        </w:rPr>
      </w:pPr>
      <w:r>
        <w:rPr>
          <w:rStyle w:val="64"/>
          <w:rFonts w:ascii="Arial" w:hAnsi="Arial" w:cs="Arial"/>
          <w:color w:val="auto"/>
          <w:szCs w:val="21"/>
          <w:highlight w:val="none"/>
        </w:rPr>
        <w:t>可选办法八（适合经评审的最低投标价法，技术标与经济标同时开启）</w:t>
      </w:r>
    </w:p>
    <w:p>
      <w:pPr>
        <w:pStyle w:val="50"/>
        <w:widowControl/>
        <w:spacing w:line="360" w:lineRule="auto"/>
        <w:ind w:firstLine="422" w:firstLineChars="200"/>
        <w:rPr>
          <w:rFonts w:ascii="Arial" w:hAnsi="Arial" w:cs="Arial"/>
          <w:b/>
          <w:bCs/>
          <w:color w:val="auto"/>
          <w:sz w:val="21"/>
          <w:szCs w:val="21"/>
          <w:highlight w:val="none"/>
          <w:shd w:val="clear" w:color="auto" w:fill="FFFFFF"/>
        </w:rPr>
      </w:pPr>
      <w:r>
        <w:rPr>
          <w:rFonts w:ascii="Arial" w:hAnsi="Arial" w:cs="Arial"/>
          <w:b/>
          <w:bCs/>
          <w:color w:val="auto"/>
          <w:sz w:val="21"/>
          <w:szCs w:val="21"/>
          <w:highlight w:val="none"/>
          <w:shd w:val="clear" w:color="auto" w:fill="FFFFFF"/>
        </w:rPr>
        <w:t xml:space="preserve">条款号：（二）开标评标办法程序和细则      修改类型：修改 </w:t>
      </w:r>
    </w:p>
    <w:p>
      <w:pPr>
        <w:pStyle w:val="50"/>
        <w:widowControl/>
        <w:spacing w:line="360" w:lineRule="auto"/>
        <w:ind w:firstLine="422" w:firstLineChars="200"/>
        <w:rPr>
          <w:rFonts w:ascii="Arial" w:hAnsi="Arial" w:cs="Arial"/>
          <w:b/>
          <w:bCs/>
          <w:color w:val="auto"/>
          <w:sz w:val="21"/>
          <w:szCs w:val="21"/>
          <w:highlight w:val="none"/>
          <w:shd w:val="clear" w:color="auto" w:fill="FFFFFF"/>
        </w:rPr>
      </w:pPr>
      <w:r>
        <w:rPr>
          <w:rFonts w:ascii="Arial" w:hAnsi="Arial" w:cs="Arial"/>
          <w:b/>
          <w:bCs/>
          <w:color w:val="auto"/>
          <w:sz w:val="21"/>
          <w:szCs w:val="21"/>
          <w:highlight w:val="none"/>
          <w:shd w:val="clear" w:color="auto" w:fill="FFFFFF"/>
        </w:rPr>
        <w:t>原文：</w:t>
      </w:r>
      <w:r>
        <w:rPr>
          <w:rFonts w:ascii="Arial" w:hAnsi="Arial" w:cs="Arial"/>
          <w:color w:val="auto"/>
          <w:sz w:val="21"/>
          <w:szCs w:val="21"/>
          <w:highlight w:val="none"/>
          <w:shd w:val="clear" w:color="auto" w:fill="FFFFFF"/>
        </w:rPr>
        <w:t>注：以下八种评标办法所述企业综合诚信评价分数即投标截止当日广州市住房和城乡建设局网站上公布的企业综合诚信评价60日诚信分。</w:t>
      </w:r>
    </w:p>
    <w:p>
      <w:pPr>
        <w:pBdr>
          <w:bottom w:val="single" w:color="auto" w:sz="6" w:space="1"/>
        </w:pBdr>
        <w:spacing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本项目不适用</w:t>
      </w:r>
    </w:p>
    <w:p>
      <w:pPr>
        <w:adjustRightInd w:val="0"/>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条款号：41.1                                             修改类型：修改</w:t>
      </w:r>
    </w:p>
    <w:p>
      <w:pPr>
        <w:adjustRightInd w:val="0"/>
        <w:spacing w:line="360" w:lineRule="auto"/>
        <w:ind w:firstLine="422" w:firstLineChars="200"/>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41.1 开标由招标人主持；</w:t>
      </w:r>
    </w:p>
    <w:p>
      <w:pPr>
        <w:pBdr>
          <w:bottom w:val="single" w:color="auto" w:sz="6" w:space="1"/>
        </w:pBdr>
        <w:adjustRightInd w:val="0"/>
        <w:spacing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41.1 开标由招标人</w:t>
      </w:r>
      <w:r>
        <w:rPr>
          <w:rFonts w:ascii="Arial" w:hAnsi="Arial" w:cs="Arial"/>
          <w:color w:val="auto"/>
          <w:szCs w:val="21"/>
          <w:highlight w:val="none"/>
          <w:u w:val="single"/>
        </w:rPr>
        <w:t>或招标代理</w:t>
      </w:r>
      <w:r>
        <w:rPr>
          <w:rFonts w:ascii="Arial" w:hAnsi="Arial" w:cs="Arial"/>
          <w:color w:val="auto"/>
          <w:szCs w:val="21"/>
          <w:highlight w:val="none"/>
        </w:rPr>
        <w:t>主持；</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条款号：41.2.1             修改类型：修改</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原文：41.2.1</w:t>
      </w:r>
      <w:r>
        <w:rPr>
          <w:rFonts w:ascii="Arial" w:hAnsi="Arial" w:cs="Arial"/>
          <w:color w:val="auto"/>
          <w:szCs w:val="21"/>
          <w:highlight w:val="none"/>
        </w:rPr>
        <w:t>投标截止期前，各投标人递交投标文件（包括技术标投标文件、经济标投标文件）至</w:t>
      </w:r>
      <w:r>
        <w:rPr>
          <w:rFonts w:ascii="Arial" w:hAnsi="Arial" w:cs="Arial"/>
          <w:color w:val="auto"/>
          <w:szCs w:val="21"/>
          <w:highlight w:val="none"/>
          <w:u w:val="single"/>
        </w:rPr>
        <w:t xml:space="preserve">        </w:t>
      </w:r>
      <w:r>
        <w:rPr>
          <w:rFonts w:ascii="Arial" w:hAnsi="Arial" w:cs="Arial"/>
          <w:color w:val="auto"/>
          <w:szCs w:val="21"/>
          <w:highlight w:val="none"/>
        </w:rPr>
        <w:t>交易平台。有关投标文件提交的事项详见第一章投标须知。</w:t>
      </w:r>
    </w:p>
    <w:p>
      <w:pPr>
        <w:pBdr>
          <w:bottom w:val="single" w:color="auto" w:sz="6" w:space="1"/>
        </w:pBdr>
        <w:spacing w:line="360" w:lineRule="auto"/>
        <w:ind w:firstLine="527" w:firstLineChars="250"/>
        <w:rPr>
          <w:rFonts w:ascii="Arial" w:hAnsi="Arial" w:cs="Arial"/>
          <w:color w:val="auto"/>
          <w:szCs w:val="21"/>
          <w:highlight w:val="none"/>
        </w:rPr>
      </w:pPr>
      <w:r>
        <w:rPr>
          <w:rFonts w:ascii="Arial" w:hAnsi="Arial" w:cs="Arial"/>
          <w:b/>
          <w:color w:val="auto"/>
          <w:szCs w:val="21"/>
          <w:highlight w:val="none"/>
        </w:rPr>
        <w:t>现文：41.2.1</w:t>
      </w:r>
      <w:r>
        <w:rPr>
          <w:rFonts w:ascii="Arial" w:hAnsi="Arial" w:cs="Arial"/>
          <w:color w:val="auto"/>
          <w:szCs w:val="21"/>
          <w:highlight w:val="none"/>
        </w:rPr>
        <w:t>投标截止期前，各投标人递交投标文件（包括技术标投标文件、经济标投标文件）至</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rPr>
        <w:t>交易平台。有关投标文件提交的事项详见第一章投标须知。</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条款号：41.2.</w:t>
      </w:r>
      <w:r>
        <w:rPr>
          <w:rFonts w:hint="eastAsia" w:ascii="Arial" w:hAnsi="Arial" w:cs="Arial"/>
          <w:b/>
          <w:color w:val="auto"/>
          <w:szCs w:val="21"/>
          <w:highlight w:val="none"/>
          <w:lang w:val="en-US" w:eastAsia="zh-CN"/>
        </w:rPr>
        <w:t>4</w:t>
      </w:r>
      <w:r>
        <w:rPr>
          <w:rFonts w:ascii="Arial" w:hAnsi="Arial" w:cs="Arial"/>
          <w:b/>
          <w:color w:val="auto"/>
          <w:szCs w:val="21"/>
          <w:highlight w:val="none"/>
        </w:rPr>
        <w:t xml:space="preserve">             修改类型：修改</w:t>
      </w:r>
    </w:p>
    <w:p>
      <w:pPr>
        <w:pStyle w:val="50"/>
        <w:spacing w:line="360" w:lineRule="auto"/>
        <w:ind w:firstLine="422" w:firstLineChars="200"/>
        <w:rPr>
          <w:rFonts w:hint="default" w:ascii="Arial" w:hAnsi="Arial" w:cs="Arial"/>
          <w:bCs/>
          <w:color w:val="auto"/>
          <w:sz w:val="21"/>
          <w:szCs w:val="21"/>
          <w:highlight w:val="none"/>
          <w:shd w:val="clear" w:color="auto" w:fill="FFFFFF"/>
          <w:lang w:val="en-US" w:eastAsia="zh-CN"/>
        </w:rPr>
      </w:pPr>
      <w:r>
        <w:rPr>
          <w:rFonts w:hint="default" w:ascii="Arial" w:hAnsi="Arial" w:cs="Arial"/>
          <w:b/>
          <w:bCs w:val="0"/>
          <w:color w:val="auto"/>
          <w:sz w:val="21"/>
          <w:szCs w:val="21"/>
          <w:highlight w:val="none"/>
          <w:shd w:val="clear" w:color="auto" w:fill="FFFFFF"/>
          <w:lang w:val="en-US" w:eastAsia="zh-CN"/>
        </w:rPr>
        <w:t>原文：</w:t>
      </w:r>
      <w:r>
        <w:rPr>
          <w:rFonts w:hint="default" w:ascii="Arial" w:hAnsi="Arial" w:cs="Arial"/>
          <w:bCs/>
          <w:color w:val="auto"/>
          <w:sz w:val="21"/>
          <w:szCs w:val="21"/>
          <w:highlight w:val="none"/>
          <w:shd w:val="clear" w:color="auto" w:fill="FFFFFF"/>
          <w:lang w:val="en-US" w:eastAsia="zh-CN"/>
        </w:rPr>
        <w:t>41.2.4开标时，投标人代表有权出席开标会，也可以自主决定不参加开标会，若投标人代表对开标过程提出异议，该投标人代表须同时出示本人身份证原件。</w:t>
      </w:r>
    </w:p>
    <w:p>
      <w:pPr>
        <w:pStyle w:val="50"/>
        <w:pBdr>
          <w:bottom w:val="single" w:color="auto" w:sz="4" w:space="0"/>
        </w:pBdr>
        <w:spacing w:line="360" w:lineRule="auto"/>
        <w:ind w:firstLine="422" w:firstLineChars="200"/>
        <w:rPr>
          <w:rFonts w:hint="default" w:ascii="Arial" w:hAnsi="Arial" w:cs="Arial"/>
          <w:b/>
          <w:bCs w:val="0"/>
          <w:color w:val="auto"/>
          <w:sz w:val="21"/>
          <w:szCs w:val="21"/>
          <w:highlight w:val="none"/>
          <w:shd w:val="clear" w:color="auto" w:fill="FFFFFF"/>
          <w:lang w:val="en-US" w:eastAsia="zh-CN"/>
        </w:rPr>
      </w:pPr>
      <w:r>
        <w:rPr>
          <w:rFonts w:hint="default" w:ascii="Arial" w:hAnsi="Arial" w:cs="Arial"/>
          <w:b/>
          <w:bCs w:val="0"/>
          <w:color w:val="auto"/>
          <w:sz w:val="21"/>
          <w:szCs w:val="21"/>
          <w:highlight w:val="none"/>
          <w:shd w:val="clear" w:color="auto" w:fill="FFFFFF"/>
          <w:lang w:val="en-US" w:eastAsia="zh-CN"/>
        </w:rPr>
        <w:t>现文：</w:t>
      </w:r>
      <w:r>
        <w:rPr>
          <w:rFonts w:hint="default" w:ascii="Arial" w:hAnsi="Arial" w:cs="Arial"/>
          <w:b w:val="0"/>
          <w:bCs/>
          <w:color w:val="auto"/>
          <w:sz w:val="21"/>
          <w:szCs w:val="21"/>
          <w:highlight w:val="none"/>
          <w:shd w:val="clear" w:color="auto" w:fill="FFFFFF"/>
          <w:lang w:val="en-US" w:eastAsia="zh-CN"/>
        </w:rPr>
        <w:t>41.2.4开标时，投标人代表有权参加现场开标或在线开标，也可以自主决定不参加开标，若投标人代表对开标过程有异议的，</w:t>
      </w:r>
      <w:r>
        <w:rPr>
          <w:rFonts w:hint="default" w:ascii="Arial" w:hAnsi="Arial" w:cs="Arial"/>
          <w:b/>
          <w:bCs w:val="0"/>
          <w:color w:val="auto"/>
          <w:sz w:val="21"/>
          <w:szCs w:val="21"/>
          <w:highlight w:val="none"/>
          <w:shd w:val="clear" w:color="auto" w:fill="FFFFFF"/>
          <w:lang w:val="en-US" w:eastAsia="zh-CN"/>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 xml:space="preserve">41.2.2、41.2.3          </w:t>
      </w:r>
      <w:r>
        <w:rPr>
          <w:rFonts w:ascii="Arial" w:hAnsi="Arial" w:cs="Arial"/>
          <w:b/>
          <w:color w:val="auto"/>
          <w:szCs w:val="21"/>
          <w:highlight w:val="none"/>
        </w:rPr>
        <w:t>修改类型：删除</w:t>
      </w:r>
    </w:p>
    <w:p>
      <w:pPr>
        <w:pBdr>
          <w:bottom w:val="single" w:color="auto" w:sz="6" w:space="1"/>
        </w:pBdr>
        <w:spacing w:line="360" w:lineRule="auto"/>
        <w:ind w:firstLine="422" w:firstLineChars="200"/>
        <w:rPr>
          <w:rFonts w:ascii="Arial" w:hAnsi="Arial" w:cs="Arial"/>
          <w:color w:val="auto"/>
          <w:szCs w:val="21"/>
          <w:highlight w:val="none"/>
        </w:rPr>
      </w:pPr>
      <w:r>
        <w:rPr>
          <w:rFonts w:ascii="Arial" w:hAnsi="Arial" w:cs="Arial"/>
          <w:b/>
          <w:bCs/>
          <w:color w:val="auto"/>
          <w:szCs w:val="21"/>
          <w:highlight w:val="none"/>
        </w:rPr>
        <w:t>原文：</w:t>
      </w:r>
      <w:r>
        <w:rPr>
          <w:rFonts w:ascii="Arial" w:hAnsi="Arial" w:cs="Arial"/>
          <w:color w:val="auto"/>
          <w:szCs w:val="21"/>
          <w:highlight w:val="none"/>
        </w:rPr>
        <w:t>41.2.2开标前，首先由招标人随机抽取确定该工程计算评标参考价的等分点值X。</w:t>
      </w:r>
    </w:p>
    <w:p>
      <w:pPr>
        <w:pBdr>
          <w:bottom w:val="single" w:color="auto" w:sz="6" w:space="1"/>
        </w:pBd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41.2.3对通过技术标有效性审查的投标人开启其经济标投标文件；</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w:t>
      </w:r>
      <w:r>
        <w:rPr>
          <w:rFonts w:ascii="Arial" w:hAnsi="Arial" w:cs="Arial"/>
          <w:color w:val="auto"/>
          <w:szCs w:val="21"/>
          <w:highlight w:val="none"/>
        </w:rPr>
        <w:t xml:space="preserve">41.3          </w:t>
      </w:r>
      <w:r>
        <w:rPr>
          <w:rFonts w:ascii="Arial" w:hAnsi="Arial" w:cs="Arial"/>
          <w:b/>
          <w:color w:val="auto"/>
          <w:szCs w:val="21"/>
          <w:highlight w:val="none"/>
        </w:rPr>
        <w:t>修改类型：修改</w:t>
      </w:r>
    </w:p>
    <w:p>
      <w:pPr>
        <w:pBdr>
          <w:bottom w:val="single" w:color="auto" w:sz="6" w:space="1"/>
        </w:pBdr>
        <w:spacing w:line="360" w:lineRule="auto"/>
        <w:ind w:firstLine="422" w:firstLineChars="200"/>
        <w:rPr>
          <w:rFonts w:ascii="Arial" w:hAnsi="Arial" w:cs="Arial"/>
          <w:color w:val="auto"/>
          <w:szCs w:val="21"/>
          <w:highlight w:val="none"/>
        </w:rPr>
      </w:pPr>
      <w:r>
        <w:rPr>
          <w:rFonts w:ascii="Arial" w:hAnsi="Arial" w:cs="Arial"/>
          <w:b/>
          <w:bCs/>
          <w:color w:val="auto"/>
          <w:szCs w:val="21"/>
          <w:highlight w:val="none"/>
        </w:rPr>
        <w:t>原文：</w:t>
      </w:r>
      <w:r>
        <w:rPr>
          <w:rFonts w:ascii="Arial" w:hAnsi="Arial" w:cs="Arial"/>
          <w:color w:val="auto"/>
          <w:szCs w:val="21"/>
          <w:highlight w:val="none"/>
        </w:rPr>
        <w:t>41.3招标人对开标过程进行记录，并存档备查，投标人在技术标开标记录上签字。</w:t>
      </w:r>
    </w:p>
    <w:p>
      <w:pPr>
        <w:pBdr>
          <w:bottom w:val="single" w:color="auto" w:sz="6" w:space="1"/>
        </w:pBd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现文：41.3招标人或招标代理机构对开标过程进行记录，并存档备查，</w:t>
      </w:r>
      <w:r>
        <w:rPr>
          <w:rFonts w:hint="eastAsia" w:ascii="宋体" w:hAnsi="宋体" w:cs="宋体"/>
          <w:color w:val="auto"/>
          <w:szCs w:val="21"/>
          <w:highlight w:val="none"/>
          <w:u w:val="single"/>
        </w:rPr>
        <w:t>参加开标会议的</w:t>
      </w:r>
      <w:r>
        <w:rPr>
          <w:rFonts w:ascii="Arial" w:hAnsi="Arial" w:cs="Arial"/>
          <w:color w:val="auto"/>
          <w:szCs w:val="21"/>
          <w:highlight w:val="none"/>
        </w:rPr>
        <w:t>投标人在技术标开标记录上签字。</w:t>
      </w:r>
    </w:p>
    <w:p>
      <w:pPr>
        <w:pStyle w:val="53"/>
        <w:pBdr>
          <w:top w:val="single" w:color="auto" w:sz="4" w:space="0"/>
        </w:pBdr>
        <w:spacing w:after="0" w:line="4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color w:val="auto"/>
          <w:sz w:val="21"/>
          <w:szCs w:val="21"/>
          <w:highlight w:val="none"/>
        </w:rPr>
        <w:t xml:space="preserve">42.1           </w:t>
      </w:r>
      <w:r>
        <w:rPr>
          <w:rFonts w:hint="eastAsia" w:ascii="宋体" w:hAnsi="宋体" w:eastAsia="宋体" w:cs="宋体"/>
          <w:b/>
          <w:color w:val="auto"/>
          <w:sz w:val="21"/>
          <w:szCs w:val="21"/>
          <w:highlight w:val="none"/>
        </w:rPr>
        <w:t>修改类型：修改</w:t>
      </w:r>
    </w:p>
    <w:p>
      <w:pPr>
        <w:spacing w:line="460" w:lineRule="exact"/>
        <w:ind w:firstLine="413" w:firstLineChars="196"/>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42.1评标委员会的组成：方式</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p>
    <w:p>
      <w:pPr>
        <w:spacing w:line="46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方式一：评标委员会为综合评标委员会，负责资格审查及评标工作。</w:t>
      </w:r>
    </w:p>
    <w:p>
      <w:pPr>
        <w:spacing w:line="46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460" w:lineRule="exact"/>
        <w:ind w:firstLine="413" w:firstLineChars="196"/>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42.1评标委员会的组成：方式</w:t>
      </w:r>
      <w:r>
        <w:rPr>
          <w:rFonts w:hint="eastAsia" w:ascii="宋体" w:hAnsi="宋体" w:eastAsia="宋体" w:cs="宋体"/>
          <w:bCs/>
          <w:color w:val="auto"/>
          <w:szCs w:val="21"/>
          <w:highlight w:val="none"/>
          <w:u w:val="single"/>
        </w:rPr>
        <w:t>一</w:t>
      </w:r>
      <w:r>
        <w:rPr>
          <w:rFonts w:hint="eastAsia" w:ascii="宋体" w:hAnsi="宋体" w:eastAsia="宋体" w:cs="宋体"/>
          <w:bCs/>
          <w:color w:val="auto"/>
          <w:szCs w:val="21"/>
          <w:highlight w:val="none"/>
        </w:rPr>
        <w:t>。</w:t>
      </w:r>
    </w:p>
    <w:p>
      <w:pPr>
        <w:pBdr>
          <w:bottom w:val="single" w:color="auto" w:sz="6" w:space="1"/>
        </w:pBdr>
        <w:spacing w:line="46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方式一：评标委员会为综合评标委员会，负责资格审查及评标工作。</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条款号：42.2      修改类型：修改</w:t>
      </w:r>
    </w:p>
    <w:p>
      <w:pPr>
        <w:pStyle w:val="53"/>
        <w:tabs>
          <w:tab w:val="left" w:pos="7380"/>
        </w:tabs>
        <w:snapToGrid w:val="0"/>
        <w:spacing w:line="360" w:lineRule="auto"/>
        <w:ind w:firstLine="422" w:firstLineChars="200"/>
        <w:rPr>
          <w:rFonts w:ascii="Arial" w:hAnsi="Arial" w:cs="Arial"/>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42.2评标委员会的组成：方式</w:t>
      </w:r>
      <w:r>
        <w:rPr>
          <w:rFonts w:ascii="Arial" w:hAnsi="Arial" w:cs="Arial"/>
          <w:color w:val="auto"/>
          <w:szCs w:val="21"/>
          <w:highlight w:val="none"/>
          <w:u w:val="single"/>
        </w:rPr>
        <w:t xml:space="preserve">      </w:t>
      </w:r>
      <w:r>
        <w:rPr>
          <w:rFonts w:ascii="Arial" w:hAnsi="Arial" w:cs="Arial"/>
          <w:color w:val="auto"/>
          <w:szCs w:val="21"/>
          <w:highlight w:val="none"/>
        </w:rPr>
        <w:t>。</w:t>
      </w:r>
    </w:p>
    <w:p>
      <w:pPr>
        <w:pStyle w:val="53"/>
        <w:tabs>
          <w:tab w:val="left" w:pos="7380"/>
        </w:tabs>
        <w:snapToGrid w:val="0"/>
        <w:spacing w:line="360" w:lineRule="auto"/>
        <w:ind w:firstLineChars="200"/>
        <w:rPr>
          <w:rFonts w:ascii="Arial" w:hAnsi="Arial" w:cs="Arial"/>
          <w:color w:val="auto"/>
          <w:szCs w:val="21"/>
          <w:highlight w:val="none"/>
        </w:rPr>
      </w:pPr>
      <w:r>
        <w:rPr>
          <w:rFonts w:ascii="Arial" w:hAnsi="Arial" w:cs="Arial"/>
          <w:color w:val="auto"/>
          <w:szCs w:val="21"/>
          <w:highlight w:val="none"/>
        </w:rPr>
        <w:t>方式一：评标委员会为综合评标委员会，负责资格审查及评标工作。</w:t>
      </w:r>
    </w:p>
    <w:p>
      <w:pPr>
        <w:pStyle w:val="53"/>
        <w:tabs>
          <w:tab w:val="left" w:pos="7380"/>
        </w:tabs>
        <w:snapToGrid w:val="0"/>
        <w:spacing w:after="0" w:line="360" w:lineRule="auto"/>
        <w:ind w:firstLineChars="200"/>
        <w:rPr>
          <w:rFonts w:ascii="Arial" w:hAnsi="Arial" w:cs="Arial"/>
          <w:color w:val="auto"/>
          <w:szCs w:val="21"/>
          <w:highlight w:val="none"/>
        </w:rPr>
      </w:pPr>
      <w:r>
        <w:rPr>
          <w:rFonts w:ascii="Arial" w:hAnsi="Arial" w:cs="Arial"/>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527" w:firstLineChars="25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42.2评标委员会的组成：方式</w:t>
      </w:r>
      <w:r>
        <w:rPr>
          <w:rFonts w:ascii="Arial" w:hAnsi="Arial" w:cs="Arial"/>
          <w:color w:val="auto"/>
          <w:szCs w:val="21"/>
          <w:highlight w:val="none"/>
          <w:u w:val="single"/>
        </w:rPr>
        <w:t xml:space="preserve"> 一 </w:t>
      </w:r>
      <w:r>
        <w:rPr>
          <w:rFonts w:ascii="Arial" w:hAnsi="Arial" w:cs="Arial"/>
          <w:color w:val="auto"/>
          <w:szCs w:val="21"/>
          <w:highlight w:val="none"/>
        </w:rPr>
        <w:t>。</w:t>
      </w:r>
    </w:p>
    <w:p>
      <w:pPr>
        <w:pBdr>
          <w:bottom w:val="single" w:color="auto" w:sz="6" w:space="1"/>
        </w:pBdr>
        <w:spacing w:line="360" w:lineRule="auto"/>
        <w:ind w:firstLine="525" w:firstLineChars="250"/>
        <w:rPr>
          <w:rFonts w:ascii="Arial" w:hAnsi="Arial" w:cs="Arial"/>
          <w:color w:val="auto"/>
          <w:szCs w:val="21"/>
          <w:highlight w:val="none"/>
        </w:rPr>
      </w:pPr>
      <w:r>
        <w:rPr>
          <w:rFonts w:ascii="Arial" w:hAnsi="Arial" w:cs="Arial"/>
          <w:color w:val="auto"/>
          <w:szCs w:val="21"/>
          <w:highlight w:val="none"/>
        </w:rPr>
        <w:t>方式一：评标委员会为综合评标委员会，负责资格审查及评标工作。</w:t>
      </w:r>
    </w:p>
    <w:p>
      <w:pPr>
        <w:pStyle w:val="53"/>
        <w:tabs>
          <w:tab w:val="left" w:pos="7380"/>
        </w:tabs>
        <w:snapToGrid w:val="0"/>
        <w:spacing w:line="360" w:lineRule="auto"/>
        <w:ind w:firstLineChars="200"/>
        <w:rPr>
          <w:rFonts w:hint="default" w:ascii="Arial" w:hAnsi="Arial" w:cs="Arial"/>
          <w:b w:val="0"/>
          <w:color w:val="auto"/>
          <w:szCs w:val="21"/>
          <w:highlight w:val="none"/>
        </w:rPr>
      </w:pPr>
      <w:r>
        <w:rPr>
          <w:rFonts w:hint="default" w:ascii="Arial" w:hAnsi="Arial" w:cs="Arial"/>
          <w:color w:val="auto"/>
          <w:szCs w:val="21"/>
          <w:highlight w:val="none"/>
        </w:rPr>
        <w:t xml:space="preserve">条款号：42.2 </w:t>
      </w:r>
      <w:r>
        <w:rPr>
          <w:rFonts w:hint="eastAsia" w:ascii="Arial" w:hAnsi="Arial" w:cs="Arial"/>
          <w:color w:val="auto"/>
          <w:szCs w:val="21"/>
          <w:highlight w:val="none"/>
          <w:lang w:val="en-US" w:eastAsia="zh-CN"/>
        </w:rPr>
        <w:t>.1</w:t>
      </w:r>
      <w:r>
        <w:rPr>
          <w:rFonts w:hint="default" w:ascii="Arial" w:hAnsi="Arial" w:cs="Arial"/>
          <w:color w:val="auto"/>
          <w:szCs w:val="21"/>
          <w:highlight w:val="none"/>
        </w:rPr>
        <w:t xml:space="preserve">     修改类型：修改</w:t>
      </w:r>
    </w:p>
    <w:p>
      <w:pPr>
        <w:pStyle w:val="53"/>
        <w:tabs>
          <w:tab w:val="left" w:pos="7380"/>
        </w:tabs>
        <w:snapToGrid w:val="0"/>
        <w:spacing w:line="360" w:lineRule="auto"/>
        <w:ind w:firstLineChars="200"/>
        <w:rPr>
          <w:rFonts w:hint="default" w:ascii="Arial" w:hAnsi="Arial" w:cs="Arial"/>
          <w:b w:val="0"/>
          <w:bCs w:val="0"/>
          <w:color w:val="auto"/>
          <w:szCs w:val="21"/>
          <w:highlight w:val="none"/>
          <w:lang w:val="en-US" w:eastAsia="zh-CN"/>
        </w:rPr>
      </w:pPr>
      <w:r>
        <w:rPr>
          <w:rFonts w:hint="default" w:ascii="Arial" w:hAnsi="Arial" w:cs="Arial"/>
          <w:b/>
          <w:bCs/>
          <w:color w:val="auto"/>
          <w:szCs w:val="21"/>
          <w:highlight w:val="none"/>
          <w:lang w:val="en-US" w:eastAsia="zh-CN"/>
        </w:rPr>
        <w:t>原文：</w:t>
      </w:r>
      <w:r>
        <w:rPr>
          <w:rFonts w:hint="eastAsia" w:ascii="Arial" w:hAnsi="Arial" w:cs="Arial"/>
          <w:b w:val="0"/>
          <w:bCs w:val="0"/>
          <w:color w:val="auto"/>
          <w:szCs w:val="21"/>
          <w:highlight w:val="none"/>
          <w:lang w:val="en-US" w:eastAsia="zh-CN"/>
        </w:rPr>
        <w:t>42.2.1</w:t>
      </w:r>
      <w:r>
        <w:rPr>
          <w:rFonts w:hint="default" w:ascii="Arial" w:hAnsi="Arial" w:cs="Arial"/>
          <w:b w:val="0"/>
          <w:color w:val="auto"/>
          <w:szCs w:val="21"/>
          <w:highlight w:val="none"/>
          <w:lang w:val="en-US" w:eastAsia="zh-CN"/>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3"/>
        <w:pBdr>
          <w:bottom w:val="single" w:color="auto" w:sz="4" w:space="0"/>
        </w:pBdr>
        <w:tabs>
          <w:tab w:val="left" w:pos="7380"/>
        </w:tabs>
        <w:snapToGrid w:val="0"/>
        <w:spacing w:line="360" w:lineRule="auto"/>
        <w:ind w:firstLineChars="200"/>
        <w:rPr>
          <w:rFonts w:hint="eastAsia" w:ascii="Arial" w:hAnsi="Arial" w:cs="Arial"/>
          <w:color w:val="auto"/>
          <w:szCs w:val="21"/>
          <w:highlight w:val="none"/>
        </w:rPr>
      </w:pPr>
      <w:r>
        <w:rPr>
          <w:rFonts w:hint="default" w:ascii="Arial" w:hAnsi="Arial" w:cs="Arial"/>
          <w:b/>
          <w:bCs/>
          <w:color w:val="auto"/>
          <w:szCs w:val="21"/>
          <w:highlight w:val="none"/>
          <w:lang w:val="en-US" w:eastAsia="zh-CN"/>
        </w:rPr>
        <w:t>现文</w:t>
      </w:r>
      <w:r>
        <w:rPr>
          <w:rFonts w:hint="default" w:ascii="Arial" w:hAnsi="Arial" w:cs="Arial"/>
          <w:b w:val="0"/>
          <w:bCs w:val="0"/>
          <w:color w:val="auto"/>
          <w:szCs w:val="21"/>
          <w:highlight w:val="none"/>
          <w:lang w:val="en-US" w:eastAsia="zh-CN"/>
        </w:rPr>
        <w:t>：</w:t>
      </w:r>
      <w:r>
        <w:rPr>
          <w:rFonts w:hint="eastAsia" w:ascii="Arial" w:hAnsi="Arial" w:cs="Arial"/>
          <w:b w:val="0"/>
          <w:bCs w:val="0"/>
          <w:color w:val="auto"/>
          <w:szCs w:val="21"/>
          <w:highlight w:val="none"/>
          <w:lang w:val="en-US" w:eastAsia="zh-CN"/>
        </w:rPr>
        <w:t>42.2.1</w:t>
      </w:r>
      <w:r>
        <w:rPr>
          <w:rFonts w:hint="default" w:ascii="Arial" w:hAnsi="Arial" w:cs="Arial"/>
          <w:b w:val="0"/>
          <w:bCs w:val="0"/>
          <w:color w:val="auto"/>
          <w:szCs w:val="21"/>
          <w:highlight w:val="none"/>
          <w:lang w:val="en-US" w:eastAsia="zh-CN"/>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3"/>
        <w:tabs>
          <w:tab w:val="left" w:pos="7380"/>
        </w:tabs>
        <w:snapToGrid w:val="0"/>
        <w:spacing w:line="360" w:lineRule="auto"/>
        <w:ind w:firstLineChars="200"/>
        <w:rPr>
          <w:rFonts w:hint="default" w:ascii="Arial" w:hAnsi="Arial" w:cs="Arial"/>
          <w:b w:val="0"/>
          <w:color w:val="auto"/>
          <w:szCs w:val="21"/>
          <w:highlight w:val="none"/>
        </w:rPr>
      </w:pPr>
      <w:r>
        <w:rPr>
          <w:rFonts w:hint="default" w:ascii="Arial" w:hAnsi="Arial" w:cs="Arial"/>
          <w:color w:val="auto"/>
          <w:szCs w:val="21"/>
          <w:highlight w:val="none"/>
        </w:rPr>
        <w:t>条款号：42.</w:t>
      </w:r>
      <w:r>
        <w:rPr>
          <w:rFonts w:hint="eastAsia" w:ascii="Arial" w:hAnsi="Arial" w:cs="Arial"/>
          <w:color w:val="auto"/>
          <w:szCs w:val="21"/>
          <w:highlight w:val="none"/>
          <w:lang w:val="en-US" w:eastAsia="zh-CN"/>
        </w:rPr>
        <w:t>4.4</w:t>
      </w:r>
      <w:r>
        <w:rPr>
          <w:rFonts w:hint="default" w:ascii="Arial" w:hAnsi="Arial" w:cs="Arial"/>
          <w:color w:val="auto"/>
          <w:szCs w:val="21"/>
          <w:highlight w:val="none"/>
        </w:rPr>
        <w:t xml:space="preserve">     修改类型：修改</w:t>
      </w:r>
    </w:p>
    <w:p>
      <w:pPr>
        <w:pBdr>
          <w:bottom w:val="single" w:color="auto" w:sz="6" w:space="1"/>
        </w:pBdr>
        <w:spacing w:line="360" w:lineRule="auto"/>
        <w:ind w:firstLine="472" w:firstLineChars="224"/>
        <w:rPr>
          <w:rFonts w:hint="default" w:ascii="Arial" w:hAnsi="Arial" w:cs="Arial"/>
          <w:b w:val="0"/>
          <w:bCs/>
          <w:color w:val="auto"/>
          <w:szCs w:val="21"/>
          <w:highlight w:val="none"/>
          <w:lang w:val="en-US" w:eastAsia="zh-CN"/>
        </w:rPr>
      </w:pPr>
      <w:r>
        <w:rPr>
          <w:rFonts w:hint="default" w:ascii="Arial" w:hAnsi="Arial" w:cs="Arial"/>
          <w:b/>
          <w:bCs w:val="0"/>
          <w:color w:val="auto"/>
          <w:szCs w:val="21"/>
          <w:highlight w:val="none"/>
          <w:lang w:val="en-US" w:eastAsia="zh-CN"/>
        </w:rPr>
        <w:t>原文：</w:t>
      </w:r>
      <w:r>
        <w:rPr>
          <w:rFonts w:hint="default" w:ascii="Arial" w:hAnsi="Arial" w:cs="Arial"/>
          <w:b w:val="0"/>
          <w:bCs/>
          <w:color w:val="auto"/>
          <w:szCs w:val="21"/>
          <w:highlight w:val="none"/>
          <w:lang w:val="en-US" w:eastAsia="zh-CN"/>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472" w:firstLineChars="224"/>
        <w:rPr>
          <w:rFonts w:hint="default" w:ascii="Arial" w:hAnsi="Arial" w:eastAsia="宋体" w:cs="Arial"/>
          <w:b w:val="0"/>
          <w:bCs/>
          <w:color w:val="auto"/>
          <w:szCs w:val="21"/>
          <w:highlight w:val="none"/>
          <w:lang w:val="en-US" w:eastAsia="zh-CN"/>
        </w:rPr>
      </w:pPr>
      <w:r>
        <w:rPr>
          <w:rFonts w:hint="default" w:ascii="Arial" w:hAnsi="Arial" w:cs="Arial"/>
          <w:b/>
          <w:bCs w:val="0"/>
          <w:color w:val="auto"/>
          <w:szCs w:val="21"/>
          <w:highlight w:val="none"/>
          <w:lang w:val="en-US" w:eastAsia="zh-CN"/>
        </w:rPr>
        <w:t>现文：</w:t>
      </w:r>
      <w:r>
        <w:rPr>
          <w:rFonts w:hint="default" w:ascii="Arial" w:hAnsi="Arial" w:cs="Arial"/>
          <w:b w:val="0"/>
          <w:bCs/>
          <w:color w:val="auto"/>
          <w:szCs w:val="21"/>
          <w:highlight w:val="none"/>
          <w:lang w:val="en-US" w:eastAsia="zh-CN"/>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条款号：43.6                          修改类型：修改</w:t>
      </w:r>
    </w:p>
    <w:p>
      <w:pPr>
        <w:pBdr>
          <w:bottom w:val="single" w:color="auto" w:sz="6" w:space="1"/>
        </w:pBdr>
        <w:spacing w:line="360" w:lineRule="auto"/>
        <w:ind w:firstLine="472" w:firstLineChars="224"/>
        <w:rPr>
          <w:rFonts w:ascii="Arial" w:hAnsi="Arial" w:cs="Arial"/>
          <w:bCs/>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43.6资格审查合格的投标人少于3名的（当N个标段同时招标且不允许兼中时，资格审查合格的投标人少于N+2名），则本项目招标失败。</w:t>
      </w:r>
    </w:p>
    <w:p>
      <w:pPr>
        <w:pBdr>
          <w:bottom w:val="single" w:color="auto" w:sz="6" w:space="1"/>
        </w:pBdr>
        <w:spacing w:line="360" w:lineRule="auto"/>
        <w:ind w:firstLine="472" w:firstLineChars="224"/>
        <w:rPr>
          <w:rFonts w:ascii="Arial" w:hAnsi="Arial" w:cs="Arial"/>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rPr>
        <w:t>43.6资格审查合格的投标人少于3名的，则本项目招标失败。</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条款号：44.1                          修改类型：修改</w:t>
      </w:r>
    </w:p>
    <w:p>
      <w:pPr>
        <w:pBdr>
          <w:bottom w:val="single" w:color="auto" w:sz="6" w:space="1"/>
        </w:pBdr>
        <w:spacing w:line="360" w:lineRule="auto"/>
        <w:ind w:firstLine="472" w:firstLineChars="224"/>
        <w:rPr>
          <w:rFonts w:ascii="Arial" w:hAnsi="Arial" w:cs="Arial"/>
          <w:bCs/>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则本项目招标失败。</w:t>
      </w:r>
      <w:r>
        <w:rPr>
          <w:rFonts w:hint="eastAsia" w:ascii="宋体" w:hAnsi="宋体" w:cs="宋体"/>
          <w:b/>
          <w:bCs/>
          <w:color w:val="auto"/>
          <w:kern w:val="0"/>
          <w:szCs w:val="21"/>
          <w:highlight w:val="none"/>
          <w:lang w:val="en-US" w:eastAsia="zh-CN"/>
        </w:rPr>
        <w:t>评</w:t>
      </w:r>
      <w:r>
        <w:rPr>
          <w:rFonts w:hint="eastAsia" w:ascii="宋体" w:hAnsi="宋体" w:eastAsia="宋体" w:cs="宋体"/>
          <w:b/>
          <w:bCs/>
          <w:color w:val="auto"/>
          <w:kern w:val="0"/>
          <w:sz w:val="21"/>
          <w:szCs w:val="21"/>
          <w:highlight w:val="none"/>
        </w:rPr>
        <w:t>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条款号：45.1             修改类型：修改</w:t>
      </w:r>
    </w:p>
    <w:p>
      <w:pPr>
        <w:pBdr>
          <w:bottom w:val="single" w:color="auto" w:sz="6" w:space="1"/>
        </w:pBd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若通过技术标有效性审查的投标人中有投标报价均大于等于最高投标限价×D%（D的取值范围为[94,100],由招标人自主确定）的（具体金额为：元），则本项目招标失败，由招标人依法重新招标。</w:t>
      </w:r>
    </w:p>
    <w:p>
      <w:pPr>
        <w:pBdr>
          <w:bottom w:val="single" w:color="auto" w:sz="6" w:space="1"/>
        </w:pBdr>
        <w:spacing w:line="360" w:lineRule="auto"/>
        <w:ind w:firstLine="472" w:firstLineChars="224"/>
        <w:rPr>
          <w:rFonts w:ascii="Arial" w:hAnsi="Arial" w:cs="Arial"/>
          <w:bCs/>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u w:val="single"/>
        </w:rPr>
        <w:t>若通过技术标有效性审查的投标人中所有投标报价均大于等于最高投标限价</w:t>
      </w:r>
      <w:r>
        <w:rPr>
          <w:rFonts w:hint="eastAsia" w:ascii="Arial" w:hAnsi="Arial" w:cs="Arial"/>
          <w:bCs/>
          <w:color w:val="auto"/>
          <w:szCs w:val="21"/>
          <w:highlight w:val="none"/>
          <w:u w:val="single"/>
          <w:lang w:val="en-US" w:eastAsia="zh-CN"/>
        </w:rPr>
        <w:t>95</w:t>
      </w:r>
      <w:r>
        <w:rPr>
          <w:rFonts w:ascii="Arial" w:hAnsi="Arial" w:cs="Arial"/>
          <w:bCs/>
          <w:color w:val="auto"/>
          <w:szCs w:val="21"/>
          <w:highlight w:val="none"/>
          <w:u w:val="single"/>
        </w:rPr>
        <w:t>%的（具体金额为：</w:t>
      </w:r>
      <w:r>
        <w:rPr>
          <w:rFonts w:hint="eastAsia" w:ascii="Arial" w:hAnsi="Arial" w:cs="Arial"/>
          <w:bCs/>
          <w:color w:val="auto"/>
          <w:szCs w:val="21"/>
          <w:highlight w:val="none"/>
          <w:u w:val="single"/>
        </w:rPr>
        <w:t>16147663.83</w:t>
      </w:r>
      <w:r>
        <w:rPr>
          <w:rFonts w:hint="eastAsia" w:ascii="Arial" w:hAnsi="Arial" w:cs="Arial"/>
          <w:bCs/>
          <w:color w:val="auto"/>
          <w:szCs w:val="21"/>
          <w:highlight w:val="none"/>
          <w:u w:val="single"/>
          <w:lang w:val="en-US" w:eastAsia="zh-CN"/>
        </w:rPr>
        <w:t xml:space="preserve">元 </w:t>
      </w:r>
      <w:r>
        <w:rPr>
          <w:rFonts w:ascii="Arial" w:hAnsi="Arial" w:cs="Arial"/>
          <w:bCs/>
          <w:color w:val="auto"/>
          <w:szCs w:val="21"/>
          <w:highlight w:val="none"/>
          <w:u w:val="single"/>
        </w:rPr>
        <w:t>），则本项目招标失败，由招标人依法重新招标。</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条款号：45.2              修改类型：修改</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 xml:space="preserve">45.2按方法计算评标参考价： </w:t>
      </w:r>
    </w:p>
    <w:p>
      <w:pPr>
        <w:pBdr>
          <w:bottom w:val="single" w:color="auto" w:sz="6" w:space="1"/>
        </w:pBdr>
        <w:spacing w:line="360" w:lineRule="auto"/>
        <w:ind w:firstLine="527" w:firstLineChars="250"/>
        <w:rPr>
          <w:rFonts w:ascii="Arial" w:hAnsi="Arial" w:cs="Arial"/>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45.2按方法</w:t>
      </w:r>
      <w:r>
        <w:rPr>
          <w:rFonts w:ascii="Arial" w:hAnsi="Arial" w:cs="Arial"/>
          <w:color w:val="auto"/>
          <w:szCs w:val="21"/>
          <w:highlight w:val="none"/>
          <w:u w:val="single"/>
        </w:rPr>
        <w:t>一</w:t>
      </w:r>
      <w:r>
        <w:rPr>
          <w:rFonts w:ascii="Arial" w:hAnsi="Arial" w:cs="Arial"/>
          <w:color w:val="auto"/>
          <w:szCs w:val="21"/>
          <w:highlight w:val="none"/>
        </w:rPr>
        <w:t xml:space="preserve">计算评标参考价： </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条款号：方法一：加权平均法              修改类型：修改</w:t>
      </w:r>
    </w:p>
    <w:p>
      <w:pPr>
        <w:widowControl/>
        <w:spacing w:line="360" w:lineRule="auto"/>
        <w:ind w:firstLine="422" w:firstLineChars="200"/>
        <w:rPr>
          <w:rFonts w:ascii="Arial" w:hAnsi="Arial" w:cs="Arial"/>
          <w:b/>
          <w:bCs/>
          <w:color w:val="auto"/>
          <w:kern w:val="0"/>
          <w:szCs w:val="21"/>
          <w:highlight w:val="none"/>
        </w:rPr>
      </w:pPr>
      <w:r>
        <w:rPr>
          <w:rFonts w:ascii="Arial" w:hAnsi="Arial" w:cs="Arial"/>
          <w:b/>
          <w:color w:val="auto"/>
          <w:szCs w:val="21"/>
          <w:highlight w:val="none"/>
        </w:rPr>
        <w:t>原文：方法一：加权平均法</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评标参考价=Σ（投标人的投标报价×报价权重）。</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其中：报价权重的计算方法为：将N名投标人按技术分由高至低进行排序，第一名投标人的权重为（</w:t>
      </w:r>
      <w:r>
        <w:rPr>
          <w:rFonts w:ascii="Arial" w:hAnsi="Arial" w:cs="Arial"/>
          <w:color w:val="auto"/>
          <w:szCs w:val="21"/>
          <w:highlight w:val="none"/>
        </w:rPr>
        <w:fldChar w:fldCharType="begin"/>
      </w:r>
      <w:r>
        <w:rPr>
          <w:rFonts w:ascii="Arial" w:hAnsi="Arial" w:cs="Arial"/>
          <w:color w:val="auto"/>
          <w:szCs w:val="21"/>
          <w:highlight w:val="none"/>
        </w:rPr>
        <w:instrText xml:space="preserve"> QUOTE </w:instrText>
      </w:r>
      <w:r>
        <w:rPr>
          <w:rFonts w:ascii="Arial" w:hAnsi="Arial" w:cs="Arial"/>
          <w:color w:val="auto"/>
          <w:szCs w:val="21"/>
          <w:highlight w:val="none"/>
        </w:rPr>
        <w:drawing>
          <wp:inline distT="0" distB="0" distL="114300" distR="114300">
            <wp:extent cx="381000" cy="4495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81000" cy="449580"/>
                    </a:xfrm>
                    <a:prstGeom prst="rect">
                      <a:avLst/>
                    </a:prstGeom>
                    <a:noFill/>
                    <a:ln>
                      <a:noFill/>
                    </a:ln>
                  </pic:spPr>
                </pic:pic>
              </a:graphicData>
            </a:graphic>
          </wp:inline>
        </w:drawing>
      </w:r>
      <w:r>
        <w:rPr>
          <w:rFonts w:ascii="Arial" w:hAnsi="Arial" w:cs="Arial"/>
          <w:color w:val="auto"/>
          <w:szCs w:val="21"/>
          <w:highlight w:val="none"/>
        </w:rPr>
        <w:fldChar w:fldCharType="separate"/>
      </w:r>
      <w:r>
        <w:rPr>
          <w:rFonts w:ascii="Arial" w:hAnsi="Arial" w:cs="Arial"/>
          <w:color w:val="auto"/>
          <w:szCs w:val="21"/>
          <w:highlight w:val="none"/>
        </w:rPr>
        <w:drawing>
          <wp:inline distT="0" distB="0" distL="114300" distR="114300">
            <wp:extent cx="381000" cy="449580"/>
            <wp:effectExtent l="0" t="0" r="0" b="762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81000" cy="449580"/>
                    </a:xfrm>
                    <a:prstGeom prst="rect">
                      <a:avLst/>
                    </a:prstGeom>
                    <a:noFill/>
                    <a:ln>
                      <a:noFill/>
                    </a:ln>
                  </pic:spPr>
                </pic:pic>
              </a:graphicData>
            </a:graphic>
          </wp:inline>
        </w:drawing>
      </w:r>
      <w:r>
        <w:rPr>
          <w:rFonts w:ascii="Arial" w:hAnsi="Arial" w:cs="Arial"/>
          <w:color w:val="auto"/>
          <w:szCs w:val="21"/>
          <w:highlight w:val="none"/>
        </w:rPr>
        <w:fldChar w:fldCharType="end"/>
      </w:r>
      <w:r>
        <w:rPr>
          <w:rFonts w:ascii="Arial" w:hAnsi="Arial" w:cs="Arial"/>
          <w:color w:val="auto"/>
          <w:szCs w:val="21"/>
          <w:highlight w:val="none"/>
        </w:rPr>
        <w:t>），第二名投标人的权重为（</w:t>
      </w:r>
      <w:r>
        <w:rPr>
          <w:rFonts w:ascii="Arial" w:hAnsi="Arial" w:cs="Arial"/>
          <w:color w:val="auto"/>
          <w:szCs w:val="21"/>
          <w:highlight w:val="none"/>
        </w:rPr>
        <w:fldChar w:fldCharType="begin"/>
      </w:r>
      <w:r>
        <w:rPr>
          <w:rFonts w:ascii="Arial" w:hAnsi="Arial" w:cs="Arial"/>
          <w:color w:val="auto"/>
          <w:szCs w:val="21"/>
          <w:highlight w:val="none"/>
        </w:rPr>
        <w:instrText xml:space="preserve"> QUOTE </w:instrText>
      </w:r>
      <w:r>
        <w:rPr>
          <w:rFonts w:ascii="Arial" w:hAnsi="Arial" w:cs="Arial"/>
          <w:color w:val="auto"/>
          <w:szCs w:val="21"/>
          <w:highlight w:val="none"/>
        </w:rPr>
        <w:drawing>
          <wp:inline distT="0" distB="0" distL="114300" distR="114300">
            <wp:extent cx="320040" cy="403860"/>
            <wp:effectExtent l="0" t="0" r="3810" b="1524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ascii="Arial" w:hAnsi="Arial" w:cs="Arial"/>
          <w:color w:val="auto"/>
          <w:szCs w:val="21"/>
          <w:highlight w:val="none"/>
        </w:rPr>
        <w:fldChar w:fldCharType="separate"/>
      </w:r>
      <w:r>
        <w:rPr>
          <w:rFonts w:ascii="Arial" w:hAnsi="Arial" w:cs="Arial"/>
          <w:color w:val="auto"/>
          <w:szCs w:val="21"/>
          <w:highlight w:val="none"/>
        </w:rPr>
        <w:drawing>
          <wp:inline distT="0" distB="0" distL="114300" distR="114300">
            <wp:extent cx="320040" cy="403860"/>
            <wp:effectExtent l="0" t="0" r="3810" b="1524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ascii="Arial" w:hAnsi="Arial" w:cs="Arial"/>
          <w:color w:val="auto"/>
          <w:szCs w:val="21"/>
          <w:highlight w:val="none"/>
        </w:rPr>
        <w:fldChar w:fldCharType="end"/>
      </w:r>
      <w:r>
        <w:rPr>
          <w:rFonts w:ascii="Arial" w:hAnsi="Arial" w:cs="Arial"/>
          <w:color w:val="auto"/>
          <w:szCs w:val="21"/>
          <w:highlight w:val="none"/>
        </w:rPr>
        <w:t>），以此类推，最后一名投标人的权重为（</w:t>
      </w:r>
      <w:r>
        <w:rPr>
          <w:rFonts w:ascii="Arial" w:hAnsi="Arial" w:cs="Arial"/>
          <w:color w:val="auto"/>
          <w:szCs w:val="21"/>
          <w:highlight w:val="none"/>
        </w:rPr>
        <w:fldChar w:fldCharType="begin"/>
      </w:r>
      <w:r>
        <w:rPr>
          <w:rFonts w:ascii="Arial" w:hAnsi="Arial" w:cs="Arial"/>
          <w:color w:val="auto"/>
          <w:szCs w:val="21"/>
          <w:highlight w:val="none"/>
        </w:rPr>
        <w:instrText xml:space="preserve"> QUOTE </w:instrText>
      </w:r>
      <w:r>
        <w:rPr>
          <w:rFonts w:ascii="Arial" w:hAnsi="Arial" w:cs="Arial"/>
          <w:color w:val="auto"/>
          <w:szCs w:val="21"/>
          <w:highlight w:val="none"/>
        </w:rPr>
        <w:drawing>
          <wp:inline distT="0" distB="0" distL="114300" distR="114300">
            <wp:extent cx="320040" cy="403860"/>
            <wp:effectExtent l="0" t="0" r="3810" b="15875"/>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ascii="Arial" w:hAnsi="Arial" w:cs="Arial"/>
          <w:color w:val="auto"/>
          <w:szCs w:val="21"/>
          <w:highlight w:val="none"/>
        </w:rPr>
        <w:fldChar w:fldCharType="separate"/>
      </w:r>
      <w:r>
        <w:rPr>
          <w:rFonts w:ascii="Arial" w:hAnsi="Arial" w:cs="Arial"/>
          <w:color w:val="auto"/>
          <w:szCs w:val="21"/>
          <w:highlight w:val="none"/>
        </w:rPr>
        <w:drawing>
          <wp:inline distT="0" distB="0" distL="114300" distR="114300">
            <wp:extent cx="320040" cy="403860"/>
            <wp:effectExtent l="0" t="0" r="3810" b="15875"/>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ascii="Arial" w:hAnsi="Arial" w:cs="Arial"/>
          <w:color w:val="auto"/>
          <w:szCs w:val="21"/>
          <w:highlight w:val="none"/>
        </w:rPr>
        <w:fldChar w:fldCharType="end"/>
      </w:r>
      <w:r>
        <w:rPr>
          <w:rFonts w:ascii="Arial" w:hAnsi="Arial" w:cs="Arial"/>
          <w:color w:val="auto"/>
          <w:szCs w:val="21"/>
          <w:highlight w:val="none"/>
        </w:rPr>
        <w:t>）。</w:t>
      </w:r>
    </w:p>
    <w:p>
      <w:pPr>
        <w:widowControl/>
        <w:spacing w:line="360" w:lineRule="auto"/>
        <w:ind w:firstLine="422" w:firstLineChars="200"/>
        <w:rPr>
          <w:rFonts w:ascii="Arial" w:hAnsi="Arial" w:cs="Arial"/>
          <w:b/>
          <w:bCs/>
          <w:color w:val="auto"/>
          <w:kern w:val="0"/>
          <w:szCs w:val="21"/>
          <w:highlight w:val="none"/>
        </w:rPr>
      </w:pPr>
      <w:r>
        <w:rPr>
          <w:rFonts w:ascii="Arial" w:hAnsi="Arial" w:cs="Arial"/>
          <w:b/>
          <w:color w:val="auto"/>
          <w:szCs w:val="21"/>
          <w:highlight w:val="none"/>
        </w:rPr>
        <w:t>现文：方法一：加权平均法</w:t>
      </w:r>
    </w:p>
    <w:p>
      <w:pPr>
        <w:pBdr>
          <w:bottom w:val="single" w:color="auto" w:sz="6" w:space="1"/>
        </w:pBdr>
        <w:spacing w:line="360" w:lineRule="auto"/>
        <w:ind w:firstLine="525" w:firstLineChars="250"/>
        <w:rPr>
          <w:rFonts w:ascii="Arial" w:hAnsi="Arial" w:cs="Arial"/>
          <w:color w:val="auto"/>
          <w:szCs w:val="21"/>
          <w:highlight w:val="none"/>
        </w:rPr>
      </w:pPr>
      <w:r>
        <w:rPr>
          <w:rFonts w:hint="eastAsia" w:ascii="Arial" w:hAnsi="Arial" w:cs="Arial"/>
          <w:color w:val="auto"/>
          <w:szCs w:val="21"/>
          <w:highlight w:val="none"/>
        </w:rPr>
        <w:t>技术标得分前N名（若通过技术标有效性审查的家数大于等于5家时，N=5；若小于5家时，N=通过技术标有效性审查的家数；技术标得分相同的，以投标报价低的排前；技术标得分与投标报价均相同的投标人，由评标委员会采用记名投票方式，确定投标人的排序，投票方式确定排序的具体操作步骤为：由评标会对出现该情况的投标人进行编号，然后通过投票方式依次确定投标人的排序。）的经济报价加权平均，计算评标参考价。公式如下：</w:t>
      </w:r>
    </w:p>
    <w:p>
      <w:pPr>
        <w:pBdr>
          <w:bottom w:val="single" w:color="auto" w:sz="6" w:space="1"/>
        </w:pBdr>
        <w:spacing w:line="360" w:lineRule="auto"/>
        <w:ind w:firstLine="525" w:firstLineChars="250"/>
        <w:rPr>
          <w:rFonts w:ascii="Arial" w:hAnsi="Arial" w:cs="Arial"/>
          <w:color w:val="auto"/>
          <w:szCs w:val="21"/>
          <w:highlight w:val="none"/>
        </w:rPr>
      </w:pPr>
      <w:r>
        <w:rPr>
          <w:rFonts w:ascii="Arial" w:hAnsi="Arial" w:cs="Arial"/>
          <w:color w:val="auto"/>
          <w:szCs w:val="21"/>
          <w:highlight w:val="none"/>
        </w:rPr>
        <w:t>评标参考价=Σ（投标人的投标报价×报价权重）。</w:t>
      </w:r>
    </w:p>
    <w:p>
      <w:pPr>
        <w:pBdr>
          <w:bottom w:val="single" w:color="auto" w:sz="6" w:space="1"/>
        </w:pBdr>
        <w:spacing w:line="360" w:lineRule="auto"/>
        <w:ind w:firstLine="525" w:firstLineChars="250"/>
        <w:rPr>
          <w:rFonts w:ascii="Arial" w:hAnsi="Arial" w:cs="Arial"/>
          <w:color w:val="auto"/>
          <w:spacing w:val="2"/>
          <w:highlight w:val="none"/>
        </w:rPr>
      </w:pPr>
      <w:r>
        <w:rPr>
          <w:rFonts w:ascii="Arial" w:hAnsi="Arial" w:cs="Arial"/>
          <w:color w:val="auto"/>
          <w:szCs w:val="21"/>
          <w:highlight w:val="none"/>
        </w:rPr>
        <w:t>其中：报价权重的计算方法为：将N名投标人按技术分由高至低进行排序，第一名投标人的权重为（</w:t>
      </w:r>
      <w:r>
        <w:rPr>
          <w:rFonts w:ascii="Arial" w:hAnsi="Arial" w:cs="Arial"/>
          <w:color w:val="auto"/>
          <w:spacing w:val="-4"/>
          <w:highlight w:val="none"/>
        </w:rPr>
        <w:drawing>
          <wp:inline distT="0" distB="0" distL="114300" distR="114300">
            <wp:extent cx="240030" cy="288290"/>
            <wp:effectExtent l="0" t="0" r="7620" b="16510"/>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240030" cy="288290"/>
                    </a:xfrm>
                    <a:prstGeom prst="rect">
                      <a:avLst/>
                    </a:prstGeom>
                    <a:noFill/>
                    <a:ln>
                      <a:noFill/>
                    </a:ln>
                  </pic:spPr>
                </pic:pic>
              </a:graphicData>
            </a:graphic>
          </wp:inline>
        </w:drawing>
      </w:r>
      <w:r>
        <w:rPr>
          <w:rFonts w:ascii="Arial" w:hAnsi="Arial" w:cs="Arial"/>
          <w:color w:val="auto"/>
          <w:szCs w:val="21"/>
          <w:highlight w:val="none"/>
        </w:rPr>
        <w:t>），第二名投标人的权重为（</w:t>
      </w:r>
      <w:r>
        <w:rPr>
          <w:rFonts w:ascii="Arial" w:hAnsi="Arial" w:cs="Arial"/>
          <w:color w:val="auto"/>
          <w:spacing w:val="-4"/>
          <w:highlight w:val="none"/>
        </w:rPr>
        <w:drawing>
          <wp:inline distT="0" distB="0" distL="114300" distR="114300">
            <wp:extent cx="233045" cy="288290"/>
            <wp:effectExtent l="0" t="0" r="14605" b="16510"/>
            <wp:docPr id="3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233045" cy="288290"/>
                    </a:xfrm>
                    <a:prstGeom prst="rect">
                      <a:avLst/>
                    </a:prstGeom>
                    <a:noFill/>
                    <a:ln>
                      <a:noFill/>
                    </a:ln>
                  </pic:spPr>
                </pic:pic>
              </a:graphicData>
            </a:graphic>
          </wp:inline>
        </w:drawing>
      </w:r>
      <w:r>
        <w:rPr>
          <w:rFonts w:ascii="Arial" w:hAnsi="Arial" w:cs="Arial"/>
          <w:color w:val="auto"/>
          <w:szCs w:val="21"/>
          <w:highlight w:val="none"/>
        </w:rPr>
        <w:t>），以此类推，最后一名投标人的权重为（</w:t>
      </w:r>
      <w:r>
        <w:rPr>
          <w:rFonts w:ascii="Arial" w:hAnsi="Arial" w:cs="Arial"/>
          <w:color w:val="auto"/>
          <w:spacing w:val="-4"/>
          <w:highlight w:val="none"/>
        </w:rPr>
        <w:drawing>
          <wp:inline distT="0" distB="0" distL="114300" distR="114300">
            <wp:extent cx="233045" cy="288290"/>
            <wp:effectExtent l="0" t="0" r="14605" b="16510"/>
            <wp:docPr id="3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2"/>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233045" cy="288290"/>
                    </a:xfrm>
                    <a:prstGeom prst="rect">
                      <a:avLst/>
                    </a:prstGeom>
                    <a:noFill/>
                    <a:ln>
                      <a:noFill/>
                    </a:ln>
                  </pic:spPr>
                </pic:pic>
              </a:graphicData>
            </a:graphic>
          </wp:inline>
        </w:drawing>
      </w:r>
      <w:r>
        <w:rPr>
          <w:rFonts w:ascii="Arial" w:hAnsi="Arial" w:cs="Arial"/>
          <w:color w:val="auto"/>
          <w:szCs w:val="21"/>
          <w:highlight w:val="none"/>
        </w:rPr>
        <w:t>）。</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条款号：45.3            修改类型：修改</w:t>
      </w:r>
    </w:p>
    <w:p>
      <w:pPr>
        <w:widowControl/>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rFonts w:ascii="Arial" w:hAnsi="Arial" w:cs="Arial"/>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u w:val="single"/>
        </w:rPr>
        <w:t>当标价等于评标参考价时得100分，标价每高于评标参考价1%，扣0.5分，每低于评标参考价1%，扣0.3分，扣至0分为止，得出经济分，精确到小数点后两位。</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条款号：45.4修改类型：修改</w:t>
      </w:r>
    </w:p>
    <w:p>
      <w:pPr>
        <w:widowControl/>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原文：</w:t>
      </w:r>
      <w:r>
        <w:rPr>
          <w:rFonts w:hint="eastAsia" w:ascii="Arial" w:hAnsi="Arial" w:cs="Arial"/>
          <w:b/>
          <w:color w:val="auto"/>
          <w:szCs w:val="21"/>
          <w:highlight w:val="none"/>
          <w:lang w:val="en-US" w:eastAsia="zh-CN"/>
        </w:rPr>
        <w:t>45.4</w:t>
      </w:r>
      <w:r>
        <w:rPr>
          <w:rFonts w:ascii="Arial" w:hAnsi="Arial" w:cs="Arial"/>
          <w:bCs/>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422" w:firstLineChars="200"/>
        <w:rPr>
          <w:rFonts w:ascii="Arial" w:hAnsi="Arial" w:cs="Arial"/>
          <w:bCs/>
          <w:color w:val="auto"/>
          <w:szCs w:val="21"/>
          <w:highlight w:val="none"/>
        </w:rPr>
      </w:pPr>
      <w:r>
        <w:rPr>
          <w:rFonts w:ascii="Arial" w:hAnsi="Arial" w:cs="Arial"/>
          <w:b/>
          <w:color w:val="auto"/>
          <w:szCs w:val="21"/>
          <w:highlight w:val="none"/>
        </w:rPr>
        <w:t>现文：</w:t>
      </w:r>
      <w:r>
        <w:rPr>
          <w:rFonts w:hint="eastAsia" w:ascii="Arial" w:hAnsi="Arial" w:cs="Arial"/>
          <w:b w:val="0"/>
          <w:bCs/>
          <w:color w:val="auto"/>
          <w:szCs w:val="21"/>
          <w:highlight w:val="none"/>
        </w:rPr>
        <w:t>45.4计算通过技术标有效性审查的投标人总得分。</w:t>
      </w:r>
      <w:r>
        <w:rPr>
          <w:rFonts w:hint="eastAsia" w:ascii="Arial" w:hAnsi="Arial" w:cs="Arial"/>
          <w:b w:val="0"/>
          <w:bCs/>
          <w:color w:val="auto"/>
          <w:szCs w:val="21"/>
          <w:highlight w:val="none"/>
          <w:lang w:eastAsia="zh-CN"/>
        </w:rPr>
        <w:t>投标人总得分=技术得分（满分</w:t>
      </w:r>
      <w:r>
        <w:rPr>
          <w:rFonts w:hint="eastAsia" w:ascii="Arial" w:hAnsi="Arial" w:cs="Arial"/>
          <w:b w:val="0"/>
          <w:bCs/>
          <w:color w:val="auto"/>
          <w:szCs w:val="21"/>
          <w:highlight w:val="none"/>
          <w:lang w:val="en-US" w:eastAsia="zh-CN"/>
        </w:rPr>
        <w:t>100</w:t>
      </w:r>
      <w:r>
        <w:rPr>
          <w:rFonts w:hint="eastAsia" w:ascii="Arial" w:hAnsi="Arial" w:cs="Arial"/>
          <w:b w:val="0"/>
          <w:bCs/>
          <w:color w:val="auto"/>
          <w:szCs w:val="21"/>
          <w:highlight w:val="none"/>
          <w:lang w:eastAsia="zh-CN"/>
        </w:rPr>
        <w:t>分）</w:t>
      </w:r>
      <w:r>
        <w:rPr>
          <w:rFonts w:ascii="Arial" w:hAnsi="Arial" w:cs="Arial"/>
          <w:bCs/>
          <w:color w:val="auto"/>
          <w:szCs w:val="21"/>
          <w:highlight w:val="none"/>
        </w:rPr>
        <w:t>×技术得分权重</w:t>
      </w:r>
      <w:r>
        <w:rPr>
          <w:rFonts w:hint="eastAsia" w:ascii="Arial" w:hAnsi="Arial" w:cs="Arial"/>
          <w:bCs/>
          <w:color w:val="auto"/>
          <w:szCs w:val="21"/>
          <w:highlight w:val="none"/>
          <w:lang w:eastAsia="zh-CN"/>
        </w:rPr>
        <w:t>（</w:t>
      </w:r>
      <w:r>
        <w:rPr>
          <w:rFonts w:hint="eastAsia" w:ascii="Arial" w:hAnsi="Arial" w:cs="Arial"/>
          <w:bCs/>
          <w:color w:val="auto"/>
          <w:szCs w:val="21"/>
          <w:highlight w:val="none"/>
          <w:lang w:val="en-US" w:eastAsia="zh-CN"/>
        </w:rPr>
        <w:t>20%）</w:t>
      </w:r>
      <w:r>
        <w:rPr>
          <w:rFonts w:hint="eastAsia" w:ascii="Arial" w:hAnsi="Arial" w:cs="Arial"/>
          <w:b w:val="0"/>
          <w:bCs/>
          <w:color w:val="auto"/>
          <w:szCs w:val="21"/>
          <w:highlight w:val="none"/>
          <w:lang w:eastAsia="zh-CN"/>
        </w:rPr>
        <w:t>＋经济得分（满分100分）×经济得分权重（80%）</w:t>
      </w:r>
      <w:r>
        <w:rPr>
          <w:rFonts w:hint="eastAsia" w:ascii="Arial" w:hAnsi="Arial" w:cs="Arial"/>
          <w:b w:val="0"/>
          <w:bCs/>
          <w:color w:val="auto"/>
          <w:szCs w:val="21"/>
          <w:highlight w:val="none"/>
        </w:rPr>
        <w:t>。</w:t>
      </w:r>
      <w:r>
        <w:rPr>
          <w:rFonts w:ascii="Arial" w:hAnsi="Arial" w:cs="Arial"/>
          <w:bCs/>
          <w:color w:val="auto"/>
          <w:szCs w:val="21"/>
          <w:highlight w:val="none"/>
        </w:rPr>
        <w:t>技术、经济得分权重按投标须知前附表的规定执行。总得分相同的投标文件，以技术分较高的排前；技术分均相同的投标文件，以报价较低的排前；如仍存在相同情况，则对具有相同情况的投标人，由评标委员会采用以差额选举的记名投票方式决定先后顺序，确定投标人的排序。</w:t>
      </w:r>
    </w:p>
    <w:p>
      <w:pPr>
        <w:spacing w:line="480" w:lineRule="auto"/>
        <w:ind w:firstLine="472" w:firstLineChars="224"/>
        <w:rPr>
          <w:rFonts w:ascii="Arial" w:hAnsi="Arial" w:cs="Arial"/>
          <w:b/>
          <w:color w:val="auto"/>
          <w:szCs w:val="21"/>
          <w:highlight w:val="none"/>
        </w:rPr>
      </w:pPr>
      <w:r>
        <w:rPr>
          <w:rFonts w:ascii="Arial" w:hAnsi="Arial" w:cs="Arial"/>
          <w:b/>
          <w:color w:val="auto"/>
          <w:szCs w:val="21"/>
          <w:highlight w:val="none"/>
        </w:rPr>
        <w:t>款号：</w:t>
      </w:r>
      <w:r>
        <w:rPr>
          <w:rFonts w:hint="eastAsia" w:ascii="Arial" w:hAnsi="Arial" w:cs="Arial"/>
          <w:b/>
          <w:color w:val="auto"/>
          <w:szCs w:val="21"/>
          <w:highlight w:val="none"/>
          <w:lang w:val="en-US" w:eastAsia="zh-CN"/>
        </w:rPr>
        <w:t xml:space="preserve">46.1             </w:t>
      </w:r>
      <w:r>
        <w:rPr>
          <w:rFonts w:ascii="Arial" w:hAnsi="Arial" w:cs="Arial"/>
          <w:b/>
          <w:color w:val="auto"/>
          <w:szCs w:val="21"/>
          <w:highlight w:val="none"/>
        </w:rPr>
        <w:t>修改类型：修改</w:t>
      </w:r>
    </w:p>
    <w:p>
      <w:pPr>
        <w:pBdr>
          <w:bottom w:val="single" w:color="auto" w:sz="6" w:space="1"/>
        </w:pBdr>
        <w:spacing w:line="360" w:lineRule="auto"/>
        <w:ind w:firstLine="422" w:firstLineChars="200"/>
        <w:rPr>
          <w:rFonts w:hint="default" w:ascii="Arial" w:hAnsi="Arial" w:eastAsia="宋体" w:cs="Arial"/>
          <w:bCs/>
          <w:color w:val="auto"/>
          <w:kern w:val="2"/>
          <w:sz w:val="21"/>
          <w:szCs w:val="21"/>
          <w:highlight w:val="none"/>
        </w:rPr>
      </w:pPr>
      <w:r>
        <w:rPr>
          <w:rFonts w:hint="eastAsia" w:ascii="Arial" w:hAnsi="Arial" w:cs="Arial"/>
          <w:b/>
          <w:bCs w:val="0"/>
          <w:color w:val="auto"/>
          <w:kern w:val="2"/>
          <w:sz w:val="21"/>
          <w:szCs w:val="21"/>
          <w:highlight w:val="none"/>
          <w:lang w:val="en-US" w:eastAsia="zh-CN"/>
        </w:rPr>
        <w:t>原文：</w:t>
      </w:r>
      <w:r>
        <w:rPr>
          <w:rFonts w:hint="default" w:ascii="Arial" w:hAnsi="Arial" w:eastAsia="宋体" w:cs="Arial"/>
          <w:bCs/>
          <w:color w:val="auto"/>
          <w:kern w:val="2"/>
          <w:sz w:val="21"/>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422" w:firstLineChars="200"/>
        <w:rPr>
          <w:rFonts w:hint="eastAsia" w:ascii="Arial" w:hAnsi="Arial" w:cs="Arial"/>
          <w:b/>
          <w:bCs w:val="0"/>
          <w:color w:val="auto"/>
          <w:szCs w:val="21"/>
          <w:highlight w:val="none"/>
        </w:rPr>
      </w:pPr>
      <w:r>
        <w:rPr>
          <w:rFonts w:hint="eastAsia" w:ascii="Arial" w:hAnsi="Arial" w:cs="Arial"/>
          <w:b/>
          <w:bCs w:val="0"/>
          <w:color w:val="auto"/>
          <w:kern w:val="2"/>
          <w:sz w:val="21"/>
          <w:szCs w:val="21"/>
          <w:highlight w:val="none"/>
          <w:lang w:val="en-US" w:eastAsia="zh-CN"/>
        </w:rPr>
        <w:t>现文：</w:t>
      </w:r>
      <w:r>
        <w:rPr>
          <w:rFonts w:hint="eastAsia" w:ascii="Arial" w:hAnsi="Arial" w:cs="Arial"/>
          <w:b w:val="0"/>
          <w:bCs/>
          <w:color w:val="auto"/>
          <w:kern w:val="2"/>
          <w:sz w:val="21"/>
          <w:szCs w:val="21"/>
          <w:highlight w:val="none"/>
          <w:lang w:val="en-US" w:eastAsia="zh-CN"/>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Arial" w:hAnsi="Arial" w:cs="Arial"/>
          <w:b/>
          <w:bCs w:val="0"/>
          <w:color w:val="auto"/>
          <w:kern w:val="2"/>
          <w:sz w:val="21"/>
          <w:szCs w:val="21"/>
          <w:highlight w:val="none"/>
          <w:lang w:val="en-US" w:eastAsia="zh-CN"/>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72" w:firstLineChars="224"/>
        <w:rPr>
          <w:rFonts w:ascii="Arial" w:hAnsi="Arial" w:cs="Arial"/>
          <w:b/>
          <w:color w:val="auto"/>
          <w:szCs w:val="21"/>
          <w:highlight w:val="none"/>
        </w:rPr>
      </w:pP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条款号：48                               修改类型：修改</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原文：</w:t>
      </w:r>
      <w:r>
        <w:rPr>
          <w:rFonts w:ascii="Arial" w:hAnsi="Arial" w:cs="Arial"/>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464" w:firstLineChars="220"/>
        <w:rPr>
          <w:rFonts w:ascii="宋体" w:hAnsi="宋体"/>
          <w:bCs/>
          <w:color w:val="auto"/>
          <w:szCs w:val="21"/>
          <w:highlight w:val="none"/>
        </w:rPr>
      </w:pPr>
      <w:r>
        <w:rPr>
          <w:rFonts w:ascii="Arial" w:hAnsi="Arial" w:cs="Arial"/>
          <w:b/>
          <w:color w:val="auto"/>
          <w:szCs w:val="21"/>
          <w:highlight w:val="none"/>
        </w:rPr>
        <w:t>现文：</w:t>
      </w:r>
      <w:r>
        <w:rPr>
          <w:rFonts w:ascii="Arial" w:hAnsi="Arial" w:cs="Arial"/>
          <w:color w:val="auto"/>
          <w:szCs w:val="21"/>
          <w:highlight w:val="none"/>
        </w:rPr>
        <w:t>48.评标委员会应在通过投标文件经济标有效性审查的投标人中，按步骤45.4确定的投标人排序，推荐前3名依次为第一中标候选人至第三中标候选人,并编制评标报告。</w:t>
      </w:r>
    </w:p>
    <w:p>
      <w:pPr>
        <w:pStyle w:val="2"/>
        <w:spacing w:line="360" w:lineRule="auto"/>
        <w:ind w:firstLine="464" w:firstLineChars="220"/>
        <w:rPr>
          <w:rFonts w:hAnsi="宋体" w:cs="宋体"/>
          <w:b/>
          <w:color w:val="auto"/>
          <w:szCs w:val="21"/>
          <w:highlight w:val="none"/>
        </w:rPr>
      </w:pPr>
      <w:r>
        <w:rPr>
          <w:rFonts w:hint="eastAsia" w:hAnsi="宋体" w:cs="宋体"/>
          <w:b/>
          <w:color w:val="auto"/>
          <w:szCs w:val="21"/>
          <w:highlight w:val="none"/>
        </w:rPr>
        <w:t>条款号：49                               修改类型：修改</w:t>
      </w:r>
    </w:p>
    <w:p>
      <w:pPr>
        <w:pBdr>
          <w:bottom w:val="single" w:color="auto" w:sz="6" w:space="1"/>
        </w:pBdr>
        <w:spacing w:line="360" w:lineRule="auto"/>
        <w:ind w:firstLine="464" w:firstLineChars="22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49.若通过经济标有效性审查的投标人不足三家，应当依法重新招标。（当N个标段同时招标且不允许兼中时，若有效投标人不足N+2家，应当依法重新招标）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464" w:firstLineChars="220"/>
        <w:rPr>
          <w:rFonts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49.若通过经济标有效性审查的投标人不足三家，应当依法重新招标。</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条款号：附表一《资格审查表》          修改类型：修改</w:t>
      </w:r>
    </w:p>
    <w:p>
      <w:pPr>
        <w:spacing w:line="360" w:lineRule="auto"/>
        <w:ind w:firstLine="422" w:firstLineChars="200"/>
        <w:rPr>
          <w:rFonts w:ascii="Arial" w:hAnsi="Arial" w:cs="Arial"/>
          <w:bCs/>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rPr>
        <w:t>详见附表一《资格审查表》</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条款号：附表二《技术标有效性审查表》          修改类型：修改</w:t>
      </w:r>
    </w:p>
    <w:p>
      <w:pPr>
        <w:spacing w:line="360" w:lineRule="auto"/>
        <w:ind w:firstLine="422" w:firstLineChars="200"/>
        <w:rPr>
          <w:rFonts w:ascii="Arial" w:hAnsi="Arial" w:cs="Arial"/>
          <w:bCs/>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rPr>
        <w:t>详见附表二《技术标有效性审查表》</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条款号：附表三《经济标有效性审查表》          修改类型：修改</w:t>
      </w:r>
    </w:p>
    <w:p>
      <w:pPr>
        <w:spacing w:line="360" w:lineRule="auto"/>
        <w:ind w:firstLine="422" w:firstLineChars="200"/>
        <w:rPr>
          <w:rFonts w:ascii="Arial" w:hAnsi="Arial" w:cs="Arial"/>
          <w:bCs/>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ascii="Arial" w:hAnsi="Arial" w:cs="Arial"/>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rPr>
        <w:t>详见附表三《经济标有效性审查表》</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条款号：附表四《技术标详细审查评分表》          修改类型：修改</w:t>
      </w:r>
    </w:p>
    <w:p>
      <w:pPr>
        <w:spacing w:line="360" w:lineRule="auto"/>
        <w:ind w:firstLine="422" w:firstLineChars="200"/>
        <w:rPr>
          <w:rFonts w:ascii="Arial" w:hAnsi="Arial" w:cs="Arial"/>
          <w:bCs/>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详见《广州市建设工程施工公开招标项目招标文件范本GZZB2018-3》</w:t>
      </w:r>
    </w:p>
    <w:p>
      <w:pPr>
        <w:pBdr>
          <w:bottom w:val="single" w:color="auto" w:sz="6" w:space="1"/>
        </w:pBdr>
        <w:spacing w:line="360" w:lineRule="auto"/>
        <w:ind w:firstLine="527" w:firstLineChars="250"/>
        <w:rPr>
          <w:rFonts w:ascii="Arial" w:hAnsi="Arial" w:cs="Arial"/>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rPr>
        <w:t>详见附表四《技术标详细审查评分表》</w:t>
      </w:r>
    </w:p>
    <w:p>
      <w:pPr>
        <w:spacing w:line="360" w:lineRule="auto"/>
        <w:ind w:firstLine="472" w:firstLineChars="224"/>
        <w:rPr>
          <w:rFonts w:ascii="Arial" w:hAnsi="Arial" w:cs="Arial"/>
          <w:b/>
          <w:color w:val="auto"/>
          <w:szCs w:val="21"/>
          <w:highlight w:val="none"/>
        </w:rPr>
      </w:pPr>
      <w:r>
        <w:rPr>
          <w:rFonts w:ascii="Arial" w:hAnsi="Arial" w:cs="Arial"/>
          <w:b/>
          <w:color w:val="auto"/>
          <w:szCs w:val="21"/>
          <w:highlight w:val="none"/>
        </w:rPr>
        <w:t>条款号：附表五《经济标评分表》             修改类型：修改</w:t>
      </w:r>
    </w:p>
    <w:p>
      <w:pPr>
        <w:pBdr>
          <w:bottom w:val="single" w:color="auto" w:sz="6" w:space="1"/>
        </w:pBdr>
        <w:spacing w:line="360" w:lineRule="auto"/>
        <w:ind w:firstLine="472" w:firstLineChars="224"/>
        <w:rPr>
          <w:rFonts w:ascii="Arial" w:hAnsi="Arial" w:cs="Arial"/>
          <w:bCs/>
          <w:color w:val="auto"/>
          <w:szCs w:val="21"/>
          <w:highlight w:val="none"/>
        </w:rPr>
      </w:pPr>
      <w:r>
        <w:rPr>
          <w:rFonts w:ascii="Arial" w:hAnsi="Arial" w:cs="Arial"/>
          <w:b/>
          <w:color w:val="auto"/>
          <w:szCs w:val="21"/>
          <w:highlight w:val="none"/>
        </w:rPr>
        <w:t>原文：</w:t>
      </w:r>
      <w:r>
        <w:rPr>
          <w:rFonts w:ascii="Arial" w:hAnsi="Arial" w:cs="Arial"/>
          <w:bCs/>
          <w:color w:val="auto"/>
          <w:szCs w:val="21"/>
          <w:highlight w:val="none"/>
        </w:rPr>
        <w:t>详见《广州市建设工程施工公开招标项目招标文件范本GZZB2018-3》</w:t>
      </w:r>
    </w:p>
    <w:p>
      <w:pPr>
        <w:pBdr>
          <w:bottom w:val="single" w:color="auto" w:sz="6" w:space="1"/>
        </w:pBdr>
        <w:spacing w:line="380" w:lineRule="exact"/>
        <w:ind w:firstLine="527" w:firstLineChars="250"/>
        <w:rPr>
          <w:rFonts w:ascii="Arial" w:hAnsi="Arial" w:cs="Arial"/>
          <w:bCs/>
          <w:color w:val="auto"/>
          <w:szCs w:val="21"/>
          <w:highlight w:val="none"/>
        </w:rPr>
      </w:pPr>
      <w:r>
        <w:rPr>
          <w:rFonts w:ascii="Arial" w:hAnsi="Arial" w:cs="Arial"/>
          <w:b/>
          <w:color w:val="auto"/>
          <w:szCs w:val="21"/>
          <w:highlight w:val="none"/>
        </w:rPr>
        <w:t>现文：</w:t>
      </w:r>
      <w:r>
        <w:rPr>
          <w:rFonts w:ascii="Arial" w:hAnsi="Arial" w:cs="Arial"/>
          <w:bCs/>
          <w:color w:val="auto"/>
          <w:szCs w:val="21"/>
          <w:highlight w:val="none"/>
        </w:rPr>
        <w:t>详见附表五《经济标评分表》</w:t>
      </w:r>
    </w:p>
    <w:p>
      <w:pPr>
        <w:spacing w:line="360" w:lineRule="auto"/>
        <w:ind w:firstLine="211" w:firstLineChars="100"/>
        <w:rPr>
          <w:rFonts w:ascii="Arial" w:hAnsi="Arial" w:cs="Arial"/>
          <w:b/>
          <w:color w:val="auto"/>
          <w:szCs w:val="21"/>
          <w:highlight w:val="none"/>
        </w:rPr>
      </w:pPr>
      <w:r>
        <w:rPr>
          <w:rFonts w:ascii="Arial" w:hAnsi="Arial" w:cs="Arial"/>
          <w:b/>
          <w:color w:val="auto"/>
          <w:szCs w:val="21"/>
          <w:highlight w:val="none"/>
        </w:rPr>
        <w:t>注：以上修改，仅限于本范本中有可供选择条款的情形。</w:t>
      </w:r>
    </w:p>
    <w:p>
      <w:pPr>
        <w:spacing w:line="360" w:lineRule="auto"/>
        <w:rPr>
          <w:rFonts w:ascii="Arial" w:hAnsi="Arial" w:cs="Arial"/>
          <w:color w:val="auto"/>
          <w:highlight w:val="none"/>
        </w:rPr>
      </w:pPr>
      <w:r>
        <w:rPr>
          <w:rFonts w:ascii="Arial" w:hAnsi="Arial" w:cs="Arial"/>
          <w:b/>
          <w:color w:val="auto"/>
          <w:szCs w:val="21"/>
          <w:highlight w:val="none"/>
        </w:rPr>
        <w:t>（以下无正文）</w:t>
      </w:r>
    </w:p>
    <w:p>
      <w:pPr>
        <w:pStyle w:val="5"/>
        <w:spacing w:line="360" w:lineRule="auto"/>
        <w:rPr>
          <w:rFonts w:ascii="Arial" w:hAnsi="Arial" w:cs="Arial"/>
          <w:color w:val="auto"/>
          <w:highlight w:val="none"/>
        </w:rPr>
      </w:pPr>
      <w:r>
        <w:rPr>
          <w:rFonts w:ascii="Arial" w:hAnsi="Arial" w:cs="Arial"/>
          <w:color w:val="auto"/>
          <w:highlight w:val="none"/>
        </w:rPr>
        <w:br w:type="page"/>
      </w:r>
    </w:p>
    <w:p>
      <w:pPr>
        <w:pStyle w:val="4"/>
        <w:ind w:firstLine="525"/>
        <w:rPr>
          <w:rFonts w:cs="Arial"/>
          <w:color w:val="auto"/>
          <w:highlight w:val="none"/>
        </w:rPr>
      </w:pPr>
      <w:bookmarkStart w:id="22" w:name="_Toc2272556"/>
      <w:bookmarkStart w:id="23" w:name="_Toc101266289"/>
      <w:r>
        <w:rPr>
          <w:rFonts w:cs="Arial"/>
          <w:color w:val="auto"/>
          <w:highlight w:val="none"/>
        </w:rPr>
        <w:t>二、开标、评标及定标办法</w:t>
      </w:r>
      <w:r>
        <w:rPr>
          <w:rFonts w:cs="Arial"/>
          <w:color w:val="auto"/>
          <w:szCs w:val="30"/>
          <w:highlight w:val="none"/>
        </w:rPr>
        <w:t>通用条款</w:t>
      </w:r>
      <w:bookmarkEnd w:id="22"/>
      <w:bookmarkEnd w:id="23"/>
    </w:p>
    <w:p>
      <w:pPr>
        <w:pStyle w:val="6"/>
        <w:spacing w:before="156" w:after="156"/>
        <w:ind w:firstLine="540" w:firstLineChars="200"/>
        <w:rPr>
          <w:rFonts w:ascii="Arial" w:hAnsi="Arial" w:cs="Arial"/>
          <w:color w:val="auto"/>
          <w:highlight w:val="none"/>
        </w:rPr>
      </w:pPr>
      <w:bookmarkStart w:id="24" w:name="_Toc2272557"/>
      <w:bookmarkStart w:id="25" w:name="_Toc101266290"/>
      <w:r>
        <w:rPr>
          <w:rFonts w:ascii="Arial" w:hAnsi="Arial" w:cs="Arial"/>
          <w:color w:val="auto"/>
          <w:highlight w:val="none"/>
        </w:rPr>
        <w:t>（一）总则</w:t>
      </w:r>
      <w:bookmarkEnd w:id="24"/>
      <w:bookmarkEnd w:id="25"/>
    </w:p>
    <w:p>
      <w:pPr>
        <w:spacing w:line="360" w:lineRule="auto"/>
        <w:ind w:firstLine="480" w:firstLineChars="200"/>
        <w:rPr>
          <w:rFonts w:ascii="Arial" w:hAnsi="Arial" w:cs="Arial"/>
          <w:b/>
          <w:color w:val="auto"/>
          <w:sz w:val="24"/>
          <w:szCs w:val="24"/>
          <w:highlight w:val="none"/>
        </w:rPr>
      </w:pPr>
      <w:r>
        <w:rPr>
          <w:rFonts w:ascii="Arial" w:hAnsi="Arial" w:cs="Arial"/>
          <w:color w:val="auto"/>
          <w:sz w:val="24"/>
          <w:szCs w:val="24"/>
          <w:highlight w:val="none"/>
        </w:rPr>
        <w:t>35 开标、评标及定标所依据的规则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35.1《中华人民共和国招标投标法》；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35.2《中华人民共和国招标投标法实施条例》；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35.3《评标委员会和评标方法暂行规定》（七部委第12号令）</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35.4《工程建设项目施工招标投标办法》（七部委2003年第30号令）</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35.5《广东省实施〈中华人民共和国招标投标法〉办法》；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35.6《房屋建筑和市政基础设施工程施工招标投标管理办法》（建设部令第89号）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35.7《广东省加强建设工程招标投标监督管理的若干规定》（粤发[2004]4号）；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35.8《广州市工程建设项目招标投标管理办法》（穗府办规〔2017〕5号）。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35.9本项目招标文件。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36．开标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36.2 招标人在招标文件要求提交投标文件的截止时间前收到的投标文件，开标时都当众予以解密、公布。</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36.4若递交投标文件的投标人不足3家，则重新组织招标。（当N个标段同时招标且不允许兼中时，若有效投标人不足N+2家，则重新组织招标）</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36.5按下列程序进行开标：</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36.5.1在投标截止时间后半小时内，投标人通过</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36.5.2备用光盘的读取按投标须知前附表第36项的规定执行；</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36.5.4开标结束。</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37．评标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37.1评标委员会由招标人依法组建。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37.2评标委员会的职责及守则：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37.2.1根据评标细则，对</w:t>
      </w:r>
      <w:r>
        <w:rPr>
          <w:rFonts w:ascii="Arial" w:hAnsi="Arial" w:cs="Arial"/>
          <w:color w:val="auto"/>
          <w:sz w:val="24"/>
          <w:highlight w:val="none"/>
        </w:rPr>
        <w:t>投标文件</w:t>
      </w:r>
      <w:r>
        <w:rPr>
          <w:rFonts w:ascii="Arial" w:hAnsi="Arial" w:cs="Arial"/>
          <w:color w:val="auto"/>
          <w:sz w:val="24"/>
          <w:szCs w:val="24"/>
          <w:highlight w:val="none"/>
        </w:rPr>
        <w:t>进行认真评审，完成评审报告；</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37.2.2向招标人报告评审意见，推荐合格的中标候选人。</w:t>
      </w:r>
    </w:p>
    <w:p>
      <w:pPr>
        <w:spacing w:line="360" w:lineRule="auto"/>
        <w:ind w:firstLine="480" w:firstLineChars="200"/>
        <w:rPr>
          <w:rFonts w:ascii="Arial" w:hAnsi="Arial" w:cs="Arial"/>
          <w:color w:val="auto"/>
          <w:sz w:val="24"/>
          <w:szCs w:val="24"/>
          <w:highlight w:val="none"/>
        </w:rPr>
      </w:pPr>
      <w:r>
        <w:rPr>
          <w:rFonts w:ascii="Arial" w:hAnsi="Arial" w:cs="Arial"/>
          <w:bCs/>
          <w:color w:val="auto"/>
          <w:sz w:val="24"/>
          <w:szCs w:val="24"/>
          <w:highlight w:val="none"/>
        </w:rPr>
        <w:t>37.2.3</w:t>
      </w:r>
      <w:r>
        <w:rPr>
          <w:rFonts w:ascii="Arial" w:hAnsi="Arial" w:cs="Arial"/>
          <w:b/>
          <w:bCs/>
          <w:color w:val="auto"/>
          <w:sz w:val="24"/>
          <w:szCs w:val="24"/>
          <w:highlight w:val="none"/>
        </w:rPr>
        <w:t xml:space="preserve"> </w:t>
      </w:r>
      <w:r>
        <w:rPr>
          <w:rFonts w:ascii="Arial" w:hAnsi="Arial" w:cs="Arial"/>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37.2.4全体参与评标人员：</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37.2.4.1 必须遵守评标纪律、不得泄密；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37.2.4.2 必须公正、不得循私；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37.2.4.3 必须科学、不得草率；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37.2.4.4 必须客观、不得带有成见；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37.2.4.5 必须平等、不得强加于人；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37.2.4.6 必须严谨、不得随意马虎。</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37.3 评标结束后，评标委员会递交评标报告并依法推荐中标候选人。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38．投标文件的澄清</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38.3 评标委员会或评标委员会专业评审组成员均应当阅读投标人的澄清，但应独立参考澄清对投标文件进行评审。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39．定标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39.1 招标人根据评标委员会递交的评标报告，最终审定中标人。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39.2 依法必须进行公开招标的项目，招标人应当确定排名第一的中标候选人为中标人。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6"/>
        <w:spacing w:before="156" w:after="156"/>
        <w:ind w:firstLine="540" w:firstLineChars="200"/>
        <w:rPr>
          <w:rFonts w:ascii="Arial" w:hAnsi="Arial" w:cs="Arial"/>
          <w:color w:val="auto"/>
          <w:highlight w:val="none"/>
        </w:rPr>
      </w:pPr>
      <w:bookmarkStart w:id="26" w:name="_Toc2272558"/>
      <w:bookmarkStart w:id="27" w:name="_Toc101266291"/>
      <w:r>
        <w:rPr>
          <w:rFonts w:ascii="Arial" w:hAnsi="Arial" w:cs="Arial"/>
          <w:color w:val="auto"/>
          <w:highlight w:val="none"/>
        </w:rPr>
        <w:t>（二）开标评标办法程序和细则</w:t>
      </w:r>
      <w:bookmarkEnd w:id="26"/>
      <w:bookmarkEnd w:id="27"/>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注：以下七种评标办法所述企业综合诚信评价分数即投标截止当日广州市工程招标代理行业协会网站上公布的企业综合诚信评价60日诚信分。</w:t>
      </w:r>
    </w:p>
    <w:p>
      <w:pPr>
        <w:spacing w:line="360" w:lineRule="auto"/>
        <w:ind w:firstLine="480" w:firstLineChars="200"/>
        <w:rPr>
          <w:rFonts w:ascii="Arial" w:hAnsi="Arial" w:cs="Arial"/>
          <w:color w:val="auto"/>
          <w:sz w:val="24"/>
          <w:szCs w:val="24"/>
          <w:highlight w:val="none"/>
        </w:rPr>
      </w:pPr>
    </w:p>
    <w:p>
      <w:pPr>
        <w:pStyle w:val="6"/>
        <w:spacing w:before="156" w:after="156"/>
        <w:ind w:firstLine="540" w:firstLineChars="200"/>
        <w:rPr>
          <w:rFonts w:ascii="Arial" w:hAnsi="Arial" w:cs="Arial"/>
          <w:color w:val="auto"/>
          <w:highlight w:val="none"/>
        </w:rPr>
      </w:pPr>
      <w:bookmarkStart w:id="28" w:name="_Toc101266292"/>
      <w:bookmarkStart w:id="29" w:name="_Toc2272559"/>
      <w:r>
        <w:rPr>
          <w:rFonts w:ascii="Arial" w:hAnsi="Arial" w:cs="Arial"/>
          <w:color w:val="auto"/>
          <w:highlight w:val="none"/>
        </w:rPr>
        <w:t>可选办法一（适合综合评分法一，技术标与经济标先后分别开启）</w:t>
      </w:r>
      <w:bookmarkEnd w:id="28"/>
      <w:bookmarkEnd w:id="29"/>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40.2技术标投标文件公开开标；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40.7对通过技术标有效性审查的经济标投标文件公开开标；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40.8按投标须知前附表第25项规定，确定进入第二阶段评审的投标人；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40.9将进入第二阶段评审的投标人进行排序；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40.10按排序对经济标投标文件进行有效性审查（含投标报价算术校核），直至评出所有中标候选人；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40.11评标委员会编写评标报告，向招标人推荐中标候选人名单。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 开标细则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41.2.2先开技术标；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41.2.3对通过技术标有效性审查的投标人开启其经济标投标文件；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41.2.4 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41.3.1 技术标开标时，公布：a、投标人名称；b、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密封情况；c、法定代表人证明及授权委托；d、投标保证金；e、项目经理（负责人）名称等主要内容以及开标记录表中的其他必要内容；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41.3.2 经济标开标前，首先公布技术标通过有效性审查的投标人,招标人依次开启通过技术标有效性审查的投标人的经济标。开标时，公布：a、投标人名称；b、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密封情况；c、投标报价等主要内容以及开标记录表中的其他必要内容。投标报价以数字和文字两种方式表述的，应公布文字表述的投标报价。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41.5 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 评标细则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方式一：评标委员会为综合评标委员会，负责评标工作。</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方式二：评标委员会由技术评审组和经济评审组组成。其中：资格审查、技术评审由技术评标组负责，经济评审由经济评审组负责。</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42.2投标人资格审查</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42.2.2汇总资格审查情况，编写资格审查报告。</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42.2.3资格审查不合格的投标文件不参加下一阶段的评标，不参与评标参考价的计算。</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 第一阶段评审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42.3.1技术标的有效性审查：投标文件中没有任一种列于本办法附表二《技术标有效性审查表》中情形的，为有效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Arial" w:hAnsi="Arial" w:cs="Arial"/>
          <w:color w:val="auto"/>
          <w:sz w:val="24"/>
          <w:szCs w:val="24"/>
          <w:highlight w:val="none"/>
        </w:rPr>
      </w:pPr>
      <w:r>
        <w:rPr>
          <w:rFonts w:ascii="Arial" w:hAnsi="Arial" w:cs="Arial"/>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 第二阶段评审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42.4.1开启经济标后，按照投标须知前附表第25项规定，确定进入第二阶段评审的投标人，若在进入第二阶段的最后名次发生并列的，则所有并列的投标人均进入第二阶段。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42.4.2若进入第二阶段投标人中所有投标报价均大于等于最高投标限价*D%（D的取值范围为[94,100],由招标人自主确定）的（具体金额为：</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    元），则本项目招标失败，由招标人依法重新招标。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42.4.3将第二阶段投标人按投标须知前附表第30项规定的方法进行排序。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pStyle w:val="53"/>
        <w:spacing w:line="360" w:lineRule="auto"/>
        <w:ind w:firstLine="480" w:firstLineChars="200"/>
        <w:rPr>
          <w:rFonts w:ascii="Arial" w:hAnsi="Arial" w:cs="Arial"/>
          <w:color w:val="auto"/>
          <w:sz w:val="24"/>
          <w:szCs w:val="24"/>
          <w:highlight w:val="none"/>
        </w:rPr>
      </w:pPr>
    </w:p>
    <w:p>
      <w:pPr>
        <w:pStyle w:val="6"/>
        <w:spacing w:before="156" w:after="156"/>
        <w:ind w:firstLine="540" w:firstLineChars="200"/>
        <w:rPr>
          <w:rFonts w:ascii="Arial" w:hAnsi="Arial" w:cs="Arial"/>
          <w:color w:val="auto"/>
          <w:highlight w:val="none"/>
        </w:rPr>
      </w:pPr>
      <w:bookmarkStart w:id="30" w:name="_Toc101266293"/>
      <w:bookmarkStart w:id="31" w:name="_Toc2272560"/>
      <w:r>
        <w:rPr>
          <w:rFonts w:ascii="Arial" w:hAnsi="Arial" w:cs="Arial"/>
          <w:color w:val="auto"/>
          <w:highlight w:val="none"/>
        </w:rPr>
        <w:t>可选办法二（适合综合评分法一，技术标与经济标同时开启）</w:t>
      </w:r>
      <w:bookmarkEnd w:id="30"/>
      <w:bookmarkEnd w:id="31"/>
    </w:p>
    <w:p>
      <w:pPr>
        <w:pStyle w:val="53"/>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40.2技术标与经济标投标文件同时公开开标；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40.7按投标须知前附表第25项规定，确定进入第二阶段评审的投标人；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40.8将进入第二阶段评审的投标人进行排序；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40.10评标委员会编写评标报告，向招标人推荐中标候选人名单。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 开标细则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41.3.1开标时，公布：a、投标人名称；b、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41.5 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 评标细则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方式一：评标委员会为综合评标委员会，负责评标工作。</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方式二：评标委员会由技术评审组和经济评审组组成。其中：资格审查、技术评审由技术评标组负责，经济评审由经济评审组负责。</w:t>
      </w:r>
      <w:r>
        <w:rPr>
          <w:rFonts w:ascii="Arial" w:hAnsi="Arial" w:cs="Arial"/>
          <w:color w:val="auto"/>
          <w:kern w:val="0"/>
          <w:sz w:val="24"/>
          <w:szCs w:val="24"/>
          <w:highlight w:val="none"/>
        </w:rPr>
        <w:t xml:space="preserve"> </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42.2投标人资格审查</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42.2.2汇总资格审查情况，编写资格审查报告。</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42.2.3资格审查不合格的投标文件不参加下一阶段的评标，不参与评标参考价的计算。</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 第一阶段评审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42.3.1技术标的有效性审查：投标文件中没有任一种列于本办法附表二《技术标有效性审查表》中情形的，为有效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Arial" w:hAnsi="Arial" w:cs="Arial"/>
          <w:color w:val="auto"/>
          <w:sz w:val="24"/>
          <w:szCs w:val="24"/>
          <w:highlight w:val="none"/>
        </w:rPr>
      </w:pPr>
      <w:r>
        <w:rPr>
          <w:rFonts w:ascii="Arial" w:hAnsi="Arial" w:cs="Arial"/>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 第二阶段评审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42.4.1按照投标须知前附表第25项规定，确定进入第二阶段评审的投标人，若在进入第二阶段的最后名次发生并列的，则所有并列的投标人均进入第二阶段。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42.4.3并将第二阶段投标人按投标须知前附表第30项规定的方法进行排序。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pStyle w:val="53"/>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pStyle w:val="6"/>
        <w:ind w:firstLine="540" w:firstLineChars="200"/>
        <w:rPr>
          <w:rFonts w:ascii="Arial" w:hAnsi="Arial" w:cs="Arial"/>
          <w:color w:val="auto"/>
          <w:highlight w:val="none"/>
        </w:rPr>
      </w:pPr>
      <w:bookmarkStart w:id="32" w:name="_Toc101266294"/>
      <w:r>
        <w:rPr>
          <w:rFonts w:ascii="Arial" w:hAnsi="Arial" w:cs="Arial"/>
          <w:color w:val="auto"/>
          <w:highlight w:val="none"/>
        </w:rPr>
        <w:t>可选办法三（适合综合评分法二，技术标与经济标先后分别开启）</w:t>
      </w:r>
      <w:bookmarkEnd w:id="32"/>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40.2技术标投标文件公开开标；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40.7对通过技术标有效性审查的经济标投标文件公开开标；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40.8按投标须知前附表第25项规定，确定进入第二阶段评审的投标人；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40.9将进入第二阶段评审的投标人进行排序；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40.10按排序对经济标投标文件进行有效性审查（含投标报价算术校核），直至评出所有中标候选人；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40.11评标委员会编写评标报告，向招标人推荐中标候选人名单。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 开标细则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41.2.2先开技术标；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41.2.3对通过技术标有效性审查的投标人开启其经济标投标文件；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41.2.4 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41.3.1 技术标开标时，公布：a、投标人名称；b、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密封情况；c、法定代表人证明及授权委托；d、投标保证金；e、项目经理（负责人）名称等主要内容以及开标记录表中的其他必要内容。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41.3.2 经济标开标前，首先公布技术标通过有效性审查的投标人,招标人依次开启通过技术标有效性审查的投标人的经济标。开标时，公布：a、投标人名称；b、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密封情况；c、投标报价等主要内容以及开标记录表中的其他必要内容。投标报价以数字和文字两种方式表述的，应公布文字表述的投标报价。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41.5 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 评标细则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方式一：评标委员会为综合评标委员会，负责评标工作。</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方式二：评标委员会由技术评审组和经济评审组组成。其中：资格审查、技术评审由技术评标组负责，经济评审由经济评审组负责。</w:t>
      </w:r>
      <w:r>
        <w:rPr>
          <w:rFonts w:ascii="Arial" w:hAnsi="Arial" w:cs="Arial"/>
          <w:color w:val="auto"/>
          <w:kern w:val="0"/>
          <w:sz w:val="24"/>
          <w:szCs w:val="24"/>
          <w:highlight w:val="none"/>
        </w:rPr>
        <w:t xml:space="preserve"> </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42.2投标人资格审查</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42.2.2汇总资格审查情况，编写资格审查报告。</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42.2.3资格审查不合格的投标文件不参加下一阶段的评标，不参与评标参考价的计算。</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 第一阶段评审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42.3.1技术标的有效性审查：投标文件中没有任一种列于本办法附表二《技术标有效性审查表》中情形的，为有效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Arial" w:hAnsi="Arial" w:cs="Arial"/>
          <w:color w:val="auto"/>
          <w:sz w:val="24"/>
          <w:szCs w:val="24"/>
          <w:highlight w:val="none"/>
        </w:rPr>
      </w:pPr>
      <w:r>
        <w:rPr>
          <w:rFonts w:ascii="Arial" w:hAnsi="Arial" w:cs="Arial"/>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 第二阶段评审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42.4.1开启经济标后，按照投标须知前附表第25项规定，确定进入第二阶段评审的投标人。若在进入第二阶段的最后名次发生并列的，则所有并列的投标人均进入第二阶段。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42.4.3投标文件经济标的评分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42.4.3.1按方法</w:t>
      </w:r>
      <w:r>
        <w:rPr>
          <w:rFonts w:ascii="Arial" w:hAnsi="Arial" w:cs="Arial"/>
          <w:color w:val="auto"/>
          <w:sz w:val="24"/>
          <w:szCs w:val="24"/>
          <w:highlight w:val="none"/>
          <w:u w:val="single"/>
        </w:rPr>
        <w:t xml:space="preserve">    </w:t>
      </w:r>
      <w:r>
        <w:rPr>
          <w:rFonts w:ascii="Arial" w:hAnsi="Arial" w:cs="Arial"/>
          <w:color w:val="auto"/>
          <w:sz w:val="24"/>
          <w:szCs w:val="24"/>
          <w:highlight w:val="none"/>
        </w:rPr>
        <w:t>计算评标参考价：</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方法一：加权平均法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技术标或技术标加诚信得分或第一阶段入围得分（具体由招标人自定）前N名（N≥5，具体由招标人自定）的经济报价加权平均，计算评标参考价。公式如下：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评标参考价=Σ（投标人的投标报价*报价权重）。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其中：报价权重的计算方法为：将N名投标人按技术分由高至低进行排序，第一名投标人的权重为（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sz w:val="24"/>
          <w:szCs w:val="24"/>
          <w:highlight w:val="none"/>
        </w:rPr>
        <w:drawing>
          <wp:inline distT="0" distB="0" distL="0" distR="0">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sz w:val="24"/>
          <w:szCs w:val="24"/>
          <w:highlight w:val="none"/>
        </w:rPr>
        <w:drawing>
          <wp:inline distT="0" distB="0" distL="0" distR="0">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），第二名投标人的权重为（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），以此类推，最后一名投标人的权重为（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方法二：区间抽取法</w:t>
      </w:r>
    </w:p>
    <w:p>
      <w:pPr>
        <w:widowControl/>
        <w:snapToGrid w:val="0"/>
        <w:spacing w:line="360" w:lineRule="auto"/>
        <w:ind w:firstLine="480" w:firstLineChars="200"/>
        <w:rPr>
          <w:rFonts w:ascii="Arial" w:hAnsi="Arial" w:cs="Arial"/>
          <w:color w:val="auto"/>
          <w:kern w:val="0"/>
          <w:sz w:val="24"/>
          <w:szCs w:val="24"/>
          <w:highlight w:val="none"/>
        </w:rPr>
      </w:pPr>
      <w:r>
        <w:rPr>
          <w:rFonts w:ascii="Arial" w:hAnsi="Arial" w:cs="Arial"/>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color w:val="auto"/>
          <w:kern w:val="0"/>
          <w:sz w:val="24"/>
          <w:szCs w:val="24"/>
          <w:highlight w:val="none"/>
          <w:vertAlign w:val="subscript"/>
        </w:rPr>
      </w:pPr>
      <w:r>
        <w:rPr>
          <w:rFonts w:ascii="Arial" w:hAnsi="Arial" w:cs="Arial"/>
          <w:color w:val="auto"/>
          <w:kern w:val="0"/>
          <w:sz w:val="24"/>
          <w:szCs w:val="24"/>
          <w:highlight w:val="none"/>
        </w:rPr>
        <w:t>评标参考价=（Q</w:t>
      </w:r>
      <w:r>
        <w:rPr>
          <w:rFonts w:ascii="Arial" w:hAnsi="Arial" w:cs="Arial"/>
          <w:color w:val="auto"/>
          <w:kern w:val="0"/>
          <w:sz w:val="24"/>
          <w:szCs w:val="24"/>
          <w:highlight w:val="none"/>
          <w:vertAlign w:val="subscript"/>
        </w:rPr>
        <w:t>高</w:t>
      </w: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低</w:t>
      </w:r>
      <w:r>
        <w:rPr>
          <w:rFonts w:ascii="Arial" w:hAnsi="Arial" w:cs="Arial"/>
          <w:color w:val="auto"/>
          <w:kern w:val="0"/>
          <w:sz w:val="24"/>
          <w:szCs w:val="24"/>
          <w:highlight w:val="none"/>
        </w:rPr>
        <w:t>）/100*Ｘ+Q</w:t>
      </w:r>
      <w:r>
        <w:rPr>
          <w:rFonts w:ascii="Arial" w:hAnsi="Arial" w:cs="Arial"/>
          <w:color w:val="auto"/>
          <w:kern w:val="0"/>
          <w:sz w:val="24"/>
          <w:szCs w:val="24"/>
          <w:highlight w:val="none"/>
          <w:vertAlign w:val="subscript"/>
        </w:rPr>
        <w:t>低</w:t>
      </w:r>
    </w:p>
    <w:p>
      <w:pPr>
        <w:widowControl/>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Q</w:t>
      </w:r>
      <w:r>
        <w:rPr>
          <w:rFonts w:ascii="Arial" w:hAnsi="Arial" w:cs="Arial"/>
          <w:color w:val="auto"/>
          <w:sz w:val="24"/>
          <w:szCs w:val="24"/>
          <w:highlight w:val="none"/>
          <w:vertAlign w:val="subscript"/>
        </w:rPr>
        <w:t>低</w:t>
      </w:r>
      <w:r>
        <w:rPr>
          <w:rFonts w:ascii="Arial" w:hAnsi="Arial" w:cs="Arial"/>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高</w:t>
      </w:r>
      <w:r>
        <w:rPr>
          <w:rFonts w:ascii="Arial" w:hAnsi="Arial" w:cs="Arial"/>
          <w:color w:val="auto"/>
          <w:sz w:val="24"/>
          <w:szCs w:val="24"/>
          <w:highlight w:val="none"/>
        </w:rPr>
        <w:t>：为（最高投标限价*D%）（D的取值范围为[94,100],由招标人自定）</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X:为等分点值，在开标前从[0,100]整数中随机抽取</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42.4.3.2</w:t>
      </w:r>
      <w:r>
        <w:rPr>
          <w:rFonts w:ascii="Arial" w:hAnsi="Arial" w:cs="Arial"/>
          <w:color w:val="auto"/>
          <w:sz w:val="24"/>
          <w:szCs w:val="24"/>
          <w:highlight w:val="none"/>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42.4.3.3评标委员会按照各投标人的经济分从高到低排列先后次序。经济分相同的投标文件，按投标须知前附表第31项的规定确定排序。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pStyle w:val="5"/>
        <w:spacing w:line="360" w:lineRule="auto"/>
        <w:ind w:firstLine="480" w:firstLineChars="200"/>
        <w:rPr>
          <w:rFonts w:ascii="Arial" w:hAnsi="Arial" w:cs="Arial"/>
          <w:color w:val="auto"/>
          <w:sz w:val="24"/>
          <w:szCs w:val="24"/>
          <w:highlight w:val="none"/>
        </w:rPr>
      </w:pPr>
    </w:p>
    <w:p>
      <w:pPr>
        <w:pStyle w:val="6"/>
        <w:spacing w:before="156" w:after="156"/>
        <w:ind w:firstLine="540" w:firstLineChars="200"/>
        <w:rPr>
          <w:rFonts w:ascii="Arial" w:hAnsi="Arial" w:cs="Arial"/>
          <w:color w:val="auto"/>
          <w:highlight w:val="none"/>
        </w:rPr>
      </w:pPr>
      <w:bookmarkStart w:id="33" w:name="_Toc2272561"/>
      <w:bookmarkStart w:id="34" w:name="_Toc101266295"/>
      <w:r>
        <w:rPr>
          <w:rFonts w:ascii="Arial" w:hAnsi="Arial" w:cs="Arial"/>
          <w:color w:val="auto"/>
          <w:highlight w:val="none"/>
        </w:rPr>
        <w:t>可选办法四（适合综合评分法二，技术标与经济标同时开启）</w:t>
      </w:r>
      <w:bookmarkEnd w:id="33"/>
      <w:bookmarkEnd w:id="34"/>
    </w:p>
    <w:p>
      <w:pPr>
        <w:pStyle w:val="53"/>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40.2技术标与经济标投标文件同时公开开标；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40.7按投标须知前附表第25项规定，确定进入第二阶段评审的投标人；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40.8将进入第二阶段评审的投标人进行排序；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40.10评标委员会编写评标报告，向招标人推荐中标候选人名单。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 开标细则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41.3.1开标时，公布：a、投标人名称；b、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41.5 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 评标细则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方式一：评标委员会为综合评标委员会，负责评标工作。</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方式二：评标委员会由技术评审组和经济评审组组成。其中：资格审查、技术评审由技术评标组负责，经济评审由经济评审组负责。</w:t>
      </w:r>
      <w:r>
        <w:rPr>
          <w:rFonts w:ascii="Arial" w:hAnsi="Arial" w:cs="Arial"/>
          <w:color w:val="auto"/>
          <w:kern w:val="0"/>
          <w:sz w:val="24"/>
          <w:szCs w:val="24"/>
          <w:highlight w:val="none"/>
        </w:rPr>
        <w:t xml:space="preserve"> </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42.2投标人资格审查</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42.2.2汇总资格审查情况，编写资格审查报告。</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42.2.3资格审查不合格的投标文件不参加下一阶段的评标，不参与评标参考价的计算。</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 第一阶段评审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42.3.1技术标的有效性审查：投标文件中没有任一种列于本办法附表二《技术标有效性审查表》中情形的，为有效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 第二阶段评审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42.4.1按照投标须知前附表第25项规定，确定进入第二阶段评审的投标人。若在进入第二阶段的最后名次发生并列的，则所有并列的投标人均进入第二阶段。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42.4.3投标文件经济标的评分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42.4.3.1按方法</w:t>
      </w:r>
      <w:r>
        <w:rPr>
          <w:rFonts w:ascii="Arial" w:hAnsi="Arial" w:cs="Arial"/>
          <w:color w:val="auto"/>
          <w:sz w:val="24"/>
          <w:szCs w:val="24"/>
          <w:highlight w:val="none"/>
          <w:u w:val="single"/>
        </w:rPr>
        <w:t xml:space="preserve">    </w:t>
      </w:r>
      <w:r>
        <w:rPr>
          <w:rFonts w:ascii="Arial" w:hAnsi="Arial" w:cs="Arial"/>
          <w:color w:val="auto"/>
          <w:sz w:val="24"/>
          <w:szCs w:val="24"/>
          <w:highlight w:val="none"/>
        </w:rPr>
        <w:t>计算评标参考价：</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方法一：加权平均法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技术标或技术标加诚信得分或第一阶段入围得分（具体由招标人自定）前N名（N≥5，具体由招标人自定）的经济报价加权平均，计算评标参考价。公式如下：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评标参考价=Σ（投标人的投标报价*报价权重）。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其中：报价权重的计算方法为：将N名投标人按技术分由高至低进行排序，第一名投标人的权重为（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sz w:val="24"/>
          <w:szCs w:val="24"/>
          <w:highlight w:val="none"/>
        </w:rPr>
        <w:drawing>
          <wp:inline distT="0" distB="0" distL="0" distR="0">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sz w:val="24"/>
          <w:szCs w:val="24"/>
          <w:highlight w:val="none"/>
        </w:rPr>
        <w:drawing>
          <wp:inline distT="0" distB="0" distL="0" distR="0">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），第二名投标人的权重为（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），以此类推，最后一名投标人的权重为（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方法二：区间抽取法</w:t>
      </w:r>
    </w:p>
    <w:p>
      <w:pPr>
        <w:widowControl/>
        <w:snapToGrid w:val="0"/>
        <w:spacing w:line="360" w:lineRule="auto"/>
        <w:ind w:firstLine="480" w:firstLineChars="200"/>
        <w:rPr>
          <w:rFonts w:ascii="Arial" w:hAnsi="Arial" w:cs="Arial"/>
          <w:color w:val="auto"/>
          <w:kern w:val="0"/>
          <w:sz w:val="24"/>
          <w:szCs w:val="24"/>
          <w:highlight w:val="none"/>
        </w:rPr>
      </w:pPr>
      <w:r>
        <w:rPr>
          <w:rFonts w:ascii="Arial" w:hAnsi="Arial" w:cs="Arial"/>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color w:val="auto"/>
          <w:kern w:val="0"/>
          <w:sz w:val="24"/>
          <w:szCs w:val="24"/>
          <w:highlight w:val="none"/>
          <w:vertAlign w:val="subscript"/>
        </w:rPr>
      </w:pPr>
      <w:r>
        <w:rPr>
          <w:rFonts w:ascii="Arial" w:hAnsi="Arial" w:cs="Arial"/>
          <w:color w:val="auto"/>
          <w:kern w:val="0"/>
          <w:sz w:val="24"/>
          <w:szCs w:val="24"/>
          <w:highlight w:val="none"/>
        </w:rPr>
        <w:t>评标参考价=（Q</w:t>
      </w:r>
      <w:r>
        <w:rPr>
          <w:rFonts w:ascii="Arial" w:hAnsi="Arial" w:cs="Arial"/>
          <w:color w:val="auto"/>
          <w:kern w:val="0"/>
          <w:sz w:val="24"/>
          <w:szCs w:val="24"/>
          <w:highlight w:val="none"/>
          <w:vertAlign w:val="subscript"/>
        </w:rPr>
        <w:t>高</w:t>
      </w: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低</w:t>
      </w:r>
      <w:r>
        <w:rPr>
          <w:rFonts w:ascii="Arial" w:hAnsi="Arial" w:cs="Arial"/>
          <w:color w:val="auto"/>
          <w:kern w:val="0"/>
          <w:sz w:val="24"/>
          <w:szCs w:val="24"/>
          <w:highlight w:val="none"/>
        </w:rPr>
        <w:t>）/100*Ｘ+Q</w:t>
      </w:r>
      <w:r>
        <w:rPr>
          <w:rFonts w:ascii="Arial" w:hAnsi="Arial" w:cs="Arial"/>
          <w:color w:val="auto"/>
          <w:kern w:val="0"/>
          <w:sz w:val="24"/>
          <w:szCs w:val="24"/>
          <w:highlight w:val="none"/>
          <w:vertAlign w:val="subscript"/>
        </w:rPr>
        <w:t>低</w:t>
      </w:r>
    </w:p>
    <w:p>
      <w:pPr>
        <w:widowControl/>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Q</w:t>
      </w:r>
      <w:r>
        <w:rPr>
          <w:rFonts w:ascii="Arial" w:hAnsi="Arial" w:cs="Arial"/>
          <w:color w:val="auto"/>
          <w:sz w:val="24"/>
          <w:szCs w:val="24"/>
          <w:highlight w:val="none"/>
          <w:vertAlign w:val="subscript"/>
        </w:rPr>
        <w:t>低</w:t>
      </w:r>
      <w:r>
        <w:rPr>
          <w:rFonts w:ascii="Arial" w:hAnsi="Arial" w:cs="Arial"/>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高</w:t>
      </w:r>
      <w:r>
        <w:rPr>
          <w:rFonts w:ascii="Arial" w:hAnsi="Arial" w:cs="Arial"/>
          <w:color w:val="auto"/>
          <w:sz w:val="24"/>
          <w:szCs w:val="24"/>
          <w:highlight w:val="none"/>
        </w:rPr>
        <w:t>：为（最高投标限价*D%）（D的取值范围为[94,100],由招标人自定）</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X:为等分点值，在开标前从[0,100]整数中随机抽取</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42.4.3.2</w:t>
      </w:r>
      <w:r>
        <w:rPr>
          <w:rFonts w:ascii="Arial" w:hAnsi="Arial" w:cs="Arial"/>
          <w:color w:val="auto"/>
          <w:sz w:val="24"/>
          <w:szCs w:val="24"/>
          <w:highlight w:val="none"/>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42.4.3.3评标委员会按照各投标人的经济分从高到低排列先后次序。经济分相同的投标文件，按投标须知前附表第31项的规定确定排序。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spacing w:line="360" w:lineRule="auto"/>
        <w:ind w:firstLine="480" w:firstLineChars="200"/>
        <w:rPr>
          <w:rFonts w:ascii="Arial" w:hAnsi="Arial" w:cs="Arial"/>
          <w:color w:val="auto"/>
          <w:sz w:val="24"/>
          <w:szCs w:val="24"/>
          <w:highlight w:val="none"/>
        </w:rPr>
      </w:pPr>
    </w:p>
    <w:p>
      <w:pPr>
        <w:pStyle w:val="6"/>
        <w:spacing w:before="156" w:after="156"/>
        <w:ind w:firstLine="540" w:firstLineChars="200"/>
        <w:rPr>
          <w:rFonts w:ascii="Arial" w:hAnsi="Arial" w:cs="Arial"/>
          <w:color w:val="auto"/>
          <w:highlight w:val="none"/>
        </w:rPr>
      </w:pPr>
      <w:bookmarkStart w:id="35" w:name="_Toc101266296"/>
      <w:bookmarkStart w:id="36" w:name="_Toc2272562"/>
      <w:r>
        <w:rPr>
          <w:rFonts w:ascii="Arial" w:hAnsi="Arial" w:cs="Arial"/>
          <w:color w:val="auto"/>
          <w:highlight w:val="none"/>
        </w:rPr>
        <w:t>可选办法五（适合综合评分法三，技术标与经济标先后分别开启）</w:t>
      </w:r>
      <w:bookmarkEnd w:id="35"/>
      <w:bookmarkEnd w:id="36"/>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40.2技术标投标文件公开开标；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40.7对通过技术标有效性审查的经济标投标文件公开开标；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40.8按投标须知前附表第25项规定，确定进入第二阶段评审的投标人；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40.9将进入第二阶段评审的投标人进行排序；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40.10按排序对经济标投标文件进行有效性审查（含投标报价算术校核），直至评出所有中标候选人；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40.11评标委员会编写评标报告，向招标人推荐中标候选人名单。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 开标细则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41.2.2先开技术标；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41.2.3对通过技术标有效性审查的投标人开启其经济标投标文件；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41.2.4 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41.3.1 技术标开标时，公布：a、投标人名称；b、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密封情况；c、法定代表人证明及授权委托；d、投标保证金；e、项目经理（负责人）名称等主要内容以及开标记录表中的其他必要内容。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41.3.2 经济标开标前，首先公布技术标通过有效性审查的投标人,招标人依次开启通过技术标有效性审查的投标人的经济标。开标时，公布：a、投标人名称；b、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密封情况；c、投标报价等主要内容以及开标记录表中的其他必要内容。投标报价以数字和文字两种方式表述的，应公布文字表述的投标报价。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41.5 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 评标细则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方式一：评标委员会为综合评标委员会，负责评标工作。</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方式二：评标委员会由技术评审组和经济评审组组成。其中：资格审查、技术评审由技术评标组负责，经济评审由经济评审组负责。</w:t>
      </w:r>
      <w:r>
        <w:rPr>
          <w:rFonts w:ascii="Arial" w:hAnsi="Arial" w:cs="Arial"/>
          <w:color w:val="auto"/>
          <w:kern w:val="0"/>
          <w:sz w:val="24"/>
          <w:szCs w:val="24"/>
          <w:highlight w:val="none"/>
        </w:rPr>
        <w:t xml:space="preserve"> </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42.2投标人资格审查</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42.2.2汇总资格审查情况，编写资格审查报告。</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42.2.3资格审查不合格的投标文件不参加下一阶段的评标，不参与评标参考价的计算。</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 第一阶段评审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42.3.1技术标的有效性审查：投标文件中没有任一种列于本办法附表二《技术标有效性审查表》中情形的，为有效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42.3.2</w:t>
      </w:r>
      <w:r>
        <w:rPr>
          <w:rFonts w:ascii="Arial" w:hAnsi="Arial" w:cs="Arial"/>
          <w:color w:val="auto"/>
          <w:sz w:val="24"/>
          <w:szCs w:val="24"/>
          <w:highlight w:val="none"/>
          <w:u w:val="single"/>
        </w:rPr>
        <w:t xml:space="preserve">         </w:t>
      </w:r>
      <w:r>
        <w:rPr>
          <w:rFonts w:ascii="Arial" w:hAnsi="Arial" w:cs="Arial"/>
          <w:color w:val="auto"/>
          <w:sz w:val="24"/>
          <w:szCs w:val="24"/>
          <w:highlight w:val="none"/>
        </w:rPr>
        <w:t>详细审查评分：评标委员会按照本办法附表</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ascii="Arial" w:hAnsi="Arial" w:cs="Arial"/>
          <w:color w:val="auto"/>
          <w:sz w:val="24"/>
          <w:szCs w:val="24"/>
          <w:highlight w:val="none"/>
        </w:rPr>
        <w:t>详细审查评分表》对通过技术标有效性审查的投标文件进行详细审查，评出       得分。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42.3.3评标委员会按照“第一阶段得分=</w:t>
      </w:r>
      <w:r>
        <w:rPr>
          <w:rFonts w:ascii="Arial" w:hAnsi="Arial" w:cs="Arial"/>
          <w:color w:val="auto"/>
          <w:sz w:val="24"/>
          <w:szCs w:val="24"/>
          <w:highlight w:val="none"/>
          <w:u w:val="single"/>
        </w:rPr>
        <w:t xml:space="preserve">                       </w:t>
      </w:r>
      <w:r>
        <w:rPr>
          <w:rFonts w:ascii="Arial" w:hAnsi="Arial" w:cs="Arial"/>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w:t>
      </w:r>
    </w:p>
    <w:p>
      <w:pPr>
        <w:widowControl/>
        <w:spacing w:line="360" w:lineRule="auto"/>
        <w:ind w:firstLine="480" w:firstLineChars="200"/>
        <w:jc w:val="left"/>
        <w:rPr>
          <w:rFonts w:ascii="Arial" w:hAnsi="Arial" w:cs="Arial"/>
          <w:color w:val="auto"/>
          <w:sz w:val="24"/>
          <w:szCs w:val="24"/>
          <w:highlight w:val="none"/>
        </w:rPr>
      </w:pPr>
      <w:r>
        <w:rPr>
          <w:rFonts w:ascii="Arial" w:hAnsi="Arial" w:cs="Arial"/>
          <w:color w:val="auto"/>
          <w:sz w:val="24"/>
          <w:szCs w:val="24"/>
          <w:highlight w:val="none"/>
        </w:rPr>
        <w:t>42.3.4招标人应在《投标须知前附表》中明确选择使用施工企业总排名或相应的</w:t>
      </w:r>
      <w:r>
        <w:rPr>
          <w:rFonts w:hint="eastAsia" w:ascii="Arial" w:hAnsi="Arial" w:cs="Arial"/>
          <w:color w:val="auto"/>
          <w:sz w:val="24"/>
          <w:szCs w:val="24"/>
          <w:highlight w:val="none"/>
          <w:lang w:eastAsia="zh-CN"/>
        </w:rPr>
        <w:t>施工总承包</w:t>
      </w:r>
      <w:r>
        <w:rPr>
          <w:rFonts w:ascii="Arial" w:hAnsi="Arial" w:cs="Arial"/>
          <w:color w:val="auto"/>
          <w:sz w:val="24"/>
          <w:szCs w:val="24"/>
          <w:highlight w:val="none"/>
        </w:rPr>
        <w:t>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 第二阶段评审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42.4.1开启经济标后，按照投标须知前附表第25项规定，确定进入第二阶段评审的投标人。若在进入第二阶段的最后名次发生并列的，则所有并列的投标人均进入第二阶段。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42.4.2若进入第二阶段投标人中所有投标报价均大于等于最高投标限价*D%（D的取值范围为[94,100],由招标人自主确定）的（具体金额为：</w:t>
      </w:r>
      <w:r>
        <w:rPr>
          <w:rFonts w:ascii="Arial" w:hAnsi="Arial" w:cs="Arial"/>
          <w:color w:val="auto"/>
          <w:sz w:val="24"/>
          <w:szCs w:val="24"/>
          <w:highlight w:val="none"/>
          <w:u w:val="single"/>
        </w:rPr>
        <w:t xml:space="preserve">      </w:t>
      </w:r>
      <w:r>
        <w:rPr>
          <w:rFonts w:ascii="Arial" w:hAnsi="Arial" w:cs="Arial"/>
          <w:color w:val="auto"/>
          <w:sz w:val="24"/>
          <w:szCs w:val="24"/>
          <w:highlight w:val="none"/>
        </w:rPr>
        <w:t>元），则本项目招标失败，由招标人依法重新招标。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42.4.3投标文件经济标的评分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42.4.3.1按方法</w:t>
      </w:r>
      <w:r>
        <w:rPr>
          <w:rFonts w:ascii="Arial" w:hAnsi="Arial" w:cs="Arial"/>
          <w:color w:val="auto"/>
          <w:sz w:val="24"/>
          <w:szCs w:val="24"/>
          <w:highlight w:val="none"/>
          <w:u w:val="single"/>
        </w:rPr>
        <w:t xml:space="preserve">    </w:t>
      </w:r>
      <w:r>
        <w:rPr>
          <w:rFonts w:ascii="Arial" w:hAnsi="Arial" w:cs="Arial"/>
          <w:color w:val="auto"/>
          <w:sz w:val="24"/>
          <w:szCs w:val="24"/>
          <w:highlight w:val="none"/>
        </w:rPr>
        <w:t>计算评标参考价：</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方法一：加权平均法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技术标或技术标加诚信得分或第一阶段入围得分（具体由招标人自定）前N名（N≥5，具体由招标人自定）的经济报价加权平均，计算评标参考价。公式如下：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评标参考价=Σ（投标人的投标报价*报价权重）。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其中：报价权重的计算方法为：将N名投标人按技术分由高至低进行排序，第一名投标人的权重为（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sz w:val="24"/>
          <w:szCs w:val="24"/>
          <w:highlight w:val="none"/>
        </w:rPr>
        <w:drawing>
          <wp:inline distT="0" distB="0" distL="0" distR="0">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sz w:val="24"/>
          <w:szCs w:val="24"/>
          <w:highlight w:val="none"/>
        </w:rPr>
        <w:drawing>
          <wp:inline distT="0" distB="0" distL="0" distR="0">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），第二名投标人的权重为（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），以此类推，最后一名投标人的权重为（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方法二：区间抽取法</w:t>
      </w:r>
    </w:p>
    <w:p>
      <w:pPr>
        <w:widowControl/>
        <w:snapToGrid w:val="0"/>
        <w:spacing w:line="360" w:lineRule="auto"/>
        <w:ind w:firstLine="480" w:firstLineChars="200"/>
        <w:rPr>
          <w:rFonts w:ascii="Arial" w:hAnsi="Arial" w:cs="Arial"/>
          <w:color w:val="auto"/>
          <w:kern w:val="0"/>
          <w:sz w:val="24"/>
          <w:szCs w:val="24"/>
          <w:highlight w:val="none"/>
        </w:rPr>
      </w:pPr>
      <w:r>
        <w:rPr>
          <w:rFonts w:ascii="Arial" w:hAnsi="Arial" w:cs="Arial"/>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color w:val="auto"/>
          <w:kern w:val="0"/>
          <w:sz w:val="24"/>
          <w:szCs w:val="24"/>
          <w:highlight w:val="none"/>
          <w:vertAlign w:val="subscript"/>
        </w:rPr>
      </w:pPr>
      <w:r>
        <w:rPr>
          <w:rFonts w:ascii="Arial" w:hAnsi="Arial" w:cs="Arial"/>
          <w:color w:val="auto"/>
          <w:kern w:val="0"/>
          <w:sz w:val="24"/>
          <w:szCs w:val="24"/>
          <w:highlight w:val="none"/>
        </w:rPr>
        <w:t>评标参考价=（Q</w:t>
      </w:r>
      <w:r>
        <w:rPr>
          <w:rFonts w:ascii="Arial" w:hAnsi="Arial" w:cs="Arial"/>
          <w:color w:val="auto"/>
          <w:kern w:val="0"/>
          <w:sz w:val="24"/>
          <w:szCs w:val="24"/>
          <w:highlight w:val="none"/>
          <w:vertAlign w:val="subscript"/>
        </w:rPr>
        <w:t>高</w:t>
      </w: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低</w:t>
      </w:r>
      <w:r>
        <w:rPr>
          <w:rFonts w:ascii="Arial" w:hAnsi="Arial" w:cs="Arial"/>
          <w:color w:val="auto"/>
          <w:kern w:val="0"/>
          <w:sz w:val="24"/>
          <w:szCs w:val="24"/>
          <w:highlight w:val="none"/>
        </w:rPr>
        <w:t>）/100*Ｘ+Q</w:t>
      </w:r>
      <w:r>
        <w:rPr>
          <w:rFonts w:ascii="Arial" w:hAnsi="Arial" w:cs="Arial"/>
          <w:color w:val="auto"/>
          <w:kern w:val="0"/>
          <w:sz w:val="24"/>
          <w:szCs w:val="24"/>
          <w:highlight w:val="none"/>
          <w:vertAlign w:val="subscript"/>
        </w:rPr>
        <w:t>低</w:t>
      </w:r>
    </w:p>
    <w:p>
      <w:pPr>
        <w:widowControl/>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Q</w:t>
      </w:r>
      <w:r>
        <w:rPr>
          <w:rFonts w:ascii="Arial" w:hAnsi="Arial" w:cs="Arial"/>
          <w:color w:val="auto"/>
          <w:sz w:val="24"/>
          <w:szCs w:val="24"/>
          <w:highlight w:val="none"/>
          <w:vertAlign w:val="subscript"/>
        </w:rPr>
        <w:t>低</w:t>
      </w:r>
      <w:r>
        <w:rPr>
          <w:rFonts w:ascii="Arial" w:hAnsi="Arial" w:cs="Arial"/>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高</w:t>
      </w:r>
      <w:r>
        <w:rPr>
          <w:rFonts w:ascii="Arial" w:hAnsi="Arial" w:cs="Arial"/>
          <w:color w:val="auto"/>
          <w:sz w:val="24"/>
          <w:szCs w:val="24"/>
          <w:highlight w:val="none"/>
        </w:rPr>
        <w:t>：为（最高投标限价*D%）（D的取值范围为[94,100],由招标人自定）</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X:为等分点值，在开标前从[0,100]整数中随机抽取</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42.4.3.2</w:t>
      </w:r>
      <w:r>
        <w:rPr>
          <w:rFonts w:ascii="Arial" w:hAnsi="Arial" w:cs="Arial"/>
          <w:color w:val="auto"/>
          <w:sz w:val="24"/>
          <w:szCs w:val="24"/>
          <w:highlight w:val="none"/>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42.4.3.3评标委员会按投标须知前附表第32项的规定确定排序。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pStyle w:val="5"/>
        <w:spacing w:line="360" w:lineRule="auto"/>
        <w:ind w:firstLine="480" w:firstLineChars="200"/>
        <w:rPr>
          <w:rFonts w:ascii="Arial" w:hAnsi="Arial" w:cs="Arial"/>
          <w:color w:val="auto"/>
          <w:sz w:val="24"/>
          <w:szCs w:val="24"/>
          <w:highlight w:val="none"/>
        </w:rPr>
      </w:pPr>
    </w:p>
    <w:p>
      <w:pPr>
        <w:pStyle w:val="6"/>
        <w:spacing w:before="156" w:after="156"/>
        <w:ind w:firstLine="540" w:firstLineChars="200"/>
        <w:rPr>
          <w:rFonts w:ascii="Arial" w:hAnsi="Arial" w:cs="Arial"/>
          <w:color w:val="auto"/>
          <w:highlight w:val="none"/>
        </w:rPr>
      </w:pPr>
      <w:bookmarkStart w:id="37" w:name="_Toc101266297"/>
      <w:bookmarkStart w:id="38" w:name="_Toc2272563"/>
      <w:r>
        <w:rPr>
          <w:rFonts w:ascii="Arial" w:hAnsi="Arial" w:cs="Arial"/>
          <w:color w:val="auto"/>
          <w:highlight w:val="none"/>
        </w:rPr>
        <w:t>可选办法六（适合综合评分法三，技术标与经济标同时开启）</w:t>
      </w:r>
      <w:bookmarkEnd w:id="37"/>
      <w:bookmarkEnd w:id="38"/>
    </w:p>
    <w:p>
      <w:pPr>
        <w:pStyle w:val="53"/>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40．开标和评标程序：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40.2技术标与经济标投标文件同时公开开标；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40.5技术标详细审查评分；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40.7按投标须知前附表第25项规定，确定进入第二阶段评审的投标人；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40.8将进入第二阶段评审的投标人进行排序；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40.10评标委员会编写评标报告，向招标人推荐中标候选人名单。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 开标细则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41.3.1开标时，公布：a、投标人名称；b、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41.5 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 评标细则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42.1评标委员会的组成：方式</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方式一：评标委员会为综合评标委员会，负责评标工作。</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方式二：评标委员会由技术评审组和经济评审组组成。其中：资格审查、技术评审由技术评标组负责，经济评审由经济评审组负责。</w:t>
      </w:r>
      <w:r>
        <w:rPr>
          <w:rFonts w:ascii="Arial" w:hAnsi="Arial" w:cs="Arial"/>
          <w:color w:val="auto"/>
          <w:kern w:val="0"/>
          <w:sz w:val="24"/>
          <w:szCs w:val="24"/>
          <w:highlight w:val="none"/>
        </w:rPr>
        <w:t xml:space="preserve"> </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42.2投标人资格审查</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42.2.2汇总资格审查情况，编写资格审查报告。</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42.2.3资格审查不合格的投标文件不参加下一阶段的评标，不参与评标参考价的计算。</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 第一阶段评审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42.3.1技术标的有效性审查：投标文件中没有任一种列于本办法附表二《技术标有效性审查表》中情形的，为有效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42.3.2</w:t>
      </w:r>
      <w:r>
        <w:rPr>
          <w:rFonts w:ascii="Arial" w:hAnsi="Arial" w:cs="Arial"/>
          <w:color w:val="auto"/>
          <w:sz w:val="24"/>
          <w:szCs w:val="24"/>
          <w:highlight w:val="none"/>
          <w:u w:val="single"/>
        </w:rPr>
        <w:t xml:space="preserve">     </w:t>
      </w:r>
      <w:r>
        <w:rPr>
          <w:rFonts w:ascii="Arial" w:hAnsi="Arial" w:cs="Arial"/>
          <w:color w:val="auto"/>
          <w:sz w:val="24"/>
          <w:szCs w:val="24"/>
          <w:highlight w:val="none"/>
        </w:rPr>
        <w:t>详细审查评分：评标委员会按照本办法附表</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ascii="Arial" w:hAnsi="Arial" w:cs="Arial"/>
          <w:color w:val="auto"/>
          <w:sz w:val="24"/>
          <w:szCs w:val="24"/>
          <w:highlight w:val="none"/>
        </w:rPr>
        <w:t>详细审查评分表》对通过技术标有效性审查的投标文件进行详细审查，评出</w:t>
      </w:r>
      <w:r>
        <w:rPr>
          <w:rFonts w:ascii="Arial" w:hAnsi="Arial" w:cs="Arial"/>
          <w:color w:val="auto"/>
          <w:sz w:val="24"/>
          <w:szCs w:val="24"/>
          <w:highlight w:val="none"/>
          <w:u w:val="single"/>
        </w:rPr>
        <w:t xml:space="preserve">     </w:t>
      </w:r>
      <w:r>
        <w:rPr>
          <w:rFonts w:ascii="Arial" w:hAnsi="Arial" w:cs="Arial"/>
          <w:color w:val="auto"/>
          <w:sz w:val="24"/>
          <w:szCs w:val="24"/>
          <w:highlight w:val="none"/>
        </w:rPr>
        <w:t>得分。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42.3.4评标委员会按照“第一阶段得分=</w:t>
      </w:r>
      <w:r>
        <w:rPr>
          <w:rFonts w:ascii="Arial" w:hAnsi="Arial" w:cs="Arial"/>
          <w:color w:val="auto"/>
          <w:sz w:val="24"/>
          <w:szCs w:val="24"/>
          <w:highlight w:val="none"/>
          <w:u w:val="single"/>
        </w:rPr>
        <w:t xml:space="preserve">               </w:t>
      </w:r>
      <w:r>
        <w:rPr>
          <w:rFonts w:ascii="Arial" w:hAnsi="Arial" w:cs="Arial"/>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 第二阶段评审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42.4.1按照投标须知前附表第25项规定，确定进入第二阶段评审的投标人。若在进入第二阶段的最后名次发生并列的，则所有并列的投标人均进入第二阶段。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42.4.2若进入第二阶段投标人中所有投标报价均大于等于最高投标限价*D%（D的取值范围为[94,100],由招标人自主确定）的（具体金额为：</w:t>
      </w:r>
      <w:r>
        <w:rPr>
          <w:rFonts w:ascii="Arial" w:hAnsi="Arial" w:cs="Arial"/>
          <w:color w:val="auto"/>
          <w:sz w:val="24"/>
          <w:szCs w:val="24"/>
          <w:highlight w:val="none"/>
          <w:u w:val="single"/>
        </w:rPr>
        <w:t xml:space="preserve">      </w:t>
      </w:r>
      <w:r>
        <w:rPr>
          <w:rFonts w:ascii="Arial" w:hAnsi="Arial" w:cs="Arial"/>
          <w:color w:val="auto"/>
          <w:sz w:val="24"/>
          <w:szCs w:val="24"/>
          <w:highlight w:val="none"/>
        </w:rPr>
        <w:t>元），则本项目招标失败，由招标人依法重新招标。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42.4.3投标文件经济标的评分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42.4.3.1按方法</w:t>
      </w:r>
      <w:r>
        <w:rPr>
          <w:rFonts w:ascii="Arial" w:hAnsi="Arial" w:cs="Arial"/>
          <w:color w:val="auto"/>
          <w:sz w:val="24"/>
          <w:szCs w:val="24"/>
          <w:highlight w:val="none"/>
          <w:u w:val="single"/>
        </w:rPr>
        <w:t xml:space="preserve">    </w:t>
      </w:r>
      <w:r>
        <w:rPr>
          <w:rFonts w:ascii="Arial" w:hAnsi="Arial" w:cs="Arial"/>
          <w:color w:val="auto"/>
          <w:sz w:val="24"/>
          <w:szCs w:val="24"/>
          <w:highlight w:val="none"/>
        </w:rPr>
        <w:t>计算评标参考价：</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方法一：加权平均法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技术标或技术标加诚信得分或第一阶段入围得分（具体由招标人自定）前N名（N≥5，具体由招标人自定）的经济报价加权平均，计算评标参考价。公式如下：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评标参考价=Σ（投标人的投标报价*报价权重）。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其中：报价权重的计算方法为：将N名投标人按技术分由高至低进行排序，第一名投标人的权重为（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sz w:val="24"/>
          <w:szCs w:val="24"/>
          <w:highlight w:val="none"/>
        </w:rPr>
        <w:drawing>
          <wp:inline distT="0" distB="0" distL="0" distR="0">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sz w:val="24"/>
          <w:szCs w:val="24"/>
          <w:highlight w:val="none"/>
        </w:rPr>
        <w:drawing>
          <wp:inline distT="0" distB="0" distL="0" distR="0">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），第二名投标人的权重为（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），以此类推，最后一名投标人的权重为（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方法二：区间抽取法</w:t>
      </w:r>
    </w:p>
    <w:p>
      <w:pPr>
        <w:widowControl/>
        <w:snapToGrid w:val="0"/>
        <w:spacing w:line="360" w:lineRule="auto"/>
        <w:ind w:firstLine="480" w:firstLineChars="200"/>
        <w:rPr>
          <w:rFonts w:ascii="Arial" w:hAnsi="Arial" w:cs="Arial"/>
          <w:color w:val="auto"/>
          <w:kern w:val="0"/>
          <w:sz w:val="24"/>
          <w:szCs w:val="24"/>
          <w:highlight w:val="none"/>
        </w:rPr>
      </w:pPr>
      <w:r>
        <w:rPr>
          <w:rFonts w:ascii="Arial" w:hAnsi="Arial" w:cs="Arial"/>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color w:val="auto"/>
          <w:kern w:val="0"/>
          <w:sz w:val="24"/>
          <w:szCs w:val="24"/>
          <w:highlight w:val="none"/>
          <w:vertAlign w:val="subscript"/>
        </w:rPr>
      </w:pPr>
      <w:r>
        <w:rPr>
          <w:rFonts w:ascii="Arial" w:hAnsi="Arial" w:cs="Arial"/>
          <w:color w:val="auto"/>
          <w:kern w:val="0"/>
          <w:sz w:val="24"/>
          <w:szCs w:val="24"/>
          <w:highlight w:val="none"/>
        </w:rPr>
        <w:t>评标参考价=（Q</w:t>
      </w:r>
      <w:r>
        <w:rPr>
          <w:rFonts w:ascii="Arial" w:hAnsi="Arial" w:cs="Arial"/>
          <w:color w:val="auto"/>
          <w:kern w:val="0"/>
          <w:sz w:val="24"/>
          <w:szCs w:val="24"/>
          <w:highlight w:val="none"/>
          <w:vertAlign w:val="subscript"/>
        </w:rPr>
        <w:t>高</w:t>
      </w: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低</w:t>
      </w:r>
      <w:r>
        <w:rPr>
          <w:rFonts w:ascii="Arial" w:hAnsi="Arial" w:cs="Arial"/>
          <w:color w:val="auto"/>
          <w:kern w:val="0"/>
          <w:sz w:val="24"/>
          <w:szCs w:val="24"/>
          <w:highlight w:val="none"/>
        </w:rPr>
        <w:t>）/100*Ｘ+Q</w:t>
      </w:r>
      <w:r>
        <w:rPr>
          <w:rFonts w:ascii="Arial" w:hAnsi="Arial" w:cs="Arial"/>
          <w:color w:val="auto"/>
          <w:kern w:val="0"/>
          <w:sz w:val="24"/>
          <w:szCs w:val="24"/>
          <w:highlight w:val="none"/>
          <w:vertAlign w:val="subscript"/>
        </w:rPr>
        <w:t>低</w:t>
      </w:r>
    </w:p>
    <w:p>
      <w:pPr>
        <w:widowControl/>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Q</w:t>
      </w:r>
      <w:r>
        <w:rPr>
          <w:rFonts w:ascii="Arial" w:hAnsi="Arial" w:cs="Arial"/>
          <w:color w:val="auto"/>
          <w:sz w:val="24"/>
          <w:szCs w:val="24"/>
          <w:highlight w:val="none"/>
          <w:vertAlign w:val="subscript"/>
        </w:rPr>
        <w:t>低</w:t>
      </w:r>
      <w:r>
        <w:rPr>
          <w:rFonts w:ascii="Arial" w:hAnsi="Arial" w:cs="Arial"/>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高</w:t>
      </w:r>
      <w:r>
        <w:rPr>
          <w:rFonts w:ascii="Arial" w:hAnsi="Arial" w:cs="Arial"/>
          <w:color w:val="auto"/>
          <w:sz w:val="24"/>
          <w:szCs w:val="24"/>
          <w:highlight w:val="none"/>
        </w:rPr>
        <w:t>：为（最高投标限价*D%）（D的取值范围为[94,100],由招标人自定）</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X:为等分点值，在开标前从[0,100]整数中随机抽取</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42.4.3.2</w:t>
      </w:r>
      <w:r>
        <w:rPr>
          <w:rFonts w:ascii="Arial" w:hAnsi="Arial" w:cs="Arial"/>
          <w:color w:val="auto"/>
          <w:sz w:val="24"/>
          <w:szCs w:val="24"/>
          <w:highlight w:val="none"/>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42.4.3.3评标委员会按投标须知前附表第32项的规定确定排序。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42.4.5.6</w:t>
      </w:r>
      <w:r>
        <w:rPr>
          <w:rFonts w:hint="eastAsia" w:ascii="宋体" w:hAnsi="宋体" w:cs="宋体"/>
          <w:color w:val="auto"/>
          <w:sz w:val="24"/>
          <w:szCs w:val="24"/>
          <w:highlight w:val="none"/>
        </w:rPr>
        <w:t>①</w:t>
      </w:r>
      <w:r>
        <w:rPr>
          <w:rFonts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42.7若通过经济标有效性审查的投标人不足三家，应当依法重新招标。（当N个标段同时招标且不允许兼中时，若有效投标人不足N+2家，应当依法重新招标）</w:t>
      </w:r>
    </w:p>
    <w:p>
      <w:pPr>
        <w:spacing w:line="360" w:lineRule="auto"/>
        <w:ind w:firstLine="480" w:firstLineChars="200"/>
        <w:rPr>
          <w:rFonts w:ascii="Arial" w:hAnsi="Arial" w:cs="Arial"/>
          <w:color w:val="auto"/>
          <w:sz w:val="24"/>
          <w:szCs w:val="24"/>
          <w:highlight w:val="none"/>
        </w:rPr>
      </w:pPr>
    </w:p>
    <w:p>
      <w:pPr>
        <w:pStyle w:val="6"/>
        <w:spacing w:before="156" w:after="156"/>
        <w:ind w:firstLine="540" w:firstLineChars="200"/>
        <w:rPr>
          <w:rFonts w:ascii="Arial" w:hAnsi="Arial" w:cs="Arial"/>
          <w:color w:val="auto"/>
          <w:highlight w:val="none"/>
        </w:rPr>
      </w:pPr>
      <w:bookmarkStart w:id="39" w:name="_Toc2272564"/>
      <w:bookmarkStart w:id="40" w:name="_Toc101266298"/>
      <w:r>
        <w:rPr>
          <w:rFonts w:ascii="Arial" w:hAnsi="Arial" w:cs="Arial"/>
          <w:color w:val="auto"/>
          <w:highlight w:val="none"/>
        </w:rPr>
        <w:t>可选办法七（适合综合评分法四，技术标与经济标同时开启）</w:t>
      </w:r>
      <w:bookmarkEnd w:id="39"/>
      <w:bookmarkEnd w:id="40"/>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40．开标和评标程序</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40.1技术标（含资格审查文件）与经济标投标文件同时公开开标；</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40.2由评标委员会对所有已公开开标的投标人进行资格审查；</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40.3技术标投标文件有效性审查；</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40.4技术标详细审查评分；</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40.5经济标详细审查评分； </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40.6评标委员会按照投标人总得分由高至低排序；</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40.7经济标投标文件有效性审查；</w:t>
      </w:r>
    </w:p>
    <w:p>
      <w:pPr>
        <w:snapToGrid w:val="0"/>
        <w:spacing w:line="360" w:lineRule="auto"/>
        <w:ind w:firstLine="480" w:firstLineChars="200"/>
        <w:rPr>
          <w:rFonts w:ascii="Arial" w:hAnsi="Arial" w:cs="Arial"/>
          <w:color w:val="auto"/>
          <w:szCs w:val="21"/>
          <w:highlight w:val="none"/>
        </w:rPr>
      </w:pPr>
      <w:r>
        <w:rPr>
          <w:rFonts w:ascii="Arial" w:hAnsi="Arial" w:cs="Arial"/>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41．开标细则</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41.1开标由招标人主持；</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 细则</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41.2.4.1开标时，公布：a、投标人名称；b、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41.4 招标人将上述符合要求的投标文件，送至评标委员会进行评审。</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 资格审查及评标细则</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42.1资格审查及评标均由招标人依法组建的评标委员会负责。</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42.2评标委员会的组成：方式</w:t>
      </w:r>
      <w:r>
        <w:rPr>
          <w:rFonts w:ascii="Arial" w:hAnsi="Arial" w:cs="Arial"/>
          <w:color w:val="auto"/>
          <w:sz w:val="24"/>
          <w:szCs w:val="24"/>
          <w:highlight w:val="none"/>
          <w:u w:val="single"/>
        </w:rPr>
        <w:t xml:space="preserve">   </w:t>
      </w:r>
      <w:r>
        <w:rPr>
          <w:rFonts w:ascii="Arial" w:hAnsi="Arial" w:cs="Arial"/>
          <w:color w:val="auto"/>
          <w:sz w:val="24"/>
          <w:szCs w:val="24"/>
          <w:highlight w:val="none"/>
        </w:rPr>
        <w:t>。</w:t>
      </w:r>
    </w:p>
    <w:p>
      <w:pPr>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方式一：评标委员会为综合评标委员会，负责资格审查及评标工作。</w:t>
      </w:r>
    </w:p>
    <w:p>
      <w:pPr>
        <w:pStyle w:val="53"/>
        <w:tabs>
          <w:tab w:val="left" w:pos="7380"/>
        </w:tabs>
        <w:snapToGrid w:val="0"/>
        <w:spacing w:after="0" w:line="360" w:lineRule="auto"/>
        <w:rPr>
          <w:rFonts w:ascii="Arial" w:hAnsi="Arial" w:cs="Arial"/>
          <w:color w:val="auto"/>
          <w:sz w:val="24"/>
          <w:szCs w:val="24"/>
          <w:highlight w:val="none"/>
        </w:rPr>
      </w:pPr>
      <w:r>
        <w:rPr>
          <w:rFonts w:ascii="Arial" w:hAnsi="Arial" w:cs="Arial"/>
          <w:color w:val="auto"/>
          <w:sz w:val="24"/>
          <w:szCs w:val="24"/>
          <w:highlight w:val="none"/>
        </w:rPr>
        <w:t>方式二：评标委员会由技术评审组和经济评审组组成。其中：资格审查及技术评审由技术评标组负责，经济评审由经济评审组负责。</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43．投标人资格审查</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43.2汇总资格审查情况，编写资格审查报告。</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43.3资格审查不合格的投标文件不参加下一阶段的评标，不参与评标参考价的计算。</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43.5资审合格后，投标人的资格发生变化而不满足投标人合格条件，在发出中标通知书前，资格问题仍未解决的，招标人将取消其中标资格。</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43.6资格审查合格的投标人少于3名的（当N个标段同时招标且不允许兼中时，资格审查合格的投标人少于N+2名），则本项目招标失败。</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44．技术标评审</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45．经济标评审和得分汇总</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45.1若通过技术标有效性审查的投标人中所有投标报价均大于等于最高投标限价*D%（D的取值范围为[94,100],由招标人自主确定）的（具体金额为：</w:t>
      </w:r>
      <w:r>
        <w:rPr>
          <w:rFonts w:ascii="Arial" w:hAnsi="Arial" w:cs="Arial"/>
          <w:color w:val="auto"/>
          <w:sz w:val="24"/>
          <w:szCs w:val="24"/>
          <w:highlight w:val="none"/>
          <w:u w:val="single"/>
        </w:rPr>
        <w:t xml:space="preserve">      </w:t>
      </w:r>
      <w:r>
        <w:rPr>
          <w:rFonts w:ascii="Arial" w:hAnsi="Arial" w:cs="Arial"/>
          <w:color w:val="auto"/>
          <w:sz w:val="24"/>
          <w:szCs w:val="24"/>
          <w:highlight w:val="none"/>
        </w:rPr>
        <w:t>元），则本项目招标失败，由招标人依法重新招标。</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45.2按方法</w:t>
      </w:r>
      <w:r>
        <w:rPr>
          <w:rFonts w:ascii="Arial" w:hAnsi="Arial" w:cs="Arial"/>
          <w:color w:val="auto"/>
          <w:sz w:val="24"/>
          <w:szCs w:val="24"/>
          <w:highlight w:val="none"/>
          <w:u w:val="single"/>
        </w:rPr>
        <w:t xml:space="preserve">    </w:t>
      </w:r>
      <w:r>
        <w:rPr>
          <w:rFonts w:ascii="Arial" w:hAnsi="Arial" w:cs="Arial"/>
          <w:color w:val="auto"/>
          <w:sz w:val="24"/>
          <w:szCs w:val="24"/>
          <w:highlight w:val="none"/>
        </w:rPr>
        <w:t>计算评标参考价：</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方法一：加权平均法</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技术标或技术标加诚信得分（具体由招标人自定）前N名（N≥5，具体由招标人自定）的经济报价加权平均，计算评标参考价。公式如下：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评标参考价=Σ（投标人的投标报价*报价权重）。</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其中：报价权重的计算方法为：将N名投标人按技术分由高至低进行排序，第一名投标人的权重为（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sz w:val="24"/>
          <w:szCs w:val="24"/>
          <w:highlight w:val="none"/>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sz w:val="24"/>
          <w:szCs w:val="24"/>
          <w:highlight w:val="none"/>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），第二名投标人的权重为（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），以此类推，最后一名投标人的权重为（</w:t>
      </w:r>
      <w:r>
        <w:rPr>
          <w:rFonts w:ascii="Arial" w:hAnsi="Arial" w:cs="Arial"/>
          <w:color w:val="auto"/>
          <w:sz w:val="24"/>
          <w:szCs w:val="24"/>
          <w:highlight w:val="none"/>
        </w:rPr>
        <w:fldChar w:fldCharType="begin"/>
      </w:r>
      <w:r>
        <w:rPr>
          <w:rFonts w:ascii="Arial" w:hAnsi="Arial" w:cs="Arial"/>
          <w:color w:val="auto"/>
          <w:sz w:val="24"/>
          <w:szCs w:val="24"/>
          <w:highlight w:val="none"/>
        </w:rPr>
        <w:instrText xml:space="preserve"> QUOTE </w:instrText>
      </w:r>
      <w:r>
        <w:rPr>
          <w:rFonts w:ascii="Arial" w:hAnsi="Arial" w:cs="Arial"/>
          <w:color w:val="auto"/>
          <w:position w:val="-23"/>
          <w:sz w:val="24"/>
          <w:szCs w:val="24"/>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separate"/>
      </w:r>
      <w:r>
        <w:rPr>
          <w:rFonts w:ascii="Arial" w:hAnsi="Arial" w:cs="Arial"/>
          <w:color w:val="auto"/>
          <w:position w:val="-23"/>
          <w:sz w:val="24"/>
          <w:szCs w:val="24"/>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color w:val="auto"/>
          <w:sz w:val="24"/>
          <w:szCs w:val="24"/>
          <w:highlight w:val="none"/>
        </w:rPr>
        <w:fldChar w:fldCharType="end"/>
      </w:r>
      <w:r>
        <w:rPr>
          <w:rFonts w:ascii="Arial" w:hAnsi="Arial" w:cs="Arial"/>
          <w:color w:val="auto"/>
          <w:sz w:val="24"/>
          <w:szCs w:val="24"/>
          <w:highlight w:val="none"/>
        </w:rPr>
        <w:t>）。</w:t>
      </w:r>
    </w:p>
    <w:p>
      <w:pPr>
        <w:widowControl/>
        <w:spacing w:line="360" w:lineRule="auto"/>
        <w:ind w:firstLine="482" w:firstLineChars="200"/>
        <w:rPr>
          <w:rFonts w:ascii="Arial" w:hAnsi="Arial" w:cs="Arial"/>
          <w:b/>
          <w:bCs/>
          <w:color w:val="auto"/>
          <w:kern w:val="0"/>
          <w:sz w:val="24"/>
          <w:szCs w:val="24"/>
          <w:highlight w:val="none"/>
        </w:rPr>
      </w:pPr>
      <w:r>
        <w:rPr>
          <w:rFonts w:ascii="Arial" w:hAnsi="Arial" w:cs="Arial"/>
          <w:b/>
          <w:bCs/>
          <w:color w:val="auto"/>
          <w:kern w:val="0"/>
          <w:sz w:val="24"/>
          <w:szCs w:val="24"/>
          <w:highlight w:val="none"/>
        </w:rPr>
        <w:t>方法二：区间抽取法</w:t>
      </w:r>
    </w:p>
    <w:p>
      <w:pPr>
        <w:widowControl/>
        <w:snapToGrid w:val="0"/>
        <w:spacing w:line="360" w:lineRule="auto"/>
        <w:ind w:firstLine="480" w:firstLineChars="200"/>
        <w:rPr>
          <w:rFonts w:ascii="Arial" w:hAnsi="Arial" w:cs="Arial"/>
          <w:color w:val="auto"/>
          <w:kern w:val="0"/>
          <w:sz w:val="24"/>
          <w:szCs w:val="24"/>
          <w:highlight w:val="none"/>
        </w:rPr>
      </w:pPr>
      <w:r>
        <w:rPr>
          <w:rFonts w:ascii="Arial" w:hAnsi="Arial" w:cs="Arial"/>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color w:val="auto"/>
          <w:kern w:val="0"/>
          <w:sz w:val="24"/>
          <w:szCs w:val="24"/>
          <w:highlight w:val="none"/>
          <w:vertAlign w:val="subscript"/>
        </w:rPr>
      </w:pPr>
      <w:r>
        <w:rPr>
          <w:rFonts w:ascii="Arial" w:hAnsi="Arial" w:cs="Arial"/>
          <w:color w:val="auto"/>
          <w:kern w:val="0"/>
          <w:sz w:val="24"/>
          <w:szCs w:val="24"/>
          <w:highlight w:val="none"/>
        </w:rPr>
        <w:t>评标参考价=（Q</w:t>
      </w:r>
      <w:r>
        <w:rPr>
          <w:rFonts w:ascii="Arial" w:hAnsi="Arial" w:cs="Arial"/>
          <w:color w:val="auto"/>
          <w:kern w:val="0"/>
          <w:sz w:val="24"/>
          <w:szCs w:val="24"/>
          <w:highlight w:val="none"/>
          <w:vertAlign w:val="subscript"/>
        </w:rPr>
        <w:t>高</w:t>
      </w: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低</w:t>
      </w:r>
      <w:r>
        <w:rPr>
          <w:rFonts w:ascii="Arial" w:hAnsi="Arial" w:cs="Arial"/>
          <w:color w:val="auto"/>
          <w:kern w:val="0"/>
          <w:sz w:val="24"/>
          <w:szCs w:val="24"/>
          <w:highlight w:val="none"/>
        </w:rPr>
        <w:t>）/100*Ｘ+Q</w:t>
      </w:r>
      <w:r>
        <w:rPr>
          <w:rFonts w:ascii="Arial" w:hAnsi="Arial" w:cs="Arial"/>
          <w:color w:val="auto"/>
          <w:kern w:val="0"/>
          <w:sz w:val="24"/>
          <w:szCs w:val="24"/>
          <w:highlight w:val="none"/>
          <w:vertAlign w:val="subscript"/>
        </w:rPr>
        <w:t>低</w:t>
      </w:r>
    </w:p>
    <w:p>
      <w:pPr>
        <w:widowControl/>
        <w:snapToGrid w:val="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Q</w:t>
      </w:r>
      <w:r>
        <w:rPr>
          <w:rFonts w:ascii="Arial" w:hAnsi="Arial" w:cs="Arial"/>
          <w:color w:val="auto"/>
          <w:sz w:val="24"/>
          <w:szCs w:val="24"/>
          <w:highlight w:val="none"/>
          <w:vertAlign w:val="subscript"/>
        </w:rPr>
        <w:t>低</w:t>
      </w:r>
      <w:r>
        <w:rPr>
          <w:rFonts w:ascii="Arial" w:hAnsi="Arial" w:cs="Arial"/>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Q</w:t>
      </w:r>
      <w:r>
        <w:rPr>
          <w:rFonts w:ascii="Arial" w:hAnsi="Arial" w:cs="Arial"/>
          <w:color w:val="auto"/>
          <w:kern w:val="0"/>
          <w:sz w:val="24"/>
          <w:szCs w:val="24"/>
          <w:highlight w:val="none"/>
          <w:vertAlign w:val="subscript"/>
        </w:rPr>
        <w:t>高</w:t>
      </w:r>
      <w:r>
        <w:rPr>
          <w:rFonts w:ascii="Arial" w:hAnsi="Arial" w:cs="Arial"/>
          <w:color w:val="auto"/>
          <w:sz w:val="24"/>
          <w:szCs w:val="24"/>
          <w:highlight w:val="none"/>
        </w:rPr>
        <w:t>：为（最高投标限价*D%）（D的取值范围为[94,100],由招标人自定）</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X:为等分点值，在开标前从[0,100]整数中随机抽取</w:t>
      </w:r>
    </w:p>
    <w:p>
      <w:pPr>
        <w:spacing w:line="360" w:lineRule="auto"/>
        <w:ind w:firstLine="480" w:firstLineChars="200"/>
        <w:rPr>
          <w:rFonts w:ascii="Arial" w:hAnsi="Arial" w:cs="Arial"/>
          <w:color w:val="auto"/>
          <w:sz w:val="24"/>
          <w:szCs w:val="24"/>
          <w:highlight w:val="none"/>
        </w:rPr>
      </w:pPr>
      <w:r>
        <w:rPr>
          <w:rFonts w:ascii="Arial" w:hAnsi="Arial" w:cs="Arial"/>
          <w:color w:val="auto"/>
          <w:kern w:val="0"/>
          <w:sz w:val="24"/>
          <w:szCs w:val="24"/>
          <w:highlight w:val="none"/>
        </w:rPr>
        <w:t>45.3</w:t>
      </w:r>
      <w:r>
        <w:rPr>
          <w:rFonts w:ascii="Arial" w:hAnsi="Arial" w:cs="Arial"/>
          <w:color w:val="auto"/>
          <w:sz w:val="24"/>
          <w:szCs w:val="24"/>
          <w:highlight w:val="none"/>
        </w:rPr>
        <w:t>当标价等于评标参考价时得100分，标价每高于评标参考价1%，扣1.5分，每低于评标参考价1%，扣1分，扣至0分为止，得出经济分，精确到小数点后两位。</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46.经济标的有效性审查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46.2经济标的算术校核。评标委员会对进行经济标有效性审查的投标文件投标报价按照就低不就高的原则进行算术校核，具体标准如下：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46.2.1如果数字表示的金额和用文字表示的金额不一致时，应以文字表示的金额为准；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46.2.2经算术复核的投标人报价与其投标报价不一致时，按就低不就高原则确定其最终报价；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46.2.4当合价、金额累加错误时，按就低不就高原则，如果累加修正值小于原累加值，则按累加修正值；如果累加修正值大于原累加值，则按原累加值；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46.2.5如果投标人的有关规费、暂列金额、暂估价、绿色施工安全防护措施费等未按招标文件规定的金额填写的，由评标委员会按照招标文件规定的金额进行修正；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46.2.6</w:t>
      </w:r>
      <w:r>
        <w:rPr>
          <w:rFonts w:hint="eastAsia" w:ascii="宋体" w:hAnsi="宋体" w:cs="宋体"/>
          <w:color w:val="auto"/>
          <w:sz w:val="24"/>
          <w:szCs w:val="24"/>
          <w:highlight w:val="none"/>
        </w:rPr>
        <w:t>①</w:t>
      </w:r>
      <w:r>
        <w:rPr>
          <w:rFonts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49.若通过经济标有效性审查的投标人不足三家，应当依法重新招标。（当N个标段同时招标且不允许兼中时，若有效投标人不足N+2家，应当依法重新招标）</w:t>
      </w:r>
    </w:p>
    <w:p>
      <w:pPr>
        <w:pStyle w:val="6"/>
        <w:spacing w:before="156" w:after="156"/>
        <w:ind w:firstLine="540" w:firstLineChars="200"/>
        <w:rPr>
          <w:rFonts w:ascii="Arial" w:hAnsi="Arial" w:cs="Arial"/>
          <w:color w:val="auto"/>
          <w:highlight w:val="none"/>
        </w:rPr>
      </w:pPr>
      <w:bookmarkStart w:id="41" w:name="_Toc2272565"/>
      <w:bookmarkStart w:id="42" w:name="_Toc101266299"/>
      <w:r>
        <w:rPr>
          <w:rFonts w:ascii="Arial" w:hAnsi="Arial" w:cs="Arial"/>
          <w:color w:val="auto"/>
          <w:highlight w:val="none"/>
        </w:rPr>
        <w:t>可选办法八（适合经评审的最低投标价法，技术标与经济标同时开启）</w:t>
      </w:r>
      <w:bookmarkEnd w:id="41"/>
      <w:bookmarkEnd w:id="42"/>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 开标和评标程序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40.1投标人递交技术标、经济标投标文件；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40.2技术标与经济标投标文件同时公开开标；</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40.3由评标委员会对所有已公开开标的投标人进行资格审查；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40.4技术标投标文件有效性审查；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40.5对经济标投标报价进行算术校核；</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40.6计算投标人总得分，并按总得分从高到低，确定经济标评审排序；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40.7按排序对经济标投标文件进行有效性审查，直至评出所有中标候选人；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40.8评标委员会编写经济标评审报告，向招标人推荐中标候选人。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 开标细则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41.1开标由招标人主持；</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41.2细则</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41.2.1投标截止期前，各投标人递交投标文件（包括技术标投标文件、经济标投标文件）至</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交易平台。有关投标文件提交的事项详见第一章投标须知。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41.3.1开标时，公布：a、投标人名称；b、</w:t>
      </w:r>
      <w:r>
        <w:rPr>
          <w:rFonts w:ascii="Arial" w:hAnsi="Arial" w:cs="Arial"/>
          <w:color w:val="auto"/>
          <w:sz w:val="24"/>
          <w:highlight w:val="none"/>
        </w:rPr>
        <w:t>投标文件</w:t>
      </w:r>
      <w:r>
        <w:rPr>
          <w:rFonts w:ascii="Arial" w:hAnsi="Arial" w:cs="Arial"/>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41.4招标人对开标过程进行记录，并存档备查，投标人在开标记录上签字。</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41.5 招标人将上述符合要求的投标文件，送至评标委员会进行评审。</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42.评标细则</w:t>
      </w:r>
    </w:p>
    <w:p>
      <w:pPr>
        <w:widowControl/>
        <w:spacing w:line="360" w:lineRule="auto"/>
        <w:ind w:firstLine="480" w:firstLineChars="200"/>
        <w:jc w:val="left"/>
        <w:rPr>
          <w:rFonts w:ascii="Arial" w:hAnsi="Arial" w:cs="Arial"/>
          <w:color w:val="auto"/>
          <w:sz w:val="24"/>
          <w:szCs w:val="24"/>
          <w:highlight w:val="none"/>
        </w:rPr>
      </w:pPr>
      <w:r>
        <w:rPr>
          <w:rFonts w:ascii="Arial" w:hAnsi="Arial" w:cs="Arial"/>
          <w:color w:val="auto"/>
          <w:sz w:val="24"/>
          <w:szCs w:val="24"/>
          <w:highlight w:val="none"/>
        </w:rPr>
        <w:t>42.1评标委员会的组成：评标委员会为综合评标委员会，负责评标工作。</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42.2投标人资格审查</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42.2.2汇总资格审查情况，编写资格审查报告。</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42.2.3资格审查不合格的投标文件不参加下一阶段的评标，不参与评标参考价的计算。</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3"/>
        <w:tabs>
          <w:tab w:val="left" w:pos="7380"/>
        </w:tabs>
        <w:snapToGrid w:val="0"/>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color w:val="auto"/>
          <w:kern w:val="0"/>
          <w:sz w:val="24"/>
          <w:szCs w:val="24"/>
          <w:highlight w:val="none"/>
        </w:rPr>
      </w:pPr>
      <w:r>
        <w:rPr>
          <w:rFonts w:ascii="Arial" w:hAnsi="Arial" w:cs="Arial"/>
          <w:color w:val="auto"/>
          <w:sz w:val="24"/>
          <w:szCs w:val="24"/>
          <w:highlight w:val="none"/>
        </w:rPr>
        <w:t>42.2.6资格审查合格的投标人少于3名的（当N个标段同时招标且不允许兼中时，资格审查合格的投标人少于N+2名），则本项目招标失败。</w:t>
      </w:r>
      <w:r>
        <w:rPr>
          <w:rFonts w:ascii="Arial" w:hAnsi="Arial" w:cs="Arial"/>
          <w:color w:val="auto"/>
          <w:kern w:val="0"/>
          <w:sz w:val="24"/>
          <w:szCs w:val="24"/>
          <w:highlight w:val="none"/>
        </w:rPr>
        <w:t xml:space="preserve">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42.3技术标的有效性审查：投标文件中没有任一种列于本办法附表二《技术标有效性审查表》中情形的，为有效</w:t>
      </w:r>
      <w:r>
        <w:rPr>
          <w:rFonts w:ascii="Arial" w:hAnsi="Arial" w:cs="Arial"/>
          <w:color w:val="auto"/>
          <w:sz w:val="24"/>
          <w:highlight w:val="none"/>
        </w:rPr>
        <w:t>投标文件</w:t>
      </w:r>
      <w:r>
        <w:rPr>
          <w:rFonts w:ascii="Arial" w:hAnsi="Arial" w:cs="Arial"/>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42.4投标文件算术校核：</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评标委员会将对通过技术标有效性审查的投标文件投标报价按照就低不就高的原则进行算术校核，具体标准如下：</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42.4.1如果数字表示的金额和用文字表示的金额不一致时，应以文字表示的金额为准；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42.4.2经算术复核的中标候选人报价与其投标报价不一致时，按就低不就高原则确定其最终报价；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42.4.6 </w:t>
      </w:r>
      <w:r>
        <w:rPr>
          <w:rFonts w:hint="eastAsia" w:ascii="宋体" w:hAnsi="宋体" w:cs="宋体"/>
          <w:color w:val="auto"/>
          <w:sz w:val="24"/>
          <w:szCs w:val="24"/>
          <w:highlight w:val="none"/>
        </w:rPr>
        <w:t>①</w:t>
      </w:r>
      <w:r>
        <w:rPr>
          <w:rFonts w:ascii="Arial" w:hAnsi="Arial" w:cs="Arial"/>
          <w:color w:val="auto"/>
          <w:sz w:val="24"/>
          <w:szCs w:val="24"/>
          <w:highlight w:val="none"/>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color w:val="auto"/>
          <w:sz w:val="24"/>
          <w:szCs w:val="24"/>
          <w:highlight w:val="none"/>
        </w:rPr>
        <w:t>②</w:t>
      </w:r>
      <w:r>
        <w:rPr>
          <w:rFonts w:ascii="Arial" w:hAnsi="Arial" w:cs="Arial"/>
          <w:color w:val="auto"/>
          <w:sz w:val="24"/>
          <w:szCs w:val="24"/>
          <w:highlight w:val="none"/>
        </w:rPr>
        <w:t>分部分项项目对比招标文件（招标工程量清单）漏项的，则该漏项费用视为已分配在其他项目中，不再修改；</w:t>
      </w:r>
      <w:r>
        <w:rPr>
          <w:rFonts w:hint="eastAsia" w:ascii="宋体" w:hAnsi="宋体" w:cs="宋体"/>
          <w:color w:val="auto"/>
          <w:sz w:val="24"/>
          <w:szCs w:val="24"/>
          <w:highlight w:val="none"/>
        </w:rPr>
        <w:t>③</w:t>
      </w:r>
      <w:r>
        <w:rPr>
          <w:rFonts w:ascii="Arial" w:hAnsi="Arial" w:cs="Arial"/>
          <w:color w:val="auto"/>
          <w:sz w:val="24"/>
          <w:szCs w:val="24"/>
          <w:highlight w:val="none"/>
        </w:rPr>
        <w:t>分部分项工程量清单中的综合单价与综合单价分析表中的综合单价不一致时，以价低者为准；</w:t>
      </w:r>
      <w:r>
        <w:rPr>
          <w:rFonts w:hint="eastAsia" w:ascii="宋体" w:hAnsi="宋体" w:cs="宋体"/>
          <w:color w:val="auto"/>
          <w:sz w:val="24"/>
          <w:szCs w:val="24"/>
          <w:highlight w:val="none"/>
        </w:rPr>
        <w:t>④</w:t>
      </w:r>
      <w:r>
        <w:rPr>
          <w:rFonts w:ascii="Arial" w:hAnsi="Arial" w:cs="Arial"/>
          <w:color w:val="auto"/>
          <w:sz w:val="24"/>
          <w:szCs w:val="24"/>
          <w:highlight w:val="none"/>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color w:val="auto"/>
          <w:sz w:val="24"/>
          <w:szCs w:val="24"/>
          <w:highlight w:val="none"/>
        </w:rPr>
        <w:t>⑤</w:t>
      </w:r>
      <w:r>
        <w:rPr>
          <w:rFonts w:ascii="Arial" w:hAnsi="Arial" w:cs="Arial"/>
          <w:color w:val="auto"/>
          <w:sz w:val="24"/>
          <w:szCs w:val="24"/>
          <w:highlight w:val="none"/>
        </w:rPr>
        <w:t>分部分项项目增项的，不予修改；</w:t>
      </w:r>
      <w:r>
        <w:rPr>
          <w:rFonts w:hint="eastAsia" w:ascii="宋体" w:hAnsi="宋体" w:cs="宋体"/>
          <w:color w:val="auto"/>
          <w:sz w:val="24"/>
          <w:szCs w:val="24"/>
          <w:highlight w:val="none"/>
        </w:rPr>
        <w:t>⑥</w:t>
      </w:r>
      <w:r>
        <w:rPr>
          <w:rFonts w:ascii="Arial" w:hAnsi="Arial" w:cs="Arial"/>
          <w:color w:val="auto"/>
          <w:sz w:val="24"/>
          <w:szCs w:val="24"/>
          <w:highlight w:val="none"/>
        </w:rPr>
        <w:t>其它招标文件规定需要修改的，均以就低不就高原则进行修改；</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42.4.8按上述修正错误的原则及方法调整或修正投标文件的投标报价，调整后的投标报价对投标人起约束作用。如果投标人不接受修正后的报价，则取消其投标资格，并且其投标保证金也将不予退还。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42.5确定投标文件的评审次序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42.5.1确定评标参考价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42.5.1.1企业综合诚信评价分数前</w:t>
      </w:r>
      <w:r>
        <w:rPr>
          <w:rFonts w:ascii="Arial" w:hAnsi="Arial" w:cs="Arial"/>
          <w:color w:val="auto"/>
          <w:sz w:val="24"/>
          <w:szCs w:val="24"/>
          <w:highlight w:val="none"/>
          <w:u w:val="single"/>
        </w:rPr>
        <w:t xml:space="preserve">      </w:t>
      </w:r>
      <w:r>
        <w:rPr>
          <w:rFonts w:ascii="Arial" w:hAnsi="Arial" w:cs="Arial"/>
          <w:color w:val="auto"/>
          <w:sz w:val="24"/>
          <w:szCs w:val="24"/>
          <w:highlight w:val="none"/>
        </w:rPr>
        <w:t>名（不少于100名，由招标人在招标文件中明确）且经算术校核后的最低投标报价为评标参考价。</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42.5.2计算投标人的总得分（满分为100分）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42.5.2.1当标价等于评标参考价时得100分，标价每高于评标参考价1%，扣1.5分；扣至0分为止，得分精确到小数点后两位。标价低于评标参考价的，得0分。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42.5.3按照投标人总得分从高至低进行排序，确定经济标评标的先后排序。总得分相同的投标文件，以综合诚信评价分数靠前的排前；总得分与综合诚信评价分数均相同的投标文件，以</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 w:val="24"/>
          <w:szCs w:val="24"/>
          <w:highlight w:val="none"/>
        </w:rPr>
        <w:t>公布的上一年度施工项目总中标金额高的排前；如仍存在相同情况，则对具有相同情况的投标人，按中标候选人数量规定，由评标委员会采用随机方式，确定中标候选人的排序。</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42.5.4招标人应在《投标须知前附表》中明确选择使用施工企业总排名或相应的施工专业承包排名计分。</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42.6 投标文件的有效性审查</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42.7评标结束后，评标委员会应当在通过投标文件有效性审查的投标人中，按照原投标文件的评审次序，推荐前3名依次为第一中标候选人至第三中标候选人，并编写评标报告。</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42.8若有效投标人不足三家，应当依法重新招标。（当N个标段同时招标且不允许兼中时，若有效投标人不足N+2家，应当依法重新招标）</w:t>
      </w:r>
    </w:p>
    <w:p>
      <w:pPr>
        <w:spacing w:line="360" w:lineRule="auto"/>
        <w:rPr>
          <w:rFonts w:ascii="Arial" w:hAnsi="Arial" w:cs="Arial"/>
          <w:color w:val="auto"/>
          <w:sz w:val="24"/>
          <w:szCs w:val="24"/>
          <w:highlight w:val="none"/>
        </w:rPr>
      </w:pPr>
      <w:r>
        <w:rPr>
          <w:rFonts w:ascii="Arial" w:hAnsi="Arial" w:cs="Arial"/>
          <w:color w:val="auto"/>
          <w:sz w:val="24"/>
          <w:szCs w:val="24"/>
          <w:highlight w:val="none"/>
        </w:rPr>
        <w:br w:type="page"/>
      </w:r>
    </w:p>
    <w:p>
      <w:pPr>
        <w:widowControl/>
        <w:snapToGrid w:val="0"/>
        <w:spacing w:line="360" w:lineRule="auto"/>
        <w:ind w:right="102"/>
        <w:jc w:val="left"/>
        <w:rPr>
          <w:rFonts w:ascii="Arial" w:hAnsi="Arial" w:cs="Arial"/>
          <w:color w:val="auto"/>
          <w:szCs w:val="21"/>
          <w:highlight w:val="none"/>
        </w:rPr>
      </w:pPr>
      <w:r>
        <w:rPr>
          <w:rFonts w:ascii="Arial" w:hAnsi="Arial" w:cs="Arial"/>
          <w:color w:val="auto"/>
          <w:szCs w:val="21"/>
          <w:highlight w:val="none"/>
        </w:rPr>
        <w:t>附表一：</w:t>
      </w:r>
    </w:p>
    <w:p>
      <w:pPr>
        <w:jc w:val="center"/>
        <w:rPr>
          <w:rFonts w:ascii="Arial" w:hAnsi="Arial" w:cs="Arial"/>
          <w:b/>
          <w:color w:val="auto"/>
          <w:sz w:val="32"/>
          <w:szCs w:val="32"/>
          <w:highlight w:val="none"/>
        </w:rPr>
      </w:pPr>
      <w:r>
        <w:rPr>
          <w:rFonts w:ascii="Arial" w:hAnsi="Arial" w:cs="Arial"/>
          <w:b/>
          <w:color w:val="auto"/>
          <w:sz w:val="32"/>
          <w:szCs w:val="32"/>
          <w:highlight w:val="none"/>
        </w:rPr>
        <w:t>资格审查表</w:t>
      </w:r>
    </w:p>
    <w:p>
      <w:pPr>
        <w:spacing w:line="480" w:lineRule="auto"/>
        <w:rPr>
          <w:rFonts w:ascii="Arial" w:hAnsi="Arial" w:cs="Arial"/>
          <w:color w:val="auto"/>
          <w:sz w:val="24"/>
          <w:szCs w:val="24"/>
          <w:highlight w:val="none"/>
        </w:rPr>
      </w:pPr>
      <w:r>
        <w:rPr>
          <w:rFonts w:ascii="Arial" w:hAnsi="Arial" w:cs="Arial"/>
          <w:color w:val="auto"/>
          <w:sz w:val="24"/>
          <w:szCs w:val="24"/>
          <w:highlight w:val="none"/>
        </w:rPr>
        <w:t>工程名称：</w:t>
      </w:r>
    </w:p>
    <w:p>
      <w:pPr>
        <w:spacing w:line="480" w:lineRule="auto"/>
        <w:rPr>
          <w:rFonts w:ascii="Arial" w:hAnsi="Arial" w:cs="Arial"/>
          <w:color w:val="auto"/>
          <w:sz w:val="24"/>
          <w:szCs w:val="24"/>
          <w:highlight w:val="none"/>
        </w:rPr>
      </w:pPr>
      <w:r>
        <w:rPr>
          <w:rFonts w:ascii="Arial" w:hAnsi="Arial" w:cs="Arial"/>
          <w:color w:val="auto"/>
          <w:sz w:val="24"/>
          <w:szCs w:val="24"/>
          <w:highlight w:val="none"/>
        </w:rPr>
        <w:t>投标人名称：</w:t>
      </w:r>
    </w:p>
    <w:tbl>
      <w:tblPr>
        <w:tblStyle w:val="55"/>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b/>
                <w:color w:val="auto"/>
                <w:szCs w:val="21"/>
                <w:highlight w:val="none"/>
              </w:rPr>
            </w:pPr>
            <w:r>
              <w:rPr>
                <w:rFonts w:ascii="Arial" w:hAnsi="Arial" w:cs="Arial"/>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b/>
                <w:color w:val="auto"/>
                <w:szCs w:val="21"/>
                <w:highlight w:val="none"/>
              </w:rPr>
            </w:pPr>
            <w:r>
              <w:rPr>
                <w:rFonts w:ascii="Arial" w:hAnsi="Arial" w:cs="Arial"/>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b/>
                <w:color w:val="auto"/>
                <w:szCs w:val="21"/>
                <w:highlight w:val="none"/>
              </w:rPr>
            </w:pPr>
            <w:r>
              <w:rPr>
                <w:rFonts w:ascii="Arial" w:hAnsi="Arial" w:cs="Arial"/>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b/>
                <w:color w:val="auto"/>
                <w:szCs w:val="21"/>
                <w:highlight w:val="none"/>
              </w:rPr>
            </w:pPr>
            <w:r>
              <w:rPr>
                <w:rFonts w:ascii="Arial" w:hAnsi="Arial" w:cs="Arial"/>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宋体" w:hAnsi="宋体" w:eastAsia="宋体" w:cs="宋体"/>
                <w:bCs/>
                <w:color w:val="auto"/>
                <w:szCs w:val="21"/>
                <w:highlight w:val="none"/>
                <w:u w:val="single"/>
                <w:lang w:eastAsia="zh-CN"/>
              </w:rPr>
              <w:t>营业执照扫描件加盖电子公章</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宋体" w:hAnsi="宋体" w:eastAsia="宋体" w:cs="宋体"/>
                <w:color w:val="auto"/>
                <w:szCs w:val="21"/>
                <w:highlight w:val="none"/>
                <w:lang w:eastAsia="zh-CN"/>
              </w:rPr>
              <w:t>资质证书及安全生产许可证扫描件加盖电子公章</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Style w:val="66"/>
                <w:rFonts w:hint="eastAsia" w:ascii="宋体" w:hAnsi="宋体" w:eastAsia="宋体" w:cs="宋体"/>
                <w:color w:val="auto"/>
                <w:kern w:val="0"/>
                <w:highlight w:val="none"/>
                <w:lang w:eastAsia="zh-CN"/>
              </w:rPr>
              <w:t>建造师证书相关证明扫描件加盖电子公章</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持有项目负责人安全</w:t>
            </w:r>
            <w:r>
              <w:rPr>
                <w:rFonts w:hint="eastAsia" w:ascii="Arial" w:hAnsi="Arial" w:cs="Arial"/>
                <w:color w:val="auto"/>
                <w:szCs w:val="21"/>
                <w:highlight w:val="none"/>
                <w:lang w:val="en-US" w:eastAsia="zh-CN"/>
              </w:rPr>
              <w:t>生产</w:t>
            </w:r>
            <w:r>
              <w:rPr>
                <w:rFonts w:ascii="Arial" w:hAnsi="Arial" w:cs="Arial"/>
                <w:color w:val="auto"/>
                <w:szCs w:val="21"/>
                <w:highlight w:val="none"/>
              </w:rPr>
              <w:t>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宋体" w:hAnsi="宋体" w:eastAsia="宋体" w:cs="宋体"/>
                <w:color w:val="auto"/>
                <w:szCs w:val="21"/>
                <w:highlight w:val="none"/>
              </w:rPr>
              <w:t>须提交彩色扫描件</w:t>
            </w:r>
            <w:r>
              <w:rPr>
                <w:rStyle w:val="66"/>
                <w:rFonts w:hint="eastAsia" w:ascii="宋体" w:hAnsi="宋体" w:eastAsia="宋体" w:cs="宋体"/>
                <w:color w:val="auto"/>
                <w:kern w:val="0"/>
                <w:highlight w:val="none"/>
                <w:lang w:eastAsia="zh-CN"/>
              </w:rPr>
              <w:t>加盖电子公章</w:t>
            </w:r>
            <w:r>
              <w:rPr>
                <w:rFonts w:hint="eastAsia" w:ascii="宋体" w:hAnsi="宋体" w:eastAsia="宋体" w:cs="宋体"/>
                <w:color w:val="auto"/>
                <w:szCs w:val="21"/>
                <w:highlight w:val="none"/>
              </w:rPr>
              <w:t>或建筑施工企业项目负责人安全生产考核合格证</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宋体" w:hAnsi="宋体" w:eastAsia="宋体" w:cs="宋体"/>
                <w:color w:val="auto"/>
                <w:szCs w:val="21"/>
                <w:highlight w:val="none"/>
              </w:rPr>
              <w:t>拟委托技术负责人的市政相关专业职称证书扫描件</w:t>
            </w:r>
            <w:r>
              <w:rPr>
                <w:rStyle w:val="66"/>
                <w:rFonts w:hint="eastAsia" w:ascii="宋体" w:hAnsi="宋体" w:eastAsia="宋体" w:cs="宋体"/>
                <w:color w:val="auto"/>
                <w:kern w:val="0"/>
                <w:highlight w:val="none"/>
                <w:lang w:eastAsia="zh-CN"/>
              </w:rPr>
              <w:t>加盖电子公章</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Arial" w:hAnsi="Arial" w:eastAsia="宋体" w:cs="Arial"/>
                <w:color w:val="auto"/>
                <w:szCs w:val="21"/>
                <w:highlight w:val="none"/>
                <w:lang w:val="en-US" w:eastAsia="zh-CN"/>
              </w:rPr>
            </w:pPr>
            <w:r>
              <w:rPr>
                <w:rFonts w:ascii="Arial" w:hAnsi="Arial" w:cs="Arial"/>
                <w:color w:val="auto"/>
                <w:szCs w:val="21"/>
                <w:highlight w:val="none"/>
              </w:rPr>
              <w:t>专职安全员须具有安全生产考核合格证（C证）或建筑施工企业专职安全生产管理人员安全生产考核合格证</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C3类）</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Arial" w:hAnsi="Arial" w:cs="Arial"/>
                <w:color w:val="auto"/>
                <w:szCs w:val="21"/>
                <w:highlight w:val="none"/>
              </w:rPr>
              <w:t>须提交彩色扫描件加盖电子公章或建筑施工企业专职安全生产管理人员安全生产考核合格证</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提供联合体工作协议。投标人拟任本工程项目负责人应为主办方正式员工。联合体工作协议应明确约定各方拟承担的工作和责任（如有）</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不接受联合体投标。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宋体" w:hAnsi="宋体" w:eastAsia="宋体" w:cs="宋体"/>
                <w:color w:val="auto"/>
                <w:szCs w:val="21"/>
                <w:highlight w:val="none"/>
              </w:rPr>
              <w:t>资格审查前，投标人须在广州公共资源交易中心办理信息登记等相关投标登记手续及拟担任本工程项目负责人、专职安全员须是本企业的在册人员且与广州公共资源交易中心办理信息登记一致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hint="eastAsia" w:ascii="宋体" w:hAnsi="宋体" w:eastAsia="宋体" w:cs="宋体"/>
                <w:color w:val="auto"/>
                <w:szCs w:val="21"/>
                <w:highlight w:val="none"/>
              </w:rPr>
              <w:t>投标人在广州公共资源交易中心办理登记信息及人员信息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12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r>
              <w:rPr>
                <w:rFonts w:ascii="Arial" w:hAnsi="Arial" w:cs="Arial"/>
                <w:color w:val="auto"/>
                <w:szCs w:val="21"/>
                <w:highlight w:val="none"/>
              </w:rPr>
              <w:t>13</w:t>
            </w:r>
          </w:p>
        </w:tc>
        <w:tc>
          <w:tcPr>
            <w:tcW w:w="3780" w:type="dxa"/>
            <w:tcBorders>
              <w:top w:val="single" w:color="auto" w:sz="4" w:space="0"/>
              <w:left w:val="single" w:color="auto" w:sz="4" w:space="0"/>
              <w:bottom w:val="single" w:color="auto" w:sz="4" w:space="0"/>
              <w:right w:val="single" w:color="auto" w:sz="4" w:space="0"/>
            </w:tcBorders>
            <w:vAlign w:val="center"/>
          </w:tcPr>
          <w:p>
            <w:pPr>
              <w:wordWrap w:val="0"/>
              <w:spacing w:before="120" w:after="60"/>
              <w:jc w:val="left"/>
              <w:rPr>
                <w:rFonts w:ascii="Arial" w:hAnsi="Arial" w:cs="Arial"/>
                <w:color w:val="auto"/>
                <w:szCs w:val="21"/>
                <w:highlight w:val="none"/>
              </w:rPr>
            </w:pPr>
            <w:r>
              <w:rPr>
                <w:rFonts w:hint="eastAsia" w:ascii="Arial" w:hAnsi="Arial" w:cs="Arial"/>
                <w:color w:val="auto"/>
                <w:szCs w:val="21"/>
                <w:highlight w:val="none"/>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Arial" w:hAnsi="Arial" w:cs="Arial"/>
                <w:color w:val="auto"/>
                <w:szCs w:val="21"/>
                <w:highlight w:val="none"/>
              </w:rPr>
            </w:pPr>
            <w:r>
              <w:rPr>
                <w:rFonts w:hint="eastAsia" w:ascii="宋体" w:hAnsi="宋体" w:eastAsia="宋体" w:cs="宋体"/>
                <w:color w:val="auto"/>
                <w:szCs w:val="21"/>
                <w:highlight w:val="none"/>
              </w:rPr>
              <w:t>按广州公共资源交易中心交易系统比对结果进行评审。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color w:val="auto"/>
                <w:szCs w:val="21"/>
                <w:highlight w:val="none"/>
              </w:rPr>
            </w:pPr>
          </w:p>
        </w:tc>
      </w:tr>
    </w:tbl>
    <w:p>
      <w:pPr>
        <w:spacing w:line="480" w:lineRule="auto"/>
        <w:ind w:firstLine="470" w:firstLineChars="224"/>
        <w:rPr>
          <w:rFonts w:ascii="Arial" w:hAnsi="Arial" w:cs="Arial"/>
          <w:color w:val="auto"/>
          <w:szCs w:val="21"/>
          <w:highlight w:val="none"/>
        </w:rPr>
      </w:pPr>
      <w:r>
        <w:rPr>
          <w:rFonts w:ascii="Arial" w:hAnsi="Arial" w:cs="Arial"/>
          <w:color w:val="auto"/>
          <w:szCs w:val="21"/>
          <w:highlight w:val="none"/>
        </w:rPr>
        <w:t>备注：</w:t>
      </w:r>
    </w:p>
    <w:p>
      <w:pPr>
        <w:spacing w:line="480" w:lineRule="auto"/>
        <w:ind w:firstLine="470" w:firstLineChars="224"/>
        <w:rPr>
          <w:rFonts w:ascii="Arial" w:hAnsi="Arial" w:cs="Arial"/>
          <w:color w:val="auto"/>
          <w:szCs w:val="21"/>
          <w:highlight w:val="none"/>
        </w:rPr>
      </w:pPr>
      <w:r>
        <w:rPr>
          <w:rFonts w:ascii="Arial" w:hAnsi="Arial" w:cs="Arial"/>
          <w:color w:val="auto"/>
          <w:szCs w:val="21"/>
          <w:highlight w:val="none"/>
        </w:rPr>
        <w:t xml:space="preserve">1、每一项目符合的打“○”，不符合的打“×”； </w:t>
      </w:r>
    </w:p>
    <w:p>
      <w:pPr>
        <w:spacing w:line="480" w:lineRule="auto"/>
        <w:ind w:firstLine="470" w:firstLineChars="224"/>
        <w:rPr>
          <w:rFonts w:ascii="Arial" w:hAnsi="Arial" w:cs="Arial"/>
          <w:color w:val="auto"/>
          <w:szCs w:val="21"/>
          <w:highlight w:val="none"/>
        </w:rPr>
      </w:pPr>
      <w:r>
        <w:rPr>
          <w:rFonts w:ascii="Arial" w:hAnsi="Arial" w:cs="Arial"/>
          <w:color w:val="auto"/>
          <w:szCs w:val="21"/>
          <w:highlight w:val="none"/>
        </w:rPr>
        <w:t>2、若评委意见不一致时，则按少数服从多数的原则，作出评审结论。汇总后，出现一个“×”的结论为“不通过”。</w:t>
      </w:r>
    </w:p>
    <w:p>
      <w:pPr>
        <w:spacing w:line="480" w:lineRule="auto"/>
        <w:ind w:firstLine="472" w:firstLineChars="224"/>
        <w:rPr>
          <w:rFonts w:ascii="Arial" w:hAnsi="Arial" w:cs="Arial"/>
          <w:b/>
          <w:bCs/>
          <w:color w:val="auto"/>
          <w:szCs w:val="21"/>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r>
        <w:rPr>
          <w:rFonts w:hint="default" w:ascii="Arial" w:hAnsi="Arial" w:cs="Arial"/>
          <w:b/>
          <w:bCs/>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Arial" w:hAnsi="Arial" w:cs="Arial"/>
          <w:color w:val="auto"/>
          <w:szCs w:val="21"/>
          <w:highlight w:val="none"/>
        </w:rPr>
      </w:pPr>
      <w:r>
        <w:rPr>
          <w:rFonts w:ascii="Arial" w:hAnsi="Arial" w:cs="Arial"/>
          <w:color w:val="auto"/>
          <w:szCs w:val="21"/>
          <w:highlight w:val="none"/>
        </w:rPr>
        <w:t>附表二</w:t>
      </w:r>
    </w:p>
    <w:p>
      <w:pPr>
        <w:jc w:val="center"/>
        <w:rPr>
          <w:rFonts w:ascii="Arial" w:hAnsi="Arial" w:cs="Arial"/>
          <w:b/>
          <w:color w:val="auto"/>
          <w:sz w:val="36"/>
          <w:szCs w:val="36"/>
          <w:highlight w:val="none"/>
        </w:rPr>
      </w:pPr>
      <w:r>
        <w:rPr>
          <w:rFonts w:ascii="Arial" w:hAnsi="Arial" w:cs="Arial"/>
          <w:b/>
          <w:color w:val="auto"/>
          <w:sz w:val="36"/>
          <w:szCs w:val="36"/>
          <w:highlight w:val="none"/>
        </w:rPr>
        <w:t>技术标有效性审查表</w:t>
      </w:r>
    </w:p>
    <w:p>
      <w:pPr>
        <w:rPr>
          <w:rFonts w:ascii="Arial" w:hAnsi="Arial" w:cs="Arial"/>
          <w:color w:val="auto"/>
          <w:szCs w:val="21"/>
          <w:highlight w:val="none"/>
        </w:rPr>
      </w:pPr>
      <w:r>
        <w:rPr>
          <w:rFonts w:ascii="Arial" w:hAnsi="Arial" w:cs="Arial"/>
          <w:color w:val="auto"/>
          <w:szCs w:val="21"/>
          <w:highlight w:val="none"/>
        </w:rPr>
        <w:t>工程名称：</w:t>
      </w:r>
    </w:p>
    <w:tbl>
      <w:tblPr>
        <w:tblStyle w:val="5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Arial" w:hAnsi="Arial" w:cs="Arial"/>
                <w:color w:val="auto"/>
                <w:szCs w:val="21"/>
                <w:highlight w:val="none"/>
              </w:rPr>
            </w:pPr>
            <w:r>
              <w:rPr>
                <w:rFonts w:ascii="Arial" w:hAnsi="Arial" w:cs="Arial"/>
                <w:color w:val="auto"/>
                <w:szCs w:val="21"/>
                <w:highlight w:val="none"/>
              </w:rPr>
              <w:t xml:space="preserve">               投标人</w:t>
            </w:r>
          </w:p>
          <w:p>
            <w:pPr>
              <w:adjustRightInd w:val="0"/>
              <w:rPr>
                <w:rFonts w:ascii="Arial" w:hAnsi="Arial" w:cs="Arial"/>
                <w:color w:val="auto"/>
                <w:szCs w:val="21"/>
                <w:highlight w:val="none"/>
              </w:rPr>
            </w:pPr>
          </w:p>
          <w:p>
            <w:pPr>
              <w:adjustRightInd w:val="0"/>
              <w:rPr>
                <w:rFonts w:ascii="Arial" w:hAnsi="Arial" w:cs="Arial"/>
                <w:color w:val="auto"/>
                <w:szCs w:val="21"/>
                <w:highlight w:val="none"/>
              </w:rPr>
            </w:pPr>
            <w:r>
              <w:rPr>
                <w:rFonts w:ascii="Arial" w:hAnsi="Arial" w:cs="Arial"/>
                <w:color w:val="auto"/>
                <w:szCs w:val="21"/>
                <w:highlight w:val="none"/>
              </w:rPr>
              <w:t>评审内容</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1</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不能满足完成投标项目工期的；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2</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不符合招标文件及有关技术规格、质量要求、检验标准和方法的；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3</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4</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投标文件未按规定的格式填写，或主要内容不全，或关键字迹模糊、无法辨认的；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5</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6</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trike/>
                <w:color w:val="auto"/>
                <w:szCs w:val="21"/>
                <w:highlight w:val="none"/>
              </w:rPr>
            </w:pPr>
            <w:r>
              <w:rPr>
                <w:rFonts w:ascii="Arial" w:hAnsi="Arial" w:cs="Arial"/>
                <w:strike/>
                <w:color w:val="auto"/>
                <w:szCs w:val="21"/>
                <w:highlight w:val="none"/>
              </w:rPr>
              <w:t>7</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trike/>
                <w:color w:val="auto"/>
                <w:szCs w:val="21"/>
                <w:highlight w:val="none"/>
              </w:rPr>
            </w:pPr>
            <w:r>
              <w:rPr>
                <w:rFonts w:ascii="Arial" w:hAnsi="Arial" w:cs="Arial"/>
                <w:strike/>
                <w:color w:val="auto"/>
                <w:szCs w:val="21"/>
                <w:highlight w:val="none"/>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8</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color w:val="auto"/>
                <w:szCs w:val="21"/>
                <w:highlight w:val="none"/>
              </w:rPr>
            </w:pPr>
            <w:r>
              <w:rPr>
                <w:rFonts w:ascii="Arial" w:hAnsi="Arial" w:cs="Arial"/>
                <w:color w:val="auto"/>
                <w:szCs w:val="21"/>
                <w:highlight w:val="none"/>
              </w:rPr>
              <w:t>投标人与其他投标人加密打包投标文件电脑机器特征码一致的(以</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  </w:t>
            </w:r>
            <w:r>
              <w:rPr>
                <w:rFonts w:ascii="Arial" w:hAnsi="Arial" w:cs="Arial"/>
                <w:color w:val="auto"/>
                <w:szCs w:val="21"/>
                <w:highlight w:val="none"/>
              </w:rPr>
              <w:t>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color w:val="auto"/>
                <w:szCs w:val="21"/>
                <w:highlight w:val="none"/>
              </w:rPr>
            </w:pPr>
          </w:p>
        </w:tc>
      </w:tr>
    </w:tbl>
    <w:p>
      <w:pPr>
        <w:rPr>
          <w:rFonts w:hint="eastAsia" w:ascii="Arial" w:hAnsi="Arial" w:cs="Arial"/>
          <w:color w:val="auto"/>
          <w:szCs w:val="21"/>
          <w:highlight w:val="none"/>
        </w:rPr>
      </w:pPr>
      <w:r>
        <w:rPr>
          <w:rFonts w:ascii="Arial" w:hAnsi="Arial" w:cs="Arial"/>
          <w:color w:val="auto"/>
          <w:szCs w:val="21"/>
          <w:highlight w:val="none"/>
        </w:rPr>
        <w:t>注：</w:t>
      </w:r>
      <w:r>
        <w:rPr>
          <w:rFonts w:hint="eastAsia" w:ascii="Arial" w:hAnsi="Arial" w:cs="Arial"/>
          <w:color w:val="auto"/>
          <w:szCs w:val="21"/>
          <w:highlight w:val="none"/>
        </w:rPr>
        <w:t>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Arial" w:hAnsi="Arial" w:cs="Arial"/>
          <w:color w:val="auto"/>
          <w:szCs w:val="21"/>
          <w:highlight w:val="none"/>
        </w:rPr>
      </w:pPr>
      <w:r>
        <w:rPr>
          <w:rFonts w:hint="eastAsia" w:ascii="Arial" w:hAnsi="Arial" w:cs="Arial"/>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hint="eastAsia" w:ascii="Arial" w:hAnsi="Arial" w:cs="Arial"/>
          <w:color w:val="auto"/>
          <w:szCs w:val="21"/>
          <w:highlight w:val="none"/>
        </w:rPr>
      </w:pPr>
      <w:r>
        <w:rPr>
          <w:rFonts w:hint="eastAsia" w:ascii="Arial" w:hAnsi="Arial" w:cs="Arial"/>
          <w:color w:val="auto"/>
          <w:szCs w:val="21"/>
          <w:highlight w:val="none"/>
        </w:rPr>
        <w:t>3.凡出现以上任何一项情形，结论均为无效，否则就为有效。</w:t>
      </w:r>
    </w:p>
    <w:p>
      <w:pPr>
        <w:rPr>
          <w:rFonts w:ascii="Arial" w:hAnsi="Arial" w:cs="Arial"/>
          <w:color w:val="auto"/>
          <w:szCs w:val="21"/>
          <w:highlight w:val="none"/>
        </w:rPr>
      </w:pPr>
      <w:r>
        <w:rPr>
          <w:rFonts w:hint="eastAsia" w:ascii="Arial" w:hAnsi="Arial" w:cs="Arial"/>
          <w:color w:val="auto"/>
          <w:szCs w:val="21"/>
          <w:highlight w:val="none"/>
        </w:rPr>
        <w:t>4.如对本表中某种情形的评审意见不一致时，以评标委员会过半数成员的意见作为评标委员会对该情形的认定结论。</w:t>
      </w:r>
      <w:r>
        <w:rPr>
          <w:rFonts w:ascii="Arial" w:hAnsi="Arial" w:cs="Arial"/>
          <w:color w:val="auto"/>
          <w:highlight w:val="none"/>
        </w:rPr>
        <w:br w:type="page"/>
      </w:r>
      <w:r>
        <w:rPr>
          <w:rFonts w:ascii="Arial" w:hAnsi="Arial" w:cs="Arial"/>
          <w:color w:val="auto"/>
          <w:szCs w:val="21"/>
          <w:highlight w:val="none"/>
        </w:rPr>
        <w:t>附表三</w:t>
      </w:r>
    </w:p>
    <w:p>
      <w:pPr>
        <w:jc w:val="center"/>
        <w:rPr>
          <w:rFonts w:ascii="Arial" w:hAnsi="Arial" w:cs="Arial"/>
          <w:b/>
          <w:color w:val="auto"/>
          <w:sz w:val="36"/>
          <w:szCs w:val="36"/>
          <w:highlight w:val="none"/>
        </w:rPr>
      </w:pPr>
      <w:r>
        <w:rPr>
          <w:rFonts w:ascii="Arial" w:hAnsi="Arial" w:cs="Arial"/>
          <w:b/>
          <w:color w:val="auto"/>
          <w:sz w:val="36"/>
          <w:szCs w:val="36"/>
          <w:highlight w:val="none"/>
        </w:rPr>
        <w:t>经济标有效性审查表</w:t>
      </w:r>
    </w:p>
    <w:p>
      <w:pPr>
        <w:rPr>
          <w:rFonts w:ascii="Arial" w:hAnsi="Arial" w:cs="Arial"/>
          <w:color w:val="auto"/>
          <w:szCs w:val="21"/>
          <w:highlight w:val="none"/>
        </w:rPr>
      </w:pPr>
      <w:r>
        <w:rPr>
          <w:rFonts w:ascii="Arial" w:hAnsi="Arial" w:cs="Arial"/>
          <w:color w:val="auto"/>
          <w:szCs w:val="21"/>
          <w:highlight w:val="none"/>
        </w:rPr>
        <w:t>工程名称：</w:t>
      </w:r>
    </w:p>
    <w:tbl>
      <w:tblPr>
        <w:tblStyle w:val="55"/>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Arial" w:hAnsi="Arial" w:cs="Arial"/>
                <w:color w:val="auto"/>
                <w:szCs w:val="21"/>
                <w:highlight w:val="none"/>
              </w:rPr>
            </w:pPr>
            <w:r>
              <w:rPr>
                <w:rFonts w:ascii="Arial" w:hAnsi="Arial" w:cs="Arial"/>
                <w:color w:val="auto"/>
                <w:szCs w:val="21"/>
                <w:highlight w:val="none"/>
              </w:rPr>
              <w:t xml:space="preserve">               投标人</w:t>
            </w:r>
          </w:p>
          <w:p>
            <w:pPr>
              <w:rPr>
                <w:rFonts w:ascii="Arial" w:hAnsi="Arial" w:cs="Arial"/>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Arial" w:hAnsi="Arial" w:cs="Arial"/>
                <w:color w:val="auto"/>
                <w:szCs w:val="21"/>
                <w:highlight w:val="none"/>
              </w:rPr>
            </w:pPr>
            <w:r>
              <w:rPr>
                <w:rFonts w:ascii="Arial" w:hAnsi="Arial" w:cs="Arial"/>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不同投标人的投标报价中分部分项工程量清单综合单价相似度达到80%及以上的(以</w:t>
            </w:r>
            <w:r>
              <w:rPr>
                <w:rFonts w:ascii="Arial" w:hAnsi="Arial" w:cs="Arial"/>
                <w:color w:val="auto"/>
                <w:szCs w:val="21"/>
                <w:highlight w:val="none"/>
                <w:u w:val="single"/>
              </w:rPr>
              <w:t xml:space="preserve">  </w:t>
            </w:r>
            <w:r>
              <w:rPr>
                <w:rFonts w:hint="eastAsia" w:ascii="宋体" w:hAnsi="宋体" w:eastAsia="宋体" w:cs="宋体"/>
                <w:bCs/>
                <w:color w:val="auto"/>
                <w:szCs w:val="21"/>
                <w:highlight w:val="none"/>
                <w:u w:val="single"/>
              </w:rPr>
              <w:t>广州交易集团有限公司（广州公共资源交易中心）</w:t>
            </w:r>
            <w:r>
              <w:rPr>
                <w:rFonts w:ascii="Arial" w:hAnsi="Arial" w:cs="Arial"/>
                <w:color w:val="auto"/>
                <w:szCs w:val="21"/>
                <w:highlight w:val="none"/>
                <w:u w:val="single"/>
              </w:rPr>
              <w:t xml:space="preserve">  </w:t>
            </w:r>
            <w:r>
              <w:rPr>
                <w:rFonts w:ascii="Arial" w:hAnsi="Arial" w:cs="Arial"/>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hint="eastAsia" w:ascii="Arial" w:hAnsi="Arial" w:cs="Arial"/>
                <w:color w:val="auto"/>
                <w:szCs w:val="21"/>
                <w:highlight w:val="none"/>
              </w:rPr>
              <w:t>投标人与其他投标人加密打包投标文件电脑机器特征码一致的(以广州交易集团有限公司（广州公共资源交易中心）  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highlight w:val="none"/>
              </w:rPr>
            </w:pPr>
          </w:p>
        </w:tc>
      </w:tr>
    </w:tbl>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注：1.本表使用GZZB2018-3招标文件范本，与范本内容不同之处均以下划线标明。</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2.凡出现以上任何一项情形，结论均为无效，否则就为有效。</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3.如对本表中某种情形的评审意见不一致时，以评标委员会过半数成员的意见作为评标委员会对该情形的认定结论。</w:t>
      </w:r>
    </w:p>
    <w:p>
      <w:pPr>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eastAsia="宋体" w:cs="宋体"/>
          <w:b/>
          <w:bCs/>
          <w:color w:val="auto"/>
          <w:kern w:val="0"/>
          <w:sz w:val="21"/>
          <w:szCs w:val="21"/>
          <w:highlight w:val="none"/>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rPr>
          <w:rFonts w:hint="eastAsia" w:ascii="宋体" w:hAnsi="宋体" w:cs="宋体"/>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附表四</w:t>
      </w:r>
    </w:p>
    <w:p>
      <w:pPr>
        <w:rPr>
          <w:rFonts w:ascii="Arial" w:hAnsi="Arial" w:cs="Arial"/>
          <w:color w:val="auto"/>
          <w:highlight w:val="none"/>
        </w:rPr>
      </w:pPr>
    </w:p>
    <w:p>
      <w:pPr>
        <w:widowControl/>
        <w:jc w:val="left"/>
        <w:rPr>
          <w:rFonts w:ascii="Arial" w:hAnsi="Arial" w:cs="Arial"/>
          <w:color w:val="auto"/>
          <w:szCs w:val="21"/>
          <w:highlight w:val="none"/>
        </w:rPr>
      </w:pPr>
      <w:r>
        <w:rPr>
          <w:rFonts w:ascii="Arial" w:hAnsi="Arial" w:cs="Arial"/>
          <w:color w:val="auto"/>
          <w:szCs w:val="21"/>
          <w:highlight w:val="none"/>
        </w:rPr>
        <w:br w:type="page"/>
      </w:r>
    </w:p>
    <w:p>
      <w:pPr>
        <w:rPr>
          <w:rFonts w:ascii="宋体" w:hAnsi="宋体"/>
          <w:color w:val="auto"/>
          <w:szCs w:val="21"/>
          <w:highlight w:val="none"/>
        </w:rPr>
      </w:pPr>
      <w:r>
        <w:rPr>
          <w:rFonts w:ascii="宋体" w:hAnsi="宋体"/>
          <w:color w:val="auto"/>
          <w:szCs w:val="21"/>
          <w:highlight w:val="none"/>
        </w:rPr>
        <w:t>附表四</w:t>
      </w:r>
    </w:p>
    <w:p>
      <w:pPr>
        <w:ind w:firstLine="723"/>
        <w:jc w:val="center"/>
        <w:rPr>
          <w:rFonts w:ascii="宋体" w:hAnsi="宋体"/>
          <w:b/>
          <w:color w:val="auto"/>
          <w:sz w:val="36"/>
          <w:szCs w:val="36"/>
          <w:highlight w:val="none"/>
        </w:rPr>
      </w:pPr>
      <w:r>
        <w:rPr>
          <w:rFonts w:ascii="宋体" w:hAnsi="宋体"/>
          <w:b/>
          <w:color w:val="auto"/>
          <w:sz w:val="36"/>
          <w:szCs w:val="36"/>
          <w:highlight w:val="none"/>
        </w:rPr>
        <w:t>技术标详细审查评分表</w:t>
      </w:r>
    </w:p>
    <w:tbl>
      <w:tblPr>
        <w:tblStyle w:val="55"/>
        <w:tblW w:w="15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148"/>
        <w:gridCol w:w="724"/>
        <w:gridCol w:w="1350"/>
        <w:gridCol w:w="724"/>
        <w:gridCol w:w="1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7" w:hRule="atLeast"/>
          <w:jc w:val="center"/>
        </w:trPr>
        <w:tc>
          <w:tcPr>
            <w:tcW w:w="1148" w:type="dxa"/>
            <w:tcBorders>
              <w:top w:val="single" w:color="auto" w:sz="4" w:space="0"/>
              <w:left w:val="single" w:color="auto" w:sz="4" w:space="0"/>
              <w:right w:val="single" w:color="auto" w:sz="4" w:space="0"/>
            </w:tcBorders>
            <w:vAlign w:val="center"/>
          </w:tcPr>
          <w:p>
            <w:pPr>
              <w:tabs>
                <w:tab w:val="left" w:pos="720"/>
                <w:tab w:val="left" w:pos="900"/>
              </w:tabs>
              <w:adjustRightInd w:val="0"/>
              <w:snapToGrid w:val="0"/>
              <w:jc w:val="center"/>
              <w:rPr>
                <w:rFonts w:ascii="宋体" w:hAnsi="宋体" w:cs="宋体"/>
                <w:color w:val="auto"/>
                <w:kern w:val="0"/>
                <w:szCs w:val="21"/>
                <w:highlight w:val="none"/>
              </w:rPr>
            </w:pPr>
            <w:r>
              <w:rPr>
                <w:rFonts w:ascii="宋体" w:hAnsi="宋体" w:cs="宋体"/>
                <w:color w:val="auto"/>
                <w:kern w:val="0"/>
                <w:szCs w:val="21"/>
                <w:highlight w:val="none"/>
              </w:rPr>
              <w:t>评分项目</w:t>
            </w:r>
          </w:p>
        </w:tc>
        <w:tc>
          <w:tcPr>
            <w:tcW w:w="2074" w:type="dxa"/>
            <w:gridSpan w:val="2"/>
            <w:tcBorders>
              <w:top w:val="single" w:color="auto" w:sz="4" w:space="0"/>
              <w:left w:val="single" w:color="auto" w:sz="4" w:space="0"/>
              <w:right w:val="single" w:color="auto" w:sz="4" w:space="0"/>
            </w:tcBorders>
            <w:vAlign w:val="center"/>
          </w:tcPr>
          <w:p>
            <w:pPr>
              <w:tabs>
                <w:tab w:val="left" w:pos="720"/>
                <w:tab w:val="left" w:pos="900"/>
              </w:tabs>
              <w:adjustRightInd w:val="0"/>
              <w:snapToGrid w:val="0"/>
              <w:jc w:val="center"/>
              <w:rPr>
                <w:rFonts w:ascii="宋体" w:hAnsi="宋体" w:cs="宋体"/>
                <w:color w:val="auto"/>
                <w:kern w:val="0"/>
                <w:szCs w:val="21"/>
                <w:highlight w:val="none"/>
              </w:rPr>
            </w:pPr>
            <w:r>
              <w:rPr>
                <w:rFonts w:ascii="宋体" w:hAnsi="宋体" w:cs="宋体"/>
                <w:color w:val="auto"/>
                <w:kern w:val="0"/>
                <w:szCs w:val="21"/>
                <w:highlight w:val="none"/>
              </w:rPr>
              <w:t>评分内容</w:t>
            </w:r>
          </w:p>
        </w:tc>
        <w:tc>
          <w:tcPr>
            <w:tcW w:w="724" w:type="dxa"/>
            <w:tcBorders>
              <w:top w:val="single" w:color="auto" w:sz="4" w:space="0"/>
              <w:left w:val="single" w:color="auto" w:sz="4" w:space="0"/>
              <w:right w:val="single" w:color="auto" w:sz="4" w:space="0"/>
            </w:tcBorders>
            <w:vAlign w:val="center"/>
          </w:tcPr>
          <w:p>
            <w:pPr>
              <w:tabs>
                <w:tab w:val="left" w:pos="720"/>
                <w:tab w:val="left" w:pos="900"/>
              </w:tabs>
              <w:adjustRightInd w:val="0"/>
              <w:snapToGrid w:val="0"/>
              <w:jc w:val="center"/>
              <w:rPr>
                <w:rFonts w:ascii="宋体" w:hAnsi="宋体" w:cs="宋体"/>
                <w:color w:val="auto"/>
                <w:kern w:val="0"/>
                <w:szCs w:val="21"/>
                <w:highlight w:val="none"/>
              </w:rPr>
            </w:pPr>
            <w:r>
              <w:rPr>
                <w:rFonts w:ascii="宋体" w:hAnsi="宋体" w:cs="宋体"/>
                <w:color w:val="auto"/>
                <w:kern w:val="0"/>
                <w:szCs w:val="21"/>
                <w:highlight w:val="none"/>
              </w:rPr>
              <w:t>分值</w:t>
            </w:r>
          </w:p>
        </w:tc>
        <w:tc>
          <w:tcPr>
            <w:tcW w:w="11396" w:type="dxa"/>
            <w:tcBorders>
              <w:top w:val="single" w:color="auto" w:sz="4" w:space="0"/>
              <w:left w:val="single" w:color="auto" w:sz="4" w:space="0"/>
              <w:bottom w:val="single" w:color="auto" w:sz="4" w:space="0"/>
              <w:right w:val="single" w:color="auto" w:sz="4" w:space="0"/>
            </w:tcBorders>
            <w:vAlign w:val="center"/>
          </w:tcPr>
          <w:p>
            <w:pPr>
              <w:tabs>
                <w:tab w:val="left" w:pos="720"/>
                <w:tab w:val="left" w:pos="900"/>
              </w:tabs>
              <w:adjustRightInd w:val="0"/>
              <w:snapToGrid w:val="0"/>
              <w:jc w:val="center"/>
              <w:rPr>
                <w:rFonts w:ascii="宋体" w:hAnsi="宋体" w:cs="宋体"/>
                <w:color w:val="auto"/>
                <w:kern w:val="0"/>
                <w:szCs w:val="21"/>
                <w:highlight w:val="none"/>
              </w:rPr>
            </w:pPr>
            <w:r>
              <w:rPr>
                <w:rFonts w:ascii="宋体" w:hAnsi="宋体" w:cs="宋体"/>
                <w:color w:val="auto"/>
                <w:kern w:val="0"/>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56" w:hRule="atLeast"/>
          <w:jc w:val="center"/>
        </w:trPr>
        <w:tc>
          <w:tcPr>
            <w:tcW w:w="1148" w:type="dxa"/>
            <w:vMerge w:val="restart"/>
            <w:tcBorders>
              <w:top w:val="single" w:color="auto" w:sz="4" w:space="0"/>
              <w:left w:val="single" w:color="auto" w:sz="8" w:space="0"/>
              <w:right w:val="single" w:color="auto" w:sz="4" w:space="0"/>
            </w:tcBorders>
            <w:tcMar>
              <w:top w:w="0" w:type="dxa"/>
              <w:left w:w="108" w:type="dxa"/>
              <w:bottom w:w="0" w:type="dxa"/>
              <w:right w:w="108" w:type="dxa"/>
            </w:tcMar>
            <w:vAlign w:val="center"/>
          </w:tcPr>
          <w:p>
            <w:pPr>
              <w:adjustRightInd w:val="0"/>
              <w:snapToGrid w:val="0"/>
              <w:jc w:val="center"/>
              <w:rPr>
                <w:rFonts w:ascii="宋体" w:hAnsi="宋体" w:cs="宋体"/>
                <w:color w:val="auto"/>
                <w:szCs w:val="21"/>
                <w:highlight w:val="none"/>
              </w:rPr>
            </w:pPr>
            <w:r>
              <w:rPr>
                <w:rFonts w:ascii="宋体" w:hAnsi="宋体" w:cs="宋体"/>
                <w:color w:val="auto"/>
                <w:szCs w:val="21"/>
                <w:highlight w:val="none"/>
              </w:rPr>
              <w:t>一、项目组织管理机构能力（70分）</w:t>
            </w:r>
          </w:p>
        </w:tc>
        <w:tc>
          <w:tcPr>
            <w:tcW w:w="72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djustRightInd w:val="0"/>
              <w:snapToGrid w:val="0"/>
              <w:jc w:val="center"/>
              <w:rPr>
                <w:rFonts w:ascii="宋体" w:hAnsi="宋体" w:cs="宋体"/>
                <w:color w:val="auto"/>
                <w:szCs w:val="21"/>
                <w:highlight w:val="none"/>
              </w:rPr>
            </w:pPr>
            <w:r>
              <w:rPr>
                <w:rFonts w:ascii="宋体" w:hAnsi="宋体" w:cs="宋体"/>
                <w:color w:val="auto"/>
                <w:kern w:val="0"/>
                <w:szCs w:val="21"/>
                <w:highlight w:val="none"/>
              </w:rPr>
              <w:t>项目管理机构</w:t>
            </w:r>
          </w:p>
        </w:tc>
        <w:tc>
          <w:tcPr>
            <w:tcW w:w="1350"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auto"/>
                <w:szCs w:val="21"/>
                <w:highlight w:val="none"/>
              </w:rPr>
            </w:pPr>
            <w:r>
              <w:rPr>
                <w:rFonts w:ascii="宋体" w:hAnsi="宋体" w:cs="宋体"/>
                <w:color w:val="auto"/>
                <w:szCs w:val="21"/>
                <w:highlight w:val="none"/>
              </w:rPr>
              <w:t>技术负责人</w:t>
            </w:r>
          </w:p>
        </w:tc>
        <w:tc>
          <w:tcPr>
            <w:tcW w:w="724"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0</w:t>
            </w:r>
          </w:p>
        </w:tc>
        <w:tc>
          <w:tcPr>
            <w:tcW w:w="11396"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rPr>
                <w:rFonts w:ascii="宋体" w:hAnsi="宋体" w:cs="宋体"/>
                <w:color w:val="auto"/>
                <w:szCs w:val="21"/>
                <w:highlight w:val="none"/>
              </w:rPr>
            </w:pPr>
            <w:r>
              <w:rPr>
                <w:rFonts w:ascii="宋体" w:hAnsi="宋体" w:cs="宋体"/>
                <w:color w:val="auto"/>
                <w:szCs w:val="21"/>
                <w:highlight w:val="none"/>
              </w:rPr>
              <w:t>从业能力：具有市政工程类专业高级工程师或以上技术职称，得</w:t>
            </w:r>
            <w:r>
              <w:rPr>
                <w:rFonts w:hint="eastAsia" w:ascii="宋体" w:hAnsi="宋体" w:cs="宋体"/>
                <w:color w:val="auto"/>
                <w:szCs w:val="21"/>
                <w:highlight w:val="none"/>
              </w:rPr>
              <w:t>2</w:t>
            </w:r>
            <w:r>
              <w:rPr>
                <w:rFonts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15" w:hRule="atLeast"/>
          <w:jc w:val="center"/>
        </w:trPr>
        <w:tc>
          <w:tcPr>
            <w:tcW w:w="1148" w:type="dxa"/>
            <w:vMerge w:val="continue"/>
            <w:tcBorders>
              <w:left w:val="single" w:color="auto" w:sz="8" w:space="0"/>
              <w:right w:val="single" w:color="auto" w:sz="4" w:space="0"/>
            </w:tcBorders>
            <w:vAlign w:val="center"/>
          </w:tcPr>
          <w:p>
            <w:pPr>
              <w:widowControl/>
              <w:adjustRightInd w:val="0"/>
              <w:snapToGrid w:val="0"/>
              <w:jc w:val="left"/>
              <w:rPr>
                <w:rFonts w:ascii="宋体" w:hAnsi="宋体" w:cs="宋体"/>
                <w:color w:val="auto"/>
                <w:szCs w:val="21"/>
                <w:highlight w:val="none"/>
              </w:rPr>
            </w:pPr>
          </w:p>
        </w:tc>
        <w:tc>
          <w:tcPr>
            <w:tcW w:w="724" w:type="dxa"/>
            <w:vMerge w:val="continue"/>
            <w:tcBorders>
              <w:left w:val="single" w:color="auto" w:sz="4" w:space="0"/>
              <w:right w:val="single" w:color="auto" w:sz="4" w:space="0"/>
            </w:tcBorders>
            <w:vAlign w:val="center"/>
          </w:tcPr>
          <w:p>
            <w:pPr>
              <w:widowControl/>
              <w:adjustRightInd w:val="0"/>
              <w:snapToGrid w:val="0"/>
              <w:jc w:val="left"/>
              <w:rPr>
                <w:rFonts w:ascii="宋体" w:hAnsi="宋体" w:cs="宋体"/>
                <w:color w:val="auto"/>
                <w:szCs w:val="21"/>
                <w:highlight w:val="none"/>
              </w:rPr>
            </w:pP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jc w:val="center"/>
              <w:rPr>
                <w:rFonts w:ascii="宋体" w:hAnsi="宋体" w:cs="宋体"/>
                <w:color w:val="auto"/>
                <w:szCs w:val="21"/>
                <w:highlight w:val="none"/>
              </w:rPr>
            </w:pPr>
            <w:r>
              <w:rPr>
                <w:rFonts w:ascii="宋体" w:hAnsi="宋体" w:cs="宋体"/>
                <w:color w:val="auto"/>
                <w:szCs w:val="21"/>
                <w:highlight w:val="none"/>
              </w:rPr>
              <w:t>质量负责人</w:t>
            </w:r>
          </w:p>
        </w:tc>
        <w:tc>
          <w:tcPr>
            <w:tcW w:w="7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jc w:val="center"/>
              <w:rPr>
                <w:rFonts w:ascii="宋体" w:hAnsi="宋体" w:cs="宋体"/>
                <w:color w:val="auto"/>
                <w:szCs w:val="21"/>
                <w:highlight w:val="none"/>
              </w:rPr>
            </w:pPr>
            <w:r>
              <w:rPr>
                <w:rFonts w:ascii="宋体" w:hAnsi="宋体" w:cs="宋体"/>
                <w:color w:val="auto"/>
                <w:szCs w:val="21"/>
                <w:highlight w:val="none"/>
              </w:rPr>
              <w:t>15</w:t>
            </w:r>
          </w:p>
        </w:tc>
        <w:tc>
          <w:tcPr>
            <w:tcW w:w="11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rPr>
                <w:rFonts w:ascii="宋体" w:hAnsi="宋体" w:cs="宋体"/>
                <w:color w:val="auto"/>
                <w:szCs w:val="21"/>
                <w:highlight w:val="none"/>
              </w:rPr>
            </w:pPr>
            <w:r>
              <w:rPr>
                <w:rFonts w:ascii="宋体" w:hAnsi="宋体" w:cs="宋体"/>
                <w:color w:val="auto"/>
                <w:szCs w:val="21"/>
                <w:highlight w:val="none"/>
              </w:rPr>
              <w:t>从业能力：具有</w:t>
            </w:r>
            <w:r>
              <w:rPr>
                <w:rFonts w:hint="eastAsia" w:ascii="宋体" w:hAnsi="宋体" w:cs="宋体"/>
                <w:color w:val="auto"/>
                <w:szCs w:val="21"/>
                <w:highlight w:val="none"/>
              </w:rPr>
              <w:t>市政</w:t>
            </w:r>
            <w:r>
              <w:rPr>
                <w:rFonts w:ascii="宋体" w:hAnsi="宋体" w:cs="宋体"/>
                <w:color w:val="auto"/>
                <w:szCs w:val="21"/>
                <w:highlight w:val="none"/>
              </w:rPr>
              <w:t>工程类专业</w:t>
            </w:r>
            <w:r>
              <w:rPr>
                <w:rFonts w:hint="eastAsia" w:ascii="宋体" w:hAnsi="宋体" w:cs="宋体"/>
                <w:color w:val="auto"/>
                <w:szCs w:val="21"/>
                <w:highlight w:val="none"/>
              </w:rPr>
              <w:t>高</w:t>
            </w:r>
            <w:r>
              <w:rPr>
                <w:rFonts w:ascii="宋体" w:hAnsi="宋体" w:cs="宋体"/>
                <w:color w:val="auto"/>
                <w:szCs w:val="21"/>
                <w:highlight w:val="none"/>
              </w:rPr>
              <w:t>级工程师或以上技术职称，得15分。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52" w:hRule="atLeast"/>
          <w:jc w:val="center"/>
        </w:trPr>
        <w:tc>
          <w:tcPr>
            <w:tcW w:w="1148" w:type="dxa"/>
            <w:vMerge w:val="continue"/>
            <w:tcBorders>
              <w:left w:val="single" w:color="auto" w:sz="8" w:space="0"/>
              <w:right w:val="single" w:color="auto" w:sz="4" w:space="0"/>
            </w:tcBorders>
            <w:vAlign w:val="center"/>
          </w:tcPr>
          <w:p>
            <w:pPr>
              <w:widowControl/>
              <w:adjustRightInd w:val="0"/>
              <w:snapToGrid w:val="0"/>
              <w:jc w:val="left"/>
              <w:rPr>
                <w:rFonts w:ascii="宋体" w:hAnsi="宋体" w:cs="宋体"/>
                <w:color w:val="auto"/>
                <w:szCs w:val="21"/>
                <w:highlight w:val="none"/>
              </w:rPr>
            </w:pPr>
          </w:p>
        </w:tc>
        <w:tc>
          <w:tcPr>
            <w:tcW w:w="724" w:type="dxa"/>
            <w:vMerge w:val="continue"/>
            <w:tcBorders>
              <w:left w:val="single" w:color="auto" w:sz="4" w:space="0"/>
              <w:right w:val="single" w:color="auto" w:sz="4" w:space="0"/>
            </w:tcBorders>
            <w:vAlign w:val="center"/>
          </w:tcPr>
          <w:p>
            <w:pPr>
              <w:widowControl/>
              <w:adjustRightInd w:val="0"/>
              <w:snapToGrid w:val="0"/>
              <w:jc w:val="left"/>
              <w:rPr>
                <w:rFonts w:ascii="宋体" w:hAnsi="宋体" w:cs="宋体"/>
                <w:color w:val="auto"/>
                <w:szCs w:val="21"/>
                <w:highlight w:val="none"/>
              </w:rPr>
            </w:pP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jc w:val="center"/>
              <w:rPr>
                <w:rFonts w:ascii="宋体" w:hAnsi="宋体" w:cs="宋体"/>
                <w:color w:val="auto"/>
                <w:szCs w:val="21"/>
                <w:highlight w:val="none"/>
              </w:rPr>
            </w:pPr>
            <w:r>
              <w:rPr>
                <w:rFonts w:ascii="宋体" w:hAnsi="宋体" w:cs="宋体"/>
                <w:color w:val="auto"/>
                <w:szCs w:val="21"/>
                <w:highlight w:val="none"/>
              </w:rPr>
              <w:t>安全负责人</w:t>
            </w:r>
          </w:p>
        </w:tc>
        <w:tc>
          <w:tcPr>
            <w:tcW w:w="7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0</w:t>
            </w:r>
          </w:p>
        </w:tc>
        <w:tc>
          <w:tcPr>
            <w:tcW w:w="11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rPr>
                <w:rFonts w:ascii="宋体" w:hAnsi="宋体" w:cs="宋体"/>
                <w:color w:val="auto"/>
                <w:szCs w:val="21"/>
                <w:highlight w:val="none"/>
              </w:rPr>
            </w:pPr>
            <w:r>
              <w:rPr>
                <w:rFonts w:ascii="宋体" w:hAnsi="宋体" w:cs="宋体"/>
                <w:color w:val="auto"/>
                <w:szCs w:val="21"/>
                <w:highlight w:val="none"/>
              </w:rPr>
              <w:t>从业能力：具有</w:t>
            </w:r>
            <w:r>
              <w:rPr>
                <w:rFonts w:hint="eastAsia" w:ascii="宋体" w:hAnsi="宋体" w:cs="宋体"/>
                <w:color w:val="auto"/>
                <w:szCs w:val="21"/>
                <w:highlight w:val="none"/>
              </w:rPr>
              <w:t>市政</w:t>
            </w:r>
            <w:r>
              <w:rPr>
                <w:rFonts w:ascii="宋体" w:hAnsi="宋体" w:cs="宋体"/>
                <w:color w:val="auto"/>
                <w:szCs w:val="21"/>
                <w:highlight w:val="none"/>
              </w:rPr>
              <w:t>工程类专业</w:t>
            </w:r>
            <w:r>
              <w:rPr>
                <w:rFonts w:hint="eastAsia" w:ascii="宋体" w:hAnsi="宋体" w:cs="宋体"/>
                <w:color w:val="auto"/>
                <w:szCs w:val="21"/>
                <w:highlight w:val="none"/>
              </w:rPr>
              <w:t>高</w:t>
            </w:r>
            <w:r>
              <w:rPr>
                <w:rFonts w:ascii="宋体" w:hAnsi="宋体" w:cs="宋体"/>
                <w:color w:val="auto"/>
                <w:szCs w:val="21"/>
                <w:highlight w:val="none"/>
              </w:rPr>
              <w:t>级工程师或以上技术职称，得</w:t>
            </w:r>
            <w:r>
              <w:rPr>
                <w:rFonts w:hint="eastAsia" w:ascii="宋体" w:hAnsi="宋体" w:cs="宋体"/>
                <w:color w:val="auto"/>
                <w:szCs w:val="21"/>
                <w:highlight w:val="none"/>
              </w:rPr>
              <w:t>2</w:t>
            </w:r>
            <w:r>
              <w:rPr>
                <w:rFonts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1159" w:hRule="atLeast"/>
          <w:jc w:val="center"/>
        </w:trPr>
        <w:tc>
          <w:tcPr>
            <w:tcW w:w="1148" w:type="dxa"/>
            <w:vMerge w:val="continue"/>
            <w:tcBorders>
              <w:left w:val="single" w:color="auto" w:sz="8" w:space="0"/>
              <w:right w:val="single" w:color="auto" w:sz="4" w:space="0"/>
            </w:tcBorders>
            <w:vAlign w:val="center"/>
          </w:tcPr>
          <w:p>
            <w:pPr>
              <w:widowControl/>
              <w:adjustRightInd w:val="0"/>
              <w:snapToGrid w:val="0"/>
              <w:jc w:val="left"/>
              <w:rPr>
                <w:rFonts w:ascii="宋体" w:hAnsi="宋体" w:cs="宋体"/>
                <w:color w:val="auto"/>
                <w:szCs w:val="21"/>
                <w:highlight w:val="none"/>
              </w:rPr>
            </w:pPr>
          </w:p>
        </w:tc>
        <w:tc>
          <w:tcPr>
            <w:tcW w:w="724" w:type="dxa"/>
            <w:vMerge w:val="continue"/>
            <w:tcBorders>
              <w:left w:val="single" w:color="auto" w:sz="4" w:space="0"/>
              <w:right w:val="single" w:color="auto" w:sz="4" w:space="0"/>
            </w:tcBorders>
            <w:vAlign w:val="center"/>
          </w:tcPr>
          <w:p>
            <w:pPr>
              <w:widowControl/>
              <w:adjustRightInd w:val="0"/>
              <w:snapToGrid w:val="0"/>
              <w:jc w:val="left"/>
              <w:rPr>
                <w:rFonts w:ascii="宋体" w:hAnsi="宋体" w:cs="宋体"/>
                <w:color w:val="auto"/>
                <w:szCs w:val="21"/>
                <w:highlight w:val="none"/>
              </w:rPr>
            </w:pP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jc w:val="center"/>
              <w:rPr>
                <w:rFonts w:ascii="宋体" w:hAnsi="宋体" w:cs="宋体"/>
                <w:color w:val="auto"/>
                <w:szCs w:val="21"/>
                <w:highlight w:val="none"/>
              </w:rPr>
            </w:pPr>
            <w:r>
              <w:rPr>
                <w:rFonts w:ascii="宋体" w:hAnsi="宋体" w:cs="宋体"/>
                <w:color w:val="auto"/>
                <w:szCs w:val="21"/>
                <w:highlight w:val="none"/>
              </w:rPr>
              <w:t>造价负责人</w:t>
            </w:r>
          </w:p>
        </w:tc>
        <w:tc>
          <w:tcPr>
            <w:tcW w:w="7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jc w:val="center"/>
              <w:rPr>
                <w:rFonts w:ascii="宋体" w:hAnsi="宋体" w:cs="宋体"/>
                <w:color w:val="auto"/>
                <w:szCs w:val="21"/>
                <w:highlight w:val="none"/>
              </w:rPr>
            </w:pPr>
            <w:r>
              <w:rPr>
                <w:rFonts w:ascii="宋体" w:hAnsi="宋体" w:cs="宋体"/>
                <w:color w:val="auto"/>
                <w:szCs w:val="21"/>
                <w:highlight w:val="none"/>
              </w:rPr>
              <w:t>15</w:t>
            </w:r>
          </w:p>
        </w:tc>
        <w:tc>
          <w:tcPr>
            <w:tcW w:w="11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616"/>
              <w:rPr>
                <w:rFonts w:ascii="宋体" w:hAnsi="宋体" w:eastAsia="宋体" w:cs="宋体"/>
                <w:color w:val="auto"/>
                <w:sz w:val="21"/>
                <w:szCs w:val="21"/>
                <w:highlight w:val="none"/>
              </w:rPr>
            </w:pPr>
            <w:r>
              <w:rPr>
                <w:rFonts w:ascii="宋体" w:hAnsi="宋体" w:eastAsia="宋体" w:cs="宋体"/>
                <w:color w:val="auto"/>
                <w:sz w:val="21"/>
                <w:szCs w:val="21"/>
                <w:highlight w:val="none"/>
              </w:rPr>
              <w:t>从业能力：具有有效的注册造价工程师（或注册一级造价工程师）证书或具有造价专业</w:t>
            </w:r>
            <w:r>
              <w:rPr>
                <w:rFonts w:hint="eastAsia" w:ascii="宋体" w:hAnsi="宋体" w:eastAsia="宋体" w:cs="宋体"/>
                <w:color w:val="auto"/>
                <w:sz w:val="21"/>
                <w:szCs w:val="21"/>
                <w:highlight w:val="none"/>
              </w:rPr>
              <w:t>高</w:t>
            </w:r>
            <w:r>
              <w:rPr>
                <w:rFonts w:ascii="宋体" w:hAnsi="宋体" w:eastAsia="宋体" w:cs="宋体"/>
                <w:color w:val="auto"/>
                <w:sz w:val="21"/>
                <w:szCs w:val="21"/>
                <w:highlight w:val="none"/>
              </w:rPr>
              <w:t>级或以上技术职称，得</w:t>
            </w:r>
            <w:r>
              <w:rPr>
                <w:rFonts w:ascii="宋体" w:hAnsi="宋体" w:eastAsia="宋体" w:cs="宋体"/>
                <w:color w:val="auto"/>
                <w:sz w:val="21"/>
                <w:szCs w:val="21"/>
                <w:highlight w:val="none"/>
                <w:u w:val="single"/>
              </w:rPr>
              <w:t>15</w:t>
            </w:r>
            <w:r>
              <w:rPr>
                <w:rFonts w:ascii="宋体" w:hAnsi="宋体" w:eastAsia="宋体" w:cs="宋体"/>
                <w:color w:val="auto"/>
                <w:sz w:val="21"/>
                <w:szCs w:val="21"/>
                <w:highlight w:val="none"/>
              </w:rPr>
              <w:t>分。</w:t>
            </w:r>
          </w:p>
          <w:p>
            <w:pPr>
              <w:adjustRightInd w:val="0"/>
              <w:snapToGrid w:val="0"/>
              <w:rPr>
                <w:rFonts w:ascii="宋体" w:hAnsi="宋体" w:cs="宋体"/>
                <w:color w:val="auto"/>
                <w:szCs w:val="21"/>
                <w:highlight w:val="none"/>
              </w:rPr>
            </w:pPr>
            <w:r>
              <w:rPr>
                <w:rFonts w:ascii="宋体" w:hAnsi="宋体" w:cs="宋体"/>
                <w:color w:val="auto"/>
                <w:szCs w:val="21"/>
                <w:highlight w:val="none"/>
                <w:u w:val="single"/>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0" w:hRule="atLeast"/>
          <w:jc w:val="center"/>
        </w:trPr>
        <w:tc>
          <w:tcPr>
            <w:tcW w:w="1148" w:type="dxa"/>
            <w:vMerge w:val="restart"/>
            <w:tcBorders>
              <w:left w:val="single" w:color="auto" w:sz="8" w:space="0"/>
              <w:right w:val="single" w:color="auto" w:sz="4" w:space="0"/>
            </w:tcBorders>
            <w:vAlign w:val="center"/>
          </w:tcPr>
          <w:p>
            <w:pPr>
              <w:widowControl/>
              <w:adjustRightInd w:val="0"/>
              <w:snapToGrid w:val="0"/>
              <w:jc w:val="left"/>
              <w:rPr>
                <w:rFonts w:ascii="宋体" w:hAnsi="宋体" w:cs="宋体"/>
                <w:color w:val="auto"/>
                <w:kern w:val="0"/>
                <w:szCs w:val="21"/>
                <w:highlight w:val="none"/>
              </w:rPr>
            </w:pPr>
            <w:r>
              <w:rPr>
                <w:rFonts w:hint="eastAsia" w:ascii="宋体" w:hAnsi="宋体" w:cs="宋体"/>
                <w:color w:val="auto"/>
                <w:szCs w:val="21"/>
                <w:highlight w:val="none"/>
              </w:rPr>
              <w:t>二、企业资信（30分）</w:t>
            </w:r>
          </w:p>
        </w:tc>
        <w:tc>
          <w:tcPr>
            <w:tcW w:w="2074" w:type="dxa"/>
            <w:gridSpan w:val="2"/>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auto"/>
                <w:szCs w:val="21"/>
                <w:highlight w:val="none"/>
              </w:rPr>
            </w:pPr>
            <w:r>
              <w:rPr>
                <w:rFonts w:hint="eastAsia" w:ascii="宋体" w:hAnsi="宋体"/>
                <w:color w:val="auto"/>
                <w:szCs w:val="21"/>
                <w:highlight w:val="none"/>
              </w:rPr>
              <w:t>类似工程业绩</w:t>
            </w:r>
          </w:p>
        </w:tc>
        <w:tc>
          <w:tcPr>
            <w:tcW w:w="724"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1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b/>
                <w:color w:val="auto"/>
                <w:szCs w:val="21"/>
                <w:highlight w:val="none"/>
              </w:rPr>
            </w:pPr>
            <w:r>
              <w:rPr>
                <w:rFonts w:hint="eastAsia" w:ascii="宋体" w:hAnsi="宋体"/>
                <w:color w:val="auto"/>
                <w:szCs w:val="21"/>
                <w:highlight w:val="none"/>
              </w:rPr>
              <w:t>投标人自201</w:t>
            </w:r>
            <w:r>
              <w:rPr>
                <w:rFonts w:ascii="宋体" w:hAnsi="宋体"/>
                <w:color w:val="auto"/>
                <w:szCs w:val="21"/>
                <w:highlight w:val="none"/>
              </w:rPr>
              <w:t>8</w:t>
            </w:r>
            <w:r>
              <w:rPr>
                <w:rFonts w:hint="eastAsia" w:ascii="宋体" w:hAnsi="宋体"/>
                <w:color w:val="auto"/>
                <w:szCs w:val="21"/>
                <w:highlight w:val="none"/>
              </w:rPr>
              <w:t>年1月1日至今完成过质量合格的市政公用工程业绩一项得</w:t>
            </w:r>
            <w:r>
              <w:rPr>
                <w:rFonts w:ascii="宋体" w:hAnsi="宋体"/>
                <w:color w:val="auto"/>
                <w:szCs w:val="21"/>
                <w:highlight w:val="none"/>
              </w:rPr>
              <w:t>0.5</w:t>
            </w:r>
            <w:r>
              <w:rPr>
                <w:rFonts w:hint="eastAsia" w:ascii="宋体" w:hAnsi="宋体"/>
                <w:color w:val="auto"/>
                <w:szCs w:val="21"/>
                <w:highlight w:val="none"/>
              </w:rPr>
              <w:t>分，最高得</w:t>
            </w:r>
            <w:r>
              <w:rPr>
                <w:rFonts w:ascii="宋体" w:hAnsi="宋体"/>
                <w:color w:val="auto"/>
                <w:szCs w:val="21"/>
                <w:highlight w:val="none"/>
              </w:rPr>
              <w:t>3</w:t>
            </w:r>
            <w:r>
              <w:rPr>
                <w:rFonts w:hint="eastAsia" w:ascii="宋体" w:hAnsi="宋体"/>
                <w:color w:val="auto"/>
                <w:szCs w:val="21"/>
                <w:highlight w:val="none"/>
              </w:rPr>
              <w:t>分，无类似业绩不得分。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0" w:hRule="atLeast"/>
          <w:jc w:val="center"/>
        </w:trPr>
        <w:tc>
          <w:tcPr>
            <w:tcW w:w="1148" w:type="dxa"/>
            <w:vMerge w:val="continue"/>
            <w:tcBorders>
              <w:left w:val="single" w:color="auto" w:sz="8" w:space="0"/>
              <w:right w:val="single" w:color="auto" w:sz="4" w:space="0"/>
            </w:tcBorders>
            <w:vAlign w:val="center"/>
          </w:tcPr>
          <w:p>
            <w:pPr>
              <w:widowControl/>
              <w:adjustRightInd w:val="0"/>
              <w:snapToGrid w:val="0"/>
              <w:jc w:val="left"/>
              <w:rPr>
                <w:rFonts w:ascii="宋体" w:hAnsi="宋体" w:cs="宋体"/>
                <w:color w:val="auto"/>
                <w:kern w:val="0"/>
                <w:szCs w:val="21"/>
                <w:highlight w:val="none"/>
              </w:rPr>
            </w:pPr>
          </w:p>
        </w:tc>
        <w:tc>
          <w:tcPr>
            <w:tcW w:w="2074" w:type="dxa"/>
            <w:gridSpan w:val="2"/>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auto"/>
                <w:szCs w:val="21"/>
                <w:highlight w:val="none"/>
              </w:rPr>
            </w:pPr>
            <w:r>
              <w:rPr>
                <w:rFonts w:hint="eastAsia" w:ascii="宋体" w:hAnsi="宋体"/>
                <w:color w:val="auto"/>
                <w:szCs w:val="21"/>
                <w:highlight w:val="none"/>
              </w:rPr>
              <w:t>工程奖项</w:t>
            </w:r>
          </w:p>
        </w:tc>
        <w:tc>
          <w:tcPr>
            <w:tcW w:w="724"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p>
        </w:tc>
        <w:tc>
          <w:tcPr>
            <w:tcW w:w="11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616"/>
              <w:jc w:val="left"/>
              <w:rPr>
                <w:rFonts w:ascii="Times New Roman" w:hAnsi="Times New Roman"/>
                <w:color w:val="auto"/>
                <w:highlight w:val="none"/>
              </w:rPr>
            </w:pPr>
            <w:r>
              <w:rPr>
                <w:color w:val="auto"/>
                <w:sz w:val="21"/>
                <w:szCs w:val="21"/>
                <w:highlight w:val="none"/>
              </w:rPr>
              <w:t>投标人完成过的市政公用工程自</w:t>
            </w:r>
            <w:r>
              <w:rPr>
                <w:color w:val="auto"/>
                <w:sz w:val="21"/>
                <w:szCs w:val="21"/>
                <w:highlight w:val="none"/>
                <w:lang w:eastAsia="zh-TW"/>
              </w:rPr>
              <w:t>2018</w:t>
            </w:r>
            <w:r>
              <w:rPr>
                <w:color w:val="auto"/>
                <w:sz w:val="21"/>
                <w:szCs w:val="21"/>
                <w:highlight w:val="none"/>
              </w:rPr>
              <w:t>年</w:t>
            </w:r>
            <w:r>
              <w:rPr>
                <w:color w:val="auto"/>
                <w:sz w:val="21"/>
                <w:szCs w:val="21"/>
                <w:highlight w:val="none"/>
                <w:lang w:eastAsia="zh-TW"/>
              </w:rPr>
              <w:t>1</w:t>
            </w:r>
            <w:r>
              <w:rPr>
                <w:color w:val="auto"/>
                <w:sz w:val="21"/>
                <w:szCs w:val="21"/>
                <w:highlight w:val="none"/>
              </w:rPr>
              <w:t>月</w:t>
            </w:r>
            <w:r>
              <w:rPr>
                <w:color w:val="auto"/>
                <w:sz w:val="21"/>
                <w:szCs w:val="21"/>
                <w:highlight w:val="none"/>
                <w:lang w:eastAsia="zh-TW"/>
              </w:rPr>
              <w:t>1</w:t>
            </w:r>
            <w:r>
              <w:rPr>
                <w:color w:val="auto"/>
                <w:sz w:val="21"/>
                <w:szCs w:val="21"/>
                <w:highlight w:val="none"/>
              </w:rPr>
              <w:t>日至今：获得过国家级工程质量奖项每项得</w:t>
            </w:r>
            <w:r>
              <w:rPr>
                <w:color w:val="auto"/>
                <w:sz w:val="21"/>
                <w:szCs w:val="21"/>
                <w:highlight w:val="none"/>
                <w:lang w:eastAsia="zh-TW"/>
              </w:rPr>
              <w:t>1</w:t>
            </w:r>
            <w:r>
              <w:rPr>
                <w:color w:val="auto"/>
                <w:sz w:val="21"/>
                <w:szCs w:val="21"/>
                <w:highlight w:val="none"/>
              </w:rPr>
              <w:t>分；获得过省级工程质量奖项每项得</w:t>
            </w:r>
            <w:r>
              <w:rPr>
                <w:color w:val="auto"/>
                <w:sz w:val="21"/>
                <w:szCs w:val="21"/>
                <w:highlight w:val="none"/>
                <w:lang w:eastAsia="zh-TW"/>
              </w:rPr>
              <w:t>0.</w:t>
            </w:r>
            <w:r>
              <w:rPr>
                <w:rFonts w:eastAsia="PMingLiU"/>
                <w:color w:val="auto"/>
                <w:sz w:val="21"/>
                <w:szCs w:val="21"/>
                <w:highlight w:val="none"/>
                <w:lang w:eastAsia="zh-TW"/>
              </w:rPr>
              <w:t>7</w:t>
            </w:r>
            <w:r>
              <w:rPr>
                <w:color w:val="auto"/>
                <w:sz w:val="21"/>
                <w:szCs w:val="21"/>
                <w:highlight w:val="none"/>
                <w:lang w:val="en-US"/>
              </w:rPr>
              <w:t>5</w:t>
            </w:r>
            <w:r>
              <w:rPr>
                <w:color w:val="auto"/>
                <w:sz w:val="21"/>
                <w:szCs w:val="21"/>
                <w:highlight w:val="none"/>
              </w:rPr>
              <w:t>分；获得过市级工程质量奖项每项得</w:t>
            </w:r>
            <w:r>
              <w:rPr>
                <w:color w:val="auto"/>
                <w:sz w:val="21"/>
                <w:szCs w:val="21"/>
                <w:highlight w:val="none"/>
                <w:lang w:eastAsia="zh-TW"/>
              </w:rPr>
              <w:t>0.</w:t>
            </w:r>
            <w:r>
              <w:rPr>
                <w:rFonts w:eastAsia="PMingLiU"/>
                <w:color w:val="auto"/>
                <w:sz w:val="21"/>
                <w:szCs w:val="21"/>
                <w:highlight w:val="none"/>
                <w:lang w:eastAsia="zh-TW"/>
              </w:rPr>
              <w:t>5</w:t>
            </w:r>
            <w:r>
              <w:rPr>
                <w:color w:val="auto"/>
                <w:sz w:val="21"/>
                <w:szCs w:val="21"/>
                <w:highlight w:val="none"/>
              </w:rPr>
              <w:t>分；本项最高得</w:t>
            </w:r>
            <w:r>
              <w:rPr>
                <w:rFonts w:hint="eastAsia"/>
                <w:color w:val="auto"/>
                <w:sz w:val="21"/>
                <w:szCs w:val="21"/>
                <w:highlight w:val="none"/>
              </w:rPr>
              <w:t>1</w:t>
            </w:r>
            <w:r>
              <w:rPr>
                <w:rFonts w:eastAsia="PMingLiU"/>
                <w:color w:val="auto"/>
                <w:sz w:val="21"/>
                <w:szCs w:val="21"/>
                <w:highlight w:val="none"/>
                <w:lang w:eastAsia="zh-TW"/>
              </w:rPr>
              <w:t>2</w:t>
            </w:r>
            <w:r>
              <w:rPr>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0" w:hRule="atLeast"/>
          <w:jc w:val="center"/>
        </w:trPr>
        <w:tc>
          <w:tcPr>
            <w:tcW w:w="1148" w:type="dxa"/>
            <w:vMerge w:val="continue"/>
            <w:tcBorders>
              <w:left w:val="single" w:color="auto" w:sz="8" w:space="0"/>
              <w:right w:val="single" w:color="auto" w:sz="4" w:space="0"/>
            </w:tcBorders>
            <w:vAlign w:val="center"/>
          </w:tcPr>
          <w:p>
            <w:pPr>
              <w:widowControl/>
              <w:adjustRightInd w:val="0"/>
              <w:snapToGrid w:val="0"/>
              <w:jc w:val="left"/>
              <w:rPr>
                <w:rFonts w:ascii="宋体" w:hAnsi="宋体" w:cs="宋体"/>
                <w:color w:val="auto"/>
                <w:kern w:val="0"/>
                <w:szCs w:val="21"/>
                <w:highlight w:val="none"/>
              </w:rPr>
            </w:pPr>
          </w:p>
        </w:tc>
        <w:tc>
          <w:tcPr>
            <w:tcW w:w="2074" w:type="dxa"/>
            <w:gridSpan w:val="2"/>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auto"/>
                <w:szCs w:val="21"/>
                <w:highlight w:val="none"/>
              </w:rPr>
            </w:pPr>
            <w:r>
              <w:rPr>
                <w:rFonts w:hint="eastAsia" w:ascii="宋体" w:hAnsi="宋体"/>
                <w:color w:val="auto"/>
                <w:szCs w:val="21"/>
                <w:highlight w:val="none"/>
              </w:rPr>
              <w:t>工程研发能力</w:t>
            </w:r>
          </w:p>
        </w:tc>
        <w:tc>
          <w:tcPr>
            <w:tcW w:w="724"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cs="宋体"/>
                <w:b/>
                <w:color w:val="auto"/>
                <w:szCs w:val="21"/>
                <w:highlight w:val="none"/>
              </w:rPr>
            </w:pPr>
            <w:r>
              <w:rPr>
                <w:rFonts w:hint="eastAsia" w:ascii="宋体" w:hAnsi="宋体" w:cs="宋体"/>
                <w:color w:val="auto"/>
                <w:szCs w:val="21"/>
                <w:highlight w:val="none"/>
              </w:rPr>
              <w:t>9</w:t>
            </w:r>
          </w:p>
        </w:tc>
        <w:tc>
          <w:tcPr>
            <w:tcW w:w="11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616"/>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自2018年1月1日至今获得过国家级市政类“科学技术奖”的，得2分；获得过省级市政类“科学技术奖”的，得1分；获得过市级市政类“科学技术奖”的，得0.5分，上述奖项按最高级别计一次分，不累加，本项最高得2分。</w:t>
            </w:r>
          </w:p>
          <w:p>
            <w:pPr>
              <w:pStyle w:val="616"/>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2、投标人自2018年1月1日至今作为主要完成单位或独立完成单位获得省级或以上市政类工法证书奖项，每项得0.5分，相同工法按最高级别奖项只计一次得分。本项最高得7分。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0" w:hRule="atLeast"/>
          <w:jc w:val="center"/>
        </w:trPr>
        <w:tc>
          <w:tcPr>
            <w:tcW w:w="1148" w:type="dxa"/>
            <w:vMerge w:val="continue"/>
            <w:tcBorders>
              <w:left w:val="single" w:color="auto" w:sz="8" w:space="0"/>
              <w:right w:val="single" w:color="auto" w:sz="4" w:space="0"/>
            </w:tcBorders>
            <w:vAlign w:val="center"/>
          </w:tcPr>
          <w:p>
            <w:pPr>
              <w:widowControl/>
              <w:adjustRightInd w:val="0"/>
              <w:snapToGrid w:val="0"/>
              <w:jc w:val="left"/>
              <w:rPr>
                <w:rFonts w:ascii="宋体" w:hAnsi="宋体" w:cs="宋体"/>
                <w:color w:val="auto"/>
                <w:kern w:val="0"/>
                <w:szCs w:val="21"/>
                <w:highlight w:val="none"/>
              </w:rPr>
            </w:pPr>
          </w:p>
        </w:tc>
        <w:tc>
          <w:tcPr>
            <w:tcW w:w="2074" w:type="dxa"/>
            <w:gridSpan w:val="2"/>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auto"/>
                <w:szCs w:val="21"/>
                <w:highlight w:val="none"/>
              </w:rPr>
            </w:pPr>
            <w:r>
              <w:rPr>
                <w:rFonts w:hint="eastAsia" w:ascii="宋体" w:hAnsi="宋体"/>
                <w:color w:val="auto"/>
                <w:szCs w:val="21"/>
                <w:highlight w:val="none"/>
              </w:rPr>
              <w:t>第三方评价</w:t>
            </w:r>
          </w:p>
        </w:tc>
        <w:tc>
          <w:tcPr>
            <w:tcW w:w="724"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1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616"/>
              <w:adjustRightInd w:val="0"/>
              <w:snapToGrid w:val="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1、投标人自201</w:t>
            </w:r>
            <w:r>
              <w:rPr>
                <w:rFonts w:ascii="宋体" w:hAnsi="宋体" w:eastAsia="宋体" w:cs="宋体"/>
                <w:color w:val="auto"/>
                <w:sz w:val="21"/>
                <w:szCs w:val="21"/>
                <w:highlight w:val="none"/>
              </w:rPr>
              <w:t>8</w:t>
            </w:r>
            <w:r>
              <w:rPr>
                <w:rFonts w:hint="eastAsia" w:ascii="宋体" w:hAnsi="宋体" w:eastAsia="宋体" w:cs="宋体"/>
                <w:color w:val="auto"/>
                <w:sz w:val="21"/>
                <w:szCs w:val="21"/>
                <w:highlight w:val="none"/>
              </w:rPr>
              <w:t>年1月1日</w:t>
            </w:r>
            <w:r>
              <w:rPr>
                <w:rFonts w:ascii="宋体" w:hAnsi="宋体" w:eastAsia="宋体"/>
                <w:color w:val="auto"/>
                <w:sz w:val="21"/>
                <w:szCs w:val="21"/>
                <w:highlight w:val="none"/>
              </w:rPr>
              <w:t>至今</w:t>
            </w:r>
            <w:r>
              <w:rPr>
                <w:rFonts w:hint="eastAsia" w:ascii="宋体" w:hAnsi="宋体" w:eastAsia="宋体" w:cs="宋体"/>
                <w:color w:val="auto"/>
                <w:sz w:val="21"/>
                <w:szCs w:val="21"/>
                <w:highlight w:val="none"/>
              </w:rPr>
              <w:t>获得过省级或以上市政行业协会颁发的“企业诚信评价”或“企业信用等级评价”：</w:t>
            </w:r>
          </w:p>
          <w:p>
            <w:pPr>
              <w:pStyle w:val="616"/>
              <w:adjustRightInd w:val="0"/>
              <w:snapToGrid w:val="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（1）获得过省级或以上评价最高等级的，每项得1分，最多得3分；</w:t>
            </w:r>
          </w:p>
          <w:p>
            <w:pPr>
              <w:pStyle w:val="616"/>
              <w:adjustRightInd w:val="0"/>
              <w:snapToGrid w:val="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（2）获得过省级或以上评价第二等级的，每项得0</w:t>
            </w:r>
            <w:r>
              <w:rPr>
                <w:rFonts w:ascii="宋体" w:hAnsi="宋体" w:eastAsia="宋体" w:cs="宋体"/>
                <w:color w:val="auto"/>
                <w:sz w:val="21"/>
                <w:szCs w:val="21"/>
                <w:highlight w:val="none"/>
              </w:rPr>
              <w:t>.5</w:t>
            </w:r>
            <w:r>
              <w:rPr>
                <w:rFonts w:hint="eastAsia" w:ascii="宋体" w:hAnsi="宋体" w:eastAsia="宋体" w:cs="宋体"/>
                <w:color w:val="auto"/>
                <w:sz w:val="21"/>
                <w:szCs w:val="21"/>
                <w:highlight w:val="none"/>
              </w:rPr>
              <w:t>分，最多得1</w:t>
            </w:r>
            <w:r>
              <w:rPr>
                <w:rFonts w:ascii="宋体" w:hAnsi="宋体" w:eastAsia="宋体" w:cs="宋体"/>
                <w:color w:val="auto"/>
                <w:sz w:val="21"/>
                <w:szCs w:val="21"/>
                <w:highlight w:val="none"/>
              </w:rPr>
              <w:t>.5</w:t>
            </w:r>
            <w:r>
              <w:rPr>
                <w:rFonts w:hint="eastAsia" w:ascii="宋体" w:hAnsi="宋体" w:eastAsia="宋体" w:cs="宋体"/>
                <w:color w:val="auto"/>
                <w:sz w:val="21"/>
                <w:szCs w:val="21"/>
                <w:highlight w:val="none"/>
              </w:rPr>
              <w:t>分；</w:t>
            </w:r>
          </w:p>
          <w:p>
            <w:pPr>
              <w:pStyle w:val="616"/>
              <w:adjustRightInd w:val="0"/>
              <w:snapToGrid w:val="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（3）获得过省级或以上评价第三等级或以下的，每项得0.</w:t>
            </w:r>
            <w:r>
              <w:rPr>
                <w:rFonts w:ascii="宋体" w:hAnsi="宋体" w:eastAsia="宋体" w:cs="宋体"/>
                <w:color w:val="auto"/>
                <w:sz w:val="21"/>
                <w:szCs w:val="21"/>
                <w:highlight w:val="none"/>
              </w:rPr>
              <w:t>25</w:t>
            </w:r>
            <w:r>
              <w:rPr>
                <w:rFonts w:hint="eastAsia" w:ascii="宋体" w:hAnsi="宋体" w:eastAsia="宋体" w:cs="宋体"/>
                <w:color w:val="auto"/>
                <w:sz w:val="21"/>
                <w:szCs w:val="21"/>
                <w:highlight w:val="none"/>
              </w:rPr>
              <w:t>分，最多得0</w:t>
            </w:r>
            <w:r>
              <w:rPr>
                <w:rFonts w:ascii="宋体" w:hAnsi="宋体" w:eastAsia="宋体" w:cs="宋体"/>
                <w:color w:val="auto"/>
                <w:sz w:val="21"/>
                <w:szCs w:val="21"/>
                <w:highlight w:val="none"/>
              </w:rPr>
              <w:t>.75</w:t>
            </w:r>
            <w:r>
              <w:rPr>
                <w:rFonts w:hint="eastAsia" w:ascii="宋体" w:hAnsi="宋体" w:eastAsia="宋体" w:cs="宋体"/>
                <w:color w:val="auto"/>
                <w:sz w:val="21"/>
                <w:szCs w:val="21"/>
                <w:highlight w:val="none"/>
              </w:rPr>
              <w:t>分；</w:t>
            </w:r>
          </w:p>
          <w:p>
            <w:pPr>
              <w:pStyle w:val="616"/>
              <w:adjustRightInd w:val="0"/>
              <w:snapToGrid w:val="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不满足上述要求的不得分，本项最高得3分。</w:t>
            </w:r>
          </w:p>
          <w:p>
            <w:pPr>
              <w:pStyle w:val="616"/>
              <w:adjustRightInd w:val="0"/>
              <w:snapToGrid w:val="0"/>
              <w:jc w:val="left"/>
              <w:rPr>
                <w:rFonts w:hint="eastAsia"/>
                <w:color w:val="auto"/>
                <w:highlight w:val="none"/>
              </w:rPr>
            </w:pPr>
            <w:r>
              <w:rPr>
                <w:rFonts w:hint="eastAsia" w:ascii="宋体" w:hAnsi="宋体" w:eastAsia="宋体" w:cs="宋体"/>
                <w:color w:val="auto"/>
                <w:sz w:val="21"/>
                <w:szCs w:val="21"/>
                <w:highlight w:val="none"/>
              </w:rPr>
              <w:t>2、投标人自201</w:t>
            </w:r>
            <w:r>
              <w:rPr>
                <w:rFonts w:ascii="宋体" w:hAnsi="宋体" w:eastAsia="宋体" w:cs="宋体"/>
                <w:color w:val="auto"/>
                <w:sz w:val="21"/>
                <w:szCs w:val="21"/>
                <w:highlight w:val="none"/>
              </w:rPr>
              <w:t>8</w:t>
            </w:r>
            <w:r>
              <w:rPr>
                <w:rFonts w:hint="eastAsia" w:ascii="宋体" w:hAnsi="宋体" w:eastAsia="宋体" w:cs="宋体"/>
                <w:color w:val="auto"/>
                <w:sz w:val="21"/>
                <w:szCs w:val="21"/>
                <w:highlight w:val="none"/>
              </w:rPr>
              <w:t>年1月1日</w:t>
            </w:r>
            <w:r>
              <w:rPr>
                <w:rFonts w:ascii="宋体" w:hAnsi="宋体" w:eastAsia="宋体"/>
                <w:color w:val="auto"/>
                <w:sz w:val="21"/>
                <w:szCs w:val="21"/>
                <w:highlight w:val="none"/>
              </w:rPr>
              <w:t>至今</w:t>
            </w:r>
            <w:r>
              <w:rPr>
                <w:rFonts w:hint="eastAsia" w:ascii="宋体" w:hAnsi="宋体" w:eastAsia="宋体" w:cs="宋体"/>
                <w:color w:val="auto"/>
                <w:sz w:val="21"/>
                <w:szCs w:val="21"/>
                <w:highlight w:val="none"/>
              </w:rPr>
              <w:t>具有质量管理体系认证证书、职业健康安全管理体系认证证书、环境管理体系认证证书、建设工程绿色施工服务评价认证证书、工程施工安全标准化体系认证证书、履约能力评价体系认证证书、服务质量评价体系认证证书的得3分，具有其中6项认证证书的得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具有其中5项认证证书的得</w:t>
            </w:r>
            <w:r>
              <w:rPr>
                <w:rFonts w:hint="eastAsia" w:ascii="宋体" w:hAnsi="宋体" w:cs="宋体"/>
                <w:color w:val="auto"/>
                <w:sz w:val="21"/>
                <w:szCs w:val="21"/>
                <w:highlight w:val="none"/>
                <w:lang w:val="en-US" w:eastAsia="zh-CN"/>
              </w:rPr>
              <w:t>0.75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具有其中</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val="en-US" w:eastAsia="zh-CN"/>
              </w:rPr>
              <w:t>及以下</w:t>
            </w:r>
            <w:r>
              <w:rPr>
                <w:rFonts w:hint="eastAsia" w:ascii="宋体" w:hAnsi="宋体" w:eastAsia="宋体" w:cs="宋体"/>
                <w:color w:val="auto"/>
                <w:sz w:val="21"/>
                <w:szCs w:val="21"/>
                <w:highlight w:val="none"/>
              </w:rPr>
              <w:t>认证证书的得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分。不满足上述要求的不得分，本项最高得3分。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85" w:hRule="atLeast"/>
          <w:jc w:val="center"/>
        </w:trPr>
        <w:tc>
          <w:tcPr>
            <w:tcW w:w="3222" w:type="dxa"/>
            <w:gridSpan w:val="3"/>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djustRightInd w:val="0"/>
              <w:snapToGrid w:val="0"/>
              <w:jc w:val="center"/>
              <w:rPr>
                <w:rFonts w:ascii="宋体" w:hAnsi="宋体" w:cs="宋体"/>
                <w:color w:val="auto"/>
                <w:szCs w:val="21"/>
                <w:highlight w:val="none"/>
              </w:rPr>
            </w:pPr>
            <w:r>
              <w:rPr>
                <w:rFonts w:ascii="宋体" w:hAnsi="宋体" w:cs="宋体"/>
                <w:color w:val="auto"/>
                <w:szCs w:val="21"/>
                <w:highlight w:val="none"/>
              </w:rPr>
              <w:t>合计（一+二+三）</w:t>
            </w:r>
          </w:p>
        </w:tc>
        <w:tc>
          <w:tcPr>
            <w:tcW w:w="7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jc w:val="center"/>
              <w:rPr>
                <w:rFonts w:ascii="宋体" w:hAnsi="宋体" w:cs="宋体"/>
                <w:color w:val="auto"/>
                <w:szCs w:val="21"/>
                <w:highlight w:val="none"/>
              </w:rPr>
            </w:pPr>
            <w:r>
              <w:rPr>
                <w:rFonts w:ascii="宋体" w:hAnsi="宋体" w:cs="宋体"/>
                <w:color w:val="auto"/>
                <w:szCs w:val="21"/>
                <w:highlight w:val="none"/>
              </w:rPr>
              <w:t>100</w:t>
            </w:r>
          </w:p>
        </w:tc>
        <w:tc>
          <w:tcPr>
            <w:tcW w:w="11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rPr>
                <w:rFonts w:ascii="宋体" w:hAnsi="宋体" w:cs="宋体"/>
                <w:color w:val="auto"/>
                <w:szCs w:val="21"/>
                <w:highlight w:val="none"/>
                <w:lang w:bidi="ar"/>
              </w:rPr>
            </w:pPr>
          </w:p>
        </w:tc>
      </w:tr>
    </w:tbl>
    <w:p>
      <w:pPr>
        <w:spacing w:line="312" w:lineRule="auto"/>
        <w:rPr>
          <w:rFonts w:ascii="宋体" w:hAnsi="宋体"/>
          <w:color w:val="auto"/>
          <w:szCs w:val="21"/>
          <w:highlight w:val="none"/>
        </w:rPr>
      </w:pPr>
      <w:r>
        <w:rPr>
          <w:rFonts w:hint="eastAsia" w:ascii="宋体" w:hAnsi="宋体"/>
          <w:color w:val="auto"/>
          <w:szCs w:val="21"/>
          <w:highlight w:val="none"/>
        </w:rPr>
        <w:t>备注：</w:t>
      </w:r>
    </w:p>
    <w:p>
      <w:pPr>
        <w:spacing w:line="312" w:lineRule="auto"/>
        <w:ind w:firstLine="420" w:firstLineChars="200"/>
        <w:rPr>
          <w:rFonts w:ascii="宋体" w:hAnsi="宋体"/>
          <w:color w:val="auto"/>
          <w:szCs w:val="21"/>
          <w:highlight w:val="none"/>
        </w:rPr>
      </w:pPr>
      <w:r>
        <w:rPr>
          <w:rFonts w:hint="eastAsia" w:ascii="宋体" w:hAnsi="宋体"/>
          <w:color w:val="auto"/>
          <w:szCs w:val="21"/>
          <w:highlight w:val="none"/>
        </w:rPr>
        <w:t>1.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spacing w:line="312" w:lineRule="auto"/>
        <w:rPr>
          <w:rFonts w:ascii="宋体" w:hAnsi="宋体"/>
          <w:color w:val="auto"/>
          <w:szCs w:val="21"/>
          <w:highlight w:val="none"/>
        </w:rPr>
      </w:pPr>
      <w:r>
        <w:rPr>
          <w:rFonts w:hint="eastAsia" w:ascii="宋体" w:hAnsi="宋体"/>
          <w:color w:val="auto"/>
          <w:szCs w:val="21"/>
          <w:highlight w:val="none"/>
        </w:rPr>
        <w:t xml:space="preserve">    2.类似工程业绩</w:t>
      </w:r>
    </w:p>
    <w:p>
      <w:pPr>
        <w:adjustRightInd w:val="0"/>
        <w:snapToGrid w:val="0"/>
        <w:spacing w:line="312" w:lineRule="auto"/>
        <w:ind w:left="42" w:leftChars="20" w:right="42" w:rightChars="2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类似工程业绩是指单项工程中标价大于或等于1</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00万元的市政公用工程施工总承包业绩。投标人需提供以下资料：</w:t>
      </w:r>
    </w:p>
    <w:p>
      <w:pPr>
        <w:adjustRightInd w:val="0"/>
        <w:snapToGrid w:val="0"/>
        <w:spacing w:line="312" w:lineRule="auto"/>
        <w:ind w:left="42" w:leftChars="20" w:right="42" w:rightChars="2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提供业绩的中标通知书（或免招标证明）、施工合同（仅需附协议书部分）、单位工程验收鉴定证书或合同工程完工验收鉴定书或工程竣工验收报告及其他补充（如需要）反映工程信息的相关证明材料扫描件。</w:t>
      </w:r>
    </w:p>
    <w:p>
      <w:pPr>
        <w:adjustRightInd w:val="0"/>
        <w:snapToGrid w:val="0"/>
        <w:spacing w:line="312" w:lineRule="auto"/>
        <w:ind w:left="42" w:leftChars="20" w:right="42" w:rightChars="2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业绩金额以中标通知书为准，中标通知书上没有金额的，以施工合同（不含补充合同）为准，时间以单位工程验收鉴定证书或合同工程完工验收鉴定书或工程竣工验收报告等材料的日期为准。如为设计施工总承包项目（EPC项目）的，则投标人须为本项目的唯一施工单位。</w:t>
      </w:r>
    </w:p>
    <w:p>
      <w:pPr>
        <w:adjustRightInd w:val="0"/>
        <w:snapToGrid w:val="0"/>
        <w:spacing w:line="312" w:lineRule="auto"/>
        <w:ind w:left="42" w:leftChars="20" w:right="42" w:rightChars="20" w:firstLine="420" w:firstLineChars="200"/>
        <w:rPr>
          <w:rFonts w:ascii="宋体" w:hAnsi="宋体"/>
          <w:color w:val="auto"/>
          <w:szCs w:val="21"/>
          <w:highlight w:val="none"/>
        </w:rPr>
      </w:pPr>
      <w:r>
        <w:rPr>
          <w:rFonts w:hint="eastAsia" w:ascii="宋体" w:hAnsi="宋体" w:cs="宋体"/>
          <w:color w:val="auto"/>
          <w:kern w:val="0"/>
          <w:szCs w:val="21"/>
          <w:highlight w:val="none"/>
        </w:rPr>
        <w:t>3）提供的材料不符合上述条件或未提供上述资料的，该业绩不予认定。</w:t>
      </w:r>
    </w:p>
    <w:p>
      <w:pPr>
        <w:spacing w:line="312" w:lineRule="auto"/>
        <w:ind w:firstLine="420" w:firstLineChars="200"/>
        <w:rPr>
          <w:rFonts w:ascii="宋体" w:hAnsi="宋体"/>
          <w:color w:val="auto"/>
          <w:szCs w:val="21"/>
          <w:highlight w:val="none"/>
        </w:rPr>
      </w:pPr>
      <w:r>
        <w:rPr>
          <w:rFonts w:hint="eastAsia" w:ascii="宋体" w:hAnsi="宋体"/>
          <w:color w:val="auto"/>
          <w:szCs w:val="21"/>
          <w:highlight w:val="none"/>
        </w:rPr>
        <w:t>3.工程奖项：</w:t>
      </w:r>
    </w:p>
    <w:p>
      <w:pPr>
        <w:adjustRightInd w:val="0"/>
        <w:snapToGrid w:val="0"/>
        <w:spacing w:line="312" w:lineRule="auto"/>
        <w:ind w:left="42" w:leftChars="20" w:right="42" w:rightChars="20" w:firstLine="420" w:firstLineChars="200"/>
        <w:rPr>
          <w:rFonts w:ascii="宋体" w:hAnsi="宋体" w:cs="宋体"/>
          <w:color w:val="auto"/>
          <w:kern w:val="0"/>
          <w:szCs w:val="21"/>
          <w:highlight w:val="none"/>
        </w:rPr>
      </w:pPr>
      <w:r>
        <w:rPr>
          <w:rFonts w:hint="eastAsia" w:ascii="宋体" w:hAnsi="宋体"/>
          <w:color w:val="auto"/>
          <w:szCs w:val="21"/>
          <w:highlight w:val="none"/>
        </w:rPr>
        <w:t>需提供获奖证书扫描件，时间以发证时间为准。</w:t>
      </w:r>
      <w:r>
        <w:rPr>
          <w:rFonts w:hint="eastAsia" w:ascii="宋体" w:hAnsi="宋体" w:cs="宋体"/>
          <w:color w:val="auto"/>
          <w:kern w:val="0"/>
          <w:szCs w:val="21"/>
          <w:highlight w:val="none"/>
        </w:rPr>
        <w:t>国家级质量奖项是指</w:t>
      </w:r>
      <w:r>
        <w:rPr>
          <w:rFonts w:hint="eastAsia" w:ascii="宋体" w:hAnsi="宋体" w:cs="宋体"/>
          <w:color w:val="auto"/>
          <w:szCs w:val="21"/>
          <w:highlight w:val="none"/>
        </w:rPr>
        <w:t>中国建设工程鲁班奖、国家优质工程奖（原国家优质工程</w:t>
      </w:r>
      <w:r>
        <w:rPr>
          <w:rFonts w:hint="eastAsia" w:ascii="宋体" w:hAnsi="宋体" w:cs="宋体"/>
          <w:color w:val="auto"/>
          <w:szCs w:val="21"/>
          <w:highlight w:val="none"/>
          <w:lang w:val="en-US" w:eastAsia="zh-CN"/>
        </w:rPr>
        <w:t>金质奖或国家优质工程银质奖</w:t>
      </w:r>
      <w:r>
        <w:rPr>
          <w:rFonts w:hint="eastAsia" w:ascii="宋体" w:hAnsi="宋体" w:cs="宋体"/>
          <w:color w:val="auto"/>
          <w:szCs w:val="21"/>
          <w:highlight w:val="none"/>
        </w:rPr>
        <w:t>）、中国土木工程詹天佑奖</w:t>
      </w:r>
      <w:r>
        <w:rPr>
          <w:rFonts w:hint="eastAsia" w:ascii="宋体" w:hAnsi="宋体" w:cs="宋体"/>
          <w:color w:val="auto"/>
          <w:kern w:val="0"/>
          <w:szCs w:val="21"/>
          <w:highlight w:val="none"/>
        </w:rPr>
        <w:t>；省级质量奖项指省级工程优质奖或优良样板工程奖等各类工程实体奖项，不含安全文明、技术类奖项。奖项只计算承建单位，不含参建单位。同一项目按最高级别奖项只计一次得分。只计算市政公用工程施工项目，其他非市政公用工程施工项目，如：房建、公路、铁路、水利、电力、化工、冶金、矿山的获奖不参与计分。</w:t>
      </w:r>
    </w:p>
    <w:p>
      <w:pPr>
        <w:adjustRightInd w:val="0"/>
        <w:snapToGrid w:val="0"/>
        <w:spacing w:line="312" w:lineRule="auto"/>
        <w:ind w:firstLine="420" w:firstLineChars="200"/>
        <w:rPr>
          <w:rFonts w:ascii="宋体" w:hAnsi="宋体" w:cs="宋体"/>
          <w:color w:val="auto"/>
          <w:szCs w:val="21"/>
          <w:highlight w:val="none"/>
        </w:rPr>
      </w:pPr>
      <w:r>
        <w:rPr>
          <w:rFonts w:hint="eastAsia" w:ascii="宋体" w:hAnsi="宋体"/>
          <w:color w:val="auto"/>
          <w:szCs w:val="21"/>
          <w:highlight w:val="none"/>
        </w:rPr>
        <w:t>4.工程</w:t>
      </w:r>
      <w:r>
        <w:rPr>
          <w:rFonts w:hint="eastAsia" w:ascii="宋体" w:hAnsi="宋体" w:cs="宋体"/>
          <w:color w:val="auto"/>
          <w:szCs w:val="21"/>
          <w:highlight w:val="none"/>
        </w:rPr>
        <w:t>研发能力：</w:t>
      </w:r>
    </w:p>
    <w:p>
      <w:pPr>
        <w:adjustRightInd w:val="0"/>
        <w:snapToGrid w:val="0"/>
        <w:spacing w:line="312" w:lineRule="auto"/>
        <w:ind w:left="42" w:leftChars="20" w:right="42" w:rightChars="20" w:firstLine="420" w:firstLineChars="200"/>
        <w:rPr>
          <w:rFonts w:ascii="宋体" w:hAnsi="宋体" w:cs="宋体"/>
          <w:color w:val="auto"/>
          <w:kern w:val="0"/>
          <w:szCs w:val="21"/>
          <w:highlight w:val="none"/>
        </w:rPr>
      </w:pPr>
      <w:r>
        <w:rPr>
          <w:rFonts w:hint="eastAsia" w:ascii="宋体" w:hAnsi="宋体" w:cs="宋体"/>
          <w:color w:val="auto"/>
          <w:szCs w:val="21"/>
          <w:highlight w:val="none"/>
        </w:rPr>
        <w:t>（1）市政类科学技术奖项，获奖时间以证书中载明的发证时间为准，须提供获奖证书扫描件。其中协会颁发的奖项，要求发证协会必须经民政部门依法登记成立，且提供其在中国社会组织政务服务平台（https://chinanpo.mca.gov.cn/）查询结果（附网页打印页或网页信息截图），否则该项不得分。无提交上述资料不计分。同一项目获得多个奖项的，该项目获奖只按其中一个奖项所在最高级别计算一次分数，不得重复计算。</w:t>
      </w:r>
    </w:p>
    <w:p>
      <w:pPr>
        <w:adjustRightInd w:val="0"/>
        <w:snapToGrid w:val="0"/>
        <w:spacing w:line="312" w:lineRule="auto"/>
        <w:ind w:left="42" w:leftChars="20" w:right="42" w:rightChars="20"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省级或以上工法奖，需提供经建设行政主管部门认定的获奖证书原件扫描件。证书上应可反映其为市政类工法，若无法反映，需提供建设职能部门（或其主管的行业协会）出具的科学技术成果鉴定证书扫描件，并且在科学技术成果鉴定证书中需能反映该工法的研究背景项目为市政类项目，无法证明该工法为市政类项目获得的工法不得分。相同工法按最高级别奖项只计一次得分。获奖时间以发证时间为准。如颁奖单位为协会的，还须提供该协会在“中国社会组织政务服务平台”有登记的网页查询截图（网址：https://chinanpo.mca.gov.cn/），证明其有登记备案，无提交上述资料不计分。</w:t>
      </w:r>
    </w:p>
    <w:p>
      <w:pPr>
        <w:adjustRightInd w:val="0"/>
        <w:snapToGrid w:val="0"/>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5.第三方评价：</w:t>
      </w:r>
    </w:p>
    <w:p>
      <w:pPr>
        <w:adjustRightInd w:val="0"/>
        <w:snapToGrid w:val="0"/>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投标人须提供获得过省级或以上市政行业协会颁发的“企业诚信评价”或“企业信用等级评价”称号证书扫描件，时间以发证时间为准，没有获奖的或投标人分公司子公司名义获奖的不得分。证书发证机构必须是在中国社会组织政务服务平台（https://chinanpo.mca.gov.cn/）查询到的组织方为有效（附网页打印页或网页信息截图）。按提供的最高等级计算，不同档次不累加计算，最多只计算</w:t>
      </w:r>
      <w:r>
        <w:rPr>
          <w:rFonts w:ascii="宋体" w:hAnsi="宋体" w:cs="宋体"/>
          <w:color w:val="auto"/>
          <w:szCs w:val="21"/>
          <w:highlight w:val="none"/>
        </w:rPr>
        <w:t>3</w:t>
      </w:r>
      <w:r>
        <w:rPr>
          <w:rFonts w:hint="eastAsia" w:ascii="宋体" w:hAnsi="宋体" w:cs="宋体"/>
          <w:color w:val="auto"/>
          <w:szCs w:val="21"/>
          <w:highlight w:val="none"/>
        </w:rPr>
        <w:t>份证书。企业获评等级级别判定以评价证书颁发协会相关评价办法为准，需提供评价证书颁发协会官方网站发布评价办法的网页链接或评价办法官方红头文件扫描件，否则所有级别评价均按第三等级或以下计算。</w:t>
      </w:r>
    </w:p>
    <w:p>
      <w:pPr>
        <w:pStyle w:val="23"/>
        <w:ind w:firstLine="420" w:firstLineChars="200"/>
        <w:rPr>
          <w:rFonts w:ascii="宋体" w:hAnsi="宋体" w:cs="宋体"/>
          <w:color w:val="auto"/>
          <w:szCs w:val="21"/>
          <w:highlight w:val="none"/>
        </w:rPr>
      </w:pPr>
      <w:r>
        <w:rPr>
          <w:rFonts w:hint="eastAsia" w:ascii="宋体" w:hAnsi="宋体" w:cs="宋体"/>
          <w:bCs/>
          <w:color w:val="auto"/>
          <w:szCs w:val="21"/>
          <w:highlight w:val="none"/>
        </w:rPr>
        <w:t>②</w:t>
      </w:r>
      <w:r>
        <w:rPr>
          <w:rFonts w:hint="eastAsia" w:ascii="宋体" w:hAnsi="宋体" w:cs="宋体"/>
          <w:color w:val="auto"/>
          <w:szCs w:val="21"/>
          <w:highlight w:val="none"/>
        </w:rPr>
        <w:t>体系认证证书须是投标人在本项目招标公告发布时间之前获得且在有效期内的才可计算得分，须同时提供在有效期内的证书扫描件和全国认证认可信息公共服务平台（http://cx.cnca.cn/CertECloud/index/index/page）查询页的截图，同一项认证获得有多个证书的按其中一个计分一次，不符合上述条件或未提供上述资料的不计分。</w:t>
      </w:r>
    </w:p>
    <w:p>
      <w:pPr>
        <w:adjustRightInd w:val="0"/>
        <w:snapToGrid w:val="0"/>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6、项目管理机构能力：</w:t>
      </w:r>
    </w:p>
    <w:p>
      <w:pPr>
        <w:adjustRightInd w:val="0"/>
        <w:snapToGrid w:val="0"/>
        <w:spacing w:line="312"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（1）项目管理机构人员</w:t>
      </w:r>
      <w:r>
        <w:rPr>
          <w:rFonts w:hint="eastAsia" w:ascii="宋体" w:hAnsi="宋体" w:cs="宋体"/>
          <w:bCs/>
          <w:color w:val="auto"/>
          <w:szCs w:val="21"/>
          <w:highlight w:val="none"/>
        </w:rPr>
        <w:t>须提供身份证及投标截止前一个月（2023年</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月）有效社保证明，且须按相应要求提供职称证、有效期内的注册证，所有资料为扫描件并加盖投标人电子公章</w:t>
      </w:r>
      <w:r>
        <w:rPr>
          <w:rFonts w:hint="eastAsia" w:ascii="宋体" w:hAnsi="宋体" w:cs="宋体"/>
          <w:color w:val="auto"/>
          <w:kern w:val="0"/>
          <w:szCs w:val="21"/>
          <w:highlight w:val="none"/>
        </w:rPr>
        <w:t>。未提供或所提供的证明资料不符合要求的，则该评分节点不予评审。</w:t>
      </w:r>
    </w:p>
    <w:p>
      <w:pPr>
        <w:adjustRightInd w:val="0"/>
        <w:snapToGrid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（2）项目负责人、技术负责人、质量负责人、安全负责人、造价负责人不得兼任，且安全负责人不能同时兼任专职安全员。</w:t>
      </w:r>
    </w:p>
    <w:p>
      <w:pPr>
        <w:adjustRightInd w:val="0"/>
        <w:snapToGrid w:val="0"/>
        <w:spacing w:line="312" w:lineRule="auto"/>
        <w:ind w:firstLine="420" w:firstLineChars="200"/>
        <w:rPr>
          <w:rFonts w:ascii="宋体" w:hAnsi="宋体" w:cs="宋体"/>
          <w:bCs/>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.本表</w:t>
      </w:r>
      <w:r>
        <w:rPr>
          <w:rFonts w:hint="eastAsia" w:hAnsi="宋体"/>
          <w:color w:val="auto"/>
          <w:highlight w:val="none"/>
        </w:rPr>
        <w:t>按百分制评分，所有评委每个分项的分数汇总后去掉一个最高分和一个最低分的算术平均值为投标人的最终得分。分数出现小数点，保留小数点</w:t>
      </w:r>
      <w:r>
        <w:rPr>
          <w:rFonts w:hint="eastAsia" w:ascii="宋体" w:hAnsi="宋体" w:cs="宋体"/>
          <w:color w:val="auto"/>
          <w:szCs w:val="21"/>
          <w:highlight w:val="none"/>
        </w:rPr>
        <w:t>后二位小数，第三位小数四舍五入,若投标人满足多个档次的，按最高档计分。</w:t>
      </w:r>
    </w:p>
    <w:p>
      <w:pPr>
        <w:rPr>
          <w:rFonts w:ascii="宋体" w:hAnsi="宋体" w:cs="宋体"/>
          <w:color w:val="auto"/>
          <w:kern w:val="0"/>
          <w:szCs w:val="21"/>
          <w:highlight w:val="none"/>
        </w:rPr>
      </w:pPr>
      <w:r>
        <w:rPr>
          <w:rFonts w:hint="eastAsia" w:ascii="宋体" w:hAnsi="宋体" w:cs="宋体"/>
          <w:color w:val="auto"/>
          <w:kern w:val="0"/>
          <w:szCs w:val="21"/>
          <w:highlight w:val="none"/>
          <w:lang w:val="zh-TW" w:eastAsia="zh-TW"/>
        </w:rPr>
        <w:t xml:space="preserve">评委签名：                                                                             </w:t>
      </w:r>
      <w:r>
        <w:rPr>
          <w:rFonts w:hint="eastAsia" w:ascii="宋体" w:hAnsi="宋体" w:cs="宋体"/>
          <w:color w:val="auto"/>
          <w:kern w:val="0"/>
          <w:szCs w:val="21"/>
          <w:highlight w:val="none"/>
        </w:rPr>
        <w:t xml:space="preserve">      日期：     年   月   日</w:t>
      </w:r>
    </w:p>
    <w:p>
      <w:pPr>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pPr>
        <w:rPr>
          <w:rFonts w:ascii="Arial" w:hAnsi="Arial" w:cs="Arial"/>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五（适用于加权平均法）</w:t>
      </w:r>
    </w:p>
    <w:p>
      <w:pPr>
        <w:jc w:val="center"/>
        <w:rPr>
          <w:rFonts w:ascii="Arial" w:hAnsi="Arial" w:cs="Arial"/>
          <w:b/>
          <w:color w:val="auto"/>
          <w:sz w:val="36"/>
          <w:szCs w:val="36"/>
          <w:highlight w:val="none"/>
        </w:rPr>
      </w:pPr>
      <w:r>
        <w:rPr>
          <w:rFonts w:ascii="Arial" w:hAnsi="Arial" w:cs="Arial"/>
          <w:b/>
          <w:color w:val="auto"/>
          <w:sz w:val="36"/>
          <w:szCs w:val="36"/>
          <w:highlight w:val="none"/>
        </w:rPr>
        <w:t>经济标评分表</w:t>
      </w:r>
    </w:p>
    <w:p>
      <w:pPr>
        <w:rPr>
          <w:rFonts w:ascii="Arial" w:hAnsi="Arial" w:cs="Arial"/>
          <w:color w:val="auto"/>
          <w:szCs w:val="21"/>
          <w:highlight w:val="none"/>
        </w:rPr>
      </w:pPr>
      <w:r>
        <w:rPr>
          <w:rFonts w:ascii="Arial" w:hAnsi="Arial" w:cs="Arial"/>
          <w:color w:val="auto"/>
          <w:szCs w:val="21"/>
          <w:highlight w:val="none"/>
        </w:rPr>
        <w:t>工程名称：</w:t>
      </w:r>
    </w:p>
    <w:tbl>
      <w:tblPr>
        <w:tblStyle w:val="5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投标报价PT（元）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偏差（（PT-PC）/PC）（%）</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减分（A）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得分(I=100-A)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bl>
    <w:p>
      <w:pPr>
        <w:rPr>
          <w:rFonts w:ascii="Arial" w:hAnsi="Arial" w:cs="Arial"/>
          <w:color w:val="auto"/>
          <w:sz w:val="24"/>
          <w:szCs w:val="24"/>
          <w:highlight w:val="none"/>
        </w:rPr>
      </w:pPr>
      <w:r>
        <w:rPr>
          <w:rFonts w:ascii="Arial" w:hAnsi="Arial" w:cs="Arial"/>
          <w:color w:val="auto"/>
          <w:szCs w:val="21"/>
          <w:highlight w:val="none"/>
        </w:rPr>
        <w:t>评委签名：</w:t>
      </w:r>
      <w:r>
        <w:rPr>
          <w:rFonts w:ascii="Arial" w:hAnsi="Arial" w:cs="Arial"/>
          <w:b/>
          <w:color w:val="auto"/>
          <w:sz w:val="36"/>
          <w:szCs w:val="36"/>
          <w:highlight w:val="none"/>
        </w:rPr>
        <w:br w:type="page"/>
      </w:r>
      <w:r>
        <w:rPr>
          <w:rFonts w:ascii="Arial" w:hAnsi="Arial" w:cs="Arial"/>
          <w:color w:val="auto"/>
          <w:szCs w:val="21"/>
          <w:highlight w:val="none"/>
        </w:rPr>
        <w:t>附表五（适用于区间抽取法）</w:t>
      </w:r>
    </w:p>
    <w:p>
      <w:pPr>
        <w:jc w:val="center"/>
        <w:rPr>
          <w:rFonts w:ascii="Arial" w:hAnsi="Arial" w:cs="Arial"/>
          <w:b/>
          <w:color w:val="auto"/>
          <w:sz w:val="36"/>
          <w:szCs w:val="36"/>
          <w:highlight w:val="none"/>
        </w:rPr>
      </w:pPr>
      <w:r>
        <w:rPr>
          <w:rFonts w:ascii="Arial" w:hAnsi="Arial" w:cs="Arial"/>
          <w:b/>
          <w:color w:val="auto"/>
          <w:sz w:val="36"/>
          <w:szCs w:val="36"/>
          <w:highlight w:val="none"/>
        </w:rPr>
        <w:t>经济标评分表</w:t>
      </w:r>
    </w:p>
    <w:p>
      <w:pPr>
        <w:rPr>
          <w:rFonts w:ascii="Arial" w:hAnsi="Arial" w:cs="Arial"/>
          <w:color w:val="auto"/>
          <w:szCs w:val="21"/>
          <w:highlight w:val="none"/>
        </w:rPr>
      </w:pPr>
      <w:r>
        <w:rPr>
          <w:rFonts w:ascii="Arial" w:hAnsi="Arial" w:cs="Arial"/>
          <w:color w:val="auto"/>
          <w:szCs w:val="21"/>
          <w:highlight w:val="none"/>
        </w:rPr>
        <w:t>工程名称：</w:t>
      </w:r>
    </w:p>
    <w:tbl>
      <w:tblPr>
        <w:tblStyle w:val="5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投标报价PT（元）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偏差（（PT-PC）/PC）（%）</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减分（A）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得分(I=100-A)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r>
              <w:rPr>
                <w:rFonts w:ascii="Arial" w:hAnsi="Arial" w:cs="Arial"/>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Cs w:val="21"/>
                <w:highlight w:val="none"/>
              </w:rPr>
            </w:pPr>
          </w:p>
        </w:tc>
      </w:tr>
    </w:tbl>
    <w:p>
      <w:pPr>
        <w:rPr>
          <w:rFonts w:ascii="Arial" w:hAnsi="Arial" w:cs="Arial"/>
          <w:color w:val="auto"/>
          <w:szCs w:val="21"/>
          <w:highlight w:val="none"/>
        </w:rPr>
      </w:pPr>
      <w:r>
        <w:rPr>
          <w:rFonts w:ascii="Arial" w:hAnsi="Arial" w:cs="Arial"/>
          <w:color w:val="auto"/>
          <w:szCs w:val="21"/>
          <w:highlight w:val="none"/>
        </w:rPr>
        <w:t>评委签名：</w:t>
      </w: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b/>
          <w:color w:val="auto"/>
          <w:szCs w:val="21"/>
          <w:highlight w:val="none"/>
        </w:rPr>
      </w:pPr>
      <w:r>
        <w:rPr>
          <w:rFonts w:ascii="Arial" w:hAnsi="Arial" w:cs="Arial"/>
          <w:color w:val="auto"/>
          <w:szCs w:val="21"/>
          <w:highlight w:val="none"/>
        </w:rPr>
        <w:t>附表六</w:t>
      </w:r>
    </w:p>
    <w:p>
      <w:pPr>
        <w:jc w:val="center"/>
        <w:rPr>
          <w:rFonts w:ascii="Arial" w:hAnsi="Arial" w:cs="Arial"/>
          <w:b/>
          <w:color w:val="auto"/>
          <w:sz w:val="36"/>
          <w:szCs w:val="36"/>
          <w:highlight w:val="none"/>
        </w:rPr>
      </w:pPr>
      <w:r>
        <w:rPr>
          <w:rFonts w:ascii="Arial" w:hAnsi="Arial" w:cs="Arial"/>
          <w:b/>
          <w:color w:val="auto"/>
          <w:sz w:val="36"/>
          <w:szCs w:val="36"/>
          <w:highlight w:val="none"/>
        </w:rPr>
        <w:t>算术复核表</w:t>
      </w:r>
    </w:p>
    <w:p>
      <w:pPr>
        <w:rPr>
          <w:rFonts w:ascii="Arial" w:hAnsi="Arial" w:cs="Arial"/>
          <w:color w:val="auto"/>
          <w:kern w:val="0"/>
          <w:szCs w:val="21"/>
          <w:highlight w:val="none"/>
        </w:rPr>
      </w:pPr>
      <w:r>
        <w:rPr>
          <w:rFonts w:ascii="Arial" w:hAnsi="Arial" w:cs="Arial"/>
          <w:color w:val="auto"/>
          <w:kern w:val="0"/>
          <w:szCs w:val="21"/>
          <w:highlight w:val="none"/>
        </w:rPr>
        <w:t>工程名称：                                           投标人:                                                  单位：元</w:t>
      </w:r>
    </w:p>
    <w:tbl>
      <w:tblPr>
        <w:tblStyle w:val="55"/>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修正前投标</w:t>
            </w:r>
          </w:p>
          <w:p>
            <w:pPr>
              <w:rPr>
                <w:rFonts w:ascii="Arial" w:hAnsi="Arial" w:cs="Arial"/>
                <w:color w:val="auto"/>
                <w:kern w:val="0"/>
                <w:szCs w:val="21"/>
                <w:highlight w:val="none"/>
              </w:rPr>
            </w:pPr>
            <w:r>
              <w:rPr>
                <w:rFonts w:ascii="Arial" w:hAnsi="Arial" w:cs="Arial"/>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修正后投标</w:t>
            </w:r>
          </w:p>
          <w:p>
            <w:pPr>
              <w:rPr>
                <w:rFonts w:ascii="Arial" w:hAnsi="Arial" w:cs="Arial"/>
                <w:color w:val="auto"/>
                <w:kern w:val="0"/>
                <w:szCs w:val="21"/>
                <w:highlight w:val="none"/>
              </w:rPr>
            </w:pPr>
            <w:r>
              <w:rPr>
                <w:rFonts w:ascii="Arial" w:hAnsi="Arial" w:cs="Arial"/>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修正率</w:t>
            </w:r>
          </w:p>
          <w:p>
            <w:pPr>
              <w:rPr>
                <w:rFonts w:ascii="Arial" w:hAnsi="Arial" w:cs="Arial"/>
                <w:color w:val="auto"/>
                <w:kern w:val="0"/>
                <w:szCs w:val="21"/>
                <w:highlight w:val="none"/>
              </w:rPr>
            </w:pPr>
            <w:r>
              <w:rPr>
                <w:rFonts w:ascii="Arial" w:hAnsi="Arial" w:cs="Arial"/>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color w:val="auto"/>
                <w:kern w:val="0"/>
                <w:szCs w:val="21"/>
                <w:highlight w:val="none"/>
              </w:rPr>
            </w:pPr>
            <w:r>
              <w:rPr>
                <w:rFonts w:ascii="Arial" w:hAnsi="Arial" w:cs="Arial"/>
                <w:color w:val="auto"/>
                <w:kern w:val="0"/>
                <w:szCs w:val="21"/>
                <w:highlight w:val="none"/>
              </w:rPr>
              <w:t>∑A=A</w:t>
            </w:r>
            <w:r>
              <w:rPr>
                <w:rFonts w:ascii="Arial" w:hAnsi="Arial" w:cs="Arial"/>
                <w:color w:val="auto"/>
                <w:kern w:val="0"/>
                <w:szCs w:val="21"/>
                <w:highlight w:val="none"/>
                <w:vertAlign w:val="subscript"/>
              </w:rPr>
              <w:t>1</w:t>
            </w:r>
            <w:r>
              <w:rPr>
                <w:rFonts w:ascii="Arial" w:hAnsi="Arial" w:cs="Arial"/>
                <w:color w:val="auto"/>
                <w:kern w:val="0"/>
                <w:szCs w:val="21"/>
                <w:highlight w:val="none"/>
              </w:rPr>
              <w:t>+A</w:t>
            </w:r>
            <w:r>
              <w:rPr>
                <w:rFonts w:ascii="Arial" w:hAnsi="Arial" w:cs="Arial"/>
                <w:color w:val="auto"/>
                <w:kern w:val="0"/>
                <w:szCs w:val="21"/>
                <w:highlight w:val="none"/>
                <w:vertAlign w:val="subscript"/>
              </w:rPr>
              <w:t>2</w:t>
            </w:r>
            <w:r>
              <w:rPr>
                <w:rFonts w:ascii="Arial" w:hAnsi="Arial" w:cs="Arial"/>
                <w:color w:val="auto"/>
                <w:kern w:val="0"/>
                <w:szCs w:val="21"/>
                <w:highlight w:val="none"/>
              </w:rPr>
              <w:t>+…An；∑B=B</w:t>
            </w:r>
            <w:r>
              <w:rPr>
                <w:rFonts w:ascii="Arial" w:hAnsi="Arial" w:cs="Arial"/>
                <w:color w:val="auto"/>
                <w:kern w:val="0"/>
                <w:szCs w:val="21"/>
                <w:highlight w:val="none"/>
                <w:vertAlign w:val="subscript"/>
              </w:rPr>
              <w:t>1</w:t>
            </w:r>
            <w:r>
              <w:rPr>
                <w:rFonts w:ascii="Arial" w:hAnsi="Arial" w:cs="Arial"/>
                <w:color w:val="auto"/>
                <w:kern w:val="0"/>
                <w:szCs w:val="21"/>
                <w:highlight w:val="none"/>
              </w:rPr>
              <w:t>+B</w:t>
            </w:r>
            <w:r>
              <w:rPr>
                <w:rFonts w:ascii="Arial" w:hAnsi="Arial" w:cs="Arial"/>
                <w:color w:val="auto"/>
                <w:kern w:val="0"/>
                <w:szCs w:val="21"/>
                <w:highlight w:val="none"/>
                <w:vertAlign w:val="subscript"/>
              </w:rPr>
              <w:t>2</w:t>
            </w:r>
            <w:r>
              <w:rPr>
                <w:rFonts w:ascii="Arial" w:hAnsi="Arial" w:cs="Arial"/>
                <w:color w:val="auto"/>
                <w:kern w:val="0"/>
                <w:szCs w:val="21"/>
                <w:highlight w:val="none"/>
              </w:rPr>
              <w:t>+…Bn</w:t>
            </w:r>
          </w:p>
        </w:tc>
      </w:tr>
    </w:tbl>
    <w:p>
      <w:pPr>
        <w:rPr>
          <w:rFonts w:ascii="Arial" w:hAnsi="Arial" w:cs="Arial"/>
          <w:color w:val="auto"/>
          <w:kern w:val="0"/>
          <w:szCs w:val="21"/>
          <w:highlight w:val="none"/>
        </w:rPr>
      </w:pPr>
      <w:r>
        <w:rPr>
          <w:rFonts w:ascii="Arial" w:hAnsi="Arial" w:cs="Arial"/>
          <w:color w:val="auto"/>
          <w:kern w:val="0"/>
          <w:szCs w:val="21"/>
          <w:highlight w:val="none"/>
        </w:rPr>
        <w:t>修正原则：</w:t>
      </w:r>
      <w:r>
        <w:rPr>
          <w:rFonts w:ascii="Arial" w:hAnsi="Arial" w:cs="Arial"/>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ascii="Arial" w:hAnsi="Arial" w:cs="Arial"/>
          <w:color w:val="auto"/>
          <w:kern w:val="0"/>
          <w:szCs w:val="21"/>
          <w:highlight w:val="none"/>
        </w:rPr>
        <w:tab/>
      </w:r>
    </w:p>
    <w:p>
      <w:pPr>
        <w:rPr>
          <w:rFonts w:ascii="Arial" w:hAnsi="Arial" w:cs="Arial"/>
          <w:color w:val="auto"/>
          <w:kern w:val="0"/>
          <w:szCs w:val="21"/>
          <w:highlight w:val="none"/>
        </w:rPr>
      </w:pPr>
      <w:r>
        <w:rPr>
          <w:rFonts w:ascii="Arial" w:hAnsi="Arial" w:cs="Arial"/>
          <w:color w:val="auto"/>
          <w:kern w:val="0"/>
          <w:szCs w:val="21"/>
          <w:highlight w:val="none"/>
        </w:rPr>
        <w:t>评委签名：</w:t>
      </w:r>
      <w:r>
        <w:rPr>
          <w:rFonts w:ascii="Arial" w:hAnsi="Arial" w:cs="Arial"/>
          <w:color w:val="auto"/>
          <w:kern w:val="0"/>
          <w:szCs w:val="21"/>
          <w:highlight w:val="none"/>
        </w:rPr>
        <w:tab/>
      </w:r>
      <w:r>
        <w:rPr>
          <w:rFonts w:ascii="Arial" w:hAnsi="Arial" w:cs="Arial"/>
          <w:color w:val="auto"/>
          <w:kern w:val="0"/>
          <w:szCs w:val="21"/>
          <w:highlight w:val="none"/>
        </w:rPr>
        <w:tab/>
      </w:r>
      <w:r>
        <w:rPr>
          <w:rFonts w:ascii="Arial" w:hAnsi="Arial" w:cs="Arial"/>
          <w:color w:val="auto"/>
          <w:kern w:val="0"/>
          <w:szCs w:val="21"/>
          <w:highlight w:val="none"/>
        </w:rPr>
        <w:tab/>
      </w:r>
      <w:r>
        <w:rPr>
          <w:rFonts w:ascii="Arial" w:hAnsi="Arial" w:cs="Arial"/>
          <w:color w:val="auto"/>
          <w:kern w:val="0"/>
          <w:szCs w:val="21"/>
          <w:highlight w:val="none"/>
        </w:rPr>
        <w:tab/>
      </w:r>
      <w:r>
        <w:rPr>
          <w:rFonts w:ascii="Arial" w:hAnsi="Arial" w:cs="Arial"/>
          <w:color w:val="auto"/>
          <w:kern w:val="0"/>
          <w:szCs w:val="21"/>
          <w:highlight w:val="none"/>
        </w:rPr>
        <w:tab/>
      </w:r>
      <w:r>
        <w:rPr>
          <w:rFonts w:ascii="Arial" w:hAnsi="Arial" w:cs="Arial"/>
          <w:color w:val="auto"/>
          <w:kern w:val="0"/>
          <w:szCs w:val="21"/>
          <w:highlight w:val="none"/>
        </w:rPr>
        <w:t>日期：</w:t>
      </w:r>
    </w:p>
    <w:p>
      <w:pPr>
        <w:rPr>
          <w:rFonts w:ascii="Arial" w:hAnsi="Arial" w:cs="Arial"/>
          <w:color w:val="auto"/>
          <w:highlight w:val="none"/>
        </w:rPr>
      </w:pPr>
    </w:p>
    <w:p>
      <w:pPr>
        <w:rPr>
          <w:rFonts w:ascii="Arial" w:hAnsi="Arial" w:cs="Arial"/>
          <w:color w:val="auto"/>
          <w:highlight w:val="none"/>
        </w:rPr>
      </w:pPr>
      <w:r>
        <w:rPr>
          <w:rFonts w:ascii="Arial" w:hAnsi="Arial" w:cs="Arial"/>
          <w:color w:val="auto"/>
          <w:highlight w:val="none"/>
        </w:rPr>
        <w:br w:type="page"/>
      </w:r>
    </w:p>
    <w:p>
      <w:pPr>
        <w:jc w:val="center"/>
        <w:rPr>
          <w:rFonts w:ascii="Arial" w:hAnsi="Arial" w:cs="Arial"/>
          <w:b/>
          <w:color w:val="auto"/>
          <w:sz w:val="36"/>
          <w:szCs w:val="36"/>
          <w:highlight w:val="none"/>
        </w:rPr>
      </w:pPr>
      <w:r>
        <w:rPr>
          <w:rFonts w:ascii="Arial" w:hAnsi="Arial" w:cs="Arial"/>
          <w:b/>
          <w:color w:val="auto"/>
          <w:sz w:val="36"/>
          <w:szCs w:val="36"/>
          <w:highlight w:val="none"/>
        </w:rPr>
        <w:t>算术复核表</w:t>
      </w:r>
    </w:p>
    <w:p>
      <w:pPr>
        <w:rPr>
          <w:rFonts w:ascii="Arial" w:hAnsi="Arial" w:cs="Arial"/>
          <w:color w:val="auto"/>
          <w:szCs w:val="21"/>
          <w:highlight w:val="none"/>
        </w:rPr>
      </w:pPr>
      <w:r>
        <w:rPr>
          <w:rFonts w:ascii="Arial" w:hAnsi="Arial" w:cs="Arial"/>
          <w:color w:val="auto"/>
          <w:szCs w:val="21"/>
          <w:highlight w:val="none"/>
        </w:rPr>
        <w:t>工程名称：</w:t>
      </w:r>
    </w:p>
    <w:tbl>
      <w:tblPr>
        <w:tblStyle w:val="5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b/>
                <w:color w:val="auto"/>
                <w:sz w:val="28"/>
                <w:szCs w:val="28"/>
                <w:highlight w:val="none"/>
              </w:rPr>
            </w:pPr>
            <w:r>
              <w:rPr>
                <w:rFonts w:ascii="Arial" w:hAnsi="Arial" w:cs="Arial"/>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b/>
                <w:color w:val="auto"/>
                <w:sz w:val="28"/>
                <w:szCs w:val="28"/>
                <w:highlight w:val="none"/>
              </w:rPr>
            </w:pPr>
            <w:r>
              <w:rPr>
                <w:rFonts w:ascii="Arial" w:hAnsi="Arial" w:cs="Arial"/>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b/>
                <w:color w:val="auto"/>
                <w:sz w:val="28"/>
                <w:szCs w:val="28"/>
                <w:highlight w:val="none"/>
              </w:rPr>
            </w:pPr>
            <w:r>
              <w:rPr>
                <w:rFonts w:ascii="Arial" w:hAnsi="Arial" w:cs="Arial"/>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b/>
                <w:color w:val="auto"/>
                <w:sz w:val="28"/>
                <w:szCs w:val="28"/>
                <w:highlight w:val="none"/>
              </w:rPr>
            </w:pPr>
            <w:r>
              <w:rPr>
                <w:rFonts w:ascii="Arial" w:hAnsi="Arial" w:cs="Arial"/>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b/>
                <w:color w:val="auto"/>
                <w:sz w:val="28"/>
                <w:szCs w:val="28"/>
                <w:highlight w:val="none"/>
              </w:rPr>
            </w:pPr>
            <w:r>
              <w:rPr>
                <w:rFonts w:ascii="Arial" w:hAnsi="Arial" w:cs="Arial"/>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color w:val="auto"/>
                <w:sz w:val="36"/>
                <w:szCs w:val="36"/>
                <w:highlight w:val="none"/>
              </w:rPr>
            </w:pPr>
          </w:p>
        </w:tc>
      </w:tr>
    </w:tbl>
    <w:p>
      <w:pPr>
        <w:rPr>
          <w:rFonts w:ascii="Arial" w:hAnsi="Arial" w:cs="Arial"/>
          <w:color w:val="auto"/>
          <w:szCs w:val="21"/>
          <w:highlight w:val="none"/>
        </w:rPr>
      </w:pPr>
      <w:r>
        <w:rPr>
          <w:rFonts w:ascii="Arial" w:hAnsi="Arial" w:cs="Arial"/>
          <w:color w:val="auto"/>
          <w:szCs w:val="21"/>
          <w:highlight w:val="none"/>
        </w:rPr>
        <w:t>评委签名：</w:t>
      </w:r>
    </w:p>
    <w:p>
      <w:pPr>
        <w:spacing w:line="360" w:lineRule="auto"/>
        <w:jc w:val="center"/>
        <w:rPr>
          <w:rFonts w:ascii="Arial" w:hAnsi="Arial" w:cs="Arial"/>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134" w:right="1247" w:bottom="1418" w:left="1134" w:header="851" w:footer="907" w:gutter="0"/>
          <w:cols w:space="425" w:num="1"/>
          <w:titlePg/>
          <w:docGrid w:type="lines" w:linePitch="312" w:charSpace="0"/>
        </w:sectPr>
      </w:pPr>
    </w:p>
    <w:p>
      <w:pPr>
        <w:pStyle w:val="3"/>
        <w:rPr>
          <w:rFonts w:cs="Arial"/>
          <w:color w:val="auto"/>
          <w:highlight w:val="none"/>
        </w:rPr>
      </w:pPr>
      <w:bookmarkStart w:id="43" w:name="_Toc2272566"/>
      <w:bookmarkStart w:id="44" w:name="_Toc101266300"/>
      <w:r>
        <w:rPr>
          <w:rFonts w:cs="Arial"/>
          <w:color w:val="auto"/>
          <w:highlight w:val="none"/>
        </w:rPr>
        <w:t>第三章  合同条款</w:t>
      </w:r>
      <w:bookmarkEnd w:id="43"/>
      <w:bookmarkEnd w:id="44"/>
    </w:p>
    <w:p>
      <w:pPr>
        <w:jc w:val="center"/>
        <w:rPr>
          <w:rFonts w:ascii="Arial" w:hAnsi="Arial" w:cs="Arial"/>
          <w:b/>
          <w:color w:val="auto"/>
          <w:sz w:val="24"/>
          <w:szCs w:val="24"/>
          <w:highlight w:val="none"/>
        </w:rPr>
      </w:pPr>
      <w:r>
        <w:rPr>
          <w:rFonts w:ascii="Arial" w:hAnsi="Arial" w:cs="Arial"/>
          <w:color w:val="auto"/>
          <w:sz w:val="24"/>
          <w:szCs w:val="24"/>
          <w:highlight w:val="none"/>
        </w:rPr>
        <w:t>另册。</w:t>
      </w:r>
    </w:p>
    <w:p>
      <w:pPr>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53"/>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p>
    <w:p>
      <w:pPr>
        <w:pStyle w:val="2"/>
        <w:spacing w:line="360" w:lineRule="auto"/>
        <w:rPr>
          <w:rFonts w:ascii="Arial" w:hAnsi="Arial" w:cs="Arial"/>
          <w:color w:val="auto"/>
          <w:sz w:val="24"/>
          <w:szCs w:val="24"/>
          <w:highlight w:val="none"/>
        </w:rPr>
      </w:pPr>
      <w:r>
        <w:rPr>
          <w:rFonts w:ascii="Arial" w:hAnsi="Arial" w:cs="Arial"/>
          <w:color w:val="auto"/>
          <w:sz w:val="24"/>
          <w:szCs w:val="24"/>
          <w:highlight w:val="none"/>
        </w:rPr>
        <w:br w:type="page"/>
      </w:r>
    </w:p>
    <w:p>
      <w:pPr>
        <w:pStyle w:val="3"/>
        <w:rPr>
          <w:rFonts w:cs="Arial"/>
          <w:color w:val="auto"/>
          <w:highlight w:val="none"/>
        </w:rPr>
      </w:pPr>
      <w:bookmarkStart w:id="45" w:name="_Toc101266301"/>
      <w:bookmarkStart w:id="46" w:name="_Toc2272567"/>
      <w:r>
        <w:rPr>
          <w:rFonts w:cs="Arial"/>
          <w:color w:val="auto"/>
          <w:highlight w:val="none"/>
        </w:rPr>
        <w:t>第四章  投标文件格式</w:t>
      </w:r>
      <w:bookmarkEnd w:id="45"/>
      <w:bookmarkEnd w:id="46"/>
    </w:p>
    <w:p>
      <w:pPr>
        <w:autoSpaceDE w:val="0"/>
        <w:autoSpaceDN w:val="0"/>
        <w:adjustRightInd w:val="0"/>
        <w:rPr>
          <w:rFonts w:ascii="Arial" w:hAnsi="Arial" w:cs="Arial"/>
          <w:bCs/>
          <w:color w:val="auto"/>
          <w:szCs w:val="21"/>
          <w:highlight w:val="none"/>
        </w:rPr>
      </w:pPr>
      <w:r>
        <w:rPr>
          <w:rFonts w:ascii="Arial" w:hAnsi="Arial" w:cs="Arial"/>
          <w:bCs/>
          <w:color w:val="auto"/>
          <w:szCs w:val="21"/>
          <w:highlight w:val="none"/>
        </w:rPr>
        <w:t>附件一</w:t>
      </w:r>
    </w:p>
    <w:p>
      <w:pPr>
        <w:spacing w:line="360" w:lineRule="auto"/>
        <w:jc w:val="center"/>
        <w:rPr>
          <w:rFonts w:ascii="Arial" w:hAnsi="Arial" w:cs="Arial"/>
          <w:b/>
          <w:color w:val="auto"/>
          <w:sz w:val="36"/>
          <w:szCs w:val="36"/>
          <w:highlight w:val="none"/>
        </w:rPr>
      </w:pPr>
      <w:r>
        <w:rPr>
          <w:rFonts w:ascii="Arial" w:hAnsi="Arial" w:cs="Arial"/>
          <w:b/>
          <w:color w:val="auto"/>
          <w:sz w:val="36"/>
          <w:szCs w:val="36"/>
          <w:highlight w:val="none"/>
        </w:rPr>
        <w:t>投  标  函</w:t>
      </w:r>
    </w:p>
    <w:p>
      <w:pPr>
        <w:spacing w:line="360" w:lineRule="auto"/>
        <w:rPr>
          <w:rFonts w:ascii="Arial" w:hAnsi="Arial" w:cs="Arial"/>
          <w:b/>
          <w:color w:val="auto"/>
          <w:szCs w:val="21"/>
          <w:highlight w:val="none"/>
        </w:rPr>
      </w:pPr>
      <w:r>
        <w:rPr>
          <w:rFonts w:ascii="Arial" w:hAnsi="Arial" w:cs="Arial"/>
          <w:b/>
          <w:color w:val="auto"/>
          <w:szCs w:val="21"/>
          <w:highlight w:val="none"/>
        </w:rPr>
        <w:t>致：</w:t>
      </w:r>
      <w:r>
        <w:rPr>
          <w:rFonts w:ascii="Arial" w:hAnsi="Arial" w:cs="Arial"/>
          <w:b/>
          <w:color w:val="auto"/>
          <w:szCs w:val="21"/>
          <w:highlight w:val="none"/>
          <w:u w:val="single"/>
        </w:rPr>
        <w:t xml:space="preserve">(招标人名称)                              </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1.根据已收到贵方的</w:t>
      </w:r>
      <w:r>
        <w:rPr>
          <w:rFonts w:ascii="Arial" w:hAnsi="Arial" w:cs="Arial"/>
          <w:b/>
          <w:color w:val="auto"/>
          <w:szCs w:val="21"/>
          <w:highlight w:val="none"/>
        </w:rPr>
        <w:t>项目编号为</w:t>
      </w:r>
      <w:r>
        <w:rPr>
          <w:rFonts w:ascii="Arial" w:hAnsi="Arial" w:cs="Arial"/>
          <w:b/>
          <w:color w:val="auto"/>
          <w:szCs w:val="21"/>
          <w:highlight w:val="none"/>
          <w:u w:val="single"/>
        </w:rPr>
        <w:t xml:space="preserve">           </w:t>
      </w:r>
      <w:r>
        <w:rPr>
          <w:rFonts w:ascii="Arial" w:hAnsi="Arial" w:cs="Arial"/>
          <w:b/>
          <w:color w:val="auto"/>
          <w:szCs w:val="21"/>
          <w:highlight w:val="none"/>
        </w:rPr>
        <w:t>的</w:t>
      </w:r>
      <w:r>
        <w:rPr>
          <w:rFonts w:ascii="Arial" w:hAnsi="Arial" w:cs="Arial"/>
          <w:b/>
          <w:color w:val="auto"/>
          <w:szCs w:val="21"/>
          <w:highlight w:val="none"/>
          <w:u w:val="single"/>
        </w:rPr>
        <w:t xml:space="preserve">          </w:t>
      </w:r>
      <w:r>
        <w:rPr>
          <w:rFonts w:ascii="Arial" w:hAnsi="Arial" w:cs="Arial"/>
          <w:b/>
          <w:color w:val="auto"/>
          <w:szCs w:val="21"/>
          <w:highlight w:val="none"/>
        </w:rPr>
        <w:t>工程的招标文件</w:t>
      </w:r>
      <w:r>
        <w:rPr>
          <w:rFonts w:ascii="Arial" w:hAnsi="Arial" w:cs="Arial"/>
          <w:color w:val="auto"/>
          <w:szCs w:val="21"/>
          <w:highlight w:val="none"/>
        </w:rPr>
        <w:t>，并已详细审核了全部招标文件及有关附件。</w:t>
      </w:r>
    </w:p>
    <w:p>
      <w:pPr>
        <w:snapToGrid w:val="0"/>
        <w:spacing w:line="360" w:lineRule="auto"/>
        <w:ind w:firstLine="457" w:firstLineChars="218"/>
        <w:rPr>
          <w:rFonts w:ascii="Arial" w:hAnsi="Arial" w:cs="Arial"/>
          <w:color w:val="auto"/>
          <w:szCs w:val="21"/>
          <w:highlight w:val="none"/>
        </w:rPr>
      </w:pPr>
      <w:r>
        <w:rPr>
          <w:rFonts w:ascii="Arial" w:hAnsi="Arial" w:cs="Arial"/>
          <w:color w:val="auto"/>
          <w:szCs w:val="21"/>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愿以经济标中的投标报价并按上述合同条款、标准和技术规范、图纸、工程量清单等的要求承包上述工程的施工、竣工并修补其任何缺陷。</w:t>
      </w:r>
    </w:p>
    <w:p>
      <w:pPr>
        <w:spacing w:line="360" w:lineRule="auto"/>
        <w:rPr>
          <w:rFonts w:ascii="Arial" w:hAnsi="Arial" w:cs="Arial"/>
          <w:color w:val="auto"/>
          <w:szCs w:val="21"/>
          <w:highlight w:val="none"/>
        </w:rPr>
      </w:pPr>
      <w:r>
        <w:rPr>
          <w:rFonts w:ascii="Arial" w:hAnsi="Arial" w:cs="Arial"/>
          <w:color w:val="auto"/>
          <w:szCs w:val="21"/>
          <w:highlight w:val="none"/>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pPr>
        <w:spacing w:line="360" w:lineRule="auto"/>
        <w:rPr>
          <w:rFonts w:ascii="Arial" w:hAnsi="Arial" w:cs="Arial"/>
          <w:color w:val="auto"/>
          <w:szCs w:val="21"/>
          <w:highlight w:val="none"/>
        </w:rPr>
      </w:pPr>
      <w:r>
        <w:rPr>
          <w:rFonts w:ascii="Arial" w:hAnsi="Arial" w:cs="Arial"/>
          <w:color w:val="auto"/>
          <w:szCs w:val="21"/>
          <w:highlight w:val="none"/>
        </w:rPr>
        <w:t xml:space="preserve">    4.我方理解贵方将不受必须接受你们所收到的最低标价或其它任何投标文件的约束。</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5.如果我方中标，我方保证按招标文件中规定的工期内完成并移交本工程，质量标准达到招标文件中的要求。</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6.如果我方中标，我方将按照规定递交由招标人认可，并在招标文件中规定金额的履约保函。</w:t>
      </w:r>
    </w:p>
    <w:p>
      <w:pPr>
        <w:spacing w:line="360" w:lineRule="auto"/>
        <w:ind w:firstLine="480"/>
        <w:rPr>
          <w:rFonts w:ascii="Arial" w:hAnsi="Arial" w:cs="Arial"/>
          <w:color w:val="auto"/>
          <w:szCs w:val="21"/>
          <w:highlight w:val="none"/>
        </w:rPr>
      </w:pPr>
      <w:r>
        <w:rPr>
          <w:rFonts w:ascii="Arial" w:hAnsi="Arial" w:cs="Arial"/>
          <w:color w:val="auto"/>
          <w:szCs w:val="21"/>
          <w:highlight w:val="none"/>
        </w:rPr>
        <w:t>7.除非另外达成协议并生效，贵方的中标通知书和本投标文件将成为约束双方的合同文件的组成部分。</w:t>
      </w:r>
    </w:p>
    <w:p>
      <w:pPr>
        <w:spacing w:line="360" w:lineRule="auto"/>
        <w:ind w:firstLine="480"/>
        <w:rPr>
          <w:rFonts w:ascii="Arial" w:hAnsi="Arial" w:cs="Arial"/>
          <w:color w:val="auto"/>
          <w:szCs w:val="21"/>
          <w:highlight w:val="none"/>
        </w:rPr>
      </w:pPr>
      <w:r>
        <w:rPr>
          <w:rFonts w:ascii="Arial" w:hAnsi="Arial" w:cs="Arial"/>
          <w:color w:val="auto"/>
          <w:szCs w:val="21"/>
          <w:highlight w:val="none"/>
        </w:rPr>
        <w:t>8、如果我方中标，我方将实行项目经理负责制，并按投标文件配备项目管理班子。我方承诺不随意更换项目负责人。</w:t>
      </w:r>
    </w:p>
    <w:p>
      <w:pPr>
        <w:pStyle w:val="53"/>
        <w:rPr>
          <w:rFonts w:ascii="Arial" w:hAnsi="Arial" w:cs="Arial"/>
          <w:color w:val="auto"/>
          <w:highlight w:val="none"/>
        </w:rPr>
      </w:pPr>
    </w:p>
    <w:p>
      <w:pPr>
        <w:spacing w:line="360" w:lineRule="auto"/>
        <w:rPr>
          <w:rFonts w:ascii="Arial" w:hAnsi="Arial" w:cs="Arial"/>
          <w:color w:val="auto"/>
          <w:szCs w:val="21"/>
          <w:highlight w:val="none"/>
        </w:rPr>
      </w:pPr>
      <w:r>
        <w:rPr>
          <w:rFonts w:ascii="Arial" w:hAnsi="Arial" w:cs="Arial"/>
          <w:color w:val="auto"/>
          <w:szCs w:val="21"/>
          <w:highlight w:val="none"/>
        </w:rPr>
        <w:t>法定代表人（签名或盖章）：</w:t>
      </w:r>
    </w:p>
    <w:p>
      <w:pPr>
        <w:spacing w:line="360" w:lineRule="auto"/>
        <w:rPr>
          <w:rFonts w:ascii="Arial" w:hAnsi="Arial" w:cs="Arial"/>
          <w:color w:val="auto"/>
          <w:szCs w:val="21"/>
          <w:highlight w:val="none"/>
          <w:u w:val="single"/>
        </w:rPr>
      </w:pPr>
      <w:r>
        <w:rPr>
          <w:rFonts w:ascii="Arial" w:hAnsi="Arial" w:cs="Arial"/>
          <w:color w:val="auto"/>
          <w:szCs w:val="21"/>
          <w:highlight w:val="none"/>
        </w:rPr>
        <w:t xml:space="preserve">投标人企业公章：                         日期：  </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p>
    <w:p>
      <w:pPr>
        <w:autoSpaceDE w:val="0"/>
        <w:autoSpaceDN w:val="0"/>
        <w:adjustRightInd w:val="0"/>
        <w:rPr>
          <w:rFonts w:ascii="Arial" w:hAnsi="Arial" w:cs="Arial"/>
          <w:bCs/>
          <w:color w:val="auto"/>
          <w:szCs w:val="21"/>
          <w:highlight w:val="none"/>
        </w:rPr>
      </w:pPr>
      <w:r>
        <w:rPr>
          <w:rFonts w:ascii="Arial" w:hAnsi="Arial" w:cs="Arial"/>
          <w:color w:val="auto"/>
          <w:highlight w:val="none"/>
        </w:rPr>
        <w:br w:type="page"/>
      </w:r>
      <w:r>
        <w:rPr>
          <w:rFonts w:ascii="Arial" w:hAnsi="Arial" w:cs="Arial"/>
          <w:bCs/>
          <w:color w:val="auto"/>
          <w:szCs w:val="21"/>
          <w:highlight w:val="none"/>
        </w:rPr>
        <w:t>附件二</w:t>
      </w:r>
    </w:p>
    <w:p>
      <w:pPr>
        <w:autoSpaceDE w:val="0"/>
        <w:autoSpaceDN w:val="0"/>
        <w:adjustRightInd w:val="0"/>
        <w:rPr>
          <w:rFonts w:ascii="Arial" w:hAnsi="Arial" w:cs="Arial"/>
          <w:b/>
          <w:bCs/>
          <w:color w:val="auto"/>
          <w:szCs w:val="21"/>
          <w:highlight w:val="none"/>
          <w:lang w:val="zh-CN"/>
        </w:rPr>
      </w:pPr>
      <w:r>
        <w:rPr>
          <w:rFonts w:ascii="Arial" w:hAnsi="Arial" w:cs="Arial"/>
          <w:bCs/>
          <w:color w:val="auto"/>
          <w:szCs w:val="21"/>
          <w:highlight w:val="none"/>
        </w:rPr>
        <w:t>（适用于技术标与经济标同时开启）</w:t>
      </w:r>
    </w:p>
    <w:p>
      <w:pPr>
        <w:autoSpaceDE w:val="0"/>
        <w:autoSpaceDN w:val="0"/>
        <w:adjustRightInd w:val="0"/>
        <w:ind w:left="-540" w:leftChars="-257" w:firstLine="1135" w:firstLineChars="257"/>
        <w:jc w:val="center"/>
        <w:rPr>
          <w:rFonts w:ascii="Arial" w:hAnsi="Arial" w:cs="Arial"/>
          <w:b/>
          <w:bCs/>
          <w:color w:val="auto"/>
          <w:sz w:val="44"/>
          <w:szCs w:val="44"/>
          <w:highlight w:val="none"/>
          <w:lang w:val="zh-CN"/>
        </w:rPr>
      </w:pPr>
    </w:p>
    <w:p>
      <w:pPr>
        <w:autoSpaceDE w:val="0"/>
        <w:autoSpaceDN w:val="0"/>
        <w:adjustRightInd w:val="0"/>
        <w:ind w:left="-540" w:leftChars="-257" w:firstLine="1135" w:firstLineChars="257"/>
        <w:jc w:val="center"/>
        <w:rPr>
          <w:rFonts w:ascii="Arial" w:hAnsi="Arial" w:cs="Arial"/>
          <w:b/>
          <w:bCs/>
          <w:color w:val="auto"/>
          <w:sz w:val="52"/>
          <w:szCs w:val="52"/>
          <w:highlight w:val="none"/>
        </w:rPr>
      </w:pPr>
      <w:r>
        <w:rPr>
          <w:rFonts w:ascii="Arial" w:hAnsi="Arial" w:cs="Arial"/>
          <w:b/>
          <w:bCs/>
          <w:color w:val="auto"/>
          <w:sz w:val="44"/>
          <w:szCs w:val="44"/>
          <w:highlight w:val="none"/>
          <w:lang w:val="zh-CN"/>
        </w:rPr>
        <w:t>广州建设工程施工招标投标书</w:t>
      </w:r>
    </w:p>
    <w:tbl>
      <w:tblPr>
        <w:tblStyle w:val="55"/>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b/>
                <w:bCs/>
                <w:color w:val="auto"/>
                <w:sz w:val="24"/>
                <w:szCs w:val="24"/>
                <w:highlight w:val="none"/>
                <w:lang w:val="zh-CN"/>
              </w:rPr>
            </w:pPr>
            <w:r>
              <w:rPr>
                <w:rFonts w:ascii="Arial" w:hAnsi="Arial" w:cs="Arial"/>
                <w:b/>
                <w:color w:val="auto"/>
                <w:sz w:val="24"/>
                <w:szCs w:val="24"/>
                <w:highlight w:val="none"/>
                <w:lang w:val="zh-CN"/>
              </w:rPr>
              <w:t>工 程 名 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b/>
                <w:bCs/>
                <w:color w:val="auto"/>
                <w:sz w:val="24"/>
                <w:szCs w:val="24"/>
                <w:highlight w:val="none"/>
                <w:lang w:val="zh-CN"/>
              </w:rPr>
            </w:pPr>
            <w:r>
              <w:rPr>
                <w:rFonts w:ascii="Arial" w:hAnsi="Arial" w:cs="Arial"/>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b/>
                <w:bCs/>
                <w:color w:val="auto"/>
                <w:sz w:val="24"/>
                <w:szCs w:val="24"/>
                <w:highlight w:val="none"/>
                <w:lang w:val="zh-CN"/>
              </w:rPr>
            </w:pPr>
            <w:r>
              <w:rPr>
                <w:rFonts w:ascii="Arial" w:hAnsi="Arial" w:cs="Arial"/>
                <w:b/>
                <w:color w:val="auto"/>
                <w:sz w:val="24"/>
                <w:szCs w:val="24"/>
                <w:highlight w:val="none"/>
                <w:lang w:val="zh-CN"/>
              </w:rPr>
              <w:t>其中：</w:t>
            </w:r>
            <w:r>
              <w:rPr>
                <w:rFonts w:ascii="Arial" w:hAnsi="Arial" w:cs="Arial"/>
                <w:b/>
                <w:bCs/>
                <w:color w:val="auto"/>
                <w:sz w:val="24"/>
                <w:szCs w:val="24"/>
                <w:highlight w:val="none"/>
                <w:lang w:val="zh-CN"/>
              </w:rPr>
              <w:t>人工费</w:t>
            </w:r>
            <w:r>
              <w:rPr>
                <w:rFonts w:ascii="Arial" w:hAnsi="Arial" w:cs="Arial"/>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b/>
                <w:bCs/>
                <w:color w:val="auto"/>
                <w:sz w:val="24"/>
                <w:szCs w:val="24"/>
                <w:highlight w:val="none"/>
                <w:lang w:val="zh-CN"/>
              </w:rPr>
            </w:pPr>
            <w:r>
              <w:rPr>
                <w:rFonts w:ascii="Arial" w:hAnsi="Arial" w:cs="Arial"/>
                <w:b/>
                <w:bCs/>
                <w:color w:val="auto"/>
                <w:sz w:val="24"/>
                <w:szCs w:val="24"/>
                <w:highlight w:val="none"/>
                <w:lang w:val="zh-CN"/>
              </w:rPr>
              <w:t>其中：</w:t>
            </w:r>
            <w:r>
              <w:rPr>
                <w:rFonts w:ascii="Arial" w:hAnsi="Arial" w:cs="Arial"/>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color w:val="auto"/>
                <w:sz w:val="24"/>
                <w:szCs w:val="24"/>
                <w:highlight w:val="none"/>
                <w:lang w:val="zh-CN"/>
              </w:rPr>
            </w:pPr>
            <w:r>
              <w:rPr>
                <w:rFonts w:ascii="Arial" w:hAnsi="Arial" w:cs="Arial"/>
                <w:b/>
                <w:color w:val="auto"/>
                <w:sz w:val="24"/>
                <w:szCs w:val="24"/>
                <w:highlight w:val="none"/>
                <w:lang w:val="zh-CN"/>
              </w:rPr>
              <w:t>投 标 总</w:t>
            </w:r>
            <w:r>
              <w:rPr>
                <w:rFonts w:hint="eastAsia" w:ascii="Arial" w:hAnsi="Arial" w:cs="Arial"/>
                <w:b/>
                <w:color w:val="auto"/>
                <w:sz w:val="24"/>
                <w:szCs w:val="24"/>
                <w:highlight w:val="none"/>
                <w:lang w:val="en-US" w:eastAsia="zh-CN"/>
              </w:rPr>
              <w:t xml:space="preserve"> </w:t>
            </w:r>
            <w:r>
              <w:rPr>
                <w:rFonts w:ascii="Arial" w:hAnsi="Arial" w:cs="Arial"/>
                <w:b/>
                <w:color w:val="auto"/>
                <w:sz w:val="24"/>
                <w:szCs w:val="24"/>
                <w:highlight w:val="none"/>
                <w:lang w:val="zh-CN"/>
              </w:rPr>
              <w:t>工 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color w:val="auto"/>
                <w:sz w:val="24"/>
                <w:szCs w:val="24"/>
                <w:highlight w:val="none"/>
              </w:rPr>
            </w:pPr>
            <w:r>
              <w:rPr>
                <w:rFonts w:ascii="Arial" w:hAnsi="Arial" w:cs="Arial"/>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Arial" w:hAnsi="Arial" w:cs="Arial"/>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0" w:firstLineChars="0"/>
              <w:jc w:val="center"/>
              <w:rPr>
                <w:rFonts w:ascii="Arial" w:hAnsi="Arial" w:cs="Arial"/>
                <w:b/>
                <w:bCs/>
                <w:color w:val="auto"/>
                <w:sz w:val="24"/>
                <w:szCs w:val="24"/>
                <w:highlight w:val="none"/>
                <w:lang w:val="zh-CN"/>
              </w:rPr>
            </w:pPr>
            <w:r>
              <w:rPr>
                <w:rFonts w:ascii="Arial" w:hAnsi="Arial" w:cs="Arial"/>
                <w:b/>
                <w:color w:val="auto"/>
                <w:sz w:val="24"/>
                <w:szCs w:val="24"/>
                <w:highlight w:val="none"/>
                <w:lang w:val="zh-CN"/>
              </w:rPr>
              <w:t>保 修 期 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Arial" w:hAnsi="Arial" w:cs="Arial"/>
                <w:b/>
                <w:bCs/>
                <w:color w:val="auto"/>
                <w:sz w:val="24"/>
                <w:szCs w:val="24"/>
                <w:highlight w:val="none"/>
                <w:lang w:val="zh-CN"/>
              </w:rPr>
            </w:pPr>
          </w:p>
        </w:tc>
      </w:tr>
    </w:tbl>
    <w:p>
      <w:pPr>
        <w:tabs>
          <w:tab w:val="left" w:pos="720"/>
        </w:tabs>
        <w:snapToGrid w:val="0"/>
        <w:spacing w:line="360" w:lineRule="auto"/>
        <w:rPr>
          <w:rFonts w:ascii="Arial" w:hAnsi="Arial" w:cs="Arial"/>
          <w:color w:val="auto"/>
          <w:sz w:val="24"/>
          <w:szCs w:val="24"/>
          <w:highlight w:val="none"/>
        </w:rPr>
      </w:pPr>
    </w:p>
    <w:tbl>
      <w:tblPr>
        <w:tblStyle w:val="55"/>
        <w:tblW w:w="9008" w:type="dxa"/>
        <w:tblInd w:w="0"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pPr>
              <w:widowControl/>
              <w:spacing w:line="360" w:lineRule="auto"/>
              <w:jc w:val="left"/>
              <w:rPr>
                <w:rFonts w:ascii="Arial" w:hAnsi="Arial" w:cs="Arial"/>
                <w:color w:val="auto"/>
                <w:kern w:val="0"/>
                <w:sz w:val="28"/>
                <w:szCs w:val="28"/>
                <w:highlight w:val="none"/>
              </w:rPr>
            </w:pPr>
            <w:r>
              <w:rPr>
                <w:rFonts w:ascii="Arial" w:hAnsi="Arial" w:cs="Arial"/>
                <w:color w:val="auto"/>
                <w:kern w:val="0"/>
                <w:sz w:val="28"/>
                <w:szCs w:val="28"/>
                <w:highlight w:val="none"/>
              </w:rPr>
              <w:t xml:space="preserve">                                                                                             </w:t>
            </w:r>
          </w:p>
        </w:tc>
      </w:tr>
    </w:tbl>
    <w:p>
      <w:pPr>
        <w:autoSpaceDE w:val="0"/>
        <w:autoSpaceDN w:val="0"/>
        <w:adjustRightInd w:val="0"/>
        <w:rPr>
          <w:rFonts w:ascii="Arial" w:hAnsi="Arial" w:cs="Arial"/>
          <w:color w:val="auto"/>
          <w:szCs w:val="21"/>
          <w:highlight w:val="none"/>
        </w:rPr>
      </w:pPr>
      <w:r>
        <w:rPr>
          <w:rFonts w:ascii="Arial" w:hAnsi="Arial" w:cs="Arial"/>
          <w:color w:val="auto"/>
          <w:sz w:val="24"/>
          <w:szCs w:val="24"/>
          <w:highlight w:val="none"/>
        </w:rPr>
        <w:br w:type="page"/>
      </w:r>
    </w:p>
    <w:p>
      <w:pPr>
        <w:autoSpaceDE w:val="0"/>
        <w:autoSpaceDN w:val="0"/>
        <w:adjustRightInd w:val="0"/>
        <w:rPr>
          <w:rFonts w:ascii="Arial" w:hAnsi="Arial" w:cs="Arial"/>
          <w:color w:val="auto"/>
          <w:szCs w:val="21"/>
          <w:highlight w:val="none"/>
        </w:rPr>
      </w:pPr>
      <w:r>
        <w:rPr>
          <w:rFonts w:ascii="Arial" w:hAnsi="Arial" w:cs="Arial"/>
          <w:color w:val="auto"/>
          <w:szCs w:val="21"/>
          <w:highlight w:val="none"/>
        </w:rPr>
        <w:t>附件三</w:t>
      </w:r>
    </w:p>
    <w:p>
      <w:pPr>
        <w:tabs>
          <w:tab w:val="left" w:pos="720"/>
        </w:tabs>
        <w:snapToGrid w:val="0"/>
        <w:spacing w:line="360" w:lineRule="auto"/>
        <w:jc w:val="center"/>
        <w:rPr>
          <w:rFonts w:ascii="Arial" w:hAnsi="Arial" w:cs="Arial"/>
          <w:b/>
          <w:color w:val="auto"/>
          <w:sz w:val="32"/>
          <w:szCs w:val="32"/>
          <w:highlight w:val="none"/>
        </w:rPr>
      </w:pPr>
      <w:r>
        <w:rPr>
          <w:rFonts w:ascii="Arial" w:hAnsi="Arial" w:cs="Arial"/>
          <w:b/>
          <w:color w:val="auto"/>
          <w:sz w:val="32"/>
          <w:szCs w:val="32"/>
          <w:highlight w:val="none"/>
        </w:rPr>
        <w:t>投标文件编制人员名单</w:t>
      </w:r>
    </w:p>
    <w:p>
      <w:pPr>
        <w:tabs>
          <w:tab w:val="left" w:pos="720"/>
        </w:tabs>
        <w:snapToGrid w:val="0"/>
        <w:spacing w:line="360" w:lineRule="auto"/>
        <w:rPr>
          <w:rFonts w:ascii="Arial" w:hAnsi="Arial" w:cs="Arial"/>
          <w:color w:val="auto"/>
          <w:sz w:val="24"/>
          <w:szCs w:val="24"/>
          <w:highlight w:val="none"/>
        </w:rPr>
      </w:pPr>
    </w:p>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一、参与编制技术标投标文件人员名单</w:t>
      </w:r>
    </w:p>
    <w:tbl>
      <w:tblPr>
        <w:tblStyle w:val="5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bl>
    <w:p>
      <w:pPr>
        <w:tabs>
          <w:tab w:val="left" w:pos="720"/>
        </w:tabs>
        <w:snapToGrid w:val="0"/>
        <w:spacing w:line="360" w:lineRule="auto"/>
        <w:rPr>
          <w:rFonts w:ascii="Arial" w:hAnsi="Arial" w:cs="Arial"/>
          <w:color w:val="auto"/>
          <w:sz w:val="24"/>
          <w:szCs w:val="24"/>
          <w:highlight w:val="none"/>
        </w:rPr>
      </w:pPr>
    </w:p>
    <w:p>
      <w:pPr>
        <w:tabs>
          <w:tab w:val="left" w:pos="720"/>
        </w:tabs>
        <w:snapToGrid w:val="0"/>
        <w:spacing w:line="360" w:lineRule="auto"/>
        <w:rPr>
          <w:rFonts w:ascii="Arial" w:hAnsi="Arial" w:cs="Arial"/>
          <w:color w:val="auto"/>
          <w:sz w:val="24"/>
          <w:szCs w:val="24"/>
          <w:highlight w:val="none"/>
        </w:rPr>
      </w:pPr>
    </w:p>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二、参与编制经济标投标文件人员名单</w:t>
      </w:r>
    </w:p>
    <w:tbl>
      <w:tblPr>
        <w:tblStyle w:val="5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r>
              <w:rPr>
                <w:rFonts w:ascii="Arial" w:hAnsi="Arial" w:cs="Arial"/>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color w:val="auto"/>
                <w:szCs w:val="21"/>
                <w:highlight w:val="none"/>
              </w:rPr>
            </w:pPr>
          </w:p>
        </w:tc>
      </w:tr>
    </w:tbl>
    <w:p>
      <w:pPr>
        <w:tabs>
          <w:tab w:val="left" w:pos="720"/>
        </w:tabs>
        <w:snapToGrid w:val="0"/>
        <w:spacing w:line="360" w:lineRule="auto"/>
        <w:rPr>
          <w:rFonts w:ascii="Arial" w:hAnsi="Arial" w:cs="Arial"/>
          <w:color w:val="auto"/>
          <w:sz w:val="24"/>
          <w:szCs w:val="24"/>
          <w:highlight w:val="none"/>
        </w:rPr>
      </w:pPr>
    </w:p>
    <w:p>
      <w:pPr>
        <w:pStyle w:val="53"/>
        <w:spacing w:after="0" w:line="360" w:lineRule="auto"/>
        <w:ind w:left="-2" w:leftChars="-1" w:firstLine="367" w:firstLineChars="175"/>
        <w:jc w:val="left"/>
        <w:rPr>
          <w:rFonts w:ascii="Arial" w:hAnsi="Arial" w:cs="Arial"/>
          <w:color w:val="auto"/>
          <w:szCs w:val="21"/>
          <w:highlight w:val="none"/>
        </w:rPr>
      </w:pPr>
      <w:r>
        <w:rPr>
          <w:rFonts w:ascii="Arial" w:hAnsi="Arial" w:cs="Arial"/>
          <w:color w:val="auto"/>
          <w:szCs w:val="21"/>
          <w:highlight w:val="none"/>
        </w:rPr>
        <w:t>注：参与编制投标文件所有人员名单应包括如编制技术投标方案、编制各种专业工程量清单投标报价、负责清样校对、负责打印及复印等所有人员在内的人员名单。</w:t>
      </w:r>
    </w:p>
    <w:p>
      <w:pPr>
        <w:pStyle w:val="53"/>
        <w:spacing w:after="0" w:line="360" w:lineRule="auto"/>
        <w:ind w:left="-2" w:leftChars="-1" w:firstLineChars="175"/>
        <w:jc w:val="center"/>
        <w:rPr>
          <w:rFonts w:ascii="Arial" w:hAnsi="Arial" w:cs="Arial"/>
          <w:color w:val="auto"/>
          <w:sz w:val="24"/>
          <w:szCs w:val="24"/>
          <w:highlight w:val="none"/>
        </w:rPr>
      </w:pPr>
    </w:p>
    <w:p>
      <w:pPr>
        <w:autoSpaceDE w:val="0"/>
        <w:autoSpaceDN w:val="0"/>
        <w:adjustRightInd w:val="0"/>
        <w:rPr>
          <w:rFonts w:ascii="Arial" w:hAnsi="Arial" w:cs="Arial"/>
          <w:color w:val="auto"/>
          <w:szCs w:val="21"/>
          <w:highlight w:val="none"/>
        </w:rPr>
      </w:pPr>
      <w:r>
        <w:rPr>
          <w:rFonts w:ascii="Arial" w:hAnsi="Arial" w:cs="Arial"/>
          <w:color w:val="auto"/>
          <w:szCs w:val="21"/>
          <w:highlight w:val="none"/>
        </w:rPr>
        <w:t>附件四</w:t>
      </w:r>
    </w:p>
    <w:p>
      <w:pPr>
        <w:pStyle w:val="53"/>
        <w:spacing w:after="0" w:line="360" w:lineRule="auto"/>
        <w:ind w:firstLine="0"/>
        <w:jc w:val="center"/>
        <w:rPr>
          <w:rFonts w:ascii="Arial" w:hAnsi="Arial" w:cs="Arial"/>
          <w:color w:val="auto"/>
          <w:sz w:val="32"/>
          <w:szCs w:val="32"/>
          <w:highlight w:val="none"/>
        </w:rPr>
      </w:pPr>
      <w:r>
        <w:rPr>
          <w:rFonts w:ascii="Arial" w:hAnsi="Arial" w:cs="Arial"/>
          <w:b/>
          <w:color w:val="auto"/>
          <w:sz w:val="32"/>
          <w:szCs w:val="32"/>
          <w:highlight w:val="none"/>
        </w:rPr>
        <w:t>对投标文件编制的承诺</w:t>
      </w:r>
    </w:p>
    <w:p>
      <w:pPr>
        <w:pStyle w:val="53"/>
        <w:spacing w:after="0" w:line="360" w:lineRule="auto"/>
        <w:ind w:left="-2" w:leftChars="-1" w:firstLine="540" w:firstLineChars="225"/>
        <w:rPr>
          <w:rFonts w:ascii="Arial" w:hAnsi="Arial" w:cs="Arial"/>
          <w:color w:val="auto"/>
          <w:sz w:val="24"/>
          <w:szCs w:val="24"/>
          <w:highlight w:val="none"/>
        </w:rPr>
      </w:pPr>
      <w:r>
        <w:rPr>
          <w:rFonts w:ascii="Arial" w:hAnsi="Arial" w:cs="Arial"/>
          <w:color w:val="auto"/>
          <w:sz w:val="24"/>
          <w:szCs w:val="24"/>
          <w:highlight w:val="none"/>
        </w:rPr>
        <w:t>本公司授权</w:t>
      </w:r>
      <w:r>
        <w:rPr>
          <w:rFonts w:ascii="Arial" w:hAnsi="Arial" w:cs="Arial"/>
          <w:color w:val="auto"/>
          <w:sz w:val="24"/>
          <w:szCs w:val="24"/>
          <w:highlight w:val="none"/>
          <w:u w:val="single"/>
        </w:rPr>
        <w:t xml:space="preserve">         （身份证号：               ）</w:t>
      </w:r>
      <w:r>
        <w:rPr>
          <w:rFonts w:ascii="Arial" w:hAnsi="Arial" w:cs="Arial"/>
          <w:color w:val="auto"/>
          <w:sz w:val="24"/>
          <w:szCs w:val="24"/>
          <w:highlight w:val="none"/>
        </w:rPr>
        <w:t>负责对投标文件的编制及内容进行解释、说明，并承诺以下事项：</w:t>
      </w:r>
    </w:p>
    <w:p>
      <w:pPr>
        <w:pStyle w:val="53"/>
        <w:spacing w:after="0" w:line="360" w:lineRule="auto"/>
        <w:ind w:left="-2" w:leftChars="-1" w:firstLine="540" w:firstLineChars="225"/>
        <w:rPr>
          <w:rFonts w:ascii="Arial" w:hAnsi="Arial" w:cs="Arial"/>
          <w:color w:val="auto"/>
          <w:sz w:val="24"/>
          <w:szCs w:val="24"/>
          <w:highlight w:val="none"/>
        </w:rPr>
      </w:pPr>
      <w:r>
        <w:rPr>
          <w:rFonts w:ascii="Arial" w:hAnsi="Arial" w:cs="Arial"/>
          <w:color w:val="auto"/>
          <w:sz w:val="24"/>
          <w:szCs w:val="24"/>
          <w:highlight w:val="none"/>
        </w:rPr>
        <w:t>1.被授权人清楚投标文件编制的具体情况，包括技术方案文件、工程量清单、以及投标文件的加密打包的理解；</w:t>
      </w:r>
    </w:p>
    <w:p>
      <w:pPr>
        <w:pStyle w:val="53"/>
        <w:spacing w:after="0" w:line="360" w:lineRule="auto"/>
        <w:ind w:left="-2" w:leftChars="-1" w:firstLine="540" w:firstLineChars="225"/>
        <w:rPr>
          <w:rFonts w:ascii="Arial" w:hAnsi="Arial" w:cs="Arial"/>
          <w:color w:val="auto"/>
          <w:sz w:val="24"/>
          <w:szCs w:val="24"/>
          <w:highlight w:val="none"/>
        </w:rPr>
      </w:pPr>
      <w:r>
        <w:rPr>
          <w:rFonts w:ascii="Arial" w:hAnsi="Arial" w:cs="Arial"/>
          <w:color w:val="auto"/>
          <w:sz w:val="24"/>
          <w:szCs w:val="24"/>
          <w:highlight w:val="none"/>
        </w:rPr>
        <w:t>2.在本项目开标至评标结束前，努力确保被授权人在项目评标所在地附近；</w:t>
      </w:r>
    </w:p>
    <w:p>
      <w:pPr>
        <w:pStyle w:val="53"/>
        <w:spacing w:after="0" w:line="360" w:lineRule="auto"/>
        <w:ind w:left="-2" w:leftChars="-1" w:firstLine="540" w:firstLineChars="225"/>
        <w:rPr>
          <w:rFonts w:ascii="Arial" w:hAnsi="Arial" w:cs="Arial"/>
          <w:color w:val="auto"/>
          <w:sz w:val="24"/>
          <w:szCs w:val="24"/>
          <w:highlight w:val="none"/>
        </w:rPr>
      </w:pPr>
      <w:r>
        <w:rPr>
          <w:rFonts w:ascii="Arial" w:hAnsi="Arial" w:cs="Arial"/>
          <w:color w:val="auto"/>
          <w:sz w:val="24"/>
          <w:szCs w:val="24"/>
          <w:highlight w:val="none"/>
        </w:rPr>
        <w:t>3.从评标委员会要求澄清起二小时内，被授权人应如实地书面澄清。</w:t>
      </w:r>
    </w:p>
    <w:p>
      <w:pPr>
        <w:pStyle w:val="53"/>
        <w:spacing w:after="0" w:line="360" w:lineRule="auto"/>
        <w:ind w:left="-2" w:leftChars="-1" w:firstLine="540" w:firstLineChars="225"/>
        <w:rPr>
          <w:rFonts w:ascii="Arial" w:hAnsi="Arial" w:cs="Arial"/>
          <w:color w:val="auto"/>
          <w:sz w:val="24"/>
          <w:szCs w:val="24"/>
          <w:highlight w:val="none"/>
        </w:rPr>
      </w:pPr>
      <w:r>
        <w:rPr>
          <w:rFonts w:ascii="Arial" w:hAnsi="Arial" w:cs="Arial"/>
          <w:color w:val="auto"/>
          <w:sz w:val="24"/>
          <w:szCs w:val="24"/>
          <w:highlight w:val="none"/>
        </w:rPr>
        <w:t xml:space="preserve">如由于未遵守上述承诺内容之一导致无法进行澄清的，我公司认可和接受评标委员会作出的评审结论。                                 </w:t>
      </w:r>
    </w:p>
    <w:p>
      <w:pPr>
        <w:pStyle w:val="53"/>
        <w:spacing w:after="0" w:line="360" w:lineRule="auto"/>
        <w:ind w:firstLine="360" w:firstLineChars="150"/>
        <w:rPr>
          <w:rFonts w:ascii="Arial" w:hAnsi="Arial" w:cs="Arial"/>
          <w:color w:val="auto"/>
          <w:sz w:val="24"/>
          <w:szCs w:val="24"/>
          <w:highlight w:val="none"/>
        </w:rPr>
      </w:pPr>
      <w:r>
        <w:rPr>
          <w:rFonts w:ascii="Arial" w:hAnsi="Arial" w:cs="Arial"/>
          <w:color w:val="auto"/>
          <w:sz w:val="24"/>
          <w:szCs w:val="24"/>
          <w:highlight w:val="none"/>
        </w:rPr>
        <w:t xml:space="preserve"> </w:t>
      </w:r>
    </w:p>
    <w:p>
      <w:pPr>
        <w:pStyle w:val="53"/>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附件：《投标文件编制情况》</w:t>
      </w:r>
    </w:p>
    <w:p>
      <w:pPr>
        <w:spacing w:line="360" w:lineRule="auto"/>
        <w:ind w:right="90" w:firstLine="3240" w:firstLineChars="1350"/>
        <w:rPr>
          <w:rFonts w:ascii="Arial" w:hAnsi="Arial" w:cs="Arial"/>
          <w:color w:val="auto"/>
          <w:sz w:val="24"/>
          <w:szCs w:val="24"/>
          <w:highlight w:val="none"/>
          <w:u w:val="single"/>
        </w:rPr>
      </w:pPr>
      <w:r>
        <w:rPr>
          <w:rFonts w:ascii="Arial" w:hAnsi="Arial" w:cs="Arial"/>
          <w:color w:val="auto"/>
          <w:sz w:val="24"/>
          <w:szCs w:val="24"/>
          <w:highlight w:val="none"/>
        </w:rPr>
        <w:t xml:space="preserve"> 投标人名称（盖法人公章）：</w:t>
      </w:r>
      <w:r>
        <w:rPr>
          <w:rFonts w:ascii="Arial" w:hAnsi="Arial" w:cs="Arial"/>
          <w:color w:val="auto"/>
          <w:sz w:val="24"/>
          <w:szCs w:val="24"/>
          <w:highlight w:val="none"/>
          <w:u w:val="single"/>
        </w:rPr>
        <w:t xml:space="preserve">                  </w:t>
      </w:r>
    </w:p>
    <w:p>
      <w:pPr>
        <w:spacing w:line="360" w:lineRule="auto"/>
        <w:ind w:firstLine="2160" w:firstLineChars="900"/>
        <w:rPr>
          <w:rFonts w:ascii="Arial" w:hAnsi="Arial" w:cs="Arial"/>
          <w:color w:val="auto"/>
          <w:sz w:val="24"/>
          <w:szCs w:val="24"/>
          <w:highlight w:val="none"/>
          <w:u w:val="single"/>
        </w:rPr>
      </w:pPr>
      <w:r>
        <w:rPr>
          <w:rFonts w:ascii="Arial" w:hAnsi="Arial" w:cs="Arial"/>
          <w:color w:val="auto"/>
          <w:sz w:val="24"/>
          <w:szCs w:val="24"/>
          <w:highlight w:val="none"/>
        </w:rPr>
        <w:t>法定代表人或被授权人（签字或盖章）：</w:t>
      </w:r>
      <w:r>
        <w:rPr>
          <w:rFonts w:ascii="Arial" w:hAnsi="Arial" w:cs="Arial"/>
          <w:color w:val="auto"/>
          <w:sz w:val="24"/>
          <w:szCs w:val="24"/>
          <w:highlight w:val="none"/>
          <w:u w:val="single"/>
        </w:rPr>
        <w:t xml:space="preserve">                  </w:t>
      </w:r>
    </w:p>
    <w:p>
      <w:pPr>
        <w:spacing w:line="360" w:lineRule="auto"/>
        <w:ind w:firstLine="4440" w:firstLineChars="1850"/>
        <w:jc w:val="center"/>
        <w:rPr>
          <w:rFonts w:ascii="Arial" w:hAnsi="Arial" w:cs="Arial"/>
          <w:color w:val="auto"/>
          <w:sz w:val="24"/>
          <w:szCs w:val="24"/>
          <w:highlight w:val="none"/>
        </w:rPr>
      </w:pPr>
      <w:r>
        <w:rPr>
          <w:rFonts w:ascii="Arial" w:hAnsi="Arial" w:cs="Arial"/>
          <w:color w:val="auto"/>
          <w:sz w:val="24"/>
          <w:szCs w:val="24"/>
          <w:highlight w:val="none"/>
        </w:rPr>
        <w:t xml:space="preserve"> 日期：      年   月   日 </w:t>
      </w:r>
      <w:r>
        <w:rPr>
          <w:rFonts w:ascii="Arial" w:hAnsi="Arial" w:cs="Arial"/>
          <w:color w:val="auto"/>
          <w:sz w:val="18"/>
          <w:szCs w:val="18"/>
          <w:highlight w:val="none"/>
        </w:rPr>
        <w:t xml:space="preserve"> </w:t>
      </w:r>
      <w:r>
        <w:rPr>
          <w:rFonts w:ascii="Arial" w:hAnsi="Arial" w:cs="Arial"/>
          <w:color w:val="auto"/>
          <w:sz w:val="24"/>
          <w:szCs w:val="24"/>
          <w:highlight w:val="none"/>
        </w:rPr>
        <w:t xml:space="preserve">    </w:t>
      </w:r>
    </w:p>
    <w:p>
      <w:pPr>
        <w:pStyle w:val="53"/>
        <w:spacing w:after="0" w:line="360" w:lineRule="auto"/>
        <w:ind w:firstLine="0"/>
        <w:rPr>
          <w:rFonts w:ascii="Arial" w:hAnsi="Arial" w:cs="Arial"/>
          <w:b/>
          <w:color w:val="auto"/>
          <w:sz w:val="32"/>
          <w:szCs w:val="32"/>
          <w:highlight w:val="none"/>
        </w:rPr>
      </w:pPr>
    </w:p>
    <w:p>
      <w:pPr>
        <w:pStyle w:val="53"/>
        <w:spacing w:after="0" w:line="360" w:lineRule="auto"/>
        <w:ind w:firstLine="643" w:firstLineChars="200"/>
        <w:jc w:val="center"/>
        <w:rPr>
          <w:rFonts w:ascii="Arial" w:hAnsi="Arial" w:cs="Arial"/>
          <w:color w:val="auto"/>
          <w:sz w:val="18"/>
          <w:szCs w:val="18"/>
          <w:highlight w:val="none"/>
        </w:rPr>
      </w:pPr>
      <w:r>
        <w:rPr>
          <w:rFonts w:ascii="Arial" w:hAnsi="Arial" w:cs="Arial"/>
          <w:b/>
          <w:color w:val="auto"/>
          <w:sz w:val="32"/>
          <w:szCs w:val="32"/>
          <w:highlight w:val="none"/>
        </w:rPr>
        <w:t>投标文件编制情况</w:t>
      </w:r>
    </w:p>
    <w:p>
      <w:pPr>
        <w:pStyle w:val="53"/>
        <w:spacing w:after="0" w:line="360" w:lineRule="auto"/>
        <w:ind w:firstLine="480" w:firstLineChars="200"/>
        <w:rPr>
          <w:rFonts w:ascii="Arial" w:hAnsi="Arial" w:cs="Arial"/>
          <w:color w:val="auto"/>
          <w:sz w:val="24"/>
          <w:szCs w:val="24"/>
          <w:highlight w:val="none"/>
          <w:u w:val="single"/>
        </w:rPr>
      </w:pPr>
      <w:r>
        <w:rPr>
          <w:rFonts w:ascii="Arial" w:hAnsi="Arial" w:cs="Arial"/>
          <w:color w:val="auto"/>
          <w:sz w:val="24"/>
          <w:szCs w:val="24"/>
          <w:highlight w:val="none"/>
        </w:rPr>
        <w:t>1.投标文件报价编制方式: □自行编制的，编制的负责人：</w:t>
      </w:r>
      <w:r>
        <w:rPr>
          <w:rFonts w:ascii="Arial" w:hAnsi="Arial" w:cs="Arial"/>
          <w:color w:val="auto"/>
          <w:sz w:val="24"/>
          <w:szCs w:val="24"/>
          <w:highlight w:val="none"/>
          <w:u w:val="single"/>
        </w:rPr>
        <w:t xml:space="preserve"> （盖造价工程师执业专用章或全国建设工程造价员章，执业单位应与投标人一致） </w:t>
      </w:r>
      <w:r>
        <w:rPr>
          <w:rFonts w:ascii="Arial" w:hAnsi="Arial" w:cs="Arial"/>
          <w:color w:val="auto"/>
          <w:sz w:val="24"/>
          <w:szCs w:val="24"/>
          <w:highlight w:val="none"/>
        </w:rPr>
        <w:t>。□委托编制的，受委托单位</w:t>
      </w:r>
      <w:r>
        <w:rPr>
          <w:rFonts w:ascii="Arial" w:hAnsi="Arial" w:cs="Arial"/>
          <w:color w:val="auto"/>
          <w:sz w:val="24"/>
          <w:szCs w:val="24"/>
          <w:highlight w:val="none"/>
          <w:u w:val="single"/>
        </w:rPr>
        <w:t xml:space="preserve">                    </w:t>
      </w:r>
      <w:r>
        <w:rPr>
          <w:rFonts w:ascii="Arial" w:hAnsi="Arial" w:cs="Arial"/>
          <w:color w:val="auto"/>
          <w:sz w:val="24"/>
          <w:szCs w:val="24"/>
          <w:highlight w:val="none"/>
        </w:rPr>
        <w:t>，编制的负责人：</w:t>
      </w:r>
      <w:r>
        <w:rPr>
          <w:rFonts w:ascii="Arial" w:hAnsi="Arial" w:cs="Arial"/>
          <w:color w:val="auto"/>
          <w:sz w:val="24"/>
          <w:szCs w:val="24"/>
          <w:highlight w:val="none"/>
          <w:u w:val="single"/>
        </w:rPr>
        <w:t xml:space="preserve"> （盖造价工程师执业专用章或全国建设工程造价员章，执业单位应与受委托单位一致） </w:t>
      </w:r>
      <w:r>
        <w:rPr>
          <w:rFonts w:ascii="Arial" w:hAnsi="Arial" w:cs="Arial"/>
          <w:color w:val="auto"/>
          <w:sz w:val="24"/>
          <w:szCs w:val="24"/>
          <w:highlight w:val="none"/>
        </w:rPr>
        <w:t>。</w:t>
      </w:r>
    </w:p>
    <w:p>
      <w:pPr>
        <w:pStyle w:val="53"/>
        <w:spacing w:after="0"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2.投标文件加密打包的电脑情况</w:t>
      </w:r>
    </w:p>
    <w:tbl>
      <w:tblPr>
        <w:tblStyle w:val="55"/>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53"/>
              <w:spacing w:after="0" w:line="360" w:lineRule="auto"/>
              <w:ind w:firstLine="0"/>
              <w:rPr>
                <w:rFonts w:ascii="Arial" w:hAnsi="Arial" w:cs="Arial"/>
                <w:color w:val="auto"/>
                <w:sz w:val="24"/>
                <w:szCs w:val="24"/>
                <w:highlight w:val="none"/>
              </w:rPr>
            </w:pPr>
            <w:r>
              <w:rPr>
                <w:rFonts w:ascii="Arial" w:hAnsi="Arial" w:cs="Arial"/>
                <w:color w:val="auto"/>
                <w:sz w:val="24"/>
                <w:szCs w:val="24"/>
                <w:highlight w:val="none"/>
              </w:rPr>
              <w:t>投标文件加密打包的电脑     自有    □      外包    □     其他    □</w:t>
            </w:r>
          </w:p>
          <w:p>
            <w:pPr>
              <w:pStyle w:val="53"/>
              <w:spacing w:after="0" w:line="360" w:lineRule="auto"/>
              <w:ind w:firstLine="0"/>
              <w:rPr>
                <w:rFonts w:ascii="Arial" w:hAnsi="Arial" w:cs="Arial"/>
                <w:color w:val="auto"/>
                <w:sz w:val="24"/>
                <w:szCs w:val="24"/>
                <w:highlight w:val="none"/>
              </w:rPr>
            </w:pPr>
            <w:r>
              <w:rPr>
                <w:rFonts w:ascii="Arial" w:hAnsi="Arial" w:cs="Arial"/>
                <w:color w:val="auto"/>
                <w:sz w:val="24"/>
                <w:szCs w:val="24"/>
                <w:highlight w:val="none"/>
              </w:rPr>
              <w:t>电脑类型</w:t>
            </w:r>
          </w:p>
          <w:p>
            <w:pPr>
              <w:pStyle w:val="53"/>
              <w:spacing w:after="0" w:line="360" w:lineRule="auto"/>
              <w:ind w:firstLine="0"/>
              <w:rPr>
                <w:rFonts w:ascii="Arial" w:hAnsi="Arial" w:cs="Arial"/>
                <w:color w:val="auto"/>
                <w:sz w:val="24"/>
                <w:szCs w:val="24"/>
                <w:highlight w:val="none"/>
              </w:rPr>
            </w:pPr>
            <w:r>
              <w:rPr>
                <w:rFonts w:ascii="Arial" w:hAnsi="Arial" w:cs="Arial"/>
                <w:color w:val="auto"/>
                <w:sz w:val="24"/>
                <w:szCs w:val="24"/>
                <w:highlight w:val="none"/>
              </w:rPr>
              <w:t>电脑所属单位</w:t>
            </w:r>
          </w:p>
          <w:p>
            <w:pPr>
              <w:pStyle w:val="53"/>
              <w:spacing w:after="0" w:line="360" w:lineRule="auto"/>
              <w:ind w:firstLine="0"/>
              <w:rPr>
                <w:rFonts w:ascii="Arial" w:hAnsi="Arial" w:cs="Arial"/>
                <w:color w:val="auto"/>
                <w:sz w:val="24"/>
                <w:szCs w:val="24"/>
                <w:highlight w:val="none"/>
              </w:rPr>
            </w:pPr>
            <w:r>
              <w:rPr>
                <w:rFonts w:ascii="Arial" w:hAnsi="Arial" w:cs="Arial"/>
                <w:color w:val="auto"/>
                <w:sz w:val="24"/>
                <w:szCs w:val="24"/>
                <w:highlight w:val="none"/>
              </w:rPr>
              <w:t>电脑所在地址        （如××市××区(县) ××街（路）××号××大厦××房）</w:t>
            </w:r>
          </w:p>
        </w:tc>
      </w:tr>
    </w:tbl>
    <w:p>
      <w:pPr>
        <w:autoSpaceDE w:val="0"/>
        <w:autoSpaceDN w:val="0"/>
        <w:adjustRightInd w:val="0"/>
        <w:rPr>
          <w:rFonts w:ascii="Arial" w:hAnsi="Arial" w:cs="Arial"/>
          <w:color w:val="auto"/>
          <w:szCs w:val="21"/>
          <w:highlight w:val="none"/>
        </w:rPr>
      </w:pPr>
      <w:r>
        <w:rPr>
          <w:rFonts w:ascii="Arial" w:hAnsi="Arial" w:cs="Arial"/>
          <w:color w:val="auto"/>
          <w:szCs w:val="21"/>
          <w:highlight w:val="none"/>
        </w:rPr>
        <w:br w:type="page"/>
      </w:r>
    </w:p>
    <w:p>
      <w:pPr>
        <w:autoSpaceDE w:val="0"/>
        <w:autoSpaceDN w:val="0"/>
        <w:adjustRightInd w:val="0"/>
        <w:rPr>
          <w:rFonts w:hint="eastAsia" w:ascii="Arial" w:hAnsi="Arial" w:cs="Arial"/>
          <w:color w:val="auto"/>
          <w:szCs w:val="21"/>
          <w:highlight w:val="none"/>
          <w:lang w:val="en-US" w:eastAsia="zh-CN"/>
        </w:rPr>
      </w:pPr>
      <w:r>
        <w:rPr>
          <w:rFonts w:ascii="Arial" w:hAnsi="Arial" w:cs="Arial"/>
          <w:color w:val="auto"/>
          <w:szCs w:val="21"/>
          <w:highlight w:val="none"/>
        </w:rPr>
        <w:t>附件</w:t>
      </w:r>
      <w:r>
        <w:rPr>
          <w:rFonts w:hint="eastAsia" w:ascii="Arial" w:hAnsi="Arial" w:cs="Arial"/>
          <w:color w:val="auto"/>
          <w:szCs w:val="21"/>
          <w:highlight w:val="none"/>
          <w:lang w:val="en-US" w:eastAsia="zh-CN"/>
        </w:rPr>
        <w:t>五</w:t>
      </w:r>
    </w:p>
    <w:p>
      <w:pPr>
        <w:pStyle w:val="2"/>
        <w:rPr>
          <w:rFonts w:hint="eastAsia"/>
          <w:color w:val="auto"/>
          <w:highlight w:val="none"/>
          <w:lang w:val="en-US" w:eastAsia="zh-CN"/>
        </w:rPr>
      </w:pPr>
    </w:p>
    <w:p>
      <w:pPr>
        <w:tabs>
          <w:tab w:val="left" w:pos="720"/>
        </w:tabs>
        <w:snapToGrid w:val="0"/>
        <w:spacing w:line="360" w:lineRule="auto"/>
        <w:ind w:firstLine="0" w:firstLineChars="0"/>
        <w:jc w:val="center"/>
        <w:rPr>
          <w:rFonts w:ascii="Arial" w:hAnsi="Arial" w:cs="Arial"/>
          <w:color w:val="auto"/>
          <w:sz w:val="24"/>
          <w:szCs w:val="24"/>
          <w:highlight w:val="none"/>
        </w:rPr>
      </w:pPr>
      <w:r>
        <w:rPr>
          <w:rFonts w:ascii="Arial" w:hAnsi="Arial" w:cs="Arial"/>
          <w:color w:val="auto"/>
          <w:sz w:val="24"/>
          <w:szCs w:val="24"/>
          <w:highlight w:val="none"/>
        </w:rPr>
        <w:t>201</w:t>
      </w:r>
      <w:r>
        <w:rPr>
          <w:rFonts w:hint="eastAsia" w:ascii="Arial" w:hAnsi="Arial" w:cs="Arial"/>
          <w:color w:val="auto"/>
          <w:sz w:val="24"/>
          <w:szCs w:val="24"/>
          <w:highlight w:val="none"/>
          <w:lang w:val="en-US" w:eastAsia="zh-CN"/>
        </w:rPr>
        <w:t>8</w:t>
      </w:r>
      <w:r>
        <w:rPr>
          <w:rFonts w:ascii="Arial" w:hAnsi="Arial" w:cs="Arial"/>
          <w:color w:val="auto"/>
          <w:sz w:val="24"/>
          <w:szCs w:val="24"/>
          <w:highlight w:val="none"/>
        </w:rPr>
        <w:t>年1月1日至本项目投标截止时间为止业绩一览表</w:t>
      </w:r>
    </w:p>
    <w:p>
      <w:pPr>
        <w:tabs>
          <w:tab w:val="left" w:pos="720"/>
        </w:tabs>
        <w:snapToGrid w:val="0"/>
        <w:spacing w:line="360" w:lineRule="auto"/>
        <w:ind w:firstLine="1200" w:firstLineChars="500"/>
        <w:rPr>
          <w:rFonts w:ascii="Arial" w:hAnsi="Arial" w:cs="Arial"/>
          <w:color w:val="auto"/>
          <w:sz w:val="24"/>
          <w:szCs w:val="24"/>
          <w:highlight w:val="none"/>
        </w:rPr>
      </w:pPr>
    </w:p>
    <w:p>
      <w:pPr>
        <w:tabs>
          <w:tab w:val="left" w:pos="720"/>
        </w:tabs>
        <w:snapToGrid w:val="0"/>
        <w:spacing w:line="360" w:lineRule="auto"/>
        <w:rPr>
          <w:rFonts w:ascii="Arial" w:hAnsi="Arial" w:cs="Arial"/>
          <w:color w:val="auto"/>
          <w:sz w:val="24"/>
          <w:szCs w:val="24"/>
          <w:highlight w:val="none"/>
        </w:rPr>
      </w:pPr>
      <w:r>
        <w:rPr>
          <w:rFonts w:ascii="Arial" w:hAnsi="Arial" w:cs="Arial"/>
          <w:color w:val="auto"/>
          <w:sz w:val="24"/>
          <w:szCs w:val="24"/>
          <w:highlight w:val="none"/>
        </w:rPr>
        <w:t>项目名称：</w:t>
      </w:r>
    </w:p>
    <w:tbl>
      <w:tblPr>
        <w:tblStyle w:val="55"/>
        <w:tblW w:w="8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14"/>
        <w:gridCol w:w="1227"/>
        <w:gridCol w:w="2073"/>
        <w:gridCol w:w="1214"/>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tabs>
                <w:tab w:val="left" w:pos="720"/>
              </w:tabs>
              <w:snapToGrid w:val="0"/>
              <w:spacing w:line="360" w:lineRule="auto"/>
              <w:jc w:val="center"/>
              <w:rPr>
                <w:rFonts w:ascii="Arial" w:hAnsi="Arial" w:cs="Arial"/>
                <w:color w:val="auto"/>
                <w:sz w:val="24"/>
                <w:szCs w:val="24"/>
                <w:highlight w:val="none"/>
              </w:rPr>
            </w:pPr>
            <w:r>
              <w:rPr>
                <w:rFonts w:ascii="Arial" w:hAnsi="Arial" w:cs="Arial"/>
                <w:color w:val="auto"/>
                <w:sz w:val="24"/>
                <w:szCs w:val="24"/>
                <w:highlight w:val="none"/>
              </w:rPr>
              <w:t>序号</w:t>
            </w:r>
          </w:p>
        </w:tc>
        <w:tc>
          <w:tcPr>
            <w:tcW w:w="1214" w:type="dxa"/>
            <w:vAlign w:val="center"/>
          </w:tcPr>
          <w:p>
            <w:pPr>
              <w:tabs>
                <w:tab w:val="left" w:pos="720"/>
              </w:tabs>
              <w:snapToGrid w:val="0"/>
              <w:spacing w:line="360" w:lineRule="auto"/>
              <w:jc w:val="center"/>
              <w:rPr>
                <w:rFonts w:ascii="Arial" w:hAnsi="Arial" w:cs="Arial"/>
                <w:color w:val="auto"/>
                <w:sz w:val="24"/>
                <w:szCs w:val="24"/>
                <w:highlight w:val="none"/>
              </w:rPr>
            </w:pPr>
            <w:r>
              <w:rPr>
                <w:rFonts w:ascii="Arial" w:hAnsi="Arial" w:cs="Arial"/>
                <w:color w:val="auto"/>
                <w:sz w:val="24"/>
                <w:szCs w:val="24"/>
                <w:highlight w:val="none"/>
              </w:rPr>
              <w:t>项目编号</w:t>
            </w:r>
          </w:p>
        </w:tc>
        <w:tc>
          <w:tcPr>
            <w:tcW w:w="1227" w:type="dxa"/>
            <w:vAlign w:val="center"/>
          </w:tcPr>
          <w:p>
            <w:pPr>
              <w:tabs>
                <w:tab w:val="left" w:pos="720"/>
              </w:tabs>
              <w:snapToGrid w:val="0"/>
              <w:spacing w:line="360" w:lineRule="auto"/>
              <w:jc w:val="center"/>
              <w:rPr>
                <w:rFonts w:ascii="Arial" w:hAnsi="Arial" w:cs="Arial"/>
                <w:color w:val="auto"/>
                <w:sz w:val="24"/>
                <w:szCs w:val="24"/>
                <w:highlight w:val="none"/>
              </w:rPr>
            </w:pPr>
            <w:r>
              <w:rPr>
                <w:rFonts w:ascii="Arial" w:hAnsi="Arial" w:cs="Arial"/>
                <w:color w:val="auto"/>
                <w:sz w:val="24"/>
                <w:szCs w:val="24"/>
                <w:highlight w:val="none"/>
              </w:rPr>
              <w:t>项目名称</w:t>
            </w:r>
          </w:p>
        </w:tc>
        <w:tc>
          <w:tcPr>
            <w:tcW w:w="2073" w:type="dxa"/>
            <w:vAlign w:val="center"/>
          </w:tcPr>
          <w:p>
            <w:pPr>
              <w:tabs>
                <w:tab w:val="left" w:pos="720"/>
              </w:tabs>
              <w:snapToGrid w:val="0"/>
              <w:spacing w:line="360" w:lineRule="auto"/>
              <w:jc w:val="center"/>
              <w:rPr>
                <w:rFonts w:ascii="Arial" w:hAnsi="Arial" w:cs="Arial"/>
                <w:color w:val="auto"/>
                <w:sz w:val="24"/>
                <w:szCs w:val="24"/>
                <w:highlight w:val="none"/>
              </w:rPr>
            </w:pPr>
            <w:r>
              <w:rPr>
                <w:rFonts w:ascii="Arial" w:hAnsi="Arial" w:cs="Arial"/>
                <w:color w:val="auto"/>
                <w:sz w:val="24"/>
                <w:szCs w:val="24"/>
                <w:highlight w:val="none"/>
              </w:rPr>
              <w:t>合同总价（万元）</w:t>
            </w:r>
          </w:p>
        </w:tc>
        <w:tc>
          <w:tcPr>
            <w:tcW w:w="1214" w:type="dxa"/>
            <w:vAlign w:val="center"/>
          </w:tcPr>
          <w:p>
            <w:pPr>
              <w:tabs>
                <w:tab w:val="left" w:pos="720"/>
              </w:tabs>
              <w:snapToGrid w:val="0"/>
              <w:spacing w:line="360" w:lineRule="auto"/>
              <w:jc w:val="center"/>
              <w:rPr>
                <w:rFonts w:ascii="Arial" w:hAnsi="Arial" w:cs="Arial"/>
                <w:color w:val="auto"/>
                <w:sz w:val="24"/>
                <w:szCs w:val="24"/>
                <w:highlight w:val="none"/>
              </w:rPr>
            </w:pPr>
            <w:r>
              <w:rPr>
                <w:rFonts w:ascii="Arial" w:hAnsi="Arial" w:cs="Arial"/>
                <w:color w:val="auto"/>
                <w:sz w:val="24"/>
                <w:szCs w:val="24"/>
                <w:highlight w:val="none"/>
              </w:rPr>
              <w:t>完成时间</w:t>
            </w:r>
          </w:p>
        </w:tc>
        <w:tc>
          <w:tcPr>
            <w:tcW w:w="2413" w:type="dxa"/>
            <w:vAlign w:val="center"/>
          </w:tcPr>
          <w:p>
            <w:pPr>
              <w:tabs>
                <w:tab w:val="left" w:pos="720"/>
              </w:tabs>
              <w:snapToGrid w:val="0"/>
              <w:spacing w:line="360" w:lineRule="auto"/>
              <w:jc w:val="center"/>
              <w:rPr>
                <w:rFonts w:ascii="Arial" w:hAnsi="Arial" w:cs="Arial"/>
                <w:color w:val="auto"/>
                <w:sz w:val="24"/>
                <w:szCs w:val="24"/>
                <w:highlight w:val="none"/>
              </w:rPr>
            </w:pPr>
            <w:r>
              <w:rPr>
                <w:rFonts w:ascii="Arial" w:hAnsi="Arial" w:cs="Arial"/>
                <w:color w:val="auto"/>
                <w:sz w:val="24"/>
                <w:szCs w:val="24"/>
                <w:highlight w:val="none"/>
              </w:rPr>
              <w:t>建设单位联系人及联系电话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1227" w:type="dxa"/>
          </w:tcPr>
          <w:p>
            <w:pPr>
              <w:tabs>
                <w:tab w:val="left" w:pos="720"/>
              </w:tabs>
              <w:snapToGrid w:val="0"/>
              <w:spacing w:line="360" w:lineRule="auto"/>
              <w:rPr>
                <w:rFonts w:ascii="Arial" w:hAnsi="Arial" w:cs="Arial"/>
                <w:color w:val="auto"/>
                <w:sz w:val="24"/>
                <w:szCs w:val="24"/>
                <w:highlight w:val="none"/>
              </w:rPr>
            </w:pPr>
          </w:p>
        </w:tc>
        <w:tc>
          <w:tcPr>
            <w:tcW w:w="2073"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2413" w:type="dxa"/>
          </w:tcPr>
          <w:p>
            <w:pPr>
              <w:tabs>
                <w:tab w:val="left" w:pos="720"/>
              </w:tabs>
              <w:snapToGrid w:val="0"/>
              <w:spacing w:line="360" w:lineRule="auto"/>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1227" w:type="dxa"/>
          </w:tcPr>
          <w:p>
            <w:pPr>
              <w:tabs>
                <w:tab w:val="left" w:pos="720"/>
              </w:tabs>
              <w:snapToGrid w:val="0"/>
              <w:spacing w:line="360" w:lineRule="auto"/>
              <w:rPr>
                <w:rFonts w:ascii="Arial" w:hAnsi="Arial" w:cs="Arial"/>
                <w:color w:val="auto"/>
                <w:sz w:val="24"/>
                <w:szCs w:val="24"/>
                <w:highlight w:val="none"/>
              </w:rPr>
            </w:pPr>
          </w:p>
        </w:tc>
        <w:tc>
          <w:tcPr>
            <w:tcW w:w="2073"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2413" w:type="dxa"/>
          </w:tcPr>
          <w:p>
            <w:pPr>
              <w:tabs>
                <w:tab w:val="left" w:pos="720"/>
              </w:tabs>
              <w:snapToGrid w:val="0"/>
              <w:spacing w:line="360" w:lineRule="auto"/>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1227" w:type="dxa"/>
          </w:tcPr>
          <w:p>
            <w:pPr>
              <w:tabs>
                <w:tab w:val="left" w:pos="720"/>
              </w:tabs>
              <w:snapToGrid w:val="0"/>
              <w:spacing w:line="360" w:lineRule="auto"/>
              <w:rPr>
                <w:rFonts w:ascii="Arial" w:hAnsi="Arial" w:cs="Arial"/>
                <w:color w:val="auto"/>
                <w:sz w:val="24"/>
                <w:szCs w:val="24"/>
                <w:highlight w:val="none"/>
              </w:rPr>
            </w:pPr>
          </w:p>
        </w:tc>
        <w:tc>
          <w:tcPr>
            <w:tcW w:w="2073" w:type="dxa"/>
          </w:tcPr>
          <w:p>
            <w:pPr>
              <w:tabs>
                <w:tab w:val="left" w:pos="720"/>
              </w:tabs>
              <w:snapToGrid w:val="0"/>
              <w:spacing w:line="360" w:lineRule="auto"/>
              <w:rPr>
                <w:rFonts w:ascii="Arial" w:hAnsi="Arial" w:cs="Arial"/>
                <w:color w:val="auto"/>
                <w:sz w:val="24"/>
                <w:szCs w:val="24"/>
                <w:highlight w:val="none"/>
              </w:rPr>
            </w:pPr>
          </w:p>
        </w:tc>
        <w:tc>
          <w:tcPr>
            <w:tcW w:w="1214" w:type="dxa"/>
          </w:tcPr>
          <w:p>
            <w:pPr>
              <w:tabs>
                <w:tab w:val="left" w:pos="720"/>
              </w:tabs>
              <w:snapToGrid w:val="0"/>
              <w:spacing w:line="360" w:lineRule="auto"/>
              <w:rPr>
                <w:rFonts w:ascii="Arial" w:hAnsi="Arial" w:cs="Arial"/>
                <w:color w:val="auto"/>
                <w:sz w:val="24"/>
                <w:szCs w:val="24"/>
                <w:highlight w:val="none"/>
              </w:rPr>
            </w:pPr>
          </w:p>
        </w:tc>
        <w:tc>
          <w:tcPr>
            <w:tcW w:w="2413" w:type="dxa"/>
          </w:tcPr>
          <w:p>
            <w:pPr>
              <w:tabs>
                <w:tab w:val="left" w:pos="720"/>
              </w:tabs>
              <w:snapToGrid w:val="0"/>
              <w:spacing w:line="360" w:lineRule="auto"/>
              <w:rPr>
                <w:rFonts w:ascii="Arial" w:hAnsi="Arial" w:cs="Arial"/>
                <w:color w:val="auto"/>
                <w:sz w:val="24"/>
                <w:szCs w:val="24"/>
                <w:highlight w:val="none"/>
              </w:rPr>
            </w:pPr>
          </w:p>
        </w:tc>
      </w:tr>
    </w:tbl>
    <w:p>
      <w:pPr>
        <w:tabs>
          <w:tab w:val="left" w:pos="720"/>
        </w:tabs>
        <w:snapToGrid w:val="0"/>
        <w:spacing w:line="360" w:lineRule="auto"/>
        <w:rPr>
          <w:rFonts w:ascii="Arial" w:hAnsi="Arial" w:cs="Arial"/>
          <w:color w:val="auto"/>
          <w:szCs w:val="20"/>
          <w:highlight w:val="none"/>
        </w:rPr>
      </w:pPr>
    </w:p>
    <w:p>
      <w:pPr>
        <w:tabs>
          <w:tab w:val="left" w:pos="720"/>
        </w:tabs>
        <w:snapToGrid w:val="0"/>
        <w:spacing w:line="360" w:lineRule="auto"/>
        <w:rPr>
          <w:rFonts w:ascii="Arial" w:hAnsi="Arial" w:cs="Arial"/>
          <w:color w:val="auto"/>
          <w:szCs w:val="20"/>
          <w:highlight w:val="none"/>
        </w:rPr>
      </w:pPr>
    </w:p>
    <w:p>
      <w:pPr>
        <w:tabs>
          <w:tab w:val="left" w:pos="720"/>
        </w:tabs>
        <w:snapToGrid w:val="0"/>
        <w:spacing w:line="360" w:lineRule="auto"/>
        <w:rPr>
          <w:rFonts w:ascii="Arial" w:hAnsi="Arial" w:cs="Arial"/>
          <w:color w:val="auto"/>
          <w:szCs w:val="21"/>
          <w:highlight w:val="none"/>
        </w:rPr>
      </w:pPr>
      <w:r>
        <w:rPr>
          <w:rFonts w:ascii="Arial" w:hAnsi="Arial" w:cs="Arial"/>
          <w:color w:val="auto"/>
          <w:szCs w:val="21"/>
          <w:highlight w:val="none"/>
        </w:rPr>
        <w:t>投标人名称：（盖章）</w:t>
      </w:r>
    </w:p>
    <w:p>
      <w:pPr>
        <w:tabs>
          <w:tab w:val="left" w:pos="720"/>
        </w:tabs>
        <w:snapToGrid w:val="0"/>
        <w:spacing w:line="360" w:lineRule="auto"/>
        <w:rPr>
          <w:rFonts w:ascii="Arial" w:hAnsi="Arial" w:cs="Arial"/>
          <w:color w:val="auto"/>
          <w:szCs w:val="21"/>
          <w:highlight w:val="none"/>
        </w:rPr>
      </w:pPr>
      <w:r>
        <w:rPr>
          <w:rFonts w:ascii="Arial" w:hAnsi="Arial" w:cs="Arial"/>
          <w:color w:val="auto"/>
          <w:szCs w:val="21"/>
          <w:highlight w:val="none"/>
        </w:rPr>
        <w:t>投标人授权代表：（签字或盖章）</w:t>
      </w:r>
    </w:p>
    <w:p>
      <w:pPr>
        <w:widowControl/>
        <w:jc w:val="left"/>
        <w:rPr>
          <w:rFonts w:ascii="Arial" w:hAnsi="Arial" w:cs="Arial"/>
          <w:color w:val="auto"/>
          <w:sz w:val="24"/>
          <w:szCs w:val="24"/>
          <w:highlight w:val="none"/>
        </w:rPr>
      </w:pPr>
      <w:r>
        <w:rPr>
          <w:rFonts w:ascii="Arial" w:hAnsi="Arial" w:cs="Arial"/>
          <w:snapToGrid w:val="0"/>
          <w:color w:val="auto"/>
          <w:highlight w:val="none"/>
        </w:rPr>
        <w:br w:type="page"/>
      </w:r>
      <w:r>
        <w:rPr>
          <w:rFonts w:ascii="Arial" w:hAnsi="Arial" w:cs="Arial"/>
          <w:color w:val="auto"/>
          <w:sz w:val="24"/>
          <w:szCs w:val="24"/>
          <w:highlight w:val="none"/>
        </w:rPr>
        <w:t>附件</w:t>
      </w:r>
      <w:r>
        <w:rPr>
          <w:rFonts w:hint="eastAsia" w:ascii="Arial" w:hAnsi="Arial" w:cs="Arial"/>
          <w:color w:val="auto"/>
          <w:sz w:val="24"/>
          <w:szCs w:val="24"/>
          <w:highlight w:val="none"/>
          <w:lang w:val="en-US" w:eastAsia="zh-CN"/>
        </w:rPr>
        <w:t>六</w:t>
      </w:r>
      <w:r>
        <w:rPr>
          <w:rFonts w:ascii="Arial" w:hAnsi="Arial" w:cs="Arial"/>
          <w:color w:val="auto"/>
          <w:sz w:val="24"/>
          <w:szCs w:val="24"/>
          <w:highlight w:val="none"/>
        </w:rPr>
        <w:t>：拟委派本项目组织管理机构人员一览表</w:t>
      </w:r>
    </w:p>
    <w:p>
      <w:pPr>
        <w:pStyle w:val="142"/>
        <w:rPr>
          <w:rFonts w:ascii="Arial" w:hAnsi="Arial" w:eastAsia="宋体" w:cs="Arial"/>
          <w:b w:val="0"/>
          <w:color w:val="auto"/>
          <w:highlight w:val="none"/>
        </w:rPr>
      </w:pPr>
      <w:r>
        <w:rPr>
          <w:rFonts w:ascii="Arial" w:hAnsi="Arial" w:eastAsia="宋体" w:cs="Arial"/>
          <w:b w:val="0"/>
          <w:color w:val="auto"/>
          <w:highlight w:val="none"/>
        </w:rPr>
        <w:t>投入主要人员汇总表</w:t>
      </w:r>
    </w:p>
    <w:tbl>
      <w:tblPr>
        <w:tblStyle w:val="5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53"/>
        <w:gridCol w:w="960"/>
        <w:gridCol w:w="960"/>
        <w:gridCol w:w="960"/>
        <w:gridCol w:w="960"/>
        <w:gridCol w:w="960"/>
        <w:gridCol w:w="136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43"/>
              <w:jc w:val="center"/>
              <w:rPr>
                <w:rFonts w:ascii="Arial" w:hAnsi="Arial" w:cs="Arial"/>
                <w:b/>
                <w:color w:val="auto"/>
                <w:highlight w:val="none"/>
              </w:rPr>
            </w:pPr>
            <w:r>
              <w:rPr>
                <w:rFonts w:ascii="Arial" w:hAnsi="Arial" w:cs="Arial"/>
                <w:b/>
                <w:color w:val="auto"/>
                <w:highlight w:val="none"/>
              </w:rPr>
              <w:t>序号</w:t>
            </w:r>
          </w:p>
        </w:tc>
        <w:tc>
          <w:tcPr>
            <w:tcW w:w="1353" w:type="dxa"/>
            <w:vAlign w:val="center"/>
          </w:tcPr>
          <w:p>
            <w:pPr>
              <w:pStyle w:val="143"/>
              <w:jc w:val="center"/>
              <w:rPr>
                <w:rFonts w:ascii="Arial" w:hAnsi="Arial" w:cs="Arial"/>
                <w:b/>
                <w:color w:val="auto"/>
                <w:highlight w:val="none"/>
              </w:rPr>
            </w:pPr>
            <w:r>
              <w:rPr>
                <w:rFonts w:ascii="Arial" w:hAnsi="Arial" w:cs="Arial"/>
                <w:b/>
                <w:color w:val="auto"/>
                <w:spacing w:val="-6"/>
                <w:highlight w:val="none"/>
              </w:rPr>
              <w:t>在本项目担任的职务</w:t>
            </w:r>
          </w:p>
        </w:tc>
        <w:tc>
          <w:tcPr>
            <w:tcW w:w="960" w:type="dxa"/>
            <w:vAlign w:val="center"/>
          </w:tcPr>
          <w:p>
            <w:pPr>
              <w:pStyle w:val="143"/>
              <w:jc w:val="center"/>
              <w:rPr>
                <w:rFonts w:ascii="Arial" w:hAnsi="Arial" w:cs="Arial"/>
                <w:b/>
                <w:color w:val="auto"/>
                <w:highlight w:val="none"/>
              </w:rPr>
            </w:pPr>
            <w:r>
              <w:rPr>
                <w:rFonts w:ascii="Arial" w:hAnsi="Arial" w:cs="Arial"/>
                <w:b/>
                <w:color w:val="auto"/>
                <w:highlight w:val="none"/>
              </w:rPr>
              <w:t>姓名</w:t>
            </w:r>
          </w:p>
        </w:tc>
        <w:tc>
          <w:tcPr>
            <w:tcW w:w="960" w:type="dxa"/>
            <w:vAlign w:val="center"/>
          </w:tcPr>
          <w:p>
            <w:pPr>
              <w:pStyle w:val="143"/>
              <w:jc w:val="center"/>
              <w:rPr>
                <w:rFonts w:ascii="Arial" w:hAnsi="Arial" w:cs="Arial"/>
                <w:b/>
                <w:color w:val="auto"/>
                <w:highlight w:val="none"/>
              </w:rPr>
            </w:pPr>
            <w:r>
              <w:rPr>
                <w:rFonts w:ascii="Arial" w:hAnsi="Arial" w:cs="Arial"/>
                <w:b/>
                <w:color w:val="auto"/>
                <w:highlight w:val="none"/>
              </w:rPr>
              <w:t>年龄</w:t>
            </w:r>
          </w:p>
        </w:tc>
        <w:tc>
          <w:tcPr>
            <w:tcW w:w="960" w:type="dxa"/>
            <w:vAlign w:val="center"/>
          </w:tcPr>
          <w:p>
            <w:pPr>
              <w:pStyle w:val="143"/>
              <w:jc w:val="center"/>
              <w:rPr>
                <w:rFonts w:ascii="Arial" w:hAnsi="Arial" w:cs="Arial"/>
                <w:b/>
                <w:color w:val="auto"/>
                <w:highlight w:val="none"/>
              </w:rPr>
            </w:pPr>
            <w:r>
              <w:rPr>
                <w:rFonts w:ascii="Arial" w:hAnsi="Arial" w:cs="Arial"/>
                <w:b/>
                <w:color w:val="auto"/>
                <w:highlight w:val="none"/>
              </w:rPr>
              <w:t>职称</w:t>
            </w:r>
          </w:p>
        </w:tc>
        <w:tc>
          <w:tcPr>
            <w:tcW w:w="960" w:type="dxa"/>
            <w:vAlign w:val="center"/>
          </w:tcPr>
          <w:p>
            <w:pPr>
              <w:pStyle w:val="143"/>
              <w:jc w:val="center"/>
              <w:rPr>
                <w:rFonts w:ascii="Arial" w:hAnsi="Arial" w:cs="Arial"/>
                <w:b/>
                <w:color w:val="auto"/>
                <w:highlight w:val="none"/>
              </w:rPr>
            </w:pPr>
            <w:r>
              <w:rPr>
                <w:rFonts w:ascii="Arial" w:hAnsi="Arial" w:cs="Arial"/>
                <w:b/>
                <w:color w:val="auto"/>
                <w:highlight w:val="none"/>
              </w:rPr>
              <w:t>专业</w:t>
            </w:r>
          </w:p>
        </w:tc>
        <w:tc>
          <w:tcPr>
            <w:tcW w:w="960" w:type="dxa"/>
            <w:vAlign w:val="center"/>
          </w:tcPr>
          <w:p>
            <w:pPr>
              <w:pStyle w:val="143"/>
              <w:jc w:val="center"/>
              <w:rPr>
                <w:rFonts w:ascii="Arial" w:hAnsi="Arial" w:cs="Arial"/>
                <w:b/>
                <w:color w:val="auto"/>
                <w:highlight w:val="none"/>
              </w:rPr>
            </w:pPr>
            <w:r>
              <w:rPr>
                <w:rFonts w:ascii="Arial" w:hAnsi="Arial" w:cs="Arial"/>
                <w:b/>
                <w:color w:val="auto"/>
                <w:highlight w:val="none"/>
              </w:rPr>
              <w:t>从事相关工作年限</w:t>
            </w:r>
          </w:p>
        </w:tc>
        <w:tc>
          <w:tcPr>
            <w:tcW w:w="1360" w:type="dxa"/>
            <w:vAlign w:val="center"/>
          </w:tcPr>
          <w:p>
            <w:pPr>
              <w:pStyle w:val="143"/>
              <w:jc w:val="center"/>
              <w:rPr>
                <w:rFonts w:ascii="Arial" w:hAnsi="Arial" w:cs="Arial"/>
                <w:b/>
                <w:color w:val="auto"/>
                <w:highlight w:val="none"/>
              </w:rPr>
            </w:pPr>
            <w:r>
              <w:rPr>
                <w:rFonts w:ascii="Arial" w:hAnsi="Arial" w:cs="Arial"/>
                <w:b/>
                <w:color w:val="auto"/>
                <w:highlight w:val="none"/>
              </w:rPr>
              <w:t>工程师注册（或岗位）证号</w:t>
            </w:r>
          </w:p>
        </w:tc>
        <w:tc>
          <w:tcPr>
            <w:tcW w:w="1276" w:type="dxa"/>
            <w:vAlign w:val="center"/>
          </w:tcPr>
          <w:p>
            <w:pPr>
              <w:pStyle w:val="143"/>
              <w:jc w:val="center"/>
              <w:rPr>
                <w:rFonts w:ascii="Arial" w:hAnsi="Arial" w:cs="Arial"/>
                <w:b/>
                <w:color w:val="auto"/>
                <w:highlight w:val="none"/>
              </w:rPr>
            </w:pPr>
            <w:r>
              <w:rPr>
                <w:rFonts w:ascii="Arial" w:hAnsi="Arial"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color w:val="auto"/>
                <w:kern w:val="2"/>
                <w:highlight w:val="none"/>
              </w:rPr>
            </w:pPr>
          </w:p>
        </w:tc>
        <w:tc>
          <w:tcPr>
            <w:tcW w:w="1353"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vAlign w:val="center"/>
          </w:tcPr>
          <w:p>
            <w:pPr>
              <w:pStyle w:val="139"/>
              <w:ind w:firstLine="496"/>
              <w:rPr>
                <w:rFonts w:ascii="Arial" w:hAnsi="Arial" w:eastAsia="宋体" w:cs="Arial"/>
                <w:color w:val="auto"/>
                <w:kern w:val="2"/>
                <w:highlight w:val="none"/>
              </w:rPr>
            </w:pPr>
          </w:p>
        </w:tc>
        <w:tc>
          <w:tcPr>
            <w:tcW w:w="960" w:type="dxa"/>
          </w:tcPr>
          <w:p>
            <w:pPr>
              <w:pStyle w:val="139"/>
              <w:ind w:firstLine="496"/>
              <w:rPr>
                <w:rFonts w:ascii="Arial" w:hAnsi="Arial" w:eastAsia="宋体" w:cs="Arial"/>
                <w:color w:val="auto"/>
                <w:kern w:val="2"/>
                <w:highlight w:val="none"/>
              </w:rPr>
            </w:pPr>
          </w:p>
        </w:tc>
        <w:tc>
          <w:tcPr>
            <w:tcW w:w="1360" w:type="dxa"/>
            <w:vAlign w:val="center"/>
          </w:tcPr>
          <w:p>
            <w:pPr>
              <w:pStyle w:val="139"/>
              <w:ind w:firstLine="496"/>
              <w:rPr>
                <w:rFonts w:ascii="Arial" w:hAnsi="Arial" w:eastAsia="宋体" w:cs="Arial"/>
                <w:color w:val="auto"/>
                <w:kern w:val="2"/>
                <w:highlight w:val="none"/>
              </w:rPr>
            </w:pPr>
          </w:p>
        </w:tc>
        <w:tc>
          <w:tcPr>
            <w:tcW w:w="1276" w:type="dxa"/>
          </w:tcPr>
          <w:p>
            <w:pPr>
              <w:pStyle w:val="139"/>
              <w:ind w:firstLine="496"/>
              <w:rPr>
                <w:rFonts w:ascii="Arial" w:hAnsi="Arial" w:eastAsia="宋体" w:cs="Arial"/>
                <w:color w:val="auto"/>
                <w:kern w:val="2"/>
                <w:highlight w:val="none"/>
              </w:rPr>
            </w:pPr>
          </w:p>
        </w:tc>
      </w:tr>
    </w:tbl>
    <w:p>
      <w:pPr>
        <w:pStyle w:val="139"/>
        <w:spacing w:line="400" w:lineRule="exact"/>
        <w:ind w:firstLine="496"/>
        <w:rPr>
          <w:rFonts w:ascii="Arial" w:hAnsi="Arial" w:eastAsia="宋体" w:cs="Arial"/>
          <w:color w:val="auto"/>
          <w:highlight w:val="none"/>
        </w:rPr>
      </w:pPr>
    </w:p>
    <w:p>
      <w:pPr>
        <w:pStyle w:val="139"/>
        <w:ind w:firstLine="0" w:firstLineChars="0"/>
        <w:jc w:val="center"/>
        <w:rPr>
          <w:rFonts w:ascii="Arial" w:hAnsi="Arial" w:eastAsia="宋体" w:cs="Arial"/>
          <w:color w:val="auto"/>
          <w:highlight w:val="none"/>
        </w:rPr>
      </w:pPr>
      <w:r>
        <w:rPr>
          <w:rFonts w:ascii="Arial" w:hAnsi="Arial" w:eastAsia="宋体" w:cs="Arial"/>
          <w:color w:val="auto"/>
          <w:highlight w:val="none"/>
        </w:rPr>
        <w:t xml:space="preserve">             投标人：　　（盖章）</w:t>
      </w:r>
    </w:p>
    <w:p>
      <w:pPr>
        <w:pStyle w:val="139"/>
        <w:ind w:firstLine="3720" w:firstLineChars="1500"/>
        <w:rPr>
          <w:rFonts w:ascii="Arial" w:hAnsi="Arial" w:eastAsia="宋体" w:cs="Arial"/>
          <w:color w:val="auto"/>
          <w:highlight w:val="none"/>
        </w:rPr>
      </w:pPr>
      <w:r>
        <w:rPr>
          <w:rFonts w:ascii="Arial" w:hAnsi="Arial" w:eastAsia="宋体" w:cs="Arial"/>
          <w:color w:val="auto"/>
          <w:highlight w:val="none"/>
        </w:rPr>
        <w:t>法定代表人或授权代理人(签字或盖章)：</w:t>
      </w:r>
    </w:p>
    <w:p>
      <w:pPr>
        <w:pStyle w:val="139"/>
        <w:ind w:firstLine="3720" w:firstLineChars="1500"/>
        <w:rPr>
          <w:rFonts w:ascii="Arial" w:hAnsi="Arial" w:eastAsia="宋体" w:cs="Arial"/>
          <w:color w:val="auto"/>
          <w:sz w:val="18"/>
          <w:szCs w:val="18"/>
          <w:highlight w:val="none"/>
        </w:rPr>
      </w:pPr>
      <w:r>
        <w:rPr>
          <w:rFonts w:ascii="Arial" w:hAnsi="Arial" w:eastAsia="宋体" w:cs="Arial"/>
          <w:color w:val="auto"/>
          <w:highlight w:val="none"/>
        </w:rPr>
        <w:t>日   期：    年    月    日</w:t>
      </w:r>
    </w:p>
    <w:p>
      <w:pPr>
        <w:pStyle w:val="139"/>
        <w:ind w:firstLine="3596" w:firstLineChars="1450"/>
        <w:rPr>
          <w:rFonts w:ascii="Arial" w:hAnsi="Arial" w:eastAsia="宋体" w:cs="Arial"/>
          <w:color w:val="auto"/>
          <w:highlight w:val="none"/>
        </w:rPr>
      </w:pPr>
    </w:p>
    <w:p>
      <w:pPr>
        <w:pStyle w:val="140"/>
        <w:spacing w:beforeLines="0"/>
        <w:rPr>
          <w:rFonts w:ascii="Arial" w:hAnsi="Arial" w:eastAsia="宋体" w:cs="Arial"/>
          <w:color w:val="auto"/>
          <w:highlight w:val="none"/>
        </w:rPr>
      </w:pPr>
      <w:bookmarkStart w:id="47" w:name="_Toc358370584"/>
      <w:bookmarkStart w:id="48" w:name="_Toc449308426"/>
      <w:bookmarkStart w:id="49" w:name="_Toc226209009"/>
      <w:bookmarkStart w:id="50" w:name="_Toc239216037"/>
      <w:bookmarkStart w:id="51" w:name="_Toc337720097"/>
      <w:bookmarkStart w:id="52" w:name="_Toc369536776"/>
      <w:bookmarkStart w:id="53" w:name="_Toc239311752"/>
      <w:bookmarkStart w:id="54" w:name="_Toc318924501"/>
      <w:bookmarkStart w:id="55" w:name="_Toc352623427"/>
      <w:bookmarkStart w:id="56" w:name="_Toc352240529"/>
      <w:bookmarkStart w:id="57" w:name="_Toc395261105"/>
      <w:bookmarkStart w:id="58" w:name="_Toc163337626"/>
    </w:p>
    <w:p>
      <w:pPr>
        <w:pStyle w:val="140"/>
        <w:spacing w:beforeLines="0"/>
        <w:rPr>
          <w:rFonts w:ascii="Arial" w:hAnsi="Arial" w:eastAsia="宋体" w:cs="Arial"/>
          <w:b w:val="0"/>
          <w:color w:val="auto"/>
          <w:highlight w:val="none"/>
        </w:rPr>
      </w:pPr>
      <w:bookmarkStart w:id="59" w:name="_Toc23443"/>
      <w:bookmarkStart w:id="60" w:name="_Toc464131230"/>
      <w:bookmarkStart w:id="61" w:name="_Toc515454599"/>
      <w:bookmarkStart w:id="62" w:name="_Toc11987"/>
    </w:p>
    <w:p>
      <w:pPr>
        <w:rPr>
          <w:rFonts w:ascii="Arial" w:hAnsi="Arial" w:cs="Arial"/>
          <w:color w:val="auto"/>
          <w:sz w:val="24"/>
          <w:szCs w:val="24"/>
          <w:highlight w:val="none"/>
        </w:rPr>
      </w:pPr>
      <w:r>
        <w:rPr>
          <w:rFonts w:ascii="Arial" w:hAnsi="Arial" w:cs="Arial"/>
          <w:color w:val="auto"/>
          <w:sz w:val="24"/>
          <w:szCs w:val="24"/>
          <w:highlight w:val="none"/>
        </w:rPr>
        <w:br w:type="page"/>
      </w:r>
    </w:p>
    <w:p>
      <w:pPr>
        <w:pStyle w:val="141"/>
        <w:spacing w:beforeLines="0" w:after="120"/>
        <w:jc w:val="left"/>
        <w:rPr>
          <w:rFonts w:ascii="Arial" w:hAnsi="Arial" w:eastAsia="宋体" w:cs="Arial"/>
          <w:b w:val="0"/>
          <w:color w:val="auto"/>
          <w:spacing w:val="0"/>
          <w:kern w:val="2"/>
          <w:highlight w:val="none"/>
        </w:rPr>
      </w:pPr>
      <w:bookmarkStart w:id="63" w:name="_Toc101266302"/>
      <w:r>
        <w:rPr>
          <w:rFonts w:ascii="Arial" w:hAnsi="Arial" w:eastAsia="宋体" w:cs="Arial"/>
          <w:b w:val="0"/>
          <w:color w:val="auto"/>
          <w:spacing w:val="0"/>
          <w:kern w:val="2"/>
          <w:sz w:val="24"/>
          <w:szCs w:val="24"/>
          <w:highlight w:val="none"/>
        </w:rPr>
        <w:t>附件</w:t>
      </w:r>
      <w:r>
        <w:rPr>
          <w:rFonts w:hint="eastAsia" w:ascii="Arial" w:hAnsi="Arial" w:eastAsia="宋体" w:cs="Arial"/>
          <w:b w:val="0"/>
          <w:color w:val="auto"/>
          <w:spacing w:val="0"/>
          <w:kern w:val="2"/>
          <w:sz w:val="24"/>
          <w:szCs w:val="24"/>
          <w:highlight w:val="none"/>
          <w:lang w:val="en-US" w:eastAsia="zh-CN"/>
        </w:rPr>
        <w:t>七</w:t>
      </w:r>
      <w:r>
        <w:rPr>
          <w:rFonts w:ascii="Arial" w:hAnsi="Arial" w:eastAsia="宋体" w:cs="Arial"/>
          <w:b w:val="0"/>
          <w:color w:val="auto"/>
          <w:spacing w:val="0"/>
          <w:kern w:val="2"/>
          <w:sz w:val="24"/>
          <w:szCs w:val="24"/>
          <w:highlight w:val="none"/>
        </w:rPr>
        <w:t>：主要人员简历表</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142"/>
        <w:rPr>
          <w:rFonts w:ascii="Arial" w:hAnsi="Arial" w:eastAsia="宋体" w:cs="Arial"/>
          <w:b w:val="0"/>
          <w:color w:val="auto"/>
          <w:highlight w:val="none"/>
        </w:rPr>
      </w:pPr>
      <w:r>
        <w:rPr>
          <w:rFonts w:ascii="Arial" w:hAnsi="Arial" w:eastAsia="宋体" w:cs="Arial"/>
          <w:b w:val="0"/>
          <w:color w:val="auto"/>
          <w:highlight w:val="none"/>
        </w:rPr>
        <w:t>主要人员简历表</w:t>
      </w:r>
    </w:p>
    <w:p>
      <w:pPr>
        <w:pStyle w:val="139"/>
        <w:ind w:firstLine="0" w:firstLineChars="0"/>
        <w:rPr>
          <w:rFonts w:ascii="Arial" w:hAnsi="Arial" w:eastAsia="宋体" w:cs="Arial"/>
          <w:color w:val="auto"/>
          <w:highlight w:val="none"/>
        </w:rPr>
      </w:pPr>
    </w:p>
    <w:tbl>
      <w:tblPr>
        <w:tblStyle w:val="55"/>
        <w:tblpPr w:leftFromText="180" w:rightFromText="180" w:vertAnchor="text" w:tblpX="-206" w:tblpY="76"/>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性别</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年龄</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bCs/>
                <w:color w:val="auto"/>
                <w:highlight w:val="none"/>
              </w:rPr>
              <w:t>身份证号码</w:t>
            </w:r>
          </w:p>
        </w:tc>
        <w:tc>
          <w:tcPr>
            <w:tcW w:w="7999" w:type="dxa"/>
            <w:gridSpan w:val="10"/>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职务</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职称</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学历</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参加工作</w:t>
            </w:r>
          </w:p>
          <w:p>
            <w:pPr>
              <w:pStyle w:val="143"/>
              <w:jc w:val="center"/>
              <w:rPr>
                <w:rFonts w:ascii="Arial" w:hAnsi="Arial" w:cs="Arial"/>
                <w:b/>
                <w:color w:val="auto"/>
                <w:sz w:val="24"/>
                <w:szCs w:val="24"/>
                <w:highlight w:val="none"/>
              </w:rPr>
            </w:pPr>
            <w:r>
              <w:rPr>
                <w:rFonts w:ascii="Arial" w:hAnsi="Arial" w:cs="Arial"/>
                <w:b/>
                <w:color w:val="auto"/>
                <w:sz w:val="24"/>
                <w:szCs w:val="24"/>
                <w:highlight w:val="none"/>
              </w:rPr>
              <w:t>时间</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r>
              <w:rPr>
                <w:rFonts w:ascii="Arial" w:hAnsi="Arial" w:eastAsia="宋体" w:cs="Arial"/>
                <w:b/>
                <w:color w:val="auto"/>
                <w:kern w:val="2"/>
                <w:highlight w:val="none"/>
              </w:rPr>
              <w:t>担任相应职务年限</w:t>
            </w:r>
          </w:p>
        </w:tc>
        <w:tc>
          <w:tcPr>
            <w:tcW w:w="4503" w:type="dxa"/>
            <w:gridSpan w:val="5"/>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资格证书号</w:t>
            </w:r>
          </w:p>
        </w:tc>
        <w:tc>
          <w:tcPr>
            <w:tcW w:w="7999" w:type="dxa"/>
            <w:gridSpan w:val="10"/>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25" w:type="dxa"/>
            <w:gridSpan w:val="11"/>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r>
              <w:rPr>
                <w:rFonts w:ascii="Arial" w:hAnsi="Arial" w:eastAsia="宋体" w:cs="Arial"/>
                <w:b/>
                <w:color w:val="auto"/>
                <w:kern w:val="2"/>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建设单位</w:t>
            </w:r>
          </w:p>
        </w:tc>
        <w:tc>
          <w:tcPr>
            <w:tcW w:w="1547"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项目名称</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建设规模</w:t>
            </w: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开、竣工日期</w:t>
            </w: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在建或已完</w:t>
            </w:r>
          </w:p>
        </w:tc>
        <w:tc>
          <w:tcPr>
            <w:tcW w:w="1551"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color w:val="auto"/>
                <w:sz w:val="24"/>
                <w:szCs w:val="24"/>
                <w:highlight w:val="none"/>
              </w:rPr>
            </w:pPr>
            <w:r>
              <w:rPr>
                <w:rFonts w:ascii="Arial" w:hAnsi="Arial" w:cs="Arial"/>
                <w:b/>
                <w:color w:val="auto"/>
                <w:sz w:val="24"/>
                <w:szCs w:val="24"/>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color w:val="auto"/>
                <w:kern w:val="2"/>
                <w:highlight w:val="none"/>
              </w:rPr>
            </w:pPr>
          </w:p>
        </w:tc>
      </w:tr>
    </w:tbl>
    <w:p>
      <w:pPr>
        <w:pStyle w:val="139"/>
        <w:ind w:firstLine="496"/>
        <w:rPr>
          <w:rFonts w:ascii="Arial" w:hAnsi="Arial" w:eastAsia="宋体" w:cs="Arial"/>
          <w:color w:val="auto"/>
          <w:highlight w:val="none"/>
        </w:rPr>
      </w:pPr>
    </w:p>
    <w:p>
      <w:pPr>
        <w:pStyle w:val="139"/>
        <w:ind w:firstLine="496"/>
        <w:rPr>
          <w:rFonts w:ascii="Arial" w:hAnsi="Arial" w:eastAsia="宋体" w:cs="Arial"/>
          <w:color w:val="auto"/>
          <w:highlight w:val="none"/>
        </w:rPr>
      </w:pPr>
    </w:p>
    <w:p>
      <w:pPr>
        <w:pStyle w:val="139"/>
        <w:ind w:firstLine="3161" w:firstLineChars="1450"/>
        <w:rPr>
          <w:rFonts w:ascii="Arial" w:hAnsi="Arial" w:eastAsia="宋体" w:cs="Arial"/>
          <w:color w:val="auto"/>
          <w:sz w:val="21"/>
          <w:szCs w:val="21"/>
          <w:highlight w:val="none"/>
        </w:rPr>
      </w:pPr>
      <w:r>
        <w:rPr>
          <w:rFonts w:ascii="Arial" w:hAnsi="Arial" w:eastAsia="宋体" w:cs="Arial"/>
          <w:color w:val="auto"/>
          <w:sz w:val="21"/>
          <w:szCs w:val="21"/>
          <w:highlight w:val="none"/>
        </w:rPr>
        <w:t>投标人：　　（盖章）</w:t>
      </w:r>
    </w:p>
    <w:p>
      <w:pPr>
        <w:pStyle w:val="139"/>
        <w:ind w:firstLine="3161" w:firstLineChars="1450"/>
        <w:rPr>
          <w:rFonts w:ascii="Arial" w:hAnsi="Arial" w:eastAsia="宋体" w:cs="Arial"/>
          <w:color w:val="auto"/>
          <w:sz w:val="21"/>
          <w:szCs w:val="21"/>
          <w:highlight w:val="none"/>
        </w:rPr>
      </w:pPr>
      <w:r>
        <w:rPr>
          <w:rFonts w:ascii="Arial" w:hAnsi="Arial" w:eastAsia="宋体" w:cs="Arial"/>
          <w:color w:val="auto"/>
          <w:sz w:val="21"/>
          <w:szCs w:val="21"/>
          <w:highlight w:val="none"/>
        </w:rPr>
        <w:t>法定代表人或授权代理人(签字或盖章)：</w:t>
      </w:r>
    </w:p>
    <w:p>
      <w:pPr>
        <w:tabs>
          <w:tab w:val="left" w:pos="720"/>
        </w:tabs>
        <w:snapToGrid w:val="0"/>
        <w:spacing w:line="360" w:lineRule="auto"/>
        <w:jc w:val="right"/>
        <w:rPr>
          <w:rFonts w:ascii="Arial" w:hAnsi="Arial" w:cs="Arial"/>
          <w:color w:val="auto"/>
          <w:szCs w:val="21"/>
          <w:highlight w:val="none"/>
        </w:rPr>
      </w:pPr>
      <w:r>
        <w:rPr>
          <w:rFonts w:ascii="Arial" w:hAnsi="Arial" w:cs="Arial"/>
          <w:color w:val="auto"/>
          <w:szCs w:val="21"/>
          <w:highlight w:val="none"/>
        </w:rPr>
        <w:t>日期：年月日</w:t>
      </w:r>
    </w:p>
    <w:p>
      <w:pPr>
        <w:rPr>
          <w:rFonts w:ascii="Arial" w:hAnsi="Arial" w:cs="Arial"/>
          <w:color w:val="auto"/>
          <w:highlight w:val="none"/>
        </w:rPr>
      </w:pPr>
    </w:p>
    <w:p>
      <w:pPr>
        <w:pStyle w:val="141"/>
        <w:spacing w:beforeLines="0" w:after="120"/>
        <w:jc w:val="left"/>
        <w:rPr>
          <w:rFonts w:ascii="Arial" w:hAnsi="Arial" w:eastAsia="宋体" w:cs="Arial"/>
          <w:b w:val="0"/>
          <w:color w:val="auto"/>
          <w:spacing w:val="0"/>
          <w:kern w:val="2"/>
          <w:sz w:val="24"/>
          <w:szCs w:val="24"/>
          <w:highlight w:val="none"/>
        </w:rPr>
      </w:pPr>
      <w:bookmarkStart w:id="64" w:name="_Toc101266307"/>
      <w:r>
        <w:rPr>
          <w:rFonts w:ascii="Arial" w:hAnsi="Arial" w:eastAsia="宋体" w:cs="Arial"/>
          <w:b w:val="0"/>
          <w:color w:val="auto"/>
          <w:spacing w:val="0"/>
          <w:kern w:val="2"/>
          <w:sz w:val="24"/>
          <w:szCs w:val="24"/>
          <w:highlight w:val="none"/>
        </w:rPr>
        <w:t>附件</w:t>
      </w:r>
      <w:r>
        <w:rPr>
          <w:rFonts w:hint="eastAsia" w:ascii="Arial" w:hAnsi="Arial" w:eastAsia="宋体" w:cs="Arial"/>
          <w:b w:val="0"/>
          <w:color w:val="auto"/>
          <w:spacing w:val="0"/>
          <w:kern w:val="2"/>
          <w:sz w:val="24"/>
          <w:szCs w:val="24"/>
          <w:highlight w:val="none"/>
          <w:lang w:val="en-US" w:eastAsia="zh-CN"/>
        </w:rPr>
        <w:t>八</w:t>
      </w:r>
      <w:r>
        <w:rPr>
          <w:rFonts w:ascii="Arial" w:hAnsi="Arial" w:eastAsia="宋体" w:cs="Arial"/>
          <w:b w:val="0"/>
          <w:color w:val="auto"/>
          <w:spacing w:val="0"/>
          <w:kern w:val="2"/>
          <w:sz w:val="24"/>
          <w:szCs w:val="24"/>
          <w:highlight w:val="none"/>
        </w:rPr>
        <w:t>：施工组织设计</w:t>
      </w:r>
      <w:bookmarkEnd w:id="64"/>
    </w:p>
    <w:p>
      <w:pPr>
        <w:spacing w:line="480" w:lineRule="exact"/>
        <w:rPr>
          <w:rFonts w:ascii="Arial" w:hAnsi="Arial" w:cs="Arial"/>
          <w:b/>
          <w:bCs/>
          <w:color w:val="auto"/>
          <w:kern w:val="0"/>
          <w:sz w:val="32"/>
          <w:szCs w:val="32"/>
          <w:highlight w:val="none"/>
        </w:rPr>
      </w:pPr>
    </w:p>
    <w:p>
      <w:pPr>
        <w:rPr>
          <w:rFonts w:ascii="Arial" w:hAnsi="Arial" w:cs="Arial"/>
          <w:color w:val="auto"/>
          <w:highlight w:val="none"/>
        </w:rPr>
      </w:pPr>
      <w:r>
        <w:rPr>
          <w:rFonts w:ascii="Arial" w:hAnsi="Arial" w:cs="Arial"/>
          <w:color w:val="auto"/>
          <w:highlight w:val="none"/>
        </w:rPr>
        <w:t>按照招标文件技术标详细审查评分表内评审内容提供。</w:t>
      </w: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53"/>
        <w:rPr>
          <w:rFonts w:ascii="Arial" w:hAnsi="Arial" w:cs="Arial"/>
          <w:color w:val="auto"/>
          <w:highlight w:val="none"/>
        </w:rPr>
      </w:pPr>
    </w:p>
    <w:p>
      <w:pPr>
        <w:pStyle w:val="141"/>
        <w:spacing w:beforeLines="0" w:after="120"/>
        <w:jc w:val="left"/>
        <w:rPr>
          <w:rFonts w:ascii="Arial" w:hAnsi="Arial" w:cs="Arial"/>
          <w:color w:val="auto"/>
          <w:highlight w:val="none"/>
        </w:rPr>
      </w:pPr>
      <w:r>
        <w:rPr>
          <w:rFonts w:ascii="Arial" w:hAnsi="Arial" w:cs="Arial"/>
          <w:color w:val="auto"/>
          <w:highlight w:val="none"/>
        </w:rPr>
        <w:br w:type="page"/>
      </w:r>
    </w:p>
    <w:p>
      <w:pPr>
        <w:pStyle w:val="141"/>
        <w:spacing w:beforeLines="0" w:after="120"/>
        <w:jc w:val="left"/>
        <w:rPr>
          <w:rFonts w:hint="eastAsia" w:ascii="Arial" w:hAnsi="Arial" w:eastAsia="宋体" w:cs="Arial"/>
          <w:b w:val="0"/>
          <w:color w:val="auto"/>
          <w:spacing w:val="0"/>
          <w:kern w:val="2"/>
          <w:sz w:val="24"/>
          <w:szCs w:val="24"/>
          <w:highlight w:val="none"/>
        </w:rPr>
      </w:pPr>
      <w:r>
        <w:rPr>
          <w:rFonts w:hint="eastAsia" w:ascii="Arial" w:hAnsi="Arial" w:eastAsia="宋体" w:cs="Arial"/>
          <w:b w:val="0"/>
          <w:color w:val="auto"/>
          <w:spacing w:val="0"/>
          <w:kern w:val="2"/>
          <w:sz w:val="24"/>
          <w:szCs w:val="24"/>
          <w:highlight w:val="none"/>
        </w:rPr>
        <w:t>附件</w:t>
      </w:r>
      <w:r>
        <w:rPr>
          <w:rFonts w:hint="eastAsia" w:ascii="Arial" w:hAnsi="Arial" w:eastAsia="宋体" w:cs="Arial"/>
          <w:b w:val="0"/>
          <w:color w:val="auto"/>
          <w:spacing w:val="0"/>
          <w:kern w:val="2"/>
          <w:sz w:val="24"/>
          <w:szCs w:val="24"/>
          <w:highlight w:val="none"/>
          <w:lang w:val="en-US" w:eastAsia="zh-CN"/>
        </w:rPr>
        <w:t>九</w:t>
      </w:r>
      <w:r>
        <w:rPr>
          <w:rFonts w:hint="eastAsia" w:ascii="Arial" w:hAnsi="Arial" w:eastAsia="宋体" w:cs="Arial"/>
          <w:b w:val="0"/>
          <w:color w:val="auto"/>
          <w:spacing w:val="0"/>
          <w:kern w:val="2"/>
          <w:sz w:val="24"/>
          <w:szCs w:val="24"/>
          <w:highlight w:val="none"/>
        </w:rPr>
        <w:t>：施工项目管理团队人员信息表</w:t>
      </w:r>
    </w:p>
    <w:tbl>
      <w:tblPr>
        <w:tblStyle w:val="55"/>
        <w:tblW w:w="9115" w:type="dxa"/>
        <w:jc w:val="center"/>
        <w:tblLayout w:type="fixed"/>
        <w:tblCellMar>
          <w:top w:w="0" w:type="dxa"/>
          <w:left w:w="108" w:type="dxa"/>
          <w:bottom w:w="0" w:type="dxa"/>
          <w:right w:w="108" w:type="dxa"/>
        </w:tblCellMar>
      </w:tblPr>
      <w:tblGrid>
        <w:gridCol w:w="830"/>
        <w:gridCol w:w="1420"/>
        <w:gridCol w:w="1650"/>
        <w:gridCol w:w="2055"/>
        <w:gridCol w:w="3160"/>
      </w:tblGrid>
      <w:tr>
        <w:tblPrEx>
          <w:tblCellMar>
            <w:top w:w="0" w:type="dxa"/>
            <w:left w:w="108" w:type="dxa"/>
            <w:bottom w:w="0" w:type="dxa"/>
            <w:right w:w="108" w:type="dxa"/>
          </w:tblCellMar>
        </w:tblPrEx>
        <w:trPr>
          <w:trHeight w:val="1159" w:hRule="atLeast"/>
          <w:jc w:val="center"/>
        </w:trPr>
        <w:tc>
          <w:tcPr>
            <w:tcW w:w="9115" w:type="dxa"/>
            <w:gridSpan w:val="5"/>
            <w:tcBorders>
              <w:top w:val="nil"/>
              <w:left w:val="nil"/>
              <w:bottom w:val="single" w:color="auto" w:sz="4" w:space="0"/>
              <w:right w:val="nil"/>
            </w:tcBorders>
            <w:shd w:val="clear" w:color="auto" w:fill="auto"/>
            <w:noWrap/>
            <w:vAlign w:val="center"/>
          </w:tcPr>
          <w:p>
            <w:pPr>
              <w:widowControl/>
              <w:jc w:val="center"/>
              <w:rPr>
                <w:rFonts w:ascii="方正大标宋简体" w:hAnsi="等线" w:eastAsia="方正大标宋简体" w:cs="宋体"/>
                <w:b/>
                <w:bCs/>
                <w:color w:val="auto"/>
                <w:kern w:val="0"/>
                <w:sz w:val="24"/>
                <w:szCs w:val="32"/>
                <w:highlight w:val="none"/>
              </w:rPr>
            </w:pPr>
            <w:r>
              <w:rPr>
                <w:rFonts w:hint="eastAsia" w:ascii="方正大标宋简体" w:hAnsi="等线" w:eastAsia="方正大标宋简体" w:cs="宋体"/>
                <w:b/>
                <w:bCs/>
                <w:color w:val="auto"/>
                <w:kern w:val="0"/>
                <w:sz w:val="24"/>
                <w:szCs w:val="32"/>
                <w:highlight w:val="none"/>
              </w:rPr>
              <w:t>施工项目管理团队人员信息表</w:t>
            </w:r>
          </w:p>
        </w:tc>
      </w:tr>
      <w:tr>
        <w:tblPrEx>
          <w:tblCellMar>
            <w:top w:w="0" w:type="dxa"/>
            <w:left w:w="108" w:type="dxa"/>
            <w:bottom w:w="0" w:type="dxa"/>
            <w:right w:w="108" w:type="dxa"/>
          </w:tblCellMar>
        </w:tblPrEx>
        <w:trPr>
          <w:trHeight w:val="975" w:hRule="atLeast"/>
          <w:jc w:val="center"/>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szCs w:val="28"/>
                <w:highlight w:val="none"/>
              </w:rPr>
            </w:pPr>
            <w:r>
              <w:rPr>
                <w:rFonts w:hint="eastAsia" w:ascii="仿宋" w:hAnsi="仿宋" w:eastAsia="仿宋" w:cs="宋体"/>
                <w:b/>
                <w:bCs/>
                <w:color w:val="auto"/>
                <w:kern w:val="0"/>
                <w:sz w:val="24"/>
                <w:szCs w:val="28"/>
                <w:highlight w:val="none"/>
              </w:rPr>
              <w:t>序号</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szCs w:val="28"/>
                <w:highlight w:val="none"/>
              </w:rPr>
            </w:pPr>
            <w:r>
              <w:rPr>
                <w:rFonts w:hint="eastAsia" w:ascii="仿宋" w:hAnsi="仿宋" w:eastAsia="仿宋" w:cs="宋体"/>
                <w:b/>
                <w:bCs/>
                <w:color w:val="auto"/>
                <w:kern w:val="0"/>
                <w:sz w:val="24"/>
                <w:szCs w:val="28"/>
                <w:highlight w:val="none"/>
              </w:rPr>
              <w:t>姓名</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szCs w:val="28"/>
                <w:highlight w:val="none"/>
              </w:rPr>
            </w:pPr>
            <w:r>
              <w:rPr>
                <w:rFonts w:hint="eastAsia" w:ascii="仿宋" w:hAnsi="仿宋" w:eastAsia="仿宋" w:cs="宋体"/>
                <w:b/>
                <w:bCs/>
                <w:color w:val="auto"/>
                <w:kern w:val="0"/>
                <w:sz w:val="24"/>
                <w:szCs w:val="28"/>
                <w:highlight w:val="none"/>
              </w:rPr>
              <w:t>岗位</w:t>
            </w:r>
          </w:p>
        </w:tc>
        <w:tc>
          <w:tcPr>
            <w:tcW w:w="205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szCs w:val="28"/>
                <w:highlight w:val="none"/>
              </w:rPr>
            </w:pPr>
            <w:r>
              <w:rPr>
                <w:rFonts w:hint="eastAsia" w:ascii="仿宋" w:hAnsi="仿宋" w:eastAsia="仿宋" w:cs="宋体"/>
                <w:b/>
                <w:bCs/>
                <w:color w:val="auto"/>
                <w:kern w:val="0"/>
                <w:sz w:val="24"/>
                <w:szCs w:val="28"/>
                <w:highlight w:val="none"/>
              </w:rPr>
              <w:t>职称</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szCs w:val="28"/>
                <w:highlight w:val="none"/>
              </w:rPr>
            </w:pPr>
            <w:r>
              <w:rPr>
                <w:rFonts w:hint="eastAsia" w:ascii="仿宋" w:hAnsi="仿宋" w:eastAsia="仿宋" w:cs="宋体"/>
                <w:b/>
                <w:bCs/>
                <w:color w:val="auto"/>
                <w:kern w:val="0"/>
                <w:sz w:val="24"/>
                <w:szCs w:val="28"/>
                <w:highlight w:val="none"/>
              </w:rPr>
              <w:t>职称证书或资格证书编号</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1</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4</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6</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　</w:t>
            </w:r>
          </w:p>
        </w:tc>
      </w:tr>
      <w:tr>
        <w:tblPrEx>
          <w:tblCellMar>
            <w:top w:w="0" w:type="dxa"/>
            <w:left w:w="108" w:type="dxa"/>
            <w:bottom w:w="0" w:type="dxa"/>
            <w:right w:w="108" w:type="dxa"/>
          </w:tblCellMar>
        </w:tblPrEx>
        <w:trPr>
          <w:trHeight w:val="5802" w:hRule="atLeast"/>
          <w:jc w:val="center"/>
        </w:trPr>
        <w:tc>
          <w:tcPr>
            <w:tcW w:w="91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auto"/>
                <w:kern w:val="0"/>
                <w:sz w:val="24"/>
                <w:szCs w:val="28"/>
                <w:highlight w:val="none"/>
                <w:lang w:eastAsia="zh-CN"/>
              </w:rPr>
            </w:pPr>
            <w:r>
              <w:rPr>
                <w:rFonts w:hint="eastAsia" w:ascii="仿宋" w:hAnsi="仿宋" w:eastAsia="仿宋" w:cs="宋体"/>
                <w:color w:val="auto"/>
                <w:kern w:val="0"/>
                <w:sz w:val="24"/>
                <w:szCs w:val="28"/>
                <w:highlight w:val="none"/>
              </w:rPr>
              <w:t>备注：</w:t>
            </w:r>
          </w:p>
          <w:p>
            <w:pPr>
              <w:widowControl/>
              <w:jc w:val="left"/>
              <w:rPr>
                <w:rFonts w:hint="eastAsia" w:ascii="仿宋" w:hAnsi="仿宋" w:eastAsia="仿宋" w:cs="宋体"/>
                <w:color w:val="auto"/>
                <w:kern w:val="0"/>
                <w:sz w:val="24"/>
                <w:szCs w:val="28"/>
                <w:highlight w:val="none"/>
                <w:lang w:eastAsia="zh-CN"/>
              </w:rPr>
            </w:pPr>
            <w:r>
              <w:rPr>
                <w:rFonts w:hint="eastAsia" w:ascii="仿宋" w:hAnsi="仿宋" w:eastAsia="仿宋" w:cs="宋体"/>
                <w:color w:val="auto"/>
                <w:kern w:val="0"/>
                <w:sz w:val="24"/>
                <w:szCs w:val="28"/>
                <w:highlight w:val="none"/>
              </w:rPr>
              <w:t>1、“岗位”要求</w:t>
            </w:r>
            <w:r>
              <w:rPr>
                <w:rFonts w:hint="eastAsia" w:ascii="仿宋" w:hAnsi="仿宋" w:eastAsia="仿宋" w:cs="宋体"/>
                <w:b/>
                <w:bCs/>
                <w:color w:val="auto"/>
                <w:kern w:val="0"/>
                <w:sz w:val="24"/>
                <w:szCs w:val="28"/>
                <w:highlight w:val="none"/>
              </w:rPr>
              <w:t>（除项目负责人和专职安全员外）</w:t>
            </w:r>
            <w:r>
              <w:rPr>
                <w:rFonts w:hint="eastAsia" w:ascii="仿宋" w:hAnsi="仿宋" w:eastAsia="仿宋" w:cs="宋体"/>
                <w:color w:val="auto"/>
                <w:kern w:val="0"/>
                <w:sz w:val="24"/>
                <w:szCs w:val="28"/>
                <w:highlight w:val="none"/>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w:t>
            </w:r>
          </w:p>
          <w:p>
            <w:pPr>
              <w:widowControl/>
              <w:jc w:val="left"/>
              <w:rPr>
                <w:rFonts w:hint="eastAsia" w:ascii="仿宋" w:hAnsi="仿宋" w:eastAsia="仿宋" w:cs="宋体"/>
                <w:color w:val="auto"/>
                <w:kern w:val="0"/>
                <w:sz w:val="24"/>
                <w:szCs w:val="28"/>
                <w:highlight w:val="none"/>
                <w:lang w:eastAsia="zh-CN"/>
              </w:rPr>
            </w:pPr>
            <w:r>
              <w:rPr>
                <w:rFonts w:hint="eastAsia" w:ascii="仿宋" w:hAnsi="仿宋" w:eastAsia="仿宋" w:cs="宋体"/>
                <w:color w:val="auto"/>
                <w:kern w:val="0"/>
                <w:sz w:val="24"/>
                <w:szCs w:val="28"/>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color w:val="auto"/>
          <w:highlight w:val="none"/>
        </w:rPr>
      </w:pPr>
    </w:p>
    <w:p>
      <w:pPr>
        <w:snapToGrid/>
        <w:spacing w:line="240" w:lineRule="auto"/>
        <w:rPr>
          <w:rFonts w:ascii="Arial" w:hAnsi="Arial" w:cs="Arial"/>
          <w:color w:val="auto"/>
          <w:sz w:val="24"/>
          <w:szCs w:val="24"/>
          <w:highlight w:val="none"/>
        </w:rPr>
      </w:pPr>
      <w:r>
        <w:rPr>
          <w:rFonts w:ascii="Arial" w:hAnsi="Arial" w:cs="Arial"/>
          <w:color w:val="auto"/>
          <w:sz w:val="24"/>
          <w:szCs w:val="24"/>
          <w:highlight w:val="none"/>
        </w:rPr>
        <w:br w:type="page"/>
      </w:r>
    </w:p>
    <w:p>
      <w:pPr>
        <w:pStyle w:val="54"/>
        <w:ind w:left="0" w:leftChars="0" w:firstLine="0" w:firstLineChars="0"/>
        <w:rPr>
          <w:rFonts w:hint="eastAsia" w:ascii="宋体" w:hAnsi="宋体" w:eastAsia="宋体" w:cs="宋体"/>
          <w:bCs/>
          <w:strike/>
          <w:color w:val="auto"/>
          <w:sz w:val="24"/>
          <w:highlight w:val="none"/>
          <w:lang w:eastAsia="zh-CN"/>
        </w:rPr>
      </w:pPr>
      <w:r>
        <w:rPr>
          <w:rFonts w:hint="eastAsia" w:ascii="宋体" w:hAnsi="宋体" w:cs="宋体"/>
          <w:bCs/>
          <w:strike/>
          <w:color w:val="auto"/>
          <w:sz w:val="24"/>
          <w:highlight w:val="none"/>
          <w:lang w:val="en-US" w:eastAsia="zh-CN"/>
        </w:rPr>
        <w:t>附件</w:t>
      </w:r>
      <w:r>
        <w:rPr>
          <w:rFonts w:hint="eastAsia" w:ascii="宋体" w:hAnsi="宋体" w:eastAsia="宋体" w:cs="宋体"/>
          <w:bCs/>
          <w:strike/>
          <w:color w:val="auto"/>
          <w:sz w:val="24"/>
          <w:highlight w:val="none"/>
          <w:lang w:eastAsia="zh-CN"/>
        </w:rPr>
        <w:t>十：</w:t>
      </w:r>
    </w:p>
    <w:p>
      <w:pPr>
        <w:autoSpaceDE w:val="0"/>
        <w:autoSpaceDN w:val="0"/>
        <w:adjustRightInd w:val="0"/>
        <w:ind w:firstLine="586"/>
        <w:jc w:val="left"/>
        <w:rPr>
          <w:rFonts w:hint="eastAsia" w:ascii="宋体" w:hAnsi="宋体" w:eastAsia="宋体" w:cs="宋体"/>
          <w:strike/>
          <w:color w:val="auto"/>
          <w:highlight w:val="none"/>
        </w:rPr>
      </w:pPr>
    </w:p>
    <w:p>
      <w:pPr>
        <w:autoSpaceDE w:val="0"/>
        <w:autoSpaceDN w:val="0"/>
        <w:adjustRightInd w:val="0"/>
        <w:ind w:firstLine="586"/>
        <w:jc w:val="left"/>
        <w:rPr>
          <w:rFonts w:hint="eastAsia" w:ascii="宋体" w:hAnsi="宋体" w:eastAsia="宋体" w:cs="宋体"/>
          <w:strike/>
          <w:color w:val="auto"/>
          <w:highlight w:val="none"/>
        </w:rPr>
      </w:pPr>
    </w:p>
    <w:p>
      <w:pPr>
        <w:autoSpaceDE w:val="0"/>
        <w:autoSpaceDN w:val="0"/>
        <w:adjustRightInd w:val="0"/>
        <w:ind w:firstLine="586"/>
        <w:jc w:val="left"/>
        <w:rPr>
          <w:rFonts w:hint="eastAsia" w:ascii="宋体" w:hAnsi="宋体" w:eastAsia="宋体" w:cs="宋体"/>
          <w:strike/>
          <w:color w:val="auto"/>
          <w:highlight w:val="none"/>
        </w:rPr>
      </w:pPr>
    </w:p>
    <w:p>
      <w:pPr>
        <w:jc w:val="center"/>
        <w:rPr>
          <w:rFonts w:hint="eastAsia" w:ascii="宋体" w:hAnsi="宋体" w:cs="宋体"/>
          <w:b/>
          <w:bCs/>
          <w:strike/>
          <w:color w:val="auto"/>
          <w:sz w:val="28"/>
          <w:szCs w:val="28"/>
          <w:highlight w:val="none"/>
        </w:rPr>
      </w:pPr>
      <w:r>
        <w:rPr>
          <w:rFonts w:ascii="宋体" w:hAnsi="宋体" w:cs="宋体"/>
          <w:b/>
          <w:bCs/>
          <w:strike/>
          <w:color w:val="auto"/>
          <w:sz w:val="28"/>
          <w:szCs w:val="28"/>
          <w:highlight w:val="none"/>
        </w:rPr>
        <w:t>中小企业声明函</w:t>
      </w:r>
      <w:r>
        <w:rPr>
          <w:rFonts w:hint="eastAsia" w:ascii="宋体" w:hAnsi="宋体" w:cs="宋体"/>
          <w:b/>
          <w:bCs/>
          <w:strike/>
          <w:color w:val="auto"/>
          <w:sz w:val="28"/>
          <w:szCs w:val="28"/>
          <w:highlight w:val="none"/>
          <w:lang w:val="en-US" w:eastAsia="zh-CN"/>
        </w:rPr>
        <w:t xml:space="preserve">   </w:t>
      </w:r>
    </w:p>
    <w:p>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本公司郑重声明，根据</w:t>
      </w:r>
      <w:r>
        <w:rPr>
          <w:rFonts w:hint="eastAsia" w:ascii="宋体" w:hAnsi="宋体" w:cs="宋体"/>
          <w:strike/>
          <w:color w:val="auto"/>
          <w:sz w:val="24"/>
          <w:szCs w:val="24"/>
          <w:highlight w:val="none"/>
        </w:rPr>
        <w:t>《关于印发中小企业划型标准规定的通知》（工信部联企业〔2011〕300号）</w:t>
      </w:r>
      <w:r>
        <w:rPr>
          <w:rFonts w:ascii="宋体" w:hAnsi="宋体" w:cs="宋体"/>
          <w:strike/>
          <w:color w:val="auto"/>
          <w:sz w:val="24"/>
          <w:szCs w:val="24"/>
          <w:highlight w:val="none"/>
        </w:rPr>
        <w:t>的规定，本</w:t>
      </w:r>
      <w:r>
        <w:rPr>
          <w:rFonts w:hint="eastAsia" w:ascii="宋体" w:hAnsi="宋体" w:cs="宋体"/>
          <w:strike/>
          <w:color w:val="auto"/>
          <w:sz w:val="24"/>
          <w:szCs w:val="24"/>
          <w:highlight w:val="none"/>
          <w:lang w:eastAsia="zh-CN"/>
        </w:rPr>
        <w:t>公司</w:t>
      </w:r>
      <w:r>
        <w:rPr>
          <w:rFonts w:ascii="宋体" w:hAnsi="宋体" w:cs="宋体"/>
          <w:strike/>
          <w:color w:val="auto"/>
          <w:sz w:val="24"/>
          <w:szCs w:val="24"/>
          <w:highlight w:val="none"/>
        </w:rPr>
        <w:t xml:space="preserve">具体情况如下： </w:t>
      </w:r>
    </w:p>
    <w:p>
      <w:pPr>
        <w:spacing w:line="360" w:lineRule="auto"/>
        <w:ind w:left="479" w:leftChars="228" w:firstLine="0" w:firstLineChars="0"/>
        <w:rPr>
          <w:rFonts w:ascii="宋体" w:hAnsi="宋体" w:cs="宋体"/>
          <w:strike/>
          <w:color w:val="auto"/>
          <w:sz w:val="24"/>
          <w:szCs w:val="24"/>
          <w:highlight w:val="none"/>
        </w:rPr>
      </w:pPr>
      <w:r>
        <w:rPr>
          <w:rFonts w:hint="eastAsia" w:ascii="宋体" w:hAnsi="宋体" w:cs="宋体"/>
          <w:strike/>
          <w:color w:val="auto"/>
          <w:sz w:val="24"/>
          <w:szCs w:val="24"/>
          <w:highlight w:val="none"/>
        </w:rPr>
        <w:t>1.</w:t>
      </w:r>
      <w:r>
        <w:rPr>
          <w:rFonts w:hint="eastAsia" w:ascii="宋体" w:hAnsi="宋体" w:cs="宋体"/>
          <w:strike/>
          <w:color w:val="auto"/>
          <w:sz w:val="24"/>
          <w:szCs w:val="24"/>
          <w:highlight w:val="none"/>
          <w:u w:val="single"/>
        </w:rPr>
        <w:t xml:space="preserve">  </w:t>
      </w:r>
      <w:r>
        <w:rPr>
          <w:rFonts w:hint="eastAsia" w:ascii="宋体" w:hAnsi="宋体" w:cs="宋体"/>
          <w:strike/>
          <w:color w:val="auto"/>
          <w:sz w:val="24"/>
          <w:szCs w:val="24"/>
          <w:highlight w:val="none"/>
          <w:u w:val="single"/>
          <w:lang w:eastAsia="zh-CN"/>
        </w:rPr>
        <w:t>本公司</w:t>
      </w:r>
      <w:r>
        <w:rPr>
          <w:rFonts w:ascii="宋体" w:hAnsi="宋体" w:cs="宋体"/>
          <w:strike/>
          <w:color w:val="auto"/>
          <w:sz w:val="24"/>
          <w:szCs w:val="24"/>
          <w:highlight w:val="none"/>
        </w:rPr>
        <w:t>属于</w:t>
      </w:r>
      <w:r>
        <w:rPr>
          <w:rFonts w:hint="eastAsia" w:ascii="宋体" w:hAnsi="宋体" w:cs="宋体"/>
          <w:strike/>
          <w:color w:val="auto"/>
          <w:sz w:val="24"/>
          <w:szCs w:val="24"/>
          <w:highlight w:val="none"/>
          <w:u w:val="single"/>
          <w:lang w:eastAsia="zh-CN"/>
        </w:rPr>
        <w:t>建筑业</w:t>
      </w:r>
      <w:r>
        <w:rPr>
          <w:rFonts w:ascii="宋体" w:hAnsi="宋体" w:cs="宋体"/>
          <w:strike/>
          <w:color w:val="auto"/>
          <w:sz w:val="24"/>
          <w:szCs w:val="24"/>
          <w:highlight w:val="none"/>
        </w:rPr>
        <w:t>行业；营业收入为</w:t>
      </w:r>
      <w:r>
        <w:rPr>
          <w:rFonts w:ascii="宋体" w:hAnsi="宋体" w:cs="宋体"/>
          <w:strike/>
          <w:color w:val="auto"/>
          <w:sz w:val="24"/>
          <w:szCs w:val="24"/>
          <w:highlight w:val="none"/>
          <w:u w:val="single"/>
        </w:rPr>
        <w:t xml:space="preserve"> </w:t>
      </w:r>
      <w:r>
        <w:rPr>
          <w:rFonts w:hint="eastAsia" w:ascii="宋体" w:hAnsi="宋体" w:cs="宋体"/>
          <w:strike/>
          <w:color w:val="auto"/>
          <w:sz w:val="24"/>
          <w:szCs w:val="24"/>
          <w:highlight w:val="none"/>
          <w:u w:val="single"/>
        </w:rPr>
        <w:t xml:space="preserve">    </w:t>
      </w:r>
      <w:r>
        <w:rPr>
          <w:rFonts w:ascii="宋体" w:hAnsi="宋体" w:cs="宋体"/>
          <w:strike/>
          <w:color w:val="auto"/>
          <w:sz w:val="24"/>
          <w:szCs w:val="24"/>
          <w:highlight w:val="none"/>
        </w:rPr>
        <w:t>万元，资产总额为</w:t>
      </w:r>
      <w:r>
        <w:rPr>
          <w:rFonts w:ascii="宋体" w:hAnsi="宋体" w:cs="宋体"/>
          <w:strike/>
          <w:color w:val="auto"/>
          <w:sz w:val="24"/>
          <w:szCs w:val="24"/>
          <w:highlight w:val="none"/>
          <w:u w:val="single"/>
        </w:rPr>
        <w:t xml:space="preserve"> </w:t>
      </w:r>
      <w:r>
        <w:rPr>
          <w:rFonts w:hint="eastAsia" w:ascii="宋体" w:hAnsi="宋体" w:cs="宋体"/>
          <w:strike/>
          <w:color w:val="auto"/>
          <w:sz w:val="24"/>
          <w:szCs w:val="24"/>
          <w:highlight w:val="none"/>
          <w:u w:val="single"/>
        </w:rPr>
        <w:t xml:space="preserve">      </w:t>
      </w:r>
      <w:r>
        <w:rPr>
          <w:rFonts w:ascii="宋体" w:hAnsi="宋体" w:cs="宋体"/>
          <w:strike/>
          <w:color w:val="auto"/>
          <w:sz w:val="24"/>
          <w:szCs w:val="24"/>
          <w:highlight w:val="none"/>
        </w:rPr>
        <w:t>万元</w:t>
      </w:r>
      <w:r>
        <w:rPr>
          <w:rFonts w:ascii="宋体" w:hAnsi="宋体" w:cs="宋体"/>
          <w:strike/>
          <w:color w:val="auto"/>
          <w:sz w:val="24"/>
          <w:szCs w:val="24"/>
          <w:highlight w:val="none"/>
          <w:vertAlign w:val="superscript"/>
        </w:rPr>
        <w:t xml:space="preserve"> 1</w:t>
      </w:r>
      <w:r>
        <w:rPr>
          <w:rFonts w:ascii="宋体" w:hAnsi="宋体" w:cs="宋体"/>
          <w:strike/>
          <w:color w:val="auto"/>
          <w:sz w:val="24"/>
          <w:szCs w:val="24"/>
          <w:highlight w:val="none"/>
        </w:rPr>
        <w:t>，属于</w:t>
      </w:r>
      <w:r>
        <w:rPr>
          <w:rFonts w:hint="eastAsia" w:ascii="宋体" w:hAnsi="宋体" w:cs="宋体"/>
          <w:strike/>
          <w:color w:val="auto"/>
          <w:sz w:val="24"/>
          <w:szCs w:val="24"/>
          <w:highlight w:val="none"/>
          <w:u w:val="single"/>
        </w:rPr>
        <w:t xml:space="preserve"> </w:t>
      </w:r>
      <w:r>
        <w:rPr>
          <w:rFonts w:ascii="宋体" w:hAnsi="宋体" w:cs="宋体"/>
          <w:strike/>
          <w:color w:val="auto"/>
          <w:sz w:val="24"/>
          <w:szCs w:val="24"/>
          <w:highlight w:val="none"/>
          <w:u w:val="single"/>
        </w:rPr>
        <w:t>（中型企业、小型企业、微型企业）</w:t>
      </w:r>
      <w:r>
        <w:rPr>
          <w:rFonts w:hint="eastAsia" w:ascii="宋体" w:hAnsi="宋体" w:cs="宋体"/>
          <w:strike/>
          <w:color w:val="auto"/>
          <w:sz w:val="24"/>
          <w:szCs w:val="24"/>
          <w:highlight w:val="none"/>
          <w:u w:val="single"/>
        </w:rPr>
        <w:t xml:space="preserve"> </w:t>
      </w:r>
      <w:r>
        <w:rPr>
          <w:rFonts w:ascii="宋体" w:hAnsi="宋体" w:cs="宋体"/>
          <w:strike/>
          <w:color w:val="auto"/>
          <w:sz w:val="24"/>
          <w:szCs w:val="24"/>
          <w:highlight w:val="none"/>
        </w:rPr>
        <w:t xml:space="preserve">； </w:t>
      </w:r>
    </w:p>
    <w:p>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lang w:eastAsia="zh-CN"/>
        </w:rPr>
        <w:t>本公司</w:t>
      </w:r>
      <w:r>
        <w:rPr>
          <w:rFonts w:ascii="宋体" w:hAnsi="宋体" w:cs="宋体"/>
          <w:strike/>
          <w:color w:val="auto"/>
          <w:sz w:val="24"/>
          <w:szCs w:val="24"/>
          <w:highlight w:val="none"/>
        </w:rPr>
        <w:t xml:space="preserve">不属于大企业的分支机构，不存在控股股东为大企业的情形，也不存在与大企业的负责人为同一人的情形。 </w:t>
      </w:r>
    </w:p>
    <w:p>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本企业对上述声明内容的真实性负责。如有虚假，将依法承担相应责任。 </w:t>
      </w:r>
    </w:p>
    <w:p>
      <w:pPr>
        <w:spacing w:line="360" w:lineRule="auto"/>
        <w:ind w:firstLine="6480" w:firstLineChars="2700"/>
        <w:rPr>
          <w:rFonts w:ascii="宋体" w:hAnsi="宋体" w:cs="宋体"/>
          <w:strike/>
          <w:color w:val="auto"/>
          <w:sz w:val="24"/>
          <w:szCs w:val="24"/>
          <w:highlight w:val="none"/>
        </w:rPr>
      </w:pPr>
      <w:r>
        <w:rPr>
          <w:rFonts w:ascii="宋体" w:hAnsi="宋体" w:cs="宋体"/>
          <w:strike/>
          <w:color w:val="auto"/>
          <w:sz w:val="24"/>
          <w:szCs w:val="24"/>
          <w:highlight w:val="none"/>
        </w:rPr>
        <w:t xml:space="preserve">企业名称（盖章）： </w:t>
      </w:r>
    </w:p>
    <w:p>
      <w:pPr>
        <w:pStyle w:val="615"/>
        <w:spacing w:line="360" w:lineRule="auto"/>
        <w:ind w:left="4253" w:leftChars="2025"/>
        <w:jc w:val="center"/>
        <w:rPr>
          <w:rFonts w:ascii="宋体" w:hAnsi="宋体"/>
          <w:strike/>
          <w:color w:val="auto"/>
          <w:highlight w:val="none"/>
          <w:u w:val="single"/>
        </w:rPr>
      </w:pPr>
      <w:r>
        <w:rPr>
          <w:rFonts w:hint="eastAsia" w:ascii="宋体" w:hAnsi="宋体" w:cs="宋体"/>
          <w:strike/>
          <w:color w:val="auto"/>
          <w:sz w:val="24"/>
          <w:szCs w:val="24"/>
          <w:highlight w:val="none"/>
        </w:rPr>
        <w:t xml:space="preserve"> </w:t>
      </w:r>
      <w:r>
        <w:rPr>
          <w:rFonts w:hint="eastAsia" w:ascii="宋体" w:hAnsi="宋体" w:cs="宋体"/>
          <w:strike/>
          <w:color w:val="auto"/>
          <w:sz w:val="24"/>
          <w:szCs w:val="24"/>
          <w:highlight w:val="none"/>
          <w:lang w:val="en-US" w:eastAsia="zh-CN"/>
        </w:rPr>
        <w:t xml:space="preserve"> </w:t>
      </w:r>
      <w:r>
        <w:rPr>
          <w:rFonts w:ascii="宋体" w:hAnsi="宋体" w:cs="宋体"/>
          <w:strike/>
          <w:color w:val="auto"/>
          <w:sz w:val="24"/>
          <w:szCs w:val="24"/>
          <w:highlight w:val="none"/>
        </w:rPr>
        <w:t>日 期：</w:t>
      </w:r>
      <w:r>
        <w:rPr>
          <w:rFonts w:hint="eastAsia" w:ascii="宋体" w:hAnsi="宋体"/>
          <w:strike/>
          <w:color w:val="auto"/>
          <w:highlight w:val="none"/>
          <w:u w:val="single"/>
        </w:rPr>
        <w:t xml:space="preserve">                                                                                    </w:t>
      </w:r>
    </w:p>
    <w:p>
      <w:pPr>
        <w:pStyle w:val="615"/>
        <w:spacing w:line="360" w:lineRule="auto"/>
        <w:ind w:firstLine="630" w:firstLineChars="300"/>
        <w:rPr>
          <w:rFonts w:hint="eastAsia" w:ascii="宋体" w:hAnsi="宋体"/>
          <w:strike/>
          <w:color w:val="auto"/>
          <w:highlight w:val="none"/>
        </w:rPr>
      </w:pPr>
    </w:p>
    <w:p>
      <w:pPr>
        <w:pStyle w:val="615"/>
        <w:spacing w:line="360" w:lineRule="auto"/>
        <w:ind w:firstLine="630" w:firstLineChars="300"/>
        <w:rPr>
          <w:rFonts w:hint="eastAsia" w:ascii="宋体" w:hAnsi="宋体"/>
          <w:strike/>
          <w:color w:val="auto"/>
          <w:highlight w:val="none"/>
        </w:rPr>
      </w:pPr>
    </w:p>
    <w:p>
      <w:pPr>
        <w:pStyle w:val="615"/>
        <w:spacing w:line="360" w:lineRule="auto"/>
        <w:ind w:firstLine="630" w:firstLineChars="300"/>
        <w:rPr>
          <w:rFonts w:hint="eastAsia" w:ascii="宋体" w:hAnsi="宋体"/>
          <w:strike/>
          <w:color w:val="auto"/>
          <w:highlight w:val="none"/>
        </w:rPr>
      </w:pPr>
      <w:r>
        <w:rPr>
          <w:rFonts w:hint="eastAsia" w:ascii="宋体" w:hAnsi="宋体"/>
          <w:strike/>
          <w:color w:val="auto"/>
          <w:highlight w:val="none"/>
        </w:rPr>
        <w:t>注：1、营业收入、资产总额填报上一年度数据，无上一年度数据的新成立企业可不填报。</w:t>
      </w:r>
    </w:p>
    <w:p>
      <w:pPr>
        <w:pStyle w:val="615"/>
        <w:numPr>
          <w:ilvl w:val="0"/>
          <w:numId w:val="7"/>
        </w:numPr>
        <w:spacing w:line="360" w:lineRule="auto"/>
        <w:ind w:firstLine="630" w:firstLineChars="300"/>
        <w:rPr>
          <w:rFonts w:hint="eastAsia" w:ascii="宋体" w:hAnsi="宋体"/>
          <w:strike/>
          <w:color w:val="auto"/>
          <w:highlight w:val="none"/>
        </w:rPr>
      </w:pPr>
      <w:r>
        <w:rPr>
          <w:rFonts w:hint="eastAsia" w:ascii="宋体" w:hAnsi="宋体"/>
          <w:strike/>
          <w:color w:val="auto"/>
          <w:highlight w:val="none"/>
        </w:rPr>
        <w:t>《中小企业声明函》须按照本函格式填写，否则</w:t>
      </w:r>
      <w:r>
        <w:rPr>
          <w:rFonts w:hint="eastAsia" w:ascii="宋体" w:hAnsi="宋体"/>
          <w:strike/>
          <w:color w:val="auto"/>
          <w:highlight w:val="none"/>
          <w:lang w:eastAsia="zh-CN"/>
        </w:rPr>
        <w:t>评标委员会</w:t>
      </w:r>
      <w:r>
        <w:rPr>
          <w:rFonts w:hint="eastAsia" w:ascii="宋体" w:hAnsi="宋体"/>
          <w:strike/>
          <w:color w:val="auto"/>
          <w:highlight w:val="none"/>
        </w:rPr>
        <w:t>有权视其为非中小微企业，不享受</w:t>
      </w:r>
      <w:r>
        <w:rPr>
          <w:rFonts w:hint="eastAsia" w:ascii="宋体" w:hAnsi="宋体"/>
          <w:strike/>
          <w:color w:val="auto"/>
          <w:highlight w:val="none"/>
          <w:lang w:eastAsia="zh-CN"/>
        </w:rPr>
        <w:t>免于提交投标保证金的优化政策</w:t>
      </w:r>
      <w:r>
        <w:rPr>
          <w:rFonts w:hint="eastAsia" w:ascii="宋体" w:hAnsi="宋体"/>
          <w:strike/>
          <w:color w:val="auto"/>
          <w:highlight w:val="none"/>
        </w:rPr>
        <w:t>。</w:t>
      </w:r>
    </w:p>
    <w:p>
      <w:pPr>
        <w:pStyle w:val="615"/>
        <w:numPr>
          <w:ilvl w:val="0"/>
          <w:numId w:val="7"/>
        </w:numPr>
        <w:spacing w:line="360" w:lineRule="auto"/>
        <w:ind w:firstLine="630" w:firstLineChars="300"/>
        <w:rPr>
          <w:rFonts w:hint="eastAsia" w:ascii="宋体" w:hAnsi="宋体"/>
          <w:strike/>
          <w:color w:val="auto"/>
          <w:highlight w:val="none"/>
        </w:rPr>
      </w:pPr>
      <w:r>
        <w:rPr>
          <w:rFonts w:hint="eastAsia" w:ascii="宋体" w:hAnsi="宋体"/>
          <w:strike/>
          <w:color w:val="auto"/>
          <w:highlight w:val="none"/>
          <w:lang w:eastAsia="zh-CN"/>
        </w:rPr>
        <w:t>招标人</w:t>
      </w:r>
      <w:r>
        <w:rPr>
          <w:rFonts w:hint="eastAsia" w:ascii="宋体" w:hAnsi="宋体"/>
          <w:strike/>
          <w:color w:val="auto"/>
          <w:highlight w:val="none"/>
        </w:rPr>
        <w:t>、</w:t>
      </w:r>
      <w:r>
        <w:rPr>
          <w:rFonts w:hint="eastAsia" w:ascii="宋体" w:hAnsi="宋体"/>
          <w:strike/>
          <w:color w:val="auto"/>
          <w:highlight w:val="none"/>
          <w:lang w:eastAsia="zh-CN"/>
        </w:rPr>
        <w:t>招标</w:t>
      </w:r>
      <w:r>
        <w:rPr>
          <w:rFonts w:hint="eastAsia" w:ascii="宋体" w:hAnsi="宋体"/>
          <w:strike/>
          <w:color w:val="auto"/>
          <w:highlight w:val="none"/>
        </w:rPr>
        <w:t>代理机构将按有关规定公开《中小企业声明函》</w:t>
      </w:r>
      <w:r>
        <w:rPr>
          <w:rFonts w:hint="eastAsia" w:ascii="宋体" w:hAnsi="宋体"/>
          <w:strike/>
          <w:color w:val="auto"/>
          <w:highlight w:val="none"/>
          <w:lang w:eastAsia="zh-CN"/>
        </w:rPr>
        <w:t>。</w:t>
      </w:r>
    </w:p>
    <w:p>
      <w:pPr>
        <w:pStyle w:val="2"/>
        <w:rPr>
          <w:rFonts w:hint="default" w:hAnsi="宋体" w:cs="宋体"/>
          <w:color w:val="auto"/>
          <w:sz w:val="24"/>
          <w:szCs w:val="24"/>
          <w:highlight w:val="none"/>
          <w:lang w:val="en-US" w:eastAsia="zh-CN"/>
        </w:rPr>
      </w:pPr>
    </w:p>
    <w:p>
      <w:pPr>
        <w:tabs>
          <w:tab w:val="left" w:pos="720"/>
        </w:tabs>
        <w:snapToGrid w:val="0"/>
        <w:spacing w:line="360" w:lineRule="auto"/>
        <w:jc w:val="center"/>
        <w:rPr>
          <w:rStyle w:val="74"/>
          <w:rFonts w:cs="Arial"/>
          <w:color w:val="auto"/>
          <w:highlight w:val="none"/>
        </w:rPr>
      </w:pPr>
      <w:r>
        <w:rPr>
          <w:rFonts w:ascii="Arial" w:hAnsi="Arial" w:cs="Arial"/>
          <w:color w:val="auto"/>
          <w:sz w:val="24"/>
          <w:szCs w:val="24"/>
          <w:highlight w:val="none"/>
        </w:rPr>
        <w:br w:type="page"/>
      </w:r>
      <w:bookmarkStart w:id="65" w:name="_Toc2272568"/>
      <w:bookmarkStart w:id="66" w:name="_Toc101266308"/>
      <w:r>
        <w:rPr>
          <w:rStyle w:val="74"/>
          <w:rFonts w:cs="Arial"/>
          <w:color w:val="auto"/>
          <w:highlight w:val="none"/>
        </w:rPr>
        <w:t>第五章  技术条件（工程建设标准）</w:t>
      </w:r>
      <w:bookmarkEnd w:id="65"/>
      <w:bookmarkEnd w:id="66"/>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 w:val="24"/>
          <w:szCs w:val="24"/>
          <w:highlight w:val="none"/>
        </w:rPr>
      </w:pPr>
      <w:bookmarkStart w:id="67" w:name="_Toc43251299"/>
      <w:bookmarkStart w:id="68" w:name="_Toc503284277"/>
      <w:bookmarkStart w:id="69" w:name="_Toc10065"/>
      <w:r>
        <w:rPr>
          <w:rFonts w:hint="eastAsia" w:ascii="宋体" w:hAnsi="宋体" w:cs="宋体"/>
          <w:color w:val="auto"/>
          <w:sz w:val="24"/>
          <w:szCs w:val="24"/>
          <w:highlight w:val="none"/>
        </w:rPr>
        <w:t>1、具体按施工图纸。</w:t>
      </w:r>
      <w:bookmarkEnd w:id="67"/>
      <w:bookmarkEnd w:id="68"/>
      <w:bookmarkEnd w:id="69"/>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4"/>
          <w:szCs w:val="24"/>
          <w:highlight w:val="none"/>
        </w:rPr>
      </w:pPr>
      <w:bookmarkStart w:id="70" w:name="_Toc12842"/>
      <w:bookmarkStart w:id="71" w:name="_Toc503284278"/>
      <w:bookmarkStart w:id="72" w:name="_Toc43251300"/>
      <w:r>
        <w:rPr>
          <w:rFonts w:hint="eastAsia" w:ascii="宋体" w:hAnsi="宋体" w:cs="宋体"/>
          <w:color w:val="auto"/>
          <w:sz w:val="24"/>
          <w:szCs w:val="24"/>
          <w:highlight w:val="none"/>
        </w:rPr>
        <w:t>2、依据设计文件的要求，本招标工程项目的材料、设备、施工须达到中华人民共和国以及省、市或行业的工程建设标准、规范的要求。</w:t>
      </w:r>
      <w:bookmarkEnd w:id="70"/>
      <w:bookmarkEnd w:id="71"/>
      <w:bookmarkEnd w:id="72"/>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3.施工现场建筑垃圾源头减量的具体要求和建筑垃圾综合利用产品的使用要求：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建筑垃圾应当按照国家有关规定进行分类，实行分类收集、分类贮存、分类运输、分类处置。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建设单位应当建立建筑垃圾分类收集、贮存以及台账管理等制度，督促施工单位开展建筑垃圾分类和合法装载，并及时向工程所在地县级人民政府建筑垃圾主管部门报送建筑垃圾处理方案。</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施工单位应当建立建筑垃圾管理台账，分类收集、贮存和及时清运施工过程中产生的建筑垃圾，采取有效措施防止混合已分类的建筑垃圾。</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工程施工单位应当将建筑垃圾的产生量与种类、清运时间、最终去向等信息在施工现场公示，接受社会监督。</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建筑垃圾运输车辆、船舶应当符合相应的载运技术条件。建筑垃圾处置场所为陆域的，不得采用开底式船舶运输建筑垃圾。</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3.5工程泥浆应当在施工现场进行脱水固化处理。施工现场不具备条件的，应当采用罐装器具密闭运输至依法设置的建筑垃圾处置场所进行处置。水上工程中依法无需经脱水处理的除外。</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具备现场综合利用条件的建设工程，应当进行建筑垃圾现场综合利用。</w:t>
      </w:r>
    </w:p>
    <w:p>
      <w:pPr>
        <w:spacing w:line="360" w:lineRule="exact"/>
        <w:ind w:firstLine="480" w:firstLineChars="200"/>
        <w:rPr>
          <w:rFonts w:ascii="宋体" w:hAnsi="宋体"/>
          <w:color w:val="auto"/>
          <w:sz w:val="24"/>
          <w:szCs w:val="24"/>
          <w:highlight w:val="none"/>
          <w:u w:val="single"/>
        </w:rPr>
      </w:pPr>
      <w:r>
        <w:rPr>
          <w:rFonts w:hint="eastAsia" w:ascii="宋体" w:hAnsi="宋体" w:eastAsia="宋体" w:cs="宋体"/>
          <w:color w:val="auto"/>
          <w:sz w:val="24"/>
          <w:szCs w:val="24"/>
          <w:highlight w:val="none"/>
        </w:rPr>
        <w:t>3.7 建设单位和施工单位严格遵守并执行《广东省建筑垃圾管理条例》。</w:t>
      </w:r>
    </w:p>
    <w:p>
      <w:pPr>
        <w:pStyle w:val="3"/>
        <w:rPr>
          <w:rFonts w:cs="Arial"/>
          <w:color w:val="auto"/>
          <w:highlight w:val="none"/>
        </w:rPr>
      </w:pPr>
      <w:r>
        <w:rPr>
          <w:rFonts w:cs="Arial"/>
          <w:color w:val="auto"/>
          <w:sz w:val="24"/>
          <w:szCs w:val="24"/>
          <w:highlight w:val="none"/>
        </w:rPr>
        <w:br w:type="page"/>
      </w:r>
      <w:bookmarkStart w:id="73" w:name="_Toc2272569"/>
      <w:bookmarkStart w:id="74" w:name="_Toc101266309"/>
      <w:r>
        <w:rPr>
          <w:rFonts w:cs="Arial"/>
          <w:color w:val="auto"/>
          <w:highlight w:val="none"/>
        </w:rPr>
        <w:t>第六章  图纸及勘察资料</w:t>
      </w:r>
      <w:bookmarkEnd w:id="73"/>
      <w:bookmarkEnd w:id="74"/>
    </w:p>
    <w:p>
      <w:pPr>
        <w:rPr>
          <w:rFonts w:ascii="Arial" w:hAnsi="Arial" w:cs="Arial"/>
          <w:b/>
          <w:color w:val="auto"/>
          <w:sz w:val="24"/>
          <w:szCs w:val="24"/>
          <w:highlight w:val="none"/>
        </w:rPr>
      </w:pPr>
      <w:r>
        <w:rPr>
          <w:rFonts w:ascii="Arial" w:hAnsi="Arial" w:cs="Arial"/>
          <w:color w:val="auto"/>
          <w:sz w:val="24"/>
          <w:szCs w:val="24"/>
          <w:highlight w:val="none"/>
        </w:rPr>
        <w:t>注：本章由招标人自行制定，另册。</w:t>
      </w:r>
    </w:p>
    <w:p>
      <w:pPr>
        <w:pStyle w:val="3"/>
        <w:rPr>
          <w:rFonts w:cs="Arial"/>
          <w:color w:val="auto"/>
          <w:highlight w:val="none"/>
        </w:rPr>
      </w:pPr>
      <w:r>
        <w:rPr>
          <w:rFonts w:cs="Arial"/>
          <w:color w:val="auto"/>
          <w:sz w:val="24"/>
          <w:szCs w:val="24"/>
          <w:highlight w:val="none"/>
        </w:rPr>
        <w:br w:type="page"/>
      </w:r>
      <w:bookmarkStart w:id="75" w:name="_Toc101266310"/>
      <w:bookmarkStart w:id="76" w:name="_Toc2272570"/>
      <w:r>
        <w:rPr>
          <w:rFonts w:cs="Arial"/>
          <w:color w:val="auto"/>
          <w:highlight w:val="none"/>
        </w:rPr>
        <w:t>第七章  工程量清单</w:t>
      </w:r>
      <w:bookmarkEnd w:id="75"/>
      <w:bookmarkEnd w:id="76"/>
    </w:p>
    <w:p>
      <w:pPr>
        <w:rPr>
          <w:rFonts w:ascii="Arial" w:hAnsi="Arial" w:cs="Arial"/>
          <w:b/>
          <w:color w:val="auto"/>
          <w:sz w:val="24"/>
          <w:szCs w:val="24"/>
          <w:highlight w:val="none"/>
        </w:rPr>
      </w:pPr>
      <w:r>
        <w:rPr>
          <w:rFonts w:ascii="Arial" w:hAnsi="Arial" w:cs="Arial"/>
          <w:color w:val="auto"/>
          <w:sz w:val="24"/>
          <w:szCs w:val="24"/>
          <w:highlight w:val="none"/>
        </w:rPr>
        <w:t>注：本章由招标人自行制定，另册。</w:t>
      </w:r>
    </w:p>
    <w:p>
      <w:pPr>
        <w:pStyle w:val="53"/>
        <w:spacing w:after="0" w:line="360" w:lineRule="auto"/>
        <w:ind w:left="-2" w:leftChars="-1" w:firstLine="960" w:firstLineChars="400"/>
        <w:rPr>
          <w:rFonts w:ascii="Arial" w:hAnsi="Arial" w:cs="Arial"/>
          <w:color w:val="auto"/>
          <w:sz w:val="24"/>
          <w:highlight w:val="none"/>
        </w:rPr>
      </w:pPr>
    </w:p>
    <w:p>
      <w:pPr>
        <w:pStyle w:val="3"/>
        <w:rPr>
          <w:rFonts w:cs="Arial"/>
          <w:color w:val="auto"/>
          <w:highlight w:val="none"/>
        </w:rPr>
      </w:pPr>
    </w:p>
    <w:p>
      <w:pPr>
        <w:pStyle w:val="3"/>
        <w:rPr>
          <w:rFonts w:cs="Arial"/>
          <w:color w:val="auto"/>
          <w:highlight w:val="none"/>
        </w:rPr>
      </w:pPr>
      <w:r>
        <w:rPr>
          <w:rFonts w:cs="Arial"/>
          <w:color w:val="auto"/>
          <w:sz w:val="24"/>
          <w:szCs w:val="24"/>
          <w:highlight w:val="none"/>
        </w:rPr>
        <w:br w:type="page"/>
      </w:r>
      <w:bookmarkStart w:id="77" w:name="_Toc2272571"/>
      <w:bookmarkStart w:id="78" w:name="_Toc101266311"/>
      <w:r>
        <w:rPr>
          <w:rFonts w:cs="Arial"/>
          <w:color w:val="auto"/>
          <w:highlight w:val="none"/>
        </w:rPr>
        <w:t>第八章  最高投标限价</w:t>
      </w:r>
      <w:bookmarkEnd w:id="77"/>
      <w:bookmarkEnd w:id="78"/>
    </w:p>
    <w:p>
      <w:pPr>
        <w:spacing w:line="360" w:lineRule="auto"/>
        <w:ind w:firstLine="480"/>
        <w:rPr>
          <w:rFonts w:ascii="Arial" w:hAnsi="Arial" w:cs="Arial"/>
          <w:color w:val="auto"/>
          <w:sz w:val="24"/>
          <w:szCs w:val="24"/>
          <w:highlight w:val="none"/>
        </w:rPr>
      </w:pPr>
      <w:r>
        <w:rPr>
          <w:rFonts w:ascii="Arial" w:hAnsi="Arial" w:cs="Arial"/>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Arial" w:hAnsi="Arial" w:cs="Arial"/>
          <w:color w:val="auto"/>
          <w:sz w:val="24"/>
          <w:szCs w:val="24"/>
          <w:highlight w:val="none"/>
          <w:u w:val="single"/>
        </w:rPr>
      </w:pPr>
    </w:p>
    <w:tbl>
      <w:tblPr>
        <w:tblStyle w:val="5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5" w:hRule="atLeast"/>
        </w:trPr>
        <w:tc>
          <w:tcPr>
            <w:tcW w:w="8528" w:type="dxa"/>
          </w:tcPr>
          <w:p>
            <w:pPr>
              <w:spacing w:line="600" w:lineRule="exact"/>
              <w:jc w:val="center"/>
              <w:rPr>
                <w:rFonts w:ascii="Arial" w:hAnsi="Arial" w:cs="Arial"/>
                <w:b/>
                <w:color w:val="auto"/>
                <w:spacing w:val="60"/>
                <w:sz w:val="44"/>
                <w:szCs w:val="44"/>
                <w:highlight w:val="none"/>
              </w:rPr>
            </w:pPr>
            <w:r>
              <w:rPr>
                <w:rFonts w:ascii="Arial" w:hAnsi="Arial" w:cs="Arial"/>
                <w:b/>
                <w:color w:val="auto"/>
                <w:spacing w:val="60"/>
                <w:sz w:val="44"/>
                <w:szCs w:val="44"/>
                <w:highlight w:val="none"/>
              </w:rPr>
              <w:t>最高投标限价公布函</w:t>
            </w:r>
          </w:p>
          <w:p>
            <w:pPr>
              <w:spacing w:line="600" w:lineRule="exact"/>
              <w:jc w:val="center"/>
              <w:rPr>
                <w:rFonts w:ascii="Arial" w:hAnsi="Arial" w:cs="Arial"/>
                <w:b/>
                <w:color w:val="auto"/>
                <w:spacing w:val="60"/>
                <w:sz w:val="44"/>
                <w:szCs w:val="44"/>
                <w:highlight w:val="none"/>
              </w:rPr>
            </w:pPr>
            <w:r>
              <w:rPr>
                <w:rFonts w:ascii="Arial" w:hAnsi="Arial" w:cs="Arial"/>
                <w:b/>
                <w:color w:val="auto"/>
                <w:spacing w:val="60"/>
                <w:sz w:val="44"/>
                <w:szCs w:val="44"/>
                <w:highlight w:val="none"/>
              </w:rPr>
              <w:t>（参考格式）</w:t>
            </w:r>
          </w:p>
          <w:p>
            <w:pPr>
              <w:spacing w:line="360" w:lineRule="auto"/>
              <w:rPr>
                <w:rFonts w:ascii="Arial" w:hAnsi="Arial" w:cs="Arial"/>
                <w:color w:val="auto"/>
                <w:szCs w:val="21"/>
                <w:highlight w:val="none"/>
              </w:rPr>
            </w:pPr>
          </w:p>
          <w:p>
            <w:pPr>
              <w:spacing w:line="360" w:lineRule="auto"/>
              <w:rPr>
                <w:rFonts w:ascii="Arial" w:hAnsi="Arial" w:cs="Arial"/>
                <w:color w:val="auto"/>
                <w:sz w:val="24"/>
                <w:szCs w:val="24"/>
                <w:highlight w:val="none"/>
              </w:rPr>
            </w:pPr>
            <w:r>
              <w:rPr>
                <w:rFonts w:ascii="Arial" w:hAnsi="Arial" w:cs="Arial"/>
                <w:color w:val="auto"/>
                <w:sz w:val="24"/>
                <w:szCs w:val="24"/>
                <w:highlight w:val="none"/>
              </w:rPr>
              <w:t>工程名称：</w:t>
            </w:r>
            <w:r>
              <w:rPr>
                <w:rFonts w:ascii="Arial" w:hAnsi="Arial" w:cs="Arial"/>
                <w:color w:val="auto"/>
                <w:sz w:val="24"/>
                <w:szCs w:val="24"/>
                <w:highlight w:val="none"/>
                <w:u w:val="single"/>
              </w:rPr>
              <w:t xml:space="preserve">                                                            </w:t>
            </w:r>
          </w:p>
          <w:p>
            <w:pPr>
              <w:spacing w:line="360" w:lineRule="auto"/>
              <w:rPr>
                <w:rFonts w:ascii="Arial" w:hAnsi="Arial" w:cs="Arial"/>
                <w:color w:val="auto"/>
                <w:sz w:val="24"/>
                <w:szCs w:val="24"/>
                <w:highlight w:val="none"/>
              </w:rPr>
            </w:pPr>
            <w:r>
              <w:rPr>
                <w:rFonts w:ascii="Arial" w:hAnsi="Arial" w:cs="Arial"/>
                <w:color w:val="auto"/>
                <w:sz w:val="24"/>
                <w:szCs w:val="24"/>
                <w:highlight w:val="none"/>
              </w:rPr>
              <w:t>最高投标限价（元）：</w:t>
            </w:r>
            <w:r>
              <w:rPr>
                <w:rFonts w:ascii="Arial" w:hAnsi="Arial" w:cs="Arial"/>
                <w:color w:val="auto"/>
                <w:sz w:val="24"/>
                <w:szCs w:val="24"/>
                <w:highlight w:val="none"/>
                <w:u w:val="single"/>
              </w:rPr>
              <w:t xml:space="preserve">                                                   </w:t>
            </w:r>
          </w:p>
          <w:p>
            <w:pPr>
              <w:spacing w:line="360" w:lineRule="auto"/>
              <w:ind w:firstLine="480" w:firstLineChars="200"/>
              <w:rPr>
                <w:rFonts w:ascii="Arial" w:hAnsi="Arial" w:cs="Arial"/>
                <w:color w:val="auto"/>
                <w:sz w:val="24"/>
                <w:szCs w:val="24"/>
                <w:highlight w:val="none"/>
                <w:u w:val="single"/>
              </w:rPr>
            </w:pPr>
            <w:r>
              <w:rPr>
                <w:rFonts w:ascii="Arial" w:hAnsi="Arial" w:cs="Arial"/>
                <w:color w:val="auto"/>
                <w:sz w:val="24"/>
                <w:szCs w:val="24"/>
                <w:highlight w:val="none"/>
              </w:rPr>
              <w:t>分部分项工程费（元）：</w:t>
            </w:r>
            <w:r>
              <w:rPr>
                <w:rFonts w:ascii="Arial" w:hAnsi="Arial" w:cs="Arial"/>
                <w:color w:val="auto"/>
                <w:sz w:val="24"/>
                <w:szCs w:val="24"/>
                <w:highlight w:val="none"/>
                <w:u w:val="single"/>
              </w:rPr>
              <w:t xml:space="preserve">                                             </w:t>
            </w:r>
          </w:p>
          <w:p>
            <w:pPr>
              <w:spacing w:line="360" w:lineRule="auto"/>
              <w:ind w:firstLine="480" w:firstLineChars="200"/>
              <w:rPr>
                <w:rFonts w:ascii="Arial" w:hAnsi="Arial" w:cs="Arial"/>
                <w:color w:val="auto"/>
                <w:sz w:val="24"/>
                <w:szCs w:val="24"/>
                <w:highlight w:val="none"/>
                <w:u w:val="single"/>
              </w:rPr>
            </w:pPr>
            <w:r>
              <w:rPr>
                <w:rFonts w:ascii="Arial" w:hAnsi="Arial" w:cs="Arial"/>
                <w:color w:val="auto"/>
                <w:sz w:val="24"/>
                <w:szCs w:val="24"/>
                <w:highlight w:val="none"/>
              </w:rPr>
              <w:t>措施项目费（元）：</w:t>
            </w:r>
            <w:r>
              <w:rPr>
                <w:rFonts w:ascii="Arial" w:hAnsi="Arial" w:cs="Arial"/>
                <w:color w:val="auto"/>
                <w:sz w:val="24"/>
                <w:szCs w:val="24"/>
                <w:highlight w:val="none"/>
                <w:u w:val="single"/>
              </w:rPr>
              <w:t xml:space="preserve">                                                 </w:t>
            </w:r>
          </w:p>
          <w:p>
            <w:pPr>
              <w:spacing w:line="360" w:lineRule="auto"/>
              <w:ind w:firstLine="960" w:firstLineChars="400"/>
              <w:rPr>
                <w:rFonts w:ascii="Arial" w:hAnsi="Arial" w:cs="Arial"/>
                <w:color w:val="auto"/>
                <w:sz w:val="24"/>
                <w:szCs w:val="24"/>
                <w:highlight w:val="none"/>
                <w:u w:val="single"/>
              </w:rPr>
            </w:pPr>
            <w:r>
              <w:rPr>
                <w:rFonts w:ascii="Arial" w:hAnsi="Arial" w:cs="Arial"/>
                <w:color w:val="auto"/>
                <w:sz w:val="24"/>
                <w:szCs w:val="24"/>
                <w:highlight w:val="none"/>
              </w:rPr>
              <w:t>其中绿色施工安全防护措施费（元）：</w:t>
            </w:r>
            <w:r>
              <w:rPr>
                <w:rFonts w:ascii="Arial" w:hAnsi="Arial" w:cs="Arial"/>
                <w:color w:val="auto"/>
                <w:sz w:val="24"/>
                <w:szCs w:val="24"/>
                <w:highlight w:val="none"/>
                <w:u w:val="single"/>
              </w:rPr>
              <w:t xml:space="preserve">                             </w:t>
            </w:r>
          </w:p>
          <w:p>
            <w:pPr>
              <w:spacing w:line="360" w:lineRule="auto"/>
              <w:ind w:firstLine="723" w:firstLineChars="300"/>
              <w:rPr>
                <w:rFonts w:ascii="Arial" w:hAnsi="Arial" w:cs="Arial"/>
                <w:color w:val="auto"/>
                <w:sz w:val="24"/>
                <w:szCs w:val="24"/>
                <w:highlight w:val="none"/>
              </w:rPr>
            </w:pPr>
            <w:r>
              <w:rPr>
                <w:rFonts w:ascii="Arial" w:hAnsi="Arial" w:cs="Arial"/>
                <w:b/>
                <w:color w:val="auto"/>
                <w:sz w:val="24"/>
                <w:szCs w:val="24"/>
                <w:highlight w:val="none"/>
              </w:rPr>
              <w:t>（详细列明各专业工程绿色施工安全防护措施费）</w:t>
            </w:r>
          </w:p>
          <w:p>
            <w:pPr>
              <w:spacing w:line="360" w:lineRule="auto"/>
              <w:ind w:firstLine="480" w:firstLineChars="200"/>
              <w:rPr>
                <w:rFonts w:ascii="Arial" w:hAnsi="Arial" w:cs="Arial"/>
                <w:color w:val="auto"/>
                <w:sz w:val="24"/>
                <w:szCs w:val="24"/>
                <w:highlight w:val="none"/>
                <w:u w:val="single"/>
              </w:rPr>
            </w:pPr>
            <w:r>
              <w:rPr>
                <w:rFonts w:ascii="Arial" w:hAnsi="Arial" w:cs="Arial"/>
                <w:color w:val="auto"/>
                <w:sz w:val="24"/>
                <w:szCs w:val="24"/>
                <w:highlight w:val="none"/>
              </w:rPr>
              <w:t>其他项目费（元）：</w:t>
            </w:r>
            <w:r>
              <w:rPr>
                <w:rFonts w:ascii="Arial" w:hAnsi="Arial" w:cs="Arial"/>
                <w:color w:val="auto"/>
                <w:sz w:val="24"/>
                <w:szCs w:val="24"/>
                <w:highlight w:val="none"/>
                <w:u w:val="single"/>
              </w:rPr>
              <w:t xml:space="preserve">                                                 </w:t>
            </w:r>
          </w:p>
          <w:p>
            <w:pPr>
              <w:spacing w:line="360" w:lineRule="auto"/>
              <w:ind w:firstLine="960" w:firstLineChars="400"/>
              <w:rPr>
                <w:rFonts w:ascii="Arial" w:hAnsi="Arial" w:cs="Arial"/>
                <w:color w:val="auto"/>
                <w:sz w:val="24"/>
                <w:szCs w:val="24"/>
                <w:highlight w:val="none"/>
                <w:u w:val="single"/>
              </w:rPr>
            </w:pPr>
            <w:r>
              <w:rPr>
                <w:rFonts w:ascii="Arial" w:hAnsi="Arial" w:cs="Arial"/>
                <w:color w:val="auto"/>
                <w:sz w:val="24"/>
                <w:szCs w:val="24"/>
                <w:highlight w:val="none"/>
              </w:rPr>
              <w:t>其中暂列金额（元）：</w:t>
            </w:r>
            <w:r>
              <w:rPr>
                <w:rFonts w:ascii="Arial" w:hAnsi="Arial" w:cs="Arial"/>
                <w:color w:val="auto"/>
                <w:sz w:val="24"/>
                <w:szCs w:val="24"/>
                <w:highlight w:val="none"/>
                <w:u w:val="single"/>
              </w:rPr>
              <w:t xml:space="preserve">                                           </w:t>
            </w:r>
          </w:p>
          <w:p>
            <w:pPr>
              <w:spacing w:line="360" w:lineRule="auto"/>
              <w:ind w:firstLine="723" w:firstLineChars="300"/>
              <w:rPr>
                <w:rFonts w:ascii="Arial" w:hAnsi="Arial" w:cs="Arial"/>
                <w:color w:val="auto"/>
                <w:sz w:val="24"/>
                <w:szCs w:val="24"/>
                <w:highlight w:val="none"/>
              </w:rPr>
            </w:pPr>
            <w:r>
              <w:rPr>
                <w:rFonts w:ascii="Arial" w:hAnsi="Arial" w:cs="Arial"/>
                <w:b/>
                <w:color w:val="auto"/>
                <w:sz w:val="24"/>
                <w:szCs w:val="24"/>
                <w:highlight w:val="none"/>
              </w:rPr>
              <w:t>（详细列明各专业工程暂列金额）</w:t>
            </w:r>
          </w:p>
          <w:p>
            <w:pPr>
              <w:spacing w:line="360" w:lineRule="auto"/>
              <w:ind w:firstLine="480" w:firstLineChars="200"/>
              <w:rPr>
                <w:rFonts w:ascii="Arial" w:hAnsi="Arial" w:cs="Arial"/>
                <w:color w:val="auto"/>
                <w:sz w:val="24"/>
                <w:szCs w:val="24"/>
                <w:highlight w:val="none"/>
                <w:u w:val="single"/>
              </w:rPr>
            </w:pPr>
            <w:r>
              <w:rPr>
                <w:rFonts w:ascii="Arial" w:hAnsi="Arial" w:cs="Arial"/>
                <w:color w:val="auto"/>
                <w:sz w:val="24"/>
                <w:szCs w:val="24"/>
                <w:highlight w:val="none"/>
              </w:rPr>
              <w:t>规费（元）：</w:t>
            </w:r>
            <w:r>
              <w:rPr>
                <w:rFonts w:ascii="Arial" w:hAnsi="Arial" w:cs="Arial"/>
                <w:color w:val="auto"/>
                <w:sz w:val="24"/>
                <w:szCs w:val="24"/>
                <w:highlight w:val="none"/>
                <w:u w:val="single"/>
              </w:rPr>
              <w:t xml:space="preserve">                                                       </w:t>
            </w:r>
          </w:p>
          <w:p>
            <w:pPr>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税金（元）：</w:t>
            </w:r>
            <w:r>
              <w:rPr>
                <w:rFonts w:ascii="Arial" w:hAnsi="Arial" w:cs="Arial"/>
                <w:color w:val="auto"/>
                <w:sz w:val="24"/>
                <w:szCs w:val="24"/>
                <w:highlight w:val="none"/>
                <w:u w:val="single"/>
              </w:rPr>
              <w:t xml:space="preserve">                                                       </w:t>
            </w:r>
          </w:p>
          <w:p>
            <w:pPr>
              <w:widowControl/>
              <w:spacing w:before="75" w:after="75" w:line="360" w:lineRule="auto"/>
              <w:ind w:firstLine="480" w:firstLineChars="200"/>
              <w:jc w:val="left"/>
              <w:rPr>
                <w:rFonts w:ascii="Arial" w:hAnsi="Arial" w:cs="Arial"/>
                <w:color w:val="auto"/>
                <w:kern w:val="0"/>
                <w:sz w:val="24"/>
                <w:szCs w:val="24"/>
                <w:highlight w:val="none"/>
              </w:rPr>
            </w:pPr>
          </w:p>
          <w:p>
            <w:pPr>
              <w:widowControl/>
              <w:spacing w:before="75" w:after="75" w:line="360" w:lineRule="auto"/>
              <w:ind w:firstLine="960" w:firstLineChars="400"/>
              <w:jc w:val="left"/>
              <w:rPr>
                <w:rFonts w:ascii="Arial" w:hAnsi="Arial" w:cs="Arial"/>
                <w:color w:val="auto"/>
                <w:kern w:val="0"/>
                <w:sz w:val="24"/>
                <w:szCs w:val="24"/>
                <w:highlight w:val="none"/>
              </w:rPr>
            </w:pPr>
            <w:r>
              <w:rPr>
                <w:rFonts w:ascii="Arial" w:hAnsi="Arial" w:cs="Arial"/>
                <w:color w:val="auto"/>
                <w:kern w:val="0"/>
                <w:sz w:val="24"/>
                <w:szCs w:val="24"/>
                <w:highlight w:val="none"/>
              </w:rPr>
              <w:t>对公开招标工程，</w:t>
            </w:r>
            <w:r>
              <w:rPr>
                <w:rFonts w:ascii="Arial" w:hAnsi="Arial" w:cs="Arial"/>
                <w:color w:val="auto"/>
                <w:sz w:val="24"/>
                <w:szCs w:val="24"/>
                <w:highlight w:val="none"/>
              </w:rPr>
              <w:t>投标人须按照公布的绿色施工安全防护措施费、</w:t>
            </w:r>
            <w:r>
              <w:rPr>
                <w:rFonts w:ascii="Arial" w:hAnsi="Arial" w:cs="Arial"/>
                <w:color w:val="auto"/>
                <w:kern w:val="0"/>
                <w:sz w:val="24"/>
                <w:szCs w:val="24"/>
                <w:highlight w:val="none"/>
              </w:rPr>
              <w:t>暂</w:t>
            </w:r>
          </w:p>
          <w:p>
            <w:pPr>
              <w:widowControl/>
              <w:spacing w:before="75" w:after="75" w:line="360" w:lineRule="auto"/>
              <w:ind w:firstLine="480" w:firstLineChars="200"/>
              <w:jc w:val="left"/>
              <w:rPr>
                <w:rFonts w:ascii="Arial" w:hAnsi="Arial" w:cs="Arial"/>
                <w:color w:val="auto"/>
                <w:kern w:val="0"/>
                <w:sz w:val="24"/>
                <w:szCs w:val="24"/>
                <w:highlight w:val="none"/>
              </w:rPr>
            </w:pPr>
            <w:r>
              <w:rPr>
                <w:rFonts w:ascii="Arial" w:hAnsi="Arial" w:cs="Arial"/>
                <w:color w:val="auto"/>
                <w:kern w:val="0"/>
                <w:sz w:val="24"/>
                <w:szCs w:val="24"/>
                <w:highlight w:val="none"/>
              </w:rPr>
              <w:t>列金额报价。</w:t>
            </w:r>
          </w:p>
          <w:p>
            <w:pPr>
              <w:widowControl/>
              <w:spacing w:before="75" w:after="75" w:line="360" w:lineRule="auto"/>
              <w:ind w:firstLine="5640" w:firstLineChars="2350"/>
              <w:jc w:val="left"/>
              <w:rPr>
                <w:rFonts w:ascii="Arial" w:hAnsi="Arial" w:cs="Arial"/>
                <w:b/>
                <w:color w:val="auto"/>
                <w:spacing w:val="60"/>
                <w:sz w:val="24"/>
                <w:szCs w:val="24"/>
                <w:highlight w:val="none"/>
              </w:rPr>
            </w:pPr>
            <w:r>
              <w:rPr>
                <w:rFonts w:ascii="Arial" w:hAnsi="Arial" w:cs="Arial"/>
                <w:color w:val="auto"/>
                <w:sz w:val="24"/>
                <w:szCs w:val="24"/>
                <w:highlight w:val="none"/>
              </w:rPr>
              <w:t>招标单位（盖章）</w:t>
            </w:r>
            <w:r>
              <w:rPr>
                <w:rFonts w:ascii="Arial" w:hAnsi="Arial" w:cs="Arial"/>
                <w:b/>
                <w:color w:val="auto"/>
                <w:spacing w:val="60"/>
                <w:sz w:val="24"/>
                <w:szCs w:val="24"/>
                <w:highlight w:val="none"/>
              </w:rPr>
              <w:t xml:space="preserve">              </w:t>
            </w:r>
          </w:p>
          <w:p>
            <w:pPr>
              <w:widowControl/>
              <w:spacing w:before="75" w:after="75" w:line="360" w:lineRule="auto"/>
              <w:ind w:firstLine="5880" w:firstLineChars="2450"/>
              <w:jc w:val="left"/>
              <w:rPr>
                <w:rFonts w:ascii="Arial" w:hAnsi="Arial" w:cs="Arial"/>
                <w:b/>
                <w:color w:val="auto"/>
                <w:spacing w:val="60"/>
                <w:sz w:val="44"/>
                <w:szCs w:val="44"/>
                <w:highlight w:val="none"/>
              </w:rPr>
            </w:pPr>
            <w:r>
              <w:rPr>
                <w:rFonts w:ascii="Arial" w:hAnsi="Arial" w:cs="Arial"/>
                <w:color w:val="auto"/>
                <w:kern w:val="0"/>
                <w:sz w:val="24"/>
                <w:szCs w:val="24"/>
                <w:highlight w:val="none"/>
              </w:rPr>
              <w:t>年  月  日</w:t>
            </w:r>
          </w:p>
        </w:tc>
      </w:tr>
    </w:tbl>
    <w:p>
      <w:pPr>
        <w:rPr>
          <w:rFonts w:hint="default" w:ascii="Arial" w:hAnsi="Arial" w:cs="Arial"/>
          <w:color w:val="auto"/>
          <w:sz w:val="24"/>
          <w:szCs w:val="24"/>
          <w:highlight w:val="none"/>
          <w:lang w:val="en-US" w:eastAsia="zh-CN"/>
        </w:rPr>
      </w:pPr>
      <w:r>
        <w:rPr>
          <w:rFonts w:hint="default" w:ascii="Arial" w:hAnsi="Arial" w:cs="Arial"/>
          <w:color w:val="auto"/>
          <w:sz w:val="24"/>
          <w:szCs w:val="24"/>
          <w:highlight w:val="none"/>
          <w:lang w:val="en-US" w:eastAsia="zh-CN"/>
        </w:rPr>
        <w:br w:type="page"/>
      </w:r>
    </w:p>
    <w:p>
      <w:pPr>
        <w:keepNext w:val="0"/>
        <w:keepLines w:val="0"/>
        <w:pageBreakBefore w:val="0"/>
        <w:widowControl w:val="0"/>
        <w:kinsoku/>
        <w:wordWrap/>
        <w:overflowPunct/>
        <w:topLinePunct w:val="0"/>
        <w:bidi w:val="0"/>
        <w:adjustRightInd/>
        <w:snapToGrid/>
        <w:spacing w:before="11"/>
        <w:ind w:right="2465"/>
        <w:jc w:val="center"/>
        <w:textAlignment w:val="auto"/>
        <w:rPr>
          <w:b/>
          <w:color w:val="auto"/>
          <w:sz w:val="44"/>
          <w:highlight w:val="none"/>
        </w:rPr>
      </w:pPr>
      <w:r>
        <w:rPr>
          <w:rFonts w:hint="eastAsia"/>
          <w:b/>
          <w:color w:val="auto"/>
          <w:sz w:val="44"/>
          <w:highlight w:val="none"/>
          <w:lang w:val="en-US" w:eastAsia="zh-CN"/>
        </w:rPr>
        <w:t xml:space="preserve">        </w:t>
      </w:r>
      <w:r>
        <w:rPr>
          <w:b/>
          <w:color w:val="auto"/>
          <w:sz w:val="44"/>
          <w:highlight w:val="none"/>
        </w:rPr>
        <w:t>工程量清单报价说明</w:t>
      </w:r>
    </w:p>
    <w:p>
      <w:pPr>
        <w:pStyle w:val="23"/>
        <w:keepNext w:val="0"/>
        <w:keepLines w:val="0"/>
        <w:pageBreakBefore w:val="0"/>
        <w:widowControl w:val="0"/>
        <w:kinsoku/>
        <w:wordWrap/>
        <w:overflowPunct/>
        <w:topLinePunct w:val="0"/>
        <w:bidi w:val="0"/>
        <w:adjustRightInd/>
        <w:snapToGrid/>
        <w:spacing w:before="5"/>
        <w:ind w:left="0" w:right="0" w:firstLine="0"/>
        <w:jc w:val="both"/>
        <w:textAlignment w:val="auto"/>
        <w:rPr>
          <w:b/>
          <w:color w:val="auto"/>
          <w:sz w:val="57"/>
          <w:highlight w:val="none"/>
        </w:rPr>
      </w:pPr>
    </w:p>
    <w:p>
      <w:pPr>
        <w:pStyle w:val="3"/>
        <w:keepNext w:val="0"/>
        <w:keepLines w:val="0"/>
        <w:pageBreakBefore w:val="0"/>
        <w:widowControl w:val="0"/>
        <w:kinsoku/>
        <w:wordWrap/>
        <w:overflowPunct/>
        <w:topLinePunct w:val="0"/>
        <w:bidi w:val="0"/>
        <w:adjustRightInd/>
        <w:snapToGrid/>
        <w:spacing w:before="0" w:line="360" w:lineRule="auto"/>
        <w:ind w:left="0" w:leftChars="0" w:right="0" w:firstLine="560" w:firstLineChars="200"/>
        <w:jc w:val="both"/>
        <w:textAlignment w:val="auto"/>
        <w:rPr>
          <w:color w:val="auto"/>
          <w:highlight w:val="none"/>
        </w:rPr>
      </w:pPr>
      <w:r>
        <w:rPr>
          <w:color w:val="auto"/>
          <w:highlight w:val="none"/>
        </w:rPr>
        <w:t>一、工程概况</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项目名称： 城维计划—道路配套交通设施信号灯建设项目施工总承包一标段 </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Chars="0" w:right="0" w:rightChars="0" w:firstLine="444" w:firstLineChars="200"/>
        <w:jc w:val="both"/>
        <w:textAlignment w:val="auto"/>
        <w:rPr>
          <w:rFonts w:hint="eastAsia" w:ascii="宋体" w:hAnsi="宋体" w:eastAsia="宋体" w:cs="宋体"/>
          <w:color w:val="auto"/>
          <w:spacing w:val="-9"/>
          <w:sz w:val="24"/>
          <w:szCs w:val="24"/>
          <w:highlight w:val="none"/>
        </w:rPr>
      </w:pPr>
      <w:r>
        <w:rPr>
          <w:rFonts w:hint="eastAsia"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rPr>
        <w:t>建设规模：</w:t>
      </w:r>
    </w:p>
    <w:p>
      <w:pPr>
        <w:pStyle w:val="136"/>
        <w:keepNext w:val="0"/>
        <w:keepLines w:val="0"/>
        <w:pageBreakBefore w:val="0"/>
        <w:widowControl w:val="0"/>
        <w:numPr>
          <w:ilvl w:val="0"/>
          <w:numId w:val="0"/>
        </w:numPr>
        <w:tabs>
          <w:tab w:val="left" w:pos="1020"/>
        </w:tabs>
        <w:kinsoku/>
        <w:wordWrap/>
        <w:overflowPunct/>
        <w:topLinePunct w:val="0"/>
        <w:autoSpaceDE w:val="0"/>
        <w:autoSpaceDN w:val="0"/>
        <w:bidi w:val="0"/>
        <w:adjustRightInd/>
        <w:snapToGrid/>
        <w:spacing w:before="0" w:after="0" w:line="360" w:lineRule="auto"/>
        <w:ind w:leftChars="0" w:right="0" w:rightChars="0" w:firstLine="456" w:firstLineChars="200"/>
        <w:jc w:val="both"/>
        <w:textAlignment w:val="auto"/>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为规范交叉口和路段的交通秩序，缓解改善路段的交通压力，保障区域路段的畅通性，提升道路服务水平，改善道路交通，对广州市中心现有道路新增交通信号灯建设，根据市公安局交警支队交通信号灯增设需求，本项目新增交通信号灯建设点位约64个，包括交通信号控制系统、交通信号灯、光纤传输、交通管线、交通标线及其他交通设施以及必要配套的道路工程等。项目总投资约4556.82万元，建安费为约3945.67万元。</w:t>
      </w:r>
    </w:p>
    <w:p>
      <w:pPr>
        <w:pStyle w:val="136"/>
        <w:keepNext w:val="0"/>
        <w:keepLines w:val="0"/>
        <w:pageBreakBefore w:val="0"/>
        <w:widowControl w:val="0"/>
        <w:numPr>
          <w:ilvl w:val="0"/>
          <w:numId w:val="0"/>
        </w:numPr>
        <w:tabs>
          <w:tab w:val="left" w:pos="1020"/>
        </w:tabs>
        <w:kinsoku/>
        <w:wordWrap/>
        <w:overflowPunct/>
        <w:topLinePunct w:val="0"/>
        <w:autoSpaceDE w:val="0"/>
        <w:autoSpaceDN w:val="0"/>
        <w:bidi w:val="0"/>
        <w:adjustRightInd/>
        <w:snapToGrid/>
        <w:spacing w:before="0" w:after="0" w:line="360" w:lineRule="auto"/>
        <w:ind w:leftChars="0" w:right="0" w:rightChars="0" w:firstLine="456" w:firstLineChars="200"/>
        <w:jc w:val="both"/>
        <w:textAlignment w:val="auto"/>
        <w:rPr>
          <w:rFonts w:hint="eastAsia" w:ascii="宋体" w:hAnsi="宋体" w:eastAsia="宋体" w:cs="宋体"/>
          <w:color w:val="auto"/>
          <w:spacing w:val="-6"/>
          <w:sz w:val="24"/>
          <w:szCs w:val="24"/>
          <w:highlight w:val="none"/>
        </w:rPr>
      </w:pPr>
      <w:r>
        <w:rPr>
          <w:rFonts w:hint="eastAsia"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本次招标内容包含：本次招标为1标段，实施约32个点位。包括交通信号控制系统、交通信号灯、光纤传输、交通管线、交通标线及其他交通设施以及必要配套的道路工程等。</w:t>
      </w:r>
    </w:p>
    <w:p>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44" w:firstLineChars="200"/>
        <w:jc w:val="both"/>
        <w:textAlignment w:val="auto"/>
        <w:rPr>
          <w:rFonts w:hint="eastAsia" w:ascii="宋体" w:hAnsi="宋体" w:eastAsia="宋体" w:cs="宋体"/>
          <w:color w:val="auto"/>
          <w:spacing w:val="-9"/>
          <w:sz w:val="24"/>
          <w:szCs w:val="24"/>
          <w:highlight w:val="none"/>
          <w:lang w:val="en-US" w:eastAsia="zh-CN" w:bidi="zh-CN"/>
        </w:rPr>
      </w:pPr>
      <w:r>
        <w:rPr>
          <w:rFonts w:hint="eastAsia" w:ascii="宋体" w:hAnsi="宋体" w:eastAsia="宋体" w:cs="宋体"/>
          <w:color w:val="auto"/>
          <w:spacing w:val="-9"/>
          <w:sz w:val="24"/>
          <w:szCs w:val="24"/>
          <w:highlight w:val="none"/>
          <w:lang w:val="en-US" w:eastAsia="zh-CN" w:bidi="zh-CN"/>
        </w:rPr>
        <w:t>承包人应完成工作：承包人应依据规范、图纸、现场情况及建设单位要求，实施合理的施工工艺完成工程施工，确保安全文明施工，完成一切所需的工程及产品保护工作，负责通过质量验收；负责办理验收后的移交、质保期内维修、缺陷修复等；负责办理竣工验收资料的整理和移交，办理竣工结算。</w:t>
      </w:r>
    </w:p>
    <w:p>
      <w:pPr>
        <w:pStyle w:val="136"/>
        <w:keepNext w:val="0"/>
        <w:keepLines w:val="0"/>
        <w:pageBreakBefore w:val="0"/>
        <w:widowControl w:val="0"/>
        <w:numPr>
          <w:ilvl w:val="0"/>
          <w:numId w:val="0"/>
        </w:numPr>
        <w:tabs>
          <w:tab w:val="left" w:pos="960"/>
        </w:tabs>
        <w:kinsoku/>
        <w:wordWrap/>
        <w:overflowPunct/>
        <w:topLinePunct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4、招标范围：按招标文件、图纸、清单</w:t>
      </w:r>
      <w:r>
        <w:rPr>
          <w:rFonts w:hint="eastAsia" w:ascii="宋体" w:hAnsi="宋体" w:eastAsia="宋体" w:cs="宋体"/>
          <w:color w:val="auto"/>
          <w:spacing w:val="-6"/>
          <w:sz w:val="24"/>
          <w:szCs w:val="24"/>
          <w:highlight w:val="none"/>
          <w:lang w:val="en-US" w:eastAsia="zh-CN"/>
        </w:rPr>
        <w:t>及招标过程中所发出的相关文件所包含的全部内容为准</w:t>
      </w:r>
      <w:r>
        <w:rPr>
          <w:rFonts w:hint="eastAsia" w:cs="宋体"/>
          <w:color w:val="auto"/>
          <w:sz w:val="24"/>
          <w:szCs w:val="24"/>
          <w:highlight w:val="none"/>
          <w:lang w:val="en-US" w:eastAsia="zh-CN"/>
        </w:rPr>
        <w:t>。</w:t>
      </w:r>
    </w:p>
    <w:p>
      <w:pPr>
        <w:pStyle w:val="136"/>
        <w:keepNext w:val="0"/>
        <w:keepLines w:val="0"/>
        <w:pageBreakBefore w:val="0"/>
        <w:widowControl w:val="0"/>
        <w:numPr>
          <w:ilvl w:val="0"/>
          <w:numId w:val="0"/>
        </w:numPr>
        <w:tabs>
          <w:tab w:val="left" w:pos="960"/>
        </w:tabs>
        <w:kinsoku/>
        <w:wordWrap/>
        <w:overflowPunct/>
        <w:topLinePunct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计划工期：按招标文件前附表。</w:t>
      </w:r>
    </w:p>
    <w:p>
      <w:pPr>
        <w:pStyle w:val="136"/>
        <w:keepNext w:val="0"/>
        <w:keepLines w:val="0"/>
        <w:pageBreakBefore w:val="0"/>
        <w:widowControl w:val="0"/>
        <w:numPr>
          <w:ilvl w:val="0"/>
          <w:numId w:val="0"/>
        </w:numPr>
        <w:tabs>
          <w:tab w:val="left" w:pos="960"/>
        </w:tabs>
        <w:kinsoku/>
        <w:wordWrap/>
        <w:overflowPunct/>
        <w:topLinePunct w:val="0"/>
        <w:bidi w:val="0"/>
        <w:adjustRightInd/>
        <w:snapToGrid/>
        <w:spacing w:before="0" w:after="0" w:line="360" w:lineRule="auto"/>
        <w:ind w:leftChars="0" w:right="0" w:rightChars="0" w:firstLine="476" w:firstLineChars="200"/>
        <w:jc w:val="both"/>
        <w:textAlignment w:val="auto"/>
        <w:rPr>
          <w:rFonts w:hint="eastAsia" w:ascii="宋体" w:hAnsi="宋体" w:eastAsia="宋体" w:cs="宋体"/>
          <w:color w:val="auto"/>
          <w:spacing w:val="-1"/>
          <w:sz w:val="24"/>
          <w:szCs w:val="24"/>
          <w:highlight w:val="none"/>
        </w:rPr>
      </w:pPr>
      <w:r>
        <w:rPr>
          <w:rFonts w:hint="eastAsia" w:cs="宋体"/>
          <w:color w:val="auto"/>
          <w:spacing w:val="-1"/>
          <w:sz w:val="24"/>
          <w:szCs w:val="24"/>
          <w:highlight w:val="none"/>
          <w:lang w:val="en-US" w:eastAsia="zh-CN"/>
        </w:rPr>
        <w:t>6、</w:t>
      </w:r>
      <w:r>
        <w:rPr>
          <w:rFonts w:hint="eastAsia" w:ascii="宋体" w:hAnsi="宋体" w:eastAsia="宋体" w:cs="宋体"/>
          <w:color w:val="auto"/>
          <w:spacing w:val="-1"/>
          <w:sz w:val="24"/>
          <w:szCs w:val="24"/>
          <w:highlight w:val="none"/>
        </w:rPr>
        <w:t>环境保护要求：周边的建构筑物、路树、管线等应保护完好。</w:t>
      </w:r>
    </w:p>
    <w:p>
      <w:pPr>
        <w:pStyle w:val="136"/>
        <w:keepNext w:val="0"/>
        <w:keepLines w:val="0"/>
        <w:pageBreakBefore w:val="0"/>
        <w:widowControl w:val="0"/>
        <w:numPr>
          <w:ilvl w:val="0"/>
          <w:numId w:val="0"/>
        </w:numPr>
        <w:tabs>
          <w:tab w:val="left" w:pos="960"/>
        </w:tabs>
        <w:kinsoku/>
        <w:wordWrap/>
        <w:overflowPunct/>
        <w:topLinePunct w:val="0"/>
        <w:bidi w:val="0"/>
        <w:adjustRightInd/>
        <w:snapToGrid/>
        <w:spacing w:before="0" w:after="0" w:line="360" w:lineRule="auto"/>
        <w:ind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二、工程量清单编制依据：</w:t>
      </w:r>
    </w:p>
    <w:p>
      <w:pPr>
        <w:pStyle w:val="136"/>
        <w:keepNext w:val="0"/>
        <w:keepLines w:val="0"/>
        <w:pageBreakBefore w:val="0"/>
        <w:widowControl w:val="0"/>
        <w:numPr>
          <w:ilvl w:val="0"/>
          <w:numId w:val="0"/>
        </w:numPr>
        <w:tabs>
          <w:tab w:val="left" w:pos="956"/>
        </w:tabs>
        <w:kinsoku/>
        <w:wordWrap/>
        <w:overflowPunct/>
        <w:topLinePunct w:val="0"/>
        <w:autoSpaceDE w:val="0"/>
        <w:autoSpaceDN w:val="0"/>
        <w:bidi w:val="0"/>
        <w:adjustRightInd/>
        <w:snapToGrid/>
        <w:spacing w:before="0" w:after="0" w:line="360" w:lineRule="auto"/>
        <w:ind w:leftChars="0" w:right="0" w:rightChars="0" w:firstLine="476" w:firstLineChars="200"/>
        <w:jc w:val="both"/>
        <w:textAlignment w:val="auto"/>
        <w:rPr>
          <w:rFonts w:hint="eastAsia" w:ascii="宋体" w:hAnsi="宋体" w:eastAsia="宋体" w:cs="宋体"/>
          <w:color w:val="auto"/>
          <w:spacing w:val="-3"/>
          <w:sz w:val="24"/>
          <w:szCs w:val="24"/>
          <w:highlight w:val="none"/>
        </w:rPr>
      </w:pPr>
      <w:r>
        <w:rPr>
          <w:rFonts w:hint="eastAsia" w:cs="宋体"/>
          <w:color w:val="auto"/>
          <w:spacing w:val="-1"/>
          <w:sz w:val="24"/>
          <w:szCs w:val="24"/>
          <w:highlight w:val="none"/>
          <w:lang w:val="en-US" w:eastAsia="zh-CN"/>
        </w:rPr>
        <w:t>1、</w:t>
      </w:r>
      <w:r>
        <w:rPr>
          <w:rFonts w:hint="eastAsia" w:ascii="宋体" w:hAnsi="宋体" w:eastAsia="宋体" w:cs="宋体"/>
          <w:color w:val="auto"/>
          <w:sz w:val="24"/>
          <w:szCs w:val="24"/>
          <w:highlight w:val="none"/>
        </w:rPr>
        <w:t>本工程参考执行以下规范：</w:t>
      </w:r>
    </w:p>
    <w:p>
      <w:pPr>
        <w:pStyle w:val="136"/>
        <w:keepNext w:val="0"/>
        <w:keepLines w:val="0"/>
        <w:pageBreakBefore w:val="0"/>
        <w:widowControl w:val="0"/>
        <w:numPr>
          <w:ilvl w:val="0"/>
          <w:numId w:val="0"/>
        </w:numPr>
        <w:tabs>
          <w:tab w:val="left" w:pos="1020"/>
        </w:tabs>
        <w:kinsoku/>
        <w:wordWrap/>
        <w:overflowPunct/>
        <w:topLinePunct w:val="0"/>
        <w:autoSpaceDE w:val="0"/>
        <w:autoSpaceDN w:val="0"/>
        <w:bidi w:val="0"/>
        <w:adjustRightInd/>
        <w:snapToGrid/>
        <w:spacing w:before="0" w:after="0" w:line="360" w:lineRule="auto"/>
        <w:ind w:leftChars="0" w:right="0" w:rightChars="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建筑市政安装工程执行：中华人民共和国国家标准《建设工程工程量清</w:t>
      </w:r>
      <w:r>
        <w:rPr>
          <w:rFonts w:hint="eastAsia" w:ascii="宋体" w:hAnsi="宋体" w:eastAsia="宋体" w:cs="宋体"/>
          <w:color w:val="auto"/>
          <w:spacing w:val="-19"/>
          <w:sz w:val="24"/>
          <w:szCs w:val="24"/>
          <w:highlight w:val="none"/>
        </w:rPr>
        <w:t>单计价规范》</w:t>
      </w:r>
      <w:r>
        <w:rPr>
          <w:rFonts w:hint="eastAsia" w:ascii="宋体" w:hAnsi="宋体" w:eastAsia="宋体" w:cs="宋体"/>
          <w:color w:val="auto"/>
          <w:sz w:val="24"/>
          <w:szCs w:val="24"/>
          <w:highlight w:val="none"/>
        </w:rPr>
        <w:t>（GB50500-2013</w:t>
      </w:r>
      <w:r>
        <w:rPr>
          <w:rFonts w:hint="eastAsia" w:ascii="宋体" w:hAnsi="宋体" w:eastAsia="宋体" w:cs="宋体"/>
          <w:color w:val="auto"/>
          <w:spacing w:val="-48"/>
          <w:sz w:val="24"/>
          <w:szCs w:val="24"/>
          <w:highlight w:val="none"/>
        </w:rPr>
        <w:t>）</w:t>
      </w:r>
      <w:r>
        <w:rPr>
          <w:rFonts w:hint="eastAsia" w:ascii="宋体" w:hAnsi="宋体" w:eastAsia="宋体" w:cs="宋体"/>
          <w:color w:val="auto"/>
          <w:spacing w:val="-17"/>
          <w:sz w:val="24"/>
          <w:szCs w:val="24"/>
          <w:highlight w:val="none"/>
        </w:rPr>
        <w:t>、《市政工程工程量计算规范》</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GB50857-201</w:t>
      </w: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118"/>
          <w:sz w:val="24"/>
          <w:szCs w:val="24"/>
          <w:highlight w:val="none"/>
        </w:rPr>
        <w:t>）</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3"/>
          <w:sz w:val="24"/>
          <w:szCs w:val="24"/>
          <w:highlight w:val="none"/>
        </w:rPr>
        <w:t>《房屋建筑与装饰工程工程量计算规范》</w:t>
      </w:r>
      <w:r>
        <w:rPr>
          <w:rFonts w:hint="eastAsia" w:ascii="宋体" w:hAnsi="宋体" w:eastAsia="宋体" w:cs="宋体"/>
          <w:color w:val="auto"/>
          <w:sz w:val="24"/>
          <w:szCs w:val="24"/>
          <w:highlight w:val="none"/>
        </w:rPr>
        <w:t>（GB50854-2013）</w:t>
      </w:r>
      <w:r>
        <w:rPr>
          <w:rFonts w:hint="eastAsia" w:ascii="宋体" w:hAnsi="宋体" w:eastAsia="宋体" w:cs="宋体"/>
          <w:color w:val="auto"/>
          <w:spacing w:val="-8"/>
          <w:sz w:val="24"/>
          <w:szCs w:val="24"/>
          <w:highlight w:val="none"/>
        </w:rPr>
        <w:t>、《通用安装工程工</w:t>
      </w:r>
      <w:r>
        <w:rPr>
          <w:rFonts w:hint="eastAsia" w:ascii="宋体" w:hAnsi="宋体" w:eastAsia="宋体" w:cs="宋体"/>
          <w:color w:val="auto"/>
          <w:spacing w:val="33"/>
          <w:sz w:val="24"/>
          <w:szCs w:val="24"/>
          <w:highlight w:val="none"/>
        </w:rPr>
        <w:t>程量计算规范》</w:t>
      </w:r>
      <w:r>
        <w:rPr>
          <w:rFonts w:hint="eastAsia" w:ascii="宋体" w:hAnsi="宋体" w:eastAsia="宋体" w:cs="宋体"/>
          <w:color w:val="auto"/>
          <w:sz w:val="24"/>
          <w:szCs w:val="24"/>
          <w:highlight w:val="none"/>
        </w:rPr>
        <w:t>（</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z w:val="24"/>
          <w:szCs w:val="24"/>
          <w:highlight w:val="none"/>
        </w:rPr>
        <w:t>GB50856-2013</w:t>
      </w:r>
      <w:r>
        <w:rPr>
          <w:rFonts w:hint="eastAsia" w:ascii="宋体" w:hAnsi="宋体" w:eastAsia="宋体" w:cs="宋体"/>
          <w:color w:val="auto"/>
          <w:spacing w:val="-84"/>
          <w:sz w:val="24"/>
          <w:szCs w:val="24"/>
          <w:highlight w:val="non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21"/>
          <w:sz w:val="24"/>
          <w:szCs w:val="24"/>
          <w:highlight w:val="none"/>
        </w:rPr>
        <w:t xml:space="preserve"> 、《园林绿化工程工程量计算规范》</w:t>
      </w:r>
      <w:r>
        <w:rPr>
          <w:rFonts w:hint="eastAsia" w:ascii="宋体" w:hAnsi="宋体" w:eastAsia="宋体" w:cs="宋体"/>
          <w:color w:val="auto"/>
          <w:sz w:val="24"/>
          <w:szCs w:val="24"/>
          <w:highlight w:val="none"/>
        </w:rPr>
        <w:t>（GB50858-2013）</w:t>
      </w:r>
      <w:r>
        <w:rPr>
          <w:rFonts w:hint="eastAsia" w:ascii="宋体" w:hAnsi="宋体" w:eastAsia="宋体" w:cs="宋体"/>
          <w:color w:val="auto"/>
          <w:spacing w:val="-6"/>
          <w:sz w:val="24"/>
          <w:szCs w:val="24"/>
          <w:highlight w:val="none"/>
        </w:rPr>
        <w:t>、《广东省房屋建筑与装饰工程综合定额</w:t>
      </w:r>
      <w:r>
        <w:rPr>
          <w:rFonts w:hint="eastAsia" w:ascii="宋体" w:hAnsi="宋体" w:eastAsia="宋体" w:cs="宋体"/>
          <w:color w:val="auto"/>
          <w:sz w:val="24"/>
          <w:szCs w:val="24"/>
          <w:highlight w:val="none"/>
        </w:rPr>
        <w:t>（2018）</w:t>
      </w:r>
      <w:r>
        <w:rPr>
          <w:rFonts w:hint="eastAsia" w:ascii="宋体" w:hAnsi="宋体" w:eastAsia="宋体" w:cs="宋体"/>
          <w:color w:val="auto"/>
          <w:spacing w:val="-8"/>
          <w:sz w:val="24"/>
          <w:szCs w:val="24"/>
          <w:highlight w:val="none"/>
        </w:rPr>
        <w:t>》、《广东省市政工程综合定额（2018）》、《广东省市政工程补充综合定额（2018）</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3"/>
          <w:sz w:val="24"/>
          <w:szCs w:val="24"/>
          <w:highlight w:val="none"/>
        </w:rPr>
        <w:t>《广东省园林绿化工程综合定额</w:t>
      </w:r>
      <w:r>
        <w:rPr>
          <w:rFonts w:hint="eastAsia" w:ascii="宋体" w:hAnsi="宋体" w:eastAsia="宋体" w:cs="宋体"/>
          <w:color w:val="auto"/>
          <w:sz w:val="24"/>
          <w:szCs w:val="24"/>
          <w:highlight w:val="none"/>
        </w:rPr>
        <w:t>（2018）</w:t>
      </w:r>
      <w:r>
        <w:rPr>
          <w:rFonts w:hint="eastAsia" w:ascii="宋体" w:hAnsi="宋体" w:eastAsia="宋体" w:cs="宋体"/>
          <w:color w:val="auto"/>
          <w:spacing w:val="1"/>
          <w:sz w:val="24"/>
          <w:szCs w:val="24"/>
          <w:highlight w:val="none"/>
        </w:rPr>
        <w:t>》、《广东省通用安装工程综合定额</w:t>
      </w:r>
      <w:r>
        <w:rPr>
          <w:rFonts w:hint="eastAsia" w:ascii="宋体" w:hAnsi="宋体" w:eastAsia="宋体" w:cs="宋体"/>
          <w:color w:val="auto"/>
          <w:spacing w:val="-1"/>
          <w:sz w:val="24"/>
          <w:szCs w:val="24"/>
          <w:highlight w:val="none"/>
        </w:rPr>
        <w:t>（2018）</w:t>
      </w:r>
      <w:r>
        <w:rPr>
          <w:rFonts w:hint="eastAsia" w:ascii="宋体" w:hAnsi="宋体" w:eastAsia="宋体" w:cs="宋体"/>
          <w:color w:val="auto"/>
          <w:spacing w:val="-7"/>
          <w:sz w:val="24"/>
          <w:szCs w:val="24"/>
          <w:highlight w:val="none"/>
        </w:rPr>
        <w:t>》、《广东省城市轨道交通工程综合定额</w:t>
      </w:r>
      <w:r>
        <w:rPr>
          <w:rFonts w:hint="eastAsia" w:ascii="宋体" w:hAnsi="宋体" w:eastAsia="宋体" w:cs="宋体"/>
          <w:color w:val="auto"/>
          <w:sz w:val="24"/>
          <w:szCs w:val="24"/>
          <w:highlight w:val="none"/>
        </w:rPr>
        <w:t>（2018）</w:t>
      </w:r>
      <w:r>
        <w:rPr>
          <w:rFonts w:hint="eastAsia" w:ascii="宋体" w:hAnsi="宋体" w:eastAsia="宋体" w:cs="宋体"/>
          <w:color w:val="auto"/>
          <w:spacing w:val="-7"/>
          <w:sz w:val="24"/>
          <w:szCs w:val="24"/>
          <w:highlight w:val="none"/>
        </w:rPr>
        <w:t>》、《广东省城市地</w:t>
      </w:r>
      <w:r>
        <w:rPr>
          <w:rFonts w:hint="eastAsia" w:ascii="宋体" w:hAnsi="宋体" w:eastAsia="宋体" w:cs="宋体"/>
          <w:color w:val="auto"/>
          <w:spacing w:val="-2"/>
          <w:sz w:val="24"/>
          <w:szCs w:val="24"/>
          <w:highlight w:val="none"/>
        </w:rPr>
        <w:t>下综合管廊工程综合定额</w:t>
      </w:r>
      <w:r>
        <w:rPr>
          <w:rFonts w:hint="eastAsia" w:ascii="宋体" w:hAnsi="宋体" w:eastAsia="宋体" w:cs="宋体"/>
          <w:color w:val="auto"/>
          <w:spacing w:val="-4"/>
          <w:sz w:val="24"/>
          <w:szCs w:val="24"/>
          <w:highlight w:val="none"/>
        </w:rPr>
        <w:t>（2018）</w:t>
      </w:r>
      <w:r>
        <w:rPr>
          <w:rFonts w:hint="eastAsia" w:ascii="宋体" w:hAnsi="宋体" w:eastAsia="宋体" w:cs="宋体"/>
          <w:color w:val="auto"/>
          <w:spacing w:val="-9"/>
          <w:sz w:val="24"/>
          <w:szCs w:val="24"/>
          <w:highlight w:val="none"/>
        </w:rPr>
        <w:t>》、《广东省传统建筑保护修复工程综合定额</w:t>
      </w:r>
      <w:r>
        <w:rPr>
          <w:rFonts w:hint="eastAsia" w:ascii="宋体" w:hAnsi="宋体" w:eastAsia="宋体" w:cs="宋体"/>
          <w:color w:val="auto"/>
          <w:sz w:val="24"/>
          <w:szCs w:val="24"/>
          <w:highlight w:val="none"/>
        </w:rPr>
        <w:t>（试行</w:t>
      </w:r>
      <w:r>
        <w:rPr>
          <w:rFonts w:hint="eastAsia" w:ascii="宋体" w:hAnsi="宋体" w:eastAsia="宋体" w:cs="宋体"/>
          <w:color w:val="auto"/>
          <w:spacing w:val="-10"/>
          <w:sz w:val="24"/>
          <w:szCs w:val="24"/>
          <w:highlight w:val="none"/>
        </w:rPr>
        <w:t>）（2018）</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7"/>
          <w:sz w:val="24"/>
          <w:szCs w:val="24"/>
          <w:highlight w:val="none"/>
          <w:lang w:val="zh-CN" w:eastAsia="zh-CN" w:bidi="zh-CN"/>
        </w:rPr>
        <w:t>《广东省房屋建筑和市政修缮综合定额（2012）》、</w:t>
      </w:r>
      <w:r>
        <w:rPr>
          <w:rFonts w:hint="eastAsia" w:ascii="宋体" w:hAnsi="宋体" w:eastAsia="宋体" w:cs="宋体"/>
          <w:color w:val="auto"/>
          <w:spacing w:val="-2"/>
          <w:sz w:val="24"/>
          <w:szCs w:val="24"/>
          <w:highlight w:val="none"/>
        </w:rPr>
        <w:t>《广东省建设工程计价依据</w:t>
      </w:r>
      <w:r>
        <w:rPr>
          <w:rFonts w:hint="eastAsia" w:ascii="宋体" w:hAnsi="宋体" w:eastAsia="宋体" w:cs="宋体"/>
          <w:color w:val="auto"/>
          <w:spacing w:val="-4"/>
          <w:sz w:val="24"/>
          <w:szCs w:val="24"/>
          <w:highlight w:val="none"/>
        </w:rPr>
        <w:t>（2018）</w:t>
      </w:r>
      <w:r>
        <w:rPr>
          <w:rFonts w:hint="eastAsia" w:ascii="宋体" w:hAnsi="宋体" w:eastAsia="宋体" w:cs="宋体"/>
          <w:color w:val="auto"/>
          <w:spacing w:val="-9"/>
          <w:sz w:val="24"/>
          <w:szCs w:val="24"/>
          <w:highlight w:val="none"/>
        </w:rPr>
        <w:t>》、《广东省建设工程施工机具台班费用编</w:t>
      </w:r>
      <w:r>
        <w:rPr>
          <w:rFonts w:hint="eastAsia" w:ascii="宋体" w:hAnsi="宋体" w:eastAsia="宋体" w:cs="宋体"/>
          <w:color w:val="auto"/>
          <w:sz w:val="24"/>
          <w:szCs w:val="24"/>
          <w:highlight w:val="none"/>
        </w:rPr>
        <w:t>制规则（2018）》等。</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税金：按投标期的税金相关政策填报。</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材料价格取定时间：</w:t>
      </w:r>
    </w:p>
    <w:p>
      <w:pPr>
        <w:pStyle w:val="136"/>
        <w:keepNext w:val="0"/>
        <w:keepLines w:val="0"/>
        <w:pageBreakBefore w:val="0"/>
        <w:widowControl w:val="0"/>
        <w:numPr>
          <w:ilvl w:val="0"/>
          <w:numId w:val="0"/>
        </w:numPr>
        <w:tabs>
          <w:tab w:val="left" w:pos="102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招标控制价的主要材料价格取定时间如下：</w:t>
      </w:r>
    </w:p>
    <w:p>
      <w:pPr>
        <w:pStyle w:val="136"/>
        <w:keepNext w:val="0"/>
        <w:keepLines w:val="0"/>
        <w:pageBreakBefore w:val="0"/>
        <w:widowControl w:val="0"/>
        <w:numPr>
          <w:ilvl w:val="0"/>
          <w:numId w:val="0"/>
        </w:numPr>
        <w:tabs>
          <w:tab w:val="left" w:pos="1020"/>
        </w:tabs>
        <w:kinsoku/>
        <w:wordWrap/>
        <w:overflowPunct/>
        <w:topLinePunct w:val="0"/>
        <w:autoSpaceDE w:val="0"/>
        <w:autoSpaceDN w:val="0"/>
        <w:bidi w:val="0"/>
        <w:adjustRightInd/>
        <w:snapToGrid/>
        <w:spacing w:before="0" w:after="0" w:line="360" w:lineRule="auto"/>
        <w:ind w:leftChars="0" w:right="0" w:rightChars="0" w:firstLine="456"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主要材料价格：套用广州市建设工程造价</w:t>
      </w:r>
      <w:r>
        <w:rPr>
          <w:rFonts w:hint="eastAsia" w:ascii="宋体" w:hAnsi="宋体" w:eastAsia="宋体" w:cs="宋体"/>
          <w:color w:val="auto"/>
          <w:spacing w:val="-15"/>
          <w:sz w:val="24"/>
          <w:szCs w:val="24"/>
          <w:highlight w:val="none"/>
        </w:rPr>
        <w:t xml:space="preserve">管理站发布的《关于发布 </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pacing w:val="-40"/>
          <w:sz w:val="24"/>
          <w:szCs w:val="24"/>
          <w:highlight w:val="none"/>
        </w:rPr>
        <w:t>年</w:t>
      </w:r>
      <w:r>
        <w:rPr>
          <w:rFonts w:hint="eastAsia" w:cs="宋体"/>
          <w:color w:val="auto"/>
          <w:spacing w:val="-40"/>
          <w:sz w:val="24"/>
          <w:szCs w:val="24"/>
          <w:highlight w:val="none"/>
          <w:lang w:val="en-US" w:eastAsia="zh-CN"/>
        </w:rPr>
        <w:t xml:space="preserve"> 9</w:t>
      </w:r>
      <w:r>
        <w:rPr>
          <w:rFonts w:hint="eastAsia" w:ascii="宋体" w:hAnsi="宋体" w:eastAsia="宋体" w:cs="宋体"/>
          <w:color w:val="auto"/>
          <w:spacing w:val="-9"/>
          <w:sz w:val="24"/>
          <w:szCs w:val="24"/>
          <w:highlight w:val="none"/>
        </w:rPr>
        <w:t>月份广州市建设工程价格信息及有关计价办</w:t>
      </w:r>
      <w:r>
        <w:rPr>
          <w:rFonts w:hint="eastAsia" w:ascii="宋体" w:hAnsi="宋体" w:eastAsia="宋体" w:cs="宋体"/>
          <w:color w:val="auto"/>
          <w:spacing w:val="-8"/>
          <w:sz w:val="24"/>
          <w:szCs w:val="24"/>
          <w:highlight w:val="none"/>
        </w:rPr>
        <w:t xml:space="preserve">法的通知》中的 </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pacing w:val="-40"/>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pacing w:val="-8"/>
          <w:sz w:val="24"/>
          <w:szCs w:val="24"/>
          <w:highlight w:val="none"/>
        </w:rPr>
        <w:t>月《广州地区建设工程常用材料税前综合价格》</w:t>
      </w:r>
      <w:r>
        <w:rPr>
          <w:rFonts w:hint="eastAsia" w:cs="宋体"/>
          <w:color w:val="auto"/>
          <w:spacing w:val="-8"/>
          <w:sz w:val="24"/>
          <w:szCs w:val="24"/>
          <w:highlight w:val="none"/>
          <w:lang w:eastAsia="zh-CN"/>
        </w:rPr>
        <w:t>。</w:t>
      </w:r>
    </w:p>
    <w:p>
      <w:pPr>
        <w:pStyle w:val="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三、材料设备要求：</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Chars="0" w:right="0" w:rightChars="0" w:firstLine="476" w:firstLineChars="200"/>
        <w:jc w:val="both"/>
        <w:textAlignment w:val="auto"/>
        <w:rPr>
          <w:rFonts w:hint="eastAsia" w:ascii="宋体" w:hAnsi="宋体" w:eastAsia="宋体" w:cs="宋体"/>
          <w:color w:val="auto"/>
          <w:sz w:val="24"/>
          <w:szCs w:val="24"/>
          <w:highlight w:val="none"/>
        </w:rPr>
      </w:pPr>
      <w:r>
        <w:rPr>
          <w:rFonts w:hint="eastAsia" w:cs="宋体"/>
          <w:color w:val="auto"/>
          <w:spacing w:val="-1"/>
          <w:sz w:val="24"/>
          <w:szCs w:val="24"/>
          <w:highlight w:val="none"/>
          <w:u w:val="single"/>
          <w:lang w:val="en-US" w:eastAsia="zh-CN"/>
        </w:rPr>
        <w:t>1、</w:t>
      </w:r>
      <w:r>
        <w:rPr>
          <w:rFonts w:hint="eastAsia" w:ascii="宋体" w:hAnsi="宋体" w:eastAsia="宋体" w:cs="宋体"/>
          <w:color w:val="auto"/>
          <w:spacing w:val="-1"/>
          <w:sz w:val="24"/>
          <w:szCs w:val="24"/>
          <w:highlight w:val="none"/>
          <w:u w:val="single"/>
        </w:rPr>
        <w:t>本工程所使用的材料，全部由投标人根据工程要求不低于施工设计图纸、</w:t>
      </w:r>
      <w:r>
        <w:rPr>
          <w:rFonts w:hint="eastAsia" w:cs="宋体"/>
          <w:color w:val="auto"/>
          <w:spacing w:val="-1"/>
          <w:sz w:val="24"/>
          <w:szCs w:val="24"/>
          <w:highlight w:val="none"/>
          <w:u w:val="single"/>
          <w:lang w:val="en-US" w:eastAsia="zh-CN"/>
        </w:rPr>
        <w:t>材</w:t>
      </w:r>
      <w:r>
        <w:rPr>
          <w:rFonts w:hint="eastAsia" w:cs="宋体"/>
          <w:color w:val="auto"/>
          <w:spacing w:val="-6"/>
          <w:sz w:val="24"/>
          <w:szCs w:val="24"/>
          <w:highlight w:val="none"/>
          <w:u w:val="single"/>
          <w:lang w:val="en-US" w:eastAsia="zh-CN"/>
        </w:rPr>
        <w:t>料</w:t>
      </w:r>
      <w:r>
        <w:rPr>
          <w:rFonts w:hint="eastAsia" w:ascii="宋体" w:hAnsi="宋体" w:eastAsia="宋体" w:cs="宋体"/>
          <w:color w:val="auto"/>
          <w:spacing w:val="-6"/>
          <w:sz w:val="24"/>
          <w:szCs w:val="24"/>
          <w:highlight w:val="none"/>
          <w:u w:val="single"/>
        </w:rPr>
        <w:t>清单及招标文件要求档次自行采购。主要材料采用的品牌规格应优先选择同等档次或高于招标人所推荐的规格和质量标准的品牌或厂家。</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Chars="0" w:right="0" w:rightChars="0" w:firstLine="448" w:firstLineChars="200"/>
        <w:jc w:val="both"/>
        <w:textAlignment w:val="auto"/>
        <w:rPr>
          <w:rFonts w:hint="default" w:ascii="宋体" w:hAnsi="宋体" w:eastAsia="宋体" w:cs="宋体"/>
          <w:color w:val="auto"/>
          <w:sz w:val="24"/>
          <w:szCs w:val="24"/>
          <w:highlight w:val="none"/>
          <w:lang w:val="en-US" w:eastAsia="zh-CN"/>
        </w:rPr>
      </w:pPr>
      <w:r>
        <w:rPr>
          <w:rFonts w:hint="eastAsia" w:cs="宋体"/>
          <w:color w:val="auto"/>
          <w:spacing w:val="-8"/>
          <w:sz w:val="24"/>
          <w:szCs w:val="24"/>
          <w:highlight w:val="none"/>
          <w:u w:val="single"/>
          <w:lang w:val="en-US" w:eastAsia="zh-CN"/>
        </w:rPr>
        <w:t>2、</w:t>
      </w:r>
      <w:r>
        <w:rPr>
          <w:rFonts w:hint="eastAsia" w:ascii="宋体" w:hAnsi="宋体" w:eastAsia="宋体" w:cs="宋体"/>
          <w:color w:val="auto"/>
          <w:spacing w:val="-8"/>
          <w:sz w:val="24"/>
          <w:szCs w:val="24"/>
          <w:highlight w:val="none"/>
          <w:u w:val="single"/>
        </w:rPr>
        <w:t>所有材料须报送样板、材料合格证书、材料检验证书等供发包人、监理审</w:t>
      </w:r>
      <w:r>
        <w:rPr>
          <w:rFonts w:hint="eastAsia" w:cs="宋体"/>
          <w:color w:val="auto"/>
          <w:spacing w:val="-8"/>
          <w:sz w:val="24"/>
          <w:szCs w:val="24"/>
          <w:highlight w:val="none"/>
          <w:u w:val="single"/>
          <w:lang w:val="en-US" w:eastAsia="zh-CN"/>
        </w:rPr>
        <w:t>核方可进场使用。</w:t>
      </w:r>
    </w:p>
    <w:p>
      <w:pPr>
        <w:pStyle w:val="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四、清单报价要求</w:t>
      </w:r>
    </w:p>
    <w:p>
      <w:pPr>
        <w:keepNext w:val="0"/>
        <w:keepLines w:val="0"/>
        <w:pageBreakBefore w:val="0"/>
        <w:widowControl w:val="0"/>
        <w:kinsoku/>
        <w:wordWrap/>
        <w:overflowPunct/>
        <w:topLinePunct w:val="0"/>
        <w:bidi w:val="0"/>
        <w:adjustRightInd/>
        <w:snapToGrid/>
        <w:spacing w:before="0" w:line="360" w:lineRule="auto"/>
        <w:ind w:left="0" w:leftChars="0" w:righ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（一）总体要求</w:t>
      </w:r>
    </w:p>
    <w:p>
      <w:pPr>
        <w:pStyle w:val="23"/>
        <w:keepNext w:val="0"/>
        <w:keepLines w:val="0"/>
        <w:pageBreakBefore w:val="0"/>
        <w:widowControl w:val="0"/>
        <w:kinsoku/>
        <w:wordWrap/>
        <w:overflowPunct/>
        <w:topLinePunct w:val="0"/>
        <w:bidi w:val="0"/>
        <w:adjustRightInd/>
        <w:snapToGrid/>
        <w:spacing w:before="0" w:line="360" w:lineRule="auto"/>
        <w:ind w:left="0" w:leftChars="0" w:right="0" w:firstLine="46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1</w:t>
      </w:r>
      <w:r>
        <w:rPr>
          <w:rFonts w:hint="eastAsia" w:cs="宋体"/>
          <w:color w:val="auto"/>
          <w:spacing w:val="-4"/>
          <w:sz w:val="24"/>
          <w:szCs w:val="24"/>
          <w:highlight w:val="none"/>
          <w:lang w:val="en-US" w:eastAsia="zh-CN"/>
        </w:rPr>
        <w:t>、</w:t>
      </w:r>
      <w:r>
        <w:rPr>
          <w:rFonts w:hint="eastAsia" w:ascii="宋体" w:hAnsi="宋体" w:eastAsia="宋体" w:cs="宋体"/>
          <w:color w:val="auto"/>
          <w:spacing w:val="-4"/>
          <w:sz w:val="24"/>
          <w:szCs w:val="24"/>
          <w:highlight w:val="none"/>
        </w:rPr>
        <w:t>本项目执行《建设工程工程量清单计价规范</w:t>
      </w:r>
      <w:r>
        <w:rPr>
          <w:rFonts w:hint="eastAsia" w:ascii="宋体" w:hAnsi="宋体" w:eastAsia="宋体" w:cs="宋体"/>
          <w:color w:val="auto"/>
          <w:sz w:val="24"/>
          <w:szCs w:val="24"/>
          <w:highlight w:val="none"/>
        </w:rPr>
        <w:t>（GB50500-2013）</w:t>
      </w:r>
      <w:r>
        <w:rPr>
          <w:rFonts w:hint="eastAsia" w:ascii="宋体" w:hAnsi="宋体" w:eastAsia="宋体" w:cs="宋体"/>
          <w:color w:val="auto"/>
          <w:spacing w:val="-11"/>
          <w:sz w:val="24"/>
          <w:szCs w:val="24"/>
          <w:highlight w:val="none"/>
        </w:rPr>
        <w:t>》、《广东</w:t>
      </w:r>
      <w:r>
        <w:rPr>
          <w:rFonts w:hint="eastAsia" w:ascii="宋体" w:hAnsi="宋体" w:eastAsia="宋体" w:cs="宋体"/>
          <w:color w:val="auto"/>
          <w:spacing w:val="-1"/>
          <w:sz w:val="24"/>
          <w:szCs w:val="24"/>
          <w:highlight w:val="none"/>
        </w:rPr>
        <w:t>省建设工程计价依据的通知</w:t>
      </w:r>
      <w:r>
        <w:rPr>
          <w:rFonts w:hint="eastAsia" w:ascii="宋体" w:hAnsi="宋体" w:eastAsia="宋体" w:cs="宋体"/>
          <w:color w:val="auto"/>
          <w:sz w:val="24"/>
          <w:szCs w:val="24"/>
          <w:highlight w:val="none"/>
        </w:rPr>
        <w:t>（2018）</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粤建市〔</w:t>
      </w:r>
      <w:r>
        <w:rPr>
          <w:rFonts w:hint="eastAsia" w:ascii="宋体" w:hAnsi="宋体" w:eastAsia="宋体" w:cs="宋体"/>
          <w:color w:val="auto"/>
          <w:sz w:val="24"/>
          <w:szCs w:val="24"/>
          <w:highlight w:val="none"/>
        </w:rPr>
        <w:t>2019</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6</w:t>
      </w:r>
      <w:r>
        <w:rPr>
          <w:rFonts w:hint="eastAsia" w:ascii="宋体" w:hAnsi="宋体" w:eastAsia="宋体" w:cs="宋体"/>
          <w:color w:val="auto"/>
          <w:spacing w:val="-32"/>
          <w:sz w:val="24"/>
          <w:szCs w:val="24"/>
          <w:highlight w:val="none"/>
        </w:rPr>
        <w:t xml:space="preserve"> 号</w:t>
      </w:r>
      <w:r>
        <w:rPr>
          <w:rFonts w:hint="eastAsia" w:ascii="宋体" w:hAnsi="宋体" w:eastAsia="宋体" w:cs="宋体"/>
          <w:color w:val="auto"/>
          <w:spacing w:val="-3"/>
          <w:sz w:val="24"/>
          <w:szCs w:val="24"/>
          <w:highlight w:val="none"/>
        </w:rPr>
        <w:t>）的相关规定。国</w:t>
      </w:r>
      <w:r>
        <w:rPr>
          <w:rFonts w:hint="eastAsia" w:ascii="宋体" w:hAnsi="宋体" w:eastAsia="宋体" w:cs="宋体"/>
          <w:color w:val="auto"/>
          <w:sz w:val="24"/>
          <w:szCs w:val="24"/>
          <w:highlight w:val="none"/>
        </w:rPr>
        <w:t>家及广东省、广州市有最新规定的，从其规定。</w:t>
      </w:r>
    </w:p>
    <w:p>
      <w:pPr>
        <w:pStyle w:val="136"/>
        <w:keepNext w:val="0"/>
        <w:keepLines w:val="0"/>
        <w:pageBreakBefore w:val="0"/>
        <w:widowControl w:val="0"/>
        <w:numPr>
          <w:ilvl w:val="0"/>
          <w:numId w:val="0"/>
        </w:numPr>
        <w:tabs>
          <w:tab w:val="left" w:pos="841"/>
        </w:tabs>
        <w:kinsoku/>
        <w:wordWrap/>
        <w:overflowPunct/>
        <w:topLinePunct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凡在本说明中已明确的须按本说明执行。</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0" w:leftChars="0" w:right="0" w:rightChars="0" w:firstLine="46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3</w:t>
      </w:r>
      <w:r>
        <w:rPr>
          <w:rFonts w:hint="eastAsia" w:cs="宋体"/>
          <w:color w:val="auto"/>
          <w:spacing w:val="-5"/>
          <w:sz w:val="24"/>
          <w:szCs w:val="24"/>
          <w:highlight w:val="none"/>
          <w:lang w:val="en-US" w:eastAsia="zh-CN"/>
        </w:rPr>
        <w:t>、</w:t>
      </w:r>
      <w:r>
        <w:rPr>
          <w:rFonts w:hint="eastAsia" w:ascii="宋体" w:hAnsi="宋体" w:eastAsia="宋体" w:cs="宋体"/>
          <w:color w:val="auto"/>
          <w:spacing w:val="-5"/>
          <w:sz w:val="24"/>
          <w:szCs w:val="24"/>
          <w:highlight w:val="none"/>
        </w:rPr>
        <w:t>工程总报价由分部分项工程量清单报价、措施项目清单报价、其他项目清</w:t>
      </w:r>
      <w:r>
        <w:rPr>
          <w:rFonts w:hint="eastAsia" w:ascii="宋体" w:hAnsi="宋体" w:eastAsia="宋体" w:cs="宋体"/>
          <w:color w:val="auto"/>
          <w:spacing w:val="-10"/>
          <w:sz w:val="24"/>
          <w:szCs w:val="24"/>
          <w:highlight w:val="none"/>
        </w:rPr>
        <w:t>单报价和增值税销项税额四部分组成，其中分部分项工程量清单报价、措施项目</w:t>
      </w:r>
      <w:r>
        <w:rPr>
          <w:rFonts w:hint="eastAsia" w:ascii="宋体" w:hAnsi="宋体" w:eastAsia="宋体" w:cs="宋体"/>
          <w:color w:val="auto"/>
          <w:spacing w:val="-11"/>
          <w:sz w:val="24"/>
          <w:szCs w:val="24"/>
          <w:highlight w:val="none"/>
        </w:rPr>
        <w:t>清单报价、其他项目清单报价均为不包含进项税额的报价。同时，工程总报价应</w:t>
      </w:r>
      <w:r>
        <w:rPr>
          <w:rFonts w:hint="eastAsia" w:ascii="宋体" w:hAnsi="宋体" w:eastAsia="宋体" w:cs="宋体"/>
          <w:color w:val="auto"/>
          <w:spacing w:val="-7"/>
          <w:sz w:val="24"/>
          <w:szCs w:val="24"/>
          <w:highlight w:val="none"/>
        </w:rPr>
        <w:t>包含按《广州市建筑业职工参加工伤保险实施办法》</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穗人社发〔</w:t>
      </w:r>
      <w:r>
        <w:rPr>
          <w:rFonts w:hint="eastAsia" w:ascii="宋体" w:hAnsi="宋体" w:eastAsia="宋体" w:cs="宋体"/>
          <w:color w:val="auto"/>
          <w:sz w:val="24"/>
          <w:szCs w:val="24"/>
          <w:highlight w:val="none"/>
        </w:rPr>
        <w:t>2015</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73</w:t>
      </w:r>
      <w:r>
        <w:rPr>
          <w:rFonts w:hint="eastAsia" w:ascii="宋体" w:hAnsi="宋体" w:eastAsia="宋体" w:cs="宋体"/>
          <w:color w:val="auto"/>
          <w:spacing w:val="-30"/>
          <w:sz w:val="24"/>
          <w:szCs w:val="24"/>
          <w:highlight w:val="none"/>
        </w:rPr>
        <w:t xml:space="preserve"> 号</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规定缴纳的建筑职工工伤保险费。报价应充分考虑工程施工管理和施工组织设计</w:t>
      </w:r>
      <w:r>
        <w:rPr>
          <w:rFonts w:hint="eastAsia" w:ascii="宋体" w:hAnsi="宋体" w:eastAsia="宋体" w:cs="宋体"/>
          <w:color w:val="auto"/>
          <w:spacing w:val="-12"/>
          <w:sz w:val="24"/>
          <w:szCs w:val="24"/>
          <w:highlight w:val="none"/>
        </w:rPr>
        <w:t>涉及的内容，不允许报价与工程施工管理和施工组织严重脱节或工程量清单各项单价存在严重不合理报价。</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0" w:leftChars="0" w:right="0" w:rightChars="0" w:firstLine="460" w:firstLineChars="200"/>
        <w:jc w:val="both"/>
        <w:textAlignment w:val="auto"/>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w:t>
      </w:r>
      <w:r>
        <w:rPr>
          <w:rFonts w:hint="eastAsia" w:cs="宋体"/>
          <w:color w:val="auto"/>
          <w:spacing w:val="-5"/>
          <w:sz w:val="24"/>
          <w:szCs w:val="24"/>
          <w:highlight w:val="none"/>
          <w:lang w:val="en-US" w:eastAsia="zh-CN"/>
        </w:rPr>
        <w:t>、</w:t>
      </w:r>
      <w:r>
        <w:rPr>
          <w:rFonts w:hint="eastAsia" w:ascii="宋体" w:hAnsi="宋体" w:eastAsia="宋体" w:cs="宋体"/>
          <w:color w:val="auto"/>
          <w:spacing w:val="-5"/>
          <w:sz w:val="24"/>
          <w:szCs w:val="24"/>
          <w:highlight w:val="none"/>
          <w:lang w:val="en-US" w:eastAsia="zh-CN"/>
        </w:rPr>
        <w:t>工程量清单项目中【项目特征】的描述须与本说明和规定共同使用。工程量清单项目中的综合单价除包括上述内容外，还应结合招标文件、招标文件所附合同条款、图纸等技术文件、有关技术规范及标准、现场施工条件、施工组织设计及施工方案等阅读、理解并进行报价。</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0" w:leftChars="0" w:right="0" w:rightChars="0" w:firstLine="460" w:firstLineChars="200"/>
        <w:jc w:val="both"/>
        <w:textAlignment w:val="auto"/>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5</w:t>
      </w:r>
      <w:r>
        <w:rPr>
          <w:rFonts w:hint="eastAsia" w:cs="宋体"/>
          <w:color w:val="auto"/>
          <w:spacing w:val="-5"/>
          <w:sz w:val="24"/>
          <w:szCs w:val="24"/>
          <w:highlight w:val="none"/>
          <w:lang w:val="en-US" w:eastAsia="zh-CN"/>
        </w:rPr>
        <w:t>、</w:t>
      </w:r>
      <w:r>
        <w:rPr>
          <w:rFonts w:hint="eastAsia" w:ascii="宋体" w:hAnsi="宋体" w:eastAsia="宋体" w:cs="宋体"/>
          <w:color w:val="auto"/>
          <w:spacing w:val="-5"/>
          <w:sz w:val="24"/>
          <w:szCs w:val="24"/>
          <w:highlight w:val="none"/>
          <w:lang w:val="en-US" w:eastAsia="zh-CN"/>
        </w:rPr>
        <w:t>投标人认为招标文件工程量清单没有开列的项目或认为清单及清单工程量描述有误时，投标人应以书面形式提出，经招标人以答疑纪要或澄清文件方式确认后可增列或修正。</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0" w:leftChars="0" w:right="0" w:rightChars="0" w:firstLine="460" w:firstLineChars="200"/>
        <w:jc w:val="both"/>
        <w:textAlignment w:val="auto"/>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6</w:t>
      </w:r>
      <w:r>
        <w:rPr>
          <w:rFonts w:hint="eastAsia" w:cs="宋体"/>
          <w:color w:val="auto"/>
          <w:spacing w:val="-5"/>
          <w:sz w:val="24"/>
          <w:szCs w:val="24"/>
          <w:highlight w:val="none"/>
          <w:lang w:val="en-US" w:eastAsia="zh-CN"/>
        </w:rPr>
        <w:t>、</w:t>
      </w:r>
      <w:r>
        <w:rPr>
          <w:rFonts w:hint="eastAsia" w:ascii="宋体" w:hAnsi="宋体" w:eastAsia="宋体" w:cs="宋体"/>
          <w:color w:val="auto"/>
          <w:spacing w:val="-5"/>
          <w:sz w:val="24"/>
          <w:szCs w:val="24"/>
          <w:highlight w:val="none"/>
          <w:lang w:val="en-US" w:eastAsia="zh-CN"/>
        </w:rPr>
        <w:t>工程量报价清单内的每一清单项目均需填报单价和合价,对没有填报或填报为“0”的单价与合价项目,则视为该项费用已含在其他工程量报价清单中的综合单价与综合合价内。</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0" w:leftChars="0" w:right="0" w:rightChars="0" w:firstLine="460" w:firstLineChars="200"/>
        <w:jc w:val="both"/>
        <w:textAlignment w:val="auto"/>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7</w:t>
      </w:r>
      <w:r>
        <w:rPr>
          <w:rFonts w:hint="eastAsia" w:cs="宋体"/>
          <w:color w:val="auto"/>
          <w:spacing w:val="-5"/>
          <w:sz w:val="24"/>
          <w:szCs w:val="24"/>
          <w:highlight w:val="none"/>
          <w:lang w:val="en-US" w:eastAsia="zh-CN"/>
        </w:rPr>
        <w:t>、</w:t>
      </w:r>
      <w:r>
        <w:rPr>
          <w:rFonts w:hint="eastAsia" w:ascii="宋体" w:hAnsi="宋体" w:eastAsia="宋体" w:cs="宋体"/>
          <w:color w:val="auto"/>
          <w:spacing w:val="-5"/>
          <w:sz w:val="24"/>
          <w:szCs w:val="24"/>
          <w:highlight w:val="none"/>
          <w:lang w:val="en-US" w:eastAsia="zh-CN"/>
        </w:rPr>
        <w:t>工程量清单中的主材若属招标人推荐品牌范围的，则按招标人推荐的供货厂家进行报价。</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0" w:leftChars="0" w:right="0" w:rightChars="0" w:firstLine="460" w:firstLineChars="200"/>
        <w:jc w:val="both"/>
        <w:textAlignment w:val="auto"/>
        <w:rPr>
          <w:rFonts w:hint="eastAsia" w:ascii="宋体" w:hAnsi="宋体" w:eastAsia="宋体" w:cs="宋体"/>
          <w:strike/>
          <w:dstrike w:val="0"/>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8</w:t>
      </w:r>
      <w:r>
        <w:rPr>
          <w:rFonts w:hint="eastAsia" w:cs="宋体"/>
          <w:color w:val="auto"/>
          <w:spacing w:val="-5"/>
          <w:sz w:val="24"/>
          <w:szCs w:val="24"/>
          <w:highlight w:val="none"/>
          <w:lang w:val="en-US" w:eastAsia="zh-CN"/>
        </w:rPr>
        <w:t>、</w:t>
      </w:r>
      <w:r>
        <w:rPr>
          <w:rFonts w:hint="eastAsia" w:ascii="宋体" w:hAnsi="宋体" w:eastAsia="宋体" w:cs="宋体"/>
          <w:color w:val="auto"/>
          <w:spacing w:val="-5"/>
          <w:sz w:val="24"/>
          <w:szCs w:val="24"/>
          <w:highlight w:val="none"/>
          <w:lang w:val="en-US" w:eastAsia="zh-CN"/>
        </w:rPr>
        <w:t>投标人所报的材料及设备单价均为到工地结算价（不包含进项税额），即包含原价、采购费、运杂费及运输损耗、仓储保管费、装卸费、吊装费及场内二次转运费等。</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0" w:leftChars="0" w:right="0" w:rightChars="0" w:firstLine="460" w:firstLineChars="200"/>
        <w:jc w:val="both"/>
        <w:textAlignment w:val="auto"/>
        <w:rPr>
          <w:rFonts w:hint="eastAsia" w:ascii="宋体" w:hAnsi="宋体" w:eastAsia="宋体" w:cs="宋体"/>
          <w:color w:val="auto"/>
          <w:spacing w:val="-5"/>
          <w:sz w:val="24"/>
          <w:szCs w:val="24"/>
          <w:highlight w:val="none"/>
          <w:lang w:val="en-US" w:eastAsia="zh-CN"/>
        </w:rPr>
      </w:pPr>
      <w:r>
        <w:rPr>
          <w:rFonts w:hint="eastAsia" w:cs="宋体"/>
          <w:color w:val="auto"/>
          <w:spacing w:val="-5"/>
          <w:sz w:val="24"/>
          <w:szCs w:val="24"/>
          <w:highlight w:val="none"/>
          <w:lang w:val="en-US" w:eastAsia="zh-CN"/>
        </w:rPr>
        <w:t>9、</w:t>
      </w:r>
      <w:r>
        <w:rPr>
          <w:rFonts w:hint="eastAsia" w:ascii="宋体" w:hAnsi="宋体" w:eastAsia="宋体" w:cs="宋体"/>
          <w:color w:val="auto"/>
          <w:spacing w:val="-5"/>
          <w:sz w:val="24"/>
          <w:szCs w:val="24"/>
          <w:highlight w:val="none"/>
          <w:lang w:val="en-US" w:eastAsia="zh-CN"/>
        </w:rPr>
        <w:t>本清单内未给定格式的表格，全部参照中华人民共和国国家标准《建设工程工程量清单计价规范》(GB50500-2013)相关表格格式，同时需满足广州市建设工程交易中心关于电子评标的格式要求。</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0" w:leftChars="0" w:right="0" w:rightChars="0" w:firstLine="460" w:firstLineChars="200"/>
        <w:jc w:val="both"/>
        <w:textAlignment w:val="auto"/>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w:t>
      </w:r>
      <w:r>
        <w:rPr>
          <w:rFonts w:hint="eastAsia" w:cs="宋体"/>
          <w:color w:val="auto"/>
          <w:spacing w:val="-5"/>
          <w:sz w:val="24"/>
          <w:szCs w:val="24"/>
          <w:highlight w:val="none"/>
          <w:lang w:val="en-US" w:eastAsia="zh-CN"/>
        </w:rPr>
        <w:t>0、</w:t>
      </w:r>
      <w:r>
        <w:rPr>
          <w:rFonts w:hint="eastAsia" w:ascii="宋体" w:hAnsi="宋体" w:eastAsia="宋体" w:cs="宋体"/>
          <w:color w:val="auto"/>
          <w:spacing w:val="-5"/>
          <w:sz w:val="24"/>
          <w:szCs w:val="24"/>
          <w:highlight w:val="none"/>
          <w:lang w:val="en-US" w:eastAsia="zh-CN"/>
        </w:rPr>
        <w:t>中标单位在签订合同时需提供与投标中标价对应一致的书面文件</w:t>
      </w:r>
      <w:r>
        <w:rPr>
          <w:rFonts w:hint="eastAsia" w:cs="宋体"/>
          <w:color w:val="auto"/>
          <w:spacing w:val="-5"/>
          <w:sz w:val="24"/>
          <w:szCs w:val="24"/>
          <w:highlight w:val="none"/>
          <w:lang w:val="en-US" w:eastAsia="zh-CN"/>
        </w:rPr>
        <w:t>3</w:t>
      </w:r>
      <w:r>
        <w:rPr>
          <w:rFonts w:hint="eastAsia" w:ascii="宋体" w:hAnsi="宋体" w:eastAsia="宋体" w:cs="宋体"/>
          <w:color w:val="auto"/>
          <w:spacing w:val="-5"/>
          <w:sz w:val="24"/>
          <w:szCs w:val="24"/>
          <w:highlight w:val="none"/>
          <w:lang w:val="en-US" w:eastAsia="zh-CN"/>
        </w:rPr>
        <w:t xml:space="preserve"> 套， 同时提供与其一致的造价软件电子版文件及 excel 文件，</w:t>
      </w:r>
      <w:r>
        <w:rPr>
          <w:rFonts w:hint="eastAsia" w:cs="宋体"/>
          <w:color w:val="auto"/>
          <w:spacing w:val="-5"/>
          <w:sz w:val="24"/>
          <w:szCs w:val="24"/>
          <w:highlight w:val="none"/>
          <w:lang w:val="en-US" w:eastAsia="zh-CN"/>
        </w:rPr>
        <w:t>建议使用</w:t>
      </w:r>
      <w:r>
        <w:rPr>
          <w:rFonts w:hint="eastAsia" w:ascii="宋体" w:hAnsi="宋体" w:eastAsia="宋体" w:cs="宋体"/>
          <w:color w:val="auto"/>
          <w:spacing w:val="-5"/>
          <w:sz w:val="24"/>
          <w:szCs w:val="24"/>
          <w:highlight w:val="none"/>
          <w:lang w:val="en-US" w:eastAsia="zh-CN"/>
        </w:rPr>
        <w:t>广联达、易达、殷雷造价软件。</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0" w:leftChars="0" w:right="0" w:rightChars="0" w:firstLine="46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1</w:t>
      </w:r>
      <w:r>
        <w:rPr>
          <w:rFonts w:hint="eastAsia"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lang w:val="en-US" w:eastAsia="zh-CN"/>
        </w:rPr>
        <w:t>所有报价的币种均为人民币；工程数量、单价、合价保留两位小数，第三位小数四舍五入。</w:t>
      </w:r>
    </w:p>
    <w:p>
      <w:pPr>
        <w:pStyle w:val="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（二）分部分项工程量清单计价说明</w:t>
      </w:r>
    </w:p>
    <w:p>
      <w:pPr>
        <w:pStyle w:val="23"/>
        <w:keepNext w:val="0"/>
        <w:keepLines w:val="0"/>
        <w:pageBreakBefore w:val="0"/>
        <w:widowControl w:val="0"/>
        <w:kinsoku/>
        <w:wordWrap/>
        <w:overflowPunct/>
        <w:topLinePunct w:val="0"/>
        <w:bidi w:val="0"/>
        <w:adjustRightInd/>
        <w:snapToGrid/>
        <w:spacing w:before="0" w:line="360" w:lineRule="auto"/>
        <w:ind w:left="0" w:leftChars="0" w:right="0" w:firstLine="45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分部分项工程量清单报价：指根据招标文件、图纸、国家规范、技术文件标</w:t>
      </w:r>
      <w:r>
        <w:rPr>
          <w:rFonts w:hint="eastAsia" w:ascii="宋体" w:hAnsi="宋体" w:eastAsia="宋体" w:cs="宋体"/>
          <w:color w:val="auto"/>
          <w:spacing w:val="-11"/>
          <w:sz w:val="24"/>
          <w:szCs w:val="24"/>
          <w:highlight w:val="none"/>
        </w:rPr>
        <w:t>准等内容，采取综合单价包干计价的项目。综合单价是指完成工程量清单中规定</w:t>
      </w:r>
      <w:r>
        <w:rPr>
          <w:rFonts w:hint="eastAsia" w:ascii="宋体" w:hAnsi="宋体" w:eastAsia="宋体" w:cs="宋体"/>
          <w:color w:val="auto"/>
          <w:sz w:val="24"/>
          <w:szCs w:val="24"/>
          <w:highlight w:val="none"/>
        </w:rPr>
        <w:t>计量单位项目全部工作内容所需的所有相关费用。</w:t>
      </w:r>
    </w:p>
    <w:p>
      <w:pPr>
        <w:pStyle w:val="136"/>
        <w:keepNext w:val="0"/>
        <w:keepLines w:val="0"/>
        <w:pageBreakBefore w:val="0"/>
        <w:widowControl w:val="0"/>
        <w:numPr>
          <w:ilvl w:val="0"/>
          <w:numId w:val="0"/>
        </w:numPr>
        <w:tabs>
          <w:tab w:val="left" w:pos="844"/>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ascii="宋体" w:hAnsi="宋体" w:eastAsia="宋体" w:cs="宋体"/>
          <w:color w:val="auto"/>
          <w:sz w:val="24"/>
          <w:szCs w:val="24"/>
          <w:highlight w:val="none"/>
        </w:rPr>
      </w:pPr>
      <w:r>
        <w:rPr>
          <w:rFonts w:hint="eastAsia" w:cs="宋体"/>
          <w:b/>
          <w:color w:val="auto"/>
          <w:sz w:val="24"/>
          <w:szCs w:val="24"/>
          <w:highlight w:val="none"/>
          <w:lang w:val="en-US" w:eastAsia="zh-CN"/>
        </w:rPr>
        <w:t>1、</w:t>
      </w:r>
      <w:r>
        <w:rPr>
          <w:rFonts w:hint="eastAsia" w:ascii="宋体" w:hAnsi="宋体" w:eastAsia="宋体" w:cs="宋体"/>
          <w:color w:val="auto"/>
          <w:sz w:val="24"/>
          <w:szCs w:val="24"/>
          <w:highlight w:val="none"/>
        </w:rPr>
        <w:t>综合单价：包括人工费（包含规费）、材料费、机具费、管理费、</w:t>
      </w:r>
      <w:r>
        <w:rPr>
          <w:rFonts w:hint="eastAsia" w:ascii="宋体" w:hAnsi="宋体" w:eastAsia="宋体" w:cs="宋体"/>
          <w:color w:val="auto"/>
          <w:spacing w:val="-10"/>
          <w:sz w:val="24"/>
          <w:szCs w:val="24"/>
          <w:highlight w:val="none"/>
        </w:rPr>
        <w:t>利润、不可预见费、夜间施工增加费、超高增加人工、机具费、在洞内、地下室</w:t>
      </w:r>
      <w:r>
        <w:rPr>
          <w:rFonts w:hint="eastAsia" w:ascii="宋体" w:hAnsi="宋体" w:eastAsia="宋体" w:cs="宋体"/>
          <w:color w:val="auto"/>
          <w:spacing w:val="-8"/>
          <w:sz w:val="24"/>
          <w:szCs w:val="24"/>
          <w:highlight w:val="none"/>
        </w:rPr>
        <w:t>内、库内或暗室内</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需要照明</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4"/>
          <w:sz w:val="24"/>
          <w:szCs w:val="24"/>
          <w:highlight w:val="none"/>
        </w:rPr>
        <w:t>进行施工增加费等；综合单价包干的项目，除合</w:t>
      </w:r>
      <w:r>
        <w:rPr>
          <w:rFonts w:hint="eastAsia" w:ascii="宋体" w:hAnsi="宋体" w:eastAsia="宋体" w:cs="宋体"/>
          <w:color w:val="auto"/>
          <w:spacing w:val="-10"/>
          <w:sz w:val="24"/>
          <w:szCs w:val="24"/>
          <w:highlight w:val="none"/>
        </w:rPr>
        <w:t>同、招标文件另有约定和政府针对本项目的文件规定可以调整外，无论施工条件</w:t>
      </w:r>
      <w:r>
        <w:rPr>
          <w:rFonts w:hint="eastAsia" w:ascii="宋体" w:hAnsi="宋体" w:eastAsia="宋体" w:cs="宋体"/>
          <w:color w:val="auto"/>
          <w:spacing w:val="-22"/>
          <w:sz w:val="24"/>
          <w:szCs w:val="24"/>
          <w:highlight w:val="none"/>
        </w:rPr>
        <w:t>或施工图纸是否发生变化，在合同执行期内综合单价固定不变。各费用定义按《广东省建设工程计</w:t>
      </w:r>
      <w:r>
        <w:rPr>
          <w:rFonts w:hint="eastAsia" w:ascii="宋体" w:hAnsi="宋体" w:eastAsia="宋体" w:cs="宋体"/>
          <w:b w:val="0"/>
          <w:bCs w:val="0"/>
          <w:color w:val="auto"/>
          <w:spacing w:val="-22"/>
          <w:sz w:val="24"/>
          <w:szCs w:val="24"/>
          <w:highlight w:val="none"/>
        </w:rPr>
        <w:t>价依据的通知（2018）》（粤建市[2019]6</w:t>
      </w:r>
      <w:r>
        <w:rPr>
          <w:rFonts w:hint="eastAsia" w:ascii="宋体" w:hAnsi="宋体" w:eastAsia="宋体" w:cs="宋体"/>
          <w:b w:val="0"/>
          <w:bCs w:val="0"/>
          <w:color w:val="auto"/>
          <w:spacing w:val="-30"/>
          <w:sz w:val="24"/>
          <w:szCs w:val="24"/>
          <w:highlight w:val="none"/>
        </w:rPr>
        <w:t xml:space="preserve"> 号</w:t>
      </w:r>
      <w:r>
        <w:rPr>
          <w:rFonts w:hint="eastAsia" w:ascii="宋体" w:hAnsi="宋体" w:eastAsia="宋体" w:cs="宋体"/>
          <w:b w:val="0"/>
          <w:bCs w:val="0"/>
          <w:color w:val="auto"/>
          <w:sz w:val="24"/>
          <w:szCs w:val="24"/>
          <w:highlight w:val="none"/>
        </w:rPr>
        <w:t>）的规定执行。</w:t>
      </w:r>
    </w:p>
    <w:p>
      <w:pPr>
        <w:pStyle w:val="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p>
    <w:p>
      <w:pPr>
        <w:pStyle w:val="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（三）措施项目清单计价说明</w:t>
      </w:r>
    </w:p>
    <w:p>
      <w:pPr>
        <w:pStyle w:val="23"/>
        <w:keepNext w:val="0"/>
        <w:keepLines w:val="0"/>
        <w:pageBreakBefore w:val="0"/>
        <w:widowControl w:val="0"/>
        <w:kinsoku/>
        <w:wordWrap/>
        <w:overflowPunct/>
        <w:topLinePunct w:val="0"/>
        <w:bidi w:val="0"/>
        <w:adjustRightInd/>
        <w:snapToGrid/>
        <w:spacing w:before="0" w:line="360" w:lineRule="auto"/>
        <w:ind w:left="0" w:leftChars="0" w:right="0" w:firstLine="45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措施项目费指根据招标文件、图纸、国家规范、技术文件标准等内容，完成</w:t>
      </w:r>
      <w:r>
        <w:rPr>
          <w:rFonts w:hint="eastAsia" w:ascii="宋体" w:hAnsi="宋体" w:eastAsia="宋体" w:cs="宋体"/>
          <w:color w:val="auto"/>
          <w:spacing w:val="-9"/>
          <w:sz w:val="24"/>
          <w:szCs w:val="24"/>
          <w:highlight w:val="none"/>
        </w:rPr>
        <w:t>本招标项目施工，发生于该招标项目承包期内非工程实体项目费用。措施项目的</w:t>
      </w:r>
      <w:r>
        <w:rPr>
          <w:rFonts w:hint="eastAsia" w:ascii="宋体" w:hAnsi="宋体" w:eastAsia="宋体" w:cs="宋体"/>
          <w:color w:val="auto"/>
          <w:sz w:val="24"/>
          <w:szCs w:val="24"/>
          <w:highlight w:val="none"/>
        </w:rPr>
        <w:t>实施须满足政府职能部门及发包人制定的相关规定要求。</w:t>
      </w:r>
    </w:p>
    <w:p>
      <w:pPr>
        <w:pStyle w:val="2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cs="宋体"/>
          <w:b/>
          <w:bCs/>
          <w:color w:val="auto"/>
          <w:sz w:val="24"/>
          <w:szCs w:val="24"/>
          <w:highlight w:val="none"/>
          <w:lang w:val="en-US" w:eastAsia="zh-CN"/>
        </w:rPr>
      </w:pPr>
      <w:r>
        <w:rPr>
          <w:rFonts w:hint="eastAsia" w:ascii="宋体" w:hAnsi="宋体" w:eastAsia="宋体" w:cs="宋体"/>
          <w:color w:val="auto"/>
          <w:sz w:val="24"/>
          <w:szCs w:val="24"/>
          <w:highlight w:val="none"/>
        </w:rPr>
        <w:t>招标人提出的措施项目清单是根据一般情况所列，因此投标人在报价时，应</w:t>
      </w:r>
      <w:r>
        <w:rPr>
          <w:rFonts w:hint="eastAsia" w:ascii="宋体" w:hAnsi="宋体" w:eastAsia="宋体" w:cs="宋体"/>
          <w:color w:val="auto"/>
          <w:spacing w:val="-6"/>
          <w:sz w:val="24"/>
          <w:szCs w:val="24"/>
          <w:highlight w:val="none"/>
        </w:rPr>
        <w:t>根据本企业的实际情况和拟采用的施工方案，详细分析其所含的项目特征和工程</w:t>
      </w:r>
      <w:r>
        <w:rPr>
          <w:rFonts w:hint="eastAsia" w:ascii="宋体" w:hAnsi="宋体" w:eastAsia="宋体" w:cs="宋体"/>
          <w:color w:val="auto"/>
          <w:spacing w:val="-11"/>
          <w:sz w:val="24"/>
          <w:szCs w:val="24"/>
          <w:highlight w:val="none"/>
        </w:rPr>
        <w:t>内</w:t>
      </w:r>
      <w:r>
        <w:rPr>
          <w:rFonts w:hint="eastAsia" w:ascii="宋体" w:hAnsi="宋体" w:eastAsia="宋体" w:cs="宋体"/>
          <w:b w:val="0"/>
          <w:bCs w:val="0"/>
          <w:color w:val="auto"/>
          <w:spacing w:val="-11"/>
          <w:sz w:val="24"/>
          <w:szCs w:val="24"/>
          <w:highlight w:val="none"/>
        </w:rPr>
        <w:t>容，自行报价。投标人没有计算或少计算的费用，视为已包括在其他相关费用</w:t>
      </w:r>
      <w:r>
        <w:rPr>
          <w:rFonts w:hint="eastAsia" w:ascii="宋体" w:hAnsi="宋体" w:eastAsia="宋体" w:cs="宋体"/>
          <w:b w:val="0"/>
          <w:bCs w:val="0"/>
          <w:color w:val="auto"/>
          <w:sz w:val="24"/>
          <w:szCs w:val="24"/>
          <w:highlight w:val="none"/>
        </w:rPr>
        <w:t>内。</w:t>
      </w:r>
    </w:p>
    <w:p>
      <w:pPr>
        <w:pStyle w:val="3"/>
        <w:keepNext w:val="0"/>
        <w:keepLines w:val="0"/>
        <w:pageBreakBefore w:val="0"/>
        <w:widowControl w:val="0"/>
        <w:numPr>
          <w:ilvl w:val="0"/>
          <w:numId w:val="0"/>
        </w:numPr>
        <w:tabs>
          <w:tab w:val="left" w:pos="844"/>
        </w:tabs>
        <w:kinsoku/>
        <w:wordWrap/>
        <w:overflowPunct/>
        <w:topLinePunct w:val="0"/>
        <w:bidi w:val="0"/>
        <w:adjustRightInd/>
        <w:snapToGrid/>
        <w:spacing w:before="0" w:after="0" w:line="360" w:lineRule="auto"/>
        <w:ind w:leftChars="0" w:right="0" w:rightChars="0" w:firstLine="482" w:firstLineChars="200"/>
        <w:jc w:val="both"/>
        <w:textAlignment w:val="auto"/>
        <w:rPr>
          <w:rFonts w:hint="eastAsia" w:ascii="宋体" w:hAnsi="宋体" w:eastAsia="宋体" w:cs="宋体"/>
          <w:b w:val="0"/>
          <w:bCs w:val="0"/>
          <w:color w:val="auto"/>
          <w:sz w:val="24"/>
          <w:szCs w:val="24"/>
          <w:highlight w:val="none"/>
        </w:rPr>
      </w:pP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绿色施工安全防护措施项目费</w:t>
      </w:r>
    </w:p>
    <w:p>
      <w:pPr>
        <w:pStyle w:val="2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指按照国家现行的建筑施工安全、施工现场环境与卫生标准和有关规定， 购置和更新施工安全防护用具及设施、保证和改善安全生产条件及作业环境所需要的费用。依据</w:t>
      </w:r>
      <w:r>
        <w:rPr>
          <w:rFonts w:hint="eastAsia" w:ascii="宋体" w:hAnsi="宋体" w:eastAsia="宋体" w:cs="宋体"/>
          <w:color w:val="auto"/>
          <w:spacing w:val="-11"/>
          <w:sz w:val="24"/>
          <w:szCs w:val="24"/>
          <w:highlight w:val="none"/>
        </w:rPr>
        <w:t>《广东</w:t>
      </w:r>
      <w:r>
        <w:rPr>
          <w:rFonts w:hint="eastAsia" w:ascii="宋体" w:hAnsi="宋体" w:eastAsia="宋体" w:cs="宋体"/>
          <w:color w:val="auto"/>
          <w:spacing w:val="-1"/>
          <w:sz w:val="24"/>
          <w:szCs w:val="24"/>
          <w:highlight w:val="none"/>
        </w:rPr>
        <w:t>省建设工程计价依据的通知</w:t>
      </w:r>
      <w:r>
        <w:rPr>
          <w:rFonts w:hint="eastAsia" w:ascii="宋体" w:hAnsi="宋体" w:eastAsia="宋体" w:cs="宋体"/>
          <w:color w:val="auto"/>
          <w:sz w:val="24"/>
          <w:szCs w:val="24"/>
          <w:highlight w:val="none"/>
        </w:rPr>
        <w:t>（2018）</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粤建市〔</w:t>
      </w:r>
      <w:r>
        <w:rPr>
          <w:rFonts w:hint="eastAsia" w:ascii="宋体" w:hAnsi="宋体" w:eastAsia="宋体" w:cs="宋体"/>
          <w:color w:val="auto"/>
          <w:sz w:val="24"/>
          <w:szCs w:val="24"/>
          <w:highlight w:val="none"/>
        </w:rPr>
        <w:t>2019</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6</w:t>
      </w:r>
      <w:r>
        <w:rPr>
          <w:rFonts w:hint="eastAsia" w:ascii="宋体" w:hAnsi="宋体" w:eastAsia="宋体" w:cs="宋体"/>
          <w:color w:val="auto"/>
          <w:spacing w:val="-32"/>
          <w:sz w:val="24"/>
          <w:szCs w:val="24"/>
          <w:highlight w:val="none"/>
        </w:rPr>
        <w:t xml:space="preserve"> 号</w:t>
      </w:r>
      <w:r>
        <w:rPr>
          <w:rFonts w:hint="eastAsia" w:ascii="宋体" w:hAnsi="宋体" w:eastAsia="宋体" w:cs="宋体"/>
          <w:color w:val="auto"/>
          <w:spacing w:val="-3"/>
          <w:sz w:val="24"/>
          <w:szCs w:val="24"/>
          <w:highlight w:val="none"/>
        </w:rPr>
        <w:t>）</w:t>
      </w:r>
      <w:r>
        <w:rPr>
          <w:rFonts w:hint="eastAsia" w:ascii="宋体" w:hAnsi="宋体" w:eastAsia="宋体" w:cs="宋体"/>
          <w:b w:val="0"/>
          <w:bCs w:val="0"/>
          <w:color w:val="auto"/>
          <w:sz w:val="24"/>
          <w:szCs w:val="24"/>
          <w:highlight w:val="none"/>
        </w:rPr>
        <w:t>，绿色施工安全防护措施费由两部分组成，</w:t>
      </w:r>
      <w:r>
        <w:rPr>
          <w:rFonts w:hint="eastAsia" w:ascii="宋体" w:hAnsi="宋体" w:eastAsia="宋体" w:cs="宋体"/>
          <w:b/>
          <w:bCs/>
          <w:color w:val="auto"/>
          <w:sz w:val="24"/>
          <w:szCs w:val="24"/>
          <w:highlight w:val="none"/>
        </w:rPr>
        <w:t>第一部分为按子目计算部分</w:t>
      </w:r>
      <w:r>
        <w:rPr>
          <w:rFonts w:hint="eastAsia" w:ascii="宋体" w:hAnsi="宋体" w:eastAsia="宋体" w:cs="宋体"/>
          <w:b w:val="0"/>
          <w:bCs w:val="0"/>
          <w:color w:val="auto"/>
          <w:sz w:val="24"/>
          <w:szCs w:val="24"/>
          <w:highlight w:val="none"/>
        </w:rPr>
        <w:t xml:space="preserve">，包括：综合脚手架、靠脚手架安全挡板、密目式安全网、围尼龙编织布、模板的支架、施工现场围挡和临时占地围挡、施工围挡照明、临时钢管架通道、独立安全防护挡板、吊装设备基础、防尘降噪绿色施工防护棚、施工便道、样板引路； </w:t>
      </w:r>
      <w:r>
        <w:rPr>
          <w:rFonts w:hint="eastAsia" w:ascii="宋体" w:hAnsi="宋体" w:eastAsia="宋体" w:cs="宋体"/>
          <w:b/>
          <w:bCs/>
          <w:color w:val="auto"/>
          <w:sz w:val="24"/>
          <w:szCs w:val="24"/>
          <w:highlight w:val="none"/>
        </w:rPr>
        <w:t>第二部分为按系数计算部分</w:t>
      </w:r>
      <w:r>
        <w:rPr>
          <w:rFonts w:hint="eastAsia" w:ascii="宋体" w:hAnsi="宋体" w:eastAsia="宋体" w:cs="宋体"/>
          <w:b w:val="0"/>
          <w:bCs w:val="0"/>
          <w:color w:val="auto"/>
          <w:sz w:val="24"/>
          <w:szCs w:val="24"/>
          <w:highlight w:val="none"/>
        </w:rPr>
        <w:t>，包括绿色施工（含扬尘控制）、临时设施、安全施工、用工实名制等</w:t>
      </w:r>
      <w:r>
        <w:rPr>
          <w:rFonts w:hint="eastAsia" w:ascii="宋体" w:hAnsi="宋体" w:eastAsia="宋体" w:cs="宋体"/>
          <w:color w:val="auto"/>
          <w:sz w:val="24"/>
          <w:szCs w:val="24"/>
          <w:highlight w:val="none"/>
        </w:rPr>
        <w:t>。</w:t>
      </w:r>
    </w:p>
    <w:p>
      <w:pPr>
        <w:pStyle w:val="2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色施工安全防护措施费作为非竞争性费用，不低于依据省市工程造价管理机构规定费率计算所需费用总额，所有投标人按招标人公布的固定金额填报。绿色施工安全防护措施费专款专用，要求在投标人财务管理中单独列出安全防护、文明施工措施项目费用清单备查。在中标后，投标人须针对安全防护及文明施工向招标人提交详细的施工组织设计，安全防护及文明施工的实施以招标人批准的施工组织进行。</w:t>
      </w:r>
    </w:p>
    <w:p>
      <w:pPr>
        <w:pStyle w:val="136"/>
        <w:keepNext w:val="0"/>
        <w:keepLines w:val="0"/>
        <w:pageBreakBefore w:val="0"/>
        <w:widowControl w:val="0"/>
        <w:numPr>
          <w:ilvl w:val="0"/>
          <w:numId w:val="0"/>
        </w:numPr>
        <w:tabs>
          <w:tab w:val="left" w:pos="1049"/>
        </w:tabs>
        <w:kinsoku/>
        <w:wordWrap/>
        <w:overflowPunct/>
        <w:topLinePunct w:val="0"/>
        <w:autoSpaceDE w:val="0"/>
        <w:autoSpaceDN w:val="0"/>
        <w:bidi w:val="0"/>
        <w:adjustRightInd/>
        <w:snapToGrid/>
        <w:spacing w:before="0" w:after="0" w:line="360" w:lineRule="auto"/>
        <w:ind w:leftChars="0" w:right="0" w:rightChars="0" w:firstLine="490" w:firstLineChars="200"/>
        <w:jc w:val="both"/>
        <w:textAlignment w:val="auto"/>
        <w:rPr>
          <w:rFonts w:hint="eastAsia" w:ascii="宋体" w:hAnsi="宋体" w:eastAsia="宋体" w:cs="宋体"/>
          <w:color w:val="auto"/>
          <w:sz w:val="24"/>
          <w:szCs w:val="24"/>
          <w:highlight w:val="none"/>
        </w:rPr>
      </w:pPr>
      <w:r>
        <w:rPr>
          <w:rFonts w:hint="eastAsia" w:cs="宋体"/>
          <w:b/>
          <w:bCs/>
          <w:color w:val="auto"/>
          <w:spacing w:val="2"/>
          <w:sz w:val="24"/>
          <w:szCs w:val="24"/>
          <w:highlight w:val="none"/>
          <w:lang w:val="en-US" w:eastAsia="zh-CN"/>
        </w:rPr>
        <w:t>1.1、</w:t>
      </w:r>
      <w:r>
        <w:rPr>
          <w:rFonts w:hint="eastAsia" w:ascii="宋体" w:hAnsi="宋体" w:eastAsia="宋体" w:cs="宋体"/>
          <w:b/>
          <w:bCs/>
          <w:color w:val="auto"/>
          <w:spacing w:val="2"/>
          <w:sz w:val="24"/>
          <w:szCs w:val="24"/>
          <w:highlight w:val="none"/>
        </w:rPr>
        <w:t>按子目计算的绿色施工安全防护措施项目费</w:t>
      </w:r>
      <w:r>
        <w:rPr>
          <w:rFonts w:hint="eastAsia" w:ascii="宋体" w:hAnsi="宋体" w:eastAsia="宋体" w:cs="宋体"/>
          <w:color w:val="auto"/>
          <w:spacing w:val="2"/>
          <w:sz w:val="24"/>
          <w:szCs w:val="24"/>
          <w:highlight w:val="none"/>
        </w:rPr>
        <w:t>，投标人必须根据招标人</w:t>
      </w:r>
      <w:r>
        <w:rPr>
          <w:rFonts w:hint="eastAsia" w:ascii="宋体" w:hAnsi="宋体" w:eastAsia="宋体" w:cs="宋体"/>
          <w:color w:val="auto"/>
          <w:spacing w:val="5"/>
          <w:sz w:val="24"/>
          <w:szCs w:val="24"/>
          <w:highlight w:val="none"/>
        </w:rPr>
        <w:t xml:space="preserve">在《分部分项工程和单价措施项目清单与计价表》开列的清单填报单价， </w:t>
      </w:r>
      <w:r>
        <w:rPr>
          <w:rFonts w:hint="eastAsia" w:ascii="宋体" w:hAnsi="宋体" w:eastAsia="宋体" w:cs="宋体"/>
          <w:color w:val="auto"/>
          <w:spacing w:val="8"/>
          <w:sz w:val="24"/>
          <w:szCs w:val="24"/>
          <w:highlight w:val="none"/>
        </w:rPr>
        <w:t>结算时按投标人投标所报的单价和实际完成数量进行计算，单价不予调整； 如投标人不按要求填报该项费用，将按招标文件和本清单总说明有关规定处理，视同已包含在投标清单中分部分项工程费的综合单价和合价中，结算时</w:t>
      </w:r>
      <w:r>
        <w:rPr>
          <w:rFonts w:hint="eastAsia" w:ascii="宋体" w:hAnsi="宋体" w:eastAsia="宋体" w:cs="宋体"/>
          <w:color w:val="auto"/>
          <w:spacing w:val="5"/>
          <w:sz w:val="24"/>
          <w:szCs w:val="24"/>
          <w:highlight w:val="none"/>
        </w:rPr>
        <w:t>不作调整。</w:t>
      </w:r>
    </w:p>
    <w:p>
      <w:pPr>
        <w:pStyle w:val="136"/>
        <w:keepNext w:val="0"/>
        <w:keepLines w:val="0"/>
        <w:pageBreakBefore w:val="0"/>
        <w:widowControl w:val="0"/>
        <w:numPr>
          <w:ilvl w:val="0"/>
          <w:numId w:val="0"/>
        </w:numPr>
        <w:tabs>
          <w:tab w:val="left" w:pos="1023"/>
        </w:tabs>
        <w:kinsoku/>
        <w:wordWrap/>
        <w:overflowPunct/>
        <w:topLinePunct w:val="0"/>
        <w:autoSpaceDE w:val="0"/>
        <w:autoSpaceDN w:val="0"/>
        <w:bidi w:val="0"/>
        <w:adjustRightInd/>
        <w:snapToGrid/>
        <w:spacing w:before="0" w:after="0" w:line="360" w:lineRule="auto"/>
        <w:ind w:leftChars="0" w:right="0" w:rightChars="0" w:firstLine="466" w:firstLineChars="200"/>
        <w:jc w:val="both"/>
        <w:textAlignment w:val="auto"/>
        <w:rPr>
          <w:rFonts w:hint="eastAsia" w:ascii="宋体" w:hAnsi="宋体" w:eastAsia="宋体" w:cs="宋体"/>
          <w:color w:val="auto"/>
          <w:sz w:val="24"/>
          <w:szCs w:val="24"/>
          <w:highlight w:val="none"/>
        </w:rPr>
      </w:pPr>
      <w:r>
        <w:rPr>
          <w:rFonts w:hint="eastAsia" w:cs="宋体"/>
          <w:b/>
          <w:color w:val="auto"/>
          <w:spacing w:val="-4"/>
          <w:sz w:val="24"/>
          <w:szCs w:val="24"/>
          <w:highlight w:val="none"/>
          <w:u w:val="single"/>
          <w:lang w:val="en-US" w:eastAsia="zh-CN"/>
        </w:rPr>
        <w:t>1.2、</w:t>
      </w:r>
      <w:r>
        <w:rPr>
          <w:rFonts w:hint="eastAsia" w:ascii="宋体" w:hAnsi="宋体" w:eastAsia="宋体" w:cs="宋体"/>
          <w:b/>
          <w:color w:val="auto"/>
          <w:spacing w:val="-4"/>
          <w:sz w:val="24"/>
          <w:szCs w:val="24"/>
          <w:highlight w:val="none"/>
          <w:u w:val="single"/>
        </w:rPr>
        <w:t>施工围蔽费用：</w:t>
      </w:r>
      <w:r>
        <w:rPr>
          <w:rFonts w:hint="eastAsia" w:ascii="宋体" w:hAnsi="宋体" w:eastAsia="宋体" w:cs="宋体"/>
          <w:color w:val="auto"/>
          <w:spacing w:val="-3"/>
          <w:sz w:val="24"/>
          <w:szCs w:val="24"/>
          <w:highlight w:val="none"/>
          <w:u w:val="single"/>
        </w:rPr>
        <w:t>投标人必须结合招标人提供的交通疏解图纸、工程量清</w:t>
      </w:r>
      <w:r>
        <w:rPr>
          <w:rFonts w:hint="eastAsia" w:ascii="宋体" w:hAnsi="宋体" w:eastAsia="宋体" w:cs="宋体"/>
          <w:color w:val="auto"/>
          <w:spacing w:val="-220"/>
          <w:sz w:val="24"/>
          <w:szCs w:val="24"/>
          <w:highlight w:val="none"/>
          <w:u w:val="single"/>
        </w:rPr>
        <w:t>单</w:t>
      </w:r>
      <w:r>
        <w:rPr>
          <w:rFonts w:hint="eastAsia" w:ascii="宋体" w:hAnsi="宋体" w:eastAsia="宋体" w:cs="宋体"/>
          <w:color w:val="auto"/>
          <w:spacing w:val="-9"/>
          <w:sz w:val="24"/>
          <w:szCs w:val="24"/>
          <w:highlight w:val="none"/>
          <w:u w:val="single"/>
        </w:rPr>
        <w:t>、实际施工情况和施工组织方案作出报价，实际施工中除满足设计要求外，还必</w:t>
      </w:r>
      <w:r>
        <w:rPr>
          <w:rFonts w:hint="eastAsia" w:ascii="宋体" w:hAnsi="宋体" w:eastAsia="宋体" w:cs="宋体"/>
          <w:color w:val="auto"/>
          <w:spacing w:val="-13"/>
          <w:sz w:val="24"/>
          <w:szCs w:val="24"/>
          <w:highlight w:val="none"/>
          <w:u w:val="single"/>
        </w:rPr>
        <w:t>须符合广州市现行建设工程施工围蔽管理的要求；如投标人不按要求填报该项费</w:t>
      </w:r>
      <w:r>
        <w:rPr>
          <w:rFonts w:hint="eastAsia" w:ascii="宋体" w:hAnsi="宋体" w:eastAsia="宋体" w:cs="宋体"/>
          <w:color w:val="auto"/>
          <w:spacing w:val="-10"/>
          <w:sz w:val="24"/>
          <w:szCs w:val="24"/>
          <w:highlight w:val="none"/>
          <w:u w:val="single"/>
        </w:rPr>
        <w:t>用，将按招标文件和本清单总说明有关规定处理，视同已包含在投标清单中分部</w:t>
      </w:r>
      <w:r>
        <w:rPr>
          <w:rFonts w:hint="eastAsia" w:ascii="宋体" w:hAnsi="宋体" w:eastAsia="宋体" w:cs="宋体"/>
          <w:color w:val="auto"/>
          <w:spacing w:val="-15"/>
          <w:sz w:val="24"/>
          <w:szCs w:val="24"/>
          <w:highlight w:val="none"/>
          <w:u w:val="single"/>
        </w:rPr>
        <w:t>分项工程费的综合单价和合价中，结算时不作调整。围蔽费用按广州市建设工程造价管理站发布的有关规定计算。</w:t>
      </w:r>
    </w:p>
    <w:p>
      <w:pPr>
        <w:pStyle w:val="3"/>
        <w:keepNext w:val="0"/>
        <w:keepLines w:val="0"/>
        <w:pageBreakBefore w:val="0"/>
        <w:widowControl w:val="0"/>
        <w:numPr>
          <w:ilvl w:val="0"/>
          <w:numId w:val="0"/>
        </w:numPr>
        <w:tabs>
          <w:tab w:val="left" w:pos="844"/>
        </w:tabs>
        <w:kinsoku/>
        <w:wordWrap/>
        <w:overflowPunct/>
        <w:topLinePunct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施工期间专项施工监控费用</w:t>
      </w:r>
    </w:p>
    <w:p>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施工期间专项施工监控费用含在投标报价中：根据《关于新建重点桥隧工程</w:t>
      </w:r>
      <w:r>
        <w:rPr>
          <w:rFonts w:hint="eastAsia" w:ascii="宋体" w:hAnsi="宋体" w:eastAsia="宋体" w:cs="宋体"/>
          <w:color w:val="auto"/>
          <w:sz w:val="24"/>
          <w:szCs w:val="24"/>
          <w:highlight w:val="none"/>
        </w:rPr>
        <w:t>做好工程视频监控管理工作的通知》(穗建路桥[2012]1038</w:t>
      </w:r>
      <w:r>
        <w:rPr>
          <w:rFonts w:hint="eastAsia" w:ascii="宋体" w:hAnsi="宋体" w:eastAsia="宋体" w:cs="宋体"/>
          <w:color w:val="auto"/>
          <w:spacing w:val="-4"/>
          <w:sz w:val="24"/>
          <w:szCs w:val="24"/>
          <w:highlight w:val="none"/>
        </w:rPr>
        <w:t xml:space="preserve"> 号)的要求，为强化</w:t>
      </w:r>
      <w:r>
        <w:rPr>
          <w:rFonts w:hint="eastAsia" w:ascii="宋体" w:hAnsi="宋体" w:eastAsia="宋体" w:cs="宋体"/>
          <w:color w:val="auto"/>
          <w:spacing w:val="-12"/>
          <w:sz w:val="24"/>
          <w:szCs w:val="24"/>
          <w:highlight w:val="none"/>
        </w:rPr>
        <w:t>施工现场过程监督，提升工程质量安全和文明施工水平，须对工程实行视频监控</w:t>
      </w:r>
      <w:r>
        <w:rPr>
          <w:rFonts w:hint="eastAsia" w:ascii="宋体" w:hAnsi="宋体" w:eastAsia="宋体" w:cs="宋体"/>
          <w:color w:val="auto"/>
          <w:sz w:val="24"/>
          <w:szCs w:val="24"/>
          <w:highlight w:val="none"/>
        </w:rPr>
        <w:t>管理,施工期间专项施工监控具体监控技术要求如下：</w:t>
      </w:r>
    </w:p>
    <w:p>
      <w:pPr>
        <w:pStyle w:val="136"/>
        <w:keepNext w:val="0"/>
        <w:keepLines w:val="0"/>
        <w:pageBreakBefore w:val="0"/>
        <w:widowControl w:val="0"/>
        <w:numPr>
          <w:ilvl w:val="0"/>
          <w:numId w:val="0"/>
        </w:numPr>
        <w:tabs>
          <w:tab w:val="left" w:pos="1085"/>
        </w:tabs>
        <w:kinsoku/>
        <w:wordWrap/>
        <w:overflowPunct/>
        <w:topLinePunct w:val="0"/>
        <w:autoSpaceDE w:val="0"/>
        <w:autoSpaceDN w:val="0"/>
        <w:bidi w:val="0"/>
        <w:adjustRightInd/>
        <w:snapToGrid/>
        <w:spacing w:before="0" w:after="0" w:line="360" w:lineRule="auto"/>
        <w:ind w:leftChars="0" w:right="0" w:rightChars="0" w:firstLine="492" w:firstLineChars="200"/>
        <w:jc w:val="both"/>
        <w:textAlignment w:val="auto"/>
        <w:rPr>
          <w:rFonts w:hint="eastAsia" w:ascii="宋体" w:hAnsi="宋体" w:eastAsia="宋体" w:cs="宋体"/>
          <w:color w:val="auto"/>
          <w:sz w:val="24"/>
          <w:szCs w:val="24"/>
          <w:highlight w:val="none"/>
        </w:rPr>
      </w:pPr>
      <w:r>
        <w:rPr>
          <w:rFonts w:hint="eastAsia" w:cs="宋体"/>
          <w:color w:val="auto"/>
          <w:spacing w:val="3"/>
          <w:sz w:val="24"/>
          <w:szCs w:val="24"/>
          <w:highlight w:val="none"/>
          <w:lang w:val="en-US" w:eastAsia="zh-CN"/>
        </w:rPr>
        <w:t>2.1、</w:t>
      </w:r>
      <w:r>
        <w:rPr>
          <w:rFonts w:hint="eastAsia" w:ascii="宋体" w:hAnsi="宋体" w:eastAsia="宋体" w:cs="宋体"/>
          <w:color w:val="auto"/>
          <w:spacing w:val="3"/>
          <w:sz w:val="24"/>
          <w:szCs w:val="24"/>
          <w:highlight w:val="none"/>
        </w:rPr>
        <w:t>所接入的视频监管信号需具备云台控制功能，且控制权限向发包人开放，实现发包人可远程控制视频信号监控现场情况。</w:t>
      </w:r>
    </w:p>
    <w:p>
      <w:pPr>
        <w:pStyle w:val="136"/>
        <w:keepNext w:val="0"/>
        <w:keepLines w:val="0"/>
        <w:pageBreakBefore w:val="0"/>
        <w:widowControl w:val="0"/>
        <w:numPr>
          <w:ilvl w:val="0"/>
          <w:numId w:val="0"/>
        </w:numPr>
        <w:tabs>
          <w:tab w:val="left" w:pos="1081"/>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2.2、</w:t>
      </w:r>
      <w:r>
        <w:rPr>
          <w:rFonts w:hint="eastAsia" w:ascii="宋体" w:hAnsi="宋体" w:eastAsia="宋体" w:cs="宋体"/>
          <w:color w:val="auto"/>
          <w:sz w:val="24"/>
          <w:szCs w:val="24"/>
          <w:highlight w:val="none"/>
        </w:rPr>
        <w:t>视频监控设备应覆盖整个施工围蔽区域及受施工影响的周边车道。</w:t>
      </w:r>
    </w:p>
    <w:p>
      <w:pPr>
        <w:pStyle w:val="136"/>
        <w:keepNext w:val="0"/>
        <w:keepLines w:val="0"/>
        <w:pageBreakBefore w:val="0"/>
        <w:widowControl w:val="0"/>
        <w:numPr>
          <w:ilvl w:val="0"/>
          <w:numId w:val="0"/>
        </w:numPr>
        <w:tabs>
          <w:tab w:val="left" w:pos="1081"/>
        </w:tabs>
        <w:kinsoku/>
        <w:wordWrap/>
        <w:overflowPunct/>
        <w:topLinePunct w:val="0"/>
        <w:autoSpaceDE w:val="0"/>
        <w:autoSpaceDN w:val="0"/>
        <w:bidi w:val="0"/>
        <w:adjustRightInd/>
        <w:snapToGrid/>
        <w:spacing w:before="0" w:after="0" w:line="360" w:lineRule="auto"/>
        <w:ind w:leftChars="0" w:right="0" w:rightChars="0" w:firstLine="456" w:firstLineChars="200"/>
        <w:jc w:val="both"/>
        <w:textAlignment w:val="auto"/>
        <w:rPr>
          <w:rFonts w:hint="eastAsia" w:ascii="宋体" w:hAnsi="宋体" w:eastAsia="宋体" w:cs="宋体"/>
          <w:color w:val="auto"/>
          <w:sz w:val="24"/>
          <w:szCs w:val="24"/>
          <w:highlight w:val="none"/>
        </w:rPr>
      </w:pPr>
      <w:r>
        <w:rPr>
          <w:rFonts w:hint="eastAsia" w:cs="宋体"/>
          <w:color w:val="auto"/>
          <w:spacing w:val="-6"/>
          <w:sz w:val="24"/>
          <w:szCs w:val="24"/>
          <w:highlight w:val="none"/>
          <w:lang w:val="en-US" w:eastAsia="zh-CN"/>
        </w:rPr>
        <w:t>2.3、</w:t>
      </w:r>
      <w:r>
        <w:rPr>
          <w:rFonts w:hint="eastAsia" w:ascii="宋体" w:hAnsi="宋体" w:eastAsia="宋体" w:cs="宋体"/>
          <w:color w:val="auto"/>
          <w:spacing w:val="-6"/>
          <w:sz w:val="24"/>
          <w:szCs w:val="24"/>
          <w:highlight w:val="none"/>
        </w:rPr>
        <w:t>施工单位应提供视频监管建设方案，包含组网方式、系统结构方案、功</w:t>
      </w:r>
      <w:r>
        <w:rPr>
          <w:rFonts w:hint="eastAsia" w:ascii="宋体" w:hAnsi="宋体" w:eastAsia="宋体" w:cs="宋体"/>
          <w:color w:val="auto"/>
          <w:spacing w:val="-11"/>
          <w:sz w:val="24"/>
          <w:szCs w:val="24"/>
          <w:highlight w:val="none"/>
        </w:rPr>
        <w:t>能描述、布点图纸、设备选型方案、系统运行维护方案等内容。由发包人对视频</w:t>
      </w:r>
      <w:r>
        <w:rPr>
          <w:rFonts w:hint="eastAsia" w:ascii="宋体" w:hAnsi="宋体" w:eastAsia="宋体" w:cs="宋体"/>
          <w:color w:val="auto"/>
          <w:spacing w:val="-13"/>
          <w:sz w:val="24"/>
          <w:szCs w:val="24"/>
          <w:highlight w:val="none"/>
        </w:rPr>
        <w:t xml:space="preserve">监管建设方案进行审查，并于 </w:t>
      </w:r>
      <w:r>
        <w:rPr>
          <w:rFonts w:hint="eastAsia" w:ascii="宋体" w:hAnsi="宋体" w:eastAsia="宋体" w:cs="宋体"/>
          <w:color w:val="auto"/>
          <w:sz w:val="24"/>
          <w:szCs w:val="24"/>
          <w:highlight w:val="none"/>
        </w:rPr>
        <w:t>2</w:t>
      </w:r>
      <w:r>
        <w:rPr>
          <w:rFonts w:hint="eastAsia" w:ascii="宋体" w:hAnsi="宋体" w:eastAsia="宋体" w:cs="宋体"/>
          <w:color w:val="auto"/>
          <w:spacing w:val="-9"/>
          <w:sz w:val="24"/>
          <w:szCs w:val="24"/>
          <w:highlight w:val="none"/>
        </w:rPr>
        <w:t xml:space="preserve"> 个工作日内向施工单位出具视频监管建设方案审</w:t>
      </w:r>
      <w:r>
        <w:rPr>
          <w:rFonts w:hint="eastAsia" w:ascii="宋体" w:hAnsi="宋体" w:eastAsia="宋体" w:cs="宋体"/>
          <w:color w:val="auto"/>
          <w:spacing w:val="-2"/>
          <w:sz w:val="24"/>
          <w:szCs w:val="24"/>
          <w:highlight w:val="none"/>
        </w:rPr>
        <w:t xml:space="preserve">查报告。施工单位应按照发包人审查通过的建设方案在施工区域围蔽后 </w:t>
      </w:r>
      <w:r>
        <w:rPr>
          <w:rFonts w:hint="eastAsia" w:ascii="宋体" w:hAnsi="宋体" w:eastAsia="宋体" w:cs="宋体"/>
          <w:color w:val="auto"/>
          <w:sz w:val="24"/>
          <w:szCs w:val="24"/>
          <w:highlight w:val="none"/>
        </w:rPr>
        <w:t>10</w:t>
      </w:r>
      <w:r>
        <w:rPr>
          <w:rFonts w:hint="eastAsia" w:ascii="宋体" w:hAnsi="宋体" w:eastAsia="宋体" w:cs="宋体"/>
          <w:color w:val="auto"/>
          <w:spacing w:val="-23"/>
          <w:sz w:val="24"/>
          <w:szCs w:val="24"/>
          <w:highlight w:val="none"/>
        </w:rPr>
        <w:t xml:space="preserve"> 天内</w:t>
      </w:r>
      <w:r>
        <w:rPr>
          <w:rFonts w:hint="eastAsia" w:ascii="宋体" w:hAnsi="宋体" w:eastAsia="宋体" w:cs="宋体"/>
          <w:color w:val="auto"/>
          <w:sz w:val="24"/>
          <w:szCs w:val="24"/>
          <w:highlight w:val="none"/>
        </w:rPr>
        <w:t>完成视频安装。</w:t>
      </w:r>
    </w:p>
    <w:p>
      <w:pPr>
        <w:pStyle w:val="136"/>
        <w:keepNext w:val="0"/>
        <w:keepLines w:val="0"/>
        <w:pageBreakBefore w:val="0"/>
        <w:widowControl w:val="0"/>
        <w:numPr>
          <w:ilvl w:val="0"/>
          <w:numId w:val="0"/>
        </w:numPr>
        <w:tabs>
          <w:tab w:val="left" w:pos="1081"/>
        </w:tabs>
        <w:kinsoku/>
        <w:wordWrap/>
        <w:overflowPunct/>
        <w:topLinePunct w:val="0"/>
        <w:autoSpaceDE w:val="0"/>
        <w:autoSpaceDN w:val="0"/>
        <w:bidi w:val="0"/>
        <w:adjustRightInd/>
        <w:snapToGrid/>
        <w:spacing w:before="0" w:after="0" w:line="360" w:lineRule="auto"/>
        <w:ind w:leftChars="0" w:right="0" w:rightChars="0" w:firstLine="400" w:firstLineChars="200"/>
        <w:jc w:val="both"/>
        <w:textAlignment w:val="auto"/>
        <w:rPr>
          <w:rFonts w:hint="eastAsia" w:ascii="宋体" w:hAnsi="宋体" w:eastAsia="宋体" w:cs="宋体"/>
          <w:color w:val="auto"/>
          <w:sz w:val="24"/>
          <w:szCs w:val="24"/>
          <w:highlight w:val="none"/>
        </w:rPr>
      </w:pPr>
      <w:r>
        <w:rPr>
          <w:rFonts w:hint="eastAsia" w:cs="宋体"/>
          <w:color w:val="auto"/>
          <w:spacing w:val="-20"/>
          <w:sz w:val="24"/>
          <w:szCs w:val="24"/>
          <w:highlight w:val="none"/>
          <w:lang w:val="en-US" w:eastAsia="zh-CN"/>
        </w:rPr>
        <w:t>2.4、</w:t>
      </w:r>
      <w:r>
        <w:rPr>
          <w:rFonts w:hint="eastAsia" w:ascii="宋体" w:hAnsi="宋体" w:eastAsia="宋体" w:cs="宋体"/>
          <w:color w:val="auto"/>
          <w:spacing w:val="-20"/>
          <w:sz w:val="24"/>
          <w:szCs w:val="24"/>
          <w:highlight w:val="none"/>
        </w:rPr>
        <w:t xml:space="preserve">采用 </w:t>
      </w:r>
      <w:r>
        <w:rPr>
          <w:rFonts w:hint="eastAsia" w:ascii="宋体" w:hAnsi="宋体" w:eastAsia="宋体" w:cs="宋体"/>
          <w:color w:val="auto"/>
          <w:sz w:val="24"/>
          <w:szCs w:val="24"/>
          <w:highlight w:val="none"/>
        </w:rPr>
        <w:t>1080P</w:t>
      </w:r>
      <w:r>
        <w:rPr>
          <w:rFonts w:hint="eastAsia" w:ascii="宋体" w:hAnsi="宋体" w:eastAsia="宋体" w:cs="宋体"/>
          <w:color w:val="auto"/>
          <w:spacing w:val="-8"/>
          <w:sz w:val="24"/>
          <w:szCs w:val="24"/>
          <w:highlight w:val="none"/>
        </w:rPr>
        <w:t xml:space="preserve"> 以上的高清摄像球机，</w:t>
      </w:r>
      <w:r>
        <w:rPr>
          <w:rFonts w:hint="eastAsia" w:ascii="宋体" w:hAnsi="宋体" w:eastAsia="宋体" w:cs="宋体"/>
          <w:color w:val="auto"/>
          <w:spacing w:val="-5"/>
          <w:sz w:val="24"/>
          <w:szCs w:val="24"/>
          <w:highlight w:val="none"/>
        </w:rPr>
        <w:t>1/3</w:t>
      </w:r>
      <w:r>
        <w:rPr>
          <w:rFonts w:hint="eastAsia" w:ascii="宋体" w:hAnsi="宋体" w:eastAsia="宋体" w:cs="宋体"/>
          <w:color w:val="auto"/>
          <w:spacing w:val="-17"/>
          <w:sz w:val="24"/>
          <w:szCs w:val="24"/>
          <w:highlight w:val="none"/>
        </w:rPr>
        <w:t xml:space="preserve">“以上 </w:t>
      </w:r>
      <w:r>
        <w:rPr>
          <w:rFonts w:hint="eastAsia" w:ascii="宋体" w:hAnsi="宋体" w:eastAsia="宋体" w:cs="宋体"/>
          <w:color w:val="auto"/>
          <w:sz w:val="24"/>
          <w:szCs w:val="24"/>
          <w:highlight w:val="none"/>
        </w:rPr>
        <w:t>CMOS</w:t>
      </w:r>
      <w:r>
        <w:rPr>
          <w:rFonts w:hint="eastAsia" w:ascii="宋体" w:hAnsi="宋体" w:eastAsia="宋体" w:cs="宋体"/>
          <w:color w:val="auto"/>
          <w:spacing w:val="-9"/>
          <w:sz w:val="24"/>
          <w:szCs w:val="24"/>
          <w:highlight w:val="none"/>
        </w:rPr>
        <w:t xml:space="preserve"> 图像传感器，</w:t>
      </w:r>
      <w:r>
        <w:rPr>
          <w:rFonts w:hint="eastAsia" w:ascii="宋体" w:hAnsi="宋体" w:eastAsia="宋体" w:cs="宋体"/>
          <w:color w:val="auto"/>
          <w:spacing w:val="-3"/>
          <w:sz w:val="24"/>
          <w:szCs w:val="24"/>
          <w:highlight w:val="none"/>
        </w:rPr>
        <w:t>200</w:t>
      </w:r>
      <w:r>
        <w:rPr>
          <w:rFonts w:hint="eastAsia" w:ascii="宋体" w:hAnsi="宋体" w:eastAsia="宋体" w:cs="宋体"/>
          <w:color w:val="auto"/>
          <w:spacing w:val="-37"/>
          <w:sz w:val="24"/>
          <w:szCs w:val="24"/>
          <w:highlight w:val="none"/>
        </w:rPr>
        <w:t xml:space="preserve"> 万</w:t>
      </w:r>
      <w:r>
        <w:rPr>
          <w:rFonts w:hint="eastAsia" w:ascii="宋体" w:hAnsi="宋体" w:eastAsia="宋体" w:cs="宋体"/>
          <w:color w:val="auto"/>
          <w:sz w:val="24"/>
          <w:szCs w:val="24"/>
          <w:highlight w:val="none"/>
        </w:rPr>
        <w:t>像素以上，最低照度：0</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05Lux(彩色)0</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005Lux(</w:t>
      </w:r>
      <w:r>
        <w:rPr>
          <w:rFonts w:hint="eastAsia" w:ascii="宋体" w:hAnsi="宋体" w:eastAsia="宋体" w:cs="宋体"/>
          <w:color w:val="auto"/>
          <w:spacing w:val="-1"/>
          <w:sz w:val="24"/>
          <w:szCs w:val="24"/>
          <w:highlight w:val="none"/>
        </w:rPr>
        <w:t>黑白)，具备日夜转换功能，红</w:t>
      </w:r>
      <w:r>
        <w:rPr>
          <w:rFonts w:hint="eastAsia" w:ascii="宋体" w:hAnsi="宋体" w:eastAsia="宋体" w:cs="宋体"/>
          <w:color w:val="auto"/>
          <w:spacing w:val="-9"/>
          <w:sz w:val="24"/>
          <w:szCs w:val="24"/>
          <w:highlight w:val="none"/>
        </w:rPr>
        <w:t xml:space="preserve">外照射距离 </w:t>
      </w:r>
      <w:r>
        <w:rPr>
          <w:rFonts w:hint="eastAsia" w:ascii="宋体" w:hAnsi="宋体" w:eastAsia="宋体" w:cs="宋体"/>
          <w:color w:val="auto"/>
          <w:sz w:val="24"/>
          <w:szCs w:val="24"/>
          <w:highlight w:val="none"/>
        </w:rPr>
        <w:t>150</w:t>
      </w:r>
      <w:r>
        <w:rPr>
          <w:rFonts w:hint="eastAsia" w:ascii="宋体" w:hAnsi="宋体" w:eastAsia="宋体" w:cs="宋体"/>
          <w:color w:val="auto"/>
          <w:spacing w:val="-8"/>
          <w:sz w:val="24"/>
          <w:szCs w:val="24"/>
          <w:highlight w:val="none"/>
        </w:rPr>
        <w:t xml:space="preserve"> 米，支持透雾、强光抑制</w:t>
      </w:r>
      <w:r>
        <w:rPr>
          <w:rFonts w:hint="eastAsia" w:ascii="宋体" w:hAnsi="宋体" w:eastAsia="宋体" w:cs="宋体"/>
          <w:color w:val="auto"/>
          <w:sz w:val="24"/>
          <w:szCs w:val="24"/>
          <w:highlight w:val="none"/>
        </w:rPr>
        <w:t>，30</w:t>
      </w:r>
      <w:r>
        <w:rPr>
          <w:rFonts w:hint="eastAsia" w:ascii="宋体" w:hAnsi="宋体" w:eastAsia="宋体" w:cs="宋体"/>
          <w:color w:val="auto"/>
          <w:spacing w:val="-8"/>
          <w:sz w:val="24"/>
          <w:szCs w:val="24"/>
          <w:highlight w:val="none"/>
        </w:rPr>
        <w:t xml:space="preserve"> 倍以上光学变焦、</w:t>
      </w:r>
      <w:r>
        <w:rPr>
          <w:rFonts w:hint="eastAsia" w:ascii="宋体" w:hAnsi="宋体" w:eastAsia="宋体" w:cs="宋体"/>
          <w:color w:val="auto"/>
          <w:sz w:val="24"/>
          <w:szCs w:val="24"/>
          <w:highlight w:val="none"/>
        </w:rPr>
        <w:t>16</w:t>
      </w:r>
      <w:r>
        <w:rPr>
          <w:rFonts w:hint="eastAsia" w:ascii="宋体" w:hAnsi="宋体" w:eastAsia="宋体" w:cs="宋体"/>
          <w:color w:val="auto"/>
          <w:spacing w:val="-10"/>
          <w:sz w:val="24"/>
          <w:szCs w:val="24"/>
          <w:highlight w:val="none"/>
        </w:rPr>
        <w:t xml:space="preserve"> 倍数字变焦</w:t>
      </w:r>
      <w:r>
        <w:rPr>
          <w:rFonts w:hint="eastAsia" w:ascii="宋体" w:hAnsi="宋体" w:eastAsia="宋体" w:cs="宋体"/>
          <w:color w:val="auto"/>
          <w:spacing w:val="-23"/>
          <w:sz w:val="24"/>
          <w:szCs w:val="24"/>
          <w:highlight w:val="none"/>
        </w:rPr>
        <w:t xml:space="preserve">同时可 </w:t>
      </w:r>
      <w:r>
        <w:rPr>
          <w:rFonts w:hint="eastAsia" w:ascii="宋体" w:hAnsi="宋体" w:eastAsia="宋体" w:cs="宋体"/>
          <w:color w:val="auto"/>
          <w:sz w:val="24"/>
          <w:szCs w:val="24"/>
          <w:highlight w:val="none"/>
        </w:rPr>
        <w:t>3600</w:t>
      </w:r>
      <w:r>
        <w:rPr>
          <w:rFonts w:hint="eastAsia" w:ascii="宋体" w:hAnsi="宋体" w:eastAsia="宋体" w:cs="宋体"/>
          <w:color w:val="auto"/>
          <w:spacing w:val="-18"/>
          <w:sz w:val="24"/>
          <w:szCs w:val="24"/>
          <w:highlight w:val="none"/>
        </w:rPr>
        <w:t xml:space="preserve"> 连续旋转、</w:t>
      </w:r>
      <w:r>
        <w:rPr>
          <w:rFonts w:hint="eastAsia" w:ascii="宋体" w:hAnsi="宋体" w:eastAsia="宋体" w:cs="宋体"/>
          <w:color w:val="auto"/>
          <w:sz w:val="24"/>
          <w:szCs w:val="24"/>
          <w:highlight w:val="none"/>
        </w:rPr>
        <w:t>-5°~90°(</w:t>
      </w:r>
      <w:r>
        <w:rPr>
          <w:rFonts w:hint="eastAsia" w:ascii="宋体" w:hAnsi="宋体" w:eastAsia="宋体" w:cs="宋体"/>
          <w:color w:val="auto"/>
          <w:spacing w:val="-6"/>
          <w:sz w:val="24"/>
          <w:szCs w:val="24"/>
          <w:highlight w:val="none"/>
        </w:rPr>
        <w:t>自动翻转)的摄像球机，并要求按照可设置回</w:t>
      </w:r>
      <w:r>
        <w:rPr>
          <w:rFonts w:hint="eastAsia" w:ascii="宋体" w:hAnsi="宋体" w:eastAsia="宋体" w:cs="宋体"/>
          <w:color w:val="auto"/>
          <w:spacing w:val="-10"/>
          <w:sz w:val="24"/>
          <w:szCs w:val="24"/>
          <w:highlight w:val="none"/>
        </w:rPr>
        <w:t xml:space="preserve">放分辨率为 </w:t>
      </w:r>
      <w:r>
        <w:rPr>
          <w:rFonts w:hint="eastAsia" w:ascii="宋体" w:hAnsi="宋体" w:eastAsia="宋体" w:cs="宋体"/>
          <w:color w:val="auto"/>
          <w:sz w:val="24"/>
          <w:szCs w:val="24"/>
          <w:highlight w:val="none"/>
        </w:rPr>
        <w:t>4CIF</w:t>
      </w:r>
      <w:r>
        <w:rPr>
          <w:rFonts w:hint="eastAsia" w:ascii="宋体" w:hAnsi="宋体" w:eastAsia="宋体" w:cs="宋体"/>
          <w:color w:val="auto"/>
          <w:spacing w:val="-15"/>
          <w:sz w:val="24"/>
          <w:szCs w:val="24"/>
          <w:highlight w:val="none"/>
        </w:rPr>
        <w:t xml:space="preserve">、存储 </w:t>
      </w:r>
      <w:r>
        <w:rPr>
          <w:rFonts w:hint="eastAsia" w:ascii="宋体" w:hAnsi="宋体" w:eastAsia="宋体" w:cs="宋体"/>
          <w:color w:val="auto"/>
          <w:sz w:val="24"/>
          <w:szCs w:val="24"/>
          <w:highlight w:val="none"/>
        </w:rPr>
        <w:t>30</w:t>
      </w:r>
      <w:r>
        <w:rPr>
          <w:rFonts w:hint="eastAsia" w:ascii="宋体" w:hAnsi="宋体" w:eastAsia="宋体" w:cs="宋体"/>
          <w:color w:val="auto"/>
          <w:spacing w:val="-8"/>
          <w:sz w:val="24"/>
          <w:szCs w:val="24"/>
          <w:highlight w:val="none"/>
        </w:rPr>
        <w:t xml:space="preserve"> 日录像的标准在前端配置相应的存储设备。</w:t>
      </w:r>
    </w:p>
    <w:p>
      <w:pPr>
        <w:pStyle w:val="136"/>
        <w:keepNext w:val="0"/>
        <w:keepLines w:val="0"/>
        <w:pageBreakBefore w:val="0"/>
        <w:widowControl w:val="0"/>
        <w:numPr>
          <w:ilvl w:val="0"/>
          <w:numId w:val="0"/>
        </w:numPr>
        <w:tabs>
          <w:tab w:val="left" w:pos="1081"/>
        </w:tabs>
        <w:kinsoku/>
        <w:wordWrap/>
        <w:overflowPunct/>
        <w:topLinePunct w:val="0"/>
        <w:autoSpaceDE w:val="0"/>
        <w:autoSpaceDN w:val="0"/>
        <w:bidi w:val="0"/>
        <w:adjustRightInd/>
        <w:snapToGrid/>
        <w:spacing w:before="0" w:after="0" w:line="360" w:lineRule="auto"/>
        <w:ind w:leftChars="0" w:right="0" w:rightChars="0" w:firstLine="468" w:firstLineChars="200"/>
        <w:jc w:val="both"/>
        <w:textAlignment w:val="auto"/>
        <w:rPr>
          <w:rFonts w:hint="eastAsia" w:ascii="宋体" w:hAnsi="宋体" w:eastAsia="宋体" w:cs="宋体"/>
          <w:color w:val="auto"/>
          <w:spacing w:val="-8"/>
          <w:sz w:val="24"/>
          <w:szCs w:val="24"/>
          <w:highlight w:val="none"/>
        </w:rPr>
      </w:pPr>
      <w:r>
        <w:rPr>
          <w:rFonts w:hint="eastAsia" w:cs="宋体"/>
          <w:color w:val="auto"/>
          <w:spacing w:val="-3"/>
          <w:sz w:val="24"/>
          <w:szCs w:val="24"/>
          <w:highlight w:val="none"/>
          <w:lang w:val="en-US" w:eastAsia="zh-CN"/>
        </w:rPr>
        <w:t>2.5、</w:t>
      </w:r>
      <w:r>
        <w:rPr>
          <w:rFonts w:hint="eastAsia" w:ascii="宋体" w:hAnsi="宋体" w:eastAsia="宋体" w:cs="宋体"/>
          <w:color w:val="auto"/>
          <w:spacing w:val="-3"/>
          <w:sz w:val="24"/>
          <w:szCs w:val="24"/>
          <w:highlight w:val="none"/>
        </w:rPr>
        <w:t xml:space="preserve">围蔽施工现场视频监控信号由施工单位租用上行速度不低于 </w:t>
      </w:r>
      <w:r>
        <w:rPr>
          <w:rFonts w:hint="eastAsia" w:ascii="宋体" w:hAnsi="宋体" w:eastAsia="宋体" w:cs="宋体"/>
          <w:color w:val="auto"/>
          <w:sz w:val="24"/>
          <w:szCs w:val="24"/>
          <w:highlight w:val="none"/>
        </w:rPr>
        <w:t>4</w:t>
      </w:r>
      <w:r>
        <w:rPr>
          <w:rFonts w:hint="eastAsia" w:ascii="宋体" w:hAnsi="宋体" w:eastAsia="宋体" w:cs="宋体"/>
          <w:color w:val="auto"/>
          <w:spacing w:val="-35"/>
          <w:sz w:val="24"/>
          <w:szCs w:val="24"/>
          <w:highlight w:val="none"/>
        </w:rPr>
        <w:t xml:space="preserve"> 兆、带公</w:t>
      </w:r>
      <w:r>
        <w:rPr>
          <w:rFonts w:hint="eastAsia" w:ascii="宋体" w:hAnsi="宋体" w:eastAsia="宋体" w:cs="宋体"/>
          <w:color w:val="auto"/>
          <w:spacing w:val="-30"/>
          <w:sz w:val="24"/>
          <w:szCs w:val="24"/>
          <w:highlight w:val="none"/>
        </w:rPr>
        <w:t xml:space="preserve">网 </w:t>
      </w:r>
      <w:r>
        <w:rPr>
          <w:rFonts w:hint="eastAsia" w:ascii="宋体" w:hAnsi="宋体" w:eastAsia="宋体" w:cs="宋体"/>
          <w:color w:val="auto"/>
          <w:sz w:val="24"/>
          <w:szCs w:val="24"/>
          <w:highlight w:val="none"/>
        </w:rPr>
        <w:t>IP</w:t>
      </w:r>
      <w:r>
        <w:rPr>
          <w:rFonts w:hint="eastAsia" w:ascii="宋体" w:hAnsi="宋体" w:eastAsia="宋体" w:cs="宋体"/>
          <w:color w:val="auto"/>
          <w:spacing w:val="-8"/>
          <w:sz w:val="24"/>
          <w:szCs w:val="24"/>
          <w:highlight w:val="none"/>
        </w:rPr>
        <w:t xml:space="preserve"> 的宽带线路传输至发包人，保障可稳定、流畅地调用前端视频监控信号。</w:t>
      </w:r>
    </w:p>
    <w:p>
      <w:pPr>
        <w:pStyle w:val="136"/>
        <w:keepNext w:val="0"/>
        <w:keepLines w:val="0"/>
        <w:pageBreakBefore w:val="0"/>
        <w:widowControl w:val="0"/>
        <w:numPr>
          <w:ilvl w:val="0"/>
          <w:numId w:val="0"/>
        </w:numPr>
        <w:tabs>
          <w:tab w:val="left" w:pos="1081"/>
        </w:tabs>
        <w:kinsoku/>
        <w:wordWrap/>
        <w:overflowPunct/>
        <w:topLinePunct w:val="0"/>
        <w:autoSpaceDE w:val="0"/>
        <w:autoSpaceDN w:val="0"/>
        <w:bidi w:val="0"/>
        <w:adjustRightInd/>
        <w:snapToGrid/>
        <w:spacing w:before="0" w:after="0" w:line="360" w:lineRule="auto"/>
        <w:ind w:leftChars="0" w:right="0" w:rightChars="0" w:firstLine="44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cs="宋体"/>
          <w:color w:val="auto"/>
          <w:spacing w:val="-8"/>
          <w:sz w:val="24"/>
          <w:szCs w:val="24"/>
          <w:highlight w:val="none"/>
          <w:lang w:val="en-US" w:eastAsia="zh-CN"/>
        </w:rPr>
        <w:t>.</w:t>
      </w:r>
      <w:r>
        <w:rPr>
          <w:rFonts w:hint="eastAsia" w:ascii="宋体" w:hAnsi="宋体" w:eastAsia="宋体" w:cs="宋体"/>
          <w:color w:val="auto"/>
          <w:spacing w:val="-8"/>
          <w:sz w:val="24"/>
          <w:szCs w:val="24"/>
          <w:highlight w:val="none"/>
        </w:rPr>
        <w:t>6</w:t>
      </w:r>
      <w:r>
        <w:rPr>
          <w:rFonts w:hint="eastAsia" w:cs="宋体"/>
          <w:color w:val="auto"/>
          <w:spacing w:val="-8"/>
          <w:sz w:val="24"/>
          <w:szCs w:val="24"/>
          <w:highlight w:val="none"/>
          <w:lang w:eastAsia="zh-CN"/>
        </w:rPr>
        <w:t>、</w:t>
      </w:r>
      <w:r>
        <w:rPr>
          <w:rFonts w:hint="eastAsia" w:ascii="宋体" w:hAnsi="宋体" w:eastAsia="宋体" w:cs="宋体"/>
          <w:color w:val="auto"/>
          <w:spacing w:val="-11"/>
          <w:sz w:val="24"/>
          <w:szCs w:val="24"/>
          <w:highlight w:val="none"/>
        </w:rPr>
        <w:t xml:space="preserve">设专人维护现场监控设备，小故障 </w:t>
      </w:r>
      <w:r>
        <w:rPr>
          <w:rFonts w:hint="eastAsia" w:ascii="宋体" w:hAnsi="宋体" w:eastAsia="宋体" w:cs="宋体"/>
          <w:color w:val="auto"/>
          <w:sz w:val="24"/>
          <w:szCs w:val="24"/>
          <w:highlight w:val="none"/>
        </w:rPr>
        <w:t>8</w:t>
      </w:r>
      <w:r>
        <w:rPr>
          <w:rFonts w:hint="eastAsia" w:ascii="宋体" w:hAnsi="宋体" w:eastAsia="宋体" w:cs="宋体"/>
          <w:color w:val="auto"/>
          <w:spacing w:val="-13"/>
          <w:sz w:val="24"/>
          <w:szCs w:val="24"/>
          <w:highlight w:val="none"/>
        </w:rPr>
        <w:t xml:space="preserve"> 小时内修复，大故障 </w:t>
      </w:r>
      <w:r>
        <w:rPr>
          <w:rFonts w:hint="eastAsia" w:ascii="宋体" w:hAnsi="宋体" w:eastAsia="宋体" w:cs="宋体"/>
          <w:color w:val="auto"/>
          <w:sz w:val="24"/>
          <w:szCs w:val="24"/>
          <w:highlight w:val="none"/>
        </w:rPr>
        <w:t>24</w:t>
      </w:r>
      <w:r>
        <w:rPr>
          <w:rFonts w:hint="eastAsia" w:ascii="宋体" w:hAnsi="宋体" w:eastAsia="宋体" w:cs="宋体"/>
          <w:color w:val="auto"/>
          <w:spacing w:val="-12"/>
          <w:sz w:val="24"/>
          <w:szCs w:val="24"/>
          <w:highlight w:val="none"/>
        </w:rPr>
        <w:t xml:space="preserve"> 小时内修</w:t>
      </w:r>
      <w:r>
        <w:rPr>
          <w:rFonts w:hint="eastAsia" w:ascii="宋体" w:hAnsi="宋体" w:eastAsia="宋体" w:cs="宋体"/>
          <w:color w:val="auto"/>
          <w:sz w:val="24"/>
          <w:szCs w:val="24"/>
          <w:highlight w:val="none"/>
        </w:rPr>
        <w:t>复。</w:t>
      </w:r>
    </w:p>
    <w:p>
      <w:pPr>
        <w:pStyle w:val="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（四）其他项目清单计价说明</w:t>
      </w:r>
    </w:p>
    <w:p>
      <w:pPr>
        <w:pStyle w:val="2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其他项目清单报价除合同约定和政府针对本项目的文件规定可以调整的以外，合同执行期内固定不变。</w:t>
      </w:r>
    </w:p>
    <w:p>
      <w:pPr>
        <w:pStyle w:val="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1、暂列金额</w:t>
      </w:r>
    </w:p>
    <w:p>
      <w:pPr>
        <w:pStyle w:val="23"/>
        <w:keepNext w:val="0"/>
        <w:keepLines w:val="0"/>
        <w:pageBreakBefore w:val="0"/>
        <w:widowControl w:val="0"/>
        <w:kinsoku/>
        <w:wordWrap/>
        <w:overflowPunct/>
        <w:topLinePunct w:val="0"/>
        <w:bidi w:val="0"/>
        <w:adjustRightInd/>
        <w:snapToGrid/>
        <w:spacing w:before="0" w:line="360" w:lineRule="auto"/>
        <w:ind w:left="0" w:leftChars="0" w:right="0" w:firstLine="436" w:firstLineChars="200"/>
        <w:jc w:val="both"/>
        <w:textAlignment w:val="auto"/>
        <w:rPr>
          <w:rFonts w:hint="eastAsia" w:ascii="宋体" w:hAnsi="宋体" w:eastAsia="宋体" w:cs="宋体"/>
          <w:color w:val="auto"/>
          <w:spacing w:val="-14"/>
          <w:sz w:val="24"/>
          <w:szCs w:val="24"/>
          <w:highlight w:val="none"/>
          <w:u w:val="none"/>
        </w:rPr>
      </w:pPr>
      <w:r>
        <w:rPr>
          <w:rFonts w:hint="eastAsia" w:ascii="宋体" w:hAnsi="宋体" w:eastAsia="宋体" w:cs="宋体"/>
          <w:color w:val="auto"/>
          <w:spacing w:val="-11"/>
          <w:sz w:val="24"/>
          <w:szCs w:val="24"/>
          <w:highlight w:val="none"/>
          <w:u w:val="none"/>
        </w:rPr>
        <w:t>本项目暂列金额投标人必须在《其他项目清单与计价汇总表》中按照</w:t>
      </w:r>
      <w:r>
        <w:rPr>
          <w:rFonts w:hint="eastAsia" w:ascii="宋体" w:hAnsi="宋体" w:eastAsia="宋体" w:cs="宋体"/>
          <w:color w:val="auto"/>
          <w:spacing w:val="-4"/>
          <w:sz w:val="24"/>
          <w:szCs w:val="24"/>
          <w:highlight w:val="none"/>
          <w:u w:val="none"/>
        </w:rPr>
        <w:t>招标人在招标控制价公布函中公布的暂列金额进行填报，如不按要求填写暂列金</w:t>
      </w:r>
      <w:r>
        <w:rPr>
          <w:rFonts w:hint="eastAsia" w:ascii="宋体" w:hAnsi="宋体" w:eastAsia="宋体" w:cs="宋体"/>
          <w:color w:val="auto"/>
          <w:spacing w:val="-11"/>
          <w:sz w:val="24"/>
          <w:szCs w:val="24"/>
          <w:highlight w:val="none"/>
          <w:u w:val="none"/>
        </w:rPr>
        <w:t>额，将按招标文件规定处理；本暂列金额包括施工合同签定时尚未确定或者不可</w:t>
      </w:r>
      <w:r>
        <w:rPr>
          <w:rFonts w:hint="eastAsia" w:ascii="宋体" w:hAnsi="宋体" w:eastAsia="宋体" w:cs="宋体"/>
          <w:color w:val="auto"/>
          <w:spacing w:val="-14"/>
          <w:sz w:val="24"/>
          <w:szCs w:val="24"/>
          <w:highlight w:val="none"/>
          <w:u w:val="none"/>
        </w:rPr>
        <w:t>预见的所需材料、设备、服务的采购、施工中可能发生的工程变更、合同约定调整因素出现时的工程价款调整以及项目实施过程中发生的索赔和现场签证确认等的费用。</w:t>
      </w:r>
    </w:p>
    <w:p>
      <w:pPr>
        <w:pStyle w:val="23"/>
        <w:keepNext w:val="0"/>
        <w:keepLines w:val="0"/>
        <w:pageBreakBefore w:val="0"/>
        <w:widowControl w:val="0"/>
        <w:numPr>
          <w:ilvl w:val="0"/>
          <w:numId w:val="8"/>
        </w:numPr>
        <w:kinsoku/>
        <w:wordWrap/>
        <w:overflowPunct/>
        <w:topLinePunct w:val="0"/>
        <w:bidi w:val="0"/>
        <w:adjustRightInd/>
        <w:snapToGrid/>
        <w:spacing w:before="0" w:line="360" w:lineRule="auto"/>
        <w:ind w:left="0" w:leftChars="0" w:right="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暂估价</w:t>
      </w:r>
    </w:p>
    <w:p>
      <w:pPr>
        <w:pStyle w:val="3"/>
        <w:keepNext w:val="0"/>
        <w:keepLines w:val="0"/>
        <w:pageBreakBefore w:val="0"/>
        <w:widowControl w:val="0"/>
        <w:kinsoku/>
        <w:wordWrap/>
        <w:overflowPunct/>
        <w:topLinePunct w:val="0"/>
        <w:bidi w:val="0"/>
        <w:adjustRightInd/>
        <w:snapToGrid/>
        <w:spacing w:before="0" w:line="360" w:lineRule="auto"/>
        <w:ind w:left="0" w:leftChars="0" w:right="0" w:firstLine="460" w:firstLineChars="200"/>
        <w:jc w:val="both"/>
        <w:textAlignment w:val="auto"/>
        <w:rPr>
          <w:rFonts w:hint="default" w:ascii="宋体" w:hAnsi="宋体" w:eastAsia="宋体" w:cs="宋体"/>
          <w:b w:val="0"/>
          <w:bCs w:val="0"/>
          <w:color w:val="auto"/>
          <w:spacing w:val="-5"/>
          <w:sz w:val="24"/>
          <w:szCs w:val="24"/>
          <w:highlight w:val="none"/>
          <w:lang w:val="en-US" w:eastAsia="zh-CN" w:bidi="zh-CN"/>
        </w:rPr>
      </w:pPr>
      <w:r>
        <w:rPr>
          <w:rFonts w:hint="eastAsia" w:ascii="宋体" w:hAnsi="宋体" w:eastAsia="宋体" w:cs="宋体"/>
          <w:b w:val="0"/>
          <w:bCs w:val="0"/>
          <w:color w:val="auto"/>
          <w:spacing w:val="-5"/>
          <w:sz w:val="24"/>
          <w:szCs w:val="24"/>
          <w:highlight w:val="none"/>
          <w:lang w:val="zh-CN" w:eastAsia="zh-CN" w:bidi="zh-CN"/>
        </w:rPr>
        <w:t>包括以下内容：</w:t>
      </w:r>
      <w:r>
        <w:rPr>
          <w:rFonts w:hint="eastAsia" w:cs="宋体"/>
          <w:b w:val="0"/>
          <w:bCs w:val="0"/>
          <w:color w:val="auto"/>
          <w:spacing w:val="-5"/>
          <w:sz w:val="24"/>
          <w:szCs w:val="24"/>
          <w:highlight w:val="none"/>
          <w:lang w:val="en-US" w:eastAsia="zh-CN" w:bidi="zh-CN"/>
        </w:rPr>
        <w:t>本项目无。</w:t>
      </w:r>
    </w:p>
    <w:p>
      <w:pPr>
        <w:pStyle w:val="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ascii="宋体" w:hAnsi="宋体" w:eastAsia="宋体" w:cs="宋体"/>
          <w:b/>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、预算包干费</w:t>
      </w:r>
    </w:p>
    <w:p>
      <w:pPr>
        <w:pStyle w:val="23"/>
        <w:keepNext w:val="0"/>
        <w:keepLines w:val="0"/>
        <w:pageBreakBefore w:val="0"/>
        <w:widowControl w:val="0"/>
        <w:kinsoku/>
        <w:wordWrap/>
        <w:overflowPunct/>
        <w:topLinePunct w:val="0"/>
        <w:bidi w:val="0"/>
        <w:adjustRightInd/>
        <w:snapToGrid/>
        <w:spacing w:before="0" w:line="360" w:lineRule="auto"/>
        <w:ind w:left="0" w:leftChars="0" w:right="0" w:firstLine="460"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5"/>
          <w:sz w:val="24"/>
          <w:szCs w:val="24"/>
          <w:highlight w:val="none"/>
        </w:rPr>
        <w:t>包括以下内容：施工雨</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污</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6"/>
          <w:sz w:val="24"/>
          <w:szCs w:val="24"/>
          <w:highlight w:val="none"/>
        </w:rPr>
        <w:t>水的排除；因地形、施工组织影响等因素造成的二次运输（包括场内外料具的多次搬迁）；20m</w:t>
      </w:r>
      <w:r>
        <w:rPr>
          <w:rFonts w:hint="eastAsia" w:ascii="宋体" w:hAnsi="宋体" w:eastAsia="宋体" w:cs="宋体"/>
          <w:color w:val="auto"/>
          <w:spacing w:val="-9"/>
          <w:sz w:val="24"/>
          <w:szCs w:val="24"/>
          <w:highlight w:val="none"/>
        </w:rPr>
        <w:t xml:space="preserve">高以下的工程用水加压措施； </w:t>
      </w:r>
      <w:r>
        <w:rPr>
          <w:rFonts w:hint="eastAsia" w:ascii="宋体" w:hAnsi="宋体" w:eastAsia="宋体" w:cs="宋体"/>
          <w:color w:val="auto"/>
          <w:spacing w:val="-5"/>
          <w:sz w:val="24"/>
          <w:szCs w:val="24"/>
          <w:highlight w:val="none"/>
        </w:rPr>
        <w:t>场地清理及其垃圾外运；施工材料堆放场地的整理；机电安装后的补洞</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槽</w:t>
      </w:r>
      <w:r>
        <w:rPr>
          <w:rFonts w:hint="eastAsia" w:ascii="宋体" w:hAnsi="宋体" w:eastAsia="宋体" w:cs="宋体"/>
          <w:color w:val="auto"/>
          <w:spacing w:val="-22"/>
          <w:sz w:val="24"/>
          <w:szCs w:val="24"/>
          <w:highlight w:val="none"/>
        </w:rPr>
        <w:t>）</w:t>
      </w:r>
      <w:r>
        <w:rPr>
          <w:rFonts w:hint="eastAsia" w:ascii="宋体" w:hAnsi="宋体" w:eastAsia="宋体" w:cs="宋体"/>
          <w:color w:val="auto"/>
          <w:sz w:val="24"/>
          <w:szCs w:val="24"/>
          <w:highlight w:val="none"/>
        </w:rPr>
        <w:t>工</w:t>
      </w:r>
      <w:r>
        <w:rPr>
          <w:rFonts w:hint="eastAsia" w:ascii="宋体" w:hAnsi="宋体" w:eastAsia="宋体" w:cs="宋体"/>
          <w:color w:val="auto"/>
          <w:spacing w:val="-6"/>
          <w:sz w:val="24"/>
          <w:szCs w:val="24"/>
          <w:highlight w:val="none"/>
        </w:rPr>
        <w:t>料费；施工材料堆放场地租赁费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含办理用地手续费的费用</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3"/>
          <w:sz w:val="24"/>
          <w:szCs w:val="24"/>
          <w:highlight w:val="none"/>
        </w:rPr>
        <w:t>补洞工料费；工</w:t>
      </w:r>
      <w:r>
        <w:rPr>
          <w:rFonts w:hint="eastAsia" w:ascii="宋体" w:hAnsi="宋体" w:eastAsia="宋体" w:cs="宋体"/>
          <w:color w:val="auto"/>
          <w:spacing w:val="-10"/>
          <w:sz w:val="24"/>
          <w:szCs w:val="24"/>
          <w:highlight w:val="none"/>
        </w:rPr>
        <w:t>程半成品、成品保护费；施工中的临时停水停电；日间施工照明增加费；基础埋</w:t>
      </w:r>
      <w:r>
        <w:rPr>
          <w:rFonts w:hint="eastAsia" w:ascii="宋体" w:hAnsi="宋体" w:eastAsia="宋体" w:cs="宋体"/>
          <w:color w:val="auto"/>
          <w:spacing w:val="-35"/>
          <w:sz w:val="24"/>
          <w:szCs w:val="24"/>
          <w:highlight w:val="none"/>
        </w:rPr>
        <w:t xml:space="preserve">深 </w:t>
      </w:r>
      <w:r>
        <w:rPr>
          <w:rFonts w:hint="eastAsia" w:ascii="宋体" w:hAnsi="宋体" w:eastAsia="宋体" w:cs="宋体"/>
          <w:color w:val="auto"/>
          <w:sz w:val="24"/>
          <w:szCs w:val="24"/>
          <w:highlight w:val="none"/>
        </w:rPr>
        <w:t>2m</w:t>
      </w:r>
      <w:r>
        <w:rPr>
          <w:rFonts w:hint="eastAsia" w:ascii="宋体" w:hAnsi="宋体" w:eastAsia="宋体" w:cs="宋体"/>
          <w:color w:val="auto"/>
          <w:spacing w:val="-8"/>
          <w:sz w:val="24"/>
          <w:szCs w:val="24"/>
          <w:highlight w:val="none"/>
        </w:rPr>
        <w:t>以内挖土方的塌方处理费</w:t>
      </w:r>
      <w:r>
        <w:rPr>
          <w:rFonts w:hint="eastAsia" w:cs="宋体"/>
          <w:color w:val="auto"/>
          <w:spacing w:val="-8"/>
          <w:sz w:val="24"/>
          <w:szCs w:val="24"/>
          <w:highlight w:val="none"/>
          <w:lang w:eastAsia="zh-CN"/>
        </w:rPr>
        <w:t>；</w:t>
      </w:r>
      <w:r>
        <w:rPr>
          <w:rFonts w:hint="eastAsia" w:cs="宋体"/>
          <w:color w:val="auto"/>
          <w:spacing w:val="-8"/>
          <w:sz w:val="24"/>
          <w:szCs w:val="24"/>
          <w:highlight w:val="none"/>
          <w:lang w:val="en-US" w:eastAsia="zh-CN"/>
        </w:rPr>
        <w:t>并含</w:t>
      </w:r>
      <w:r>
        <w:rPr>
          <w:rFonts w:ascii="宋体" w:hAnsi="宋体" w:eastAsia="宋体" w:cs="宋体"/>
          <w:color w:val="auto"/>
          <w:sz w:val="24"/>
          <w:szCs w:val="24"/>
          <w:highlight w:val="none"/>
        </w:rPr>
        <w:t>机电设备拆除后保管费，场地租赁费</w:t>
      </w:r>
      <w:r>
        <w:rPr>
          <w:rFonts w:hint="eastAsia"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预算包干费属合价包干项目，除合同另有约定外，结算时不作调整。</w:t>
      </w:r>
    </w:p>
    <w:p>
      <w:pPr>
        <w:pStyle w:val="3"/>
        <w:keepNext w:val="0"/>
        <w:keepLines w:val="0"/>
        <w:pageBreakBefore w:val="0"/>
        <w:widowControl w:val="0"/>
        <w:numPr>
          <w:ilvl w:val="0"/>
          <w:numId w:val="0"/>
        </w:numPr>
        <w:kinsoku/>
        <w:wordWrap/>
        <w:overflowPunct/>
        <w:topLinePunct w:val="0"/>
        <w:bidi w:val="0"/>
        <w:adjustRightInd/>
        <w:snapToGrid/>
        <w:spacing w:before="0" w:line="360" w:lineRule="auto"/>
        <w:ind w:leftChars="200" w:right="0" w:rightChars="0"/>
        <w:jc w:val="both"/>
        <w:textAlignment w:val="auto"/>
        <w:rPr>
          <w:rFonts w:hint="eastAsia"/>
          <w:color w:val="auto"/>
          <w:highlight w:val="none"/>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消纳费</w:t>
      </w:r>
    </w:p>
    <w:p>
      <w:pPr>
        <w:pStyle w:val="23"/>
        <w:keepNext w:val="0"/>
        <w:keepLines w:val="0"/>
        <w:pageBreakBefore w:val="0"/>
        <w:widowControl w:val="0"/>
        <w:kinsoku/>
        <w:wordWrap/>
        <w:overflowPunct/>
        <w:topLinePunct w:val="0"/>
        <w:bidi w:val="0"/>
        <w:adjustRightInd/>
        <w:snapToGrid/>
        <w:spacing w:before="0" w:line="360" w:lineRule="auto"/>
        <w:ind w:left="0" w:leftChars="0" w:right="0" w:firstLine="46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zh-CN" w:eastAsia="zh-CN"/>
        </w:rPr>
        <w:t>消纳费指施工现场垃圾清运、土石方、淤泥、渣土排放缴纳的费用，由施工单位缴纳。根据广州市建设工程造价管理站《关于建设工程余泥渣土场外运输费用计价办法的通知》（穗建造价[2019]53 号），该费用由投标人根据市场与工程实际情况进行报价，该费用在其他项目中填报。投标时投标单位按照业主提供的工程量，综合考虑土石方、</w:t>
      </w:r>
      <w:r>
        <w:rPr>
          <w:rFonts w:hint="eastAsia" w:cs="宋体"/>
          <w:color w:val="auto"/>
          <w:spacing w:val="-5"/>
          <w:sz w:val="24"/>
          <w:szCs w:val="24"/>
          <w:highlight w:val="none"/>
          <w:lang w:val="zh-CN" w:eastAsia="zh-CN"/>
        </w:rPr>
        <w:t>淤泥、</w:t>
      </w:r>
      <w:r>
        <w:rPr>
          <w:rFonts w:hint="eastAsia" w:ascii="宋体" w:hAnsi="宋体" w:eastAsia="宋体" w:cs="宋体"/>
          <w:color w:val="auto"/>
          <w:spacing w:val="-5"/>
          <w:sz w:val="24"/>
          <w:szCs w:val="24"/>
          <w:highlight w:val="none"/>
          <w:lang w:val="zh-CN" w:eastAsia="zh-CN"/>
        </w:rPr>
        <w:t>建筑垃圾等，并结合市场及自身情况自行填报单价。计量支付和结算时，综合单价按投标单价不得调整</w:t>
      </w:r>
      <w:r>
        <w:rPr>
          <w:rFonts w:hint="eastAsia" w:cs="宋体"/>
          <w:color w:val="auto"/>
          <w:spacing w:val="-5"/>
          <w:sz w:val="24"/>
          <w:szCs w:val="24"/>
          <w:highlight w:val="none"/>
          <w:lang w:val="zh-CN" w:eastAsia="zh-CN"/>
        </w:rPr>
        <w:t>，</w:t>
      </w:r>
      <w:r>
        <w:rPr>
          <w:rFonts w:hint="eastAsia" w:ascii="宋体" w:hAnsi="宋体" w:eastAsia="宋体" w:cs="宋体"/>
          <w:color w:val="auto"/>
          <w:spacing w:val="-5"/>
          <w:sz w:val="24"/>
          <w:szCs w:val="24"/>
          <w:highlight w:val="none"/>
          <w:lang w:val="zh-CN" w:eastAsia="zh-CN"/>
        </w:rPr>
        <w:t>工程量按实计算。</w:t>
      </w:r>
    </w:p>
    <w:p>
      <w:pPr>
        <w:pStyle w:val="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ascii="宋体" w:hAnsi="宋体" w:eastAsia="宋体" w:cs="宋体"/>
          <w:b/>
          <w:color w:val="auto"/>
          <w:sz w:val="24"/>
          <w:szCs w:val="24"/>
          <w:highlight w:val="none"/>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、其他费用</w:t>
      </w:r>
    </w:p>
    <w:p>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zh-CN" w:eastAsia="zh-CN" w:bidi="zh-CN"/>
        </w:rPr>
        <w:t>其他项目没有体现的，施工中又必须发生或者投标人认为为完成本工程项目将会发生的其他项目费用。</w:t>
      </w:r>
      <w:r>
        <w:rPr>
          <w:rFonts w:hint="eastAsia" w:ascii="宋体" w:hAnsi="宋体" w:eastAsia="宋体" w:cs="宋体"/>
          <w:color w:val="auto"/>
          <w:sz w:val="24"/>
          <w:szCs w:val="24"/>
          <w:highlight w:val="none"/>
        </w:rPr>
        <w:t>工程内容及其报价由投标人自列，并附单价分析。该费用属合价包干项目，除合同另有约定外，结算时不作调整。</w:t>
      </w:r>
    </w:p>
    <w:p>
      <w:pPr>
        <w:pStyle w:val="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（五）措施其他项目</w:t>
      </w:r>
    </w:p>
    <w:p>
      <w:pPr>
        <w:pStyle w:val="23"/>
        <w:keepNext w:val="0"/>
        <w:keepLines w:val="0"/>
        <w:pageBreakBefore w:val="0"/>
        <w:widowControl w:val="0"/>
        <w:kinsoku/>
        <w:wordWrap/>
        <w:overflowPunct/>
        <w:topLinePunct w:val="0"/>
        <w:bidi w:val="0"/>
        <w:adjustRightInd/>
        <w:snapToGrid/>
        <w:spacing w:before="0" w:line="360" w:lineRule="auto"/>
        <w:ind w:left="0" w:leftChars="0" w:right="0" w:firstLine="45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u w:val="single"/>
        </w:rPr>
        <w:t>投标单位可根据自身实际情况，结合现场实际，综合考虑施工方案，并在</w:t>
      </w:r>
      <w:r>
        <w:rPr>
          <w:rFonts w:hint="eastAsia" w:cs="宋体"/>
          <w:color w:val="auto"/>
          <w:spacing w:val="-7"/>
          <w:sz w:val="24"/>
          <w:szCs w:val="24"/>
          <w:highlight w:val="none"/>
          <w:u w:val="single"/>
          <w:lang w:val="en-US" w:eastAsia="zh-CN"/>
        </w:rPr>
        <w:t>措施</w:t>
      </w:r>
      <w:r>
        <w:rPr>
          <w:rFonts w:hint="eastAsia" w:ascii="宋体" w:hAnsi="宋体" w:eastAsia="宋体" w:cs="宋体"/>
          <w:color w:val="auto"/>
          <w:spacing w:val="-5"/>
          <w:sz w:val="24"/>
          <w:szCs w:val="24"/>
          <w:highlight w:val="none"/>
          <w:u w:val="single"/>
        </w:rPr>
        <w:t>费中自行考虑增列措施项目并进行计价，未列项措施项目视为已包含在已列项项目中，招标人不再为中标后新增加的措施项目另行支付费用。</w:t>
      </w:r>
    </w:p>
    <w:p>
      <w:pPr>
        <w:pStyle w:val="23"/>
        <w:keepNext w:val="0"/>
        <w:keepLines w:val="0"/>
        <w:pageBreakBefore w:val="0"/>
        <w:widowControl w:val="0"/>
        <w:kinsoku/>
        <w:wordWrap/>
        <w:overflowPunct/>
        <w:topLinePunct w:val="0"/>
        <w:bidi w:val="0"/>
        <w:adjustRightInd/>
        <w:snapToGrid/>
        <w:spacing w:before="0" w:line="360" w:lineRule="auto"/>
        <w:ind w:left="0" w:leftChars="0" w:right="0" w:firstLine="46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u w:val="single"/>
        </w:rPr>
        <w:t>投标单位可按招标人提供的指引项目报价，也可在指引项目的基础上结合施</w:t>
      </w:r>
      <w:r>
        <w:rPr>
          <w:rFonts w:hint="eastAsia" w:cs="宋体"/>
          <w:color w:val="auto"/>
          <w:spacing w:val="-5"/>
          <w:sz w:val="24"/>
          <w:szCs w:val="24"/>
          <w:highlight w:val="none"/>
          <w:u w:val="single"/>
          <w:lang w:val="en-US" w:eastAsia="zh-CN"/>
        </w:rPr>
        <w:t>工方案</w:t>
      </w:r>
      <w:r>
        <w:rPr>
          <w:rFonts w:hint="eastAsia" w:ascii="宋体" w:hAnsi="宋体" w:eastAsia="宋体" w:cs="宋体"/>
          <w:color w:val="auto"/>
          <w:spacing w:val="-8"/>
          <w:sz w:val="24"/>
          <w:szCs w:val="24"/>
          <w:highlight w:val="none"/>
          <w:u w:val="single"/>
        </w:rPr>
        <w:t>增加项目报价，如：大型机械设备进出场及安拆、建(构)筑物保护费</w:t>
      </w:r>
      <w:r>
        <w:rPr>
          <w:rFonts w:hint="eastAsia" w:ascii="宋体" w:hAnsi="宋体" w:eastAsia="宋体" w:cs="宋体"/>
          <w:color w:val="auto"/>
          <w:spacing w:val="-19"/>
          <w:sz w:val="24"/>
          <w:szCs w:val="24"/>
          <w:highlight w:val="none"/>
          <w:u w:val="single"/>
        </w:rPr>
        <w:t xml:space="preserve">等，新增项目报价需以‘宗’或‘项’为单位，措施项目清单中以‘宗’或‘ </w:t>
      </w:r>
      <w:r>
        <w:rPr>
          <w:rFonts w:hint="eastAsia" w:ascii="宋体" w:hAnsi="宋体" w:eastAsia="宋体" w:cs="宋体"/>
          <w:color w:val="auto"/>
          <w:spacing w:val="-13"/>
          <w:sz w:val="24"/>
          <w:szCs w:val="24"/>
          <w:highlight w:val="none"/>
          <w:u w:val="single"/>
        </w:rPr>
        <w:t>项’为单位的项目，除招标文件约定</w:t>
      </w:r>
      <w:r>
        <w:rPr>
          <w:rFonts w:hint="eastAsia" w:cs="宋体"/>
          <w:color w:val="auto"/>
          <w:spacing w:val="-13"/>
          <w:sz w:val="24"/>
          <w:szCs w:val="24"/>
          <w:highlight w:val="none"/>
          <w:u w:val="single"/>
          <w:lang w:val="en-US" w:eastAsia="zh-CN"/>
        </w:rPr>
        <w:t>或本工程量清单报价说明</w:t>
      </w:r>
      <w:r>
        <w:rPr>
          <w:rFonts w:hint="eastAsia" w:ascii="宋体" w:hAnsi="宋体" w:eastAsia="宋体" w:cs="宋体"/>
          <w:color w:val="auto"/>
          <w:spacing w:val="-13"/>
          <w:sz w:val="24"/>
          <w:szCs w:val="24"/>
          <w:highlight w:val="none"/>
          <w:u w:val="single"/>
        </w:rPr>
        <w:t>可调整范围外，作为该项目费用包干价，投</w:t>
      </w:r>
      <w:r>
        <w:rPr>
          <w:rFonts w:hint="eastAsia" w:ascii="宋体" w:hAnsi="宋体" w:eastAsia="宋体" w:cs="宋体"/>
          <w:color w:val="auto"/>
          <w:spacing w:val="-17"/>
          <w:sz w:val="24"/>
          <w:szCs w:val="24"/>
          <w:highlight w:val="none"/>
          <w:u w:val="single"/>
        </w:rPr>
        <w:t>标人没有计算或少计的措施项目费用，视为该费用已包含在其它费用内，工程结</w:t>
      </w:r>
      <w:r>
        <w:rPr>
          <w:rFonts w:hint="eastAsia" w:ascii="宋体" w:hAnsi="宋体" w:eastAsia="宋体" w:cs="宋体"/>
          <w:color w:val="auto"/>
          <w:spacing w:val="-16"/>
          <w:sz w:val="24"/>
          <w:szCs w:val="24"/>
          <w:highlight w:val="none"/>
          <w:u w:val="single"/>
        </w:rPr>
        <w:t>算时不予调整；措施项目清单中以‘宗’或‘项’为单位以外的清单项目，按实结算，清单或合同另有约定的除外。</w:t>
      </w:r>
    </w:p>
    <w:p>
      <w:pPr>
        <w:pStyle w:val="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施工降效费用</w:t>
      </w:r>
    </w:p>
    <w:p>
      <w:pPr>
        <w:pStyle w:val="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cs="宋体"/>
          <w:b w:val="0"/>
          <w:bCs w:val="0"/>
          <w:color w:val="auto"/>
          <w:sz w:val="24"/>
          <w:szCs w:val="24"/>
          <w:highlight w:val="none"/>
          <w:lang w:val="zh-CN" w:eastAsia="zh-CN" w:bidi="zh-CN"/>
        </w:rPr>
      </w:pPr>
      <w:r>
        <w:rPr>
          <w:rFonts w:hint="eastAsia" w:ascii="宋体" w:hAnsi="宋体" w:eastAsia="宋体" w:cs="宋体"/>
          <w:b w:val="0"/>
          <w:bCs w:val="0"/>
          <w:color w:val="auto"/>
          <w:sz w:val="24"/>
          <w:szCs w:val="24"/>
          <w:highlight w:val="none"/>
          <w:lang w:val="zh-CN" w:eastAsia="zh-CN" w:bidi="zh-CN"/>
        </w:rPr>
        <w:t>交叉施工引起的施工降效费用，包含在清单报价中，不再另行计取</w:t>
      </w:r>
      <w:r>
        <w:rPr>
          <w:rFonts w:hint="eastAsia" w:cs="宋体"/>
          <w:b w:val="0"/>
          <w:bCs w:val="0"/>
          <w:color w:val="auto"/>
          <w:sz w:val="24"/>
          <w:szCs w:val="24"/>
          <w:highlight w:val="none"/>
          <w:lang w:val="zh-CN" w:eastAsia="zh-CN" w:bidi="zh-CN"/>
        </w:rPr>
        <w:t>。</w:t>
      </w:r>
    </w:p>
    <w:p>
      <w:pPr>
        <w:pStyle w:val="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六</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风险提示</w:t>
      </w:r>
    </w:p>
    <w:p>
      <w:pPr>
        <w:pStyle w:val="23"/>
        <w:keepNext w:val="0"/>
        <w:keepLines w:val="0"/>
        <w:pageBreakBefore w:val="0"/>
        <w:widowControl w:val="0"/>
        <w:kinsoku/>
        <w:wordWrap/>
        <w:overflowPunct/>
        <w:topLinePunct w:val="0"/>
        <w:bidi w:val="0"/>
        <w:adjustRightInd/>
        <w:snapToGrid/>
        <w:spacing w:before="0" w:line="360" w:lineRule="auto"/>
        <w:ind w:left="0" w:leftChars="0" w:right="0" w:firstLine="480" w:firstLineChars="200"/>
        <w:jc w:val="both"/>
        <w:textAlignment w:val="auto"/>
        <w:rPr>
          <w:rFonts w:hint="eastAsia"/>
          <w:color w:val="auto"/>
          <w:highlight w:val="none"/>
          <w:lang w:val="zh-CN" w:eastAsia="zh-CN"/>
        </w:rPr>
      </w:pPr>
      <w:r>
        <w:rPr>
          <w:rFonts w:hint="default" w:ascii="宋体" w:hAnsi="宋体" w:eastAsia="宋体" w:cs="宋体"/>
          <w:color w:val="auto"/>
          <w:sz w:val="24"/>
          <w:szCs w:val="24"/>
          <w:highlight w:val="none"/>
          <w:lang w:val="en-US" w:eastAsia="zh-CN"/>
        </w:rPr>
        <w:t>施工期间应投入足够的排水、降水措施</w:t>
      </w:r>
      <w:r>
        <w:rPr>
          <w:rFonts w:hint="eastAsia" w:cs="宋体"/>
          <w:color w:val="auto"/>
          <w:sz w:val="24"/>
          <w:szCs w:val="24"/>
          <w:highlight w:val="none"/>
          <w:lang w:val="en-US" w:eastAsia="zh-CN"/>
        </w:rPr>
        <w:t>费、提供有效的防洪排涝措施方案，做好应急抢险预案和相应物质投入</w:t>
      </w:r>
      <w:r>
        <w:rPr>
          <w:rFonts w:hint="default" w:ascii="宋体" w:hAnsi="宋体" w:eastAsia="宋体" w:cs="宋体"/>
          <w:color w:val="auto"/>
          <w:sz w:val="24"/>
          <w:szCs w:val="24"/>
          <w:highlight w:val="none"/>
          <w:lang w:val="en-US" w:eastAsia="zh-CN"/>
        </w:rPr>
        <w:t>，确保</w:t>
      </w:r>
      <w:r>
        <w:rPr>
          <w:rFonts w:hint="eastAsia" w:cs="宋体"/>
          <w:color w:val="auto"/>
          <w:sz w:val="24"/>
          <w:szCs w:val="24"/>
          <w:highlight w:val="none"/>
          <w:lang w:val="en-US" w:eastAsia="zh-CN"/>
        </w:rPr>
        <w:t>项目不受</w:t>
      </w:r>
      <w:r>
        <w:rPr>
          <w:rFonts w:hint="default" w:ascii="宋体" w:hAnsi="宋体" w:eastAsia="宋体" w:cs="宋体"/>
          <w:color w:val="auto"/>
          <w:sz w:val="24"/>
          <w:szCs w:val="24"/>
          <w:highlight w:val="none"/>
          <w:lang w:val="en-US" w:eastAsia="zh-CN"/>
        </w:rPr>
        <w:t>洪痨</w:t>
      </w:r>
      <w:r>
        <w:rPr>
          <w:rFonts w:hint="eastAsia" w:cs="宋体"/>
          <w:color w:val="auto"/>
          <w:sz w:val="24"/>
          <w:szCs w:val="24"/>
          <w:highlight w:val="none"/>
          <w:lang w:val="en-US" w:eastAsia="zh-CN"/>
        </w:rPr>
        <w:t>影响，保障工程质量和工期。</w:t>
      </w:r>
    </w:p>
    <w:p>
      <w:pPr>
        <w:pStyle w:val="3"/>
        <w:keepNext w:val="0"/>
        <w:keepLines w:val="0"/>
        <w:pageBreakBefore w:val="0"/>
        <w:widowControl w:val="0"/>
        <w:numPr>
          <w:ilvl w:val="0"/>
          <w:numId w:val="9"/>
        </w:numPr>
        <w:kinsoku/>
        <w:wordWrap/>
        <w:overflowPunct/>
        <w:topLinePunct w:val="0"/>
        <w:bidi w:val="0"/>
        <w:adjustRightInd/>
        <w:snapToGrid/>
        <w:spacing w:before="0" w:line="360" w:lineRule="auto"/>
        <w:ind w:left="0" w:leftChars="0" w:right="0" w:firstLine="480" w:firstLineChars="200"/>
        <w:jc w:val="both"/>
        <w:textAlignment w:val="auto"/>
        <w:rPr>
          <w:rFonts w:hint="eastAsia"/>
          <w:color w:val="auto"/>
          <w:highlight w:val="none"/>
        </w:rPr>
      </w:pPr>
      <w:r>
        <w:rPr>
          <w:rFonts w:hint="eastAsia" w:ascii="宋体" w:hAnsi="宋体" w:eastAsia="宋体" w:cs="宋体"/>
          <w:color w:val="auto"/>
          <w:sz w:val="24"/>
          <w:szCs w:val="24"/>
          <w:highlight w:val="none"/>
        </w:rPr>
        <w:t>其他有关补充说明</w:t>
      </w:r>
    </w:p>
    <w:p>
      <w:pPr>
        <w:pStyle w:val="136"/>
        <w:keepNext w:val="0"/>
        <w:keepLines w:val="0"/>
        <w:pageBreakBefore w:val="0"/>
        <w:widowControl w:val="0"/>
        <w:numPr>
          <w:ilvl w:val="0"/>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88" w:firstLineChars="200"/>
        <w:jc w:val="both"/>
        <w:textAlignment w:val="auto"/>
        <w:rPr>
          <w:rFonts w:hint="eastAsia" w:cs="宋体"/>
          <w:color w:val="auto"/>
          <w:spacing w:val="2"/>
          <w:sz w:val="24"/>
          <w:szCs w:val="24"/>
          <w:highlight w:val="none"/>
          <w:lang w:val="en-US" w:eastAsia="zh-CN"/>
        </w:rPr>
      </w:pPr>
      <w:r>
        <w:rPr>
          <w:rFonts w:hint="eastAsia" w:cs="宋体"/>
          <w:color w:val="auto"/>
          <w:spacing w:val="2"/>
          <w:sz w:val="24"/>
          <w:szCs w:val="24"/>
          <w:highlight w:val="none"/>
          <w:lang w:val="en-US" w:eastAsia="zh-CN"/>
        </w:rPr>
        <w:t>1、本工程量清单按照中华人民共和国国家标准《建设工程工程量清单计价规范》(GB50500-2013)、《市政工程工程量计算规范》(GB50857-2013)、《房屋建筑与装饰工程工程量计算规范》(GB50854-2013)、《通用安装工程工程量计算规范》(GB50856-2013)、《园林绿化工程工程量计算规范》(GB50858-2013)、《广东省建筑与装饰/安装/市政/园林绿化工程量清单计价指引(2018)》等设置，投标文件需根据上述规范、办法要求填写，并提供单位工程报价汇总表、分部分项工程和单价措施项目清单与计价表、总价措施项目清单与计价表、暂列金额明细表、规费、税金项目计价表、投标人提供单位工程人材机汇总表和综合单价分析表(见附后表格格式，须列明子目工机料消耗量)，相应表格详见招标工程量清单。</w:t>
      </w:r>
    </w:p>
    <w:p>
      <w:pPr>
        <w:pStyle w:val="136"/>
        <w:keepNext w:val="0"/>
        <w:keepLines w:val="0"/>
        <w:pageBreakBefore w:val="0"/>
        <w:widowControl w:val="0"/>
        <w:numPr>
          <w:ilvl w:val="0"/>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88" w:firstLineChars="200"/>
        <w:jc w:val="both"/>
        <w:textAlignment w:val="auto"/>
        <w:rPr>
          <w:rFonts w:hint="eastAsia" w:cs="宋体"/>
          <w:color w:val="auto"/>
          <w:spacing w:val="2"/>
          <w:sz w:val="24"/>
          <w:szCs w:val="24"/>
          <w:highlight w:val="none"/>
          <w:lang w:val="en-US" w:eastAsia="zh-CN"/>
        </w:rPr>
      </w:pPr>
      <w:r>
        <w:rPr>
          <w:rFonts w:hint="eastAsia" w:cs="宋体"/>
          <w:color w:val="auto"/>
          <w:spacing w:val="2"/>
          <w:sz w:val="24"/>
          <w:szCs w:val="24"/>
          <w:highlight w:val="none"/>
          <w:lang w:val="en-US" w:eastAsia="zh-CN"/>
        </w:rPr>
        <w:t>2、分部分项工程项目的材料消耗量应满足实体用量。《广东省市政/房屋建筑与装饰/通用安装/园林绿化工程综合定额(2018)》缺项的参考其它相应定额作分析。综合单价分析表子项出现缺项或不清晰的，视该子项费用已包含在其他项目中，结算时不予调整。所提供的单价分析表或措施费用分析表中管理费或利润超过有关定额文件、规范规定的，则投标人在签订合同前，必须按招标人的要求， 在中标价不变的前提下，按有关定额文件、规范的规定进行调整。</w:t>
      </w:r>
    </w:p>
    <w:p>
      <w:pPr>
        <w:pStyle w:val="136"/>
        <w:keepNext w:val="0"/>
        <w:keepLines w:val="0"/>
        <w:pageBreakBefore w:val="0"/>
        <w:widowControl w:val="0"/>
        <w:numPr>
          <w:ilvl w:val="0"/>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88" w:firstLineChars="200"/>
        <w:jc w:val="both"/>
        <w:textAlignment w:val="auto"/>
        <w:rPr>
          <w:rFonts w:hint="eastAsia" w:cs="宋体"/>
          <w:color w:val="auto"/>
          <w:spacing w:val="2"/>
          <w:sz w:val="24"/>
          <w:szCs w:val="24"/>
          <w:highlight w:val="none"/>
          <w:lang w:val="en-US" w:eastAsia="zh-CN"/>
        </w:rPr>
      </w:pPr>
      <w:r>
        <w:rPr>
          <w:rFonts w:hint="eastAsia" w:cs="宋体"/>
          <w:color w:val="auto"/>
          <w:spacing w:val="2"/>
          <w:sz w:val="24"/>
          <w:szCs w:val="24"/>
          <w:highlight w:val="none"/>
          <w:lang w:val="en-US" w:eastAsia="zh-CN"/>
        </w:rPr>
        <w:t>3、投标报价应以清单工程量为准(项目、顺序、格式、计量单位、数量)，工程量清单计价格式中列明的所有需要填报的单价和合价，投标人均应填报；未填报单价和合价的，或出现漏项的视为该费用已包含在工程量清单的其他单价和合价中。增项的项目无效，该项目单价不作为结算依据。</w:t>
      </w:r>
    </w:p>
    <w:p>
      <w:pPr>
        <w:pStyle w:val="136"/>
        <w:keepNext w:val="0"/>
        <w:keepLines w:val="0"/>
        <w:pageBreakBefore w:val="0"/>
        <w:widowControl w:val="0"/>
        <w:numPr>
          <w:ilvl w:val="0"/>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88" w:firstLineChars="200"/>
        <w:jc w:val="both"/>
        <w:textAlignment w:val="auto"/>
        <w:rPr>
          <w:rFonts w:hint="eastAsia" w:cs="宋体"/>
          <w:color w:val="auto"/>
          <w:spacing w:val="2"/>
          <w:sz w:val="24"/>
          <w:szCs w:val="24"/>
          <w:highlight w:val="none"/>
          <w:lang w:val="en-US" w:eastAsia="zh-CN"/>
        </w:rPr>
      </w:pPr>
      <w:r>
        <w:rPr>
          <w:rFonts w:hint="eastAsia" w:cs="宋体"/>
          <w:color w:val="auto"/>
          <w:spacing w:val="2"/>
          <w:sz w:val="24"/>
          <w:szCs w:val="24"/>
          <w:highlight w:val="none"/>
          <w:lang w:val="en-US" w:eastAsia="zh-CN"/>
        </w:rPr>
        <w:t>4、对于没有明确项目特征的清单，投标人在报价时需结合招标图纸及项目名称，充分考虑该招标图纸中所包括的全部工作内容，工程结算时综合单价不变，（施工图纸与招标图纸发生变化的除外）。</w:t>
      </w:r>
    </w:p>
    <w:p>
      <w:pPr>
        <w:pStyle w:val="136"/>
        <w:keepNext w:val="0"/>
        <w:keepLines w:val="0"/>
        <w:pageBreakBefore w:val="0"/>
        <w:widowControl w:val="0"/>
        <w:numPr>
          <w:ilvl w:val="0"/>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88" w:firstLineChars="200"/>
        <w:jc w:val="both"/>
        <w:textAlignment w:val="auto"/>
        <w:rPr>
          <w:rFonts w:hint="eastAsia" w:cs="宋体"/>
          <w:color w:val="auto"/>
          <w:spacing w:val="2"/>
          <w:sz w:val="24"/>
          <w:szCs w:val="24"/>
          <w:highlight w:val="none"/>
          <w:lang w:val="en-US" w:eastAsia="zh-CN"/>
        </w:rPr>
      </w:pPr>
      <w:r>
        <w:rPr>
          <w:rFonts w:hint="eastAsia" w:cs="宋体"/>
          <w:color w:val="auto"/>
          <w:spacing w:val="2"/>
          <w:sz w:val="24"/>
          <w:szCs w:val="24"/>
          <w:highlight w:val="none"/>
          <w:lang w:val="en-US" w:eastAsia="zh-CN"/>
        </w:rPr>
        <w:t>5、工程量清单应连同图纸、合同条款、技术规范及质量验收规范、本清单总说明的所有条款、招标文件、答疑纪要、问题澄清、中华人民共和国国家标准《建设工程工程量清单计价规范》(GB50500-2013)、《市政工程工程量计算规范》(GB50857-2013)、《房屋建筑与装饰工程工程量计算规范》(GB50854-2013)、《通用安装工程工程量计算规范》(GB50856-2013)、《园林绿化工程工程量计算规范》(GB50858-2013)、《广东省市政/房屋建筑与装饰/通用安装/园林绿化工程综合定额(2018)》、《广东省城市轨道交通工程综合定额（2018）》、《广东省城市地下综合管廊工程综合定额（2018）》、《广东省传统建筑保护修复工程综合定额（试行）（2018）》等有关规范、规定同时阅读、理解或解释；工程量清单中的工程细目应与相应技术规范条款及本编制说明有关条款结合理解。</w:t>
      </w:r>
    </w:p>
    <w:p>
      <w:pPr>
        <w:pStyle w:val="136"/>
        <w:keepNext w:val="0"/>
        <w:keepLines w:val="0"/>
        <w:pageBreakBefore w:val="0"/>
        <w:widowControl w:val="0"/>
        <w:numPr>
          <w:ilvl w:val="0"/>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88" w:firstLineChars="200"/>
        <w:jc w:val="both"/>
        <w:textAlignment w:val="auto"/>
        <w:rPr>
          <w:rFonts w:hint="eastAsia" w:ascii="宋体" w:hAnsi="宋体" w:eastAsia="宋体" w:cs="宋体"/>
          <w:color w:val="auto"/>
          <w:sz w:val="24"/>
          <w:szCs w:val="24"/>
          <w:highlight w:val="none"/>
        </w:rPr>
      </w:pPr>
      <w:r>
        <w:rPr>
          <w:rFonts w:hint="eastAsia" w:cs="宋体"/>
          <w:color w:val="auto"/>
          <w:spacing w:val="2"/>
          <w:sz w:val="24"/>
          <w:szCs w:val="24"/>
          <w:highlight w:val="none"/>
          <w:lang w:val="en-US" w:eastAsia="zh-CN"/>
        </w:rPr>
        <w:t>6、</w:t>
      </w:r>
      <w:r>
        <w:rPr>
          <w:rFonts w:hint="eastAsia" w:ascii="宋体" w:hAnsi="宋体" w:eastAsia="宋体" w:cs="宋体"/>
          <w:color w:val="auto"/>
          <w:spacing w:val="2"/>
          <w:sz w:val="24"/>
          <w:szCs w:val="24"/>
          <w:highlight w:val="none"/>
        </w:rPr>
        <w:t>招标工程量清单列明的数量是根据施工设计图纸及中华人民共和国国家</w:t>
      </w:r>
      <w:r>
        <w:rPr>
          <w:rFonts w:hint="eastAsia" w:ascii="宋体" w:hAnsi="宋体" w:eastAsia="宋体" w:cs="宋体"/>
          <w:color w:val="auto"/>
          <w:spacing w:val="-6"/>
          <w:sz w:val="24"/>
          <w:szCs w:val="24"/>
          <w:highlight w:val="none"/>
        </w:rPr>
        <w:t>标准《建设工程工程量清单计价规范》</w:t>
      </w:r>
      <w:r>
        <w:rPr>
          <w:rFonts w:hint="eastAsia" w:ascii="宋体" w:hAnsi="宋体" w:eastAsia="宋体" w:cs="宋体"/>
          <w:color w:val="auto"/>
          <w:sz w:val="24"/>
          <w:szCs w:val="24"/>
          <w:highlight w:val="none"/>
        </w:rPr>
        <w:t>(GB50500-2013)</w:t>
      </w:r>
      <w:r>
        <w:rPr>
          <w:rFonts w:hint="eastAsia" w:ascii="宋体" w:hAnsi="宋体" w:eastAsia="宋体" w:cs="宋体"/>
          <w:color w:val="auto"/>
          <w:spacing w:val="-7"/>
          <w:sz w:val="24"/>
          <w:szCs w:val="24"/>
          <w:highlight w:val="none"/>
        </w:rPr>
        <w:t>、《市政工程工程量计算</w:t>
      </w:r>
      <w:r>
        <w:rPr>
          <w:rFonts w:hint="eastAsia" w:ascii="宋体" w:hAnsi="宋体" w:eastAsia="宋体" w:cs="宋体"/>
          <w:color w:val="auto"/>
          <w:spacing w:val="-44"/>
          <w:sz w:val="24"/>
          <w:szCs w:val="24"/>
          <w:highlight w:val="none"/>
        </w:rPr>
        <w:t>规范》</w:t>
      </w:r>
      <w:r>
        <w:rPr>
          <w:rFonts w:hint="eastAsia" w:ascii="宋体" w:hAnsi="宋体" w:eastAsia="宋体" w:cs="宋体"/>
          <w:color w:val="auto"/>
          <w:sz w:val="24"/>
          <w:szCs w:val="24"/>
          <w:highlight w:val="none"/>
        </w:rPr>
        <w:t>(GB50857-2013)</w:t>
      </w:r>
      <w:r>
        <w:rPr>
          <w:rFonts w:hint="eastAsia" w:ascii="宋体" w:hAnsi="宋体" w:eastAsia="宋体" w:cs="宋体"/>
          <w:color w:val="auto"/>
          <w:spacing w:val="-23"/>
          <w:sz w:val="24"/>
          <w:szCs w:val="24"/>
          <w:highlight w:val="none"/>
        </w:rPr>
        <w:t>、《房屋建筑与装饰工程工程量计算规范》</w:t>
      </w:r>
      <w:r>
        <w:rPr>
          <w:rFonts w:hint="eastAsia" w:ascii="宋体" w:hAnsi="宋体" w:eastAsia="宋体" w:cs="宋体"/>
          <w:color w:val="auto"/>
          <w:sz w:val="24"/>
          <w:szCs w:val="24"/>
          <w:highlight w:val="none"/>
        </w:rPr>
        <w:t>(GB50854-2013</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《通用安装工程工程量计算规范》</w:t>
      </w:r>
      <w:r>
        <w:rPr>
          <w:rFonts w:hint="eastAsia" w:ascii="宋体" w:hAnsi="宋体" w:eastAsia="宋体" w:cs="宋体"/>
          <w:color w:val="auto"/>
          <w:sz w:val="24"/>
          <w:szCs w:val="24"/>
          <w:highlight w:val="none"/>
        </w:rPr>
        <w:t>(GB50856-2013)</w:t>
      </w:r>
      <w:r>
        <w:rPr>
          <w:rFonts w:hint="eastAsia" w:ascii="宋体" w:hAnsi="宋体" w:eastAsia="宋体" w:cs="宋体"/>
          <w:color w:val="auto"/>
          <w:spacing w:val="-2"/>
          <w:sz w:val="24"/>
          <w:szCs w:val="24"/>
          <w:highlight w:val="none"/>
        </w:rPr>
        <w:t>等工程量计算规则的有关规定</w:t>
      </w:r>
      <w:r>
        <w:rPr>
          <w:rFonts w:hint="eastAsia" w:ascii="宋体" w:hAnsi="宋体" w:eastAsia="宋体" w:cs="宋体"/>
          <w:color w:val="auto"/>
          <w:spacing w:val="-10"/>
          <w:sz w:val="24"/>
          <w:szCs w:val="24"/>
          <w:highlight w:val="none"/>
        </w:rPr>
        <w:t>进行计算的；工程量清单是招标文件的组成部分，只是为投标提供的一个共同基础，不能完全作为最后对投标人进行支付的依据；支付应以施工设计图纸、监理</w:t>
      </w:r>
      <w:r>
        <w:rPr>
          <w:rFonts w:hint="eastAsia" w:ascii="宋体" w:hAnsi="宋体" w:eastAsia="宋体" w:cs="宋体"/>
          <w:color w:val="auto"/>
          <w:spacing w:val="-6"/>
          <w:sz w:val="24"/>
          <w:szCs w:val="24"/>
          <w:highlight w:val="none"/>
        </w:rPr>
        <w:t>工程师及发包人(或项目管理公司)认可的、并按技术规范要求完成的实际工程数</w:t>
      </w:r>
      <w:r>
        <w:rPr>
          <w:rFonts w:hint="eastAsia" w:ascii="宋体" w:hAnsi="宋体" w:eastAsia="宋体" w:cs="宋体"/>
          <w:color w:val="auto"/>
          <w:spacing w:val="-11"/>
          <w:sz w:val="24"/>
          <w:szCs w:val="24"/>
          <w:highlight w:val="none"/>
        </w:rPr>
        <w:t>量为依据；完成的实际工程数量应按合同投标工程量清单的综合单价和费用或合</w:t>
      </w:r>
      <w:r>
        <w:rPr>
          <w:rFonts w:hint="eastAsia" w:ascii="宋体" w:hAnsi="宋体" w:eastAsia="宋体" w:cs="宋体"/>
          <w:color w:val="auto"/>
          <w:sz w:val="24"/>
          <w:szCs w:val="24"/>
          <w:highlight w:val="none"/>
        </w:rPr>
        <w:t>同条款有关规定对单价和费用进行调整后给予计量支付。中标的投标报价结算的调整方法按照合同文件专用条款的相关规定执行。</w:t>
      </w:r>
    </w:p>
    <w:p>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7</w:t>
      </w:r>
      <w:r>
        <w:rPr>
          <w:rFonts w:hint="eastAsia" w:cs="宋体"/>
          <w:color w:val="auto"/>
          <w:sz w:val="24"/>
          <w:szCs w:val="24"/>
          <w:highlight w:val="none"/>
          <w:lang w:eastAsia="zh-CN"/>
        </w:rPr>
        <w:t>、</w:t>
      </w:r>
      <w:r>
        <w:rPr>
          <w:rFonts w:hint="eastAsia" w:ascii="宋体" w:hAnsi="宋体" w:eastAsia="宋体" w:cs="宋体"/>
          <w:color w:val="auto"/>
          <w:spacing w:val="-6"/>
          <w:sz w:val="24"/>
          <w:szCs w:val="24"/>
          <w:highlight w:val="none"/>
        </w:rPr>
        <w:t>图纸中所列的工程数量汇总表仅为提供资料，不应视为工程量清单的</w:t>
      </w:r>
      <w:r>
        <w:rPr>
          <w:rFonts w:hint="eastAsia" w:cs="宋体"/>
          <w:color w:val="auto"/>
          <w:spacing w:val="-6"/>
          <w:sz w:val="24"/>
          <w:szCs w:val="24"/>
          <w:highlight w:val="none"/>
          <w:lang w:val="en-US" w:eastAsia="zh-CN"/>
        </w:rPr>
        <w:t>扩</w:t>
      </w:r>
      <w:r>
        <w:rPr>
          <w:rFonts w:hint="eastAsia" w:ascii="宋体" w:hAnsi="宋体" w:eastAsia="宋体" w:cs="宋体"/>
          <w:color w:val="auto"/>
          <w:spacing w:val="-6"/>
          <w:sz w:val="24"/>
          <w:szCs w:val="24"/>
          <w:highlight w:val="none"/>
        </w:rPr>
        <w:t>大</w:t>
      </w:r>
      <w:r>
        <w:rPr>
          <w:rFonts w:hint="eastAsia" w:ascii="宋体" w:hAnsi="宋体" w:eastAsia="宋体" w:cs="宋体"/>
          <w:color w:val="auto"/>
          <w:spacing w:val="-10"/>
          <w:sz w:val="24"/>
          <w:szCs w:val="24"/>
          <w:highlight w:val="none"/>
        </w:rPr>
        <w:t>或延伸；清单所列工程量在工程实施过程中发生的变动，丝毫不会使合同条款无</w:t>
      </w:r>
      <w:r>
        <w:rPr>
          <w:rFonts w:hint="eastAsia" w:ascii="宋体" w:hAnsi="宋体" w:eastAsia="宋体" w:cs="宋体"/>
          <w:color w:val="auto"/>
          <w:sz w:val="24"/>
          <w:szCs w:val="24"/>
          <w:highlight w:val="none"/>
        </w:rPr>
        <w:t>效或降低，也不免除投标人按要求的标准进行施工或缺陷修复的责任。</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0" w:leftChars="0" w:right="0" w:rightChars="0" w:firstLine="436" w:firstLineChars="200"/>
        <w:jc w:val="both"/>
        <w:textAlignment w:val="auto"/>
        <w:rPr>
          <w:rFonts w:hint="eastAsia" w:ascii="宋体" w:hAnsi="宋体" w:eastAsia="宋体" w:cs="宋体"/>
          <w:color w:val="auto"/>
          <w:sz w:val="24"/>
          <w:szCs w:val="24"/>
          <w:highlight w:val="none"/>
        </w:rPr>
      </w:pPr>
      <w:r>
        <w:rPr>
          <w:rFonts w:hint="eastAsia" w:cs="宋体"/>
          <w:color w:val="auto"/>
          <w:spacing w:val="-11"/>
          <w:sz w:val="24"/>
          <w:szCs w:val="24"/>
          <w:highlight w:val="none"/>
          <w:lang w:val="en-US" w:eastAsia="zh-CN"/>
        </w:rPr>
        <w:t>8、</w:t>
      </w:r>
      <w:r>
        <w:rPr>
          <w:rFonts w:hint="eastAsia" w:ascii="宋体" w:hAnsi="宋体" w:eastAsia="宋体" w:cs="宋体"/>
          <w:color w:val="auto"/>
          <w:spacing w:val="-11"/>
          <w:sz w:val="24"/>
          <w:szCs w:val="24"/>
          <w:highlight w:val="none"/>
        </w:rPr>
        <w:t>除非合同另有规定，工程量清单中有标价的单价与合价应包含但不限于中</w:t>
      </w:r>
      <w:r>
        <w:rPr>
          <w:rFonts w:hint="eastAsia" w:ascii="宋体" w:hAnsi="宋体" w:eastAsia="宋体" w:cs="宋体"/>
          <w:color w:val="auto"/>
          <w:spacing w:val="-4"/>
          <w:sz w:val="24"/>
          <w:szCs w:val="24"/>
          <w:highlight w:val="none"/>
        </w:rPr>
        <w:t>华人民共和国国家标准《建设工程工程量清单计价规范》</w:t>
      </w:r>
      <w:r>
        <w:rPr>
          <w:rFonts w:hint="eastAsia" w:ascii="宋体" w:hAnsi="宋体" w:eastAsia="宋体" w:cs="宋体"/>
          <w:color w:val="auto"/>
          <w:sz w:val="24"/>
          <w:szCs w:val="24"/>
          <w:highlight w:val="none"/>
        </w:rPr>
        <w:t>(GB50500-2013)</w:t>
      </w:r>
      <w:r>
        <w:rPr>
          <w:rFonts w:hint="eastAsia" w:ascii="宋体" w:hAnsi="宋体" w:eastAsia="宋体" w:cs="宋体"/>
          <w:color w:val="auto"/>
          <w:spacing w:val="-22"/>
          <w:sz w:val="24"/>
          <w:szCs w:val="24"/>
          <w:highlight w:val="none"/>
        </w:rPr>
        <w:t>、《市</w:t>
      </w:r>
      <w:r>
        <w:rPr>
          <w:rFonts w:hint="eastAsia" w:ascii="宋体" w:hAnsi="宋体" w:eastAsia="宋体" w:cs="宋体"/>
          <w:color w:val="auto"/>
          <w:spacing w:val="-3"/>
          <w:sz w:val="24"/>
          <w:szCs w:val="24"/>
          <w:highlight w:val="none"/>
        </w:rPr>
        <w:t>政工程工程量计算规范》</w:t>
      </w:r>
      <w:r>
        <w:rPr>
          <w:rFonts w:hint="eastAsia" w:ascii="宋体" w:hAnsi="宋体" w:eastAsia="宋体" w:cs="宋体"/>
          <w:color w:val="auto"/>
          <w:sz w:val="24"/>
          <w:szCs w:val="24"/>
          <w:highlight w:val="none"/>
        </w:rPr>
        <w:t>(GB50857-2013)</w:t>
      </w:r>
      <w:r>
        <w:rPr>
          <w:rFonts w:hint="eastAsia" w:ascii="宋体" w:hAnsi="宋体" w:eastAsia="宋体" w:cs="宋体"/>
          <w:color w:val="auto"/>
          <w:spacing w:val="-10"/>
          <w:sz w:val="24"/>
          <w:szCs w:val="24"/>
          <w:highlight w:val="none"/>
        </w:rPr>
        <w:t>、《房屋建筑与装饰工程工程量计算规</w:t>
      </w:r>
      <w:r>
        <w:rPr>
          <w:rFonts w:hint="eastAsia" w:ascii="宋体" w:hAnsi="宋体" w:eastAsia="宋体" w:cs="宋体"/>
          <w:color w:val="auto"/>
          <w:spacing w:val="-9"/>
          <w:sz w:val="24"/>
          <w:szCs w:val="24"/>
          <w:highlight w:val="none"/>
        </w:rPr>
        <w:t>范》</w:t>
      </w:r>
      <w:r>
        <w:rPr>
          <w:rFonts w:hint="eastAsia" w:ascii="宋体" w:hAnsi="宋体" w:eastAsia="宋体" w:cs="宋体"/>
          <w:color w:val="auto"/>
          <w:sz w:val="24"/>
          <w:szCs w:val="24"/>
          <w:highlight w:val="none"/>
        </w:rPr>
        <w:t>(GB50854-2013)</w:t>
      </w:r>
      <w:r>
        <w:rPr>
          <w:rFonts w:hint="eastAsia" w:ascii="宋体" w:hAnsi="宋体" w:eastAsia="宋体" w:cs="宋体"/>
          <w:color w:val="auto"/>
          <w:spacing w:val="-7"/>
          <w:sz w:val="24"/>
          <w:szCs w:val="24"/>
          <w:highlight w:val="none"/>
        </w:rPr>
        <w:t>、《通用安装工程工程量计算规范》</w:t>
      </w:r>
      <w:r>
        <w:rPr>
          <w:rFonts w:hint="eastAsia" w:ascii="宋体" w:hAnsi="宋体" w:eastAsia="宋体" w:cs="宋体"/>
          <w:color w:val="auto"/>
          <w:sz w:val="24"/>
          <w:szCs w:val="24"/>
          <w:highlight w:val="none"/>
        </w:rPr>
        <w:t>(GB50856-2013)</w:t>
      </w:r>
      <w:r>
        <w:rPr>
          <w:rFonts w:hint="eastAsia" w:ascii="宋体" w:hAnsi="宋体" w:eastAsia="宋体" w:cs="宋体"/>
          <w:color w:val="auto"/>
          <w:spacing w:val="-17"/>
          <w:sz w:val="24"/>
          <w:szCs w:val="24"/>
          <w:highlight w:val="none"/>
        </w:rPr>
        <w:t>、《园</w:t>
      </w:r>
      <w:r>
        <w:rPr>
          <w:rFonts w:hint="eastAsia" w:ascii="宋体" w:hAnsi="宋体" w:eastAsia="宋体" w:cs="宋体"/>
          <w:color w:val="auto"/>
          <w:spacing w:val="-8"/>
          <w:sz w:val="24"/>
          <w:szCs w:val="24"/>
          <w:highlight w:val="none"/>
        </w:rPr>
        <w:t>林绿化工程工程量计算规范》</w:t>
      </w:r>
      <w:r>
        <w:rPr>
          <w:rFonts w:hint="eastAsia" w:ascii="宋体" w:hAnsi="宋体" w:eastAsia="宋体" w:cs="宋体"/>
          <w:color w:val="auto"/>
          <w:sz w:val="24"/>
          <w:szCs w:val="24"/>
          <w:highlight w:val="none"/>
        </w:rPr>
        <w:t>(GB50858-2013)</w:t>
      </w:r>
      <w:r>
        <w:rPr>
          <w:rFonts w:hint="eastAsia" w:ascii="宋体" w:hAnsi="宋体" w:eastAsia="宋体" w:cs="宋体"/>
          <w:color w:val="auto"/>
          <w:spacing w:val="-2"/>
          <w:sz w:val="24"/>
          <w:szCs w:val="24"/>
          <w:highlight w:val="none"/>
        </w:rPr>
        <w:t>等中的项目编码所对应的工程内容</w:t>
      </w:r>
      <w:r>
        <w:rPr>
          <w:rFonts w:hint="eastAsia" w:ascii="宋体" w:hAnsi="宋体" w:eastAsia="宋体" w:cs="宋体"/>
          <w:color w:val="auto"/>
          <w:spacing w:val="-6"/>
          <w:sz w:val="24"/>
          <w:szCs w:val="24"/>
          <w:highlight w:val="none"/>
        </w:rPr>
        <w:t>以及分部分项工程量清单中备注所包含的内容，无论施工条件或施工图纸是否发</w:t>
      </w:r>
      <w:r>
        <w:rPr>
          <w:rFonts w:hint="eastAsia" w:ascii="宋体" w:hAnsi="宋体" w:eastAsia="宋体" w:cs="宋体"/>
          <w:color w:val="auto"/>
          <w:sz w:val="24"/>
          <w:szCs w:val="24"/>
          <w:highlight w:val="none"/>
        </w:rPr>
        <w:t>生变化，在合同执行期内综合单价固定不变。</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0" w:leftChars="0" w:right="0" w:rightChars="0" w:firstLine="460" w:firstLineChars="200"/>
        <w:jc w:val="both"/>
        <w:textAlignment w:val="auto"/>
        <w:rPr>
          <w:rFonts w:hint="eastAsia" w:ascii="宋体" w:hAnsi="宋体" w:eastAsia="宋体" w:cs="宋体"/>
          <w:color w:val="auto"/>
          <w:sz w:val="24"/>
          <w:szCs w:val="24"/>
          <w:highlight w:val="none"/>
        </w:rPr>
      </w:pPr>
      <w:r>
        <w:rPr>
          <w:rFonts w:hint="eastAsia" w:cs="宋体"/>
          <w:color w:val="auto"/>
          <w:spacing w:val="-5"/>
          <w:sz w:val="24"/>
          <w:szCs w:val="24"/>
          <w:highlight w:val="none"/>
          <w:lang w:val="en-US" w:eastAsia="zh-CN"/>
        </w:rPr>
        <w:t>9、</w:t>
      </w:r>
      <w:r>
        <w:rPr>
          <w:rFonts w:hint="eastAsia" w:ascii="宋体" w:hAnsi="宋体" w:eastAsia="宋体" w:cs="宋体"/>
          <w:color w:val="auto"/>
          <w:spacing w:val="-5"/>
          <w:sz w:val="24"/>
          <w:szCs w:val="24"/>
          <w:highlight w:val="none"/>
        </w:rPr>
        <w:t>用于本工程的投标人各种装备的提供、运输及拆卸费用，应包括在工程量</w:t>
      </w:r>
      <w:r>
        <w:rPr>
          <w:rFonts w:hint="eastAsia" w:ascii="宋体" w:hAnsi="宋体" w:eastAsia="宋体" w:cs="宋体"/>
          <w:color w:val="auto"/>
          <w:spacing w:val="-17"/>
          <w:sz w:val="24"/>
          <w:szCs w:val="24"/>
          <w:highlight w:val="none"/>
        </w:rPr>
        <w:t>清单的单价与价格中。除非另有说明，本工程所使用的主材、其他材料、半成品、</w:t>
      </w:r>
      <w:r>
        <w:rPr>
          <w:rFonts w:hint="eastAsia" w:ascii="宋体" w:hAnsi="宋体" w:eastAsia="宋体" w:cs="宋体"/>
          <w:color w:val="auto"/>
          <w:sz w:val="24"/>
          <w:szCs w:val="24"/>
          <w:highlight w:val="none"/>
        </w:rPr>
        <w:t>成品等由投标人自行采购，并在综合单价中考虑制作安装、场内外搅拌及运输、</w:t>
      </w:r>
      <w:r>
        <w:rPr>
          <w:rFonts w:hint="eastAsia" w:ascii="宋体" w:hAnsi="宋体" w:eastAsia="宋体" w:cs="宋体"/>
          <w:color w:val="auto"/>
          <w:spacing w:val="-5"/>
          <w:sz w:val="24"/>
          <w:szCs w:val="24"/>
          <w:highlight w:val="none"/>
        </w:rPr>
        <w:t>弃物的场内外运输及建筑垃圾处理费、装卸、采保及临时场地征用、平整、地模</w:t>
      </w:r>
      <w:r>
        <w:rPr>
          <w:rFonts w:hint="eastAsia" w:ascii="宋体" w:hAnsi="宋体" w:eastAsia="宋体" w:cs="宋体"/>
          <w:color w:val="auto"/>
          <w:spacing w:val="-11"/>
          <w:sz w:val="24"/>
          <w:szCs w:val="24"/>
          <w:highlight w:val="none"/>
        </w:rPr>
        <w:t>捣制等费用。工地交货价包含材料设备原值、采保费、运输费、装卸车费、仓储</w:t>
      </w:r>
      <w:r>
        <w:rPr>
          <w:rFonts w:hint="eastAsia" w:ascii="宋体" w:hAnsi="宋体" w:eastAsia="宋体" w:cs="宋体"/>
          <w:color w:val="auto"/>
          <w:spacing w:val="-12"/>
          <w:sz w:val="24"/>
          <w:szCs w:val="24"/>
          <w:highlight w:val="none"/>
        </w:rPr>
        <w:t>费、安装、调试、税费等全部费用。但使用前须提供材料试验单、出厂证明、合</w:t>
      </w:r>
      <w:r>
        <w:rPr>
          <w:rFonts w:hint="eastAsia" w:ascii="宋体" w:hAnsi="宋体" w:eastAsia="宋体" w:cs="宋体"/>
          <w:color w:val="auto"/>
          <w:sz w:val="24"/>
          <w:szCs w:val="24"/>
          <w:highlight w:val="none"/>
        </w:rPr>
        <w:t>格证等按时交监理单位验收。</w:t>
      </w:r>
    </w:p>
    <w:p>
      <w:pPr>
        <w:pStyle w:val="136"/>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0" w:leftChars="0" w:right="0" w:rightChars="0" w:firstLine="460" w:firstLineChars="200"/>
        <w:jc w:val="both"/>
        <w:textAlignment w:val="auto"/>
        <w:rPr>
          <w:rFonts w:hint="eastAsia" w:ascii="宋体" w:hAnsi="宋体" w:eastAsia="宋体" w:cs="宋体"/>
          <w:color w:val="auto"/>
          <w:spacing w:val="-5"/>
          <w:sz w:val="24"/>
          <w:szCs w:val="24"/>
          <w:highlight w:val="none"/>
          <w:lang w:val="en-US"/>
        </w:rPr>
      </w:pPr>
      <w:r>
        <w:rPr>
          <w:rFonts w:hint="eastAsia" w:cs="宋体"/>
          <w:color w:val="auto"/>
          <w:spacing w:val="-5"/>
          <w:sz w:val="24"/>
          <w:szCs w:val="24"/>
          <w:highlight w:val="none"/>
          <w:lang w:val="en-US" w:eastAsia="zh-CN"/>
        </w:rPr>
        <w:t>10、投标人应对施工现场进行充分考察后，按照招标文件的有关规定，依据招标人提供的工程量清单，施工设计图纸，施工现场实际情况，施工方案，企业定额及市场价格或参照《广东省市政/房屋建筑与装饰/通用安装/园林绿化工程综合定额(2018)》、《广东省城市轨道交通工程综合定额（2018）》、《广东省城市地下综合管廊工程综合定额（2018）》、《广东省传统建筑保护修复工程综合定额（试行）（2018）》、《广东省建设工程施工机具台班费用编制规则（2018）》，建设行政主管部门和工程造价主管机构的有关规定及发布的人工、材料、机械参考价，并自行考虑风险综合报价；投标报价不能低于企业的成本价和高于招标人编制的投标限价。</w:t>
      </w:r>
      <w:r>
        <w:rPr>
          <w:rFonts w:hint="eastAsia" w:ascii="宋体" w:hAnsi="宋体" w:eastAsia="宋体" w:cs="宋体"/>
          <w:color w:val="auto"/>
          <w:spacing w:val="-5"/>
          <w:sz w:val="24"/>
          <w:szCs w:val="24"/>
          <w:highlight w:val="none"/>
          <w:lang w:val="en-US"/>
        </w:rPr>
        <w:t>投标报价必须与施工方案相结合，不应脱离施工方案造成不合理报价。投标文件的施工方案经确定后不得修改；招标人要求修改的，则按方案优化等处理，但因此而增加费用结算不予增加（经招标人同意的变更除外）。非招标人原因造成的施工方案修改综合单价不得改变。相关的前期工作、管线的迁改配合工作不另外报价，费用在相关措施项目费中考虑。</w:t>
      </w:r>
    </w:p>
    <w:p>
      <w:pPr>
        <w:pStyle w:val="136"/>
        <w:keepNext w:val="0"/>
        <w:keepLines w:val="0"/>
        <w:pageBreakBefore w:val="0"/>
        <w:widowControl w:val="0"/>
        <w:numPr>
          <w:ilvl w:val="0"/>
          <w:numId w:val="0"/>
        </w:numPr>
        <w:tabs>
          <w:tab w:val="left" w:pos="961"/>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混凝土泵送增加费：指混凝土浇筑施工过程中需要的机械和工作平台、</w:t>
      </w:r>
      <w:r>
        <w:rPr>
          <w:rFonts w:hint="eastAsia" w:ascii="宋体" w:hAnsi="宋体" w:eastAsia="宋体" w:cs="宋体"/>
          <w:color w:val="auto"/>
          <w:spacing w:val="-6"/>
          <w:sz w:val="24"/>
          <w:szCs w:val="24"/>
          <w:highlight w:val="none"/>
        </w:rPr>
        <w:t>为机械移动辅筑的道路、施工过程中所需的人工费、材料费、机具费、试运转费</w:t>
      </w:r>
      <w:r>
        <w:rPr>
          <w:rFonts w:hint="eastAsia" w:ascii="宋体" w:hAnsi="宋体" w:eastAsia="宋体" w:cs="宋体"/>
          <w:color w:val="auto"/>
          <w:spacing w:val="-10"/>
          <w:sz w:val="24"/>
          <w:szCs w:val="24"/>
          <w:highlight w:val="none"/>
        </w:rPr>
        <w:t>和安装所需的辅助设施的费用。承包人须提前进入现场，做好施工准备工作，设</w:t>
      </w:r>
      <w:r>
        <w:rPr>
          <w:rFonts w:hint="eastAsia" w:ascii="宋体" w:hAnsi="宋体" w:eastAsia="宋体" w:cs="宋体"/>
          <w:color w:val="auto"/>
          <w:spacing w:val="-11"/>
          <w:sz w:val="24"/>
          <w:szCs w:val="24"/>
          <w:highlight w:val="none"/>
        </w:rPr>
        <w:t>备闲置费用已考虑在此措施费中。该费用综合考虑在各混凝土清单综合单价中。</w:t>
      </w:r>
      <w:r>
        <w:rPr>
          <w:rFonts w:hint="eastAsia" w:ascii="宋体" w:hAnsi="宋体" w:eastAsia="宋体" w:cs="宋体"/>
          <w:color w:val="auto"/>
          <w:spacing w:val="-4"/>
          <w:sz w:val="24"/>
          <w:szCs w:val="24"/>
          <w:highlight w:val="none"/>
        </w:rPr>
        <w:t>工程量清单中所有混凝土项目无论清单特征是否约定综合考虑泵送，投标人均应</w:t>
      </w:r>
      <w:r>
        <w:rPr>
          <w:rFonts w:hint="eastAsia" w:ascii="宋体" w:hAnsi="宋体" w:eastAsia="宋体" w:cs="宋体"/>
          <w:color w:val="auto"/>
          <w:spacing w:val="-11"/>
          <w:sz w:val="24"/>
          <w:szCs w:val="24"/>
          <w:highlight w:val="none"/>
        </w:rPr>
        <w:t>综合考虑泵送增加费，不得以具体清单子目未约定为由要求增加泵送增加费和混凝土泵送费。</w:t>
      </w:r>
    </w:p>
    <w:p>
      <w:pPr>
        <w:pStyle w:val="136"/>
        <w:keepNext w:val="0"/>
        <w:keepLines w:val="0"/>
        <w:pageBreakBefore w:val="0"/>
        <w:widowControl w:val="0"/>
        <w:numPr>
          <w:ilvl w:val="0"/>
          <w:numId w:val="0"/>
        </w:numPr>
        <w:tabs>
          <w:tab w:val="left" w:pos="961"/>
        </w:tabs>
        <w:kinsoku/>
        <w:wordWrap/>
        <w:overflowPunct/>
        <w:topLinePunct w:val="0"/>
        <w:autoSpaceDE w:val="0"/>
        <w:autoSpaceDN w:val="0"/>
        <w:bidi w:val="0"/>
        <w:adjustRightInd/>
        <w:snapToGrid/>
        <w:spacing w:before="0" w:after="0" w:line="360" w:lineRule="auto"/>
        <w:ind w:left="0" w:leftChars="0" w:right="0" w:rightChars="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工程量清单中所有基坑、管坑、路床等挖运土方子目区分土方、石方、</w:t>
      </w:r>
      <w:r>
        <w:rPr>
          <w:rFonts w:hint="eastAsia" w:ascii="宋体" w:hAnsi="宋体" w:eastAsia="宋体" w:cs="宋体"/>
          <w:color w:val="auto"/>
          <w:spacing w:val="-9"/>
          <w:sz w:val="24"/>
          <w:szCs w:val="24"/>
          <w:highlight w:val="none"/>
        </w:rPr>
        <w:t>淤泥分别开项，应综合</w:t>
      </w:r>
      <w:r>
        <w:rPr>
          <w:rFonts w:hint="eastAsia" w:cs="宋体"/>
          <w:color w:val="auto"/>
          <w:sz w:val="24"/>
          <w:szCs w:val="24"/>
          <w:highlight w:val="none"/>
          <w:lang w:val="en-US" w:eastAsia="zh-CN"/>
        </w:rPr>
        <w:t>考虑土壤、岩石级别、干湿情况，挖土深度、开挖方式及装土、清理机下余土,工作面内排水,修理边坡等工作内容，</w:t>
      </w:r>
      <w:r>
        <w:rPr>
          <w:rFonts w:ascii="宋体" w:hAnsi="宋体" w:eastAsia="宋体" w:cs="宋体"/>
          <w:color w:val="auto"/>
          <w:sz w:val="24"/>
          <w:szCs w:val="24"/>
          <w:highlight w:val="none"/>
        </w:rPr>
        <w:t>无论清单是否描述此特征，均</w:t>
      </w:r>
      <w:r>
        <w:rPr>
          <w:rFonts w:hint="eastAsia" w:cs="宋体"/>
          <w:color w:val="auto"/>
          <w:sz w:val="24"/>
          <w:szCs w:val="24"/>
          <w:highlight w:val="none"/>
          <w:lang w:val="en-US" w:eastAsia="zh-CN"/>
        </w:rPr>
        <w:t>已包含以上工作内容</w:t>
      </w:r>
      <w:r>
        <w:rPr>
          <w:rFonts w:ascii="宋体" w:hAnsi="宋体" w:eastAsia="宋体" w:cs="宋体"/>
          <w:color w:val="auto"/>
          <w:sz w:val="24"/>
          <w:szCs w:val="24"/>
          <w:highlight w:val="none"/>
        </w:rPr>
        <w:t>，</w:t>
      </w:r>
      <w:r>
        <w:rPr>
          <w:rFonts w:hint="eastAsia" w:cs="宋体"/>
          <w:color w:val="auto"/>
          <w:sz w:val="24"/>
          <w:szCs w:val="24"/>
          <w:highlight w:val="none"/>
          <w:lang w:val="en-US" w:eastAsia="zh-CN"/>
        </w:rPr>
        <w:t>承包人不得额外提出变更索赔</w:t>
      </w:r>
      <w:r>
        <w:rPr>
          <w:rFonts w:hint="eastAsia" w:ascii="宋体" w:hAnsi="宋体" w:eastAsia="宋体" w:cs="宋体"/>
          <w:color w:val="auto"/>
          <w:sz w:val="24"/>
          <w:szCs w:val="24"/>
          <w:highlight w:val="none"/>
        </w:rPr>
        <w:t>。土石方工程量计算规则按照《广东省市政/</w:t>
      </w:r>
      <w:r>
        <w:rPr>
          <w:rFonts w:hint="eastAsia" w:ascii="宋体" w:hAnsi="宋体" w:eastAsia="宋体" w:cs="宋体"/>
          <w:color w:val="auto"/>
          <w:spacing w:val="-6"/>
          <w:sz w:val="24"/>
          <w:szCs w:val="24"/>
          <w:highlight w:val="none"/>
        </w:rPr>
        <w:t>房屋</w:t>
      </w:r>
      <w:r>
        <w:rPr>
          <w:rFonts w:hint="eastAsia" w:ascii="宋体" w:hAnsi="宋体" w:eastAsia="宋体" w:cs="宋体"/>
          <w:color w:val="auto"/>
          <w:sz w:val="24"/>
          <w:szCs w:val="24"/>
          <w:highlight w:val="none"/>
        </w:rPr>
        <w:t>建筑与装饰/通用安装/园林绿化工程综合定额(2018)</w:t>
      </w:r>
      <w:r>
        <w:rPr>
          <w:rFonts w:hint="eastAsia" w:ascii="宋体" w:hAnsi="宋体" w:eastAsia="宋体" w:cs="宋体"/>
          <w:color w:val="auto"/>
          <w:spacing w:val="-12"/>
          <w:sz w:val="24"/>
          <w:szCs w:val="24"/>
          <w:highlight w:val="none"/>
        </w:rPr>
        <w:t>》工程量计量规则计算，工</w:t>
      </w:r>
      <w:r>
        <w:rPr>
          <w:rFonts w:hint="eastAsia" w:ascii="宋体" w:hAnsi="宋体" w:eastAsia="宋体" w:cs="宋体"/>
          <w:color w:val="auto"/>
          <w:spacing w:val="-7"/>
          <w:sz w:val="24"/>
          <w:szCs w:val="24"/>
          <w:highlight w:val="none"/>
        </w:rPr>
        <w:t>作面的土方量计入工程量，需要工作面而图纸没有明确的，按照《广东省市政工</w:t>
      </w:r>
      <w:r>
        <w:rPr>
          <w:rFonts w:hint="eastAsia" w:ascii="宋体" w:hAnsi="宋体" w:eastAsia="宋体" w:cs="宋体"/>
          <w:color w:val="auto"/>
          <w:sz w:val="24"/>
          <w:szCs w:val="24"/>
          <w:highlight w:val="none"/>
        </w:rPr>
        <w:t>程综合定额（2018）》的规定计量。</w:t>
      </w:r>
    </w:p>
    <w:p>
      <w:pPr>
        <w:pStyle w:val="136"/>
        <w:keepNext w:val="0"/>
        <w:keepLines w:val="0"/>
        <w:pageBreakBefore w:val="0"/>
        <w:widowControl w:val="0"/>
        <w:numPr>
          <w:ilvl w:val="0"/>
          <w:numId w:val="0"/>
        </w:numPr>
        <w:tabs>
          <w:tab w:val="left" w:pos="961"/>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13、基槽开挖：承包人应综合考虑土石比例、工况等级、开挖深度及支护方式等条件，需相关</w:t>
      </w:r>
      <w:r>
        <w:rPr>
          <w:rFonts w:hint="eastAsia" w:cs="宋体"/>
          <w:color w:val="auto"/>
          <w:sz w:val="24"/>
          <w:szCs w:val="24"/>
          <w:highlight w:val="none"/>
          <w:lang w:val="zh-CN" w:eastAsia="zh-CN"/>
        </w:rPr>
        <w:t>部门要求；</w:t>
      </w:r>
      <w:r>
        <w:rPr>
          <w:rFonts w:hint="eastAsia" w:cs="宋体"/>
          <w:color w:val="auto"/>
          <w:sz w:val="24"/>
          <w:szCs w:val="24"/>
          <w:highlight w:val="none"/>
          <w:lang w:val="en-US" w:eastAsia="zh-CN"/>
        </w:rPr>
        <w:t>并</w:t>
      </w:r>
      <w:r>
        <w:rPr>
          <w:rFonts w:hint="eastAsia" w:cs="宋体"/>
          <w:color w:val="auto"/>
          <w:sz w:val="24"/>
          <w:szCs w:val="24"/>
          <w:highlight w:val="none"/>
          <w:lang w:val="zh-CN" w:eastAsia="zh-CN"/>
        </w:rPr>
        <w:t>充分考虑开挖对</w:t>
      </w:r>
      <w:r>
        <w:rPr>
          <w:rFonts w:hint="eastAsia" w:cs="宋体"/>
          <w:color w:val="auto"/>
          <w:sz w:val="24"/>
          <w:szCs w:val="24"/>
          <w:highlight w:val="none"/>
          <w:lang w:val="en-US" w:eastAsia="zh-CN"/>
        </w:rPr>
        <w:t>基槽开挖</w:t>
      </w:r>
      <w:r>
        <w:rPr>
          <w:rFonts w:hint="eastAsia" w:cs="宋体"/>
          <w:color w:val="auto"/>
          <w:sz w:val="24"/>
          <w:szCs w:val="24"/>
          <w:highlight w:val="none"/>
          <w:lang w:val="zh-CN" w:eastAsia="zh-CN"/>
        </w:rPr>
        <w:t>范围建构筑物（含地铁、桥梁、隧道等）的影响，不得因保护措施和开挖方式不同而调整单价；</w:t>
      </w:r>
      <w:r>
        <w:rPr>
          <w:rFonts w:hint="eastAsia" w:cs="宋体"/>
          <w:color w:val="auto"/>
          <w:sz w:val="24"/>
          <w:szCs w:val="24"/>
          <w:highlight w:val="none"/>
          <w:lang w:val="en-US" w:eastAsia="zh-CN"/>
        </w:rPr>
        <w:t>承包人</w:t>
      </w:r>
      <w:r>
        <w:rPr>
          <w:rFonts w:hint="eastAsia" w:cs="宋体"/>
          <w:color w:val="auto"/>
          <w:sz w:val="24"/>
          <w:szCs w:val="24"/>
          <w:highlight w:val="none"/>
          <w:lang w:val="zh-CN" w:eastAsia="zh-CN"/>
        </w:rPr>
        <w:t>不得以扩挖、超挖等引起的数量增加而变更工程数量及费用；</w:t>
      </w:r>
      <w:r>
        <w:rPr>
          <w:rFonts w:hint="eastAsia" w:cs="宋体"/>
          <w:color w:val="auto"/>
          <w:sz w:val="24"/>
          <w:szCs w:val="24"/>
          <w:highlight w:val="none"/>
          <w:lang w:val="en-US" w:eastAsia="zh-CN"/>
        </w:rPr>
        <w:t>当实际计算工程量大于等于招标工程量时，按该项中标合价包干结算；当实际计算工程量小于招标工程量时，按实际工程量乘以中标单价进行结算。</w:t>
      </w:r>
    </w:p>
    <w:p>
      <w:pPr>
        <w:pStyle w:val="136"/>
        <w:keepNext w:val="0"/>
        <w:keepLines w:val="0"/>
        <w:pageBreakBefore w:val="0"/>
        <w:widowControl w:val="0"/>
        <w:numPr>
          <w:ilvl w:val="0"/>
          <w:numId w:val="0"/>
        </w:numPr>
        <w:tabs>
          <w:tab w:val="left" w:pos="961"/>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有明挖管道铺设、井子目的单价应综合考虑本工程中所有工序所发生的</w:t>
      </w:r>
      <w:r>
        <w:rPr>
          <w:rFonts w:hint="eastAsia" w:ascii="宋体" w:hAnsi="宋体" w:eastAsia="宋体" w:cs="宋体"/>
          <w:color w:val="auto"/>
          <w:spacing w:val="-10"/>
          <w:sz w:val="24"/>
          <w:szCs w:val="24"/>
          <w:highlight w:val="none"/>
        </w:rPr>
        <w:t>费用，如：管道基础及垫层、管道接口、管道接入井体处理、管座、管道铺设等</w:t>
      </w:r>
      <w:r>
        <w:rPr>
          <w:rFonts w:hint="eastAsia" w:ascii="宋体" w:hAnsi="宋体" w:eastAsia="宋体" w:cs="宋体"/>
          <w:color w:val="auto"/>
          <w:spacing w:val="-17"/>
          <w:sz w:val="24"/>
          <w:szCs w:val="24"/>
          <w:highlight w:val="none"/>
        </w:rPr>
        <w:t xml:space="preserve">管道结构，闭水试验(或试压冲洗及耗水等费用)，井流槽，井内外批荡、井环盖， </w:t>
      </w:r>
      <w:r>
        <w:rPr>
          <w:rFonts w:hint="eastAsia" w:ascii="宋体" w:hAnsi="宋体" w:eastAsia="宋体" w:cs="宋体"/>
          <w:color w:val="auto"/>
          <w:spacing w:val="-9"/>
          <w:sz w:val="24"/>
          <w:szCs w:val="24"/>
          <w:highlight w:val="none"/>
        </w:rPr>
        <w:t>材料、构件的场内外运输、损耗以及不同深度要求、管线下、洞内施工增加的工作费用及降效等。施工相关脚手架在措施费另列计算，不含在综合单价中。</w:t>
      </w:r>
    </w:p>
    <w:p>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清障费用：应综合考虑在相关费用中，不单独开项。包括但不限于已知</w:t>
      </w:r>
      <w:r>
        <w:rPr>
          <w:rFonts w:hint="eastAsia" w:ascii="宋体" w:hAnsi="宋体" w:eastAsia="宋体" w:cs="宋体"/>
          <w:color w:val="auto"/>
          <w:spacing w:val="-8"/>
          <w:sz w:val="24"/>
          <w:szCs w:val="24"/>
          <w:highlight w:val="none"/>
        </w:rPr>
        <w:t>及未知的既有地下结构、锚索、锚杆、抛石、连续墙、护岸下方石方地基等地下</w:t>
      </w:r>
      <w:r>
        <w:rPr>
          <w:rFonts w:hint="eastAsia" w:ascii="宋体" w:hAnsi="宋体" w:eastAsia="宋体" w:cs="宋体"/>
          <w:color w:val="auto"/>
          <w:spacing w:val="-10"/>
          <w:sz w:val="24"/>
          <w:szCs w:val="24"/>
          <w:highlight w:val="none"/>
        </w:rPr>
        <w:t>构筑物、建筑物等障碍物清除和运出施工场地的全部工作内容，以及投标前后投</w:t>
      </w:r>
      <w:r>
        <w:rPr>
          <w:rFonts w:hint="eastAsia" w:ascii="宋体" w:hAnsi="宋体" w:eastAsia="宋体" w:cs="宋体"/>
          <w:color w:val="auto"/>
          <w:spacing w:val="-7"/>
          <w:sz w:val="24"/>
          <w:szCs w:val="24"/>
          <w:highlight w:val="none"/>
        </w:rPr>
        <w:t>标人对其进行勘探的费用，发包人不再对此项费用进行任何签证、变更或延长工</w:t>
      </w:r>
      <w:r>
        <w:rPr>
          <w:rFonts w:hint="eastAsia" w:ascii="宋体" w:hAnsi="宋体" w:eastAsia="宋体" w:cs="宋体"/>
          <w:color w:val="auto"/>
          <w:sz w:val="24"/>
          <w:szCs w:val="24"/>
          <w:highlight w:val="none"/>
        </w:rPr>
        <w:t>期，不另外支付费用。</w:t>
      </w:r>
    </w:p>
    <w:p>
      <w:pPr>
        <w:pStyle w:val="136"/>
        <w:keepNext w:val="0"/>
        <w:keepLines w:val="0"/>
        <w:pageBreakBefore w:val="0"/>
        <w:widowControl w:val="0"/>
        <w:numPr>
          <w:ilvl w:val="0"/>
          <w:numId w:val="0"/>
        </w:numPr>
        <w:tabs>
          <w:tab w:val="left" w:pos="961"/>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投标报价时应考虑施工对周边既有排水系统的不利影响，在施工方案中</w:t>
      </w:r>
      <w:r>
        <w:rPr>
          <w:rFonts w:hint="eastAsia" w:ascii="宋体" w:hAnsi="宋体" w:eastAsia="宋体" w:cs="宋体"/>
          <w:color w:val="auto"/>
          <w:spacing w:val="-6"/>
          <w:sz w:val="24"/>
          <w:szCs w:val="24"/>
          <w:highlight w:val="none"/>
        </w:rPr>
        <w:t>应对既有排水作出完善的处理，因此产生的费用列入措施费中。由于投标人施工</w:t>
      </w:r>
      <w:r>
        <w:rPr>
          <w:rFonts w:hint="eastAsia" w:ascii="宋体" w:hAnsi="宋体" w:eastAsia="宋体" w:cs="宋体"/>
          <w:color w:val="auto"/>
          <w:spacing w:val="-12"/>
          <w:sz w:val="24"/>
          <w:szCs w:val="24"/>
          <w:highlight w:val="none"/>
        </w:rPr>
        <w:t>过程中对原有环境、排水灌溉系统造成影响或对当地居民造成损失或危害，赔偿</w:t>
      </w:r>
      <w:r>
        <w:rPr>
          <w:rFonts w:hint="eastAsia" w:ascii="宋体" w:hAnsi="宋体" w:eastAsia="宋体" w:cs="宋体"/>
          <w:color w:val="auto"/>
          <w:spacing w:val="-15"/>
          <w:sz w:val="24"/>
          <w:szCs w:val="24"/>
          <w:highlight w:val="none"/>
        </w:rPr>
        <w:t>及处理费用由投标人承担。排水、降水措施费包括但不限于地表水、地下水、雨</w:t>
      </w:r>
      <w:r>
        <w:rPr>
          <w:rFonts w:hint="eastAsia" w:ascii="宋体" w:hAnsi="宋体" w:eastAsia="宋体" w:cs="宋体"/>
          <w:color w:val="auto"/>
          <w:spacing w:val="-16"/>
          <w:sz w:val="24"/>
          <w:szCs w:val="24"/>
          <w:highlight w:val="none"/>
        </w:rPr>
        <w:t>水、污水、潮水等，应根据地质及水文资料及现场实际情况综合考虑止水费用。</w:t>
      </w:r>
    </w:p>
    <w:p>
      <w:pPr>
        <w:pStyle w:val="136"/>
        <w:keepNext w:val="0"/>
        <w:keepLines w:val="0"/>
        <w:pageBreakBefore w:val="0"/>
        <w:widowControl w:val="0"/>
        <w:numPr>
          <w:ilvl w:val="0"/>
          <w:numId w:val="0"/>
        </w:numPr>
        <w:tabs>
          <w:tab w:val="left" w:pos="961"/>
        </w:tabs>
        <w:kinsoku/>
        <w:wordWrap/>
        <w:overflowPunct/>
        <w:topLinePunct w:val="0"/>
        <w:autoSpaceDE w:val="0"/>
        <w:autoSpaceDN w:val="0"/>
        <w:bidi w:val="0"/>
        <w:adjustRightInd/>
        <w:snapToGrid/>
        <w:spacing w:before="0" w:after="0" w:line="360" w:lineRule="auto"/>
        <w:ind w:left="0" w:leftChars="0" w:right="0" w:rightChars="0" w:firstLine="476"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cs="宋体"/>
          <w:color w:val="auto"/>
          <w:spacing w:val="-1"/>
          <w:sz w:val="24"/>
          <w:szCs w:val="24"/>
          <w:highlight w:val="none"/>
          <w:lang w:val="en-US" w:eastAsia="zh-CN"/>
        </w:rPr>
        <w:t>7、</w:t>
      </w:r>
      <w:r>
        <w:rPr>
          <w:rFonts w:hint="eastAsia" w:ascii="宋体" w:hAnsi="宋体" w:eastAsia="宋体" w:cs="宋体"/>
          <w:color w:val="auto"/>
          <w:spacing w:val="-1"/>
          <w:sz w:val="24"/>
          <w:szCs w:val="24"/>
          <w:highlight w:val="none"/>
        </w:rPr>
        <w:t>投标人应充分考虑在措施费中施工排水、降水费用，二次运输费用应充</w:t>
      </w:r>
      <w:r>
        <w:rPr>
          <w:rFonts w:hint="eastAsia" w:ascii="宋体" w:hAnsi="宋体" w:eastAsia="宋体" w:cs="宋体"/>
          <w:color w:val="auto"/>
          <w:spacing w:val="-7"/>
          <w:sz w:val="24"/>
          <w:szCs w:val="24"/>
          <w:highlight w:val="none"/>
        </w:rPr>
        <w:t>分考虑当地道路状况而影响材料、机械进场不能一次到位而产生的费用。围堰措</w:t>
      </w:r>
      <w:r>
        <w:rPr>
          <w:rFonts w:hint="eastAsia" w:ascii="宋体" w:hAnsi="宋体" w:eastAsia="宋体" w:cs="宋体"/>
          <w:color w:val="auto"/>
          <w:spacing w:val="-8"/>
          <w:sz w:val="24"/>
          <w:szCs w:val="24"/>
          <w:highlight w:val="none"/>
        </w:rPr>
        <w:t>施费应按招标文件工期、质量、验收规范、施工组织方案、施工条件、设置围堰数量而综合考虑费用。</w:t>
      </w:r>
    </w:p>
    <w:p>
      <w:pPr>
        <w:pStyle w:val="136"/>
        <w:keepNext w:val="0"/>
        <w:keepLines w:val="0"/>
        <w:pageBreakBefore w:val="0"/>
        <w:widowControl w:val="0"/>
        <w:numPr>
          <w:ilvl w:val="0"/>
          <w:numId w:val="0"/>
        </w:numPr>
        <w:tabs>
          <w:tab w:val="left" w:pos="961"/>
        </w:tabs>
        <w:kinsoku/>
        <w:wordWrap/>
        <w:overflowPunct/>
        <w:topLinePunct w:val="0"/>
        <w:autoSpaceDE w:val="0"/>
        <w:autoSpaceDN w:val="0"/>
        <w:bidi w:val="0"/>
        <w:adjustRightInd/>
        <w:snapToGrid/>
        <w:spacing w:before="0" w:after="0" w:line="360" w:lineRule="auto"/>
        <w:ind w:left="0" w:leftChars="0" w:right="0" w:rightChars="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cs="宋体"/>
          <w:color w:val="auto"/>
          <w:spacing w:val="-1"/>
          <w:sz w:val="24"/>
          <w:szCs w:val="24"/>
          <w:highlight w:val="none"/>
          <w:lang w:val="en-US" w:eastAsia="zh-CN"/>
        </w:rPr>
        <w:t>8、</w:t>
      </w:r>
      <w:r>
        <w:rPr>
          <w:rFonts w:hint="eastAsia" w:ascii="宋体" w:hAnsi="宋体" w:eastAsia="宋体" w:cs="宋体"/>
          <w:color w:val="auto"/>
          <w:spacing w:val="-1"/>
          <w:sz w:val="24"/>
          <w:szCs w:val="24"/>
          <w:highlight w:val="none"/>
        </w:rPr>
        <w:t>施工过程中，现埸应设置必要的路障和明显的安全标志，夜间需设置防</w:t>
      </w:r>
      <w:r>
        <w:rPr>
          <w:rFonts w:hint="eastAsia" w:ascii="宋体" w:hAnsi="宋体" w:eastAsia="宋体" w:cs="宋体"/>
          <w:color w:val="auto"/>
          <w:sz w:val="24"/>
          <w:szCs w:val="24"/>
          <w:highlight w:val="none"/>
        </w:rPr>
        <w:t>止交通事故的保安措施，以确保施工安全及行人车辆的安全。</w:t>
      </w:r>
    </w:p>
    <w:p>
      <w:pPr>
        <w:pStyle w:val="136"/>
        <w:keepNext w:val="0"/>
        <w:keepLines w:val="0"/>
        <w:pageBreakBefore w:val="0"/>
        <w:widowControl w:val="0"/>
        <w:numPr>
          <w:ilvl w:val="0"/>
          <w:numId w:val="0"/>
        </w:numPr>
        <w:tabs>
          <w:tab w:val="left" w:pos="961"/>
        </w:tabs>
        <w:kinsoku/>
        <w:wordWrap/>
        <w:overflowPunct/>
        <w:topLinePunct w:val="0"/>
        <w:autoSpaceDE w:val="0"/>
        <w:autoSpaceDN w:val="0"/>
        <w:bidi w:val="0"/>
        <w:adjustRightInd/>
        <w:snapToGrid/>
        <w:spacing w:before="0" w:after="0" w:line="360" w:lineRule="auto"/>
        <w:ind w:left="0" w:leftChars="0" w:right="0" w:rightChars="0" w:firstLine="476" w:firstLineChars="200"/>
        <w:jc w:val="both"/>
        <w:textAlignment w:val="auto"/>
        <w:rPr>
          <w:rFonts w:hint="eastAsia" w:ascii="宋体" w:hAnsi="宋体" w:eastAsia="宋体" w:cs="宋体"/>
          <w:color w:val="auto"/>
          <w:sz w:val="24"/>
          <w:szCs w:val="24"/>
          <w:highlight w:val="none"/>
        </w:rPr>
      </w:pPr>
      <w:r>
        <w:rPr>
          <w:rFonts w:hint="eastAsia" w:cs="宋体"/>
          <w:color w:val="auto"/>
          <w:spacing w:val="-1"/>
          <w:sz w:val="24"/>
          <w:szCs w:val="24"/>
          <w:highlight w:val="none"/>
          <w:lang w:val="en-US" w:eastAsia="zh-CN"/>
        </w:rPr>
        <w:t>19、</w:t>
      </w:r>
      <w:r>
        <w:rPr>
          <w:rFonts w:hint="eastAsia" w:ascii="宋体" w:hAnsi="宋体" w:eastAsia="宋体" w:cs="宋体"/>
          <w:color w:val="auto"/>
          <w:spacing w:val="-1"/>
          <w:sz w:val="24"/>
          <w:szCs w:val="24"/>
          <w:highlight w:val="none"/>
        </w:rPr>
        <w:t>投标人必须充分考虑施工现场与居民及周边单位的协调，报价时应包含</w:t>
      </w:r>
      <w:r>
        <w:rPr>
          <w:rFonts w:hint="eastAsia" w:ascii="宋体" w:hAnsi="宋体" w:eastAsia="宋体" w:cs="宋体"/>
          <w:color w:val="auto"/>
          <w:spacing w:val="-6"/>
          <w:sz w:val="24"/>
          <w:szCs w:val="24"/>
          <w:highlight w:val="none"/>
        </w:rPr>
        <w:t>所有可能发生的费用以及施工措施不当引起的损失，发包人在实施过程中不另外</w:t>
      </w:r>
      <w:r>
        <w:rPr>
          <w:rFonts w:hint="eastAsia" w:ascii="宋体" w:hAnsi="宋体" w:eastAsia="宋体" w:cs="宋体"/>
          <w:color w:val="auto"/>
          <w:sz w:val="24"/>
          <w:szCs w:val="24"/>
          <w:highlight w:val="none"/>
        </w:rPr>
        <w:t>计量支付。</w:t>
      </w:r>
    </w:p>
    <w:p>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rPr>
        <w:t>施工期间，对施工范围及附近的堤岸、民居、厂房等建构筑物应采取措</w:t>
      </w:r>
      <w:r>
        <w:rPr>
          <w:rFonts w:hint="eastAsia" w:ascii="宋体" w:hAnsi="宋体" w:eastAsia="宋体" w:cs="宋体"/>
          <w:color w:val="auto"/>
          <w:spacing w:val="-11"/>
          <w:sz w:val="24"/>
          <w:szCs w:val="24"/>
          <w:highlight w:val="none"/>
        </w:rPr>
        <w:t>施进行保护、修复；应保证施工现场及周边居民生活、工厂生产作业等出入交通</w:t>
      </w:r>
      <w:r>
        <w:rPr>
          <w:rFonts w:hint="eastAsia" w:ascii="宋体" w:hAnsi="宋体" w:eastAsia="宋体" w:cs="宋体"/>
          <w:color w:val="auto"/>
          <w:spacing w:val="-10"/>
          <w:sz w:val="24"/>
          <w:szCs w:val="24"/>
          <w:highlight w:val="none"/>
        </w:rPr>
        <w:t>不受影响。施工单位应完成地上、地下设施、建筑物的临时保护设施，并在投标</w:t>
      </w:r>
      <w:r>
        <w:rPr>
          <w:rFonts w:hint="eastAsia" w:ascii="宋体" w:hAnsi="宋体" w:eastAsia="宋体" w:cs="宋体"/>
          <w:color w:val="auto"/>
          <w:sz w:val="24"/>
          <w:szCs w:val="24"/>
          <w:highlight w:val="none"/>
        </w:rPr>
        <w:t>报价中综合考虑相关费用。</w:t>
      </w:r>
    </w:p>
    <w:p>
      <w:pPr>
        <w:pStyle w:val="136"/>
        <w:keepNext w:val="0"/>
        <w:keepLines w:val="0"/>
        <w:pageBreakBefore w:val="0"/>
        <w:widowControl w:val="0"/>
        <w:numPr>
          <w:ilvl w:val="0"/>
          <w:numId w:val="0"/>
        </w:numPr>
        <w:tabs>
          <w:tab w:val="left" w:pos="961"/>
        </w:tabs>
        <w:kinsoku/>
        <w:wordWrap/>
        <w:overflowPunct/>
        <w:topLinePunct w:val="0"/>
        <w:autoSpaceDE w:val="0"/>
        <w:autoSpaceDN w:val="0"/>
        <w:bidi w:val="0"/>
        <w:adjustRightInd/>
        <w:snapToGrid/>
        <w:spacing w:before="0" w:after="0" w:line="360" w:lineRule="auto"/>
        <w:ind w:left="0" w:leftChars="0" w:right="0" w:rightChars="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中标单位应负责外电外水施工、报装等工作，并在外电外水工程中综合</w:t>
      </w:r>
      <w:r>
        <w:rPr>
          <w:rFonts w:hint="eastAsia" w:ascii="宋体" w:hAnsi="宋体" w:eastAsia="宋体" w:cs="宋体"/>
          <w:color w:val="auto"/>
          <w:sz w:val="24"/>
          <w:szCs w:val="24"/>
          <w:highlight w:val="none"/>
        </w:rPr>
        <w:t>考虑相关费用。</w:t>
      </w:r>
    </w:p>
    <w:p>
      <w:pPr>
        <w:pStyle w:val="136"/>
        <w:keepNext w:val="0"/>
        <w:keepLines w:val="0"/>
        <w:pageBreakBefore w:val="0"/>
        <w:widowControl w:val="0"/>
        <w:numPr>
          <w:ilvl w:val="0"/>
          <w:numId w:val="0"/>
        </w:numPr>
        <w:tabs>
          <w:tab w:val="left" w:pos="961"/>
        </w:tabs>
        <w:kinsoku/>
        <w:wordWrap/>
        <w:overflowPunct/>
        <w:topLinePunct w:val="0"/>
        <w:autoSpaceDE w:val="0"/>
        <w:autoSpaceDN w:val="0"/>
        <w:bidi w:val="0"/>
        <w:adjustRightInd/>
        <w:snapToGrid/>
        <w:spacing w:before="0" w:after="0" w:line="360" w:lineRule="auto"/>
        <w:ind w:left="0" w:leftChars="0" w:right="0" w:rightChars="0" w:firstLine="476" w:firstLineChars="200"/>
        <w:jc w:val="both"/>
        <w:textAlignment w:val="auto"/>
        <w:rPr>
          <w:rFonts w:hint="eastAsia" w:cs="宋体"/>
          <w:color w:val="auto"/>
          <w:spacing w:val="-10"/>
          <w:sz w:val="24"/>
          <w:szCs w:val="24"/>
          <w:highlight w:val="none"/>
          <w:lang w:val="en-US" w:eastAsia="zh-CN"/>
        </w:rPr>
      </w:pPr>
      <w:r>
        <w:rPr>
          <w:rFonts w:hint="eastAsia" w:ascii="宋体" w:hAnsi="宋体" w:eastAsia="宋体" w:cs="宋体"/>
          <w:color w:val="auto"/>
          <w:spacing w:val="-1"/>
          <w:sz w:val="24"/>
          <w:szCs w:val="24"/>
          <w:highlight w:val="none"/>
          <w:lang w:val="en-US" w:eastAsia="zh-CN"/>
        </w:rPr>
        <w:t>2</w:t>
      </w:r>
      <w:r>
        <w:rPr>
          <w:rFonts w:hint="eastAsia"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按广州市市政基础设施工程检测监测的相关规定及要求，所有图纸及相</w:t>
      </w:r>
      <w:r>
        <w:rPr>
          <w:rFonts w:hint="eastAsia" w:ascii="宋体" w:hAnsi="宋体" w:eastAsia="宋体" w:cs="宋体"/>
          <w:color w:val="auto"/>
          <w:spacing w:val="-4"/>
          <w:sz w:val="24"/>
          <w:szCs w:val="24"/>
          <w:highlight w:val="none"/>
        </w:rPr>
        <w:t>关规范要求规定的承包单位应自行承担的检验、检测</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6"/>
          <w:sz w:val="24"/>
          <w:szCs w:val="24"/>
          <w:highlight w:val="none"/>
        </w:rPr>
        <w:t>包括材料检验、土方密实</w:t>
      </w:r>
      <w:r>
        <w:rPr>
          <w:rFonts w:hint="eastAsia" w:ascii="宋体" w:hAnsi="宋体" w:eastAsia="宋体" w:cs="宋体"/>
          <w:color w:val="auto"/>
          <w:spacing w:val="-8"/>
          <w:sz w:val="24"/>
          <w:szCs w:val="24"/>
          <w:highlight w:val="none"/>
        </w:rPr>
        <w:t>度试验、弯沉试验、建筑物监测等</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3"/>
          <w:sz w:val="24"/>
          <w:szCs w:val="24"/>
          <w:highlight w:val="none"/>
        </w:rPr>
        <w:t>均由招标人委托具备相关资质的检验、检测</w:t>
      </w:r>
      <w:r>
        <w:rPr>
          <w:rFonts w:hint="eastAsia" w:ascii="宋体" w:hAnsi="宋体" w:eastAsia="宋体" w:cs="宋体"/>
          <w:color w:val="auto"/>
          <w:spacing w:val="-10"/>
          <w:sz w:val="24"/>
          <w:szCs w:val="24"/>
          <w:highlight w:val="none"/>
        </w:rPr>
        <w:t>单位完成上述检测工作，其所发生的费用均视为已包含在承包人的分部分项综合单价报价内、安装费、管理费、利润以及合同明示暗示的所有一般风险、责任和</w:t>
      </w:r>
      <w:r>
        <w:rPr>
          <w:rFonts w:hint="eastAsia" w:ascii="宋体" w:hAnsi="宋体" w:eastAsia="宋体" w:cs="宋体"/>
          <w:color w:val="auto"/>
          <w:sz w:val="24"/>
          <w:szCs w:val="24"/>
          <w:highlight w:val="none"/>
        </w:rPr>
        <w:t>业务等一切费用</w:t>
      </w:r>
      <w:r>
        <w:rPr>
          <w:rFonts w:hint="eastAsia" w:ascii="宋体" w:hAnsi="宋体" w:eastAsia="宋体" w:cs="宋体"/>
          <w:color w:val="auto"/>
          <w:spacing w:val="-10"/>
          <w:sz w:val="24"/>
          <w:szCs w:val="24"/>
          <w:highlight w:val="none"/>
        </w:rPr>
        <w:t>。</w:t>
      </w:r>
      <w:r>
        <w:rPr>
          <w:rFonts w:hint="eastAsia" w:cs="宋体"/>
          <w:color w:val="auto"/>
          <w:spacing w:val="-10"/>
          <w:sz w:val="24"/>
          <w:szCs w:val="24"/>
          <w:highlight w:val="none"/>
          <w:lang w:val="en-US" w:eastAsia="zh-CN"/>
        </w:rPr>
        <w:t xml:space="preserve"> </w:t>
      </w:r>
    </w:p>
    <w:p>
      <w:pPr>
        <w:pStyle w:val="136"/>
        <w:keepNext w:val="0"/>
        <w:keepLines w:val="0"/>
        <w:pageBreakBefore w:val="0"/>
        <w:widowControl w:val="0"/>
        <w:numPr>
          <w:ilvl w:val="0"/>
          <w:numId w:val="0"/>
        </w:numPr>
        <w:tabs>
          <w:tab w:val="left" w:pos="961"/>
        </w:tabs>
        <w:kinsoku/>
        <w:wordWrap/>
        <w:overflowPunct/>
        <w:topLinePunct w:val="0"/>
        <w:autoSpaceDE w:val="0"/>
        <w:autoSpaceDN w:val="0"/>
        <w:bidi w:val="0"/>
        <w:adjustRightInd/>
        <w:snapToGrid/>
        <w:spacing w:before="0" w:after="0" w:line="360" w:lineRule="auto"/>
        <w:ind w:left="0" w:leftChars="0" w:right="0" w:rightChars="0" w:firstLine="440" w:firstLineChars="200"/>
        <w:jc w:val="both"/>
        <w:textAlignment w:val="auto"/>
        <w:rPr>
          <w:rFonts w:hint="eastAsia" w:cs="宋体"/>
          <w:color w:val="auto"/>
          <w:sz w:val="24"/>
          <w:szCs w:val="24"/>
          <w:highlight w:val="none"/>
          <w:lang w:eastAsia="zh-CN"/>
        </w:rPr>
      </w:pPr>
      <w:r>
        <w:rPr>
          <w:rFonts w:hint="eastAsia" w:cs="宋体"/>
          <w:color w:val="auto"/>
          <w:spacing w:val="-10"/>
          <w:sz w:val="24"/>
          <w:szCs w:val="24"/>
          <w:highlight w:val="none"/>
          <w:lang w:val="en-US" w:eastAsia="zh-CN"/>
        </w:rPr>
        <w:t>23、</w:t>
      </w:r>
      <w:r>
        <w:rPr>
          <w:rFonts w:ascii="宋体" w:hAnsi="宋体" w:eastAsia="宋体" w:cs="宋体"/>
          <w:color w:val="auto"/>
          <w:sz w:val="24"/>
          <w:szCs w:val="24"/>
          <w:highlight w:val="none"/>
        </w:rPr>
        <w:t>工地建设标准，要参考最新的规定广州市住房和城乡建设局等8部门关于印发广州市建设工程扬尘防治“6个100%”管理标准图集（V2.0版）的通知</w:t>
      </w:r>
      <w:r>
        <w:rPr>
          <w:rFonts w:hint="eastAsia" w:cs="宋体"/>
          <w:color w:val="auto"/>
          <w:sz w:val="24"/>
          <w:szCs w:val="24"/>
          <w:highlight w:val="none"/>
          <w:lang w:eastAsia="zh-CN"/>
        </w:rPr>
        <w:t>，</w:t>
      </w:r>
      <w:r>
        <w:rPr>
          <w:rFonts w:ascii="宋体" w:hAnsi="宋体" w:eastAsia="宋体" w:cs="宋体"/>
          <w:color w:val="auto"/>
          <w:sz w:val="24"/>
          <w:szCs w:val="24"/>
          <w:highlight w:val="none"/>
        </w:rPr>
        <w:t>满足</w:t>
      </w:r>
      <w:r>
        <w:rPr>
          <w:rFonts w:hint="eastAsia" w:cs="宋体"/>
          <w:color w:val="auto"/>
          <w:sz w:val="24"/>
          <w:szCs w:val="24"/>
          <w:highlight w:val="none"/>
          <w:lang w:val="en-US" w:eastAsia="zh-CN"/>
        </w:rPr>
        <w:t>广</w:t>
      </w:r>
      <w:r>
        <w:rPr>
          <w:rFonts w:ascii="宋体" w:hAnsi="宋体" w:eastAsia="宋体" w:cs="宋体"/>
          <w:color w:val="auto"/>
          <w:sz w:val="24"/>
          <w:szCs w:val="24"/>
          <w:highlight w:val="none"/>
        </w:rPr>
        <w:t>州市住房和城乡建设局等8部门关于印发广州市建设工程扬尘防治“6个100%”管理标准图集（V2.0版）的通知要求</w:t>
      </w:r>
      <w:r>
        <w:rPr>
          <w:rFonts w:hint="eastAsia" w:cs="宋体"/>
          <w:color w:val="auto"/>
          <w:sz w:val="24"/>
          <w:szCs w:val="24"/>
          <w:highlight w:val="none"/>
          <w:lang w:eastAsia="zh-CN"/>
        </w:rPr>
        <w:t>。</w:t>
      </w:r>
    </w:p>
    <w:p>
      <w:pPr>
        <w:keepNext w:val="0"/>
        <w:keepLines w:val="0"/>
        <w:pageBreakBefore w:val="0"/>
        <w:kinsoku/>
        <w:wordWrap/>
        <w:overflowPunct/>
        <w:topLinePunct w:val="0"/>
        <w:bidi w:val="0"/>
        <w:adjustRightInd/>
        <w:snapToGrid w:val="0"/>
        <w:spacing w:before="0" w:line="360" w:lineRule="auto"/>
        <w:ind w:leftChars="0" w:right="0" w:firstLine="480" w:firstLineChars="200"/>
        <w:textAlignment w:val="auto"/>
        <w:rPr>
          <w:rFonts w:hint="eastAsia" w:cs="宋体"/>
          <w:color w:val="auto"/>
          <w:sz w:val="24"/>
          <w:szCs w:val="24"/>
          <w:highlight w:val="none"/>
          <w:lang w:val="en-US" w:eastAsia="zh-CN"/>
        </w:rPr>
      </w:pPr>
      <w:r>
        <w:rPr>
          <w:rFonts w:hint="eastAsia"/>
          <w:color w:val="auto"/>
          <w:sz w:val="24"/>
          <w:highlight w:val="none"/>
          <w:lang w:val="en-US" w:eastAsia="zh-CN"/>
        </w:rPr>
        <w:t>24、</w:t>
      </w:r>
      <w:r>
        <w:rPr>
          <w:rFonts w:ascii="宋体" w:hAnsi="宋体"/>
          <w:color w:val="auto"/>
          <w:sz w:val="24"/>
          <w:highlight w:val="none"/>
        </w:rPr>
        <w:t>本工程项目水泥砂浆要求采用预拌砂浆，</w:t>
      </w:r>
      <w:r>
        <w:rPr>
          <w:rFonts w:hint="eastAsia"/>
          <w:color w:val="auto"/>
          <w:sz w:val="24"/>
          <w:highlight w:val="none"/>
          <w:lang w:eastAsia="zh-CN"/>
        </w:rPr>
        <w:t>混凝土</w:t>
      </w:r>
      <w:r>
        <w:rPr>
          <w:rFonts w:ascii="宋体" w:hAnsi="宋体"/>
          <w:color w:val="auto"/>
          <w:sz w:val="24"/>
          <w:highlight w:val="none"/>
        </w:rPr>
        <w:t>要求使用商品</w:t>
      </w:r>
      <w:r>
        <w:rPr>
          <w:rFonts w:hint="eastAsia"/>
          <w:color w:val="auto"/>
          <w:sz w:val="24"/>
          <w:highlight w:val="none"/>
          <w:lang w:eastAsia="zh-CN"/>
        </w:rPr>
        <w:t>混凝土</w:t>
      </w:r>
      <w:r>
        <w:rPr>
          <w:rFonts w:hint="eastAsia" w:ascii="宋体" w:hAnsi="宋体"/>
          <w:color w:val="auto"/>
          <w:sz w:val="24"/>
          <w:highlight w:val="none"/>
        </w:rPr>
        <w:t>。</w:t>
      </w:r>
    </w:p>
    <w:p>
      <w:pPr>
        <w:pStyle w:val="136"/>
        <w:keepNext w:val="0"/>
        <w:keepLines w:val="0"/>
        <w:pageBreakBefore w:val="0"/>
        <w:widowControl w:val="0"/>
        <w:numPr>
          <w:ilvl w:val="0"/>
          <w:numId w:val="0"/>
        </w:numPr>
        <w:tabs>
          <w:tab w:val="left" w:pos="961"/>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ascii="宋体" w:hAnsi="宋体" w:eastAsia="宋体" w:cs="宋体"/>
          <w:b w:val="0"/>
          <w:bCs/>
          <w:color w:val="auto"/>
          <w:sz w:val="24"/>
          <w:szCs w:val="24"/>
          <w:highlight w:val="none"/>
        </w:rPr>
      </w:pPr>
      <w:r>
        <w:rPr>
          <w:rFonts w:hint="eastAsia" w:cs="宋体"/>
          <w:color w:val="auto"/>
          <w:sz w:val="24"/>
          <w:szCs w:val="24"/>
          <w:highlight w:val="none"/>
          <w:lang w:val="en-US" w:eastAsia="zh-CN"/>
        </w:rPr>
        <w:t>25、管线迁改工程</w:t>
      </w:r>
      <w:r>
        <w:rPr>
          <w:rFonts w:ascii="宋体" w:hAnsi="宋体" w:eastAsia="宋体" w:cs="宋体"/>
          <w:color w:val="auto"/>
          <w:sz w:val="24"/>
          <w:szCs w:val="24"/>
          <w:highlight w:val="none"/>
        </w:rPr>
        <w:t>单价</w:t>
      </w:r>
      <w:r>
        <w:rPr>
          <w:rFonts w:hint="eastAsia" w:cs="宋体"/>
          <w:color w:val="auto"/>
          <w:sz w:val="24"/>
          <w:szCs w:val="24"/>
          <w:highlight w:val="none"/>
          <w:lang w:val="en-US" w:eastAsia="zh-CN"/>
        </w:rPr>
        <w:t>已</w:t>
      </w:r>
      <w:r>
        <w:rPr>
          <w:rFonts w:ascii="宋体" w:hAnsi="宋体" w:eastAsia="宋体" w:cs="宋体"/>
          <w:color w:val="auto"/>
          <w:sz w:val="24"/>
          <w:szCs w:val="24"/>
          <w:highlight w:val="none"/>
        </w:rPr>
        <w:t>包括竣工验收测量费用，</w:t>
      </w:r>
      <w:r>
        <w:rPr>
          <w:rFonts w:hint="eastAsia" w:cs="宋体"/>
          <w:color w:val="auto"/>
          <w:sz w:val="24"/>
          <w:szCs w:val="24"/>
          <w:highlight w:val="none"/>
          <w:lang w:val="en-US" w:eastAsia="zh-CN"/>
        </w:rPr>
        <w:t>投标人报价时应充分考虑，投标人进场后，需</w:t>
      </w:r>
      <w:r>
        <w:rPr>
          <w:rFonts w:ascii="宋体" w:hAnsi="宋体" w:eastAsia="宋体" w:cs="宋体"/>
          <w:color w:val="auto"/>
          <w:sz w:val="24"/>
          <w:szCs w:val="24"/>
          <w:highlight w:val="none"/>
        </w:rPr>
        <w:t>配合业主单位办理相关验收手续。</w:t>
      </w:r>
      <w:r>
        <w:rPr>
          <w:rFonts w:hint="eastAsia" w:cs="宋体"/>
          <w:color w:val="auto"/>
          <w:sz w:val="24"/>
          <w:szCs w:val="24"/>
          <w:highlight w:val="none"/>
          <w:lang w:val="en-US" w:eastAsia="zh-CN"/>
        </w:rPr>
        <w:t>结算时不再另外计取。</w:t>
      </w:r>
    </w:p>
    <w:p>
      <w:pPr>
        <w:pStyle w:val="136"/>
        <w:keepNext w:val="0"/>
        <w:keepLines w:val="0"/>
        <w:pageBreakBefore w:val="0"/>
        <w:widowControl w:val="0"/>
        <w:numPr>
          <w:ilvl w:val="0"/>
          <w:numId w:val="0"/>
        </w:numPr>
        <w:tabs>
          <w:tab w:val="left" w:pos="961"/>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26、本项目所涉及的拆除工程，回收价值费用承包人在投标报价中考虑。</w:t>
      </w:r>
    </w:p>
    <w:p>
      <w:pPr>
        <w:pStyle w:val="136"/>
        <w:keepNext w:val="0"/>
        <w:keepLines w:val="0"/>
        <w:pageBreakBefore w:val="0"/>
        <w:widowControl w:val="0"/>
        <w:numPr>
          <w:ilvl w:val="0"/>
          <w:numId w:val="0"/>
        </w:numPr>
        <w:tabs>
          <w:tab w:val="left" w:pos="961"/>
        </w:tabs>
        <w:kinsoku/>
        <w:wordWrap/>
        <w:overflowPunct/>
        <w:topLinePunct w:val="0"/>
        <w:autoSpaceDE w:val="0"/>
        <w:autoSpaceDN w:val="0"/>
        <w:bidi w:val="0"/>
        <w:adjustRightInd/>
        <w:snapToGrid/>
        <w:spacing w:before="0" w:after="0" w:line="360" w:lineRule="auto"/>
        <w:ind w:left="0" w:leftChars="0" w:right="0" w:rightChars="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cs="宋体"/>
          <w:color w:val="auto"/>
          <w:spacing w:val="-1"/>
          <w:sz w:val="24"/>
          <w:szCs w:val="24"/>
          <w:highlight w:val="none"/>
          <w:lang w:val="en-US" w:eastAsia="zh-CN"/>
        </w:rPr>
        <w:t>7、</w:t>
      </w:r>
      <w:r>
        <w:rPr>
          <w:rFonts w:hint="eastAsia" w:ascii="宋体" w:hAnsi="宋体" w:eastAsia="宋体" w:cs="宋体"/>
          <w:color w:val="auto"/>
          <w:spacing w:val="-1"/>
          <w:sz w:val="24"/>
          <w:szCs w:val="24"/>
          <w:highlight w:val="none"/>
        </w:rPr>
        <w:t>除了清单中已开项的预埋件外，其他预埋件已包含在对应项目的清单单</w:t>
      </w:r>
      <w:r>
        <w:rPr>
          <w:rFonts w:hint="eastAsia" w:ascii="宋体" w:hAnsi="宋体" w:eastAsia="宋体" w:cs="宋体"/>
          <w:color w:val="auto"/>
          <w:sz w:val="24"/>
          <w:szCs w:val="24"/>
          <w:highlight w:val="none"/>
        </w:rPr>
        <w:t>价中，不再另外计列，按施工设计图纸要求进行安装及计价。</w:t>
      </w:r>
    </w:p>
    <w:p>
      <w:pPr>
        <w:pStyle w:val="136"/>
        <w:keepNext w:val="0"/>
        <w:keepLines w:val="0"/>
        <w:pageBreakBefore w:val="0"/>
        <w:widowControl w:val="0"/>
        <w:numPr>
          <w:ilvl w:val="0"/>
          <w:numId w:val="0"/>
        </w:numPr>
        <w:tabs>
          <w:tab w:val="left" w:pos="961"/>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28、施工单位需按照工程实际需求配备足够的交通引导员，实际工程量低于清单量按实际结算，超过清单量时按清单量包干计算。</w:t>
      </w:r>
    </w:p>
    <w:p>
      <w:pPr>
        <w:pStyle w:val="136"/>
        <w:keepNext w:val="0"/>
        <w:keepLines w:val="0"/>
        <w:pageBreakBefore w:val="0"/>
        <w:widowControl w:val="0"/>
        <w:numPr>
          <w:ilvl w:val="0"/>
          <w:numId w:val="0"/>
        </w:numPr>
        <w:tabs>
          <w:tab w:val="left" w:pos="961"/>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中标的投标报价结算的调整方法按照合同文件专用条款的相关规定执行。中标的投标报价除发包人同意的设计变更和招标文件、招标答疑会议纪要、合同条款中允许的调整范围外，其余不因市场价格变化、人员工资福利调整而调整（建设行政主管部门文件下达可调整的除外）。</w:t>
      </w:r>
    </w:p>
    <w:p>
      <w:pPr>
        <w:pStyle w:val="136"/>
        <w:keepNext w:val="0"/>
        <w:keepLines w:val="0"/>
        <w:pageBreakBefore w:val="0"/>
        <w:widowControl w:val="0"/>
        <w:numPr>
          <w:ilvl w:val="0"/>
          <w:numId w:val="0"/>
        </w:numPr>
        <w:tabs>
          <w:tab w:val="left" w:pos="961"/>
        </w:tabs>
        <w:kinsoku/>
        <w:wordWrap/>
        <w:overflowPunct/>
        <w:topLinePunct w:val="0"/>
        <w:autoSpaceDE w:val="0"/>
        <w:autoSpaceDN w:val="0"/>
        <w:bidi w:val="0"/>
        <w:adjustRightInd/>
        <w:snapToGrid/>
        <w:spacing w:before="0" w:after="0" w:line="360" w:lineRule="auto"/>
        <w:ind w:left="0" w:leftChars="0" w:right="0" w:rightChars="0" w:firstLine="476" w:firstLineChars="200"/>
        <w:jc w:val="both"/>
        <w:textAlignment w:val="auto"/>
        <w:rPr>
          <w:rFonts w:hint="eastAsia" w:ascii="宋体" w:hAnsi="宋体" w:eastAsia="宋体" w:cs="宋体"/>
          <w:color w:val="auto"/>
          <w:sz w:val="24"/>
          <w:szCs w:val="24"/>
          <w:highlight w:val="none"/>
        </w:rPr>
      </w:pPr>
      <w:r>
        <w:rPr>
          <w:rFonts w:hint="eastAsia" w:cs="宋体"/>
          <w:color w:val="auto"/>
          <w:spacing w:val="-1"/>
          <w:sz w:val="24"/>
          <w:szCs w:val="24"/>
          <w:highlight w:val="none"/>
          <w:lang w:val="en-US" w:eastAsia="zh-CN"/>
        </w:rPr>
        <w:t>30、</w:t>
      </w:r>
      <w:r>
        <w:rPr>
          <w:rFonts w:hint="eastAsia" w:ascii="宋体" w:hAnsi="宋体" w:eastAsia="宋体" w:cs="宋体"/>
          <w:color w:val="auto"/>
          <w:spacing w:val="-1"/>
          <w:sz w:val="24"/>
          <w:szCs w:val="24"/>
          <w:highlight w:val="none"/>
        </w:rPr>
        <w:t>工程结算资料，如工程竣工图、隐蔽工程验收单、施工日志、工程进度</w:t>
      </w:r>
      <w:r>
        <w:rPr>
          <w:rFonts w:hint="eastAsia" w:ascii="宋体" w:hAnsi="宋体" w:eastAsia="宋体" w:cs="宋体"/>
          <w:color w:val="auto"/>
          <w:spacing w:val="-11"/>
          <w:sz w:val="24"/>
          <w:szCs w:val="24"/>
          <w:highlight w:val="none"/>
        </w:rPr>
        <w:t>计量表、测量记录、设备材料进场记录等结算资料相互矛盾，则按最少工程量或</w:t>
      </w:r>
      <w:r>
        <w:rPr>
          <w:rFonts w:hint="eastAsia" w:ascii="宋体" w:hAnsi="宋体" w:eastAsia="宋体" w:cs="宋体"/>
          <w:color w:val="auto"/>
          <w:sz w:val="24"/>
          <w:szCs w:val="24"/>
          <w:highlight w:val="none"/>
        </w:rPr>
        <w:t>使工程造价最低的进行结算。</w:t>
      </w:r>
    </w:p>
    <w:p/>
    <w:p>
      <w:pPr>
        <w:spacing w:line="400" w:lineRule="exact"/>
        <w:rPr>
          <w:rFonts w:hint="eastAsia" w:ascii="宋体" w:hAnsi="宋体"/>
          <w:color w:val="auto"/>
          <w:sz w:val="24"/>
          <w:highlight w:val="none"/>
        </w:rPr>
      </w:pPr>
      <w:bookmarkStart w:id="79" w:name="_GoBack"/>
      <w:bookmarkEnd w:id="79"/>
    </w:p>
    <w:p>
      <w:pPr>
        <w:pStyle w:val="2"/>
        <w:rPr>
          <w:rFonts w:hint="default" w:ascii="Arial" w:hAnsi="Arial" w:cs="Arial"/>
          <w:color w:val="auto"/>
          <w:sz w:val="24"/>
          <w:szCs w:val="24"/>
          <w:highlight w:val="none"/>
          <w:lang w:val="en-US" w:eastAsia="zh-CN"/>
        </w:rPr>
      </w:pPr>
    </w:p>
    <w:sectPr>
      <w:headerReference r:id="rId15" w:type="default"/>
      <w:footerReference r:id="rId16" w:type="default"/>
      <w:footerReference r:id="rId1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Wund">
    <w:altName w:val="Segoe Print"/>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体">
    <w:altName w:val="仿宋"/>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金山简魏碑">
    <w:altName w:val="MS Gothic"/>
    <w:panose1 w:val="00000000000000000000"/>
    <w:charset w:val="00"/>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Lucida Grande">
    <w:altName w:val="Courier New"/>
    <w:panose1 w:val="00000000000000000000"/>
    <w:charset w:val="00"/>
    <w:family w:val="auto"/>
    <w:pitch w:val="default"/>
    <w:sig w:usb0="00000000" w:usb1="00000000" w:usb2="00000000" w:usb3="00000000" w:csb0="000001BF" w:csb1="00000000"/>
  </w:font>
  <w:font w:name="Wingdings 2">
    <w:altName w:val="Wingdings"/>
    <w:panose1 w:val="05020102010507070707"/>
    <w:charset w:val="02"/>
    <w:family w:val="roman"/>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方正大标宋简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Gulim">
    <w:altName w:val="Malgun Gothic"/>
    <w:panose1 w:val="020B0600000101010101"/>
    <w:charset w:val="81"/>
    <w:family w:val="roman"/>
    <w:pitch w:val="default"/>
    <w:sig w:usb0="00000000" w:usb1="00000000" w:usb2="00000030" w:usb3="00000000" w:csb0="4008009F" w:csb1="DFD7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392"/>
      <w:jc w:val="right"/>
      <w:rPr>
        <w:rStyle w:val="60"/>
      </w:rPr>
    </w:pPr>
    <w:r>
      <w:rPr>
        <w:rStyle w:val="60"/>
      </w:rPr>
      <w:fldChar w:fldCharType="begin"/>
    </w:r>
    <w:r>
      <w:rPr>
        <w:rStyle w:val="60"/>
      </w:rPr>
      <w:instrText xml:space="preserve">PAGE  </w:instrText>
    </w:r>
    <w:r>
      <w:rPr>
        <w:rStyle w:val="60"/>
      </w:rPr>
      <w:fldChar w:fldCharType="separate"/>
    </w:r>
    <w:r>
      <w:rPr>
        <w:rStyle w:val="60"/>
      </w:rPr>
      <w:t>79</w:t>
    </w:r>
    <w:r>
      <w:rPr>
        <w:rStyle w:val="6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392"/>
      <w:rPr>
        <w:rStyle w:val="60"/>
      </w:rPr>
    </w:pPr>
    <w:r>
      <w:rPr>
        <w:rStyle w:val="60"/>
      </w:rPr>
      <w:fldChar w:fldCharType="begin"/>
    </w:r>
    <w:r>
      <w:rPr>
        <w:rStyle w:val="60"/>
      </w:rPr>
      <w:instrText xml:space="preserve">PAGE  </w:instrText>
    </w:r>
    <w:r>
      <w:rPr>
        <w:rStyle w:val="60"/>
      </w:rPr>
      <w:fldChar w:fldCharType="separate"/>
    </w:r>
    <w:r>
      <w:rPr>
        <w:rStyle w:val="60"/>
        <w:rFonts w:hint="eastAsia"/>
      </w:rPr>
      <w:t>一</w:t>
    </w:r>
    <w:r>
      <w:rPr>
        <w:rStyle w:val="60"/>
      </w:rPr>
      <w:t>–2</w:t>
    </w:r>
    <w:r>
      <w:rPr>
        <w:rStyle w:val="60"/>
      </w:rPr>
      <w:fldChar w:fldCharType="end"/>
    </w:r>
  </w:p>
  <w:p>
    <w:pPr>
      <w:pStyle w:val="3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392"/>
    </w:pPr>
    <w:r>
      <w:rPr>
        <w:rStyle w:val="60"/>
      </w:rPr>
      <w:fldChar w:fldCharType="begin"/>
    </w:r>
    <w:r>
      <w:rPr>
        <w:rStyle w:val="60"/>
      </w:rPr>
      <w:instrText xml:space="preserve"> PAGE </w:instrText>
    </w:r>
    <w:r>
      <w:rPr>
        <w:rStyle w:val="60"/>
      </w:rPr>
      <w:fldChar w:fldCharType="separate"/>
    </w:r>
    <w:r>
      <w:rPr>
        <w:rStyle w:val="60"/>
      </w:rPr>
      <w:t>78</w:t>
    </w:r>
    <w:r>
      <w:rPr>
        <w:rStyle w:val="6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outside" w:y="1"/>
      <w:jc w:val="center"/>
      <w:rPr>
        <w:rStyle w:val="60"/>
      </w:rPr>
    </w:pPr>
    <w:r>
      <w:rPr>
        <w:rStyle w:val="60"/>
      </w:rPr>
      <w:fldChar w:fldCharType="begin"/>
    </w:r>
    <w:r>
      <w:rPr>
        <w:rStyle w:val="60"/>
      </w:rPr>
      <w:instrText xml:space="preserve">PAGE  </w:instrText>
    </w:r>
    <w:r>
      <w:rPr>
        <w:rStyle w:val="60"/>
      </w:rPr>
      <w:fldChar w:fldCharType="separate"/>
    </w:r>
    <w:r>
      <w:rPr>
        <w:rStyle w:val="60"/>
      </w:rPr>
      <w:t>88</w:t>
    </w:r>
    <w:r>
      <w:rPr>
        <w:rStyle w:val="60"/>
      </w:rPr>
      <w:fldChar w:fldCharType="end"/>
    </w:r>
  </w:p>
  <w:p>
    <w:pPr>
      <w:pStyle w:val="35"/>
      <w:framePr w:wrap="around" w:vAnchor="text" w:hAnchor="margin" w:xAlign="outside" w:y="1"/>
      <w:ind w:left="-4410" w:leftChars="-2100" w:right="-4439" w:rightChars="-2114"/>
      <w:rPr>
        <w:rStyle w:val="60"/>
      </w:rPr>
    </w:pPr>
  </w:p>
  <w:p>
    <w:pPr>
      <w:pStyle w:val="35"/>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outside" w:y="1"/>
      <w:rPr>
        <w:rStyle w:val="60"/>
      </w:rPr>
    </w:pPr>
    <w:r>
      <w:rPr>
        <w:rStyle w:val="60"/>
      </w:rPr>
      <w:fldChar w:fldCharType="begin"/>
    </w:r>
    <w:r>
      <w:rPr>
        <w:rStyle w:val="60"/>
      </w:rPr>
      <w:instrText xml:space="preserve">PAGE  </w:instrText>
    </w:r>
    <w:r>
      <w:rPr>
        <w:rStyle w:val="60"/>
      </w:rPr>
      <w:fldChar w:fldCharType="separate"/>
    </w:r>
    <w:r>
      <w:rPr>
        <w:rStyle w:val="60"/>
        <w:rFonts w:hint="eastAsia"/>
      </w:rPr>
      <w:t>一</w:t>
    </w:r>
    <w:r>
      <w:rPr>
        <w:rStyle w:val="60"/>
      </w:rPr>
      <w:t>–2</w:t>
    </w:r>
    <w:r>
      <w:rPr>
        <w:rStyle w:val="60"/>
      </w:rPr>
      <w:fldChar w:fldCharType="end"/>
    </w:r>
  </w:p>
  <w:p>
    <w:pPr>
      <w:pStyle w:val="35"/>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rStyle w:val="60"/>
      </w:rPr>
      <w:fldChar w:fldCharType="begin"/>
    </w:r>
    <w:r>
      <w:rPr>
        <w:rStyle w:val="60"/>
      </w:rPr>
      <w:instrText xml:space="preserve"> PAGE </w:instrText>
    </w:r>
    <w:r>
      <w:rPr>
        <w:rStyle w:val="60"/>
      </w:rPr>
      <w:fldChar w:fldCharType="separate"/>
    </w:r>
    <w:r>
      <w:rPr>
        <w:rStyle w:val="60"/>
      </w:rPr>
      <w:t>80</w:t>
    </w:r>
    <w:r>
      <w:rPr>
        <w:rStyle w:val="6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rFonts w:asciiTheme="minorHAnsi" w:hAnsiTheme="minorHAnsi" w:eastAsiaTheme="minorEastAsia" w:cstheme="minorBidi"/>
      </w:rPr>
      <w:fldChar w:fldCharType="begin"/>
    </w:r>
    <w:r>
      <w:instrText xml:space="preserve"> PAGE   \* MERGEFORMAT </w:instrText>
    </w:r>
    <w:r>
      <w:rPr>
        <w:rFonts w:asciiTheme="minorHAnsi" w:hAnsiTheme="minorHAnsi" w:eastAsiaTheme="minorEastAsia" w:cstheme="minorBidi"/>
      </w:rPr>
      <w:fldChar w:fldCharType="separate"/>
    </w:r>
    <w:r>
      <w:rPr>
        <w:rFonts w:ascii="宋体" w:hAnsi="宋体" w:cs="宋体"/>
        <w:lang w:val="zh-CN"/>
      </w:rPr>
      <w:t>103</w:t>
    </w:r>
    <w:r>
      <w:rPr>
        <w:rFonts w:ascii="Gulim" w:hAnsi="Gulim" w:eastAsia="Gulim" w:cs="Gulim"/>
        <w:lang w:val="zh-CN"/>
      </w:rPr>
      <w:fldChar w:fldCharType="end"/>
    </w:r>
  </w:p>
  <w:p>
    <w:pPr>
      <w:pStyle w:val="3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rPr>
        <w:rStyle w:val="60"/>
      </w:rPr>
      <w:fldChar w:fldCharType="begin"/>
    </w:r>
    <w:r>
      <w:rPr>
        <w:rStyle w:val="60"/>
      </w:rPr>
      <w:instrText xml:space="preserve">PAGE  </w:instrText>
    </w:r>
    <w:r>
      <w:rPr>
        <w:rStyle w:val="60"/>
      </w:rPr>
      <w:fldChar w:fldCharType="end"/>
    </w:r>
  </w:p>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35984"/>
    <w:multiLevelType w:val="singleLevel"/>
    <w:tmpl w:val="DCF35984"/>
    <w:lvl w:ilvl="0" w:tentative="0">
      <w:start w:val="2"/>
      <w:numFmt w:val="decimal"/>
      <w:suff w:val="nothing"/>
      <w:lvlText w:val="%1、"/>
      <w:lvlJc w:val="left"/>
    </w:lvl>
  </w:abstractNum>
  <w:abstractNum w:abstractNumId="1">
    <w:nsid w:val="204E0236"/>
    <w:multiLevelType w:val="multilevel"/>
    <w:tmpl w:val="204E0236"/>
    <w:lvl w:ilvl="0" w:tentative="0">
      <w:start w:val="1"/>
      <w:numFmt w:val="chineseCountingThousand"/>
      <w:pStyle w:val="236"/>
      <w:lvlText w:val="第%1章"/>
      <w:lvlJc w:val="left"/>
      <w:pPr>
        <w:tabs>
          <w:tab w:val="left" w:pos="0"/>
        </w:tabs>
        <w:ind w:left="0" w:firstLine="0"/>
      </w:pPr>
      <w:rPr>
        <w:rFonts w:hint="eastAsia"/>
      </w:rPr>
    </w:lvl>
    <w:lvl w:ilvl="1" w:tentative="0">
      <w:start w:val="1"/>
      <w:numFmt w:val="decimal"/>
      <w:lvlText w:val="%2."/>
      <w:lvlJc w:val="left"/>
      <w:pPr>
        <w:tabs>
          <w:tab w:val="left" w:pos="442"/>
        </w:tabs>
        <w:ind w:left="193" w:firstLine="227"/>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59905B5"/>
    <w:multiLevelType w:val="multilevel"/>
    <w:tmpl w:val="259905B5"/>
    <w:lvl w:ilvl="0" w:tentative="0">
      <w:start w:val="1"/>
      <w:numFmt w:val="chineseCountingThousand"/>
      <w:pStyle w:val="12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3">
    <w:nsid w:val="2B572829"/>
    <w:multiLevelType w:val="singleLevel"/>
    <w:tmpl w:val="2B572829"/>
    <w:lvl w:ilvl="0" w:tentative="0">
      <w:start w:val="2"/>
      <w:numFmt w:val="decimal"/>
      <w:suff w:val="nothing"/>
      <w:lvlText w:val="%1、"/>
      <w:lvlJc w:val="left"/>
    </w:lvl>
  </w:abstractNum>
  <w:abstractNum w:abstractNumId="4">
    <w:nsid w:val="41076F3C"/>
    <w:multiLevelType w:val="multilevel"/>
    <w:tmpl w:val="41076F3C"/>
    <w:lvl w:ilvl="0" w:tentative="0">
      <w:start w:val="1"/>
      <w:numFmt w:val="decimal"/>
      <w:pStyle w:val="252"/>
      <w:lvlText w:val="%1"/>
      <w:lvlJc w:val="left"/>
      <w:pPr>
        <w:tabs>
          <w:tab w:val="left" w:pos="425"/>
        </w:tabs>
        <w:ind w:left="425" w:hanging="425"/>
      </w:pPr>
      <w:rPr>
        <w:rFonts w:hint="eastAsia" w:eastAsia="黑体"/>
        <w:b/>
        <w:i w:val="0"/>
        <w:sz w:val="24"/>
        <w:szCs w:val="24"/>
      </w:rPr>
    </w:lvl>
    <w:lvl w:ilvl="1" w:tentative="0">
      <w:start w:val="1"/>
      <w:numFmt w:val="decimal"/>
      <w:lvlText w:val="%1.%2"/>
      <w:lvlJc w:val="left"/>
      <w:pPr>
        <w:tabs>
          <w:tab w:val="left" w:pos="425"/>
        </w:tabs>
        <w:ind w:left="425" w:hanging="425"/>
      </w:pPr>
      <w:rPr>
        <w:rFonts w:hint="eastAsia" w:ascii="宋体" w:hAnsi="宋体" w:eastAsia="宋体"/>
        <w:b w:val="0"/>
        <w:sz w:val="21"/>
        <w:szCs w:val="21"/>
      </w:rPr>
    </w:lvl>
    <w:lvl w:ilvl="2" w:tentative="0">
      <w:start w:val="1"/>
      <w:numFmt w:val="decimal"/>
      <w:lvlText w:val="%1.%2.%3"/>
      <w:lvlJc w:val="left"/>
      <w:pPr>
        <w:tabs>
          <w:tab w:val="left" w:pos="1418"/>
        </w:tabs>
        <w:ind w:left="1418" w:hanging="567"/>
      </w:pPr>
      <w:rPr>
        <w:rFonts w:hint="eastAsia" w:ascii="宋体" w:hAnsi="宋体" w:eastAsia="宋体"/>
        <w:b w:val="0"/>
        <w:sz w:val="21"/>
        <w:szCs w:val="21"/>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45383389"/>
    <w:multiLevelType w:val="singleLevel"/>
    <w:tmpl w:val="45383389"/>
    <w:lvl w:ilvl="0" w:tentative="0">
      <w:start w:val="1"/>
      <w:numFmt w:val="decimal"/>
      <w:pStyle w:val="162"/>
      <w:lvlText w:val="%1．"/>
      <w:lvlJc w:val="left"/>
      <w:pPr>
        <w:tabs>
          <w:tab w:val="left" w:pos="750"/>
        </w:tabs>
        <w:ind w:left="750" w:hanging="330"/>
      </w:pPr>
      <w:rPr>
        <w:rFonts w:hint="eastAsia"/>
      </w:rPr>
    </w:lvl>
  </w:abstractNum>
  <w:abstractNum w:abstractNumId="6">
    <w:nsid w:val="48D12682"/>
    <w:multiLevelType w:val="singleLevel"/>
    <w:tmpl w:val="48D12682"/>
    <w:lvl w:ilvl="0" w:tentative="0">
      <w:start w:val="5"/>
      <w:numFmt w:val="chineseCounting"/>
      <w:suff w:val="nothing"/>
      <w:lvlText w:val="%1、"/>
      <w:lvlJc w:val="left"/>
      <w:rPr>
        <w:rFonts w:hint="eastAsia"/>
      </w:rPr>
    </w:lvl>
  </w:abstractNum>
  <w:abstractNum w:abstractNumId="7">
    <w:nsid w:val="513369F5"/>
    <w:multiLevelType w:val="multilevel"/>
    <w:tmpl w:val="513369F5"/>
    <w:lvl w:ilvl="0" w:tentative="0">
      <w:start w:val="31"/>
      <w:numFmt w:val="decimal"/>
      <w:lvlText w:val="%1"/>
      <w:lvlJc w:val="left"/>
      <w:pPr>
        <w:tabs>
          <w:tab w:val="left" w:pos="425"/>
        </w:tabs>
        <w:ind w:left="425" w:hanging="425"/>
      </w:pPr>
      <w:rPr>
        <w:rFonts w:hint="eastAsia"/>
      </w:rPr>
    </w:lvl>
    <w:lvl w:ilvl="1" w:tentative="0">
      <w:start w:val="1"/>
      <w:numFmt w:val="decimal"/>
      <w:pStyle w:val="193"/>
      <w:lvlText w:val="%1.%2"/>
      <w:lvlJc w:val="left"/>
      <w:pPr>
        <w:tabs>
          <w:tab w:val="left" w:pos="992"/>
        </w:tabs>
        <w:ind w:left="992" w:hanging="567"/>
      </w:pPr>
      <w:rPr>
        <w:rFonts w:hint="eastAsia"/>
        <w:b w:val="0"/>
        <w:i w:val="0"/>
        <w:color w:val="auto"/>
        <w:sz w:val="28"/>
        <w:szCs w:val="28"/>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8">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8"/>
  </w:num>
  <w:num w:numId="3">
    <w:abstractNumId w:val="5"/>
  </w:num>
  <w:num w:numId="4">
    <w:abstractNumId w:val="7"/>
  </w:num>
  <w:num w:numId="5">
    <w:abstractNumId w:val="1"/>
  </w:num>
  <w:num w:numId="6">
    <w:abstractNumId w:val="4"/>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YTc5Yzk4OWZiYjlkZTJjMGM4ZDk3ZmQ3YmUzMzUifQ=="/>
  </w:docVars>
  <w:rsids>
    <w:rsidRoot w:val="007B41BE"/>
    <w:rsid w:val="00006760"/>
    <w:rsid w:val="000200EE"/>
    <w:rsid w:val="000203E8"/>
    <w:rsid w:val="00045DD4"/>
    <w:rsid w:val="0005034D"/>
    <w:rsid w:val="000575F8"/>
    <w:rsid w:val="00065906"/>
    <w:rsid w:val="00066DD9"/>
    <w:rsid w:val="00097A2E"/>
    <w:rsid w:val="000C1007"/>
    <w:rsid w:val="000C11E0"/>
    <w:rsid w:val="000C2710"/>
    <w:rsid w:val="000C3300"/>
    <w:rsid w:val="000D396E"/>
    <w:rsid w:val="000F25B4"/>
    <w:rsid w:val="00110596"/>
    <w:rsid w:val="001251F8"/>
    <w:rsid w:val="00125E20"/>
    <w:rsid w:val="00130BF3"/>
    <w:rsid w:val="00167058"/>
    <w:rsid w:val="00181CAA"/>
    <w:rsid w:val="00182C71"/>
    <w:rsid w:val="00183793"/>
    <w:rsid w:val="00187576"/>
    <w:rsid w:val="001B0E2F"/>
    <w:rsid w:val="001B2E57"/>
    <w:rsid w:val="001E15A9"/>
    <w:rsid w:val="001E4598"/>
    <w:rsid w:val="001F2BBB"/>
    <w:rsid w:val="001F5481"/>
    <w:rsid w:val="001F6495"/>
    <w:rsid w:val="002421A8"/>
    <w:rsid w:val="0025797E"/>
    <w:rsid w:val="002D52AB"/>
    <w:rsid w:val="002E5CB1"/>
    <w:rsid w:val="00311F04"/>
    <w:rsid w:val="003334D9"/>
    <w:rsid w:val="003336CD"/>
    <w:rsid w:val="00334C0A"/>
    <w:rsid w:val="00336AA3"/>
    <w:rsid w:val="00337B82"/>
    <w:rsid w:val="003612C7"/>
    <w:rsid w:val="00384757"/>
    <w:rsid w:val="0039283C"/>
    <w:rsid w:val="003B59E5"/>
    <w:rsid w:val="003D1FFA"/>
    <w:rsid w:val="003F68A7"/>
    <w:rsid w:val="00401F97"/>
    <w:rsid w:val="00402E53"/>
    <w:rsid w:val="00406625"/>
    <w:rsid w:val="0042507D"/>
    <w:rsid w:val="004370EC"/>
    <w:rsid w:val="004424B8"/>
    <w:rsid w:val="00446531"/>
    <w:rsid w:val="004B295D"/>
    <w:rsid w:val="004B7FD7"/>
    <w:rsid w:val="0050177A"/>
    <w:rsid w:val="005036DB"/>
    <w:rsid w:val="00512E60"/>
    <w:rsid w:val="0054677E"/>
    <w:rsid w:val="0057102B"/>
    <w:rsid w:val="005866FB"/>
    <w:rsid w:val="00596B7C"/>
    <w:rsid w:val="005971D5"/>
    <w:rsid w:val="005A6E10"/>
    <w:rsid w:val="005B4070"/>
    <w:rsid w:val="005C212B"/>
    <w:rsid w:val="005D6AF6"/>
    <w:rsid w:val="005E213C"/>
    <w:rsid w:val="006036EF"/>
    <w:rsid w:val="00610C74"/>
    <w:rsid w:val="0064252D"/>
    <w:rsid w:val="00643C58"/>
    <w:rsid w:val="006505AC"/>
    <w:rsid w:val="006646E8"/>
    <w:rsid w:val="00673B83"/>
    <w:rsid w:val="00680BFD"/>
    <w:rsid w:val="006B3E27"/>
    <w:rsid w:val="006B3FAD"/>
    <w:rsid w:val="006B6B0D"/>
    <w:rsid w:val="006F0524"/>
    <w:rsid w:val="006F3576"/>
    <w:rsid w:val="006F3618"/>
    <w:rsid w:val="006F7585"/>
    <w:rsid w:val="00711AAA"/>
    <w:rsid w:val="007221B0"/>
    <w:rsid w:val="00723F79"/>
    <w:rsid w:val="0073229B"/>
    <w:rsid w:val="00741509"/>
    <w:rsid w:val="00754E78"/>
    <w:rsid w:val="007559B1"/>
    <w:rsid w:val="00780EC8"/>
    <w:rsid w:val="007818C6"/>
    <w:rsid w:val="00792743"/>
    <w:rsid w:val="007A2254"/>
    <w:rsid w:val="007B41BE"/>
    <w:rsid w:val="007B681B"/>
    <w:rsid w:val="007D6D06"/>
    <w:rsid w:val="007E7A91"/>
    <w:rsid w:val="00814895"/>
    <w:rsid w:val="00835C9E"/>
    <w:rsid w:val="00867BE4"/>
    <w:rsid w:val="0087155F"/>
    <w:rsid w:val="0089357A"/>
    <w:rsid w:val="008B4D33"/>
    <w:rsid w:val="008C0453"/>
    <w:rsid w:val="008C17B4"/>
    <w:rsid w:val="008D2515"/>
    <w:rsid w:val="008E4AD1"/>
    <w:rsid w:val="008E6970"/>
    <w:rsid w:val="00903FDD"/>
    <w:rsid w:val="009073B4"/>
    <w:rsid w:val="00920E49"/>
    <w:rsid w:val="00932246"/>
    <w:rsid w:val="0093717E"/>
    <w:rsid w:val="00946E58"/>
    <w:rsid w:val="00956BEA"/>
    <w:rsid w:val="00970F50"/>
    <w:rsid w:val="00973342"/>
    <w:rsid w:val="00973426"/>
    <w:rsid w:val="00974ECF"/>
    <w:rsid w:val="00976FEB"/>
    <w:rsid w:val="00991949"/>
    <w:rsid w:val="0099693E"/>
    <w:rsid w:val="009A704D"/>
    <w:rsid w:val="009B31A4"/>
    <w:rsid w:val="009C6B79"/>
    <w:rsid w:val="009E5CE6"/>
    <w:rsid w:val="009F42AF"/>
    <w:rsid w:val="00A0387A"/>
    <w:rsid w:val="00A0619D"/>
    <w:rsid w:val="00A20AF3"/>
    <w:rsid w:val="00A23729"/>
    <w:rsid w:val="00A23855"/>
    <w:rsid w:val="00A25292"/>
    <w:rsid w:val="00A2579D"/>
    <w:rsid w:val="00A50D34"/>
    <w:rsid w:val="00A61F9D"/>
    <w:rsid w:val="00A64E29"/>
    <w:rsid w:val="00A73704"/>
    <w:rsid w:val="00A75B4E"/>
    <w:rsid w:val="00AB3825"/>
    <w:rsid w:val="00AB3C5E"/>
    <w:rsid w:val="00AD3DEE"/>
    <w:rsid w:val="00AD558A"/>
    <w:rsid w:val="00AD6716"/>
    <w:rsid w:val="00B063FE"/>
    <w:rsid w:val="00B5238B"/>
    <w:rsid w:val="00B618B7"/>
    <w:rsid w:val="00B93B5C"/>
    <w:rsid w:val="00B96354"/>
    <w:rsid w:val="00BC7B91"/>
    <w:rsid w:val="00BD094F"/>
    <w:rsid w:val="00BE1732"/>
    <w:rsid w:val="00BE18EA"/>
    <w:rsid w:val="00BE216D"/>
    <w:rsid w:val="00C027C1"/>
    <w:rsid w:val="00C029A8"/>
    <w:rsid w:val="00C267C0"/>
    <w:rsid w:val="00C32C1E"/>
    <w:rsid w:val="00C408D3"/>
    <w:rsid w:val="00C81F53"/>
    <w:rsid w:val="00C82C8A"/>
    <w:rsid w:val="00C85C2C"/>
    <w:rsid w:val="00C8621B"/>
    <w:rsid w:val="00C97BEE"/>
    <w:rsid w:val="00CC3A7D"/>
    <w:rsid w:val="00CD156B"/>
    <w:rsid w:val="00D3345F"/>
    <w:rsid w:val="00D4095E"/>
    <w:rsid w:val="00D75B45"/>
    <w:rsid w:val="00D84E64"/>
    <w:rsid w:val="00D955EF"/>
    <w:rsid w:val="00DB04C6"/>
    <w:rsid w:val="00DB794A"/>
    <w:rsid w:val="00E10B09"/>
    <w:rsid w:val="00E22EAB"/>
    <w:rsid w:val="00E457F6"/>
    <w:rsid w:val="00E638F3"/>
    <w:rsid w:val="00E860B9"/>
    <w:rsid w:val="00EB4ADC"/>
    <w:rsid w:val="00EB6530"/>
    <w:rsid w:val="00EC014E"/>
    <w:rsid w:val="00F0245E"/>
    <w:rsid w:val="00F209FD"/>
    <w:rsid w:val="00F235D8"/>
    <w:rsid w:val="00F30F7B"/>
    <w:rsid w:val="00F40301"/>
    <w:rsid w:val="00F6340F"/>
    <w:rsid w:val="00F748E6"/>
    <w:rsid w:val="00F75585"/>
    <w:rsid w:val="00F852CE"/>
    <w:rsid w:val="00FA5926"/>
    <w:rsid w:val="00FC5596"/>
    <w:rsid w:val="020B179C"/>
    <w:rsid w:val="031900F7"/>
    <w:rsid w:val="03402C79"/>
    <w:rsid w:val="03A76AB8"/>
    <w:rsid w:val="05935ABA"/>
    <w:rsid w:val="072F44E3"/>
    <w:rsid w:val="09E473E6"/>
    <w:rsid w:val="09F33618"/>
    <w:rsid w:val="0AD97A14"/>
    <w:rsid w:val="0D75742F"/>
    <w:rsid w:val="0E5D45B7"/>
    <w:rsid w:val="0F7245FC"/>
    <w:rsid w:val="0F7E4AB5"/>
    <w:rsid w:val="0FAE54E2"/>
    <w:rsid w:val="0FEF45D8"/>
    <w:rsid w:val="11E8746F"/>
    <w:rsid w:val="145E3082"/>
    <w:rsid w:val="14767A40"/>
    <w:rsid w:val="14D34591"/>
    <w:rsid w:val="174412BF"/>
    <w:rsid w:val="175333A0"/>
    <w:rsid w:val="18151F96"/>
    <w:rsid w:val="181C07FE"/>
    <w:rsid w:val="1826340E"/>
    <w:rsid w:val="182B34D2"/>
    <w:rsid w:val="186A473F"/>
    <w:rsid w:val="19CF0419"/>
    <w:rsid w:val="1A2F4635"/>
    <w:rsid w:val="1AD03189"/>
    <w:rsid w:val="1BEE7C72"/>
    <w:rsid w:val="1D33710C"/>
    <w:rsid w:val="1E486D96"/>
    <w:rsid w:val="1EBA5A37"/>
    <w:rsid w:val="1F707B1F"/>
    <w:rsid w:val="20891F5C"/>
    <w:rsid w:val="20F61AF0"/>
    <w:rsid w:val="22056407"/>
    <w:rsid w:val="234E1484"/>
    <w:rsid w:val="246A7AAE"/>
    <w:rsid w:val="24870598"/>
    <w:rsid w:val="24A972CC"/>
    <w:rsid w:val="25B17FBF"/>
    <w:rsid w:val="281173C0"/>
    <w:rsid w:val="28790229"/>
    <w:rsid w:val="29114A08"/>
    <w:rsid w:val="295E4093"/>
    <w:rsid w:val="29C01785"/>
    <w:rsid w:val="29DF00DA"/>
    <w:rsid w:val="29EB7BA2"/>
    <w:rsid w:val="2A880A7B"/>
    <w:rsid w:val="2D4A2837"/>
    <w:rsid w:val="2DC4660F"/>
    <w:rsid w:val="2ECB3C68"/>
    <w:rsid w:val="2F2023F3"/>
    <w:rsid w:val="2FF76494"/>
    <w:rsid w:val="305A5F33"/>
    <w:rsid w:val="30997F39"/>
    <w:rsid w:val="30C54474"/>
    <w:rsid w:val="31FF20E0"/>
    <w:rsid w:val="323D4A7D"/>
    <w:rsid w:val="32BF3509"/>
    <w:rsid w:val="334A1BAF"/>
    <w:rsid w:val="37114C27"/>
    <w:rsid w:val="375D203C"/>
    <w:rsid w:val="38026A6F"/>
    <w:rsid w:val="383233C5"/>
    <w:rsid w:val="39C15447"/>
    <w:rsid w:val="3A493C25"/>
    <w:rsid w:val="3CB41A48"/>
    <w:rsid w:val="3D60411F"/>
    <w:rsid w:val="3D836233"/>
    <w:rsid w:val="3DB51D43"/>
    <w:rsid w:val="3EFC6F26"/>
    <w:rsid w:val="40354679"/>
    <w:rsid w:val="4146521C"/>
    <w:rsid w:val="41590705"/>
    <w:rsid w:val="41E657FF"/>
    <w:rsid w:val="424340DD"/>
    <w:rsid w:val="47257089"/>
    <w:rsid w:val="48523C0A"/>
    <w:rsid w:val="4B3F6B82"/>
    <w:rsid w:val="4B6B7860"/>
    <w:rsid w:val="4C5322C9"/>
    <w:rsid w:val="4E6C325B"/>
    <w:rsid w:val="4F590E33"/>
    <w:rsid w:val="50AF5D81"/>
    <w:rsid w:val="51A44F19"/>
    <w:rsid w:val="531A1076"/>
    <w:rsid w:val="5325169E"/>
    <w:rsid w:val="53C53EA9"/>
    <w:rsid w:val="53F92C98"/>
    <w:rsid w:val="54517D85"/>
    <w:rsid w:val="548F1668"/>
    <w:rsid w:val="550B566B"/>
    <w:rsid w:val="565551B0"/>
    <w:rsid w:val="5720275D"/>
    <w:rsid w:val="58442460"/>
    <w:rsid w:val="59C9560C"/>
    <w:rsid w:val="5A3763F9"/>
    <w:rsid w:val="5CDF456F"/>
    <w:rsid w:val="5D572C78"/>
    <w:rsid w:val="5F2F6E7D"/>
    <w:rsid w:val="5F4B72E8"/>
    <w:rsid w:val="5F7222F9"/>
    <w:rsid w:val="61112785"/>
    <w:rsid w:val="624B591B"/>
    <w:rsid w:val="631F3C14"/>
    <w:rsid w:val="63416D0D"/>
    <w:rsid w:val="63C139AA"/>
    <w:rsid w:val="6432286F"/>
    <w:rsid w:val="653505E7"/>
    <w:rsid w:val="674D36E2"/>
    <w:rsid w:val="6C7621DF"/>
    <w:rsid w:val="6C787452"/>
    <w:rsid w:val="6CEF4F0F"/>
    <w:rsid w:val="6D06067F"/>
    <w:rsid w:val="6DAB59DE"/>
    <w:rsid w:val="6E076709"/>
    <w:rsid w:val="72291626"/>
    <w:rsid w:val="73CC483B"/>
    <w:rsid w:val="73D177F0"/>
    <w:rsid w:val="7453487C"/>
    <w:rsid w:val="76E370FF"/>
    <w:rsid w:val="77904A82"/>
    <w:rsid w:val="77E331DB"/>
    <w:rsid w:val="79493DB4"/>
    <w:rsid w:val="795C7E8F"/>
    <w:rsid w:val="7ADC31A8"/>
    <w:rsid w:val="7C4B759C"/>
    <w:rsid w:val="7EFB1C64"/>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4"/>
    <w:qFormat/>
    <w:uiPriority w:val="0"/>
    <w:pPr>
      <w:keepNext/>
      <w:keepLines/>
      <w:spacing w:after="120" w:line="360" w:lineRule="auto"/>
      <w:outlineLvl w:val="0"/>
    </w:pPr>
    <w:rPr>
      <w:kern w:val="44"/>
      <w:sz w:val="28"/>
      <w:szCs w:val="28"/>
    </w:rPr>
  </w:style>
  <w:style w:type="paragraph" w:styleId="4">
    <w:name w:val="heading 2"/>
    <w:basedOn w:val="1"/>
    <w:next w:val="5"/>
    <w:link w:val="76"/>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77"/>
    <w:qFormat/>
    <w:uiPriority w:val="0"/>
    <w:pPr>
      <w:widowControl/>
      <w:spacing w:before="100" w:beforeAutospacing="1" w:after="100" w:afterAutospacing="1"/>
      <w:jc w:val="left"/>
      <w:outlineLvl w:val="2"/>
    </w:pPr>
    <w:rPr>
      <w:rFonts w:ascii="宋体" w:hAnsi="宋体" w:cs="宋体"/>
      <w:kern w:val="0"/>
      <w:sz w:val="27"/>
      <w:szCs w:val="27"/>
    </w:rPr>
  </w:style>
  <w:style w:type="paragraph" w:styleId="7">
    <w:name w:val="heading 4"/>
    <w:basedOn w:val="6"/>
    <w:next w:val="5"/>
    <w:link w:val="78"/>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8">
    <w:name w:val="heading 5"/>
    <w:basedOn w:val="7"/>
    <w:next w:val="5"/>
    <w:link w:val="79"/>
    <w:qFormat/>
    <w:uiPriority w:val="0"/>
    <w:pPr>
      <w:numPr>
        <w:ilvl w:val="4"/>
      </w:numPr>
      <w:spacing w:line="240" w:lineRule="exact"/>
      <w:outlineLvl w:val="4"/>
    </w:pPr>
  </w:style>
  <w:style w:type="paragraph" w:styleId="9">
    <w:name w:val="heading 6"/>
    <w:basedOn w:val="1"/>
    <w:next w:val="1"/>
    <w:link w:val="80"/>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5"/>
    <w:link w:val="81"/>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1">
    <w:name w:val="heading 8"/>
    <w:basedOn w:val="1"/>
    <w:next w:val="5"/>
    <w:link w:val="8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5"/>
    <w:link w:val="83"/>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0"/>
    <w:qFormat/>
    <w:uiPriority w:val="0"/>
    <w:rPr>
      <w:rFonts w:ascii="宋体" w:hAnsi="Courier New"/>
      <w:szCs w:val="20"/>
    </w:rPr>
  </w:style>
  <w:style w:type="paragraph" w:styleId="5">
    <w:name w:val="Normal Indent"/>
    <w:basedOn w:val="1"/>
    <w:link w:val="75"/>
    <w:qFormat/>
    <w:uiPriority w:val="0"/>
    <w:pPr>
      <w:ind w:firstLine="420"/>
    </w:pPr>
    <w:rPr>
      <w:rFonts w:ascii="Times New Roman" w:hAnsi="Times New Roman"/>
      <w:szCs w:val="20"/>
    </w:rPr>
  </w:style>
  <w:style w:type="paragraph" w:styleId="13">
    <w:name w:val="List 3"/>
    <w:basedOn w:val="1"/>
    <w:qFormat/>
    <w:uiPriority w:val="0"/>
    <w:pPr>
      <w:ind w:left="1260" w:hanging="420"/>
    </w:pPr>
    <w:rPr>
      <w:rFonts w:ascii="Times New Roman" w:hAnsi="Times New Roman"/>
      <w:szCs w:val="20"/>
    </w:rPr>
  </w:style>
  <w:style w:type="paragraph" w:styleId="14">
    <w:name w:val="toc 7"/>
    <w:basedOn w:val="1"/>
    <w:next w:val="1"/>
    <w:qFormat/>
    <w:uiPriority w:val="39"/>
    <w:pPr>
      <w:ind w:left="2520" w:leftChars="1200"/>
    </w:pPr>
    <w:rPr>
      <w:rFonts w:ascii="Times New Roman" w:hAnsi="Times New Roman"/>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7"/>
    <w:qFormat/>
    <w:uiPriority w:val="0"/>
    <w:pPr>
      <w:widowControl/>
      <w:overflowPunct w:val="0"/>
      <w:autoSpaceDE w:val="0"/>
      <w:autoSpaceDN w:val="0"/>
      <w:spacing w:after="160" w:line="340" w:lineRule="exact"/>
      <w:ind w:left="0" w:firstLine="0"/>
      <w:jc w:val="both"/>
      <w:textAlignment w:val="baseline"/>
    </w:pPr>
    <w:rPr>
      <w:rFonts w:hint="default" w:ascii="Arial Narrow" w:hAnsi="Arial Narrow" w:cs="Arial Narrow"/>
      <w:sz w:val="22"/>
      <w:szCs w:val="22"/>
      <w:lang w:val="de-DE" w:eastAsia="de-DE"/>
    </w:rPr>
  </w:style>
  <w:style w:type="paragraph" w:styleId="17">
    <w:name w:val="List"/>
    <w:basedOn w:val="1"/>
    <w:qFormat/>
    <w:uiPriority w:val="0"/>
    <w:pPr>
      <w:adjustRightInd w:val="0"/>
      <w:spacing w:line="360" w:lineRule="atLeast"/>
      <w:ind w:left="420" w:hanging="420"/>
      <w:jc w:val="left"/>
    </w:pPr>
    <w:rPr>
      <w:rFonts w:hint="eastAsia" w:ascii="宋体" w:hAnsi="Times New Roman"/>
      <w:kern w:val="0"/>
      <w:sz w:val="24"/>
      <w:szCs w:val="20"/>
    </w:rPr>
  </w:style>
  <w:style w:type="paragraph" w:styleId="18">
    <w:name w:val="Document Map"/>
    <w:basedOn w:val="1"/>
    <w:link w:val="84"/>
    <w:qFormat/>
    <w:uiPriority w:val="0"/>
    <w:pPr>
      <w:shd w:val="clear" w:color="auto" w:fill="000080"/>
    </w:pPr>
    <w:rPr>
      <w:rFonts w:ascii="Times New Roman" w:hAnsi="Times New Roman"/>
      <w:szCs w:val="20"/>
    </w:rPr>
  </w:style>
  <w:style w:type="paragraph" w:styleId="19">
    <w:name w:val="toa heading"/>
    <w:basedOn w:val="1"/>
    <w:next w:val="1"/>
    <w:qFormat/>
    <w:uiPriority w:val="99"/>
    <w:pPr>
      <w:spacing w:before="120"/>
    </w:pPr>
    <w:rPr>
      <w:rFonts w:ascii="Arial" w:hAnsi="Arial" w:cs="Arial"/>
      <w:sz w:val="24"/>
      <w:szCs w:val="24"/>
    </w:rPr>
  </w:style>
  <w:style w:type="paragraph" w:styleId="20">
    <w:name w:val="annotation text"/>
    <w:basedOn w:val="1"/>
    <w:link w:val="85"/>
    <w:qFormat/>
    <w:uiPriority w:val="0"/>
    <w:pPr>
      <w:spacing w:line="360" w:lineRule="auto"/>
      <w:ind w:firstLine="523" w:firstLineChars="218"/>
      <w:jc w:val="left"/>
    </w:pPr>
    <w:rPr>
      <w:rFonts w:ascii="宋体" w:hAnsi="宋体"/>
      <w:sz w:val="24"/>
      <w:szCs w:val="24"/>
    </w:rPr>
  </w:style>
  <w:style w:type="paragraph" w:styleId="21">
    <w:name w:val="Salutation"/>
    <w:basedOn w:val="1"/>
    <w:next w:val="1"/>
    <w:link w:val="275"/>
    <w:unhideWhenUsed/>
    <w:qFormat/>
    <w:uiPriority w:val="0"/>
    <w:rPr>
      <w:rFonts w:ascii="Times New Roman" w:hAnsi="Times New Roman"/>
      <w:kern w:val="0"/>
      <w:sz w:val="30"/>
      <w:szCs w:val="20"/>
    </w:rPr>
  </w:style>
  <w:style w:type="paragraph" w:styleId="22">
    <w:name w:val="Body Text 3"/>
    <w:basedOn w:val="1"/>
    <w:link w:val="145"/>
    <w:qFormat/>
    <w:uiPriority w:val="0"/>
    <w:rPr>
      <w:rFonts w:ascii="宋体" w:hAnsi="宋体"/>
      <w:szCs w:val="20"/>
      <w:u w:val="single"/>
      <w:bdr w:val="single" w:color="auto" w:sz="4" w:space="0"/>
    </w:rPr>
  </w:style>
  <w:style w:type="paragraph" w:styleId="23">
    <w:name w:val="Body Text"/>
    <w:basedOn w:val="1"/>
    <w:link w:val="72"/>
    <w:qFormat/>
    <w:uiPriority w:val="0"/>
    <w:pPr>
      <w:spacing w:after="120"/>
    </w:pPr>
    <w:rPr>
      <w:rFonts w:ascii="Times New Roman" w:hAnsi="Times New Roman"/>
      <w:szCs w:val="20"/>
    </w:rPr>
  </w:style>
  <w:style w:type="paragraph" w:styleId="24">
    <w:name w:val="Body Text Indent"/>
    <w:basedOn w:val="1"/>
    <w:next w:val="25"/>
    <w:link w:val="86"/>
    <w:qFormat/>
    <w:uiPriority w:val="0"/>
    <w:pPr>
      <w:ind w:firstLine="570"/>
    </w:pPr>
    <w:rPr>
      <w:rFonts w:ascii="Times New Roman" w:hAnsi="Times New Roman"/>
      <w:sz w:val="28"/>
      <w:szCs w:val="20"/>
    </w:rPr>
  </w:style>
  <w:style w:type="paragraph" w:styleId="25">
    <w:name w:val="envelope return"/>
    <w:basedOn w:val="1"/>
    <w:qFormat/>
    <w:uiPriority w:val="0"/>
    <w:pPr>
      <w:snapToGrid w:val="0"/>
    </w:pPr>
    <w:rPr>
      <w:rFonts w:ascii="Arial" w:hAnsi="Arial" w:eastAsia="宋体" w:cs="Times New Roman"/>
      <w:szCs w:val="24"/>
      <w:lang w:bidi="ar-SA"/>
    </w:rPr>
  </w:style>
  <w:style w:type="paragraph" w:styleId="26">
    <w:name w:val="List 2"/>
    <w:basedOn w:val="1"/>
    <w:qFormat/>
    <w:uiPriority w:val="0"/>
    <w:pPr>
      <w:jc w:val="center"/>
    </w:pPr>
    <w:rPr>
      <w:rFonts w:ascii="宋体" w:hAnsi="Times New Roman"/>
      <w:sz w:val="24"/>
      <w:szCs w:val="20"/>
    </w:rPr>
  </w:style>
  <w:style w:type="paragraph" w:styleId="27">
    <w:name w:val="Block Text"/>
    <w:basedOn w:val="1"/>
    <w:qFormat/>
    <w:uiPriority w:val="99"/>
    <w:pPr>
      <w:spacing w:line="360" w:lineRule="auto"/>
      <w:ind w:left="351" w:right="176" w:firstLine="643" w:firstLineChars="200"/>
      <w:jc w:val="center"/>
    </w:pPr>
    <w:rPr>
      <w:rFonts w:ascii="Times New Roman" w:hAnsi="Times New Roman"/>
      <w:b/>
      <w:bCs/>
      <w:sz w:val="32"/>
      <w:szCs w:val="24"/>
    </w:rPr>
  </w:style>
  <w:style w:type="paragraph" w:styleId="28">
    <w:name w:val="toc 5"/>
    <w:basedOn w:val="1"/>
    <w:next w:val="1"/>
    <w:qFormat/>
    <w:uiPriority w:val="39"/>
    <w:pPr>
      <w:ind w:left="1680" w:leftChars="800"/>
    </w:pPr>
    <w:rPr>
      <w:rFonts w:ascii="Times New Roman" w:hAnsi="Times New Roman"/>
      <w:szCs w:val="20"/>
    </w:rPr>
  </w:style>
  <w:style w:type="paragraph" w:styleId="2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30">
    <w:name w:val="toc 8"/>
    <w:basedOn w:val="1"/>
    <w:next w:val="1"/>
    <w:qFormat/>
    <w:uiPriority w:val="39"/>
    <w:pPr>
      <w:ind w:left="2940" w:leftChars="1400"/>
    </w:pPr>
    <w:rPr>
      <w:rFonts w:ascii="Times New Roman" w:hAnsi="Times New Roman"/>
      <w:szCs w:val="20"/>
    </w:rPr>
  </w:style>
  <w:style w:type="paragraph" w:styleId="31">
    <w:name w:val="Date"/>
    <w:basedOn w:val="1"/>
    <w:next w:val="1"/>
    <w:link w:val="87"/>
    <w:qFormat/>
    <w:uiPriority w:val="0"/>
    <w:rPr>
      <w:rFonts w:ascii="Times New Roman" w:hAnsi="Times New Roman"/>
      <w:szCs w:val="20"/>
    </w:rPr>
  </w:style>
  <w:style w:type="paragraph" w:styleId="32">
    <w:name w:val="Body Text Indent 2"/>
    <w:basedOn w:val="1"/>
    <w:link w:val="88"/>
    <w:qFormat/>
    <w:uiPriority w:val="0"/>
    <w:pPr>
      <w:spacing w:line="400" w:lineRule="exact"/>
      <w:ind w:left="425"/>
    </w:pPr>
    <w:rPr>
      <w:rFonts w:ascii="Times New Roman" w:hAnsi="Times New Roman"/>
      <w:color w:val="000000"/>
      <w:sz w:val="24"/>
      <w:szCs w:val="20"/>
    </w:rPr>
  </w:style>
  <w:style w:type="paragraph" w:styleId="33">
    <w:name w:val="endnote text"/>
    <w:basedOn w:val="1"/>
    <w:link w:val="89"/>
    <w:qFormat/>
    <w:uiPriority w:val="0"/>
    <w:pPr>
      <w:snapToGrid w:val="0"/>
      <w:jc w:val="left"/>
    </w:pPr>
    <w:rPr>
      <w:rFonts w:ascii="Times New Roman" w:hAnsi="Times New Roman"/>
      <w:szCs w:val="20"/>
    </w:rPr>
  </w:style>
  <w:style w:type="paragraph" w:styleId="34">
    <w:name w:val="Balloon Text"/>
    <w:basedOn w:val="1"/>
    <w:link w:val="90"/>
    <w:qFormat/>
    <w:uiPriority w:val="0"/>
    <w:rPr>
      <w:rFonts w:ascii="Times New Roman" w:hAnsi="Times New Roman"/>
      <w:sz w:val="18"/>
      <w:szCs w:val="18"/>
    </w:rPr>
  </w:style>
  <w:style w:type="paragraph" w:styleId="35">
    <w:name w:val="footer"/>
    <w:basedOn w:val="1"/>
    <w:link w:val="91"/>
    <w:unhideWhenUsed/>
    <w:qFormat/>
    <w:uiPriority w:val="99"/>
    <w:pPr>
      <w:tabs>
        <w:tab w:val="center" w:pos="4153"/>
        <w:tab w:val="right" w:pos="8306"/>
      </w:tabs>
      <w:snapToGrid w:val="0"/>
      <w:jc w:val="left"/>
    </w:pPr>
    <w:rPr>
      <w:sz w:val="18"/>
      <w:szCs w:val="18"/>
    </w:rPr>
  </w:style>
  <w:style w:type="paragraph" w:styleId="36">
    <w:name w:val="header"/>
    <w:basedOn w:val="1"/>
    <w:link w:val="92"/>
    <w:unhideWhenUsed/>
    <w:qFormat/>
    <w:uiPriority w:val="99"/>
    <w:pPr>
      <w:pBdr>
        <w:bottom w:val="single" w:color="auto" w:sz="6" w:space="1"/>
      </w:pBdr>
      <w:tabs>
        <w:tab w:val="center" w:pos="4153"/>
        <w:tab w:val="right" w:pos="8306"/>
      </w:tabs>
      <w:snapToGrid w:val="0"/>
      <w:jc w:val="center"/>
    </w:pPr>
    <w:rPr>
      <w:sz w:val="18"/>
      <w:szCs w:val="18"/>
    </w:rPr>
  </w:style>
  <w:style w:type="paragraph" w:styleId="37">
    <w:name w:val="Signature"/>
    <w:basedOn w:val="1"/>
    <w:link w:val="277"/>
    <w:qFormat/>
    <w:uiPriority w:val="0"/>
    <w:pPr>
      <w:widowControl/>
      <w:overflowPunct w:val="0"/>
      <w:autoSpaceDE w:val="0"/>
      <w:autoSpaceDN w:val="0"/>
      <w:adjustRightInd w:val="0"/>
      <w:spacing w:after="120" w:line="360" w:lineRule="auto"/>
      <w:textAlignment w:val="baseline"/>
    </w:pPr>
    <w:rPr>
      <w:rFonts w:ascii="Wund" w:hAnsi="Wund"/>
      <w:kern w:val="0"/>
      <w:sz w:val="22"/>
      <w:szCs w:val="20"/>
      <w:lang w:val="de-DE" w:eastAsia="de-DE"/>
    </w:rPr>
  </w:style>
  <w:style w:type="paragraph" w:styleId="3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9">
    <w:name w:val="toc 4"/>
    <w:basedOn w:val="1"/>
    <w:next w:val="1"/>
    <w:qFormat/>
    <w:uiPriority w:val="39"/>
    <w:pPr>
      <w:ind w:left="1260" w:leftChars="600"/>
    </w:pPr>
    <w:rPr>
      <w:rFonts w:ascii="Times New Roman" w:hAnsi="Times New Roman"/>
      <w:szCs w:val="20"/>
    </w:rPr>
  </w:style>
  <w:style w:type="paragraph" w:styleId="40">
    <w:name w:val="Subtitle"/>
    <w:basedOn w:val="41"/>
    <w:next w:val="23"/>
    <w:link w:val="279"/>
    <w:qFormat/>
    <w:uiPriority w:val="0"/>
    <w:pPr>
      <w:keepLines/>
      <w:widowControl/>
      <w:overflowPunct w:val="0"/>
      <w:autoSpaceDE w:val="0"/>
      <w:autoSpaceDN w:val="0"/>
      <w:adjustRightInd w:val="0"/>
      <w:spacing w:before="360" w:after="240" w:line="360" w:lineRule="auto"/>
      <w:textAlignment w:val="baseline"/>
    </w:pPr>
    <w:rPr>
      <w:rFonts w:ascii="Cambria" w:hAnsi="Cambria"/>
      <w:bCs/>
      <w:kern w:val="28"/>
      <w:sz w:val="32"/>
      <w:szCs w:val="32"/>
      <w:lang w:val="de-DE" w:eastAsia="de-DE"/>
    </w:rPr>
  </w:style>
  <w:style w:type="paragraph" w:styleId="41">
    <w:name w:val="Title"/>
    <w:basedOn w:val="1"/>
    <w:link w:val="71"/>
    <w:qFormat/>
    <w:uiPriority w:val="0"/>
    <w:pPr>
      <w:spacing w:before="120" w:after="60"/>
      <w:jc w:val="center"/>
    </w:pPr>
    <w:rPr>
      <w:rFonts w:ascii="Arial" w:hAnsi="Arial"/>
      <w:b/>
      <w:sz w:val="44"/>
      <w:szCs w:val="20"/>
    </w:rPr>
  </w:style>
  <w:style w:type="paragraph" w:styleId="42">
    <w:name w:val="footnote text"/>
    <w:basedOn w:val="1"/>
    <w:link w:val="93"/>
    <w:qFormat/>
    <w:uiPriority w:val="0"/>
    <w:pPr>
      <w:snapToGrid w:val="0"/>
      <w:spacing w:line="360" w:lineRule="auto"/>
      <w:ind w:firstLine="523" w:firstLineChars="218"/>
      <w:jc w:val="left"/>
    </w:pPr>
    <w:rPr>
      <w:rFonts w:ascii="宋体" w:hAnsi="宋体"/>
      <w:sz w:val="18"/>
      <w:szCs w:val="18"/>
    </w:rPr>
  </w:style>
  <w:style w:type="paragraph" w:styleId="43">
    <w:name w:val="toc 6"/>
    <w:basedOn w:val="1"/>
    <w:next w:val="1"/>
    <w:qFormat/>
    <w:uiPriority w:val="39"/>
    <w:pPr>
      <w:ind w:left="2100" w:leftChars="1000"/>
    </w:pPr>
    <w:rPr>
      <w:rFonts w:ascii="Times New Roman" w:hAnsi="Times New Roman"/>
      <w:szCs w:val="20"/>
    </w:rPr>
  </w:style>
  <w:style w:type="paragraph" w:styleId="44">
    <w:name w:val="Body Text Indent 3"/>
    <w:basedOn w:val="1"/>
    <w:link w:val="9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45">
    <w:name w:val="table of figures"/>
    <w:basedOn w:val="1"/>
    <w:next w:val="1"/>
    <w:semiHidden/>
    <w:qFormat/>
    <w:uiPriority w:val="0"/>
    <w:pPr>
      <w:ind w:left="840" w:leftChars="200" w:hanging="420" w:hangingChars="200"/>
    </w:pPr>
    <w:rPr>
      <w:rFonts w:ascii="Times New Roman" w:hAnsi="Times New Roman"/>
      <w:szCs w:val="24"/>
    </w:rPr>
  </w:style>
  <w:style w:type="paragraph" w:styleId="46">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7">
    <w:name w:val="toc 9"/>
    <w:basedOn w:val="1"/>
    <w:next w:val="1"/>
    <w:qFormat/>
    <w:uiPriority w:val="39"/>
    <w:pPr>
      <w:ind w:left="3360" w:leftChars="1600"/>
    </w:pPr>
    <w:rPr>
      <w:rFonts w:ascii="Times New Roman" w:hAnsi="Times New Roman"/>
      <w:szCs w:val="20"/>
    </w:rPr>
  </w:style>
  <w:style w:type="paragraph" w:styleId="48">
    <w:name w:val="Body Text 2"/>
    <w:basedOn w:val="1"/>
    <w:link w:val="95"/>
    <w:qFormat/>
    <w:uiPriority w:val="0"/>
    <w:rPr>
      <w:rFonts w:ascii="宋体" w:hAnsi="宋体"/>
      <w:szCs w:val="24"/>
      <w:u w:val="single"/>
    </w:rPr>
  </w:style>
  <w:style w:type="paragraph" w:styleId="49">
    <w:name w:val="HTML Preformatted"/>
    <w:basedOn w:val="1"/>
    <w:link w:val="2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lang w:val="de-DE" w:eastAsia="de-DE"/>
    </w:rPr>
  </w:style>
  <w:style w:type="paragraph" w:styleId="50">
    <w:name w:val="Normal (Web)"/>
    <w:basedOn w:val="1"/>
    <w:qFormat/>
    <w:uiPriority w:val="0"/>
    <w:rPr>
      <w:rFonts w:ascii="Times New Roman" w:hAnsi="Times New Roman"/>
      <w:sz w:val="24"/>
    </w:rPr>
  </w:style>
  <w:style w:type="paragraph" w:styleId="51">
    <w:name w:val="index 1"/>
    <w:basedOn w:val="1"/>
    <w:next w:val="1"/>
    <w:qFormat/>
    <w:uiPriority w:val="0"/>
    <w:rPr>
      <w:rFonts w:ascii="Times New Roman" w:hAnsi="Times New Roman" w:eastAsia="仿宋_GB2312"/>
      <w:sz w:val="28"/>
      <w:szCs w:val="20"/>
    </w:rPr>
  </w:style>
  <w:style w:type="paragraph" w:styleId="52">
    <w:name w:val="annotation subject"/>
    <w:basedOn w:val="20"/>
    <w:next w:val="20"/>
    <w:link w:val="96"/>
    <w:qFormat/>
    <w:uiPriority w:val="0"/>
    <w:rPr>
      <w:b/>
      <w:bCs/>
    </w:rPr>
  </w:style>
  <w:style w:type="paragraph" w:styleId="53">
    <w:name w:val="Body Text First Indent"/>
    <w:basedOn w:val="23"/>
    <w:link w:val="73"/>
    <w:qFormat/>
    <w:uiPriority w:val="0"/>
    <w:pPr>
      <w:ind w:firstLine="420"/>
    </w:pPr>
  </w:style>
  <w:style w:type="paragraph" w:styleId="54">
    <w:name w:val="Body Text First Indent 2"/>
    <w:basedOn w:val="24"/>
    <w:link w:val="97"/>
    <w:semiHidden/>
    <w:unhideWhenUsed/>
    <w:qFormat/>
    <w:uiPriority w:val="0"/>
    <w:pPr>
      <w:spacing w:after="120"/>
      <w:ind w:left="420" w:leftChars="200" w:firstLine="420" w:firstLineChars="200"/>
    </w:pPr>
    <w:rPr>
      <w:sz w:val="21"/>
      <w:szCs w:val="22"/>
    </w:rPr>
  </w:style>
  <w:style w:type="table" w:styleId="56">
    <w:name w:val="Table Grid"/>
    <w:basedOn w:val="55"/>
    <w:qFormat/>
    <w:uiPriority w:val="3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basedOn w:val="57"/>
    <w:qFormat/>
    <w:uiPriority w:val="0"/>
    <w:rPr>
      <w:b/>
      <w:bCs/>
    </w:rPr>
  </w:style>
  <w:style w:type="character" w:styleId="59">
    <w:name w:val="endnote reference"/>
    <w:qFormat/>
    <w:uiPriority w:val="0"/>
    <w:rPr>
      <w:vertAlign w:val="superscript"/>
    </w:rPr>
  </w:style>
  <w:style w:type="character" w:styleId="60">
    <w:name w:val="page number"/>
    <w:qFormat/>
    <w:uiPriority w:val="99"/>
    <w:rPr>
      <w:rFonts w:cs="Times New Roman"/>
    </w:rPr>
  </w:style>
  <w:style w:type="character" w:styleId="61">
    <w:name w:val="FollowedHyperlink"/>
    <w:unhideWhenUsed/>
    <w:qFormat/>
    <w:uiPriority w:val="0"/>
    <w:rPr>
      <w:color w:val="954F72"/>
      <w:u w:val="single"/>
    </w:rPr>
  </w:style>
  <w:style w:type="character" w:styleId="62">
    <w:name w:val="Emphasis"/>
    <w:qFormat/>
    <w:uiPriority w:val="0"/>
    <w:rPr>
      <w:i/>
      <w:iCs/>
      <w:sz w:val="24"/>
      <w:szCs w:val="24"/>
    </w:rPr>
  </w:style>
  <w:style w:type="character" w:styleId="63">
    <w:name w:val="HTML Definition"/>
    <w:basedOn w:val="57"/>
    <w:semiHidden/>
    <w:unhideWhenUsed/>
    <w:qFormat/>
    <w:uiPriority w:val="99"/>
    <w:rPr>
      <w:i/>
      <w:iCs/>
    </w:rPr>
  </w:style>
  <w:style w:type="character" w:styleId="64">
    <w:name w:val="Hyperlink"/>
    <w:qFormat/>
    <w:uiPriority w:val="99"/>
    <w:rPr>
      <w:color w:val="0000FF"/>
      <w:u w:val="single"/>
    </w:rPr>
  </w:style>
  <w:style w:type="character" w:styleId="65">
    <w:name w:val="HTML Code"/>
    <w:basedOn w:val="57"/>
    <w:semiHidden/>
    <w:unhideWhenUsed/>
    <w:qFormat/>
    <w:uiPriority w:val="99"/>
    <w:rPr>
      <w:rFonts w:hint="default" w:ascii="Consolas" w:hAnsi="Consolas" w:eastAsia="Consolas" w:cs="Consolas"/>
      <w:color w:val="C7254E"/>
      <w:sz w:val="21"/>
      <w:szCs w:val="21"/>
      <w:bdr w:val="single" w:color="E1E1E1" w:sz="6" w:space="0"/>
      <w:shd w:val="clear" w:fill="F9F2F4"/>
    </w:rPr>
  </w:style>
  <w:style w:type="character" w:styleId="66">
    <w:name w:val="annotation reference"/>
    <w:qFormat/>
    <w:uiPriority w:val="0"/>
    <w:rPr>
      <w:sz w:val="21"/>
      <w:szCs w:val="21"/>
    </w:rPr>
  </w:style>
  <w:style w:type="character" w:styleId="67">
    <w:name w:val="footnote reference"/>
    <w:qFormat/>
    <w:uiPriority w:val="0"/>
    <w:rPr>
      <w:vertAlign w:val="superscript"/>
    </w:rPr>
  </w:style>
  <w:style w:type="character" w:styleId="68">
    <w:name w:val="HTML Keyboard"/>
    <w:basedOn w:val="57"/>
    <w:semiHidden/>
    <w:unhideWhenUsed/>
    <w:qFormat/>
    <w:uiPriority w:val="99"/>
    <w:rPr>
      <w:rFonts w:ascii="Consolas" w:hAnsi="Consolas" w:eastAsia="Consolas" w:cs="Consolas"/>
      <w:color w:val="FFFFFF"/>
      <w:sz w:val="21"/>
      <w:szCs w:val="21"/>
      <w:shd w:val="clear" w:fill="333333"/>
    </w:rPr>
  </w:style>
  <w:style w:type="character" w:styleId="69">
    <w:name w:val="HTML Sample"/>
    <w:basedOn w:val="57"/>
    <w:semiHidden/>
    <w:unhideWhenUsed/>
    <w:qFormat/>
    <w:uiPriority w:val="99"/>
    <w:rPr>
      <w:rFonts w:hint="default" w:ascii="Consolas" w:hAnsi="Consolas" w:eastAsia="Consolas" w:cs="Consolas"/>
      <w:sz w:val="21"/>
      <w:szCs w:val="21"/>
    </w:rPr>
  </w:style>
  <w:style w:type="character" w:customStyle="1" w:styleId="70">
    <w:name w:val="纯文本 Char"/>
    <w:link w:val="2"/>
    <w:qFormat/>
    <w:uiPriority w:val="0"/>
    <w:rPr>
      <w:rFonts w:ascii="宋体" w:hAnsi="Courier New" w:eastAsia="宋体" w:cs="Times New Roman"/>
      <w:szCs w:val="20"/>
    </w:rPr>
  </w:style>
  <w:style w:type="character" w:customStyle="1" w:styleId="71">
    <w:name w:val="标题 Char"/>
    <w:link w:val="41"/>
    <w:qFormat/>
    <w:uiPriority w:val="0"/>
    <w:rPr>
      <w:rFonts w:ascii="Arial" w:hAnsi="Arial" w:eastAsia="宋体" w:cs="Times New Roman"/>
      <w:b/>
      <w:sz w:val="44"/>
      <w:szCs w:val="20"/>
    </w:rPr>
  </w:style>
  <w:style w:type="character" w:customStyle="1" w:styleId="72">
    <w:name w:val="正文文本 Char"/>
    <w:link w:val="23"/>
    <w:qFormat/>
    <w:uiPriority w:val="0"/>
    <w:rPr>
      <w:rFonts w:ascii="Times New Roman" w:hAnsi="Times New Roman" w:eastAsia="宋体" w:cs="Times New Roman"/>
      <w:szCs w:val="20"/>
    </w:rPr>
  </w:style>
  <w:style w:type="character" w:customStyle="1" w:styleId="73">
    <w:name w:val="正文首行缩进 Char"/>
    <w:link w:val="53"/>
    <w:qFormat/>
    <w:uiPriority w:val="0"/>
  </w:style>
  <w:style w:type="character" w:customStyle="1" w:styleId="74">
    <w:name w:val="标题 1 Char"/>
    <w:link w:val="3"/>
    <w:qFormat/>
    <w:uiPriority w:val="0"/>
    <w:rPr>
      <w:rFonts w:ascii="Arial" w:hAnsi="Arial" w:eastAsia="宋体"/>
      <w:b/>
      <w:kern w:val="44"/>
      <w:sz w:val="28"/>
      <w:szCs w:val="28"/>
    </w:rPr>
  </w:style>
  <w:style w:type="character" w:customStyle="1" w:styleId="75">
    <w:name w:val="正文缩进 Char"/>
    <w:link w:val="5"/>
    <w:qFormat/>
    <w:locked/>
    <w:uiPriority w:val="0"/>
    <w:rPr>
      <w:rFonts w:ascii="Times New Roman" w:hAnsi="Times New Roman" w:eastAsia="宋体"/>
      <w:kern w:val="2"/>
      <w:sz w:val="21"/>
    </w:rPr>
  </w:style>
  <w:style w:type="character" w:customStyle="1" w:styleId="76">
    <w:name w:val="标题 2 Char"/>
    <w:link w:val="4"/>
    <w:qFormat/>
    <w:uiPriority w:val="0"/>
    <w:rPr>
      <w:rFonts w:ascii="Arial" w:hAnsi="Arial" w:eastAsia="宋体" w:cs="Times New Roman"/>
      <w:b/>
      <w:color w:val="000000"/>
      <w:sz w:val="24"/>
      <w:szCs w:val="24"/>
    </w:rPr>
  </w:style>
  <w:style w:type="character" w:customStyle="1" w:styleId="77">
    <w:name w:val="标题 3 Char"/>
    <w:link w:val="6"/>
    <w:qFormat/>
    <w:uiPriority w:val="0"/>
    <w:rPr>
      <w:rFonts w:ascii="宋体" w:hAnsi="宋体" w:eastAsia="宋体" w:cs="宋体"/>
      <w:kern w:val="0"/>
      <w:sz w:val="27"/>
      <w:szCs w:val="27"/>
    </w:rPr>
  </w:style>
  <w:style w:type="character" w:customStyle="1" w:styleId="78">
    <w:name w:val="标题 4 Char"/>
    <w:link w:val="7"/>
    <w:qFormat/>
    <w:uiPriority w:val="0"/>
    <w:rPr>
      <w:rFonts w:ascii="Arial" w:hAnsi="Arial" w:eastAsia="宋体" w:cs="Times New Roman"/>
      <w:color w:val="000000"/>
      <w:szCs w:val="21"/>
    </w:rPr>
  </w:style>
  <w:style w:type="character" w:customStyle="1" w:styleId="79">
    <w:name w:val="标题 5 Char"/>
    <w:link w:val="8"/>
    <w:qFormat/>
    <w:uiPriority w:val="0"/>
    <w:rPr>
      <w:rFonts w:ascii="Arial" w:hAnsi="Arial" w:eastAsia="宋体"/>
      <w:color w:val="000000"/>
      <w:kern w:val="2"/>
      <w:sz w:val="21"/>
      <w:szCs w:val="21"/>
    </w:rPr>
  </w:style>
  <w:style w:type="character" w:customStyle="1" w:styleId="80">
    <w:name w:val="标题 6 Char"/>
    <w:link w:val="9"/>
    <w:qFormat/>
    <w:uiPriority w:val="0"/>
    <w:rPr>
      <w:rFonts w:ascii="Arial" w:hAnsi="Arial" w:eastAsia="黑体" w:cs="Times New Roman"/>
      <w:b/>
      <w:bCs/>
      <w:sz w:val="24"/>
      <w:szCs w:val="24"/>
    </w:rPr>
  </w:style>
  <w:style w:type="character" w:customStyle="1" w:styleId="81">
    <w:name w:val="标题 7 Char"/>
    <w:link w:val="10"/>
    <w:qFormat/>
    <w:uiPriority w:val="0"/>
    <w:rPr>
      <w:rFonts w:ascii="Times New Roman" w:hAnsi="Times New Roman" w:eastAsia="宋体" w:cs="Times New Roman"/>
      <w:b/>
      <w:sz w:val="24"/>
      <w:szCs w:val="20"/>
    </w:rPr>
  </w:style>
  <w:style w:type="character" w:customStyle="1" w:styleId="82">
    <w:name w:val="标题 8 Char"/>
    <w:link w:val="11"/>
    <w:qFormat/>
    <w:uiPriority w:val="0"/>
    <w:rPr>
      <w:rFonts w:ascii="Arial" w:hAnsi="Arial" w:eastAsia="黑体" w:cs="Times New Roman"/>
      <w:sz w:val="24"/>
      <w:szCs w:val="20"/>
    </w:rPr>
  </w:style>
  <w:style w:type="character" w:customStyle="1" w:styleId="83">
    <w:name w:val="标题 9 Char"/>
    <w:link w:val="12"/>
    <w:qFormat/>
    <w:uiPriority w:val="0"/>
    <w:rPr>
      <w:rFonts w:ascii="Arial" w:hAnsi="Arial" w:eastAsia="黑体" w:cs="Times New Roman"/>
      <w:szCs w:val="20"/>
    </w:rPr>
  </w:style>
  <w:style w:type="character" w:customStyle="1" w:styleId="84">
    <w:name w:val="文档结构图 Char"/>
    <w:link w:val="18"/>
    <w:qFormat/>
    <w:uiPriority w:val="0"/>
    <w:rPr>
      <w:rFonts w:ascii="Times New Roman" w:hAnsi="Times New Roman" w:eastAsia="宋体" w:cs="Times New Roman"/>
      <w:szCs w:val="20"/>
      <w:shd w:val="clear" w:color="auto" w:fill="000080"/>
    </w:rPr>
  </w:style>
  <w:style w:type="character" w:customStyle="1" w:styleId="85">
    <w:name w:val="批注文字 Char"/>
    <w:link w:val="20"/>
    <w:qFormat/>
    <w:uiPriority w:val="0"/>
    <w:rPr>
      <w:rFonts w:ascii="宋体" w:hAnsi="宋体" w:eastAsia="宋体" w:cs="Times New Roman"/>
      <w:sz w:val="24"/>
      <w:szCs w:val="24"/>
    </w:rPr>
  </w:style>
  <w:style w:type="character" w:customStyle="1" w:styleId="86">
    <w:name w:val="正文文本缩进 Char"/>
    <w:link w:val="24"/>
    <w:qFormat/>
    <w:uiPriority w:val="0"/>
    <w:rPr>
      <w:rFonts w:ascii="Times New Roman" w:hAnsi="Times New Roman" w:eastAsia="宋体" w:cs="Times New Roman"/>
      <w:sz w:val="28"/>
      <w:szCs w:val="20"/>
    </w:rPr>
  </w:style>
  <w:style w:type="character" w:customStyle="1" w:styleId="87">
    <w:name w:val="日期 Char"/>
    <w:link w:val="31"/>
    <w:qFormat/>
    <w:uiPriority w:val="0"/>
    <w:rPr>
      <w:rFonts w:ascii="Times New Roman" w:hAnsi="Times New Roman" w:eastAsia="宋体" w:cs="Times New Roman"/>
      <w:szCs w:val="20"/>
    </w:rPr>
  </w:style>
  <w:style w:type="character" w:customStyle="1" w:styleId="88">
    <w:name w:val="正文文本缩进 2 Char"/>
    <w:link w:val="32"/>
    <w:qFormat/>
    <w:uiPriority w:val="0"/>
    <w:rPr>
      <w:rFonts w:ascii="Times New Roman" w:hAnsi="Times New Roman" w:eastAsia="宋体" w:cs="Times New Roman"/>
      <w:color w:val="000000"/>
      <w:sz w:val="24"/>
      <w:szCs w:val="20"/>
    </w:rPr>
  </w:style>
  <w:style w:type="character" w:customStyle="1" w:styleId="89">
    <w:name w:val="尾注文本 Char"/>
    <w:link w:val="33"/>
    <w:qFormat/>
    <w:uiPriority w:val="0"/>
    <w:rPr>
      <w:rFonts w:ascii="Times New Roman" w:hAnsi="Times New Roman" w:eastAsia="宋体" w:cs="Times New Roman"/>
      <w:szCs w:val="20"/>
    </w:rPr>
  </w:style>
  <w:style w:type="character" w:customStyle="1" w:styleId="90">
    <w:name w:val="批注框文本 Char"/>
    <w:link w:val="34"/>
    <w:qFormat/>
    <w:uiPriority w:val="0"/>
    <w:rPr>
      <w:rFonts w:ascii="Times New Roman" w:hAnsi="Times New Roman" w:eastAsia="宋体" w:cs="Times New Roman"/>
      <w:sz w:val="18"/>
      <w:szCs w:val="18"/>
    </w:rPr>
  </w:style>
  <w:style w:type="character" w:customStyle="1" w:styleId="91">
    <w:name w:val="页脚 Char"/>
    <w:link w:val="35"/>
    <w:qFormat/>
    <w:uiPriority w:val="99"/>
    <w:rPr>
      <w:rFonts w:ascii="Calibri" w:hAnsi="Calibri" w:eastAsia="宋体" w:cs="Times New Roman"/>
      <w:sz w:val="18"/>
      <w:szCs w:val="18"/>
    </w:rPr>
  </w:style>
  <w:style w:type="character" w:customStyle="1" w:styleId="92">
    <w:name w:val="页眉 Char"/>
    <w:link w:val="36"/>
    <w:qFormat/>
    <w:uiPriority w:val="99"/>
    <w:rPr>
      <w:rFonts w:ascii="Calibri" w:hAnsi="Calibri" w:eastAsia="宋体" w:cs="Times New Roman"/>
      <w:sz w:val="18"/>
      <w:szCs w:val="18"/>
    </w:rPr>
  </w:style>
  <w:style w:type="character" w:customStyle="1" w:styleId="93">
    <w:name w:val="脚注文本 Char"/>
    <w:link w:val="42"/>
    <w:qFormat/>
    <w:uiPriority w:val="0"/>
    <w:rPr>
      <w:rFonts w:ascii="宋体" w:hAnsi="宋体" w:eastAsia="宋体" w:cs="Times New Roman"/>
      <w:sz w:val="18"/>
      <w:szCs w:val="18"/>
    </w:rPr>
  </w:style>
  <w:style w:type="character" w:customStyle="1" w:styleId="94">
    <w:name w:val="正文文本缩进 3 Char"/>
    <w:link w:val="44"/>
    <w:qFormat/>
    <w:uiPriority w:val="0"/>
    <w:rPr>
      <w:rFonts w:ascii="Times New Roman" w:hAnsi="Times New Roman" w:eastAsia="宋体" w:cs="Times New Roman"/>
      <w:color w:val="000000"/>
      <w:sz w:val="24"/>
      <w:szCs w:val="20"/>
    </w:rPr>
  </w:style>
  <w:style w:type="character" w:customStyle="1" w:styleId="95">
    <w:name w:val="正文文本 2 Char"/>
    <w:link w:val="48"/>
    <w:qFormat/>
    <w:uiPriority w:val="0"/>
    <w:rPr>
      <w:rFonts w:ascii="宋体" w:hAnsi="宋体" w:eastAsia="宋体" w:cs="Times New Roman"/>
      <w:szCs w:val="24"/>
      <w:u w:val="single"/>
    </w:rPr>
  </w:style>
  <w:style w:type="character" w:customStyle="1" w:styleId="96">
    <w:name w:val="批注主题 Char"/>
    <w:link w:val="52"/>
    <w:qFormat/>
    <w:uiPriority w:val="0"/>
    <w:rPr>
      <w:rFonts w:ascii="宋体" w:hAnsi="宋体" w:eastAsia="宋体" w:cs="Times New Roman"/>
      <w:b/>
      <w:bCs/>
      <w:sz w:val="24"/>
      <w:szCs w:val="24"/>
    </w:rPr>
  </w:style>
  <w:style w:type="character" w:customStyle="1" w:styleId="97">
    <w:name w:val="正文首行缩进 2 Char"/>
    <w:basedOn w:val="86"/>
    <w:link w:val="54"/>
    <w:semiHidden/>
    <w:qFormat/>
    <w:uiPriority w:val="0"/>
    <w:rPr>
      <w:rFonts w:ascii="Times New Roman" w:hAnsi="Times New Roman" w:eastAsia="宋体" w:cs="Times New Roman"/>
      <w:kern w:val="2"/>
      <w:sz w:val="21"/>
      <w:szCs w:val="22"/>
    </w:rPr>
  </w:style>
  <w:style w:type="character" w:customStyle="1" w:styleId="98">
    <w:name w:val="标题 1 字符"/>
    <w:qFormat/>
    <w:uiPriority w:val="9"/>
    <w:rPr>
      <w:rFonts w:ascii="Calibri" w:hAnsi="Calibri" w:eastAsia="宋体" w:cs="Times New Roman"/>
      <w:b/>
      <w:bCs/>
      <w:kern w:val="44"/>
      <w:sz w:val="44"/>
      <w:szCs w:val="44"/>
    </w:rPr>
  </w:style>
  <w:style w:type="character" w:customStyle="1" w:styleId="99">
    <w:name w:val="标题 2 字符"/>
    <w:semiHidden/>
    <w:qFormat/>
    <w:uiPriority w:val="9"/>
    <w:rPr>
      <w:rFonts w:ascii="等线 Light" w:hAnsi="等线 Light" w:eastAsia="等线 Light" w:cs="Times New Roman"/>
      <w:b/>
      <w:bCs/>
      <w:sz w:val="32"/>
      <w:szCs w:val="32"/>
    </w:rPr>
  </w:style>
  <w:style w:type="character" w:customStyle="1" w:styleId="100">
    <w:name w:val="标题 3 字符"/>
    <w:semiHidden/>
    <w:qFormat/>
    <w:uiPriority w:val="9"/>
    <w:rPr>
      <w:rFonts w:ascii="Calibri" w:hAnsi="Calibri" w:eastAsia="宋体" w:cs="Times New Roman"/>
      <w:b/>
      <w:bCs/>
      <w:sz w:val="32"/>
      <w:szCs w:val="32"/>
    </w:rPr>
  </w:style>
  <w:style w:type="character" w:customStyle="1" w:styleId="101">
    <w:name w:val="标题 4 字符"/>
    <w:semiHidden/>
    <w:qFormat/>
    <w:uiPriority w:val="9"/>
    <w:rPr>
      <w:rFonts w:ascii="等线 Light" w:hAnsi="等线 Light" w:eastAsia="等线 Light" w:cs="Times New Roman"/>
      <w:b/>
      <w:bCs/>
      <w:sz w:val="28"/>
      <w:szCs w:val="28"/>
    </w:rPr>
  </w:style>
  <w:style w:type="character" w:customStyle="1" w:styleId="102">
    <w:name w:val="标题 5 字符"/>
    <w:semiHidden/>
    <w:qFormat/>
    <w:uiPriority w:val="9"/>
    <w:rPr>
      <w:rFonts w:ascii="Calibri" w:hAnsi="Calibri" w:eastAsia="宋体" w:cs="Times New Roman"/>
      <w:b/>
      <w:bCs/>
      <w:sz w:val="28"/>
      <w:szCs w:val="28"/>
    </w:rPr>
  </w:style>
  <w:style w:type="character" w:customStyle="1" w:styleId="103">
    <w:name w:val="标题 6 字符"/>
    <w:semiHidden/>
    <w:qFormat/>
    <w:uiPriority w:val="9"/>
    <w:rPr>
      <w:rFonts w:ascii="等线 Light" w:hAnsi="等线 Light" w:eastAsia="等线 Light" w:cs="Times New Roman"/>
      <w:b/>
      <w:bCs/>
      <w:sz w:val="24"/>
      <w:szCs w:val="24"/>
    </w:rPr>
  </w:style>
  <w:style w:type="character" w:customStyle="1" w:styleId="104">
    <w:name w:val="标题 7 字符"/>
    <w:semiHidden/>
    <w:qFormat/>
    <w:uiPriority w:val="9"/>
    <w:rPr>
      <w:rFonts w:ascii="Calibri" w:hAnsi="Calibri" w:eastAsia="宋体" w:cs="Times New Roman"/>
      <w:b/>
      <w:bCs/>
      <w:sz w:val="24"/>
      <w:szCs w:val="24"/>
    </w:rPr>
  </w:style>
  <w:style w:type="character" w:customStyle="1" w:styleId="105">
    <w:name w:val="标题 8 字符"/>
    <w:semiHidden/>
    <w:qFormat/>
    <w:uiPriority w:val="9"/>
    <w:rPr>
      <w:rFonts w:ascii="等线 Light" w:hAnsi="等线 Light" w:eastAsia="等线 Light" w:cs="Times New Roman"/>
      <w:sz w:val="24"/>
      <w:szCs w:val="24"/>
    </w:rPr>
  </w:style>
  <w:style w:type="character" w:customStyle="1" w:styleId="106">
    <w:name w:val="标题 9 字符"/>
    <w:semiHidden/>
    <w:qFormat/>
    <w:uiPriority w:val="9"/>
    <w:rPr>
      <w:rFonts w:ascii="等线 Light" w:hAnsi="等线 Light" w:eastAsia="等线 Light" w:cs="Times New Roman"/>
      <w:szCs w:val="21"/>
    </w:rPr>
  </w:style>
  <w:style w:type="character" w:customStyle="1" w:styleId="107">
    <w:name w:val="页眉 字符"/>
    <w:qFormat/>
    <w:uiPriority w:val="99"/>
    <w:rPr>
      <w:rFonts w:ascii="Calibri" w:hAnsi="Calibri" w:eastAsia="宋体" w:cs="Times New Roman"/>
      <w:sz w:val="18"/>
      <w:szCs w:val="18"/>
    </w:rPr>
  </w:style>
  <w:style w:type="character" w:customStyle="1" w:styleId="108">
    <w:name w:val="页脚 字符"/>
    <w:qFormat/>
    <w:uiPriority w:val="99"/>
    <w:rPr>
      <w:rFonts w:ascii="Calibri" w:hAnsi="Calibri" w:eastAsia="宋体" w:cs="Times New Roman"/>
      <w:sz w:val="18"/>
      <w:szCs w:val="18"/>
    </w:rPr>
  </w:style>
  <w:style w:type="character" w:customStyle="1" w:styleId="109">
    <w:name w:val="标题 字符"/>
    <w:qFormat/>
    <w:uiPriority w:val="10"/>
    <w:rPr>
      <w:rFonts w:ascii="等线 Light" w:hAnsi="等线 Light" w:eastAsia="等线 Light" w:cs="Times New Roman"/>
      <w:b/>
      <w:bCs/>
      <w:sz w:val="32"/>
      <w:szCs w:val="32"/>
    </w:rPr>
  </w:style>
  <w:style w:type="character" w:customStyle="1" w:styleId="110">
    <w:name w:val="正文文本 字符"/>
    <w:qFormat/>
    <w:uiPriority w:val="99"/>
    <w:rPr>
      <w:rFonts w:ascii="Calibri" w:hAnsi="Calibri" w:eastAsia="宋体" w:cs="Times New Roman"/>
    </w:rPr>
  </w:style>
  <w:style w:type="character" w:customStyle="1" w:styleId="111">
    <w:name w:val="正文首行缩进 字符"/>
    <w:basedOn w:val="110"/>
    <w:semiHidden/>
    <w:qFormat/>
    <w:uiPriority w:val="99"/>
    <w:rPr>
      <w:rFonts w:ascii="Calibri" w:hAnsi="Calibri" w:eastAsia="宋体" w:cs="Times New Roman"/>
    </w:rPr>
  </w:style>
  <w:style w:type="character" w:customStyle="1" w:styleId="112">
    <w:name w:val="日期 字符"/>
    <w:semiHidden/>
    <w:qFormat/>
    <w:uiPriority w:val="99"/>
    <w:rPr>
      <w:rFonts w:ascii="Calibri" w:hAnsi="Calibri" w:eastAsia="宋体" w:cs="Times New Roman"/>
    </w:rPr>
  </w:style>
  <w:style w:type="character" w:customStyle="1" w:styleId="113">
    <w:name w:val="正文文本缩进 字符"/>
    <w:qFormat/>
    <w:uiPriority w:val="99"/>
    <w:rPr>
      <w:rFonts w:ascii="Calibri" w:hAnsi="Calibri" w:eastAsia="宋体" w:cs="Times New Roman"/>
    </w:rPr>
  </w:style>
  <w:style w:type="character" w:customStyle="1" w:styleId="114">
    <w:name w:val="文档结构图 字符"/>
    <w:qFormat/>
    <w:uiPriority w:val="99"/>
    <w:rPr>
      <w:rFonts w:ascii="Microsoft YaHei UI" w:hAnsi="Calibri" w:eastAsia="Microsoft YaHei UI" w:cs="Times New Roman"/>
      <w:sz w:val="18"/>
      <w:szCs w:val="18"/>
    </w:rPr>
  </w:style>
  <w:style w:type="character" w:customStyle="1" w:styleId="115">
    <w:name w:val="纯文本 字符"/>
    <w:semiHidden/>
    <w:qFormat/>
    <w:uiPriority w:val="99"/>
    <w:rPr>
      <w:rFonts w:ascii="等线" w:hAnsi="Courier New" w:cs="Courier New"/>
    </w:rPr>
  </w:style>
  <w:style w:type="character" w:customStyle="1" w:styleId="116">
    <w:name w:val="正文文本缩进 2 字符"/>
    <w:qFormat/>
    <w:uiPriority w:val="99"/>
    <w:rPr>
      <w:rFonts w:ascii="Calibri" w:hAnsi="Calibri" w:eastAsia="宋体" w:cs="Times New Roman"/>
    </w:rPr>
  </w:style>
  <w:style w:type="character" w:customStyle="1" w:styleId="117">
    <w:name w:val="正文文本缩进 3 字符"/>
    <w:qFormat/>
    <w:uiPriority w:val="99"/>
    <w:rPr>
      <w:rFonts w:ascii="Calibri" w:hAnsi="Calibri" w:eastAsia="宋体" w:cs="Times New Roman"/>
      <w:sz w:val="16"/>
      <w:szCs w:val="16"/>
    </w:rPr>
  </w:style>
  <w:style w:type="paragraph" w:customStyle="1" w:styleId="11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9">
    <w:name w:val="_Style 69"/>
    <w:qFormat/>
    <w:uiPriority w:val="0"/>
    <w:rPr>
      <w:rFonts w:ascii="等线" w:hAnsi="等线" w:eastAsia="等线" w:cs="Times New Roman"/>
      <w:lang w:val="en-US" w:eastAsia="zh-CN" w:bidi="ar-SA"/>
    </w:rPr>
  </w:style>
  <w:style w:type="character" w:customStyle="1" w:styleId="120">
    <w:name w:val="正文文本 2 字符"/>
    <w:qFormat/>
    <w:uiPriority w:val="99"/>
    <w:rPr>
      <w:rFonts w:ascii="Calibri" w:hAnsi="Calibri" w:eastAsia="宋体" w:cs="Times New Roman"/>
    </w:rPr>
  </w:style>
  <w:style w:type="paragraph" w:customStyle="1" w:styleId="121">
    <w:name w:val="表头"/>
    <w:basedOn w:val="1"/>
    <w:qFormat/>
    <w:uiPriority w:val="0"/>
    <w:pPr>
      <w:spacing w:line="360" w:lineRule="auto"/>
      <w:jc w:val="center"/>
    </w:pPr>
    <w:rPr>
      <w:rFonts w:ascii="黑体" w:hAnsi="Times New Roman" w:eastAsia="黑体"/>
      <w:kern w:val="0"/>
      <w:sz w:val="24"/>
      <w:szCs w:val="20"/>
    </w:rPr>
  </w:style>
  <w:style w:type="character" w:customStyle="1" w:styleId="122">
    <w:name w:val="尾注文本 字符"/>
    <w:qFormat/>
    <w:uiPriority w:val="99"/>
    <w:rPr>
      <w:rFonts w:ascii="Calibri" w:hAnsi="Calibri" w:eastAsia="宋体" w:cs="Times New Roman"/>
    </w:rPr>
  </w:style>
  <w:style w:type="paragraph" w:customStyle="1" w:styleId="123">
    <w:name w:val="Char"/>
    <w:basedOn w:val="1"/>
    <w:qFormat/>
    <w:uiPriority w:val="0"/>
    <w:rPr>
      <w:rFonts w:ascii="Tahoma" w:hAnsi="Tahoma"/>
      <w:sz w:val="24"/>
      <w:szCs w:val="20"/>
    </w:rPr>
  </w:style>
  <w:style w:type="paragraph" w:customStyle="1" w:styleId="124">
    <w:name w:val="Char1"/>
    <w:basedOn w:val="1"/>
    <w:qFormat/>
    <w:uiPriority w:val="0"/>
    <w:pPr>
      <w:numPr>
        <w:ilvl w:val="0"/>
        <w:numId w:val="1"/>
      </w:numPr>
    </w:pPr>
    <w:rPr>
      <w:rFonts w:ascii="Times New Roman" w:hAnsi="Times New Roman"/>
      <w:sz w:val="24"/>
      <w:szCs w:val="24"/>
    </w:rPr>
  </w:style>
  <w:style w:type="paragraph" w:customStyle="1" w:styleId="125">
    <w:name w:val="公文抬头"/>
    <w:basedOn w:val="5"/>
    <w:qFormat/>
    <w:uiPriority w:val="0"/>
    <w:pPr>
      <w:ind w:firstLine="0"/>
    </w:pPr>
    <w:rPr>
      <w:rFonts w:ascii="仿宋_GB2312" w:eastAsia="仿宋_GB2312"/>
      <w:sz w:val="30"/>
      <w:szCs w:val="24"/>
    </w:rPr>
  </w:style>
  <w:style w:type="paragraph" w:customStyle="1" w:styleId="126">
    <w:name w:val="Char Char Char1 Char"/>
    <w:basedOn w:val="18"/>
    <w:qFormat/>
    <w:uiPriority w:val="0"/>
    <w:rPr>
      <w:rFonts w:ascii="Tahoma" w:hAnsi="Tahoma"/>
      <w:sz w:val="24"/>
      <w:szCs w:val="24"/>
    </w:rPr>
  </w:style>
  <w:style w:type="paragraph" w:customStyle="1" w:styleId="1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8">
    <w:name w:val="公文标题"/>
    <w:basedOn w:val="6"/>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9">
    <w:name w:val="发文落款"/>
    <w:basedOn w:val="127"/>
    <w:qFormat/>
    <w:uiPriority w:val="0"/>
    <w:pPr>
      <w:ind w:left="4094" w:right="607" w:firstLine="0"/>
      <w:jc w:val="center"/>
    </w:pPr>
  </w:style>
  <w:style w:type="paragraph" w:customStyle="1" w:styleId="130">
    <w:name w:val="Char Char Char Char"/>
    <w:basedOn w:val="1"/>
    <w:qFormat/>
    <w:uiPriority w:val="0"/>
    <w:rPr>
      <w:rFonts w:ascii="Times New Roman" w:hAnsi="Times New Roman"/>
      <w:sz w:val="30"/>
      <w:szCs w:val="24"/>
    </w:rPr>
  </w:style>
  <w:style w:type="character" w:customStyle="1" w:styleId="131">
    <w:name w:val="批注框文本 字符"/>
    <w:semiHidden/>
    <w:qFormat/>
    <w:uiPriority w:val="99"/>
    <w:rPr>
      <w:rFonts w:ascii="Calibri" w:hAnsi="Calibri" w:eastAsia="宋体" w:cs="Times New Roman"/>
      <w:sz w:val="18"/>
      <w:szCs w:val="18"/>
    </w:rPr>
  </w:style>
  <w:style w:type="paragraph" w:customStyle="1" w:styleId="132">
    <w:name w:val="TOC 标题1"/>
    <w:basedOn w:val="3"/>
    <w:next w:val="1"/>
    <w:unhideWhenUsed/>
    <w:qFormat/>
    <w:uiPriority w:val="39"/>
    <w:pPr>
      <w:widowControl/>
      <w:spacing w:before="480" w:after="0" w:line="276" w:lineRule="auto"/>
      <w:outlineLvl w:val="9"/>
    </w:pPr>
    <w:rPr>
      <w:rFonts w:ascii="Cambria" w:hAnsi="Cambria"/>
      <w:color w:val="365F91"/>
      <w:kern w:val="0"/>
    </w:rPr>
  </w:style>
  <w:style w:type="character" w:customStyle="1" w:styleId="133">
    <w:name w:val="批注文字 字符"/>
    <w:semiHidden/>
    <w:qFormat/>
    <w:uiPriority w:val="99"/>
    <w:rPr>
      <w:rFonts w:ascii="Calibri" w:hAnsi="Calibri" w:eastAsia="宋体" w:cs="Times New Roman"/>
    </w:rPr>
  </w:style>
  <w:style w:type="character" w:customStyle="1" w:styleId="134">
    <w:name w:val="脚注文本 字符"/>
    <w:qFormat/>
    <w:uiPriority w:val="99"/>
    <w:rPr>
      <w:rFonts w:ascii="Calibri" w:hAnsi="Calibri" w:eastAsia="宋体" w:cs="Times New Roman"/>
      <w:sz w:val="18"/>
      <w:szCs w:val="18"/>
    </w:rPr>
  </w:style>
  <w:style w:type="character" w:customStyle="1" w:styleId="135">
    <w:name w:val="批注主题 字符"/>
    <w:semiHidden/>
    <w:qFormat/>
    <w:uiPriority w:val="99"/>
    <w:rPr>
      <w:rFonts w:ascii="Calibri" w:hAnsi="Calibri" w:eastAsia="宋体" w:cs="Times New Roman"/>
      <w:b/>
      <w:bCs/>
    </w:rPr>
  </w:style>
  <w:style w:type="paragraph" w:styleId="136">
    <w:name w:val="List Paragraph"/>
    <w:basedOn w:val="1"/>
    <w:qFormat/>
    <w:uiPriority w:val="0"/>
    <w:pPr>
      <w:ind w:firstLine="420" w:firstLineChars="200"/>
    </w:pPr>
    <w:rPr>
      <w:rFonts w:ascii="Times New Roman" w:hAnsi="Times New Roman"/>
      <w:szCs w:val="20"/>
    </w:rPr>
  </w:style>
  <w:style w:type="paragraph" w:customStyle="1" w:styleId="137">
    <w:name w:val="修订1"/>
    <w:hidden/>
    <w:qFormat/>
    <w:uiPriority w:val="99"/>
    <w:rPr>
      <w:rFonts w:ascii="Times New Roman" w:hAnsi="Times New Roman" w:eastAsia="宋体" w:cs="Times New Roman"/>
      <w:kern w:val="2"/>
      <w:sz w:val="21"/>
      <w:lang w:val="en-US" w:eastAsia="zh-CN" w:bidi="ar-SA"/>
    </w:rPr>
  </w:style>
  <w:style w:type="character" w:customStyle="1" w:styleId="138">
    <w:name w:val="文一 Char Char"/>
    <w:link w:val="139"/>
    <w:qFormat/>
    <w:uiPriority w:val="0"/>
    <w:rPr>
      <w:rFonts w:ascii="宋体" w:hAnsi="宋体"/>
      <w:snapToGrid w:val="0"/>
      <w:spacing w:val="4"/>
      <w:sz w:val="24"/>
      <w:szCs w:val="24"/>
    </w:rPr>
  </w:style>
  <w:style w:type="paragraph" w:customStyle="1" w:styleId="139">
    <w:name w:val="文一"/>
    <w:basedOn w:val="1"/>
    <w:link w:val="138"/>
    <w:qFormat/>
    <w:uiPriority w:val="0"/>
    <w:pPr>
      <w:topLinePunct/>
      <w:adjustRightInd w:val="0"/>
      <w:snapToGrid w:val="0"/>
      <w:spacing w:line="360" w:lineRule="auto"/>
      <w:ind w:firstLine="200" w:firstLineChars="200"/>
    </w:pPr>
    <w:rPr>
      <w:rFonts w:ascii="宋体" w:hAnsi="宋体" w:eastAsia="等线"/>
      <w:snapToGrid w:val="0"/>
      <w:spacing w:val="4"/>
      <w:kern w:val="0"/>
      <w:sz w:val="24"/>
      <w:szCs w:val="24"/>
    </w:rPr>
  </w:style>
  <w:style w:type="paragraph" w:customStyle="1" w:styleId="140">
    <w:name w:val="章节三"/>
    <w:basedOn w:val="139"/>
    <w:next w:val="139"/>
    <w:qFormat/>
    <w:uiPriority w:val="0"/>
    <w:pPr>
      <w:spacing w:beforeLines="50" w:line="240" w:lineRule="auto"/>
      <w:ind w:firstLine="0" w:firstLineChars="0"/>
      <w:jc w:val="left"/>
      <w:outlineLvl w:val="2"/>
    </w:pPr>
    <w:rPr>
      <w:rFonts w:ascii="黑体" w:eastAsia="黑体"/>
      <w:b/>
    </w:rPr>
  </w:style>
  <w:style w:type="paragraph" w:customStyle="1" w:styleId="141">
    <w:name w:val="章节二"/>
    <w:basedOn w:val="1"/>
    <w:next w:val="1"/>
    <w:qFormat/>
    <w:uiPriority w:val="0"/>
    <w:pPr>
      <w:topLinePunct/>
      <w:adjustRightInd w:val="0"/>
      <w:snapToGrid w:val="0"/>
      <w:spacing w:beforeLines="50"/>
      <w:jc w:val="center"/>
      <w:outlineLvl w:val="1"/>
    </w:pPr>
    <w:rPr>
      <w:rFonts w:ascii="Times New Roman" w:hAnsi="Times New Roman" w:eastAsia="黑体"/>
      <w:b/>
      <w:spacing w:val="4"/>
      <w:kern w:val="0"/>
      <w:sz w:val="30"/>
      <w:szCs w:val="30"/>
    </w:rPr>
  </w:style>
  <w:style w:type="paragraph" w:customStyle="1" w:styleId="142">
    <w:name w:val="正题"/>
    <w:basedOn w:val="139"/>
    <w:next w:val="139"/>
    <w:qFormat/>
    <w:uiPriority w:val="0"/>
    <w:pPr>
      <w:ind w:firstLine="0" w:firstLineChars="0"/>
      <w:jc w:val="center"/>
    </w:pPr>
    <w:rPr>
      <w:rFonts w:eastAsia="黑体"/>
      <w:b/>
      <w:sz w:val="36"/>
      <w:szCs w:val="36"/>
    </w:rPr>
  </w:style>
  <w:style w:type="paragraph" w:customStyle="1" w:styleId="143">
    <w:name w:val="文二"/>
    <w:basedOn w:val="1"/>
    <w:qFormat/>
    <w:uiPriority w:val="0"/>
    <w:pPr>
      <w:jc w:val="left"/>
    </w:pPr>
    <w:rPr>
      <w:rFonts w:ascii="宋体" w:hAnsi="宋体"/>
      <w:szCs w:val="21"/>
    </w:rPr>
  </w:style>
  <w:style w:type="paragraph" w:customStyle="1" w:styleId="144">
    <w:name w:val="修订2"/>
    <w:hidden/>
    <w:unhideWhenUsed/>
    <w:qFormat/>
    <w:uiPriority w:val="99"/>
    <w:rPr>
      <w:rFonts w:ascii="Calibri" w:hAnsi="Calibri" w:eastAsia="宋体" w:cs="Times New Roman"/>
      <w:kern w:val="2"/>
      <w:sz w:val="21"/>
      <w:szCs w:val="22"/>
      <w:lang w:val="en-US" w:eastAsia="zh-CN" w:bidi="ar-SA"/>
    </w:rPr>
  </w:style>
  <w:style w:type="character" w:customStyle="1" w:styleId="145">
    <w:name w:val="正文文本 3 Char"/>
    <w:basedOn w:val="57"/>
    <w:link w:val="22"/>
    <w:qFormat/>
    <w:uiPriority w:val="0"/>
    <w:rPr>
      <w:rFonts w:ascii="宋体" w:hAnsi="宋体" w:eastAsia="宋体"/>
      <w:kern w:val="2"/>
      <w:sz w:val="21"/>
      <w:u w:val="single"/>
      <w:bdr w:val="single" w:color="auto" w:sz="4" w:space="0"/>
    </w:rPr>
  </w:style>
  <w:style w:type="character" w:customStyle="1" w:styleId="146">
    <w:name w:val="标题 Char2"/>
    <w:qFormat/>
    <w:uiPriority w:val="10"/>
    <w:rPr>
      <w:rFonts w:ascii="Arial" w:hAnsi="Arial" w:eastAsia="宋体" w:cs="Times New Roman"/>
      <w:b/>
      <w:sz w:val="44"/>
      <w:szCs w:val="24"/>
    </w:rPr>
  </w:style>
  <w:style w:type="character" w:customStyle="1" w:styleId="147">
    <w:name w:val="标题 1 Char2"/>
    <w:qFormat/>
    <w:uiPriority w:val="0"/>
    <w:rPr>
      <w:rFonts w:ascii="Arial" w:hAnsi="Arial" w:eastAsia="宋体" w:cs="Times New Roman"/>
      <w:b/>
      <w:bCs/>
      <w:kern w:val="44"/>
      <w:sz w:val="32"/>
      <w:szCs w:val="32"/>
    </w:rPr>
  </w:style>
  <w:style w:type="paragraph" w:customStyle="1" w:styleId="148">
    <w:name w:val="Char11"/>
    <w:basedOn w:val="1"/>
    <w:qFormat/>
    <w:uiPriority w:val="0"/>
    <w:pPr>
      <w:ind w:left="567" w:hanging="279"/>
    </w:pPr>
    <w:rPr>
      <w:rFonts w:ascii="Times New Roman" w:hAnsi="Times New Roman"/>
      <w:sz w:val="24"/>
      <w:szCs w:val="24"/>
    </w:rPr>
  </w:style>
  <w:style w:type="character" w:customStyle="1" w:styleId="149">
    <w:name w:val="Char Char"/>
    <w:qFormat/>
    <w:uiPriority w:val="0"/>
    <w:rPr>
      <w:rFonts w:ascii="Arial" w:hAnsi="Arial" w:eastAsia="宋体"/>
      <w:b/>
      <w:kern w:val="2"/>
      <w:sz w:val="36"/>
      <w:szCs w:val="36"/>
      <w:lang w:val="en-US" w:eastAsia="zh-CN" w:bidi="ar-SA"/>
    </w:rPr>
  </w:style>
  <w:style w:type="character" w:customStyle="1" w:styleId="150">
    <w:name w:val="Char Char1"/>
    <w:qFormat/>
    <w:uiPriority w:val="0"/>
    <w:rPr>
      <w:rFonts w:ascii="Arial" w:hAnsi="Arial" w:eastAsia="宋体"/>
      <w:b/>
      <w:bCs/>
      <w:kern w:val="44"/>
      <w:sz w:val="36"/>
      <w:szCs w:val="36"/>
      <w:lang w:val="en-US" w:eastAsia="zh-CN" w:bidi="ar-SA"/>
    </w:rPr>
  </w:style>
  <w:style w:type="paragraph" w:customStyle="1" w:styleId="151">
    <w:name w:val="标题辞"/>
    <w:basedOn w:val="3"/>
    <w:next w:val="1"/>
    <w:qFormat/>
    <w:uiPriority w:val="0"/>
    <w:pPr>
      <w:keepLines w:val="0"/>
      <w:widowControl/>
      <w:spacing w:before="0" w:after="0" w:line="240" w:lineRule="auto"/>
    </w:pPr>
    <w:rPr>
      <w:rFonts w:ascii="黑体" w:hAnsi="Times New Roman" w:eastAsia="黑体"/>
      <w:kern w:val="0"/>
      <w:sz w:val="52"/>
      <w:szCs w:val="20"/>
    </w:rPr>
  </w:style>
  <w:style w:type="paragraph" w:customStyle="1" w:styleId="152">
    <w:name w:val="标题1"/>
    <w:basedOn w:val="3"/>
    <w:next w:val="1"/>
    <w:qFormat/>
    <w:uiPriority w:val="0"/>
    <w:pPr>
      <w:keepLines w:val="0"/>
      <w:widowControl/>
      <w:spacing w:before="0" w:after="0" w:line="240" w:lineRule="auto"/>
    </w:pPr>
    <w:rPr>
      <w:rFonts w:ascii="黑体" w:hAnsi="Times New Roman" w:eastAsia="黑体"/>
      <w:kern w:val="0"/>
      <w:sz w:val="44"/>
      <w:szCs w:val="20"/>
    </w:rPr>
  </w:style>
  <w:style w:type="paragraph" w:customStyle="1" w:styleId="153">
    <w:name w:val="标题2"/>
    <w:basedOn w:val="4"/>
    <w:next w:val="1"/>
    <w:qFormat/>
    <w:uiPriority w:val="0"/>
    <w:pPr>
      <w:keepNext w:val="0"/>
      <w:keepLines w:val="0"/>
      <w:tabs>
        <w:tab w:val="left" w:pos="1080"/>
      </w:tabs>
      <w:spacing w:before="0" w:after="0" w:line="360" w:lineRule="exact"/>
      <w:ind w:hanging="454"/>
      <w:outlineLvl w:val="9"/>
    </w:pPr>
    <w:rPr>
      <w:rFonts w:ascii="宋体" w:hAnsi="Times New Roman" w:eastAsia="黑体"/>
      <w:color w:val="auto"/>
      <w:sz w:val="36"/>
      <w:szCs w:val="48"/>
    </w:rPr>
  </w:style>
  <w:style w:type="paragraph" w:customStyle="1" w:styleId="154">
    <w:name w:val="标题3"/>
    <w:basedOn w:val="6"/>
    <w:next w:val="1"/>
    <w:qFormat/>
    <w:uiPriority w:val="0"/>
    <w:pPr>
      <w:keepNext/>
      <w:keepLines/>
      <w:tabs>
        <w:tab w:val="left" w:pos="840"/>
      </w:tabs>
      <w:spacing w:before="0" w:beforeAutospacing="0" w:after="0" w:afterAutospacing="0"/>
      <w:jc w:val="center"/>
    </w:pPr>
    <w:rPr>
      <w:rFonts w:cs="Times New Roman"/>
      <w:b/>
      <w:sz w:val="32"/>
      <w:szCs w:val="20"/>
    </w:rPr>
  </w:style>
  <w:style w:type="paragraph" w:customStyle="1" w:styleId="155">
    <w:name w:val="标题4"/>
    <w:basedOn w:val="7"/>
    <w:next w:val="1"/>
    <w:qFormat/>
    <w:uiPriority w:val="0"/>
    <w:pPr>
      <w:widowControl/>
      <w:numPr>
        <w:ilvl w:val="0"/>
        <w:numId w:val="0"/>
      </w:numPr>
      <w:tabs>
        <w:tab w:val="left" w:pos="840"/>
      </w:tabs>
      <w:spacing w:before="120" w:beforeLines="0" w:after="120" w:afterLines="0" w:line="240" w:lineRule="auto"/>
      <w:jc w:val="both"/>
    </w:pPr>
    <w:rPr>
      <w:rFonts w:ascii="宋体" w:hAnsi="宋体"/>
      <w:b/>
      <w:color w:val="auto"/>
      <w:kern w:val="0"/>
      <w:sz w:val="28"/>
      <w:szCs w:val="20"/>
    </w:rPr>
  </w:style>
  <w:style w:type="paragraph" w:customStyle="1" w:styleId="156">
    <w:name w:val="标题9"/>
    <w:basedOn w:val="1"/>
    <w:qFormat/>
    <w:uiPriority w:val="0"/>
    <w:pPr>
      <w:spacing w:beforeLines="50" w:afterLines="50"/>
    </w:pPr>
    <w:rPr>
      <w:rFonts w:ascii="Times New Roman" w:hAnsi="Times New Roman" w:eastAsia="黑体"/>
      <w:b/>
      <w:sz w:val="32"/>
      <w:szCs w:val="24"/>
    </w:rPr>
  </w:style>
  <w:style w:type="paragraph" w:customStyle="1" w:styleId="157">
    <w:name w:val="标题10"/>
    <w:qFormat/>
    <w:uiPriority w:val="0"/>
    <w:pPr>
      <w:spacing w:afterLines="100"/>
    </w:pPr>
    <w:rPr>
      <w:rFonts w:ascii="Times New Roman" w:hAnsi="Times New Roman" w:eastAsia="宋体" w:cs="Times New Roman"/>
      <w:b/>
      <w:sz w:val="32"/>
      <w:lang w:val="en-US" w:eastAsia="zh-CN" w:bidi="ar-SA"/>
    </w:rPr>
  </w:style>
  <w:style w:type="paragraph" w:customStyle="1" w:styleId="158">
    <w:name w:val="xl29"/>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59">
    <w:name w:val="图名"/>
    <w:basedOn w:val="1"/>
    <w:qFormat/>
    <w:uiPriority w:val="0"/>
    <w:pPr>
      <w:spacing w:line="360" w:lineRule="auto"/>
      <w:jc w:val="center"/>
    </w:pPr>
    <w:rPr>
      <w:rFonts w:ascii="Times New Roman" w:hAnsi="Times New Roman" w:eastAsia="楷体_GB2312" w:cs="宋体"/>
      <w:b/>
      <w:sz w:val="24"/>
      <w:szCs w:val="24"/>
    </w:rPr>
  </w:style>
  <w:style w:type="paragraph" w:customStyle="1" w:styleId="160">
    <w:name w:val="biaoge"/>
    <w:basedOn w:val="1"/>
    <w:qFormat/>
    <w:uiPriority w:val="0"/>
    <w:pPr>
      <w:widowControl/>
      <w:suppressLineNumbers/>
      <w:jc w:val="left"/>
    </w:pPr>
    <w:rPr>
      <w:rFonts w:ascii="宋体" w:hAnsi="宋体"/>
      <w:szCs w:val="21"/>
    </w:rPr>
  </w:style>
  <w:style w:type="paragraph" w:customStyle="1" w:styleId="161">
    <w:name w:val="框图"/>
    <w:basedOn w:val="1"/>
    <w:qFormat/>
    <w:uiPriority w:val="0"/>
    <w:pPr>
      <w:widowControl/>
      <w:suppressLineNumbers/>
      <w:tabs>
        <w:tab w:val="left" w:pos="423"/>
        <w:tab w:val="left" w:pos="564"/>
        <w:tab w:val="left" w:pos="987"/>
      </w:tabs>
      <w:adjustRightInd w:val="0"/>
      <w:spacing w:beforeLines="50"/>
      <w:jc w:val="center"/>
      <w:textAlignment w:val="baseline"/>
    </w:pPr>
    <w:rPr>
      <w:rFonts w:ascii="Times New Roman" w:hAnsi="Times New Roman"/>
      <w:szCs w:val="21"/>
    </w:rPr>
  </w:style>
  <w:style w:type="paragraph" w:customStyle="1" w:styleId="162">
    <w:name w:val="前言、引言标题"/>
    <w:next w:val="1"/>
    <w:qFormat/>
    <w:uiPriority w:val="0"/>
    <w:pPr>
      <w:numPr>
        <w:ilvl w:val="0"/>
        <w:numId w:val="3"/>
      </w:numPr>
      <w:shd w:val="clear" w:color="auto"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63">
    <w:name w:val="一级条标题"/>
    <w:basedOn w:val="4"/>
    <w:next w:val="1"/>
    <w:qFormat/>
    <w:uiPriority w:val="0"/>
    <w:pPr>
      <w:keepNext w:val="0"/>
      <w:keepLines w:val="0"/>
      <w:widowControl/>
      <w:tabs>
        <w:tab w:val="left" w:pos="360"/>
        <w:tab w:val="left" w:pos="495"/>
        <w:tab w:val="left" w:pos="1200"/>
        <w:tab w:val="left" w:pos="1418"/>
      </w:tabs>
      <w:spacing w:before="0" w:after="0" w:line="240" w:lineRule="auto"/>
      <w:ind w:left="1418" w:hanging="567"/>
      <w:jc w:val="both"/>
      <w:outlineLvl w:val="2"/>
    </w:pPr>
    <w:rPr>
      <w:rFonts w:ascii="黑体" w:hAnsi="Times New Roman" w:eastAsia="黑体"/>
      <w:b w:val="0"/>
      <w:color w:val="auto"/>
      <w:kern w:val="0"/>
      <w:sz w:val="21"/>
      <w:szCs w:val="20"/>
    </w:rPr>
  </w:style>
  <w:style w:type="paragraph" w:customStyle="1" w:styleId="164">
    <w:name w:val="二级条标题"/>
    <w:basedOn w:val="163"/>
    <w:next w:val="1"/>
    <w:qFormat/>
    <w:uiPriority w:val="0"/>
    <w:pPr>
      <w:tabs>
        <w:tab w:val="left" w:pos="1680"/>
        <w:tab w:val="left" w:pos="2356"/>
      </w:tabs>
      <w:ind w:left="1984" w:hanging="708"/>
      <w:outlineLvl w:val="3"/>
    </w:pPr>
  </w:style>
  <w:style w:type="paragraph" w:customStyle="1" w:styleId="165">
    <w:name w:val="三级条标题"/>
    <w:basedOn w:val="164"/>
    <w:next w:val="1"/>
    <w:qFormat/>
    <w:uiPriority w:val="0"/>
    <w:pPr>
      <w:tabs>
        <w:tab w:val="left" w:pos="2100"/>
        <w:tab w:val="left" w:pos="2781"/>
      </w:tabs>
      <w:ind w:left="2551" w:hanging="850"/>
      <w:outlineLvl w:val="4"/>
    </w:pPr>
  </w:style>
  <w:style w:type="paragraph" w:customStyle="1" w:styleId="166">
    <w:name w:val="四级条标题"/>
    <w:basedOn w:val="165"/>
    <w:next w:val="1"/>
    <w:qFormat/>
    <w:uiPriority w:val="0"/>
    <w:pPr>
      <w:tabs>
        <w:tab w:val="left" w:pos="2520"/>
        <w:tab w:val="left" w:pos="3566"/>
      </w:tabs>
      <w:ind w:left="3260" w:hanging="1134"/>
      <w:outlineLvl w:val="5"/>
    </w:pPr>
  </w:style>
  <w:style w:type="paragraph" w:customStyle="1" w:styleId="167">
    <w:name w:val="五级条标题"/>
    <w:basedOn w:val="166"/>
    <w:next w:val="1"/>
    <w:qFormat/>
    <w:uiPriority w:val="0"/>
    <w:pPr>
      <w:tabs>
        <w:tab w:val="left" w:pos="2940"/>
        <w:tab w:val="left" w:pos="3991"/>
      </w:tabs>
      <w:ind w:left="3827" w:hanging="1276"/>
      <w:outlineLvl w:val="6"/>
    </w:pPr>
  </w:style>
  <w:style w:type="paragraph" w:customStyle="1" w:styleId="168">
    <w:name w:val="Char Char Char Char Char Char Char Char1 Char"/>
    <w:basedOn w:val="1"/>
    <w:qFormat/>
    <w:uiPriority w:val="0"/>
    <w:rPr>
      <w:rFonts w:ascii="Tahoma" w:hAnsi="Tahoma" w:cs="宋体"/>
      <w:kern w:val="0"/>
      <w:sz w:val="24"/>
      <w:szCs w:val="20"/>
    </w:rPr>
  </w:style>
  <w:style w:type="paragraph" w:customStyle="1" w:styleId="169">
    <w:name w:val="默认段落字体 Para Char"/>
    <w:basedOn w:val="1"/>
    <w:qFormat/>
    <w:uiPriority w:val="0"/>
    <w:rPr>
      <w:rFonts w:ascii="Times New Roman" w:hAnsi="Times New Roman"/>
      <w:sz w:val="30"/>
      <w:szCs w:val="24"/>
    </w:rPr>
  </w:style>
  <w:style w:type="paragraph" w:customStyle="1" w:styleId="170">
    <w:name w:val="xl37"/>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Cs w:val="21"/>
    </w:rPr>
  </w:style>
  <w:style w:type="paragraph" w:customStyle="1" w:styleId="17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character" w:customStyle="1" w:styleId="172">
    <w:name w:val="正文文本 2 Char1"/>
    <w:qFormat/>
    <w:uiPriority w:val="99"/>
    <w:rPr>
      <w:rFonts w:ascii="宋体" w:hAnsi="宋体" w:eastAsia="宋体" w:cs="Times New Roman"/>
      <w:szCs w:val="24"/>
      <w:u w:val="single"/>
    </w:rPr>
  </w:style>
  <w:style w:type="character" w:customStyle="1" w:styleId="173">
    <w:name w:val="Char Char4"/>
    <w:qFormat/>
    <w:uiPriority w:val="0"/>
    <w:rPr>
      <w:rFonts w:ascii="宋体" w:hAnsi="宋体" w:eastAsia="宋体" w:cs="Times New Roman"/>
      <w:kern w:val="2"/>
      <w:sz w:val="24"/>
      <w:szCs w:val="24"/>
      <w:u w:val="single"/>
      <w:lang w:val="en-US" w:eastAsia="zh-CN" w:bidi="ar-SA"/>
    </w:rPr>
  </w:style>
  <w:style w:type="paragraph" w:customStyle="1" w:styleId="174">
    <w:name w:val="目录"/>
    <w:basedOn w:val="1"/>
    <w:qFormat/>
    <w:uiPriority w:val="0"/>
    <w:pPr>
      <w:widowControl/>
      <w:jc w:val="center"/>
    </w:pPr>
    <w:rPr>
      <w:rFonts w:hint="eastAsia" w:ascii="宋体" w:hAnsi="Times New Roman"/>
      <w:b/>
      <w:kern w:val="0"/>
      <w:sz w:val="36"/>
      <w:szCs w:val="20"/>
    </w:rPr>
  </w:style>
  <w:style w:type="paragraph" w:customStyle="1" w:styleId="17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76">
    <w:name w:val="保留正文"/>
    <w:basedOn w:val="23"/>
    <w:qFormat/>
    <w:uiPriority w:val="0"/>
    <w:pPr>
      <w:keepNext/>
      <w:spacing w:after="160"/>
    </w:pPr>
    <w:rPr>
      <w:szCs w:val="24"/>
    </w:rPr>
  </w:style>
  <w:style w:type="paragraph" w:customStyle="1" w:styleId="177">
    <w:name w:val="普通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8">
    <w:name w:val="目录文字"/>
    <w:basedOn w:val="1"/>
    <w:qFormat/>
    <w:uiPriority w:val="0"/>
    <w:pPr>
      <w:widowControl/>
      <w:spacing w:line="480" w:lineRule="auto"/>
      <w:jc w:val="left"/>
    </w:pPr>
    <w:rPr>
      <w:rFonts w:ascii="宋体" w:hAnsi="宋体"/>
      <w:kern w:val="0"/>
      <w:sz w:val="24"/>
      <w:szCs w:val="20"/>
    </w:rPr>
  </w:style>
  <w:style w:type="paragraph" w:customStyle="1" w:styleId="179">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80">
    <w:name w:val="Para head"/>
    <w:qFormat/>
    <w:uiPriority w:val="0"/>
    <w:rPr>
      <w:rFonts w:ascii="Arial" w:hAnsi="Arial" w:eastAsia="Times New Roman"/>
      <w:kern w:val="2"/>
      <w:sz w:val="20"/>
      <w:szCs w:val="24"/>
      <w:lang w:val="en-US" w:eastAsia="zh-CN" w:bidi="ar-SA"/>
    </w:rPr>
  </w:style>
  <w:style w:type="paragraph" w:customStyle="1" w:styleId="181">
    <w:name w:val="菲页2"/>
    <w:basedOn w:val="6"/>
    <w:qFormat/>
    <w:uiPriority w:val="0"/>
    <w:pPr>
      <w:keepNext/>
      <w:keepLines/>
      <w:tabs>
        <w:tab w:val="left" w:pos="840"/>
        <w:tab w:val="left" w:pos="1053"/>
      </w:tabs>
      <w:spacing w:before="0" w:beforeAutospacing="0" w:after="0" w:afterAutospacing="0"/>
      <w:ind w:left="1053" w:hanging="528"/>
      <w:jc w:val="center"/>
    </w:pPr>
    <w:rPr>
      <w:rFonts w:ascii="黑体" w:eastAsia="黑体" w:cs="Times New Roman"/>
      <w:sz w:val="44"/>
      <w:szCs w:val="20"/>
    </w:rPr>
  </w:style>
  <w:style w:type="paragraph" w:customStyle="1" w:styleId="182">
    <w:name w:val="菲页1"/>
    <w:basedOn w:val="4"/>
    <w:qFormat/>
    <w:uiPriority w:val="0"/>
    <w:pPr>
      <w:widowControl/>
      <w:spacing w:before="260" w:after="260" w:line="416" w:lineRule="auto"/>
      <w:ind w:hanging="454"/>
    </w:pPr>
    <w:rPr>
      <w:rFonts w:ascii="黑体" w:hAnsi="宋体" w:eastAsia="黑体"/>
      <w:b w:val="0"/>
      <w:color w:val="auto"/>
      <w:kern w:val="0"/>
      <w:sz w:val="52"/>
      <w:szCs w:val="20"/>
    </w:rPr>
  </w:style>
  <w:style w:type="paragraph" w:customStyle="1" w:styleId="183">
    <w:name w:val="样式1"/>
    <w:basedOn w:val="1"/>
    <w:qFormat/>
    <w:uiPriority w:val="0"/>
    <w:pPr>
      <w:spacing w:before="120" w:after="120" w:line="300" w:lineRule="auto"/>
    </w:pPr>
    <w:rPr>
      <w:rFonts w:ascii="宋体" w:hAnsi="宋体"/>
      <w:b/>
      <w:sz w:val="24"/>
      <w:szCs w:val="20"/>
    </w:rPr>
  </w:style>
  <w:style w:type="paragraph" w:customStyle="1" w:styleId="184">
    <w:name w:val="菲页(卷)"/>
    <w:basedOn w:val="3"/>
    <w:next w:val="179"/>
    <w:qFormat/>
    <w:uiPriority w:val="0"/>
    <w:pPr>
      <w:keepLines w:val="0"/>
      <w:widowControl/>
      <w:tabs>
        <w:tab w:val="left" w:pos="1053"/>
      </w:tabs>
      <w:spacing w:before="0" w:after="0" w:line="240" w:lineRule="auto"/>
      <w:ind w:left="1053" w:hanging="528"/>
      <w:outlineLvl w:val="1"/>
    </w:pPr>
    <w:rPr>
      <w:rFonts w:ascii="黑体" w:hAnsi="Times New Roman" w:eastAsia="黑体"/>
      <w:kern w:val="0"/>
      <w:sz w:val="52"/>
      <w:szCs w:val="20"/>
    </w:rPr>
  </w:style>
  <w:style w:type="paragraph" w:customStyle="1" w:styleId="18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186">
    <w:name w:val="标题 Char1"/>
    <w:qFormat/>
    <w:uiPriority w:val="0"/>
    <w:rPr>
      <w:rFonts w:ascii="Arial" w:hAnsi="Arial" w:eastAsia="宋体"/>
      <w:b/>
      <w:kern w:val="2"/>
      <w:sz w:val="44"/>
      <w:szCs w:val="24"/>
      <w:lang w:val="en-US" w:eastAsia="zh-CN" w:bidi="ar-SA"/>
    </w:rPr>
  </w:style>
  <w:style w:type="character" w:customStyle="1" w:styleId="187">
    <w:name w:val="标题 1 Char1"/>
    <w:qFormat/>
    <w:uiPriority w:val="0"/>
    <w:rPr>
      <w:rFonts w:ascii="Arial" w:hAnsi="Arial" w:eastAsia="宋体"/>
      <w:b/>
      <w:bCs/>
      <w:kern w:val="44"/>
      <w:sz w:val="36"/>
      <w:szCs w:val="24"/>
      <w:lang w:val="en-US" w:eastAsia="zh-CN" w:bidi="ar-SA"/>
    </w:rPr>
  </w:style>
  <w:style w:type="paragraph" w:customStyle="1" w:styleId="188">
    <w:name w:val="cjk"/>
    <w:basedOn w:val="1"/>
    <w:qFormat/>
    <w:uiPriority w:val="0"/>
    <w:pPr>
      <w:widowControl/>
      <w:spacing w:before="284" w:after="100" w:afterAutospacing="1" w:line="360" w:lineRule="auto"/>
      <w:jc w:val="left"/>
    </w:pPr>
    <w:rPr>
      <w:rFonts w:ascii="宋体" w:hAnsi="宋体" w:cs="宋体"/>
      <w:kern w:val="0"/>
      <w:sz w:val="22"/>
    </w:rPr>
  </w:style>
  <w:style w:type="paragraph" w:customStyle="1" w:styleId="189">
    <w:name w:val="cjk1"/>
    <w:basedOn w:val="1"/>
    <w:qFormat/>
    <w:uiPriority w:val="0"/>
    <w:pPr>
      <w:widowControl/>
      <w:spacing w:before="284" w:line="360" w:lineRule="auto"/>
      <w:jc w:val="left"/>
    </w:pPr>
    <w:rPr>
      <w:rFonts w:ascii="宋体" w:hAnsi="宋体" w:cs="宋体"/>
      <w:kern w:val="0"/>
      <w:sz w:val="22"/>
    </w:rPr>
  </w:style>
  <w:style w:type="paragraph" w:customStyle="1" w:styleId="190">
    <w:name w:val="cjk2"/>
    <w:basedOn w:val="1"/>
    <w:qFormat/>
    <w:uiPriority w:val="0"/>
    <w:pPr>
      <w:widowControl/>
      <w:spacing w:before="284" w:line="360" w:lineRule="auto"/>
      <w:jc w:val="left"/>
    </w:pPr>
    <w:rPr>
      <w:rFonts w:ascii="宋体" w:hAnsi="宋体" w:cs="宋体"/>
      <w:kern w:val="0"/>
      <w:sz w:val="22"/>
    </w:rPr>
  </w:style>
  <w:style w:type="paragraph" w:customStyle="1" w:styleId="191">
    <w:name w:val="普通(Web)1"/>
    <w:basedOn w:val="1"/>
    <w:qFormat/>
    <w:uiPriority w:val="0"/>
    <w:pPr>
      <w:widowControl/>
      <w:spacing w:before="284" w:line="360" w:lineRule="auto"/>
      <w:jc w:val="left"/>
    </w:pPr>
    <w:rPr>
      <w:rFonts w:ascii="宋体" w:hAnsi="宋体" w:cs="宋体"/>
      <w:kern w:val="0"/>
      <w:sz w:val="24"/>
      <w:szCs w:val="24"/>
    </w:rPr>
  </w:style>
  <w:style w:type="paragraph" w:customStyle="1" w:styleId="19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93">
    <w:name w:val="1"/>
    <w:basedOn w:val="1"/>
    <w:next w:val="5"/>
    <w:qFormat/>
    <w:uiPriority w:val="0"/>
    <w:pPr>
      <w:numPr>
        <w:ilvl w:val="1"/>
        <w:numId w:val="4"/>
      </w:numPr>
      <w:tabs>
        <w:tab w:val="clear" w:pos="992"/>
      </w:tabs>
      <w:ind w:left="0" w:firstLine="420"/>
    </w:pPr>
    <w:rPr>
      <w:rFonts w:ascii="Times New Roman" w:hAnsi="Times New Roman"/>
      <w:szCs w:val="20"/>
    </w:rPr>
  </w:style>
  <w:style w:type="paragraph" w:customStyle="1" w:styleId="194">
    <w:name w:val="font5"/>
    <w:basedOn w:val="1"/>
    <w:qFormat/>
    <w:uiPriority w:val="0"/>
    <w:pPr>
      <w:widowControl/>
      <w:spacing w:before="100" w:beforeAutospacing="1" w:after="100" w:afterAutospacing="1"/>
      <w:jc w:val="left"/>
    </w:pPr>
    <w:rPr>
      <w:rFonts w:hint="eastAsia" w:ascii="宋体" w:hAnsi="宋体" w:cs="Arial Unicode MS"/>
      <w:kern w:val="0"/>
      <w:sz w:val="18"/>
      <w:szCs w:val="18"/>
      <w:lang w:eastAsia="en-US"/>
    </w:rPr>
  </w:style>
  <w:style w:type="paragraph" w:customStyle="1" w:styleId="195">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16"/>
      <w:szCs w:val="16"/>
      <w:lang w:eastAsia="en-US"/>
    </w:rPr>
  </w:style>
  <w:style w:type="paragraph" w:customStyle="1" w:styleId="196">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Times New Roman" w:hAnsi="Times New Roman" w:eastAsia="Arial Unicode MS"/>
      <w:kern w:val="0"/>
      <w:szCs w:val="21"/>
      <w:lang w:eastAsia="en-US"/>
    </w:rPr>
  </w:style>
  <w:style w:type="paragraph" w:customStyle="1" w:styleId="197">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Arial Unicode MS"/>
      <w:kern w:val="0"/>
      <w:szCs w:val="21"/>
      <w:lang w:eastAsia="en-US"/>
    </w:rPr>
  </w:style>
  <w:style w:type="paragraph" w:customStyle="1" w:styleId="198">
    <w:name w:val="xl3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199">
    <w:name w:val="xl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00">
    <w:name w:val="xl32"/>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01">
    <w:name w:val="xl33"/>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02">
    <w:name w:val="xl34"/>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03">
    <w:name w:val="xl35"/>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2"/>
      <w:lang w:eastAsia="en-US"/>
    </w:rPr>
  </w:style>
  <w:style w:type="paragraph" w:customStyle="1" w:styleId="204">
    <w:name w:val="xl3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2"/>
      <w:lang w:eastAsia="en-US"/>
    </w:rPr>
  </w:style>
  <w:style w:type="paragraph" w:customStyle="1" w:styleId="205">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2"/>
      <w:lang w:eastAsia="en-US"/>
    </w:rPr>
  </w:style>
  <w:style w:type="paragraph" w:customStyle="1" w:styleId="206">
    <w:name w:val="xl39"/>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cs="Arial Unicode MS"/>
      <w:kern w:val="0"/>
      <w:sz w:val="22"/>
      <w:lang w:eastAsia="en-US"/>
    </w:rPr>
  </w:style>
  <w:style w:type="paragraph" w:customStyle="1" w:styleId="207">
    <w:name w:val="xl4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cs="Arial Unicode MS"/>
      <w:kern w:val="0"/>
      <w:sz w:val="22"/>
      <w:lang w:eastAsia="en-US"/>
    </w:rPr>
  </w:style>
  <w:style w:type="paragraph" w:customStyle="1" w:styleId="208">
    <w:name w:val="xl4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09">
    <w:name w:val="xl42"/>
    <w:basedOn w:val="1"/>
    <w:qFormat/>
    <w:uiPriority w:val="0"/>
    <w:pPr>
      <w:widowControl/>
      <w:pBdr>
        <w:left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10">
    <w:name w:val="xl4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hint="eastAsia" w:ascii="宋体" w:hAnsi="宋体" w:cs="Arial Unicode MS"/>
      <w:kern w:val="0"/>
      <w:sz w:val="22"/>
      <w:lang w:eastAsia="en-US"/>
    </w:rPr>
  </w:style>
  <w:style w:type="paragraph" w:customStyle="1" w:styleId="211">
    <w:name w:val="xl4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hint="eastAsia" w:ascii="宋体" w:hAnsi="宋体" w:cs="Arial Unicode MS"/>
      <w:kern w:val="0"/>
      <w:sz w:val="22"/>
      <w:lang w:eastAsia="en-US"/>
    </w:rPr>
  </w:style>
  <w:style w:type="paragraph" w:customStyle="1" w:styleId="212">
    <w:name w:val="font7"/>
    <w:basedOn w:val="1"/>
    <w:qFormat/>
    <w:uiPriority w:val="0"/>
    <w:pPr>
      <w:widowControl/>
      <w:spacing w:before="100" w:beforeAutospacing="1" w:after="100" w:afterAutospacing="1"/>
      <w:jc w:val="left"/>
    </w:pPr>
    <w:rPr>
      <w:rFonts w:hint="eastAsia" w:ascii="宋体" w:hAnsi="宋体" w:cs="Arial Unicode MS"/>
      <w:kern w:val="0"/>
      <w:sz w:val="22"/>
      <w:lang w:eastAsia="en-US"/>
    </w:rPr>
  </w:style>
  <w:style w:type="paragraph" w:customStyle="1" w:styleId="213">
    <w:name w:val="font8"/>
    <w:basedOn w:val="1"/>
    <w:qFormat/>
    <w:uiPriority w:val="0"/>
    <w:pPr>
      <w:widowControl/>
      <w:spacing w:before="100" w:beforeAutospacing="1" w:after="100" w:afterAutospacing="1"/>
      <w:jc w:val="left"/>
    </w:pPr>
    <w:rPr>
      <w:rFonts w:ascii="Times New Roman" w:hAnsi="Times New Roman" w:eastAsia="Arial Unicode MS"/>
      <w:kern w:val="0"/>
      <w:sz w:val="22"/>
      <w:lang w:eastAsia="en-US"/>
    </w:rPr>
  </w:style>
  <w:style w:type="paragraph" w:customStyle="1" w:styleId="214">
    <w:name w:val="font9"/>
    <w:basedOn w:val="1"/>
    <w:qFormat/>
    <w:uiPriority w:val="0"/>
    <w:pPr>
      <w:widowControl/>
      <w:spacing w:before="100" w:beforeAutospacing="1" w:after="100" w:afterAutospacing="1"/>
      <w:jc w:val="left"/>
    </w:pPr>
    <w:rPr>
      <w:rFonts w:ascii="Times New Roman" w:hAnsi="Times New Roman" w:eastAsia="Arial Unicode MS"/>
      <w:kern w:val="0"/>
      <w:sz w:val="18"/>
      <w:szCs w:val="18"/>
      <w:lang w:eastAsia="en-US"/>
    </w:rPr>
  </w:style>
  <w:style w:type="paragraph" w:customStyle="1" w:styleId="215">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0"/>
      <w:szCs w:val="20"/>
      <w:lang w:eastAsia="en-US"/>
    </w:rPr>
  </w:style>
  <w:style w:type="paragraph" w:customStyle="1" w:styleId="21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2"/>
      <w:lang w:eastAsia="en-US"/>
    </w:rPr>
  </w:style>
  <w:style w:type="paragraph" w:customStyle="1" w:styleId="21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Cs w:val="21"/>
      <w:lang w:eastAsia="en-US"/>
    </w:rPr>
  </w:style>
  <w:style w:type="paragraph" w:customStyle="1" w:styleId="218">
    <w:name w:val="xl4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4"/>
      <w:szCs w:val="24"/>
      <w:lang w:eastAsia="en-US"/>
    </w:rPr>
  </w:style>
  <w:style w:type="paragraph" w:customStyle="1" w:styleId="219">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lang w:eastAsia="en-US"/>
    </w:rPr>
  </w:style>
  <w:style w:type="paragraph" w:customStyle="1" w:styleId="22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22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2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22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224">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lang w:eastAsia="en-US"/>
    </w:rPr>
  </w:style>
  <w:style w:type="paragraph" w:customStyle="1" w:styleId="225">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226">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lang w:eastAsia="en-US"/>
    </w:rPr>
  </w:style>
  <w:style w:type="paragraph" w:customStyle="1" w:styleId="227">
    <w:name w:val="xl5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228">
    <w:name w:val="xl5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229">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kern w:val="0"/>
      <w:sz w:val="22"/>
      <w:u w:val="single"/>
      <w:lang w:eastAsia="en-US"/>
    </w:rPr>
  </w:style>
  <w:style w:type="paragraph" w:customStyle="1" w:styleId="230">
    <w:name w:val="样式 标题 5 + 小四 行距: 1.5 倍行距"/>
    <w:basedOn w:val="8"/>
    <w:qFormat/>
    <w:uiPriority w:val="0"/>
    <w:pPr>
      <w:keepNext w:val="0"/>
      <w:keepLines w:val="0"/>
      <w:widowControl/>
      <w:numPr>
        <w:ilvl w:val="0"/>
        <w:numId w:val="0"/>
      </w:numPr>
      <w:tabs>
        <w:tab w:val="left" w:pos="840"/>
      </w:tabs>
      <w:adjustRightInd w:val="0"/>
      <w:spacing w:before="120" w:beforeLines="0" w:after="120" w:afterLines="0" w:line="360" w:lineRule="auto"/>
      <w:textAlignment w:val="baseline"/>
    </w:pPr>
    <w:rPr>
      <w:rFonts w:ascii="Times New Roman" w:hAnsi="Times New Roman" w:eastAsia="黑体"/>
      <w:bCs/>
      <w:color w:val="auto"/>
      <w:kern w:val="0"/>
      <w:sz w:val="28"/>
      <w:szCs w:val="28"/>
      <w:lang w:val="zh-CN"/>
    </w:rPr>
  </w:style>
  <w:style w:type="paragraph" w:customStyle="1" w:styleId="231">
    <w:name w:val="样式 标题 6 + 行距: 1.5 倍行距"/>
    <w:basedOn w:val="9"/>
    <w:qFormat/>
    <w:uiPriority w:val="0"/>
    <w:pPr>
      <w:numPr>
        <w:ilvl w:val="0"/>
        <w:numId w:val="0"/>
      </w:numPr>
      <w:tabs>
        <w:tab w:val="left" w:pos="-147"/>
      </w:tabs>
      <w:adjustRightInd w:val="0"/>
      <w:spacing w:before="0" w:after="0" w:line="360" w:lineRule="auto"/>
      <w:ind w:left="-147" w:firstLine="567"/>
      <w:jc w:val="left"/>
      <w:textAlignment w:val="baseline"/>
    </w:pPr>
    <w:rPr>
      <w:rFonts w:ascii="Times New Roman" w:hAnsi="Times New Roman"/>
      <w:b w:val="0"/>
      <w:kern w:val="0"/>
      <w:szCs w:val="28"/>
    </w:rPr>
  </w:style>
  <w:style w:type="paragraph" w:customStyle="1" w:styleId="232">
    <w:name w:val="正方框图"/>
    <w:basedOn w:val="1"/>
    <w:qFormat/>
    <w:uiPriority w:val="0"/>
    <w:pPr>
      <w:snapToGrid w:val="0"/>
      <w:jc w:val="center"/>
    </w:pPr>
    <w:rPr>
      <w:rFonts w:ascii="Times New Roman" w:hAnsi="Times New Roman"/>
      <w:sz w:val="24"/>
      <w:szCs w:val="20"/>
    </w:rPr>
  </w:style>
  <w:style w:type="paragraph" w:customStyle="1" w:styleId="233">
    <w:name w:val="样式2"/>
    <w:basedOn w:val="4"/>
    <w:qFormat/>
    <w:uiPriority w:val="0"/>
    <w:pPr>
      <w:keepNext w:val="0"/>
      <w:keepLines w:val="0"/>
      <w:widowControl/>
      <w:spacing w:before="260" w:after="260" w:afterAutospacing="1" w:line="416" w:lineRule="auto"/>
      <w:ind w:right="-512" w:rightChars="-244" w:hanging="454"/>
    </w:pPr>
    <w:rPr>
      <w:rFonts w:ascii="宋体" w:hAnsi="宋体" w:eastAsia="华文中宋"/>
      <w:snapToGrid w:val="0"/>
      <w:color w:val="auto"/>
      <w:kern w:val="0"/>
      <w:sz w:val="36"/>
      <w:szCs w:val="36"/>
    </w:rPr>
  </w:style>
  <w:style w:type="character" w:customStyle="1" w:styleId="234">
    <w:name w:val="Char Char Char"/>
    <w:qFormat/>
    <w:uiPriority w:val="0"/>
    <w:rPr>
      <w:rFonts w:ascii="Arial" w:hAnsi="Arial" w:eastAsia="黑体"/>
      <w:b/>
      <w:bCs/>
      <w:kern w:val="2"/>
      <w:sz w:val="32"/>
      <w:szCs w:val="32"/>
      <w:lang w:val="en-US" w:eastAsia="zh-CN" w:bidi="ar-SA"/>
    </w:rPr>
  </w:style>
  <w:style w:type="paragraph" w:customStyle="1" w:styleId="235">
    <w:name w:val="样式 标题 1合同标题章标题 1 Char Char标题 1 Char第1章第1章 Char卷标题标题 1 1..."/>
    <w:basedOn w:val="3"/>
    <w:qFormat/>
    <w:uiPriority w:val="0"/>
    <w:pPr>
      <w:keepNext w:val="0"/>
      <w:keepLines w:val="0"/>
      <w:widowControl/>
      <w:tabs>
        <w:tab w:val="left" w:pos="0"/>
      </w:tabs>
      <w:spacing w:before="284" w:after="0"/>
    </w:pPr>
    <w:rPr>
      <w:rFonts w:ascii="宋体" w:hAnsi="宋体" w:cs="宋体"/>
      <w:bCs/>
      <w:color w:val="000000"/>
      <w:kern w:val="36"/>
      <w:sz w:val="44"/>
      <w:szCs w:val="48"/>
    </w:rPr>
  </w:style>
  <w:style w:type="paragraph" w:customStyle="1" w:styleId="236">
    <w:name w:val="样式 标题 1合同标题章标题 1 Char Char标题 1 Char第1章第1章 Char卷标题标题 1 1...1"/>
    <w:basedOn w:val="3"/>
    <w:qFormat/>
    <w:uiPriority w:val="0"/>
    <w:pPr>
      <w:keepNext w:val="0"/>
      <w:keepLines w:val="0"/>
      <w:widowControl/>
      <w:numPr>
        <w:ilvl w:val="0"/>
        <w:numId w:val="5"/>
      </w:numPr>
      <w:tabs>
        <w:tab w:val="left" w:pos="360"/>
        <w:tab w:val="clear" w:pos="0"/>
      </w:tabs>
      <w:spacing w:before="284" w:after="0"/>
    </w:pPr>
    <w:rPr>
      <w:rFonts w:ascii="宋体" w:hAnsi="宋体" w:cs="宋体"/>
      <w:bCs/>
      <w:color w:val="000000"/>
      <w:kern w:val="36"/>
      <w:szCs w:val="48"/>
    </w:rPr>
  </w:style>
  <w:style w:type="character" w:customStyle="1" w:styleId="237">
    <w:name w:val="样式 标题 1合同标题章标题 1 Char Char标题 1 Char第1章第1章 Char卷标题标题 1 1...1 Char"/>
    <w:qFormat/>
    <w:uiPriority w:val="0"/>
    <w:rPr>
      <w:rFonts w:ascii="宋体" w:hAnsi="宋体" w:eastAsia="宋体" w:cs="宋体"/>
      <w:b/>
      <w:bCs/>
      <w:kern w:val="36"/>
      <w:sz w:val="28"/>
      <w:szCs w:val="48"/>
      <w:lang w:val="en-US" w:eastAsia="zh-CN" w:bidi="ar-SA"/>
    </w:rPr>
  </w:style>
  <w:style w:type="paragraph" w:customStyle="1" w:styleId="238">
    <w:name w:val="首行缩进:  2 字符"/>
    <w:basedOn w:val="1"/>
    <w:qFormat/>
    <w:uiPriority w:val="0"/>
    <w:pPr>
      <w:spacing w:line="360" w:lineRule="auto"/>
      <w:ind w:firstLine="480" w:firstLineChars="200"/>
    </w:pPr>
    <w:rPr>
      <w:rFonts w:ascii="Times New Roman" w:hAnsi="Times New Roman" w:cs="宋体"/>
      <w:sz w:val="24"/>
      <w:szCs w:val="20"/>
    </w:rPr>
  </w:style>
  <w:style w:type="character" w:customStyle="1" w:styleId="239">
    <w:name w:val="首行缩进:  2 字符 Char Char"/>
    <w:qFormat/>
    <w:uiPriority w:val="0"/>
    <w:rPr>
      <w:rFonts w:eastAsia="宋体" w:cs="宋体"/>
      <w:b/>
      <w:kern w:val="2"/>
      <w:sz w:val="24"/>
      <w:szCs w:val="24"/>
      <w:lang w:val="en-US" w:eastAsia="zh-CN" w:bidi="ar-SA"/>
    </w:rPr>
  </w:style>
  <w:style w:type="paragraph" w:customStyle="1" w:styleId="240">
    <w:name w:val="样式 居中"/>
    <w:basedOn w:val="1"/>
    <w:qFormat/>
    <w:uiPriority w:val="0"/>
    <w:pPr>
      <w:spacing w:line="360" w:lineRule="auto"/>
      <w:jc w:val="center"/>
    </w:pPr>
    <w:rPr>
      <w:rFonts w:ascii="Times New Roman" w:hAnsi="Times New Roman"/>
      <w:sz w:val="24"/>
      <w:szCs w:val="24"/>
    </w:rPr>
  </w:style>
  <w:style w:type="paragraph" w:customStyle="1" w:styleId="241">
    <w:name w:val="图表文字"/>
    <w:basedOn w:val="1"/>
    <w:semiHidden/>
    <w:qFormat/>
    <w:uiPriority w:val="0"/>
    <w:pPr>
      <w:widowControl/>
      <w:adjustRightInd w:val="0"/>
      <w:spacing w:before="120" w:after="120"/>
      <w:jc w:val="center"/>
    </w:pPr>
    <w:rPr>
      <w:rFonts w:ascii="黑体" w:hAnsi="Times New Roman" w:eastAsia="黑体"/>
      <w:kern w:val="0"/>
      <w:sz w:val="28"/>
      <w:szCs w:val="20"/>
    </w:rPr>
  </w:style>
  <w:style w:type="paragraph" w:customStyle="1" w:styleId="242">
    <w:name w:val="table"/>
    <w:basedOn w:val="1"/>
    <w:qFormat/>
    <w:uiPriority w:val="0"/>
    <w:pPr>
      <w:widowControl/>
      <w:overflowPunct w:val="0"/>
      <w:autoSpaceDE w:val="0"/>
      <w:autoSpaceDN w:val="0"/>
      <w:adjustRightInd w:val="0"/>
      <w:spacing w:before="60" w:after="60"/>
      <w:jc w:val="center"/>
      <w:textAlignment w:val="baseline"/>
    </w:pPr>
    <w:rPr>
      <w:rFonts w:ascii="仿宋体" w:hAnsi="Times New Roman" w:eastAsia="仿宋体"/>
      <w:kern w:val="0"/>
      <w:sz w:val="24"/>
      <w:szCs w:val="20"/>
    </w:rPr>
  </w:style>
  <w:style w:type="paragraph" w:customStyle="1" w:styleId="243">
    <w:name w:val="Char Char Char1 Char Char"/>
    <w:basedOn w:val="1"/>
    <w:qFormat/>
    <w:uiPriority w:val="0"/>
    <w:rPr>
      <w:rFonts w:ascii="Times New Roman" w:hAnsi="Times New Roman"/>
      <w:szCs w:val="24"/>
    </w:rPr>
  </w:style>
  <w:style w:type="paragraph" w:customStyle="1" w:styleId="244">
    <w:name w:val="a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5">
    <w:name w:val="表文字"/>
    <w:qFormat/>
    <w:uiPriority w:val="0"/>
    <w:rPr>
      <w:rFonts w:ascii="宋体" w:hAnsi="Times New Roman" w:eastAsia="宋体" w:cs="Times New Roman"/>
      <w:kern w:val="2"/>
      <w:lang w:val="en-US" w:eastAsia="zh-CN" w:bidi="ar-SA"/>
    </w:rPr>
  </w:style>
  <w:style w:type="character" w:customStyle="1" w:styleId="246">
    <w:name w:val="纯文本 Char1"/>
    <w:qFormat/>
    <w:uiPriority w:val="0"/>
    <w:rPr>
      <w:rFonts w:ascii="宋体" w:hAnsi="Courier New" w:eastAsia="宋体" w:cs="Times New Roman"/>
      <w:szCs w:val="24"/>
    </w:rPr>
  </w:style>
  <w:style w:type="character" w:customStyle="1" w:styleId="247">
    <w:name w:val="合同标题 Char1"/>
    <w:qFormat/>
    <w:uiPriority w:val="0"/>
    <w:rPr>
      <w:rFonts w:ascii="宋体" w:hAnsi="Arial" w:eastAsia="宋体"/>
      <w:b/>
      <w:bCs/>
      <w:snapToGrid w:val="0"/>
      <w:kern w:val="2"/>
      <w:sz w:val="36"/>
      <w:szCs w:val="36"/>
      <w:lang w:val="en-US" w:eastAsia="zh-CN" w:bidi="ar-SA"/>
    </w:rPr>
  </w:style>
  <w:style w:type="character" w:customStyle="1" w:styleId="248">
    <w:name w:val="FtrF Char Char"/>
    <w:qFormat/>
    <w:uiPriority w:val="0"/>
    <w:rPr>
      <w:rFonts w:eastAsia="宋体"/>
      <w:kern w:val="2"/>
      <w:sz w:val="18"/>
      <w:szCs w:val="24"/>
      <w:lang w:val="en-US" w:eastAsia="zh-CN" w:bidi="ar-SA"/>
    </w:rPr>
  </w:style>
  <w:style w:type="paragraph" w:customStyle="1" w:styleId="249">
    <w:name w:val="news"/>
    <w:basedOn w:val="1"/>
    <w:qFormat/>
    <w:uiPriority w:val="0"/>
    <w:pPr>
      <w:widowControl/>
      <w:spacing w:before="100" w:beforeAutospacing="1" w:after="100" w:afterAutospacing="1" w:line="360" w:lineRule="auto"/>
      <w:jc w:val="left"/>
    </w:pPr>
    <w:rPr>
      <w:rFonts w:ascii="ˎ̥" w:hAnsi="ˎ̥" w:cs="宋体"/>
      <w:kern w:val="0"/>
      <w:sz w:val="18"/>
      <w:szCs w:val="18"/>
    </w:rPr>
  </w:style>
  <w:style w:type="paragraph" w:customStyle="1" w:styleId="250">
    <w:name w:val="di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Char Char2"/>
    <w:basedOn w:val="1"/>
    <w:qFormat/>
    <w:uiPriority w:val="0"/>
    <w:pPr>
      <w:adjustRightInd w:val="0"/>
      <w:spacing w:line="360" w:lineRule="atLeast"/>
    </w:pPr>
    <w:rPr>
      <w:rFonts w:ascii="Times New Roman" w:hAnsi="Times New Roman"/>
      <w:szCs w:val="24"/>
    </w:rPr>
  </w:style>
  <w:style w:type="paragraph" w:customStyle="1" w:styleId="252">
    <w:name w:val="需求书2"/>
    <w:basedOn w:val="1"/>
    <w:qFormat/>
    <w:uiPriority w:val="0"/>
    <w:pPr>
      <w:numPr>
        <w:ilvl w:val="0"/>
        <w:numId w:val="6"/>
      </w:numPr>
      <w:spacing w:line="360" w:lineRule="auto"/>
    </w:pPr>
    <w:rPr>
      <w:rFonts w:ascii="黑体" w:hAnsi="宋体" w:eastAsia="黑体"/>
      <w:b/>
      <w:bCs/>
      <w:sz w:val="24"/>
      <w:szCs w:val="24"/>
    </w:rPr>
  </w:style>
  <w:style w:type="paragraph" w:customStyle="1" w:styleId="253">
    <w:name w:val="Char Char Char Char Char Char"/>
    <w:basedOn w:val="18"/>
    <w:qFormat/>
    <w:uiPriority w:val="0"/>
    <w:pPr>
      <w:adjustRightInd w:val="0"/>
      <w:spacing w:line="436" w:lineRule="exact"/>
      <w:ind w:left="357"/>
      <w:jc w:val="left"/>
      <w:outlineLvl w:val="3"/>
    </w:pPr>
    <w:rPr>
      <w:rFonts w:ascii="Tahoma" w:hAnsi="Tahoma"/>
      <w:b/>
      <w:sz w:val="24"/>
      <w:szCs w:val="24"/>
    </w:rPr>
  </w:style>
  <w:style w:type="character" w:customStyle="1" w:styleId="254">
    <w:name w:val="标题一 宋体 小二 红色 升高量  0.5 磅"/>
    <w:qFormat/>
    <w:uiPriority w:val="0"/>
    <w:rPr>
      <w:rFonts w:ascii="宋体" w:hAnsi="宋体" w:eastAsia="宋体"/>
      <w:color w:val="FF0000"/>
      <w:kern w:val="0"/>
      <w:position w:val="1"/>
      <w:sz w:val="36"/>
      <w:szCs w:val="24"/>
      <w:lang w:val="en-US" w:eastAsia="zh-CN" w:bidi="ar-SA"/>
    </w:rPr>
  </w:style>
  <w:style w:type="character" w:customStyle="1" w:styleId="255">
    <w:name w:val="样式 一 黑体 (中文) 黑体 (符号) 宋体 小二 升高量  0.5 磅"/>
    <w:qFormat/>
    <w:uiPriority w:val="0"/>
    <w:rPr>
      <w:rFonts w:ascii="黑体" w:hAnsi="黑体" w:eastAsia="黑体"/>
      <w:kern w:val="0"/>
      <w:position w:val="1"/>
      <w:sz w:val="36"/>
      <w:szCs w:val="24"/>
      <w:lang w:val="en-US" w:eastAsia="zh-CN" w:bidi="ar-SA"/>
    </w:rPr>
  </w:style>
  <w:style w:type="paragraph" w:customStyle="1" w:styleId="256">
    <w:name w:val="标题二 黑体 (中文) 黑体 (符号) 宋体 小四 左 左侧:  0.18 厘米 右侧:  -0.04 厘米"/>
    <w:basedOn w:val="1"/>
    <w:qFormat/>
    <w:uiPriority w:val="0"/>
    <w:pPr>
      <w:ind w:left="101" w:right="-20"/>
      <w:jc w:val="left"/>
    </w:pPr>
    <w:rPr>
      <w:rFonts w:ascii="黑体" w:hAnsi="宋体" w:eastAsia="黑体" w:cs="宋体"/>
      <w:kern w:val="0"/>
      <w:sz w:val="24"/>
      <w:szCs w:val="20"/>
    </w:rPr>
  </w:style>
  <w:style w:type="paragraph" w:customStyle="1" w:styleId="257">
    <w:name w:val="标题三 黑体 (中文) 黑体 (符号) 宋体 三号 居中 左侧:  7.34 厘米 右侧:  7.52 厘米"/>
    <w:basedOn w:val="1"/>
    <w:qFormat/>
    <w:uiPriority w:val="0"/>
    <w:pPr>
      <w:ind w:left="4160" w:right="4265"/>
      <w:jc w:val="center"/>
    </w:pPr>
    <w:rPr>
      <w:rFonts w:ascii="黑体" w:hAnsi="宋体" w:eastAsia="黑体" w:cs="宋体"/>
      <w:kern w:val="0"/>
      <w:sz w:val="32"/>
      <w:szCs w:val="20"/>
    </w:rPr>
  </w:style>
  <w:style w:type="character" w:customStyle="1" w:styleId="258">
    <w:name w:val="标题四 (西文) 黑体 (中文) 黑体 (符号) 宋体 小三 升高量  0.5 磅"/>
    <w:qFormat/>
    <w:uiPriority w:val="0"/>
    <w:rPr>
      <w:rFonts w:ascii="黑体" w:hAnsi="黑体" w:eastAsia="黑体"/>
      <w:kern w:val="0"/>
      <w:position w:val="1"/>
      <w:sz w:val="30"/>
      <w:szCs w:val="24"/>
      <w:lang w:val="en-US" w:eastAsia="zh-CN" w:bidi="ar-SA"/>
    </w:rPr>
  </w:style>
  <w:style w:type="paragraph" w:customStyle="1" w:styleId="259">
    <w:name w:val="样式100"/>
    <w:basedOn w:val="1"/>
    <w:link w:val="260"/>
    <w:qFormat/>
    <w:uiPriority w:val="0"/>
    <w:pPr>
      <w:tabs>
        <w:tab w:val="left" w:pos="800"/>
        <w:tab w:val="left" w:pos="5887"/>
        <w:tab w:val="left" w:pos="9880"/>
      </w:tabs>
      <w:autoSpaceDE w:val="0"/>
      <w:autoSpaceDN w:val="0"/>
      <w:adjustRightInd w:val="0"/>
      <w:spacing w:line="240" w:lineRule="atLeast"/>
      <w:ind w:left="142" w:right="-153"/>
      <w:jc w:val="left"/>
      <w:outlineLvl w:val="3"/>
    </w:pPr>
    <w:rPr>
      <w:rFonts w:ascii="宋体" w:hAnsi="宋体"/>
      <w:sz w:val="24"/>
      <w:szCs w:val="24"/>
    </w:rPr>
  </w:style>
  <w:style w:type="character" w:customStyle="1" w:styleId="260">
    <w:name w:val="样式100 Char"/>
    <w:link w:val="259"/>
    <w:qFormat/>
    <w:uiPriority w:val="0"/>
    <w:rPr>
      <w:rFonts w:ascii="宋体" w:hAnsi="宋体" w:eastAsia="宋体"/>
      <w:kern w:val="2"/>
      <w:sz w:val="24"/>
      <w:szCs w:val="24"/>
    </w:rPr>
  </w:style>
  <w:style w:type="paragraph" w:customStyle="1" w:styleId="261">
    <w:name w:val="正文21"/>
    <w:basedOn w:val="1"/>
    <w:qFormat/>
    <w:uiPriority w:val="0"/>
    <w:pPr>
      <w:ind w:firstLine="735"/>
    </w:pPr>
    <w:rPr>
      <w:rFonts w:ascii="Times New Roman" w:hAnsi="Times New Roman"/>
      <w:b/>
      <w:sz w:val="32"/>
      <w:szCs w:val="20"/>
    </w:rPr>
  </w:style>
  <w:style w:type="character" w:customStyle="1" w:styleId="262">
    <w:name w:val="正 文 1 Char Char"/>
    <w:qFormat/>
    <w:uiPriority w:val="0"/>
    <w:rPr>
      <w:rFonts w:ascii="宋体" w:hAnsi="Courier New" w:eastAsia="宋体"/>
      <w:kern w:val="2"/>
      <w:sz w:val="21"/>
      <w:szCs w:val="24"/>
      <w:lang w:val="en-US" w:eastAsia="zh-CN" w:bidi="ar-SA"/>
    </w:rPr>
  </w:style>
  <w:style w:type="character" w:customStyle="1" w:styleId="263">
    <w:name w:val="合同标题 Char2"/>
    <w:qFormat/>
    <w:uiPriority w:val="0"/>
    <w:rPr>
      <w:rFonts w:ascii="Arial" w:hAnsi="Arial" w:eastAsia="宋体"/>
      <w:b/>
      <w:bCs/>
      <w:kern w:val="44"/>
      <w:sz w:val="32"/>
      <w:szCs w:val="32"/>
      <w:lang w:val="en-US" w:eastAsia="zh-CN" w:bidi="ar-SA"/>
    </w:rPr>
  </w:style>
  <w:style w:type="character" w:customStyle="1" w:styleId="264">
    <w:name w:val="FtrF Char Char1"/>
    <w:qFormat/>
    <w:uiPriority w:val="0"/>
    <w:rPr>
      <w:rFonts w:eastAsia="宋体"/>
      <w:kern w:val="2"/>
      <w:sz w:val="18"/>
      <w:szCs w:val="24"/>
      <w:lang w:val="en-US" w:eastAsia="zh-CN" w:bidi="ar-SA"/>
    </w:rPr>
  </w:style>
  <w:style w:type="character" w:customStyle="1" w:styleId="265">
    <w:name w:val="正 文 1 Char"/>
    <w:qFormat/>
    <w:uiPriority w:val="0"/>
    <w:rPr>
      <w:rFonts w:ascii="宋体" w:hAnsi="Courier New" w:eastAsia="宋体"/>
      <w:kern w:val="2"/>
      <w:sz w:val="21"/>
      <w:szCs w:val="24"/>
      <w:lang w:val="en-US" w:eastAsia="zh-CN" w:bidi="ar-SA"/>
    </w:rPr>
  </w:style>
  <w:style w:type="character" w:customStyle="1" w:styleId="266">
    <w:name w:val="批注文字 Char1"/>
    <w:qFormat/>
    <w:uiPriority w:val="99"/>
    <w:rPr>
      <w:rFonts w:ascii="Times New Roman" w:hAnsi="Times New Roman" w:eastAsia="宋体" w:cs="Times New Roman"/>
      <w:szCs w:val="20"/>
    </w:rPr>
  </w:style>
  <w:style w:type="character" w:customStyle="1" w:styleId="267">
    <w:name w:val="正文首行缩进 Char1"/>
    <w:qFormat/>
    <w:uiPriority w:val="99"/>
    <w:rPr>
      <w:rFonts w:ascii="Times New Roman" w:hAnsi="Times New Roman" w:eastAsia="宋体" w:cs="Times New Roman"/>
      <w:szCs w:val="24"/>
    </w:rPr>
  </w:style>
  <w:style w:type="character" w:customStyle="1" w:styleId="268">
    <w:name w:val="正文文本缩进 Char1"/>
    <w:qFormat/>
    <w:uiPriority w:val="99"/>
    <w:rPr>
      <w:rFonts w:ascii="Times New Roman" w:hAnsi="Times New Roman" w:eastAsia="宋体" w:cs="Times New Roman"/>
      <w:sz w:val="28"/>
      <w:szCs w:val="24"/>
    </w:rPr>
  </w:style>
  <w:style w:type="character" w:customStyle="1" w:styleId="269">
    <w:name w:val="正文文本缩进 2 Char1"/>
    <w:qFormat/>
    <w:uiPriority w:val="99"/>
    <w:rPr>
      <w:rFonts w:ascii="Times New Roman" w:hAnsi="Times New Roman" w:eastAsia="宋体" w:cs="Times New Roman"/>
      <w:color w:val="000000"/>
      <w:sz w:val="24"/>
      <w:szCs w:val="24"/>
    </w:rPr>
  </w:style>
  <w:style w:type="paragraph" w:customStyle="1" w:styleId="270">
    <w:name w:val="列出段落1"/>
    <w:basedOn w:val="1"/>
    <w:qFormat/>
    <w:uiPriority w:val="34"/>
    <w:pPr>
      <w:ind w:firstLine="420" w:firstLineChars="200"/>
    </w:pPr>
    <w:rPr>
      <w:szCs w:val="24"/>
    </w:rPr>
  </w:style>
  <w:style w:type="character" w:customStyle="1" w:styleId="271">
    <w:name w:val="日期 Char1"/>
    <w:qFormat/>
    <w:locked/>
    <w:uiPriority w:val="99"/>
    <w:rPr>
      <w:rFonts w:ascii="Times New Roman" w:hAnsi="Times New Roman" w:eastAsia="宋体" w:cs="Times New Roman"/>
      <w:szCs w:val="24"/>
    </w:rPr>
  </w:style>
  <w:style w:type="character" w:customStyle="1" w:styleId="272">
    <w:name w:val="批注框文本 Char1"/>
    <w:qFormat/>
    <w:locked/>
    <w:uiPriority w:val="99"/>
    <w:rPr>
      <w:rFonts w:ascii="Times New Roman" w:hAnsi="Times New Roman" w:eastAsia="宋体" w:cs="Times New Roman"/>
      <w:sz w:val="18"/>
      <w:szCs w:val="18"/>
    </w:rPr>
  </w:style>
  <w:style w:type="character" w:customStyle="1" w:styleId="273">
    <w:name w:val="批注主题 Char1"/>
    <w:qFormat/>
    <w:locked/>
    <w:uiPriority w:val="99"/>
    <w:rPr>
      <w:rFonts w:ascii="Times New Roman" w:hAnsi="Times New Roman" w:eastAsia="宋体" w:cs="Times New Roman"/>
      <w:b/>
      <w:bCs/>
      <w:szCs w:val="20"/>
    </w:rPr>
  </w:style>
  <w:style w:type="paragraph" w:customStyle="1" w:styleId="274">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character" w:customStyle="1" w:styleId="275">
    <w:name w:val="称呼 Char1"/>
    <w:basedOn w:val="57"/>
    <w:link w:val="21"/>
    <w:qFormat/>
    <w:uiPriority w:val="0"/>
    <w:rPr>
      <w:rFonts w:ascii="Times New Roman" w:hAnsi="Times New Roman" w:eastAsia="宋体"/>
      <w:sz w:val="30"/>
    </w:rPr>
  </w:style>
  <w:style w:type="character" w:customStyle="1" w:styleId="276">
    <w:name w:val="称呼 Char"/>
    <w:basedOn w:val="57"/>
    <w:qFormat/>
    <w:uiPriority w:val="0"/>
    <w:rPr>
      <w:rFonts w:ascii="Calibri" w:hAnsi="Calibri" w:eastAsia="宋体"/>
      <w:kern w:val="2"/>
      <w:sz w:val="21"/>
      <w:szCs w:val="22"/>
    </w:rPr>
  </w:style>
  <w:style w:type="character" w:customStyle="1" w:styleId="277">
    <w:name w:val="签名 Char1"/>
    <w:basedOn w:val="57"/>
    <w:link w:val="37"/>
    <w:qFormat/>
    <w:uiPriority w:val="0"/>
    <w:rPr>
      <w:rFonts w:ascii="Wund" w:hAnsi="Wund" w:eastAsia="宋体"/>
      <w:sz w:val="22"/>
      <w:lang w:val="de-DE" w:eastAsia="de-DE"/>
    </w:rPr>
  </w:style>
  <w:style w:type="character" w:customStyle="1" w:styleId="278">
    <w:name w:val="签名 Char"/>
    <w:basedOn w:val="57"/>
    <w:qFormat/>
    <w:uiPriority w:val="0"/>
    <w:rPr>
      <w:rFonts w:ascii="Calibri" w:hAnsi="Calibri" w:eastAsia="宋体"/>
      <w:kern w:val="2"/>
      <w:sz w:val="21"/>
      <w:szCs w:val="22"/>
    </w:rPr>
  </w:style>
  <w:style w:type="character" w:customStyle="1" w:styleId="279">
    <w:name w:val="副标题 Char3"/>
    <w:basedOn w:val="57"/>
    <w:link w:val="40"/>
    <w:qFormat/>
    <w:uiPriority w:val="0"/>
    <w:rPr>
      <w:rFonts w:ascii="Cambria" w:hAnsi="Cambria" w:eastAsia="宋体"/>
      <w:b/>
      <w:bCs/>
      <w:kern w:val="28"/>
      <w:sz w:val="32"/>
      <w:szCs w:val="32"/>
      <w:lang w:val="de-DE" w:eastAsia="de-DE"/>
    </w:rPr>
  </w:style>
  <w:style w:type="character" w:customStyle="1" w:styleId="280">
    <w:name w:val="副标题 Char"/>
    <w:basedOn w:val="57"/>
    <w:qFormat/>
    <w:uiPriority w:val="0"/>
    <w:rPr>
      <w:rFonts w:eastAsia="宋体" w:asciiTheme="majorHAnsi" w:hAnsiTheme="majorHAnsi" w:cstheme="majorBidi"/>
      <w:b/>
      <w:bCs/>
      <w:kern w:val="28"/>
      <w:sz w:val="32"/>
      <w:szCs w:val="32"/>
    </w:rPr>
  </w:style>
  <w:style w:type="character" w:customStyle="1" w:styleId="281">
    <w:name w:val="HTML 预设格式 Char2"/>
    <w:basedOn w:val="57"/>
    <w:link w:val="49"/>
    <w:qFormat/>
    <w:uiPriority w:val="0"/>
    <w:rPr>
      <w:rFonts w:ascii="Courier New" w:hAnsi="Courier New" w:eastAsia="宋体"/>
      <w:lang w:val="de-DE" w:eastAsia="de-DE"/>
    </w:rPr>
  </w:style>
  <w:style w:type="character" w:customStyle="1" w:styleId="282">
    <w:name w:val="HTML 预设格式 Char"/>
    <w:basedOn w:val="57"/>
    <w:qFormat/>
    <w:uiPriority w:val="0"/>
    <w:rPr>
      <w:rFonts w:ascii="Courier New" w:hAnsi="Courier New" w:eastAsia="宋体" w:cs="Courier New"/>
      <w:kern w:val="2"/>
    </w:rPr>
  </w:style>
  <w:style w:type="character" w:customStyle="1" w:styleId="283">
    <w:name w:val="标题 5 Char1"/>
    <w:qFormat/>
    <w:uiPriority w:val="9"/>
    <w:rPr>
      <w:rFonts w:ascii="Arial" w:hAnsi="Arial" w:eastAsia="宋体" w:cs="Times New Roman"/>
      <w:color w:val="000000"/>
      <w:kern w:val="2"/>
      <w:sz w:val="21"/>
      <w:szCs w:val="21"/>
    </w:rPr>
  </w:style>
  <w:style w:type="character" w:customStyle="1" w:styleId="284">
    <w:name w:val="times"/>
    <w:qFormat/>
    <w:uiPriority w:val="0"/>
    <w:rPr>
      <w:color w:val="CDCDCD"/>
      <w:bdr w:val="single" w:color="CDCDCD" w:sz="6" w:space="0"/>
      <w:shd w:val="clear" w:color="auto" w:fill="EFEFEF"/>
    </w:rPr>
  </w:style>
  <w:style w:type="character" w:customStyle="1" w:styleId="285">
    <w:name w:val="标题 4 Char1"/>
    <w:qFormat/>
    <w:uiPriority w:val="9"/>
    <w:rPr>
      <w:rFonts w:ascii="Arial" w:hAnsi="Arial"/>
      <w:color w:val="000000"/>
      <w:kern w:val="2"/>
      <w:sz w:val="21"/>
      <w:szCs w:val="21"/>
    </w:rPr>
  </w:style>
  <w:style w:type="paragraph" w:customStyle="1" w:styleId="286">
    <w:name w:val="_Style 28"/>
    <w:basedOn w:val="1"/>
    <w:next w:val="136"/>
    <w:qFormat/>
    <w:uiPriority w:val="0"/>
    <w:pPr>
      <w:ind w:firstLine="420" w:firstLineChars="200"/>
    </w:pPr>
    <w:rPr>
      <w:rFonts w:ascii="Times New Roman" w:hAnsi="Times New Roman"/>
      <w:kern w:val="0"/>
      <w:sz w:val="20"/>
      <w:szCs w:val="20"/>
    </w:rPr>
  </w:style>
  <w:style w:type="character" w:customStyle="1" w:styleId="287">
    <w:name w:val="hover42"/>
    <w:basedOn w:val="57"/>
    <w:qFormat/>
    <w:uiPriority w:val="0"/>
  </w:style>
  <w:style w:type="character" w:customStyle="1" w:styleId="288">
    <w:name w:val="标题 9 Char1"/>
    <w:qFormat/>
    <w:uiPriority w:val="9"/>
    <w:rPr>
      <w:rFonts w:ascii="Arial" w:hAnsi="Arial" w:eastAsia="黑体"/>
      <w:kern w:val="2"/>
      <w:sz w:val="21"/>
    </w:rPr>
  </w:style>
  <w:style w:type="character" w:customStyle="1" w:styleId="289">
    <w:name w:val="标题 7 Char1"/>
    <w:qFormat/>
    <w:uiPriority w:val="9"/>
    <w:rPr>
      <w:b/>
      <w:kern w:val="2"/>
      <w:sz w:val="24"/>
    </w:rPr>
  </w:style>
  <w:style w:type="character" w:customStyle="1" w:styleId="290">
    <w:name w:val="times1"/>
    <w:qFormat/>
    <w:uiPriority w:val="0"/>
    <w:rPr>
      <w:color w:val="3399FF"/>
      <w:bdr w:val="single" w:color="D1EDF8" w:sz="6" w:space="0"/>
      <w:shd w:val="clear" w:color="auto" w:fill="EAF9FF"/>
    </w:rPr>
  </w:style>
  <w:style w:type="character" w:customStyle="1" w:styleId="291">
    <w:name w:val="标题 8 Char1"/>
    <w:qFormat/>
    <w:uiPriority w:val="9"/>
    <w:rPr>
      <w:rFonts w:ascii="Arial" w:hAnsi="Arial" w:eastAsia="黑体"/>
      <w:kern w:val="2"/>
      <w:sz w:val="24"/>
    </w:rPr>
  </w:style>
  <w:style w:type="character" w:customStyle="1" w:styleId="292">
    <w:name w:val="hover41"/>
    <w:basedOn w:val="57"/>
    <w:qFormat/>
    <w:uiPriority w:val="0"/>
  </w:style>
  <w:style w:type="paragraph" w:customStyle="1" w:styleId="293">
    <w:name w:val="List Paragraph1"/>
    <w:basedOn w:val="1"/>
    <w:qFormat/>
    <w:uiPriority w:val="99"/>
    <w:pPr>
      <w:ind w:firstLine="420" w:firstLineChars="200"/>
    </w:pPr>
  </w:style>
  <w:style w:type="character" w:customStyle="1" w:styleId="294">
    <w:name w:val="hover40"/>
    <w:basedOn w:val="57"/>
    <w:qFormat/>
    <w:uiPriority w:val="0"/>
  </w:style>
  <w:style w:type="paragraph" w:customStyle="1" w:styleId="295">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6">
    <w:name w:val="sh141"/>
    <w:qFormat/>
    <w:uiPriority w:val="0"/>
    <w:rPr>
      <w:color w:val="auto"/>
      <w:sz w:val="21"/>
      <w:szCs w:val="21"/>
    </w:rPr>
  </w:style>
  <w:style w:type="character" w:customStyle="1" w:styleId="297">
    <w:name w:val="标题 5 Char Char"/>
    <w:qFormat/>
    <w:uiPriority w:val="0"/>
    <w:rPr>
      <w:b/>
      <w:kern w:val="2"/>
      <w:sz w:val="28"/>
    </w:rPr>
  </w:style>
  <w:style w:type="character" w:customStyle="1" w:styleId="298">
    <w:name w:val="正文文本 Char1"/>
    <w:qFormat/>
    <w:uiPriority w:val="99"/>
    <w:rPr>
      <w:kern w:val="2"/>
      <w:sz w:val="21"/>
      <w:szCs w:val="24"/>
    </w:rPr>
  </w:style>
  <w:style w:type="character" w:customStyle="1" w:styleId="299">
    <w:name w:val="Char Char10"/>
    <w:qFormat/>
    <w:uiPriority w:val="0"/>
    <w:rPr>
      <w:rFonts w:hint="eastAsia" w:ascii="楷体_GB2312" w:eastAsia="楷体_GB2312"/>
      <w:b/>
      <w:spacing w:val="-24"/>
      <w:sz w:val="28"/>
    </w:rPr>
  </w:style>
  <w:style w:type="character" w:customStyle="1" w:styleId="300">
    <w:name w:val="副标题 Char2"/>
    <w:qFormat/>
    <w:uiPriority w:val="11"/>
    <w:rPr>
      <w:rFonts w:ascii="Cambria" w:hAnsi="Cambria" w:eastAsia="宋体" w:cs="Times New Roman"/>
      <w:b/>
      <w:bCs/>
      <w:kern w:val="28"/>
      <w:sz w:val="32"/>
      <w:szCs w:val="32"/>
    </w:rPr>
  </w:style>
  <w:style w:type="character" w:customStyle="1" w:styleId="301">
    <w:name w:val="Char Char11"/>
    <w:qFormat/>
    <w:uiPriority w:val="0"/>
    <w:rPr>
      <w:rFonts w:ascii="楷体_GB2312" w:eastAsia="楷体_GB2312"/>
      <w:sz w:val="18"/>
    </w:rPr>
  </w:style>
  <w:style w:type="character" w:customStyle="1" w:styleId="302">
    <w:name w:val="Char Char9"/>
    <w:qFormat/>
    <w:uiPriority w:val="0"/>
    <w:rPr>
      <w:sz w:val="18"/>
      <w:szCs w:val="18"/>
    </w:rPr>
  </w:style>
  <w:style w:type="character" w:customStyle="1" w:styleId="303">
    <w:name w:val="正文文本 3 Char1"/>
    <w:qFormat/>
    <w:uiPriority w:val="99"/>
    <w:rPr>
      <w:kern w:val="2"/>
      <w:sz w:val="16"/>
      <w:szCs w:val="16"/>
    </w:rPr>
  </w:style>
  <w:style w:type="character" w:customStyle="1" w:styleId="304">
    <w:name w:val="标题 1 Char Char"/>
    <w:qFormat/>
    <w:uiPriority w:val="0"/>
    <w:rPr>
      <w:b/>
      <w:kern w:val="44"/>
      <w:sz w:val="44"/>
    </w:rPr>
  </w:style>
  <w:style w:type="character" w:customStyle="1" w:styleId="305">
    <w:name w:val="font11"/>
    <w:qFormat/>
    <w:uiPriority w:val="0"/>
    <w:rPr>
      <w:rFonts w:hint="default" w:ascii="Times New Roman" w:hAnsi="Times New Roman" w:cs="Times New Roman"/>
      <w:color w:val="000000"/>
      <w:sz w:val="24"/>
      <w:szCs w:val="24"/>
      <w:u w:val="none"/>
    </w:rPr>
  </w:style>
  <w:style w:type="character" w:customStyle="1" w:styleId="306">
    <w:name w:val="Char Char13"/>
    <w:qFormat/>
    <w:uiPriority w:val="0"/>
    <w:rPr>
      <w:rFonts w:ascii="宋体"/>
      <w:sz w:val="28"/>
    </w:rPr>
  </w:style>
  <w:style w:type="character" w:customStyle="1" w:styleId="307">
    <w:name w:val="Numerierungszeichen"/>
    <w:qFormat/>
    <w:uiPriority w:val="0"/>
    <w:rPr>
      <w:sz w:val="24"/>
      <w:szCs w:val="24"/>
    </w:rPr>
  </w:style>
  <w:style w:type="character" w:customStyle="1" w:styleId="308">
    <w:name w:val="Char Char121"/>
    <w:qFormat/>
    <w:uiPriority w:val="0"/>
    <w:rPr>
      <w:rFonts w:ascii="Wund" w:hAnsi="Wund" w:eastAsia="宋体" w:cs="Wund"/>
      <w:sz w:val="22"/>
      <w:szCs w:val="22"/>
      <w:lang w:val="de-DE" w:eastAsia="de-DE"/>
    </w:rPr>
  </w:style>
  <w:style w:type="character" w:customStyle="1" w:styleId="309">
    <w:name w:val="HTML 预设格式 Char1"/>
    <w:qFormat/>
    <w:uiPriority w:val="0"/>
    <w:rPr>
      <w:rFonts w:ascii="Courier New" w:hAnsi="Courier New" w:cs="Courier New"/>
      <w:kern w:val="2"/>
    </w:rPr>
  </w:style>
  <w:style w:type="character" w:customStyle="1" w:styleId="310">
    <w:name w:val="WW-Endnotenzeichen"/>
    <w:qFormat/>
    <w:uiPriority w:val="0"/>
    <w:rPr>
      <w:sz w:val="24"/>
      <w:szCs w:val="24"/>
      <w:vertAlign w:val="superscript"/>
    </w:rPr>
  </w:style>
  <w:style w:type="character" w:customStyle="1" w:styleId="311">
    <w:name w:val="Einleitung"/>
    <w:qFormat/>
    <w:uiPriority w:val="0"/>
    <w:rPr>
      <w:b/>
      <w:bCs/>
      <w:i/>
      <w:iCs/>
      <w:sz w:val="24"/>
      <w:szCs w:val="24"/>
    </w:rPr>
  </w:style>
  <w:style w:type="character" w:customStyle="1" w:styleId="312">
    <w:name w:val="Char Char91"/>
    <w:qFormat/>
    <w:uiPriority w:val="0"/>
    <w:rPr>
      <w:sz w:val="18"/>
      <w:szCs w:val="18"/>
    </w:rPr>
  </w:style>
  <w:style w:type="character" w:customStyle="1" w:styleId="313">
    <w:name w:val="Char Char6"/>
    <w:qFormat/>
    <w:uiPriority w:val="0"/>
    <w:rPr>
      <w:shd w:val="clear" w:color="auto" w:fill="000080"/>
    </w:rPr>
  </w:style>
  <w:style w:type="character" w:customStyle="1" w:styleId="314">
    <w:name w:val="日期 Char Char"/>
    <w:qFormat/>
    <w:uiPriority w:val="0"/>
    <w:rPr>
      <w:kern w:val="2"/>
      <w:sz w:val="21"/>
    </w:rPr>
  </w:style>
  <w:style w:type="character" w:customStyle="1" w:styleId="315">
    <w:name w:val="正文文本缩进 3 Char Char"/>
    <w:qFormat/>
    <w:uiPriority w:val="0"/>
    <w:rPr>
      <w:kern w:val="2"/>
      <w:sz w:val="16"/>
    </w:rPr>
  </w:style>
  <w:style w:type="character" w:customStyle="1" w:styleId="316">
    <w:name w:val="页眉 Char2"/>
    <w:qFormat/>
    <w:uiPriority w:val="99"/>
    <w:rPr>
      <w:kern w:val="2"/>
      <w:sz w:val="18"/>
      <w:szCs w:val="18"/>
    </w:rPr>
  </w:style>
  <w:style w:type="character" w:customStyle="1" w:styleId="317">
    <w:name w:val="页脚 Char Char"/>
    <w:qFormat/>
    <w:uiPriority w:val="0"/>
    <w:rPr>
      <w:kern w:val="2"/>
      <w:sz w:val="18"/>
    </w:rPr>
  </w:style>
  <w:style w:type="character" w:customStyle="1" w:styleId="318">
    <w:name w:val="样式 楷体_GB2312"/>
    <w:qFormat/>
    <w:uiPriority w:val="0"/>
    <w:rPr>
      <w:rFonts w:ascii="楷体_GB2312" w:hAnsi="楷体_GB2312" w:eastAsia="楷体_GB2312" w:cs="楷体_GB2312"/>
    </w:rPr>
  </w:style>
  <w:style w:type="character" w:customStyle="1" w:styleId="319">
    <w:name w:val="正文文本 Char Char"/>
    <w:qFormat/>
    <w:uiPriority w:val="0"/>
    <w:rPr>
      <w:kern w:val="2"/>
      <w:sz w:val="21"/>
    </w:rPr>
  </w:style>
  <w:style w:type="character" w:customStyle="1" w:styleId="320">
    <w:name w:val="批注框文本 Char Char"/>
    <w:qFormat/>
    <w:uiPriority w:val="0"/>
    <w:rPr>
      <w:kern w:val="2"/>
      <w:sz w:val="18"/>
    </w:rPr>
  </w:style>
  <w:style w:type="character" w:customStyle="1" w:styleId="321">
    <w:name w:val="标书正文格式 Char Char"/>
    <w:link w:val="322"/>
    <w:qFormat/>
    <w:uiPriority w:val="0"/>
    <w:rPr>
      <w:rFonts w:eastAsia="楷体_GB2312"/>
      <w:sz w:val="24"/>
      <w:szCs w:val="24"/>
    </w:rPr>
  </w:style>
  <w:style w:type="paragraph" w:customStyle="1" w:styleId="322">
    <w:name w:val="标书正文格式"/>
    <w:link w:val="321"/>
    <w:qFormat/>
    <w:uiPriority w:val="0"/>
    <w:pPr>
      <w:spacing w:line="360" w:lineRule="auto"/>
      <w:ind w:firstLine="200" w:firstLineChars="200"/>
    </w:pPr>
    <w:rPr>
      <w:rFonts w:ascii="等线" w:hAnsi="等线" w:eastAsia="楷体_GB2312" w:cs="Times New Roman"/>
      <w:sz w:val="24"/>
      <w:szCs w:val="24"/>
      <w:lang w:val="en-US" w:eastAsia="zh-CN" w:bidi="ar-SA"/>
    </w:rPr>
  </w:style>
  <w:style w:type="character" w:customStyle="1" w:styleId="323">
    <w:name w:val="标题 3 Char1"/>
    <w:qFormat/>
    <w:uiPriority w:val="0"/>
    <w:rPr>
      <w:rFonts w:ascii="仿宋_GB2312" w:eastAsia="仿宋_GB2312"/>
      <w:kern w:val="2"/>
      <w:sz w:val="32"/>
      <w:lang w:val="en-US" w:eastAsia="zh-CN" w:bidi="ar-SA"/>
    </w:rPr>
  </w:style>
  <w:style w:type="character" w:customStyle="1" w:styleId="324">
    <w:name w:val="副标题 Char1"/>
    <w:qFormat/>
    <w:uiPriority w:val="0"/>
    <w:rPr>
      <w:rFonts w:ascii="Cambria" w:hAnsi="Cambria" w:cs="Times New Roman"/>
      <w:b/>
      <w:bCs/>
      <w:kern w:val="28"/>
      <w:sz w:val="32"/>
      <w:szCs w:val="32"/>
    </w:rPr>
  </w:style>
  <w:style w:type="character" w:customStyle="1" w:styleId="325">
    <w:name w:val="Char Char101"/>
    <w:qFormat/>
    <w:uiPriority w:val="0"/>
    <w:rPr>
      <w:rFonts w:ascii="楷体_GB2312" w:eastAsia="楷体_GB2312"/>
      <w:b/>
      <w:spacing w:val="-24"/>
      <w:sz w:val="28"/>
    </w:rPr>
  </w:style>
  <w:style w:type="character" w:customStyle="1" w:styleId="326">
    <w:name w:val="Char Char61"/>
    <w:qFormat/>
    <w:uiPriority w:val="0"/>
    <w:rPr>
      <w:shd w:val="clear" w:color="auto" w:fill="000080"/>
    </w:rPr>
  </w:style>
  <w:style w:type="character" w:customStyle="1" w:styleId="327">
    <w:name w:val="标题 Char Char"/>
    <w:qFormat/>
    <w:uiPriority w:val="0"/>
    <w:rPr>
      <w:rFonts w:ascii="Cambria" w:hAnsi="Cambria"/>
      <w:b/>
      <w:kern w:val="2"/>
      <w:sz w:val="32"/>
    </w:rPr>
  </w:style>
  <w:style w:type="character" w:customStyle="1" w:styleId="328">
    <w:name w:val="p12"/>
    <w:basedOn w:val="57"/>
    <w:qFormat/>
    <w:uiPriority w:val="0"/>
  </w:style>
  <w:style w:type="character" w:customStyle="1" w:styleId="329">
    <w:name w:val="Char Char8"/>
    <w:qFormat/>
    <w:uiPriority w:val="0"/>
    <w:rPr>
      <w:sz w:val="18"/>
      <w:szCs w:val="18"/>
    </w:rPr>
  </w:style>
  <w:style w:type="character" w:customStyle="1" w:styleId="330">
    <w:name w:val="textcontents"/>
    <w:basedOn w:val="57"/>
    <w:qFormat/>
    <w:uiPriority w:val="0"/>
  </w:style>
  <w:style w:type="character" w:customStyle="1" w:styleId="331">
    <w:name w:val="消息标题号"/>
    <w:qFormat/>
    <w:uiPriority w:val="0"/>
    <w:rPr>
      <w:rFonts w:ascii="Arial Black" w:hAnsi="Arial Black" w:eastAsia="黑体"/>
      <w:b/>
      <w:sz w:val="21"/>
      <w:lang w:eastAsia="zh-CN"/>
    </w:rPr>
  </w:style>
  <w:style w:type="character" w:customStyle="1" w:styleId="332">
    <w:name w:val="Body Text Char"/>
    <w:qFormat/>
    <w:uiPriority w:val="0"/>
    <w:rPr>
      <w:rFonts w:ascii="Wund" w:hAnsi="Wund" w:eastAsia="宋体" w:cs="Times New Roman"/>
      <w:sz w:val="22"/>
      <w:lang w:val="de-DE" w:eastAsia="de-DE"/>
    </w:rPr>
  </w:style>
  <w:style w:type="character" w:customStyle="1" w:styleId="333">
    <w:name w:val="WW-Anmerkungszeichen"/>
    <w:qFormat/>
    <w:uiPriority w:val="0"/>
    <w:rPr>
      <w:sz w:val="16"/>
      <w:szCs w:val="16"/>
    </w:rPr>
  </w:style>
  <w:style w:type="character" w:customStyle="1" w:styleId="334">
    <w:name w:val="Hochgestellt"/>
    <w:qFormat/>
    <w:uiPriority w:val="0"/>
    <w:rPr>
      <w:sz w:val="24"/>
      <w:szCs w:val="24"/>
      <w:vertAlign w:val="superscript"/>
    </w:rPr>
  </w:style>
  <w:style w:type="character" w:customStyle="1" w:styleId="335">
    <w:name w:val="称呼 Char2"/>
    <w:qFormat/>
    <w:uiPriority w:val="0"/>
    <w:rPr>
      <w:kern w:val="2"/>
      <w:sz w:val="21"/>
      <w:szCs w:val="24"/>
    </w:rPr>
  </w:style>
  <w:style w:type="character" w:customStyle="1" w:styleId="336">
    <w:name w:val="脚注文本 Char Char"/>
    <w:qFormat/>
    <w:uiPriority w:val="0"/>
    <w:rPr>
      <w:kern w:val="2"/>
      <w:sz w:val="18"/>
    </w:rPr>
  </w:style>
  <w:style w:type="character" w:customStyle="1" w:styleId="337">
    <w:name w:val="WW-Zeilennummer"/>
    <w:qFormat/>
    <w:uiPriority w:val="0"/>
    <w:rPr>
      <w:rFonts w:ascii="Arial" w:hAnsi="Arial" w:cs="Arial"/>
      <w:sz w:val="18"/>
      <w:szCs w:val="18"/>
    </w:rPr>
  </w:style>
  <w:style w:type="character" w:customStyle="1" w:styleId="338">
    <w:name w:val="hl"/>
    <w:qFormat/>
    <w:uiPriority w:val="0"/>
    <w:rPr>
      <w:b/>
      <w:bCs/>
    </w:rPr>
  </w:style>
  <w:style w:type="character" w:customStyle="1" w:styleId="339">
    <w:name w:val="highlight1"/>
    <w:qFormat/>
    <w:uiPriority w:val="0"/>
    <w:rPr>
      <w:sz w:val="28"/>
      <w:szCs w:val="28"/>
    </w:rPr>
  </w:style>
  <w:style w:type="character" w:customStyle="1" w:styleId="340">
    <w:name w:val="不明显强调1"/>
    <w:qFormat/>
    <w:uiPriority w:val="19"/>
    <w:rPr>
      <w:rFonts w:eastAsia="宋体" w:cs="Times New Roman"/>
      <w:i/>
      <w:iCs/>
      <w:color w:val="808080"/>
      <w:szCs w:val="22"/>
      <w:lang w:eastAsia="zh-CN"/>
    </w:rPr>
  </w:style>
  <w:style w:type="character" w:customStyle="1" w:styleId="341">
    <w:name w:val="Char Char111"/>
    <w:qFormat/>
    <w:uiPriority w:val="0"/>
    <w:rPr>
      <w:rFonts w:hint="eastAsia" w:ascii="楷体_GB2312" w:eastAsia="楷体_GB2312"/>
      <w:sz w:val="18"/>
    </w:rPr>
  </w:style>
  <w:style w:type="character" w:customStyle="1" w:styleId="342">
    <w:name w:val="WW-Absatz-Standardschriftart"/>
    <w:qFormat/>
    <w:uiPriority w:val="0"/>
    <w:rPr>
      <w:sz w:val="24"/>
      <w:szCs w:val="24"/>
    </w:rPr>
  </w:style>
  <w:style w:type="character" w:customStyle="1" w:styleId="343">
    <w:name w:val="正文文本缩进 2 Char Char"/>
    <w:qFormat/>
    <w:uiPriority w:val="0"/>
    <w:rPr>
      <w:kern w:val="2"/>
      <w:sz w:val="21"/>
    </w:rPr>
  </w:style>
  <w:style w:type="character" w:customStyle="1" w:styleId="344">
    <w:name w:val="纯文本 Char Char Char1"/>
    <w:qFormat/>
    <w:uiPriority w:val="0"/>
    <w:rPr>
      <w:rFonts w:ascii="宋体" w:hAnsi="Courier New" w:cs="金山简魏碑"/>
      <w:kern w:val="2"/>
      <w:sz w:val="21"/>
      <w:szCs w:val="21"/>
    </w:rPr>
  </w:style>
  <w:style w:type="character" w:customStyle="1" w:styleId="345">
    <w:name w:val="页脚 Char1"/>
    <w:qFormat/>
    <w:uiPriority w:val="99"/>
    <w:rPr>
      <w:kern w:val="2"/>
      <w:sz w:val="18"/>
      <w:szCs w:val="18"/>
    </w:rPr>
  </w:style>
  <w:style w:type="character" w:customStyle="1" w:styleId="346">
    <w:name w:val="Char Char7"/>
    <w:qFormat/>
    <w:uiPriority w:val="0"/>
    <w:rPr>
      <w:rFonts w:ascii="仿宋_GB2312" w:eastAsia="仿宋_GB2312"/>
      <w:sz w:val="28"/>
    </w:rPr>
  </w:style>
  <w:style w:type="character" w:customStyle="1" w:styleId="347">
    <w:name w:val="Char Char12"/>
    <w:qFormat/>
    <w:uiPriority w:val="0"/>
    <w:rPr>
      <w:rFonts w:hint="eastAsia" w:ascii="宋体" w:hAnsi="宋体" w:eastAsia="宋体"/>
      <w:sz w:val="28"/>
    </w:rPr>
  </w:style>
  <w:style w:type="character" w:customStyle="1" w:styleId="348">
    <w:name w:val="Platzhalter"/>
    <w:qFormat/>
    <w:uiPriority w:val="0"/>
    <w:rPr>
      <w:smallCaps/>
      <w:color w:val="008080"/>
      <w:sz w:val="24"/>
      <w:szCs w:val="24"/>
      <w:u w:val="dotted"/>
    </w:rPr>
  </w:style>
  <w:style w:type="character" w:customStyle="1" w:styleId="349">
    <w:name w:val="Char Char14"/>
    <w:qFormat/>
    <w:uiPriority w:val="0"/>
    <w:rPr>
      <w:b/>
      <w:bCs/>
      <w:kern w:val="2"/>
      <w:sz w:val="32"/>
      <w:szCs w:val="32"/>
    </w:rPr>
  </w:style>
  <w:style w:type="character" w:customStyle="1" w:styleId="350">
    <w:name w:val="Char Char15"/>
    <w:qFormat/>
    <w:uiPriority w:val="0"/>
    <w:rPr>
      <w:b/>
      <w:bCs/>
      <w:kern w:val="44"/>
      <w:sz w:val="44"/>
      <w:szCs w:val="44"/>
    </w:rPr>
  </w:style>
  <w:style w:type="character" w:customStyle="1" w:styleId="351">
    <w:name w:val="无间隔 Char"/>
    <w:link w:val="352"/>
    <w:qFormat/>
    <w:uiPriority w:val="1"/>
    <w:rPr>
      <w:rFonts w:ascii="Calibri" w:hAnsi="Calibri"/>
      <w:sz w:val="22"/>
      <w:szCs w:val="22"/>
    </w:rPr>
  </w:style>
  <w:style w:type="paragraph" w:styleId="352">
    <w:name w:val="No Spacing"/>
    <w:link w:val="351"/>
    <w:qFormat/>
    <w:uiPriority w:val="1"/>
    <w:rPr>
      <w:rFonts w:ascii="Calibri" w:hAnsi="Calibri" w:eastAsia="等线" w:cs="Times New Roman"/>
      <w:sz w:val="22"/>
      <w:szCs w:val="22"/>
      <w:lang w:val="en-US" w:eastAsia="zh-CN" w:bidi="ar-SA"/>
    </w:rPr>
  </w:style>
  <w:style w:type="character" w:customStyle="1" w:styleId="353">
    <w:name w:val="Footer Char"/>
    <w:qFormat/>
    <w:uiPriority w:val="0"/>
    <w:rPr>
      <w:rFonts w:ascii="Wund" w:hAnsi="Wund" w:cs="Times New Roman"/>
      <w:sz w:val="22"/>
      <w:lang w:val="de-DE" w:eastAsia="de-DE"/>
    </w:rPr>
  </w:style>
  <w:style w:type="character" w:customStyle="1" w:styleId="354">
    <w:name w:val="Char Char71"/>
    <w:qFormat/>
    <w:uiPriority w:val="0"/>
    <w:rPr>
      <w:rFonts w:hint="eastAsia" w:ascii="仿宋_GB2312" w:eastAsia="仿宋_GB2312"/>
      <w:sz w:val="28"/>
    </w:rPr>
  </w:style>
  <w:style w:type="character" w:customStyle="1" w:styleId="355">
    <w:name w:val="Char Char122"/>
    <w:qFormat/>
    <w:uiPriority w:val="0"/>
    <w:rPr>
      <w:rFonts w:ascii="宋体"/>
      <w:sz w:val="28"/>
    </w:rPr>
  </w:style>
  <w:style w:type="character" w:customStyle="1" w:styleId="356">
    <w:name w:val="标题 6 Char Char"/>
    <w:qFormat/>
    <w:uiPriority w:val="0"/>
    <w:rPr>
      <w:rFonts w:ascii="Cambria" w:hAnsi="Cambria" w:eastAsia="宋体"/>
      <w:b/>
      <w:kern w:val="2"/>
      <w:sz w:val="24"/>
    </w:rPr>
  </w:style>
  <w:style w:type="character" w:customStyle="1" w:styleId="357">
    <w:name w:val="Char Char21"/>
    <w:qFormat/>
    <w:uiPriority w:val="0"/>
    <w:rPr>
      <w:rFonts w:ascii="Wund" w:hAnsi="Wund" w:eastAsia="宋体" w:cs="Wund"/>
      <w:sz w:val="22"/>
      <w:szCs w:val="22"/>
      <w:lang w:val="de-DE" w:eastAsia="de-DE"/>
    </w:rPr>
  </w:style>
  <w:style w:type="character" w:customStyle="1" w:styleId="358">
    <w:name w:val="bar_info2"/>
    <w:basedOn w:val="57"/>
    <w:qFormat/>
    <w:uiPriority w:val="0"/>
  </w:style>
  <w:style w:type="character" w:customStyle="1" w:styleId="359">
    <w:name w:val="标书正文 Char1"/>
    <w:link w:val="360"/>
    <w:qFormat/>
    <w:uiPriority w:val="0"/>
    <w:rPr>
      <w:rFonts w:ascii="宋体" w:hAnsi="宋体"/>
      <w:bCs/>
      <w:sz w:val="24"/>
      <w:szCs w:val="24"/>
    </w:rPr>
  </w:style>
  <w:style w:type="paragraph" w:customStyle="1" w:styleId="360">
    <w:name w:val="标书正文"/>
    <w:basedOn w:val="1"/>
    <w:link w:val="359"/>
    <w:qFormat/>
    <w:uiPriority w:val="0"/>
    <w:pPr>
      <w:tabs>
        <w:tab w:val="left" w:pos="4680"/>
      </w:tabs>
      <w:adjustRightInd w:val="0"/>
      <w:snapToGrid w:val="0"/>
      <w:spacing w:line="360" w:lineRule="auto"/>
      <w:ind w:firstLine="480" w:firstLineChars="200"/>
      <w:jc w:val="left"/>
    </w:pPr>
    <w:rPr>
      <w:rFonts w:ascii="宋体" w:hAnsi="宋体" w:eastAsia="等线"/>
      <w:bCs/>
      <w:kern w:val="0"/>
      <w:sz w:val="24"/>
      <w:szCs w:val="24"/>
    </w:rPr>
  </w:style>
  <w:style w:type="character" w:customStyle="1" w:styleId="361">
    <w:name w:val="Char Char81"/>
    <w:qFormat/>
    <w:uiPriority w:val="0"/>
    <w:rPr>
      <w:sz w:val="18"/>
      <w:szCs w:val="18"/>
    </w:rPr>
  </w:style>
  <w:style w:type="character" w:customStyle="1" w:styleId="362">
    <w:name w:val="标题 4 Char Char"/>
    <w:qFormat/>
    <w:uiPriority w:val="0"/>
    <w:rPr>
      <w:rFonts w:ascii="Cambria" w:hAnsi="Cambria" w:eastAsia="宋体"/>
      <w:b/>
      <w:kern w:val="2"/>
      <w:sz w:val="28"/>
    </w:rPr>
  </w:style>
  <w:style w:type="character" w:customStyle="1" w:styleId="363">
    <w:name w:val="页眉 Char Char"/>
    <w:qFormat/>
    <w:uiPriority w:val="0"/>
    <w:rPr>
      <w:kern w:val="2"/>
      <w:sz w:val="18"/>
    </w:rPr>
  </w:style>
  <w:style w:type="character" w:customStyle="1" w:styleId="364">
    <w:name w:val="z正文 Char Char Char"/>
    <w:link w:val="365"/>
    <w:qFormat/>
    <w:uiPriority w:val="0"/>
    <w:rPr>
      <w:sz w:val="24"/>
    </w:rPr>
  </w:style>
  <w:style w:type="paragraph" w:customStyle="1" w:styleId="365">
    <w:name w:val="z正文 Char"/>
    <w:basedOn w:val="1"/>
    <w:link w:val="364"/>
    <w:qFormat/>
    <w:uiPriority w:val="0"/>
    <w:pPr>
      <w:adjustRightInd w:val="0"/>
      <w:spacing w:line="360" w:lineRule="auto"/>
    </w:pPr>
    <w:rPr>
      <w:rFonts w:ascii="等线" w:hAnsi="等线" w:eastAsia="等线"/>
      <w:kern w:val="0"/>
      <w:sz w:val="24"/>
      <w:szCs w:val="20"/>
    </w:rPr>
  </w:style>
  <w:style w:type="character" w:customStyle="1" w:styleId="366">
    <w:name w:val="正文文本 3 Char Char"/>
    <w:qFormat/>
    <w:uiPriority w:val="0"/>
    <w:rPr>
      <w:kern w:val="2"/>
      <w:sz w:val="16"/>
    </w:rPr>
  </w:style>
  <w:style w:type="character" w:customStyle="1" w:styleId="367">
    <w:name w:val="fontp1"/>
    <w:qFormat/>
    <w:uiPriority w:val="0"/>
    <w:rPr>
      <w:rFonts w:hint="eastAsia" w:ascii="宋体" w:hAnsi="宋体" w:eastAsia="宋体"/>
      <w:sz w:val="18"/>
      <w:szCs w:val="18"/>
    </w:rPr>
  </w:style>
  <w:style w:type="character" w:customStyle="1" w:styleId="368">
    <w:name w:val="font41"/>
    <w:qFormat/>
    <w:uiPriority w:val="0"/>
    <w:rPr>
      <w:rFonts w:hint="eastAsia" w:ascii="宋体" w:hAnsi="宋体" w:eastAsia="宋体" w:cs="宋体"/>
      <w:color w:val="000000"/>
      <w:sz w:val="24"/>
      <w:szCs w:val="24"/>
      <w:u w:val="none"/>
    </w:rPr>
  </w:style>
  <w:style w:type="character" w:customStyle="1" w:styleId="369">
    <w:name w:val="正文文本缩进 Char Char"/>
    <w:qFormat/>
    <w:uiPriority w:val="0"/>
    <w:rPr>
      <w:kern w:val="2"/>
      <w:sz w:val="21"/>
    </w:rPr>
  </w:style>
  <w:style w:type="character" w:customStyle="1" w:styleId="370">
    <w:name w:val="正文首行缩进 Char2"/>
    <w:qFormat/>
    <w:uiPriority w:val="0"/>
    <w:rPr>
      <w:color w:val="000000"/>
      <w:kern w:val="2"/>
      <w:sz w:val="21"/>
      <w:szCs w:val="24"/>
    </w:rPr>
  </w:style>
  <w:style w:type="character" w:customStyle="1" w:styleId="371">
    <w:name w:val="正文文本 2 Char Char"/>
    <w:qFormat/>
    <w:uiPriority w:val="0"/>
    <w:rPr>
      <w:kern w:val="2"/>
      <w:sz w:val="21"/>
    </w:rPr>
  </w:style>
  <w:style w:type="character" w:customStyle="1" w:styleId="372">
    <w:name w:val="标题 9 Char Char"/>
    <w:qFormat/>
    <w:uiPriority w:val="0"/>
    <w:rPr>
      <w:rFonts w:ascii="Cambria" w:hAnsi="Cambria" w:eastAsia="宋体"/>
      <w:kern w:val="2"/>
      <w:sz w:val="21"/>
    </w:rPr>
  </w:style>
  <w:style w:type="character" w:customStyle="1" w:styleId="373">
    <w:name w:val="Char Char141"/>
    <w:qFormat/>
    <w:uiPriority w:val="0"/>
    <w:rPr>
      <w:b/>
      <w:bCs/>
      <w:kern w:val="2"/>
      <w:sz w:val="32"/>
      <w:szCs w:val="32"/>
    </w:rPr>
  </w:style>
  <w:style w:type="character" w:customStyle="1" w:styleId="374">
    <w:name w:val="font01"/>
    <w:qFormat/>
    <w:uiPriority w:val="0"/>
    <w:rPr>
      <w:rFonts w:hint="default" w:ascii="Times New Roman" w:hAnsi="Times New Roman" w:cs="Times New Roman"/>
      <w:color w:val="000000"/>
      <w:sz w:val="24"/>
      <w:szCs w:val="24"/>
      <w:u w:val="none"/>
      <w:vertAlign w:val="subscript"/>
    </w:rPr>
  </w:style>
  <w:style w:type="character" w:customStyle="1" w:styleId="375">
    <w:name w:val="HTML 预设格式 Char Char"/>
    <w:qFormat/>
    <w:uiPriority w:val="0"/>
    <w:rPr>
      <w:rFonts w:ascii="Courier New" w:hAnsi="Courier New"/>
      <w:kern w:val="2"/>
    </w:rPr>
  </w:style>
  <w:style w:type="character" w:customStyle="1" w:styleId="376">
    <w:name w:val="Char Char151"/>
    <w:qFormat/>
    <w:uiPriority w:val="0"/>
    <w:rPr>
      <w:b/>
      <w:bCs/>
      <w:kern w:val="44"/>
      <w:sz w:val="44"/>
      <w:szCs w:val="44"/>
    </w:rPr>
  </w:style>
  <w:style w:type="character" w:customStyle="1" w:styleId="377">
    <w:name w:val="apple-style-span"/>
    <w:basedOn w:val="57"/>
    <w:qFormat/>
    <w:uiPriority w:val="0"/>
  </w:style>
  <w:style w:type="character" w:customStyle="1" w:styleId="378">
    <w:name w:val="st1"/>
    <w:basedOn w:val="57"/>
    <w:qFormat/>
    <w:uiPriority w:val="0"/>
  </w:style>
  <w:style w:type="character" w:customStyle="1" w:styleId="379">
    <w:name w:val="批注文字 Char Char"/>
    <w:qFormat/>
    <w:uiPriority w:val="0"/>
    <w:rPr>
      <w:kern w:val="2"/>
      <w:sz w:val="21"/>
    </w:rPr>
  </w:style>
  <w:style w:type="character" w:customStyle="1" w:styleId="380">
    <w:name w:val="Header Char"/>
    <w:qFormat/>
    <w:uiPriority w:val="0"/>
    <w:rPr>
      <w:rFonts w:eastAsia="宋体"/>
      <w:kern w:val="2"/>
      <w:sz w:val="18"/>
      <w:szCs w:val="18"/>
      <w:lang w:val="en-US" w:eastAsia="zh-CN" w:bidi="ar-SA"/>
    </w:rPr>
  </w:style>
  <w:style w:type="character" w:customStyle="1" w:styleId="381">
    <w:name w:val="正文文本缩进 Char Char Char"/>
    <w:qFormat/>
    <w:uiPriority w:val="0"/>
    <w:rPr>
      <w:rFonts w:ascii="宋体" w:eastAsia="宋体"/>
      <w:sz w:val="28"/>
      <w:lang w:val="en-US" w:eastAsia="zh-CN" w:bidi="ar-SA"/>
    </w:rPr>
  </w:style>
  <w:style w:type="character" w:customStyle="1" w:styleId="382">
    <w:name w:val="标题 8 Char Char"/>
    <w:qFormat/>
    <w:uiPriority w:val="0"/>
    <w:rPr>
      <w:rFonts w:ascii="Cambria" w:hAnsi="Cambria" w:eastAsia="宋体"/>
      <w:kern w:val="2"/>
      <w:sz w:val="24"/>
    </w:rPr>
  </w:style>
  <w:style w:type="character" w:customStyle="1" w:styleId="383">
    <w:name w:val="标题 7 Char Char"/>
    <w:qFormat/>
    <w:uiPriority w:val="0"/>
    <w:rPr>
      <w:b/>
      <w:kern w:val="2"/>
      <w:sz w:val="24"/>
    </w:rPr>
  </w:style>
  <w:style w:type="character" w:customStyle="1" w:styleId="384">
    <w:name w:val="Char Char131"/>
    <w:qFormat/>
    <w:uiPriority w:val="0"/>
    <w:rPr>
      <w:rFonts w:hint="eastAsia" w:ascii="宋体" w:hAnsi="宋体" w:eastAsia="宋体"/>
      <w:sz w:val="28"/>
    </w:rPr>
  </w:style>
  <w:style w:type="character" w:customStyle="1" w:styleId="385">
    <w:name w:val="标题 2 Char Char"/>
    <w:qFormat/>
    <w:uiPriority w:val="0"/>
    <w:rPr>
      <w:rFonts w:ascii="Wund" w:hAnsi="Wund" w:eastAsia="宋体" w:cs="Wund"/>
      <w:sz w:val="28"/>
      <w:szCs w:val="28"/>
      <w:lang w:val="en-US" w:eastAsia="de-DE"/>
    </w:rPr>
  </w:style>
  <w:style w:type="character" w:customStyle="1" w:styleId="386">
    <w:name w:val="正文文本缩进 3 Char1"/>
    <w:qFormat/>
    <w:uiPriority w:val="99"/>
    <w:rPr>
      <w:kern w:val="2"/>
      <w:sz w:val="16"/>
      <w:szCs w:val="16"/>
    </w:rPr>
  </w:style>
  <w:style w:type="character" w:customStyle="1" w:styleId="387">
    <w:name w:val="t11"/>
    <w:qFormat/>
    <w:uiPriority w:val="0"/>
    <w:rPr>
      <w:spacing w:val="300"/>
      <w:sz w:val="18"/>
      <w:szCs w:val="18"/>
    </w:rPr>
  </w:style>
  <w:style w:type="paragraph" w:customStyle="1" w:styleId="388">
    <w:name w:val="WW-Listenfortsetzung 4"/>
    <w:basedOn w:val="389"/>
    <w:qFormat/>
    <w:uiPriority w:val="0"/>
    <w:pPr>
      <w:tabs>
        <w:tab w:val="left" w:pos="720"/>
      </w:tabs>
      <w:ind w:left="1800"/>
    </w:pPr>
  </w:style>
  <w:style w:type="paragraph" w:customStyle="1" w:styleId="389">
    <w:name w:val="WW-Listenfortsetzung"/>
    <w:basedOn w:val="17"/>
    <w:qFormat/>
    <w:uiPriority w:val="0"/>
    <w:pPr>
      <w:tabs>
        <w:tab w:val="left" w:pos="720"/>
      </w:tabs>
      <w:suppressAutoHyphens/>
      <w:overflowPunct w:val="0"/>
      <w:autoSpaceDE w:val="0"/>
      <w:autoSpaceDN w:val="0"/>
      <w:spacing w:after="16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390">
    <w:name w:val="CM8"/>
    <w:basedOn w:val="274"/>
    <w:next w:val="274"/>
    <w:qFormat/>
    <w:uiPriority w:val="0"/>
    <w:pPr>
      <w:spacing w:line="246" w:lineRule="atLeast"/>
    </w:pPr>
    <w:rPr>
      <w:rFonts w:ascii="宋体" w:eastAsia="宋体" w:cs="宋体"/>
      <w:color w:val="auto"/>
    </w:rPr>
  </w:style>
  <w:style w:type="paragraph" w:customStyle="1" w:styleId="391">
    <w:name w:val="Zu Händen von"/>
    <w:basedOn w:val="23"/>
    <w:qFormat/>
    <w:uiPriority w:val="0"/>
    <w:pPr>
      <w:suppressAutoHyphens/>
      <w:overflowPunct w:val="0"/>
      <w:autoSpaceDE w:val="0"/>
      <w:autoSpaceDN w:val="0"/>
      <w:adjustRightInd w:val="0"/>
      <w:spacing w:line="340" w:lineRule="atLeast"/>
      <w:textAlignment w:val="baseline"/>
    </w:pPr>
    <w:rPr>
      <w:rFonts w:ascii="Arial Narrow" w:hAnsi="Arial Narrow" w:cs="Arial Narrow"/>
      <w:b/>
      <w:bCs/>
      <w:i/>
      <w:iCs/>
      <w:kern w:val="0"/>
      <w:sz w:val="22"/>
      <w:szCs w:val="22"/>
      <w:lang w:val="de-DE" w:eastAsia="de-DE"/>
    </w:rPr>
  </w:style>
  <w:style w:type="paragraph" w:customStyle="1" w:styleId="39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393">
    <w:name w:val="Fußzeile Erste"/>
    <w:basedOn w:val="35"/>
    <w:qFormat/>
    <w:uiPriority w:val="0"/>
    <w:pPr>
      <w:keepLines/>
      <w:widowControl/>
      <w:tabs>
        <w:tab w:val="center" w:pos="4320"/>
        <w:tab w:val="right" w:pos="8640"/>
        <w:tab w:val="clear" w:pos="4153"/>
        <w:tab w:val="clear" w:pos="8306"/>
      </w:tabs>
      <w:overflowPunct w:val="0"/>
      <w:autoSpaceDE w:val="0"/>
      <w:autoSpaceDN w:val="0"/>
      <w:adjustRightInd w:val="0"/>
      <w:snapToGrid/>
      <w:spacing w:after="120" w:line="360" w:lineRule="auto"/>
      <w:jc w:val="center"/>
      <w:textAlignment w:val="baseline"/>
    </w:pPr>
    <w:rPr>
      <w:rFonts w:ascii="Wund" w:hAnsi="Wund"/>
      <w:kern w:val="0"/>
      <w:lang w:val="de-DE" w:eastAsia="de-DE"/>
    </w:rPr>
  </w:style>
  <w:style w:type="paragraph" w:customStyle="1" w:styleId="394">
    <w:name w:val="Bildunterschrift HW"/>
    <w:basedOn w:val="23"/>
    <w:qFormat/>
    <w:uiPriority w:val="0"/>
    <w:pPr>
      <w:suppressAutoHyphens/>
      <w:overflowPunct w:val="0"/>
      <w:autoSpaceDE w:val="0"/>
      <w:autoSpaceDN w:val="0"/>
      <w:adjustRightInd w:val="0"/>
      <w:spacing w:before="120" w:after="360" w:line="340" w:lineRule="atLeast"/>
      <w:jc w:val="center"/>
      <w:textAlignment w:val="baseline"/>
    </w:pPr>
    <w:rPr>
      <w:rFonts w:ascii="Arial Narrow" w:hAnsi="Arial Narrow" w:cs="Arial Narrow"/>
      <w:i/>
      <w:iCs/>
      <w:kern w:val="0"/>
      <w:sz w:val="22"/>
      <w:szCs w:val="22"/>
      <w:lang w:val="de-DE" w:eastAsia="de-DE"/>
    </w:rPr>
  </w:style>
  <w:style w:type="paragraph" w:customStyle="1" w:styleId="395">
    <w:name w:val="CM141"/>
    <w:basedOn w:val="274"/>
    <w:next w:val="274"/>
    <w:qFormat/>
    <w:uiPriority w:val="0"/>
    <w:pPr>
      <w:spacing w:after="67"/>
    </w:pPr>
    <w:rPr>
      <w:rFonts w:ascii="宋体" w:eastAsia="宋体" w:cs="宋体"/>
      <w:color w:val="auto"/>
    </w:rPr>
  </w:style>
  <w:style w:type="paragraph" w:customStyle="1" w:styleId="396">
    <w:name w:val="CM3"/>
    <w:basedOn w:val="274"/>
    <w:next w:val="274"/>
    <w:qFormat/>
    <w:uiPriority w:val="0"/>
    <w:pPr>
      <w:spacing w:line="500" w:lineRule="atLeast"/>
    </w:pPr>
    <w:rPr>
      <w:rFonts w:ascii="宋体" w:eastAsia="宋体" w:cs="宋体"/>
      <w:color w:val="auto"/>
    </w:rPr>
  </w:style>
  <w:style w:type="paragraph" w:customStyle="1" w:styleId="397">
    <w:name w:val="p0"/>
    <w:basedOn w:val="1"/>
    <w:qFormat/>
    <w:uiPriority w:val="0"/>
    <w:pPr>
      <w:widowControl/>
    </w:pPr>
    <w:rPr>
      <w:rFonts w:ascii="宋体" w:hAnsi="宋体" w:cs="宋体"/>
      <w:kern w:val="0"/>
      <w:sz w:val="24"/>
      <w:szCs w:val="24"/>
    </w:rPr>
  </w:style>
  <w:style w:type="paragraph" w:customStyle="1" w:styleId="398">
    <w:name w:val="CM47"/>
    <w:basedOn w:val="274"/>
    <w:next w:val="274"/>
    <w:qFormat/>
    <w:uiPriority w:val="0"/>
    <w:pPr>
      <w:spacing w:line="440" w:lineRule="atLeast"/>
    </w:pPr>
    <w:rPr>
      <w:rFonts w:ascii="宋体" w:eastAsia="宋体" w:cs="宋体"/>
      <w:color w:val="auto"/>
    </w:rPr>
  </w:style>
  <w:style w:type="paragraph" w:customStyle="1" w:styleId="399">
    <w:name w:val="WW-Verzeichnis 9"/>
    <w:basedOn w:val="1"/>
    <w:qFormat/>
    <w:uiPriority w:val="0"/>
    <w:pPr>
      <w:widowControl/>
      <w:tabs>
        <w:tab w:val="right" w:leader="dot" w:pos="9072"/>
      </w:tabs>
      <w:overflowPunct w:val="0"/>
      <w:autoSpaceDE w:val="0"/>
      <w:autoSpaceDN w:val="0"/>
      <w:adjustRightInd w:val="0"/>
      <w:spacing w:after="120" w:line="360" w:lineRule="auto"/>
      <w:ind w:left="1680"/>
      <w:jc w:val="left"/>
      <w:textAlignment w:val="baseline"/>
    </w:pPr>
    <w:rPr>
      <w:rFonts w:ascii="Times New Roman" w:hAnsi="Times New Roman"/>
      <w:kern w:val="0"/>
      <w:sz w:val="18"/>
      <w:szCs w:val="18"/>
      <w:lang w:val="de-DE" w:eastAsia="de-DE"/>
    </w:rPr>
  </w:style>
  <w:style w:type="paragraph" w:customStyle="1" w:styleId="400">
    <w:name w:val="kopf-wörner"/>
    <w:basedOn w:val="1"/>
    <w:qFormat/>
    <w:uiPriority w:val="0"/>
    <w:pPr>
      <w:widowControl/>
      <w:tabs>
        <w:tab w:val="center" w:pos="8080"/>
      </w:tabs>
      <w:overflowPunct w:val="0"/>
      <w:autoSpaceDE w:val="0"/>
      <w:autoSpaceDN w:val="0"/>
      <w:adjustRightInd w:val="0"/>
      <w:spacing w:after="120"/>
      <w:textAlignment w:val="baseline"/>
    </w:pPr>
    <w:rPr>
      <w:rFonts w:ascii="Wund" w:hAnsi="Wund" w:cs="Wund"/>
      <w:b/>
      <w:bCs/>
      <w:i/>
      <w:iCs/>
      <w:kern w:val="0"/>
      <w:sz w:val="18"/>
      <w:szCs w:val="18"/>
      <w:lang w:val="de-DE" w:eastAsia="de-DE"/>
    </w:rPr>
  </w:style>
  <w:style w:type="paragraph" w:customStyle="1" w:styleId="401">
    <w:name w:val="CM80"/>
    <w:basedOn w:val="274"/>
    <w:next w:val="274"/>
    <w:qFormat/>
    <w:uiPriority w:val="0"/>
    <w:pPr>
      <w:spacing w:line="440" w:lineRule="atLeast"/>
    </w:pPr>
    <w:rPr>
      <w:rFonts w:ascii="宋体" w:eastAsia="宋体" w:cs="宋体"/>
      <w:color w:val="auto"/>
    </w:rPr>
  </w:style>
  <w:style w:type="paragraph" w:customStyle="1" w:styleId="402">
    <w:name w:val="CM77"/>
    <w:basedOn w:val="274"/>
    <w:next w:val="274"/>
    <w:qFormat/>
    <w:uiPriority w:val="0"/>
    <w:pPr>
      <w:spacing w:line="400" w:lineRule="atLeast"/>
    </w:pPr>
    <w:rPr>
      <w:rFonts w:ascii="宋体" w:eastAsia="宋体" w:cs="宋体"/>
      <w:color w:val="auto"/>
    </w:rPr>
  </w:style>
  <w:style w:type="paragraph" w:customStyle="1" w:styleId="403">
    <w:name w:val="Textkörper Einzug negativ"/>
    <w:basedOn w:val="23"/>
    <w:qFormat/>
    <w:uiPriority w:val="0"/>
    <w:pPr>
      <w:tabs>
        <w:tab w:val="left" w:pos="360"/>
      </w:tabs>
      <w:suppressAutoHyphens/>
      <w:overflowPunct w:val="0"/>
      <w:autoSpaceDE w:val="0"/>
      <w:autoSpaceDN w:val="0"/>
      <w:adjustRightInd w:val="0"/>
      <w:spacing w:line="340" w:lineRule="atLeast"/>
      <w:ind w:left="360"/>
      <w:textAlignment w:val="baseline"/>
    </w:pPr>
    <w:rPr>
      <w:rFonts w:ascii="Arial Narrow" w:hAnsi="Arial Narrow" w:cs="Arial Narrow"/>
      <w:kern w:val="0"/>
      <w:sz w:val="22"/>
      <w:szCs w:val="22"/>
      <w:lang w:val="de-DE" w:eastAsia="de-DE"/>
    </w:rPr>
  </w:style>
  <w:style w:type="paragraph" w:customStyle="1" w:styleId="404">
    <w:name w:val="Blockzitat Ende"/>
    <w:basedOn w:val="405"/>
    <w:next w:val="23"/>
    <w:qFormat/>
    <w:uiPriority w:val="0"/>
    <w:pPr>
      <w:spacing w:after="240"/>
    </w:pPr>
  </w:style>
  <w:style w:type="paragraph" w:customStyle="1" w:styleId="405">
    <w:name w:val="Blockzitat"/>
    <w:basedOn w:val="23"/>
    <w:qFormat/>
    <w:uiPriority w:val="0"/>
    <w:pPr>
      <w:keepLines/>
      <w:suppressAutoHyphens/>
      <w:overflowPunct w:val="0"/>
      <w:autoSpaceDE w:val="0"/>
      <w:autoSpaceDN w:val="0"/>
      <w:adjustRightInd w:val="0"/>
      <w:spacing w:line="340" w:lineRule="atLeast"/>
      <w:ind w:left="720" w:right="720"/>
      <w:textAlignment w:val="baseline"/>
    </w:pPr>
    <w:rPr>
      <w:rFonts w:ascii="Arial Narrow" w:hAnsi="Arial Narrow" w:cs="Arial Narrow"/>
      <w:i/>
      <w:iCs/>
      <w:kern w:val="0"/>
      <w:sz w:val="22"/>
      <w:szCs w:val="22"/>
      <w:lang w:val="de-DE" w:eastAsia="de-DE"/>
    </w:rPr>
  </w:style>
  <w:style w:type="paragraph" w:customStyle="1" w:styleId="406">
    <w:name w:val="CM93"/>
    <w:basedOn w:val="274"/>
    <w:next w:val="274"/>
    <w:qFormat/>
    <w:uiPriority w:val="0"/>
    <w:pPr>
      <w:spacing w:after="628"/>
    </w:pPr>
    <w:rPr>
      <w:rFonts w:ascii="宋体" w:eastAsia="宋体" w:cs="宋体"/>
      <w:color w:val="auto"/>
    </w:rPr>
  </w:style>
  <w:style w:type="paragraph" w:customStyle="1" w:styleId="407">
    <w:name w:val="Char Char Char Char Char Char Char1"/>
    <w:basedOn w:val="1"/>
    <w:qFormat/>
    <w:uiPriority w:val="0"/>
    <w:rPr>
      <w:rFonts w:ascii="Times New Roman" w:hAnsi="Times New Roman"/>
      <w:szCs w:val="24"/>
    </w:rPr>
  </w:style>
  <w:style w:type="paragraph" w:customStyle="1" w:styleId="408">
    <w:name w:val="Stichwortverzeichnis Überschrift"/>
    <w:basedOn w:val="1"/>
    <w:next w:val="51"/>
    <w:qFormat/>
    <w:uiPriority w:val="0"/>
    <w:pPr>
      <w:widowControl/>
      <w:overflowPunct w:val="0"/>
      <w:autoSpaceDE w:val="0"/>
      <w:autoSpaceDN w:val="0"/>
      <w:adjustRightInd w:val="0"/>
      <w:spacing w:before="240" w:after="120" w:line="360" w:lineRule="auto"/>
      <w:textAlignment w:val="baseline"/>
    </w:pPr>
    <w:rPr>
      <w:rFonts w:ascii="Arial" w:hAnsi="Arial" w:cs="Arial"/>
      <w:b/>
      <w:bCs/>
      <w:kern w:val="0"/>
      <w:sz w:val="28"/>
      <w:szCs w:val="28"/>
      <w:lang w:val="de-DE" w:eastAsia="de-DE"/>
    </w:rPr>
  </w:style>
  <w:style w:type="paragraph" w:customStyle="1" w:styleId="409">
    <w:name w:val="章标题"/>
    <w:next w:val="410"/>
    <w:qFormat/>
    <w:uiPriority w:val="0"/>
    <w:pPr>
      <w:tabs>
        <w:tab w:val="left" w:pos="840"/>
      </w:tabs>
      <w:spacing w:beforeLines="50"/>
      <w:jc w:val="both"/>
      <w:outlineLvl w:val="1"/>
    </w:pPr>
    <w:rPr>
      <w:rFonts w:ascii="黑体" w:hAnsi="Times New Roman" w:eastAsia="黑体" w:cs="Times New Roman"/>
      <w:sz w:val="21"/>
      <w:lang w:val="en-US" w:eastAsia="zh-CN" w:bidi="ar-SA"/>
    </w:rPr>
  </w:style>
  <w:style w:type="paragraph" w:customStyle="1" w:styleId="41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1">
    <w:name w:val="Zchn Zchn2"/>
    <w:basedOn w:val="18"/>
    <w:qFormat/>
    <w:uiPriority w:val="0"/>
    <w:rPr>
      <w:rFonts w:ascii="Calibri" w:hAnsi="Calibri"/>
      <w:kern w:val="0"/>
      <w:sz w:val="16"/>
      <w:szCs w:val="16"/>
      <w:lang w:val="de-DE" w:eastAsia="de-DE"/>
    </w:rPr>
  </w:style>
  <w:style w:type="paragraph" w:customStyle="1" w:styleId="412">
    <w:name w:val="CM99"/>
    <w:basedOn w:val="274"/>
    <w:next w:val="274"/>
    <w:qFormat/>
    <w:uiPriority w:val="0"/>
    <w:pPr>
      <w:spacing w:after="443"/>
    </w:pPr>
    <w:rPr>
      <w:rFonts w:ascii="宋体" w:eastAsia="宋体" w:cs="宋体"/>
      <w:color w:val="auto"/>
    </w:rPr>
  </w:style>
  <w:style w:type="paragraph" w:customStyle="1" w:styleId="413">
    <w:name w:val="CM89"/>
    <w:basedOn w:val="274"/>
    <w:next w:val="274"/>
    <w:qFormat/>
    <w:uiPriority w:val="0"/>
    <w:pPr>
      <w:spacing w:line="440" w:lineRule="atLeast"/>
    </w:pPr>
    <w:rPr>
      <w:rFonts w:ascii="宋体" w:eastAsia="宋体" w:cs="宋体"/>
      <w:color w:val="auto"/>
    </w:rPr>
  </w:style>
  <w:style w:type="paragraph" w:customStyle="1" w:styleId="414">
    <w:name w:val="2"/>
    <w:basedOn w:val="1"/>
    <w:next w:val="48"/>
    <w:qFormat/>
    <w:uiPriority w:val="0"/>
    <w:pPr>
      <w:spacing w:afterLines="50" w:line="300" w:lineRule="auto"/>
    </w:pPr>
    <w:rPr>
      <w:rFonts w:ascii="Arial" w:hAnsi="Arial" w:cs="Arial"/>
      <w:sz w:val="24"/>
      <w:szCs w:val="24"/>
    </w:rPr>
  </w:style>
  <w:style w:type="paragraph" w:customStyle="1" w:styleId="415">
    <w:name w:val="CM72"/>
    <w:basedOn w:val="274"/>
    <w:next w:val="274"/>
    <w:qFormat/>
    <w:uiPriority w:val="0"/>
    <w:rPr>
      <w:rFonts w:ascii="宋体" w:eastAsia="宋体" w:cs="宋体"/>
      <w:color w:val="auto"/>
    </w:rPr>
  </w:style>
  <w:style w:type="paragraph" w:customStyle="1" w:styleId="416">
    <w:name w:val="CM57"/>
    <w:basedOn w:val="274"/>
    <w:next w:val="274"/>
    <w:qFormat/>
    <w:uiPriority w:val="0"/>
    <w:pPr>
      <w:spacing w:line="400" w:lineRule="atLeast"/>
    </w:pPr>
    <w:rPr>
      <w:rFonts w:ascii="宋体" w:eastAsia="宋体" w:cs="宋体"/>
      <w:color w:val="auto"/>
    </w:rPr>
  </w:style>
  <w:style w:type="paragraph" w:customStyle="1" w:styleId="417">
    <w:name w:val="WW-Überschrift 9"/>
    <w:basedOn w:val="1"/>
    <w:next w:val="23"/>
    <w:qFormat/>
    <w:uiPriority w:val="0"/>
    <w:pPr>
      <w:widowControl/>
      <w:overflowPunct w:val="0"/>
      <w:autoSpaceDE w:val="0"/>
      <w:autoSpaceDN w:val="0"/>
      <w:adjustRightInd w:val="0"/>
      <w:spacing w:before="80" w:after="60" w:line="360" w:lineRule="auto"/>
      <w:ind w:left="6372" w:hanging="708"/>
      <w:textAlignment w:val="baseline"/>
    </w:pPr>
    <w:rPr>
      <w:rFonts w:ascii="Wund" w:hAnsi="Wund" w:cs="Wund"/>
      <w:b/>
      <w:bCs/>
      <w:i/>
      <w:iCs/>
      <w:kern w:val="0"/>
      <w:sz w:val="22"/>
      <w:lang w:val="de-DE" w:eastAsia="de-DE"/>
    </w:rPr>
  </w:style>
  <w:style w:type="paragraph" w:customStyle="1" w:styleId="418">
    <w:name w:val="WW-Überschrift 8"/>
    <w:basedOn w:val="1"/>
    <w:next w:val="23"/>
    <w:qFormat/>
    <w:uiPriority w:val="0"/>
    <w:pPr>
      <w:widowControl/>
      <w:overflowPunct w:val="0"/>
      <w:autoSpaceDE w:val="0"/>
      <w:autoSpaceDN w:val="0"/>
      <w:adjustRightInd w:val="0"/>
      <w:spacing w:before="80" w:after="60" w:line="360" w:lineRule="auto"/>
      <w:ind w:left="5664" w:hanging="708"/>
      <w:textAlignment w:val="baseline"/>
    </w:pPr>
    <w:rPr>
      <w:rFonts w:ascii="Wund" w:hAnsi="Wund" w:cs="Wund"/>
      <w:b/>
      <w:bCs/>
      <w:i/>
      <w:iCs/>
      <w:kern w:val="0"/>
      <w:sz w:val="22"/>
      <w:lang w:val="de-DE" w:eastAsia="de-DE"/>
    </w:rPr>
  </w:style>
  <w:style w:type="paragraph" w:customStyle="1" w:styleId="419">
    <w:name w:val="Kopfzeile rechts"/>
    <w:basedOn w:val="1"/>
    <w:qFormat/>
    <w:uiPriority w:val="0"/>
    <w:pPr>
      <w:widowControl/>
      <w:tabs>
        <w:tab w:val="center" w:pos="4819"/>
        <w:tab w:val="right" w:pos="9639"/>
      </w:tabs>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420">
    <w:name w:val="Kapitelunterüberschrift"/>
    <w:basedOn w:val="1"/>
    <w:next w:val="23"/>
    <w:qFormat/>
    <w:uiPriority w:val="0"/>
    <w:pPr>
      <w:keepLines/>
      <w:widowControl/>
      <w:overflowPunct w:val="0"/>
      <w:autoSpaceDE w:val="0"/>
      <w:autoSpaceDN w:val="0"/>
      <w:adjustRightInd w:val="0"/>
      <w:spacing w:before="360" w:after="360" w:line="360" w:lineRule="auto"/>
      <w:jc w:val="center"/>
      <w:textAlignment w:val="baseline"/>
    </w:pPr>
    <w:rPr>
      <w:rFonts w:ascii="Arial" w:hAnsi="Arial" w:cs="Arial"/>
      <w:i/>
      <w:iCs/>
      <w:kern w:val="0"/>
      <w:sz w:val="28"/>
      <w:szCs w:val="28"/>
      <w:lang w:val="de-DE" w:eastAsia="de-DE"/>
    </w:rPr>
  </w:style>
  <w:style w:type="paragraph" w:customStyle="1" w:styleId="421">
    <w:name w:val="Basis-Fußnote"/>
    <w:basedOn w:val="1"/>
    <w:qFormat/>
    <w:uiPriority w:val="0"/>
    <w:pPr>
      <w:widowControl/>
      <w:tabs>
        <w:tab w:val="left" w:pos="187"/>
      </w:tabs>
      <w:overflowPunct w:val="0"/>
      <w:autoSpaceDE w:val="0"/>
      <w:autoSpaceDN w:val="0"/>
      <w:adjustRightInd w:val="0"/>
      <w:spacing w:after="120" w:line="220" w:lineRule="atLeast"/>
      <w:ind w:left="187" w:hanging="187"/>
      <w:textAlignment w:val="baseline"/>
    </w:pPr>
    <w:rPr>
      <w:rFonts w:ascii="Wund" w:hAnsi="Wund" w:cs="Wund"/>
      <w:kern w:val="0"/>
      <w:sz w:val="18"/>
      <w:szCs w:val="18"/>
      <w:lang w:val="de-DE" w:eastAsia="de-DE"/>
    </w:rPr>
  </w:style>
  <w:style w:type="paragraph" w:customStyle="1" w:styleId="422">
    <w:name w:val="CM94"/>
    <w:basedOn w:val="274"/>
    <w:next w:val="274"/>
    <w:qFormat/>
    <w:uiPriority w:val="0"/>
    <w:pPr>
      <w:spacing w:after="63"/>
    </w:pPr>
    <w:rPr>
      <w:rFonts w:ascii="宋体" w:eastAsia="宋体" w:cs="宋体"/>
      <w:color w:val="auto"/>
    </w:rPr>
  </w:style>
  <w:style w:type="paragraph" w:customStyle="1" w:styleId="423">
    <w:name w:val="WW-Listenfortsetzung 5"/>
    <w:basedOn w:val="389"/>
    <w:qFormat/>
    <w:uiPriority w:val="0"/>
    <w:pPr>
      <w:ind w:left="2160"/>
    </w:pPr>
  </w:style>
  <w:style w:type="paragraph" w:customStyle="1" w:styleId="424">
    <w:name w:val="CM32"/>
    <w:basedOn w:val="274"/>
    <w:next w:val="274"/>
    <w:qFormat/>
    <w:uiPriority w:val="0"/>
    <w:pPr>
      <w:spacing w:after="383"/>
    </w:pPr>
    <w:rPr>
      <w:rFonts w:ascii="Century Gothic" w:hAnsi="Century Gothic" w:eastAsia="宋体" w:cs="Century Gothic"/>
      <w:color w:val="auto"/>
    </w:rPr>
  </w:style>
  <w:style w:type="paragraph" w:customStyle="1" w:styleId="425">
    <w:name w:val="CM96"/>
    <w:basedOn w:val="274"/>
    <w:next w:val="274"/>
    <w:qFormat/>
    <w:uiPriority w:val="0"/>
    <w:pPr>
      <w:spacing w:after="298"/>
    </w:pPr>
    <w:rPr>
      <w:rFonts w:ascii="宋体" w:eastAsia="宋体" w:cs="宋体"/>
      <w:color w:val="auto"/>
    </w:rPr>
  </w:style>
  <w:style w:type="paragraph" w:customStyle="1" w:styleId="426">
    <w:name w:val="font10"/>
    <w:basedOn w:val="1"/>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427">
    <w:name w:val="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428">
    <w:name w:val="Char1 Char Char Char Char Char1 Char"/>
    <w:basedOn w:val="1"/>
    <w:qFormat/>
    <w:uiPriority w:val="0"/>
    <w:pPr>
      <w:spacing w:line="360" w:lineRule="auto"/>
      <w:jc w:val="left"/>
    </w:pPr>
    <w:rPr>
      <w:rFonts w:ascii="Times New Roman" w:hAnsi="Times New Roman" w:eastAsia="仿宋_GB2312"/>
      <w:b/>
      <w:bCs/>
      <w:sz w:val="32"/>
      <w:szCs w:val="32"/>
    </w:rPr>
  </w:style>
  <w:style w:type="paragraph" w:customStyle="1" w:styleId="429">
    <w:name w:val="CM49"/>
    <w:basedOn w:val="274"/>
    <w:next w:val="274"/>
    <w:qFormat/>
    <w:uiPriority w:val="0"/>
    <w:pPr>
      <w:spacing w:line="440" w:lineRule="atLeast"/>
    </w:pPr>
    <w:rPr>
      <w:rFonts w:ascii="宋体" w:eastAsia="宋体" w:cs="宋体"/>
      <w:color w:val="auto"/>
    </w:rPr>
  </w:style>
  <w:style w:type="paragraph" w:customStyle="1" w:styleId="430">
    <w:name w:val="CM1"/>
    <w:basedOn w:val="274"/>
    <w:next w:val="274"/>
    <w:qFormat/>
    <w:uiPriority w:val="0"/>
    <w:rPr>
      <w:rFonts w:ascii="宋体" w:eastAsia="宋体" w:cs="宋体"/>
      <w:color w:val="auto"/>
    </w:rPr>
  </w:style>
  <w:style w:type="paragraph" w:customStyle="1" w:styleId="431">
    <w:name w:val="WW-Listennummer 3"/>
    <w:basedOn w:val="432"/>
    <w:qFormat/>
    <w:uiPriority w:val="0"/>
    <w:pPr>
      <w:tabs>
        <w:tab w:val="left" w:pos="720"/>
      </w:tabs>
      <w:ind w:left="1440"/>
    </w:pPr>
  </w:style>
  <w:style w:type="paragraph" w:customStyle="1" w:styleId="432">
    <w:name w:val="WW-Listennummer"/>
    <w:basedOn w:val="17"/>
    <w:qFormat/>
    <w:uiPriority w:val="0"/>
    <w:pPr>
      <w:tabs>
        <w:tab w:val="left" w:pos="720"/>
      </w:tabs>
      <w:suppressAutoHyphens/>
      <w:overflowPunct w:val="0"/>
      <w:autoSpaceDE w:val="0"/>
      <w:autoSpaceDN w:val="0"/>
      <w:spacing w:after="16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433">
    <w:name w:val="CM6"/>
    <w:basedOn w:val="274"/>
    <w:next w:val="274"/>
    <w:qFormat/>
    <w:uiPriority w:val="0"/>
    <w:pPr>
      <w:spacing w:line="318" w:lineRule="atLeast"/>
    </w:pPr>
    <w:rPr>
      <w:rFonts w:ascii="宋体" w:eastAsia="宋体" w:cs="宋体"/>
      <w:color w:val="auto"/>
    </w:rPr>
  </w:style>
  <w:style w:type="paragraph" w:customStyle="1" w:styleId="434">
    <w:name w:val="p16"/>
    <w:basedOn w:val="1"/>
    <w:qFormat/>
    <w:uiPriority w:val="0"/>
    <w:pPr>
      <w:widowControl/>
      <w:spacing w:line="420" w:lineRule="atLeast"/>
      <w:ind w:firstLine="525"/>
    </w:pPr>
    <w:rPr>
      <w:rFonts w:ascii="宋体" w:hAnsi="宋体" w:cs="宋体"/>
      <w:kern w:val="0"/>
      <w:szCs w:val="21"/>
    </w:rPr>
  </w:style>
  <w:style w:type="paragraph" w:customStyle="1" w:styleId="435">
    <w:name w:val="CM25"/>
    <w:basedOn w:val="274"/>
    <w:next w:val="274"/>
    <w:qFormat/>
    <w:uiPriority w:val="0"/>
    <w:pPr>
      <w:spacing w:line="440" w:lineRule="atLeast"/>
    </w:pPr>
    <w:rPr>
      <w:rFonts w:ascii="宋体" w:eastAsia="宋体" w:cs="宋体"/>
      <w:color w:val="auto"/>
    </w:rPr>
  </w:style>
  <w:style w:type="paragraph" w:customStyle="1" w:styleId="436">
    <w:name w:val="Aufzählung 1 Fortsetzung"/>
    <w:basedOn w:val="17"/>
    <w:qFormat/>
    <w:uiPriority w:val="0"/>
    <w:pPr>
      <w:tabs>
        <w:tab w:val="left" w:pos="720"/>
      </w:tabs>
      <w:suppressAutoHyphens/>
      <w:overflowPunct w:val="0"/>
      <w:autoSpaceDE w:val="0"/>
      <w:autoSpaceDN w:val="0"/>
      <w:spacing w:after="120" w:line="340" w:lineRule="atLeast"/>
      <w:ind w:left="283" w:firstLine="0"/>
      <w:jc w:val="both"/>
      <w:textAlignment w:val="baseline"/>
    </w:pPr>
    <w:rPr>
      <w:rFonts w:hint="default" w:ascii="Arial Narrow" w:hAnsi="Arial Narrow" w:cs="Arial Narrow"/>
      <w:sz w:val="22"/>
      <w:szCs w:val="22"/>
      <w:lang w:val="de-DE" w:eastAsia="de-DE"/>
    </w:rPr>
  </w:style>
  <w:style w:type="paragraph" w:customStyle="1" w:styleId="437">
    <w:name w:val="Adresse"/>
    <w:basedOn w:val="1"/>
    <w:qFormat/>
    <w:uiPriority w:val="0"/>
    <w:pPr>
      <w:widowControl/>
      <w:overflowPunct w:val="0"/>
      <w:autoSpaceDE w:val="0"/>
      <w:autoSpaceDN w:val="0"/>
      <w:adjustRightInd w:val="0"/>
      <w:spacing w:after="120"/>
      <w:jc w:val="left"/>
      <w:textAlignment w:val="baseline"/>
    </w:pPr>
    <w:rPr>
      <w:rFonts w:ascii="Wund" w:hAnsi="Wund" w:cs="Wund"/>
      <w:kern w:val="0"/>
      <w:sz w:val="22"/>
      <w:lang w:val="de-DE" w:eastAsia="de-DE"/>
    </w:rPr>
  </w:style>
  <w:style w:type="paragraph" w:customStyle="1" w:styleId="438">
    <w:name w:val="Kopfzeile Erste"/>
    <w:basedOn w:val="36"/>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120" w:line="360" w:lineRule="auto"/>
      <w:textAlignment w:val="baseline"/>
    </w:pPr>
    <w:rPr>
      <w:rFonts w:ascii="Wund" w:hAnsi="Wund"/>
      <w:kern w:val="0"/>
      <w:lang w:val="de-DE" w:eastAsia="de-DE"/>
    </w:rPr>
  </w:style>
  <w:style w:type="paragraph" w:customStyle="1" w:styleId="439">
    <w:name w:val="Kapitelbezeichnung"/>
    <w:basedOn w:val="1"/>
    <w:next w:val="1"/>
    <w:qFormat/>
    <w:uiPriority w:val="0"/>
    <w:pPr>
      <w:widowControl/>
      <w:overflowPunct w:val="0"/>
      <w:autoSpaceDE w:val="0"/>
      <w:autoSpaceDN w:val="0"/>
      <w:adjustRightInd w:val="0"/>
      <w:spacing w:before="360" w:after="120" w:line="360" w:lineRule="auto"/>
      <w:jc w:val="center"/>
      <w:textAlignment w:val="baseline"/>
    </w:pPr>
    <w:rPr>
      <w:rFonts w:ascii="Arial" w:hAnsi="Arial" w:cs="Arial"/>
      <w:b/>
      <w:bCs/>
      <w:kern w:val="0"/>
      <w:sz w:val="22"/>
      <w:u w:val="single"/>
      <w:lang w:val="de-DE" w:eastAsia="de-DE"/>
    </w:rPr>
  </w:style>
  <w:style w:type="paragraph" w:customStyle="1" w:styleId="440">
    <w:name w:val="Liste Anfang"/>
    <w:basedOn w:val="17"/>
    <w:next w:val="17"/>
    <w:qFormat/>
    <w:uiPriority w:val="0"/>
    <w:pPr>
      <w:tabs>
        <w:tab w:val="left" w:pos="720"/>
      </w:tabs>
      <w:suppressAutoHyphens/>
      <w:overflowPunct w:val="0"/>
      <w:autoSpaceDE w:val="0"/>
      <w:autoSpaceDN w:val="0"/>
      <w:spacing w:before="80" w:after="8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441">
    <w:name w:val="CM33"/>
    <w:basedOn w:val="274"/>
    <w:next w:val="274"/>
    <w:qFormat/>
    <w:uiPriority w:val="0"/>
    <w:pPr>
      <w:spacing w:line="240" w:lineRule="atLeast"/>
    </w:pPr>
    <w:rPr>
      <w:rFonts w:ascii="宋体" w:eastAsia="宋体" w:cs="宋体"/>
      <w:color w:val="auto"/>
    </w:rPr>
  </w:style>
  <w:style w:type="paragraph" w:customStyle="1" w:styleId="442">
    <w:name w:val="WW-Listennummer 4"/>
    <w:basedOn w:val="432"/>
    <w:qFormat/>
    <w:uiPriority w:val="0"/>
    <w:pPr>
      <w:ind w:left="1800"/>
    </w:pPr>
  </w:style>
  <w:style w:type="paragraph" w:customStyle="1" w:styleId="443">
    <w:name w:val="Kapitelüberschrift"/>
    <w:basedOn w:val="1"/>
    <w:next w:val="420"/>
    <w:qFormat/>
    <w:uiPriority w:val="0"/>
    <w:pPr>
      <w:keepLines/>
      <w:widowControl/>
      <w:overflowPunct w:val="0"/>
      <w:autoSpaceDE w:val="0"/>
      <w:autoSpaceDN w:val="0"/>
      <w:adjustRightInd w:val="0"/>
      <w:spacing w:before="600" w:after="120" w:line="360" w:lineRule="auto"/>
      <w:jc w:val="center"/>
      <w:textAlignment w:val="baseline"/>
    </w:pPr>
    <w:rPr>
      <w:rFonts w:ascii="Arial" w:hAnsi="Arial" w:cs="Arial"/>
      <w:b/>
      <w:bCs/>
      <w:kern w:val="0"/>
      <w:sz w:val="32"/>
      <w:szCs w:val="32"/>
      <w:lang w:val="de-DE" w:eastAsia="de-DE"/>
    </w:rPr>
  </w:style>
  <w:style w:type="paragraph" w:customStyle="1" w:styleId="444">
    <w:name w:val="WW-Index 9"/>
    <w:basedOn w:val="1"/>
    <w:qFormat/>
    <w:uiPriority w:val="0"/>
    <w:pPr>
      <w:widowControl/>
      <w:tabs>
        <w:tab w:val="right" w:leader="dot" w:pos="3960"/>
      </w:tabs>
      <w:overflowPunct w:val="0"/>
      <w:autoSpaceDE w:val="0"/>
      <w:autoSpaceDN w:val="0"/>
      <w:adjustRightInd w:val="0"/>
      <w:spacing w:after="120" w:line="360" w:lineRule="auto"/>
      <w:ind w:left="2880" w:hanging="720"/>
      <w:textAlignment w:val="baseline"/>
    </w:pPr>
    <w:rPr>
      <w:rFonts w:ascii="Wund" w:hAnsi="Wund" w:cs="Wund"/>
      <w:kern w:val="0"/>
      <w:sz w:val="22"/>
      <w:lang w:val="de-DE" w:eastAsia="de-DE"/>
    </w:rPr>
  </w:style>
  <w:style w:type="paragraph" w:customStyle="1" w:styleId="445">
    <w:name w:val="CM20"/>
    <w:basedOn w:val="274"/>
    <w:next w:val="274"/>
    <w:qFormat/>
    <w:uiPriority w:val="0"/>
    <w:pPr>
      <w:spacing w:line="400" w:lineRule="atLeast"/>
    </w:pPr>
    <w:rPr>
      <w:rFonts w:ascii="宋体" w:eastAsia="宋体" w:cs="宋体"/>
      <w:color w:val="auto"/>
    </w:rPr>
  </w:style>
  <w:style w:type="paragraph" w:customStyle="1" w:styleId="446">
    <w:name w:val="日期1"/>
    <w:basedOn w:val="23"/>
    <w:qFormat/>
    <w:uiPriority w:val="0"/>
    <w:pPr>
      <w:suppressAutoHyphens/>
      <w:overflowPunct w:val="0"/>
      <w:autoSpaceDE w:val="0"/>
      <w:autoSpaceDN w:val="0"/>
      <w:adjustRightInd w:val="0"/>
      <w:spacing w:before="480" w:line="340" w:lineRule="atLeast"/>
      <w:textAlignment w:val="baseline"/>
    </w:pPr>
    <w:rPr>
      <w:rFonts w:ascii="Arial Narrow" w:hAnsi="Arial Narrow" w:cs="Arial Narrow"/>
      <w:b/>
      <w:bCs/>
      <w:kern w:val="0"/>
      <w:sz w:val="22"/>
      <w:szCs w:val="22"/>
      <w:lang w:val="de-DE" w:eastAsia="de-DE"/>
    </w:rPr>
  </w:style>
  <w:style w:type="paragraph" w:customStyle="1" w:styleId="447">
    <w:name w:val="CM97"/>
    <w:basedOn w:val="274"/>
    <w:next w:val="274"/>
    <w:qFormat/>
    <w:uiPriority w:val="0"/>
    <w:pPr>
      <w:spacing w:after="373"/>
    </w:pPr>
    <w:rPr>
      <w:rFonts w:ascii="宋体" w:eastAsia="宋体" w:cs="宋体"/>
      <w:color w:val="auto"/>
    </w:rPr>
  </w:style>
  <w:style w:type="paragraph" w:customStyle="1" w:styleId="448">
    <w:name w:val="Firmenname"/>
    <w:basedOn w:val="23"/>
    <w:next w:val="1"/>
    <w:qFormat/>
    <w:uiPriority w:val="0"/>
    <w:pPr>
      <w:suppressAutoHyphens/>
      <w:overflowPunct w:val="0"/>
      <w:autoSpaceDE w:val="0"/>
      <w:autoSpaceDN w:val="0"/>
      <w:adjustRightInd w:val="0"/>
      <w:spacing w:before="80"/>
      <w:jc w:val="right"/>
      <w:textAlignment w:val="baseline"/>
    </w:pPr>
    <w:rPr>
      <w:b/>
      <w:bCs/>
      <w:kern w:val="0"/>
      <w:sz w:val="20"/>
      <w:lang w:val="de-DE" w:eastAsia="de-DE"/>
    </w:rPr>
  </w:style>
  <w:style w:type="paragraph" w:customStyle="1" w:styleId="449">
    <w:name w:val="WW-Index 6"/>
    <w:basedOn w:val="1"/>
    <w:qFormat/>
    <w:uiPriority w:val="0"/>
    <w:pPr>
      <w:widowControl/>
      <w:tabs>
        <w:tab w:val="right" w:leader="dot" w:pos="3960"/>
      </w:tabs>
      <w:overflowPunct w:val="0"/>
      <w:autoSpaceDE w:val="0"/>
      <w:autoSpaceDN w:val="0"/>
      <w:adjustRightInd w:val="0"/>
      <w:spacing w:after="120" w:line="360" w:lineRule="auto"/>
      <w:ind w:left="1800" w:hanging="720"/>
      <w:textAlignment w:val="baseline"/>
    </w:pPr>
    <w:rPr>
      <w:rFonts w:ascii="Wund" w:hAnsi="Wund" w:cs="Wund"/>
      <w:kern w:val="0"/>
      <w:sz w:val="22"/>
      <w:lang w:val="de-DE" w:eastAsia="de-DE"/>
    </w:rPr>
  </w:style>
  <w:style w:type="paragraph" w:customStyle="1" w:styleId="450">
    <w:name w:val="CM92"/>
    <w:basedOn w:val="274"/>
    <w:next w:val="274"/>
    <w:qFormat/>
    <w:uiPriority w:val="0"/>
    <w:pPr>
      <w:spacing w:after="530"/>
    </w:pPr>
    <w:rPr>
      <w:rFonts w:ascii="宋体" w:eastAsia="宋体" w:cs="宋体"/>
      <w:color w:val="auto"/>
    </w:rPr>
  </w:style>
  <w:style w:type="paragraph" w:customStyle="1" w:styleId="451">
    <w:name w:val="CM48"/>
    <w:basedOn w:val="274"/>
    <w:next w:val="274"/>
    <w:qFormat/>
    <w:uiPriority w:val="0"/>
    <w:pPr>
      <w:spacing w:line="540" w:lineRule="atLeast"/>
    </w:pPr>
    <w:rPr>
      <w:rFonts w:ascii="宋体" w:eastAsia="宋体" w:cs="宋体"/>
      <w:color w:val="auto"/>
    </w:rPr>
  </w:style>
  <w:style w:type="paragraph" w:customStyle="1" w:styleId="452">
    <w:name w:val="WW-Verzeichnis 8"/>
    <w:basedOn w:val="1"/>
    <w:qFormat/>
    <w:uiPriority w:val="0"/>
    <w:pPr>
      <w:widowControl/>
      <w:tabs>
        <w:tab w:val="right" w:leader="dot" w:pos="9072"/>
      </w:tabs>
      <w:overflowPunct w:val="0"/>
      <w:autoSpaceDE w:val="0"/>
      <w:autoSpaceDN w:val="0"/>
      <w:adjustRightInd w:val="0"/>
      <w:spacing w:after="120" w:line="360" w:lineRule="auto"/>
      <w:ind w:left="1440"/>
      <w:jc w:val="left"/>
      <w:textAlignment w:val="baseline"/>
    </w:pPr>
    <w:rPr>
      <w:rFonts w:ascii="Times New Roman" w:hAnsi="Times New Roman"/>
      <w:kern w:val="0"/>
      <w:sz w:val="18"/>
      <w:szCs w:val="18"/>
      <w:lang w:val="de-DE" w:eastAsia="de-DE"/>
    </w:rPr>
  </w:style>
  <w:style w:type="paragraph" w:customStyle="1" w:styleId="453">
    <w:name w:val="CM18"/>
    <w:basedOn w:val="274"/>
    <w:next w:val="274"/>
    <w:qFormat/>
    <w:uiPriority w:val="0"/>
    <w:pPr>
      <w:spacing w:line="313" w:lineRule="atLeast"/>
    </w:pPr>
    <w:rPr>
      <w:rFonts w:ascii="宋体" w:eastAsia="宋体" w:cs="宋体"/>
      <w:color w:val="auto"/>
    </w:rPr>
  </w:style>
  <w:style w:type="paragraph" w:customStyle="1" w:styleId="454">
    <w:name w:val="Blockzitat Anfang"/>
    <w:basedOn w:val="405"/>
    <w:next w:val="405"/>
    <w:qFormat/>
    <w:uiPriority w:val="0"/>
    <w:pPr>
      <w:spacing w:before="120"/>
    </w:pPr>
  </w:style>
  <w:style w:type="paragraph" w:customStyle="1" w:styleId="455">
    <w:name w:val="Zchn Zchn"/>
    <w:basedOn w:val="18"/>
    <w:qFormat/>
    <w:uiPriority w:val="0"/>
    <w:rPr>
      <w:rFonts w:ascii="Calibri" w:hAnsi="Calibri"/>
      <w:sz w:val="24"/>
      <w:szCs w:val="24"/>
    </w:rPr>
  </w:style>
  <w:style w:type="paragraph" w:customStyle="1" w:styleId="456">
    <w:name w:val="CM28"/>
    <w:basedOn w:val="274"/>
    <w:next w:val="274"/>
    <w:qFormat/>
    <w:uiPriority w:val="0"/>
    <w:rPr>
      <w:rFonts w:ascii="宋体" w:eastAsia="宋体" w:cs="宋体"/>
      <w:color w:val="auto"/>
    </w:rPr>
  </w:style>
  <w:style w:type="paragraph" w:customStyle="1" w:styleId="457">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58">
    <w:name w:val="CM15"/>
    <w:basedOn w:val="274"/>
    <w:next w:val="274"/>
    <w:qFormat/>
    <w:uiPriority w:val="0"/>
    <w:pPr>
      <w:spacing w:line="313" w:lineRule="atLeast"/>
    </w:pPr>
    <w:rPr>
      <w:rFonts w:ascii="宋体" w:eastAsia="宋体" w:cs="宋体"/>
      <w:color w:val="auto"/>
    </w:rPr>
  </w:style>
  <w:style w:type="paragraph" w:customStyle="1" w:styleId="459">
    <w:name w:val="CM91"/>
    <w:basedOn w:val="274"/>
    <w:next w:val="274"/>
    <w:qFormat/>
    <w:uiPriority w:val="0"/>
    <w:pPr>
      <w:spacing w:after="160"/>
    </w:pPr>
    <w:rPr>
      <w:rFonts w:ascii="宋体" w:eastAsia="宋体" w:cs="宋体"/>
      <w:color w:val="auto"/>
    </w:rPr>
  </w:style>
  <w:style w:type="paragraph" w:customStyle="1" w:styleId="460">
    <w:name w:val="CM4"/>
    <w:basedOn w:val="274"/>
    <w:next w:val="274"/>
    <w:qFormat/>
    <w:uiPriority w:val="0"/>
    <w:rPr>
      <w:rFonts w:ascii="宋体" w:eastAsia="宋体" w:cs="宋体"/>
      <w:color w:val="auto"/>
    </w:rPr>
  </w:style>
  <w:style w:type="paragraph" w:customStyle="1" w:styleId="461">
    <w:name w:val="CM65"/>
    <w:basedOn w:val="274"/>
    <w:next w:val="274"/>
    <w:qFormat/>
    <w:uiPriority w:val="0"/>
    <w:rPr>
      <w:rFonts w:ascii="宋体" w:eastAsia="宋体" w:cs="宋体"/>
      <w:color w:val="auto"/>
    </w:rPr>
  </w:style>
  <w:style w:type="paragraph" w:customStyle="1" w:styleId="462">
    <w:name w:val="CM174"/>
    <w:basedOn w:val="274"/>
    <w:next w:val="274"/>
    <w:qFormat/>
    <w:uiPriority w:val="0"/>
    <w:pPr>
      <w:spacing w:after="238"/>
    </w:pPr>
    <w:rPr>
      <w:rFonts w:ascii="宋体" w:eastAsia="宋体" w:cs="宋体"/>
      <w:color w:val="auto"/>
    </w:rPr>
  </w:style>
  <w:style w:type="paragraph" w:customStyle="1" w:styleId="463">
    <w:name w:val="WW-Index 4"/>
    <w:basedOn w:val="1"/>
    <w:qFormat/>
    <w:uiPriority w:val="0"/>
    <w:pPr>
      <w:widowControl/>
      <w:tabs>
        <w:tab w:val="right" w:leader="dot" w:pos="3960"/>
      </w:tabs>
      <w:overflowPunct w:val="0"/>
      <w:autoSpaceDE w:val="0"/>
      <w:autoSpaceDN w:val="0"/>
      <w:adjustRightInd w:val="0"/>
      <w:spacing w:after="120" w:line="360" w:lineRule="auto"/>
      <w:ind w:left="1800" w:hanging="720"/>
      <w:textAlignment w:val="baseline"/>
    </w:pPr>
    <w:rPr>
      <w:rFonts w:ascii="Wund" w:hAnsi="Wund" w:cs="Wund"/>
      <w:kern w:val="0"/>
      <w:sz w:val="22"/>
      <w:lang w:val="de-DE" w:eastAsia="de-DE"/>
    </w:rPr>
  </w:style>
  <w:style w:type="paragraph" w:customStyle="1" w:styleId="464">
    <w:name w:val="标书---正文"/>
    <w:qFormat/>
    <w:uiPriority w:val="0"/>
    <w:pPr>
      <w:spacing w:line="276" w:lineRule="auto"/>
      <w:ind w:firstLine="200" w:firstLineChars="200"/>
    </w:pPr>
    <w:rPr>
      <w:rFonts w:ascii="宋体" w:hAnsi="Times New Roman" w:eastAsia="宋体" w:cs="Times New Roman"/>
      <w:kern w:val="2"/>
      <w:sz w:val="21"/>
      <w:lang w:val="en-US" w:eastAsia="zh-CN" w:bidi="ar-SA"/>
    </w:rPr>
  </w:style>
  <w:style w:type="paragraph" w:customStyle="1" w:styleId="465">
    <w:name w:val="Unterüberschrift Titelseite"/>
    <w:basedOn w:val="1"/>
    <w:next w:val="23"/>
    <w:qFormat/>
    <w:uiPriority w:val="0"/>
    <w:pPr>
      <w:widowControl/>
      <w:overflowPunct w:val="0"/>
      <w:autoSpaceDE w:val="0"/>
      <w:autoSpaceDN w:val="0"/>
      <w:adjustRightInd w:val="0"/>
      <w:spacing w:before="240" w:after="160" w:line="360" w:lineRule="auto"/>
      <w:jc w:val="center"/>
      <w:textAlignment w:val="baseline"/>
    </w:pPr>
    <w:rPr>
      <w:rFonts w:ascii="Arial" w:hAnsi="Arial" w:cs="Arial"/>
      <w:i/>
      <w:iCs/>
      <w:kern w:val="0"/>
      <w:sz w:val="36"/>
      <w:szCs w:val="36"/>
      <w:lang w:val="de-DE" w:eastAsia="de-DE"/>
    </w:rPr>
  </w:style>
  <w:style w:type="paragraph" w:customStyle="1" w:styleId="466">
    <w:name w:val="Überschrift Titelseite"/>
    <w:basedOn w:val="467"/>
    <w:next w:val="465"/>
    <w:qFormat/>
    <w:uiPriority w:val="0"/>
    <w:pPr>
      <w:spacing w:before="720" w:after="160"/>
      <w:jc w:val="center"/>
    </w:pPr>
    <w:rPr>
      <w:sz w:val="48"/>
      <w:szCs w:val="48"/>
    </w:rPr>
  </w:style>
  <w:style w:type="paragraph" w:customStyle="1" w:styleId="467">
    <w:name w:val="Basis-Überschrift"/>
    <w:basedOn w:val="1"/>
    <w:next w:val="23"/>
    <w:qFormat/>
    <w:uiPriority w:val="0"/>
    <w:pPr>
      <w:keepLines/>
      <w:widowControl/>
      <w:overflowPunct w:val="0"/>
      <w:autoSpaceDE w:val="0"/>
      <w:autoSpaceDN w:val="0"/>
      <w:adjustRightInd w:val="0"/>
      <w:spacing w:before="240" w:after="120" w:line="360" w:lineRule="auto"/>
      <w:textAlignment w:val="baseline"/>
    </w:pPr>
    <w:rPr>
      <w:rFonts w:ascii="Arial" w:hAnsi="Arial" w:cs="Arial"/>
      <w:b/>
      <w:bCs/>
      <w:kern w:val="0"/>
      <w:sz w:val="36"/>
      <w:szCs w:val="36"/>
      <w:lang w:val="de-DE" w:eastAsia="de-DE"/>
    </w:rPr>
  </w:style>
  <w:style w:type="paragraph" w:customStyle="1" w:styleId="468">
    <w:name w:val="Kopfzeile links"/>
    <w:basedOn w:val="1"/>
    <w:qFormat/>
    <w:uiPriority w:val="0"/>
    <w:pPr>
      <w:widowControl/>
      <w:tabs>
        <w:tab w:val="center" w:pos="4819"/>
        <w:tab w:val="right" w:pos="9639"/>
      </w:tabs>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469">
    <w:name w:val="CM12"/>
    <w:basedOn w:val="274"/>
    <w:next w:val="274"/>
    <w:qFormat/>
    <w:uiPriority w:val="0"/>
    <w:pPr>
      <w:spacing w:line="286" w:lineRule="atLeast"/>
    </w:pPr>
    <w:rPr>
      <w:rFonts w:ascii="宋体" w:eastAsia="宋体" w:cs="宋体"/>
      <w:color w:val="auto"/>
    </w:rPr>
  </w:style>
  <w:style w:type="paragraph" w:customStyle="1" w:styleId="470">
    <w:name w:val="Grafik"/>
    <w:basedOn w:val="23"/>
    <w:next w:val="15"/>
    <w:qFormat/>
    <w:uiPriority w:val="0"/>
    <w:pPr>
      <w:suppressAutoHyphens/>
      <w:overflowPunct w:val="0"/>
      <w:autoSpaceDE w:val="0"/>
      <w:autoSpaceDN w:val="0"/>
      <w:adjustRightInd w:val="0"/>
      <w:spacing w:line="340" w:lineRule="atLeast"/>
      <w:textAlignment w:val="baseline"/>
    </w:pPr>
    <w:rPr>
      <w:rFonts w:ascii="Arial Narrow" w:hAnsi="Arial Narrow" w:cs="Arial Narrow"/>
      <w:kern w:val="0"/>
      <w:sz w:val="22"/>
      <w:szCs w:val="22"/>
      <w:lang w:val="de-DE" w:eastAsia="de-DE"/>
    </w:rPr>
  </w:style>
  <w:style w:type="paragraph" w:customStyle="1" w:styleId="471">
    <w:name w:val="WW-Aufzählungszeichen 4"/>
    <w:basedOn w:val="472"/>
    <w:qFormat/>
    <w:uiPriority w:val="0"/>
    <w:pPr>
      <w:tabs>
        <w:tab w:val="left" w:pos="720"/>
      </w:tabs>
      <w:ind w:left="1800"/>
    </w:pPr>
  </w:style>
  <w:style w:type="paragraph" w:customStyle="1" w:styleId="472">
    <w:name w:val="WW-Aufzählungszeichen"/>
    <w:basedOn w:val="17"/>
    <w:qFormat/>
    <w:uiPriority w:val="0"/>
    <w:pPr>
      <w:tabs>
        <w:tab w:val="left" w:pos="720"/>
      </w:tabs>
      <w:suppressAutoHyphens/>
      <w:overflowPunct w:val="0"/>
      <w:autoSpaceDE w:val="0"/>
      <w:autoSpaceDN w:val="0"/>
      <w:spacing w:after="16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473">
    <w:name w:val="xl23"/>
    <w:basedOn w:val="1"/>
    <w:qFormat/>
    <w:uiPriority w:val="0"/>
    <w:pPr>
      <w:widowControl/>
      <w:shd w:val="clear" w:color="auto" w:fill="FFFFFF"/>
      <w:spacing w:before="100" w:beforeAutospacing="1" w:after="100" w:afterAutospacing="1"/>
      <w:jc w:val="center"/>
    </w:pPr>
    <w:rPr>
      <w:rFonts w:ascii="黑体" w:hAnsi="黑体" w:eastAsia="黑体" w:cs="宋体"/>
      <w:b/>
      <w:bCs/>
      <w:color w:val="000000"/>
      <w:kern w:val="0"/>
      <w:sz w:val="36"/>
      <w:szCs w:val="36"/>
    </w:rPr>
  </w:style>
  <w:style w:type="paragraph" w:customStyle="1" w:styleId="474">
    <w:name w:val="Bezeichnung"/>
    <w:basedOn w:val="1"/>
    <w:qFormat/>
    <w:uiPriority w:val="0"/>
    <w:pPr>
      <w:widowControl/>
      <w:overflowPunct w:val="0"/>
      <w:autoSpaceDE w:val="0"/>
      <w:autoSpaceDN w:val="0"/>
      <w:adjustRightInd w:val="0"/>
      <w:spacing w:before="240" w:after="360" w:line="360" w:lineRule="auto"/>
      <w:textAlignment w:val="baseline"/>
    </w:pPr>
    <w:rPr>
      <w:rFonts w:ascii="Wund" w:hAnsi="Wund" w:cs="Wund"/>
      <w:b/>
      <w:bCs/>
      <w:kern w:val="0"/>
      <w:sz w:val="36"/>
      <w:szCs w:val="36"/>
      <w:lang w:val="de-DE" w:eastAsia="de-DE"/>
    </w:rPr>
  </w:style>
  <w:style w:type="paragraph" w:customStyle="1" w:styleId="475">
    <w:name w:val="Liste Ende"/>
    <w:basedOn w:val="17"/>
    <w:next w:val="23"/>
    <w:qFormat/>
    <w:uiPriority w:val="0"/>
    <w:pPr>
      <w:tabs>
        <w:tab w:val="left" w:pos="720"/>
      </w:tabs>
      <w:suppressAutoHyphens/>
      <w:overflowPunct w:val="0"/>
      <w:autoSpaceDE w:val="0"/>
      <w:autoSpaceDN w:val="0"/>
      <w:spacing w:after="24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476">
    <w:name w:val="CM125"/>
    <w:basedOn w:val="274"/>
    <w:next w:val="274"/>
    <w:qFormat/>
    <w:uiPriority w:val="0"/>
    <w:pPr>
      <w:spacing w:after="140"/>
    </w:pPr>
    <w:rPr>
      <w:rFonts w:ascii="宋体" w:eastAsia="宋体" w:cs="宋体"/>
      <w:color w:val="auto"/>
    </w:rPr>
  </w:style>
  <w:style w:type="paragraph" w:customStyle="1" w:styleId="477">
    <w:name w:val="CM103"/>
    <w:basedOn w:val="274"/>
    <w:next w:val="274"/>
    <w:qFormat/>
    <w:uiPriority w:val="0"/>
    <w:pPr>
      <w:spacing w:after="1508"/>
    </w:pPr>
    <w:rPr>
      <w:rFonts w:ascii="宋体" w:eastAsia="宋体" w:cs="宋体"/>
      <w:color w:val="auto"/>
    </w:rPr>
  </w:style>
  <w:style w:type="paragraph" w:customStyle="1" w:styleId="478">
    <w:name w:val="CM69"/>
    <w:basedOn w:val="274"/>
    <w:next w:val="274"/>
    <w:qFormat/>
    <w:uiPriority w:val="0"/>
    <w:pPr>
      <w:spacing w:line="400" w:lineRule="atLeast"/>
    </w:pPr>
    <w:rPr>
      <w:rFonts w:ascii="宋体" w:eastAsia="宋体" w:cs="宋体"/>
      <w:color w:val="auto"/>
    </w:rPr>
  </w:style>
  <w:style w:type="paragraph" w:customStyle="1" w:styleId="479">
    <w:name w:val="Basis-Index"/>
    <w:basedOn w:val="1"/>
    <w:qFormat/>
    <w:uiPriority w:val="0"/>
    <w:pPr>
      <w:widowControl/>
      <w:tabs>
        <w:tab w:val="right" w:leader="dot" w:pos="3960"/>
      </w:tabs>
      <w:overflowPunct w:val="0"/>
      <w:autoSpaceDE w:val="0"/>
      <w:autoSpaceDN w:val="0"/>
      <w:adjustRightInd w:val="0"/>
      <w:spacing w:after="120" w:line="360" w:lineRule="auto"/>
      <w:ind w:left="720" w:hanging="720"/>
      <w:textAlignment w:val="baseline"/>
    </w:pPr>
    <w:rPr>
      <w:rFonts w:ascii="Wund" w:hAnsi="Wund" w:cs="Wund"/>
      <w:kern w:val="0"/>
      <w:sz w:val="22"/>
      <w:lang w:val="de-DE" w:eastAsia="de-DE"/>
    </w:rPr>
  </w:style>
  <w:style w:type="paragraph" w:customStyle="1" w:styleId="480">
    <w:name w:val="Decimal Aligned"/>
    <w:basedOn w:val="1"/>
    <w:qFormat/>
    <w:uiPriority w:val="40"/>
    <w:pPr>
      <w:widowControl/>
      <w:tabs>
        <w:tab w:val="decimal" w:pos="360"/>
      </w:tabs>
      <w:spacing w:after="200" w:line="276" w:lineRule="auto"/>
      <w:jc w:val="left"/>
    </w:pPr>
    <w:rPr>
      <w:kern w:val="0"/>
      <w:sz w:val="22"/>
    </w:rPr>
  </w:style>
  <w:style w:type="paragraph" w:customStyle="1" w:styleId="481">
    <w:name w:val="CM98"/>
    <w:basedOn w:val="274"/>
    <w:next w:val="274"/>
    <w:qFormat/>
    <w:uiPriority w:val="0"/>
    <w:pPr>
      <w:spacing w:after="570"/>
    </w:pPr>
    <w:rPr>
      <w:rFonts w:ascii="宋体" w:eastAsia="宋体" w:cs="宋体"/>
      <w:color w:val="auto"/>
    </w:rPr>
  </w:style>
  <w:style w:type="paragraph" w:customStyle="1" w:styleId="482">
    <w:name w:val="Numerierung 1 Anfang"/>
    <w:basedOn w:val="17"/>
    <w:qFormat/>
    <w:uiPriority w:val="0"/>
    <w:pPr>
      <w:tabs>
        <w:tab w:val="left" w:pos="720"/>
      </w:tabs>
      <w:suppressAutoHyphens/>
      <w:overflowPunct w:val="0"/>
      <w:autoSpaceDE w:val="0"/>
      <w:autoSpaceDN w:val="0"/>
      <w:spacing w:before="240" w:after="12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483">
    <w:name w:val="CM130"/>
    <w:basedOn w:val="274"/>
    <w:next w:val="274"/>
    <w:qFormat/>
    <w:uiPriority w:val="0"/>
    <w:pPr>
      <w:spacing w:after="540"/>
    </w:pPr>
    <w:rPr>
      <w:rFonts w:ascii="宋体" w:eastAsia="宋体" w:cs="宋体"/>
      <w:color w:val="auto"/>
    </w:rPr>
  </w:style>
  <w:style w:type="paragraph" w:customStyle="1" w:styleId="484">
    <w:name w:val="纯文本1"/>
    <w:basedOn w:val="1"/>
    <w:qFormat/>
    <w:uiPriority w:val="0"/>
    <w:pPr>
      <w:adjustRightInd w:val="0"/>
      <w:textAlignment w:val="baseline"/>
    </w:pPr>
    <w:rPr>
      <w:rFonts w:ascii="宋体" w:hAnsi="Courier New" w:eastAsia="楷体_GB2312"/>
      <w:sz w:val="26"/>
      <w:szCs w:val="20"/>
    </w:rPr>
  </w:style>
  <w:style w:type="paragraph" w:customStyle="1" w:styleId="485">
    <w:name w:val="CM19"/>
    <w:basedOn w:val="274"/>
    <w:next w:val="274"/>
    <w:qFormat/>
    <w:uiPriority w:val="0"/>
    <w:pPr>
      <w:spacing w:line="398" w:lineRule="atLeast"/>
    </w:pPr>
    <w:rPr>
      <w:rFonts w:ascii="宋体" w:eastAsia="宋体" w:cs="宋体"/>
      <w:color w:val="auto"/>
    </w:rPr>
  </w:style>
  <w:style w:type="paragraph" w:customStyle="1" w:styleId="486">
    <w:name w:val="CM90"/>
    <w:basedOn w:val="274"/>
    <w:next w:val="274"/>
    <w:qFormat/>
    <w:uiPriority w:val="0"/>
    <w:rPr>
      <w:rFonts w:ascii="宋体" w:eastAsia="宋体" w:cs="宋体"/>
      <w:color w:val="auto"/>
    </w:rPr>
  </w:style>
  <w:style w:type="paragraph" w:customStyle="1" w:styleId="487">
    <w:name w:val="CM83"/>
    <w:basedOn w:val="274"/>
    <w:next w:val="274"/>
    <w:qFormat/>
    <w:uiPriority w:val="0"/>
    <w:pPr>
      <w:spacing w:line="440" w:lineRule="atLeast"/>
    </w:pPr>
    <w:rPr>
      <w:rFonts w:ascii="宋体" w:eastAsia="宋体" w:cs="宋体"/>
      <w:color w:val="auto"/>
    </w:rPr>
  </w:style>
  <w:style w:type="paragraph" w:customStyle="1" w:styleId="488">
    <w:name w:val="xl22"/>
    <w:basedOn w:val="1"/>
    <w:qFormat/>
    <w:uiPriority w:val="0"/>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89">
    <w:name w:val="WW-Endnotentext"/>
    <w:basedOn w:val="1"/>
    <w:qFormat/>
    <w:uiPriority w:val="0"/>
    <w:pPr>
      <w:widowControl/>
      <w:tabs>
        <w:tab w:val="left" w:pos="187"/>
      </w:tabs>
      <w:overflowPunct w:val="0"/>
      <w:autoSpaceDE w:val="0"/>
      <w:autoSpaceDN w:val="0"/>
      <w:adjustRightInd w:val="0"/>
      <w:spacing w:after="120" w:line="220" w:lineRule="atLeast"/>
      <w:ind w:left="187" w:hanging="187"/>
      <w:textAlignment w:val="baseline"/>
    </w:pPr>
    <w:rPr>
      <w:rFonts w:ascii="Wund" w:hAnsi="Wund" w:cs="Wund"/>
      <w:kern w:val="0"/>
      <w:sz w:val="18"/>
      <w:szCs w:val="18"/>
      <w:lang w:val="de-DE" w:eastAsia="de-DE"/>
    </w:rPr>
  </w:style>
  <w:style w:type="paragraph" w:customStyle="1" w:styleId="490">
    <w:name w:val="正文文本 21"/>
    <w:basedOn w:val="1"/>
    <w:qFormat/>
    <w:uiPriority w:val="0"/>
    <w:pPr>
      <w:widowControl/>
      <w:overflowPunct w:val="0"/>
      <w:autoSpaceDE w:val="0"/>
      <w:autoSpaceDN w:val="0"/>
      <w:adjustRightInd w:val="0"/>
      <w:spacing w:line="360" w:lineRule="auto"/>
      <w:textAlignment w:val="baseline"/>
    </w:pPr>
    <w:rPr>
      <w:rFonts w:ascii="Wund" w:hAnsi="Wund" w:cs="Wund"/>
      <w:kern w:val="0"/>
      <w:sz w:val="22"/>
      <w:lang w:val="de-DE" w:eastAsia="de-DE"/>
    </w:rPr>
  </w:style>
  <w:style w:type="paragraph" w:customStyle="1" w:styleId="491">
    <w:name w:val="Aufzählung 1"/>
    <w:basedOn w:val="17"/>
    <w:qFormat/>
    <w:uiPriority w:val="0"/>
    <w:pPr>
      <w:tabs>
        <w:tab w:val="left" w:pos="720"/>
      </w:tabs>
      <w:suppressAutoHyphens/>
      <w:overflowPunct w:val="0"/>
      <w:autoSpaceDE w:val="0"/>
      <w:autoSpaceDN w:val="0"/>
      <w:spacing w:after="12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492">
    <w:name w:val="p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93">
    <w:name w:val="CM56"/>
    <w:basedOn w:val="274"/>
    <w:next w:val="274"/>
    <w:qFormat/>
    <w:uiPriority w:val="0"/>
    <w:rPr>
      <w:rFonts w:ascii="宋体" w:eastAsia="宋体" w:cs="宋体"/>
      <w:color w:val="auto"/>
    </w:rPr>
  </w:style>
  <w:style w:type="paragraph" w:customStyle="1" w:styleId="494">
    <w:name w:val="Kopfzeile ungerade"/>
    <w:basedOn w:val="36"/>
    <w:qFormat/>
    <w:uiPriority w:val="0"/>
    <w:pPr>
      <w:keepLines/>
      <w:widowControl/>
      <w:pBdr>
        <w:bottom w:val="none" w:color="auto" w:sz="0" w:space="0"/>
      </w:pBdr>
      <w:tabs>
        <w:tab w:val="right" w:pos="0"/>
        <w:tab w:val="clear" w:pos="4153"/>
        <w:tab w:val="clear" w:pos="8306"/>
      </w:tabs>
      <w:overflowPunct w:val="0"/>
      <w:autoSpaceDE w:val="0"/>
      <w:autoSpaceDN w:val="0"/>
      <w:adjustRightInd w:val="0"/>
      <w:snapToGrid/>
      <w:spacing w:after="120" w:line="360" w:lineRule="auto"/>
      <w:jc w:val="right"/>
      <w:textAlignment w:val="baseline"/>
    </w:pPr>
    <w:rPr>
      <w:rFonts w:ascii="Wund" w:hAnsi="Wund"/>
      <w:kern w:val="0"/>
      <w:lang w:val="de-DE" w:eastAsia="de-DE"/>
    </w:rPr>
  </w:style>
  <w:style w:type="paragraph" w:customStyle="1" w:styleId="495">
    <w:name w:val="WW-Verzeichnis 6"/>
    <w:basedOn w:val="1"/>
    <w:qFormat/>
    <w:uiPriority w:val="0"/>
    <w:pPr>
      <w:widowControl/>
      <w:tabs>
        <w:tab w:val="right" w:leader="dot" w:pos="9072"/>
      </w:tabs>
      <w:overflowPunct w:val="0"/>
      <w:autoSpaceDE w:val="0"/>
      <w:autoSpaceDN w:val="0"/>
      <w:adjustRightInd w:val="0"/>
      <w:spacing w:after="120" w:line="360" w:lineRule="auto"/>
      <w:ind w:left="960"/>
      <w:jc w:val="left"/>
      <w:textAlignment w:val="baseline"/>
    </w:pPr>
    <w:rPr>
      <w:rFonts w:ascii="Times New Roman" w:hAnsi="Times New Roman"/>
      <w:kern w:val="0"/>
      <w:sz w:val="18"/>
      <w:szCs w:val="18"/>
      <w:lang w:val="de-DE" w:eastAsia="de-DE"/>
    </w:rPr>
  </w:style>
  <w:style w:type="paragraph" w:customStyle="1" w:styleId="496">
    <w:name w:val="Aufzählung Anfang"/>
    <w:basedOn w:val="472"/>
    <w:next w:val="472"/>
    <w:qFormat/>
    <w:uiPriority w:val="0"/>
    <w:pPr>
      <w:spacing w:before="80"/>
    </w:pPr>
  </w:style>
  <w:style w:type="paragraph" w:customStyle="1" w:styleId="497">
    <w:name w:val="CM23"/>
    <w:basedOn w:val="274"/>
    <w:next w:val="274"/>
    <w:qFormat/>
    <w:uiPriority w:val="0"/>
    <w:pPr>
      <w:spacing w:line="398" w:lineRule="atLeast"/>
    </w:pPr>
    <w:rPr>
      <w:rFonts w:ascii="宋体" w:eastAsia="宋体" w:cs="宋体"/>
      <w:color w:val="auto"/>
    </w:rPr>
  </w:style>
  <w:style w:type="paragraph" w:customStyle="1" w:styleId="498">
    <w:name w:val="WW-Aufzählungszeichen 3"/>
    <w:basedOn w:val="472"/>
    <w:qFormat/>
    <w:uiPriority w:val="0"/>
    <w:pPr>
      <w:ind w:left="1440"/>
    </w:pPr>
  </w:style>
  <w:style w:type="paragraph" w:customStyle="1" w:styleId="499">
    <w:name w:val="CM62"/>
    <w:basedOn w:val="274"/>
    <w:next w:val="274"/>
    <w:qFormat/>
    <w:uiPriority w:val="0"/>
    <w:pPr>
      <w:spacing w:line="400" w:lineRule="atLeast"/>
    </w:pPr>
    <w:rPr>
      <w:rFonts w:ascii="宋体" w:eastAsia="宋体" w:cs="宋体"/>
      <w:color w:val="auto"/>
    </w:rPr>
  </w:style>
  <w:style w:type="paragraph" w:customStyle="1" w:styleId="500">
    <w:name w:val="WW-Aufzählungszeichen 5"/>
    <w:basedOn w:val="472"/>
    <w:qFormat/>
    <w:uiPriority w:val="0"/>
    <w:pPr>
      <w:ind w:left="2160"/>
    </w:pPr>
  </w:style>
  <w:style w:type="paragraph" w:customStyle="1" w:styleId="501">
    <w:name w:val="WW-Zusatz 2"/>
    <w:basedOn w:val="1"/>
    <w:qFormat/>
    <w:uiPriority w:val="0"/>
    <w:pPr>
      <w:widowControl/>
      <w:tabs>
        <w:tab w:val="right" w:leader="dot" w:pos="8640"/>
      </w:tabs>
      <w:overflowPunct w:val="0"/>
      <w:autoSpaceDE w:val="0"/>
      <w:autoSpaceDN w:val="0"/>
      <w:adjustRightInd w:val="0"/>
      <w:spacing w:after="120" w:line="360" w:lineRule="auto"/>
      <w:ind w:left="360" w:hanging="360"/>
      <w:textAlignment w:val="baseline"/>
    </w:pPr>
    <w:rPr>
      <w:rFonts w:ascii="Wund" w:hAnsi="Wund" w:cs="Wund"/>
      <w:kern w:val="0"/>
      <w:sz w:val="22"/>
      <w:lang w:val="de-DE" w:eastAsia="de-DE"/>
    </w:rPr>
  </w:style>
  <w:style w:type="paragraph" w:customStyle="1" w:styleId="502">
    <w:name w:val="Überschrift Abschnitt"/>
    <w:basedOn w:val="467"/>
    <w:qFormat/>
    <w:uiPriority w:val="0"/>
    <w:pPr>
      <w:spacing w:after="80"/>
    </w:pPr>
    <w:rPr>
      <w:sz w:val="28"/>
      <w:szCs w:val="28"/>
    </w:rPr>
  </w:style>
  <w:style w:type="paragraph" w:customStyle="1" w:styleId="503">
    <w:name w:val="WW-Zusatz 1"/>
    <w:basedOn w:val="502"/>
    <w:next w:val="501"/>
    <w:qFormat/>
    <w:uiPriority w:val="0"/>
  </w:style>
  <w:style w:type="paragraph" w:customStyle="1" w:styleId="504">
    <w:name w:val="CM44"/>
    <w:basedOn w:val="274"/>
    <w:next w:val="274"/>
    <w:qFormat/>
    <w:uiPriority w:val="0"/>
    <w:pPr>
      <w:spacing w:line="440" w:lineRule="atLeast"/>
    </w:pPr>
    <w:rPr>
      <w:rFonts w:ascii="宋体" w:eastAsia="宋体" w:cs="宋体"/>
      <w:color w:val="auto"/>
    </w:rPr>
  </w:style>
  <w:style w:type="paragraph" w:customStyle="1" w:styleId="505">
    <w:name w:val="Kopfzeile gerade"/>
    <w:basedOn w:val="36"/>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120" w:line="360" w:lineRule="auto"/>
      <w:jc w:val="both"/>
      <w:textAlignment w:val="baseline"/>
    </w:pPr>
    <w:rPr>
      <w:rFonts w:ascii="Wund" w:hAnsi="Wund"/>
      <w:kern w:val="0"/>
      <w:lang w:val="de-DE" w:eastAsia="de-DE"/>
    </w:rPr>
  </w:style>
  <w:style w:type="paragraph" w:customStyle="1" w:styleId="506">
    <w:name w:val="_Style 5"/>
    <w:basedOn w:val="1"/>
    <w:qFormat/>
    <w:uiPriority w:val="34"/>
    <w:pPr>
      <w:ind w:firstLine="420" w:firstLineChars="200"/>
    </w:pPr>
    <w:rPr>
      <w:rFonts w:ascii="宋体" w:hAnsi="Times New Roman"/>
      <w:kern w:val="0"/>
      <w:sz w:val="20"/>
      <w:szCs w:val="24"/>
    </w:rPr>
  </w:style>
  <w:style w:type="paragraph" w:customStyle="1" w:styleId="507">
    <w:name w:val="_Style 216"/>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08">
    <w:name w:val="Fließtext"/>
    <w:basedOn w:val="1"/>
    <w:qFormat/>
    <w:uiPriority w:val="0"/>
    <w:pPr>
      <w:widowControl/>
      <w:jc w:val="left"/>
    </w:pPr>
    <w:rPr>
      <w:rFonts w:ascii="Times New Roman" w:hAnsi="Times New Roman"/>
      <w:kern w:val="0"/>
      <w:sz w:val="22"/>
      <w:lang w:val="de-DE" w:eastAsia="de-DE"/>
    </w:rPr>
  </w:style>
  <w:style w:type="paragraph" w:customStyle="1" w:styleId="509">
    <w:name w:val="Absätze zusammenhalten"/>
    <w:basedOn w:val="23"/>
    <w:qFormat/>
    <w:uiPriority w:val="0"/>
    <w:pPr>
      <w:suppressAutoHyphens/>
      <w:overflowPunct w:val="0"/>
      <w:autoSpaceDE w:val="0"/>
      <w:autoSpaceDN w:val="0"/>
      <w:adjustRightInd w:val="0"/>
      <w:spacing w:line="340" w:lineRule="atLeast"/>
      <w:textAlignment w:val="baseline"/>
    </w:pPr>
    <w:rPr>
      <w:rFonts w:ascii="Arial Narrow" w:hAnsi="Arial Narrow" w:cs="Arial Narrow"/>
      <w:kern w:val="0"/>
      <w:sz w:val="22"/>
      <w:szCs w:val="22"/>
      <w:lang w:val="de-DE" w:eastAsia="de-DE"/>
    </w:rPr>
  </w:style>
  <w:style w:type="paragraph" w:customStyle="1" w:styleId="510">
    <w:name w:val="TOC 标题2"/>
    <w:basedOn w:val="3"/>
    <w:next w:val="1"/>
    <w:qFormat/>
    <w:uiPriority w:val="39"/>
    <w:pPr>
      <w:widowControl/>
      <w:tabs>
        <w:tab w:val="left" w:pos="1140"/>
      </w:tabs>
      <w:spacing w:before="480" w:after="0" w:line="276" w:lineRule="auto"/>
      <w:jc w:val="left"/>
      <w:outlineLvl w:val="9"/>
    </w:pPr>
    <w:rPr>
      <w:rFonts w:ascii="Cambria" w:hAnsi="Cambria"/>
      <w:bCs/>
      <w:color w:val="365F91"/>
      <w:kern w:val="0"/>
    </w:rPr>
  </w:style>
  <w:style w:type="paragraph" w:customStyle="1" w:styleId="511">
    <w:name w:val="CM95"/>
    <w:basedOn w:val="274"/>
    <w:next w:val="274"/>
    <w:qFormat/>
    <w:uiPriority w:val="0"/>
    <w:pPr>
      <w:spacing w:after="115"/>
    </w:pPr>
    <w:rPr>
      <w:rFonts w:ascii="宋体" w:eastAsia="宋体" w:cs="宋体"/>
      <w:color w:val="auto"/>
    </w:rPr>
  </w:style>
  <w:style w:type="paragraph" w:customStyle="1" w:styleId="512">
    <w:name w:val="CM35"/>
    <w:basedOn w:val="274"/>
    <w:next w:val="274"/>
    <w:qFormat/>
    <w:uiPriority w:val="0"/>
    <w:pPr>
      <w:spacing w:line="400" w:lineRule="atLeast"/>
    </w:pPr>
    <w:rPr>
      <w:rFonts w:ascii="宋体" w:eastAsia="宋体" w:cs="宋体"/>
      <w:color w:val="auto"/>
    </w:rPr>
  </w:style>
  <w:style w:type="paragraph" w:customStyle="1" w:styleId="513">
    <w:name w:val="WW-Anmerkungstext"/>
    <w:basedOn w:val="1"/>
    <w:qFormat/>
    <w:uiPriority w:val="0"/>
    <w:pPr>
      <w:widowControl/>
      <w:tabs>
        <w:tab w:val="left" w:pos="187"/>
      </w:tabs>
      <w:overflowPunct w:val="0"/>
      <w:autoSpaceDE w:val="0"/>
      <w:autoSpaceDN w:val="0"/>
      <w:adjustRightInd w:val="0"/>
      <w:spacing w:after="120" w:line="220" w:lineRule="atLeast"/>
      <w:ind w:left="187" w:hanging="187"/>
      <w:textAlignment w:val="baseline"/>
    </w:pPr>
    <w:rPr>
      <w:rFonts w:ascii="Wund" w:hAnsi="Wund" w:cs="Wund"/>
      <w:kern w:val="0"/>
      <w:sz w:val="22"/>
      <w:lang w:val="de-DE" w:eastAsia="de-DE"/>
    </w:rPr>
  </w:style>
  <w:style w:type="paragraph" w:customStyle="1" w:styleId="514">
    <w:name w:val="Fußzeile gerade"/>
    <w:basedOn w:val="35"/>
    <w:qFormat/>
    <w:uiPriority w:val="0"/>
    <w:pPr>
      <w:keepLines/>
      <w:widowControl/>
      <w:tabs>
        <w:tab w:val="center" w:pos="4320"/>
        <w:tab w:val="right" w:pos="8640"/>
        <w:tab w:val="clear" w:pos="4153"/>
        <w:tab w:val="clear" w:pos="8306"/>
      </w:tabs>
      <w:overflowPunct w:val="0"/>
      <w:autoSpaceDE w:val="0"/>
      <w:autoSpaceDN w:val="0"/>
      <w:adjustRightInd w:val="0"/>
      <w:snapToGrid/>
      <w:spacing w:after="120" w:line="360" w:lineRule="auto"/>
      <w:jc w:val="both"/>
      <w:textAlignment w:val="baseline"/>
    </w:pPr>
    <w:rPr>
      <w:rFonts w:ascii="Wund" w:hAnsi="Wund"/>
      <w:kern w:val="0"/>
      <w:lang w:val="de-DE" w:eastAsia="de-DE"/>
    </w:rPr>
  </w:style>
  <w:style w:type="paragraph" w:customStyle="1" w:styleId="515">
    <w:name w:val="p17"/>
    <w:basedOn w:val="1"/>
    <w:qFormat/>
    <w:uiPriority w:val="0"/>
    <w:pPr>
      <w:widowControl/>
      <w:ind w:firstLine="420"/>
    </w:pPr>
    <w:rPr>
      <w:rFonts w:ascii="Times New Roman" w:hAnsi="Times New Roman"/>
      <w:kern w:val="0"/>
      <w:szCs w:val="21"/>
    </w:rPr>
  </w:style>
  <w:style w:type="paragraph" w:customStyle="1" w:styleId="516">
    <w:name w:val="WW-Listenfortsetzung 3"/>
    <w:basedOn w:val="389"/>
    <w:qFormat/>
    <w:uiPriority w:val="0"/>
    <w:pPr>
      <w:ind w:left="1440"/>
    </w:pPr>
  </w:style>
  <w:style w:type="paragraph" w:customStyle="1" w:styleId="517">
    <w:name w:val="CM36"/>
    <w:basedOn w:val="274"/>
    <w:next w:val="274"/>
    <w:qFormat/>
    <w:uiPriority w:val="0"/>
    <w:pPr>
      <w:spacing w:after="68"/>
    </w:pPr>
    <w:rPr>
      <w:rFonts w:ascii="Century Gothic" w:hAnsi="Century Gothic" w:eastAsia="宋体" w:cs="Century Gothic"/>
      <w:color w:val="auto"/>
    </w:rPr>
  </w:style>
  <w:style w:type="paragraph" w:customStyle="1" w:styleId="518">
    <w:name w:val="WW-Listenfortsetzung 2"/>
    <w:basedOn w:val="389"/>
    <w:qFormat/>
    <w:uiPriority w:val="0"/>
    <w:pPr>
      <w:ind w:left="1080"/>
    </w:pPr>
  </w:style>
  <w:style w:type="paragraph" w:customStyle="1" w:styleId="519">
    <w:name w:val="Verzeichnis"/>
    <w:basedOn w:val="1"/>
    <w:qFormat/>
    <w:uiPriority w:val="0"/>
    <w:pPr>
      <w:widowControl/>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520">
    <w:name w:val="xl60"/>
    <w:basedOn w:val="1"/>
    <w:qFormat/>
    <w:uiPriority w:val="0"/>
    <w:pPr>
      <w:widowControl/>
      <w:pBdr>
        <w:bottom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521">
    <w:name w:val="WW-Index 7"/>
    <w:basedOn w:val="1"/>
    <w:qFormat/>
    <w:uiPriority w:val="0"/>
    <w:pPr>
      <w:widowControl/>
      <w:tabs>
        <w:tab w:val="right" w:leader="dot" w:pos="3960"/>
      </w:tabs>
      <w:overflowPunct w:val="0"/>
      <w:autoSpaceDE w:val="0"/>
      <w:autoSpaceDN w:val="0"/>
      <w:adjustRightInd w:val="0"/>
      <w:spacing w:after="120" w:line="360" w:lineRule="auto"/>
      <w:ind w:left="2160" w:hanging="720"/>
      <w:textAlignment w:val="baseline"/>
    </w:pPr>
    <w:rPr>
      <w:rFonts w:ascii="Wund" w:hAnsi="Wund" w:cs="Wund"/>
      <w:kern w:val="0"/>
      <w:sz w:val="22"/>
      <w:lang w:val="de-DE" w:eastAsia="de-DE"/>
    </w:rPr>
  </w:style>
  <w:style w:type="paragraph" w:customStyle="1" w:styleId="522">
    <w:name w:val="Heading #1|1"/>
    <w:basedOn w:val="1"/>
    <w:qFormat/>
    <w:uiPriority w:val="0"/>
    <w:pPr>
      <w:spacing w:after="100"/>
      <w:jc w:val="center"/>
      <w:outlineLvl w:val="0"/>
    </w:pPr>
    <w:rPr>
      <w:rFonts w:ascii="宋体" w:hAnsi="宋体" w:cs="宋体"/>
      <w:sz w:val="44"/>
      <w:szCs w:val="44"/>
      <w:lang w:val="zh-TW" w:eastAsia="zh-TW" w:bidi="zh-TW"/>
    </w:rPr>
  </w:style>
  <w:style w:type="paragraph" w:customStyle="1" w:styleId="523">
    <w:name w:val="WW-Aufzählungszeichen 2"/>
    <w:basedOn w:val="472"/>
    <w:qFormat/>
    <w:uiPriority w:val="0"/>
    <w:pPr>
      <w:ind w:left="1080"/>
    </w:pPr>
  </w:style>
  <w:style w:type="paragraph" w:customStyle="1" w:styleId="524">
    <w:name w:val="CM34"/>
    <w:basedOn w:val="274"/>
    <w:next w:val="274"/>
    <w:qFormat/>
    <w:uiPriority w:val="0"/>
    <w:pPr>
      <w:spacing w:line="398" w:lineRule="atLeast"/>
    </w:pPr>
    <w:rPr>
      <w:rFonts w:ascii="宋体" w:eastAsia="宋体" w:cs="宋体"/>
      <w:color w:val="auto"/>
    </w:rPr>
  </w:style>
  <w:style w:type="paragraph" w:customStyle="1" w:styleId="525">
    <w:name w:val="WW-Überschrift 7"/>
    <w:basedOn w:val="1"/>
    <w:next w:val="23"/>
    <w:qFormat/>
    <w:uiPriority w:val="0"/>
    <w:pPr>
      <w:widowControl/>
      <w:overflowPunct w:val="0"/>
      <w:autoSpaceDE w:val="0"/>
      <w:autoSpaceDN w:val="0"/>
      <w:adjustRightInd w:val="0"/>
      <w:spacing w:before="80" w:after="60" w:line="360" w:lineRule="auto"/>
      <w:ind w:left="4956" w:hanging="708"/>
      <w:textAlignment w:val="baseline"/>
    </w:pPr>
    <w:rPr>
      <w:rFonts w:ascii="Wund" w:hAnsi="Wund" w:cs="Wund"/>
      <w:b/>
      <w:bCs/>
      <w:kern w:val="0"/>
      <w:sz w:val="22"/>
      <w:lang w:val="de-DE" w:eastAsia="de-DE"/>
    </w:rPr>
  </w:style>
  <w:style w:type="paragraph" w:customStyle="1" w:styleId="526">
    <w:name w:val="CM46"/>
    <w:basedOn w:val="274"/>
    <w:next w:val="274"/>
    <w:qFormat/>
    <w:uiPriority w:val="0"/>
    <w:rPr>
      <w:rFonts w:ascii="宋体" w:eastAsia="宋体" w:cs="宋体"/>
      <w:color w:val="auto"/>
    </w:rPr>
  </w:style>
  <w:style w:type="paragraph" w:customStyle="1" w:styleId="527">
    <w:name w:val="Absender"/>
    <w:basedOn w:val="1"/>
    <w:next w:val="1"/>
    <w:qFormat/>
    <w:uiPriority w:val="0"/>
    <w:pPr>
      <w:keepLines/>
      <w:widowControl/>
      <w:overflowPunct w:val="0"/>
      <w:autoSpaceDE w:val="0"/>
      <w:autoSpaceDN w:val="0"/>
      <w:adjustRightInd w:val="0"/>
      <w:spacing w:after="120"/>
      <w:jc w:val="right"/>
      <w:textAlignment w:val="baseline"/>
    </w:pPr>
    <w:rPr>
      <w:rFonts w:ascii="Times New Roman" w:hAnsi="Times New Roman"/>
      <w:kern w:val="0"/>
      <w:sz w:val="20"/>
      <w:szCs w:val="20"/>
      <w:lang w:val="de-DE" w:eastAsia="de-DE"/>
    </w:rPr>
  </w:style>
  <w:style w:type="paragraph" w:customStyle="1" w:styleId="528">
    <w:name w:val="CM102"/>
    <w:basedOn w:val="274"/>
    <w:next w:val="274"/>
    <w:qFormat/>
    <w:uiPriority w:val="0"/>
    <w:pPr>
      <w:spacing w:after="878"/>
    </w:pPr>
    <w:rPr>
      <w:rFonts w:ascii="宋体" w:eastAsia="宋体" w:cs="宋体"/>
      <w:color w:val="auto"/>
    </w:rPr>
  </w:style>
  <w:style w:type="paragraph" w:customStyle="1" w:styleId="529">
    <w:name w:val="修订3"/>
    <w:qFormat/>
    <w:uiPriority w:val="99"/>
    <w:rPr>
      <w:rFonts w:ascii="Times New Roman" w:hAnsi="Times New Roman" w:eastAsia="宋体" w:cs="Times New Roman"/>
      <w:kern w:val="2"/>
      <w:sz w:val="21"/>
      <w:szCs w:val="24"/>
      <w:lang w:val="en-US" w:eastAsia="zh-CN" w:bidi="ar-SA"/>
    </w:rPr>
  </w:style>
  <w:style w:type="paragraph" w:customStyle="1" w:styleId="530">
    <w:name w:val="Teil Beschriftung"/>
    <w:basedOn w:val="467"/>
    <w:next w:val="1"/>
    <w:qFormat/>
    <w:uiPriority w:val="0"/>
    <w:pPr>
      <w:spacing w:before="600" w:after="160"/>
      <w:jc w:val="center"/>
    </w:pPr>
    <w:rPr>
      <w:b w:val="0"/>
      <w:bCs w:val="0"/>
      <w:sz w:val="24"/>
      <w:szCs w:val="24"/>
      <w:u w:val="single"/>
    </w:rPr>
  </w:style>
  <w:style w:type="paragraph" w:customStyle="1" w:styleId="531">
    <w:name w:val="CM40"/>
    <w:basedOn w:val="274"/>
    <w:next w:val="274"/>
    <w:qFormat/>
    <w:uiPriority w:val="0"/>
    <w:pPr>
      <w:spacing w:after="60"/>
    </w:pPr>
    <w:rPr>
      <w:rFonts w:ascii="Century Gothic" w:hAnsi="Century Gothic" w:eastAsia="宋体" w:cs="Century Gothic"/>
      <w:color w:val="auto"/>
    </w:rPr>
  </w:style>
  <w:style w:type="paragraph" w:customStyle="1" w:styleId="532">
    <w:name w:val="CM53"/>
    <w:basedOn w:val="274"/>
    <w:next w:val="274"/>
    <w:qFormat/>
    <w:uiPriority w:val="0"/>
    <w:pPr>
      <w:spacing w:line="400" w:lineRule="atLeast"/>
    </w:pPr>
    <w:rPr>
      <w:rFonts w:ascii="宋体" w:eastAsia="宋体" w:cs="宋体"/>
      <w:color w:val="auto"/>
    </w:rPr>
  </w:style>
  <w:style w:type="paragraph" w:customStyle="1" w:styleId="533">
    <w:name w:val="WW-Liste 4"/>
    <w:basedOn w:val="17"/>
    <w:qFormat/>
    <w:uiPriority w:val="0"/>
    <w:pPr>
      <w:tabs>
        <w:tab w:val="left" w:pos="1800"/>
      </w:tabs>
      <w:suppressAutoHyphens/>
      <w:overflowPunct w:val="0"/>
      <w:autoSpaceDE w:val="0"/>
      <w:autoSpaceDN w:val="0"/>
      <w:spacing w:after="80" w:line="340" w:lineRule="atLeast"/>
      <w:ind w:left="1800" w:hanging="360"/>
      <w:jc w:val="both"/>
      <w:textAlignment w:val="baseline"/>
    </w:pPr>
    <w:rPr>
      <w:rFonts w:hint="default" w:ascii="Arial Narrow" w:hAnsi="Arial Narrow" w:cs="Arial Narrow"/>
      <w:sz w:val="22"/>
      <w:szCs w:val="22"/>
      <w:lang w:val="de-DE" w:eastAsia="de-DE"/>
    </w:rPr>
  </w:style>
  <w:style w:type="paragraph" w:customStyle="1" w:styleId="534">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535">
    <w:name w:val="CM39"/>
    <w:basedOn w:val="274"/>
    <w:next w:val="274"/>
    <w:qFormat/>
    <w:uiPriority w:val="0"/>
    <w:pPr>
      <w:spacing w:line="400" w:lineRule="atLeast"/>
    </w:pPr>
    <w:rPr>
      <w:rFonts w:ascii="宋体" w:eastAsia="宋体" w:cs="宋体"/>
      <w:color w:val="auto"/>
    </w:rPr>
  </w:style>
  <w:style w:type="paragraph" w:customStyle="1" w:styleId="536">
    <w:name w:val="Basis-Verzeichnis"/>
    <w:basedOn w:val="1"/>
    <w:qFormat/>
    <w:uiPriority w:val="0"/>
    <w:pPr>
      <w:widowControl/>
      <w:tabs>
        <w:tab w:val="right" w:leader="dot" w:pos="8640"/>
      </w:tabs>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537">
    <w:name w:val="Überschrift"/>
    <w:basedOn w:val="1"/>
    <w:next w:val="23"/>
    <w:qFormat/>
    <w:uiPriority w:val="0"/>
    <w:pPr>
      <w:keepNext/>
      <w:widowControl/>
      <w:overflowPunct w:val="0"/>
      <w:autoSpaceDE w:val="0"/>
      <w:autoSpaceDN w:val="0"/>
      <w:adjustRightInd w:val="0"/>
      <w:spacing w:before="240" w:after="120" w:line="360" w:lineRule="auto"/>
      <w:ind w:left="993" w:hanging="993"/>
      <w:textAlignment w:val="baseline"/>
    </w:pPr>
    <w:rPr>
      <w:rFonts w:ascii="Wund" w:hAnsi="Wund" w:cs="Wund"/>
      <w:b/>
      <w:bCs/>
      <w:smallCaps/>
      <w:kern w:val="0"/>
      <w:sz w:val="36"/>
      <w:szCs w:val="36"/>
      <w:lang w:val="de-DE" w:eastAsia="de-DE"/>
    </w:rPr>
  </w:style>
  <w:style w:type="paragraph" w:customStyle="1" w:styleId="538">
    <w:name w:val="Inhaltsverzeichnis Überschrift"/>
    <w:basedOn w:val="537"/>
    <w:qFormat/>
    <w:uiPriority w:val="0"/>
    <w:pPr>
      <w:ind w:left="0" w:firstLine="0"/>
    </w:pPr>
    <w:rPr>
      <w:sz w:val="32"/>
      <w:szCs w:val="32"/>
    </w:rPr>
  </w:style>
  <w:style w:type="paragraph" w:customStyle="1" w:styleId="539">
    <w:name w:val="列出段落2"/>
    <w:basedOn w:val="1"/>
    <w:qFormat/>
    <w:uiPriority w:val="0"/>
    <w:pPr>
      <w:ind w:firstLine="420" w:firstLineChars="200"/>
    </w:pPr>
    <w:rPr>
      <w:rFonts w:ascii="Times New Roman" w:hAnsi="Times New Roman"/>
      <w:szCs w:val="24"/>
    </w:rPr>
  </w:style>
  <w:style w:type="paragraph" w:customStyle="1" w:styleId="540">
    <w:name w:val="Textkörper Einzug"/>
    <w:basedOn w:val="1"/>
    <w:qFormat/>
    <w:uiPriority w:val="0"/>
    <w:pPr>
      <w:widowControl/>
      <w:overflowPunct w:val="0"/>
      <w:autoSpaceDE w:val="0"/>
      <w:autoSpaceDN w:val="0"/>
      <w:adjustRightInd w:val="0"/>
      <w:spacing w:after="120" w:line="280" w:lineRule="atLeast"/>
      <w:ind w:left="1080"/>
      <w:textAlignment w:val="baseline"/>
    </w:pPr>
    <w:rPr>
      <w:rFonts w:ascii="Arial" w:hAnsi="Arial" w:cs="Arial"/>
      <w:kern w:val="0"/>
      <w:sz w:val="22"/>
      <w:lang w:val="de-DE" w:eastAsia="de-DE"/>
    </w:rPr>
  </w:style>
  <w:style w:type="paragraph" w:customStyle="1" w:styleId="541">
    <w:name w:val="CM76"/>
    <w:basedOn w:val="274"/>
    <w:next w:val="274"/>
    <w:qFormat/>
    <w:uiPriority w:val="0"/>
    <w:pPr>
      <w:spacing w:line="400" w:lineRule="atLeast"/>
    </w:pPr>
    <w:rPr>
      <w:rFonts w:ascii="宋体" w:eastAsia="宋体" w:cs="宋体"/>
      <w:color w:val="auto"/>
    </w:rPr>
  </w:style>
  <w:style w:type="paragraph" w:customStyle="1" w:styleId="542">
    <w:name w:val="CM50"/>
    <w:basedOn w:val="274"/>
    <w:next w:val="274"/>
    <w:qFormat/>
    <w:uiPriority w:val="0"/>
    <w:pPr>
      <w:spacing w:line="1020" w:lineRule="atLeast"/>
    </w:pPr>
    <w:rPr>
      <w:rFonts w:ascii="宋体" w:eastAsia="宋体" w:cs="宋体"/>
      <w:color w:val="auto"/>
    </w:rPr>
  </w:style>
  <w:style w:type="paragraph" w:customStyle="1" w:styleId="543">
    <w:name w:val="CM81"/>
    <w:basedOn w:val="274"/>
    <w:next w:val="274"/>
    <w:qFormat/>
    <w:uiPriority w:val="0"/>
    <w:pPr>
      <w:spacing w:line="440" w:lineRule="atLeast"/>
    </w:pPr>
    <w:rPr>
      <w:rFonts w:ascii="宋体" w:eastAsia="宋体" w:cs="宋体"/>
      <w:color w:val="auto"/>
    </w:rPr>
  </w:style>
  <w:style w:type="paragraph" w:customStyle="1" w:styleId="544">
    <w:name w:val="WW-Verzeichnis 7"/>
    <w:basedOn w:val="1"/>
    <w:qFormat/>
    <w:uiPriority w:val="0"/>
    <w:pPr>
      <w:widowControl/>
      <w:tabs>
        <w:tab w:val="right" w:leader="dot" w:pos="9072"/>
      </w:tabs>
      <w:overflowPunct w:val="0"/>
      <w:autoSpaceDE w:val="0"/>
      <w:autoSpaceDN w:val="0"/>
      <w:adjustRightInd w:val="0"/>
      <w:spacing w:after="120" w:line="360" w:lineRule="auto"/>
      <w:ind w:left="1200"/>
      <w:jc w:val="left"/>
      <w:textAlignment w:val="baseline"/>
    </w:pPr>
    <w:rPr>
      <w:rFonts w:ascii="Times New Roman" w:hAnsi="Times New Roman"/>
      <w:kern w:val="0"/>
      <w:sz w:val="18"/>
      <w:szCs w:val="18"/>
      <w:lang w:val="de-DE" w:eastAsia="de-DE"/>
    </w:rPr>
  </w:style>
  <w:style w:type="paragraph" w:customStyle="1" w:styleId="545">
    <w:name w:val="WW-Liste 5"/>
    <w:basedOn w:val="17"/>
    <w:qFormat/>
    <w:uiPriority w:val="0"/>
    <w:pPr>
      <w:tabs>
        <w:tab w:val="left" w:pos="2160"/>
      </w:tabs>
      <w:suppressAutoHyphens/>
      <w:overflowPunct w:val="0"/>
      <w:autoSpaceDE w:val="0"/>
      <w:autoSpaceDN w:val="0"/>
      <w:spacing w:after="80" w:line="340" w:lineRule="atLeast"/>
      <w:ind w:left="2160" w:hanging="360"/>
      <w:jc w:val="both"/>
      <w:textAlignment w:val="baseline"/>
    </w:pPr>
    <w:rPr>
      <w:rFonts w:hint="default" w:ascii="Arial Narrow" w:hAnsi="Arial Narrow" w:cs="Arial Narrow"/>
      <w:sz w:val="22"/>
      <w:szCs w:val="22"/>
      <w:lang w:val="de-DE" w:eastAsia="de-DE"/>
    </w:rPr>
  </w:style>
  <w:style w:type="paragraph" w:customStyle="1" w:styleId="546">
    <w:name w:val="Char Char Char Char Char Char Char Char Char Char Char Char Char"/>
    <w:basedOn w:val="1"/>
    <w:qFormat/>
    <w:uiPriority w:val="0"/>
    <w:pPr>
      <w:spacing w:afterLines="100"/>
    </w:pPr>
    <w:rPr>
      <w:rFonts w:ascii="仿宋_GB2312" w:hAnsi="Times New Roman"/>
      <w:b/>
      <w:sz w:val="36"/>
      <w:szCs w:val="32"/>
    </w:rPr>
  </w:style>
  <w:style w:type="paragraph" w:customStyle="1" w:styleId="547">
    <w:name w:val="Teil Titel"/>
    <w:basedOn w:val="467"/>
    <w:next w:val="548"/>
    <w:qFormat/>
    <w:uiPriority w:val="0"/>
    <w:pPr>
      <w:spacing w:before="600"/>
      <w:jc w:val="center"/>
    </w:pPr>
  </w:style>
  <w:style w:type="paragraph" w:customStyle="1" w:styleId="548">
    <w:name w:val="Teil Untertitel"/>
    <w:basedOn w:val="1"/>
    <w:next w:val="23"/>
    <w:qFormat/>
    <w:uiPriority w:val="0"/>
    <w:pPr>
      <w:widowControl/>
      <w:overflowPunct w:val="0"/>
      <w:autoSpaceDE w:val="0"/>
      <w:autoSpaceDN w:val="0"/>
      <w:adjustRightInd w:val="0"/>
      <w:spacing w:before="360" w:after="120" w:line="360" w:lineRule="auto"/>
      <w:jc w:val="center"/>
      <w:textAlignment w:val="baseline"/>
    </w:pPr>
    <w:rPr>
      <w:rFonts w:ascii="Arial" w:hAnsi="Arial" w:cs="Arial"/>
      <w:i/>
      <w:iCs/>
      <w:kern w:val="0"/>
      <w:sz w:val="32"/>
      <w:szCs w:val="32"/>
      <w:lang w:val="de-DE" w:eastAsia="de-DE"/>
    </w:rPr>
  </w:style>
  <w:style w:type="paragraph" w:customStyle="1" w:styleId="549">
    <w:name w:val="Bildunterschrift"/>
    <w:basedOn w:val="1"/>
    <w:qFormat/>
    <w:uiPriority w:val="0"/>
    <w:pPr>
      <w:widowControl/>
      <w:overflowPunct w:val="0"/>
      <w:autoSpaceDE w:val="0"/>
      <w:autoSpaceDN w:val="0"/>
      <w:adjustRightInd w:val="0"/>
      <w:spacing w:before="5670" w:after="120" w:line="360" w:lineRule="auto"/>
      <w:jc w:val="center"/>
      <w:textAlignment w:val="baseline"/>
    </w:pPr>
    <w:rPr>
      <w:rFonts w:ascii="Arial" w:hAnsi="Arial" w:cs="Arial"/>
      <w:i/>
      <w:iCs/>
      <w:kern w:val="0"/>
      <w:sz w:val="22"/>
      <w:lang w:val="de-DE" w:eastAsia="de-DE"/>
    </w:rPr>
  </w:style>
  <w:style w:type="paragraph" w:customStyle="1" w:styleId="550">
    <w:name w:val="p15"/>
    <w:basedOn w:val="1"/>
    <w:qFormat/>
    <w:uiPriority w:val="0"/>
    <w:pPr>
      <w:widowControl/>
      <w:snapToGrid w:val="0"/>
      <w:jc w:val="left"/>
    </w:pPr>
    <w:rPr>
      <w:rFonts w:ascii="宋体" w:hAnsi="宋体" w:cs="宋体"/>
      <w:b/>
      <w:bCs/>
      <w:kern w:val="0"/>
      <w:sz w:val="24"/>
      <w:szCs w:val="24"/>
    </w:rPr>
  </w:style>
  <w:style w:type="paragraph" w:customStyle="1" w:styleId="551">
    <w:name w:val="CM31"/>
    <w:basedOn w:val="274"/>
    <w:next w:val="274"/>
    <w:qFormat/>
    <w:uiPriority w:val="0"/>
    <w:pPr>
      <w:spacing w:line="400" w:lineRule="atLeast"/>
    </w:pPr>
    <w:rPr>
      <w:rFonts w:ascii="宋体" w:eastAsia="宋体" w:cs="宋体"/>
      <w:color w:val="auto"/>
    </w:rPr>
  </w:style>
  <w:style w:type="paragraph" w:customStyle="1" w:styleId="552">
    <w:name w:val="Char16"/>
    <w:basedOn w:val="1"/>
    <w:qFormat/>
    <w:uiPriority w:val="0"/>
    <w:rPr>
      <w:rFonts w:ascii="Times New Roman" w:hAnsi="Times New Roman"/>
      <w:szCs w:val="20"/>
    </w:rPr>
  </w:style>
  <w:style w:type="paragraph" w:customStyle="1" w:styleId="553">
    <w:name w:val="CM13"/>
    <w:basedOn w:val="274"/>
    <w:next w:val="274"/>
    <w:qFormat/>
    <w:uiPriority w:val="0"/>
    <w:pPr>
      <w:spacing w:line="276" w:lineRule="atLeast"/>
    </w:pPr>
    <w:rPr>
      <w:rFonts w:ascii="Century Gothic" w:hAnsi="Century Gothic" w:eastAsia="宋体" w:cs="Century Gothic"/>
      <w:color w:val="auto"/>
    </w:rPr>
  </w:style>
  <w:style w:type="paragraph" w:customStyle="1" w:styleId="554">
    <w:name w:val="样式4"/>
    <w:basedOn w:val="3"/>
    <w:qFormat/>
    <w:uiPriority w:val="0"/>
    <w:pPr>
      <w:spacing w:before="340" w:after="330" w:line="578" w:lineRule="auto"/>
      <w:ind w:firstLine="641"/>
      <w:jc w:val="both"/>
    </w:pPr>
    <w:rPr>
      <w:rFonts w:ascii="仿宋_GB2312" w:hAnsi="仿宋_GB2312" w:eastAsia="楷体_GB2312"/>
      <w:bCs/>
      <w:sz w:val="32"/>
      <w:szCs w:val="32"/>
    </w:rPr>
  </w:style>
  <w:style w:type="paragraph" w:customStyle="1" w:styleId="555">
    <w:name w:val="Fußzeile ungerade"/>
    <w:basedOn w:val="35"/>
    <w:qFormat/>
    <w:uiPriority w:val="0"/>
    <w:pPr>
      <w:keepLines/>
      <w:widowControl/>
      <w:tabs>
        <w:tab w:val="right" w:pos="0"/>
        <w:tab w:val="clear" w:pos="4153"/>
        <w:tab w:val="clear" w:pos="8306"/>
      </w:tabs>
      <w:overflowPunct w:val="0"/>
      <w:autoSpaceDE w:val="0"/>
      <w:autoSpaceDN w:val="0"/>
      <w:adjustRightInd w:val="0"/>
      <w:snapToGrid/>
      <w:spacing w:after="120" w:line="360" w:lineRule="auto"/>
      <w:jc w:val="right"/>
      <w:textAlignment w:val="baseline"/>
    </w:pPr>
    <w:rPr>
      <w:rFonts w:ascii="Wund" w:hAnsi="Wund"/>
      <w:kern w:val="0"/>
      <w:lang w:val="de-DE" w:eastAsia="de-DE"/>
    </w:rPr>
  </w:style>
  <w:style w:type="paragraph" w:customStyle="1" w:styleId="556">
    <w:name w:val="段落"/>
    <w:qFormat/>
    <w:uiPriority w:val="0"/>
    <w:pPr>
      <w:spacing w:line="310" w:lineRule="exact"/>
      <w:ind w:firstLine="200" w:firstLineChars="200"/>
    </w:pPr>
    <w:rPr>
      <w:rFonts w:ascii="Times New Roman" w:hAnsi="Times New Roman" w:eastAsia="宋体" w:cs="Times New Roman"/>
      <w:sz w:val="21"/>
      <w:lang w:val="en-US" w:eastAsia="zh-CN" w:bidi="ar-SA"/>
    </w:rPr>
  </w:style>
  <w:style w:type="paragraph" w:customStyle="1" w:styleId="557">
    <w:name w:val="CM101"/>
    <w:basedOn w:val="274"/>
    <w:next w:val="274"/>
    <w:qFormat/>
    <w:uiPriority w:val="0"/>
    <w:pPr>
      <w:spacing w:after="800"/>
    </w:pPr>
    <w:rPr>
      <w:rFonts w:ascii="宋体" w:eastAsia="宋体" w:cs="宋体"/>
      <w:color w:val="auto"/>
    </w:rPr>
  </w:style>
  <w:style w:type="paragraph" w:customStyle="1" w:styleId="558">
    <w:name w:val="CM29"/>
    <w:basedOn w:val="274"/>
    <w:next w:val="274"/>
    <w:qFormat/>
    <w:uiPriority w:val="0"/>
    <w:pPr>
      <w:spacing w:line="400" w:lineRule="atLeast"/>
    </w:pPr>
    <w:rPr>
      <w:rFonts w:ascii="宋体" w:eastAsia="宋体" w:cs="宋体"/>
      <w:color w:val="auto"/>
    </w:rPr>
  </w:style>
  <w:style w:type="paragraph" w:customStyle="1" w:styleId="559">
    <w:name w:val="Char Char Char Char Char Char Char"/>
    <w:basedOn w:val="1"/>
    <w:qFormat/>
    <w:uiPriority w:val="0"/>
    <w:pPr>
      <w:tabs>
        <w:tab w:val="left" w:pos="360"/>
      </w:tabs>
    </w:pPr>
    <w:rPr>
      <w:rFonts w:ascii="Times New Roman" w:hAnsi="Times New Roman"/>
      <w:szCs w:val="24"/>
    </w:rPr>
  </w:style>
  <w:style w:type="paragraph" w:customStyle="1" w:styleId="560">
    <w:name w:val="_Style 6"/>
    <w:basedOn w:val="1"/>
    <w:qFormat/>
    <w:uiPriority w:val="0"/>
    <w:pPr>
      <w:widowControl/>
      <w:spacing w:after="200" w:line="252" w:lineRule="auto"/>
      <w:ind w:left="720"/>
      <w:contextualSpacing/>
      <w:jc w:val="left"/>
    </w:pPr>
    <w:rPr>
      <w:rFonts w:ascii="Cambria" w:hAnsi="Cambria"/>
      <w:kern w:val="0"/>
      <w:sz w:val="22"/>
      <w:szCs w:val="24"/>
      <w:lang w:eastAsia="en-US" w:bidi="en-US"/>
    </w:rPr>
  </w:style>
  <w:style w:type="paragraph" w:customStyle="1" w:styleId="561">
    <w:name w:val="CM14"/>
    <w:basedOn w:val="274"/>
    <w:next w:val="274"/>
    <w:qFormat/>
    <w:uiPriority w:val="0"/>
    <w:pPr>
      <w:spacing w:line="278" w:lineRule="atLeast"/>
    </w:pPr>
    <w:rPr>
      <w:rFonts w:ascii="Century Gothic" w:hAnsi="Century Gothic" w:eastAsia="宋体" w:cs="Century Gothic"/>
      <w:color w:val="auto"/>
    </w:rPr>
  </w:style>
  <w:style w:type="paragraph" w:customStyle="1" w:styleId="562">
    <w:name w:val="默认段落字体 Para Char Char Char Char Char Char Char"/>
    <w:basedOn w:val="18"/>
    <w:qFormat/>
    <w:uiPriority w:val="0"/>
    <w:pPr>
      <w:adjustRightInd w:val="0"/>
      <w:spacing w:line="436" w:lineRule="exact"/>
      <w:ind w:left="357"/>
      <w:jc w:val="left"/>
      <w:outlineLvl w:val="3"/>
    </w:pPr>
    <w:rPr>
      <w:rFonts w:ascii="Tahoma" w:hAnsi="Tahoma"/>
      <w:b/>
      <w:sz w:val="24"/>
      <w:szCs w:val="24"/>
    </w:rPr>
  </w:style>
  <w:style w:type="paragraph" w:customStyle="1" w:styleId="563">
    <w:name w:val="默认段落字体 Para Char Char Char Char"/>
    <w:basedOn w:val="1"/>
    <w:qFormat/>
    <w:uiPriority w:val="0"/>
    <w:rPr>
      <w:rFonts w:ascii="Times New Roman" w:hAnsi="Times New Roman"/>
      <w:kern w:val="0"/>
      <w:sz w:val="24"/>
      <w:szCs w:val="20"/>
    </w:rPr>
  </w:style>
  <w:style w:type="paragraph" w:customStyle="1" w:styleId="564">
    <w:name w:val="Numerierung Ende"/>
    <w:basedOn w:val="432"/>
    <w:next w:val="23"/>
    <w:qFormat/>
    <w:uiPriority w:val="0"/>
    <w:pPr>
      <w:spacing w:after="240"/>
    </w:pPr>
  </w:style>
  <w:style w:type="paragraph" w:customStyle="1" w:styleId="565">
    <w:name w:val="WW-Liste 3"/>
    <w:basedOn w:val="17"/>
    <w:qFormat/>
    <w:uiPriority w:val="0"/>
    <w:pPr>
      <w:tabs>
        <w:tab w:val="left" w:pos="1440"/>
      </w:tabs>
      <w:suppressAutoHyphens/>
      <w:overflowPunct w:val="0"/>
      <w:autoSpaceDE w:val="0"/>
      <w:autoSpaceDN w:val="0"/>
      <w:spacing w:after="80" w:line="340" w:lineRule="atLeast"/>
      <w:ind w:left="1440" w:hanging="360"/>
      <w:jc w:val="both"/>
      <w:textAlignment w:val="baseline"/>
    </w:pPr>
    <w:rPr>
      <w:rFonts w:hint="default" w:ascii="Arial Narrow" w:hAnsi="Arial Narrow" w:cs="Arial Narrow"/>
      <w:sz w:val="22"/>
      <w:szCs w:val="22"/>
      <w:lang w:val="de-DE" w:eastAsia="de-DE"/>
    </w:rPr>
  </w:style>
  <w:style w:type="paragraph" w:customStyle="1" w:styleId="566">
    <w:name w:val="Numerierung Anfang"/>
    <w:basedOn w:val="432"/>
    <w:next w:val="432"/>
    <w:qFormat/>
    <w:uiPriority w:val="0"/>
    <w:pPr>
      <w:spacing w:before="80"/>
    </w:pPr>
  </w:style>
  <w:style w:type="paragraph" w:customStyle="1" w:styleId="567">
    <w:name w:val="Aufzählung Ende"/>
    <w:basedOn w:val="472"/>
    <w:next w:val="23"/>
    <w:qFormat/>
    <w:uiPriority w:val="0"/>
    <w:pPr>
      <w:spacing w:after="240"/>
    </w:pPr>
  </w:style>
  <w:style w:type="paragraph" w:customStyle="1" w:styleId="568">
    <w:name w:val="WW-Index 8"/>
    <w:basedOn w:val="1"/>
    <w:qFormat/>
    <w:uiPriority w:val="0"/>
    <w:pPr>
      <w:widowControl/>
      <w:tabs>
        <w:tab w:val="right" w:leader="dot" w:pos="3960"/>
      </w:tabs>
      <w:overflowPunct w:val="0"/>
      <w:autoSpaceDE w:val="0"/>
      <w:autoSpaceDN w:val="0"/>
      <w:adjustRightInd w:val="0"/>
      <w:spacing w:after="120" w:line="360" w:lineRule="auto"/>
      <w:ind w:left="2520" w:hanging="720"/>
      <w:textAlignment w:val="baseline"/>
    </w:pPr>
    <w:rPr>
      <w:rFonts w:ascii="Wund" w:hAnsi="Wund" w:cs="Wund"/>
      <w:kern w:val="0"/>
      <w:sz w:val="22"/>
      <w:lang w:val="de-DE" w:eastAsia="de-DE"/>
    </w:rPr>
  </w:style>
  <w:style w:type="paragraph" w:customStyle="1" w:styleId="569">
    <w:name w:val="CM24"/>
    <w:basedOn w:val="274"/>
    <w:next w:val="274"/>
    <w:qFormat/>
    <w:uiPriority w:val="0"/>
    <w:pPr>
      <w:spacing w:line="440" w:lineRule="atLeast"/>
    </w:pPr>
    <w:rPr>
      <w:rFonts w:ascii="宋体" w:eastAsia="宋体" w:cs="宋体"/>
      <w:color w:val="auto"/>
    </w:rPr>
  </w:style>
  <w:style w:type="paragraph" w:customStyle="1" w:styleId="570">
    <w:name w:val="正文文字缩进"/>
    <w:basedOn w:val="1"/>
    <w:next w:val="1"/>
    <w:qFormat/>
    <w:uiPriority w:val="0"/>
    <w:pPr>
      <w:widowControl/>
      <w:tabs>
        <w:tab w:val="left" w:pos="0"/>
        <w:tab w:val="left" w:pos="993"/>
        <w:tab w:val="left" w:pos="1134"/>
      </w:tabs>
      <w:spacing w:line="500" w:lineRule="exact"/>
      <w:ind w:firstLine="567"/>
    </w:pPr>
    <w:rPr>
      <w:rFonts w:ascii="宋体" w:hAnsi="Times New Roman"/>
      <w:color w:val="000000"/>
      <w:kern w:val="0"/>
      <w:sz w:val="28"/>
      <w:szCs w:val="20"/>
    </w:rPr>
  </w:style>
  <w:style w:type="paragraph" w:customStyle="1" w:styleId="571">
    <w:name w:val="Aufzählung 1 Anfang"/>
    <w:basedOn w:val="17"/>
    <w:qFormat/>
    <w:uiPriority w:val="0"/>
    <w:pPr>
      <w:tabs>
        <w:tab w:val="left" w:pos="720"/>
      </w:tabs>
      <w:suppressAutoHyphens/>
      <w:overflowPunct w:val="0"/>
      <w:autoSpaceDE w:val="0"/>
      <w:autoSpaceDN w:val="0"/>
      <w:spacing w:before="240" w:after="12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572">
    <w:name w:val="CM26"/>
    <w:basedOn w:val="274"/>
    <w:next w:val="274"/>
    <w:qFormat/>
    <w:uiPriority w:val="0"/>
    <w:pPr>
      <w:spacing w:line="400" w:lineRule="atLeast"/>
    </w:pPr>
    <w:rPr>
      <w:rFonts w:ascii="宋体" w:eastAsia="宋体" w:cs="宋体"/>
      <w:color w:val="auto"/>
    </w:rPr>
  </w:style>
  <w:style w:type="paragraph" w:customStyle="1" w:styleId="573">
    <w:name w:val="Titel-Gutachten"/>
    <w:basedOn w:val="1"/>
    <w:qFormat/>
    <w:uiPriority w:val="0"/>
    <w:pPr>
      <w:widowControl/>
      <w:overflowPunct w:val="0"/>
      <w:autoSpaceDE w:val="0"/>
      <w:autoSpaceDN w:val="0"/>
      <w:adjustRightInd w:val="0"/>
      <w:spacing w:after="120" w:line="360" w:lineRule="auto"/>
      <w:jc w:val="center"/>
      <w:textAlignment w:val="baseline"/>
    </w:pPr>
    <w:rPr>
      <w:rFonts w:ascii="Wund" w:hAnsi="Wund" w:cs="Wund"/>
      <w:b/>
      <w:bCs/>
      <w:kern w:val="0"/>
      <w:sz w:val="36"/>
      <w:szCs w:val="36"/>
      <w:lang w:val="de-DE" w:eastAsia="de-DE"/>
    </w:rPr>
  </w:style>
  <w:style w:type="paragraph" w:customStyle="1" w:styleId="574">
    <w:name w:val="WW-Index 5"/>
    <w:basedOn w:val="1"/>
    <w:qFormat/>
    <w:uiPriority w:val="0"/>
    <w:pPr>
      <w:widowControl/>
      <w:tabs>
        <w:tab w:val="right" w:leader="dot" w:pos="3960"/>
      </w:tabs>
      <w:overflowPunct w:val="0"/>
      <w:autoSpaceDE w:val="0"/>
      <w:autoSpaceDN w:val="0"/>
      <w:adjustRightInd w:val="0"/>
      <w:spacing w:after="120" w:line="360" w:lineRule="auto"/>
      <w:ind w:left="2160" w:hanging="720"/>
      <w:textAlignment w:val="baseline"/>
    </w:pPr>
    <w:rPr>
      <w:rFonts w:ascii="Wund" w:hAnsi="Wund" w:cs="Wund"/>
      <w:kern w:val="0"/>
      <w:sz w:val="22"/>
      <w:lang w:val="de-DE" w:eastAsia="de-DE"/>
    </w:rPr>
  </w:style>
  <w:style w:type="paragraph" w:customStyle="1" w:styleId="575">
    <w:name w:val="CM85"/>
    <w:basedOn w:val="274"/>
    <w:next w:val="274"/>
    <w:qFormat/>
    <w:uiPriority w:val="0"/>
    <w:pPr>
      <w:spacing w:line="443" w:lineRule="atLeast"/>
    </w:pPr>
    <w:rPr>
      <w:rFonts w:ascii="宋体" w:eastAsia="宋体" w:cs="宋体"/>
      <w:color w:val="auto"/>
    </w:rPr>
  </w:style>
  <w:style w:type="paragraph" w:customStyle="1" w:styleId="576">
    <w:name w:val="CM104"/>
    <w:basedOn w:val="274"/>
    <w:next w:val="274"/>
    <w:qFormat/>
    <w:uiPriority w:val="0"/>
    <w:pPr>
      <w:spacing w:after="1318"/>
    </w:pPr>
    <w:rPr>
      <w:rFonts w:ascii="宋体" w:eastAsia="宋体" w:cs="宋体"/>
      <w:color w:val="auto"/>
    </w:rPr>
  </w:style>
  <w:style w:type="paragraph" w:customStyle="1" w:styleId="577">
    <w:name w:val="Zchn Zchn21"/>
    <w:basedOn w:val="18"/>
    <w:qFormat/>
    <w:uiPriority w:val="0"/>
    <w:rPr>
      <w:rFonts w:ascii="Calibri" w:hAnsi="Calibri"/>
      <w:kern w:val="0"/>
      <w:sz w:val="16"/>
      <w:szCs w:val="16"/>
      <w:lang w:val="de-DE" w:eastAsia="de-DE"/>
    </w:rPr>
  </w:style>
  <w:style w:type="paragraph" w:customStyle="1" w:styleId="578">
    <w:name w:val="WW-Makrotext"/>
    <w:basedOn w:val="23"/>
    <w:qFormat/>
    <w:uiPriority w:val="0"/>
    <w:pPr>
      <w:suppressAutoHyphens/>
      <w:overflowPunct w:val="0"/>
      <w:autoSpaceDE w:val="0"/>
      <w:autoSpaceDN w:val="0"/>
      <w:adjustRightInd w:val="0"/>
      <w:spacing w:line="340" w:lineRule="atLeast"/>
      <w:textAlignment w:val="baseline"/>
    </w:pPr>
    <w:rPr>
      <w:rFonts w:ascii="Courier New" w:hAnsi="Courier New" w:cs="Courier New"/>
      <w:kern w:val="0"/>
      <w:sz w:val="22"/>
      <w:szCs w:val="22"/>
      <w:lang w:val="de-DE" w:eastAsia="de-DE"/>
    </w:rPr>
  </w:style>
  <w:style w:type="paragraph" w:customStyle="1" w:styleId="579">
    <w:name w:val="CM30"/>
    <w:basedOn w:val="274"/>
    <w:next w:val="274"/>
    <w:qFormat/>
    <w:uiPriority w:val="0"/>
    <w:pPr>
      <w:spacing w:after="260"/>
    </w:pPr>
    <w:rPr>
      <w:rFonts w:ascii="Century Gothic" w:hAnsi="Century Gothic" w:eastAsia="宋体" w:cs="Century Gothic"/>
      <w:color w:val="auto"/>
    </w:rPr>
  </w:style>
  <w:style w:type="paragraph" w:customStyle="1" w:styleId="580">
    <w:name w:val="CM2"/>
    <w:basedOn w:val="274"/>
    <w:next w:val="274"/>
    <w:qFormat/>
    <w:uiPriority w:val="0"/>
    <w:pPr>
      <w:spacing w:line="500" w:lineRule="atLeast"/>
    </w:pPr>
    <w:rPr>
      <w:rFonts w:ascii="宋体" w:eastAsia="宋体" w:cs="宋体"/>
      <w:color w:val="auto"/>
    </w:rPr>
  </w:style>
  <w:style w:type="paragraph" w:customStyle="1" w:styleId="581">
    <w:name w:val="Char Char Char Char Char Char Char Char Char Char Char Char Char1"/>
    <w:basedOn w:val="1"/>
    <w:qFormat/>
    <w:uiPriority w:val="0"/>
    <w:rPr>
      <w:rFonts w:ascii="仿宋_GB2312" w:hAnsi="Times New Roman" w:eastAsia="仿宋_GB2312"/>
      <w:b/>
      <w:sz w:val="32"/>
      <w:szCs w:val="32"/>
    </w:rPr>
  </w:style>
  <w:style w:type="paragraph" w:customStyle="1" w:styleId="582">
    <w:name w:val="Basis-Kopfzeile"/>
    <w:basedOn w:val="1"/>
    <w:qFormat/>
    <w:uiPriority w:val="0"/>
    <w:pPr>
      <w:keepLines/>
      <w:widowControl/>
      <w:tabs>
        <w:tab w:val="center" w:pos="4320"/>
        <w:tab w:val="right" w:pos="8640"/>
      </w:tabs>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583">
    <w:name w:val="CM140"/>
    <w:basedOn w:val="274"/>
    <w:next w:val="274"/>
    <w:qFormat/>
    <w:uiPriority w:val="0"/>
    <w:pPr>
      <w:spacing w:after="115"/>
    </w:pPr>
    <w:rPr>
      <w:rFonts w:ascii="宋体" w:eastAsia="宋体" w:cs="宋体"/>
      <w:color w:val="auto"/>
    </w:rPr>
  </w:style>
  <w:style w:type="paragraph" w:customStyle="1" w:styleId="584">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585">
    <w:name w:val="1.正文"/>
    <w:qFormat/>
    <w:uiPriority w:val="0"/>
    <w:pPr>
      <w:widowControl w:val="0"/>
      <w:adjustRightInd w:val="0"/>
      <w:spacing w:line="360" w:lineRule="auto"/>
      <w:ind w:firstLine="397"/>
      <w:jc w:val="both"/>
      <w:textAlignment w:val="baseline"/>
    </w:pPr>
    <w:rPr>
      <w:rFonts w:ascii="Times New Roman" w:hAnsi="Times New Roman" w:eastAsia="宋体" w:cs="Times New Roman"/>
      <w:spacing w:val="20"/>
      <w:sz w:val="24"/>
      <w:szCs w:val="24"/>
      <w:lang w:val="en-US" w:eastAsia="zh-CN" w:bidi="ar-SA"/>
    </w:rPr>
  </w:style>
  <w:style w:type="paragraph" w:customStyle="1" w:styleId="586">
    <w:name w:val="WW-Nachrichtenkopf"/>
    <w:basedOn w:val="23"/>
    <w:qFormat/>
    <w:uiPriority w:val="0"/>
    <w:pPr>
      <w:keepLines/>
      <w:tabs>
        <w:tab w:val="left" w:pos="3600"/>
        <w:tab w:val="left" w:pos="4680"/>
      </w:tabs>
      <w:suppressAutoHyphens/>
      <w:overflowPunct w:val="0"/>
      <w:autoSpaceDE w:val="0"/>
      <w:autoSpaceDN w:val="0"/>
      <w:adjustRightInd w:val="0"/>
      <w:spacing w:after="240" w:line="340" w:lineRule="atLeast"/>
      <w:ind w:left="1080" w:right="2880" w:hanging="1080"/>
      <w:textAlignment w:val="baseline"/>
    </w:pPr>
    <w:rPr>
      <w:rFonts w:ascii="Wund" w:hAnsi="Wund"/>
      <w:kern w:val="0"/>
      <w:sz w:val="22"/>
      <w:szCs w:val="22"/>
      <w:lang w:val="de-DE" w:eastAsia="de-DE"/>
    </w:rPr>
  </w:style>
  <w:style w:type="paragraph" w:customStyle="1" w:styleId="587">
    <w:name w:val="正文文本1"/>
    <w:basedOn w:val="1"/>
    <w:qFormat/>
    <w:uiPriority w:val="0"/>
    <w:pPr>
      <w:suppressAutoHyphens/>
      <w:overflowPunct w:val="0"/>
      <w:autoSpaceDE w:val="0"/>
      <w:autoSpaceDN w:val="0"/>
      <w:adjustRightInd w:val="0"/>
      <w:spacing w:after="160" w:line="56" w:lineRule="atLeast"/>
      <w:textAlignment w:val="baseline"/>
    </w:pPr>
    <w:rPr>
      <w:rFonts w:ascii="Arial Narrow" w:hAnsi="Arial Narrow" w:cs="Arial Narrow"/>
      <w:kern w:val="0"/>
      <w:sz w:val="24"/>
      <w:szCs w:val="24"/>
      <w:lang w:val="de-DE" w:eastAsia="de-DE"/>
    </w:rPr>
  </w:style>
  <w:style w:type="paragraph" w:customStyle="1" w:styleId="588">
    <w:name w:val="CM105"/>
    <w:basedOn w:val="274"/>
    <w:next w:val="274"/>
    <w:qFormat/>
    <w:uiPriority w:val="0"/>
    <w:pPr>
      <w:spacing w:after="1040"/>
    </w:pPr>
    <w:rPr>
      <w:rFonts w:ascii="宋体" w:eastAsia="宋体" w:cs="宋体"/>
      <w:color w:val="auto"/>
    </w:rPr>
  </w:style>
  <w:style w:type="paragraph" w:customStyle="1" w:styleId="589">
    <w:name w:val="SS正文首行缩进 +"/>
    <w:basedOn w:val="53"/>
    <w:qFormat/>
    <w:uiPriority w:val="0"/>
    <w:pPr>
      <w:spacing w:beforeLines="50" w:after="0" w:line="360" w:lineRule="auto"/>
      <w:ind w:firstLine="480" w:firstLineChars="200"/>
    </w:pPr>
    <w:rPr>
      <w:rFonts w:eastAsia="Times New Roman"/>
      <w:color w:val="000000"/>
      <w:sz w:val="24"/>
      <w:szCs w:val="24"/>
    </w:rPr>
  </w:style>
  <w:style w:type="paragraph" w:customStyle="1" w:styleId="590">
    <w:name w:val="正文缩进1"/>
    <w:qFormat/>
    <w:uiPriority w:val="0"/>
    <w:pPr>
      <w:widowControl w:val="0"/>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s>
      <w:spacing w:line="440" w:lineRule="exact"/>
      <w:ind w:firstLine="200"/>
      <w:jc w:val="center"/>
    </w:pPr>
    <w:rPr>
      <w:rFonts w:ascii="Lucida Grande" w:hAnsi="Lucida Grande" w:eastAsia="宋体" w:cs="Times New Roman"/>
      <w:b/>
      <w:color w:val="000000"/>
      <w:spacing w:val="14"/>
      <w:kern w:val="24"/>
      <w:sz w:val="21"/>
      <w:lang w:val="en-US" w:eastAsia="zh-CN" w:bidi="ar-SA"/>
    </w:rPr>
  </w:style>
  <w:style w:type="paragraph" w:customStyle="1" w:styleId="591">
    <w:name w:val="Betreff"/>
    <w:basedOn w:val="23"/>
    <w:next w:val="23"/>
    <w:qFormat/>
    <w:uiPriority w:val="0"/>
    <w:pPr>
      <w:suppressAutoHyphens/>
      <w:overflowPunct w:val="0"/>
      <w:autoSpaceDE w:val="0"/>
      <w:autoSpaceDN w:val="0"/>
      <w:adjustRightInd w:val="0"/>
      <w:spacing w:line="340" w:lineRule="atLeast"/>
      <w:textAlignment w:val="baseline"/>
    </w:pPr>
    <w:rPr>
      <w:rFonts w:ascii="Arial Narrow" w:hAnsi="Arial Narrow" w:cs="Arial Narrow"/>
      <w:i/>
      <w:iCs/>
      <w:kern w:val="0"/>
      <w:sz w:val="22"/>
      <w:szCs w:val="22"/>
      <w:u w:val="single"/>
      <w:lang w:val="de-DE" w:eastAsia="de-DE"/>
    </w:rPr>
  </w:style>
  <w:style w:type="paragraph" w:customStyle="1" w:styleId="592">
    <w:name w:val="Char161"/>
    <w:basedOn w:val="1"/>
    <w:qFormat/>
    <w:uiPriority w:val="0"/>
    <w:rPr>
      <w:rFonts w:ascii="Times New Roman" w:hAnsi="Times New Roman"/>
      <w:szCs w:val="20"/>
    </w:rPr>
  </w:style>
  <w:style w:type="paragraph" w:customStyle="1" w:styleId="593">
    <w:name w:val="CM172"/>
    <w:basedOn w:val="274"/>
    <w:next w:val="274"/>
    <w:qFormat/>
    <w:uiPriority w:val="0"/>
    <w:pPr>
      <w:spacing w:after="108"/>
    </w:pPr>
    <w:rPr>
      <w:rFonts w:ascii="宋体" w:eastAsia="宋体" w:cs="宋体"/>
      <w:color w:val="auto"/>
    </w:rPr>
  </w:style>
  <w:style w:type="paragraph" w:customStyle="1" w:styleId="594">
    <w:name w:val="Char Char Char1"/>
    <w:basedOn w:val="1"/>
    <w:qFormat/>
    <w:uiPriority w:val="0"/>
    <w:rPr>
      <w:rFonts w:ascii="Times New Roman" w:hAnsi="Times New Roman"/>
      <w:szCs w:val="20"/>
    </w:rPr>
  </w:style>
  <w:style w:type="paragraph" w:customStyle="1" w:styleId="595">
    <w:name w:val="CM42"/>
    <w:basedOn w:val="274"/>
    <w:next w:val="274"/>
    <w:qFormat/>
    <w:uiPriority w:val="0"/>
    <w:pPr>
      <w:spacing w:after="120"/>
    </w:pPr>
    <w:rPr>
      <w:rFonts w:ascii="Century Gothic" w:hAnsi="Century Gothic" w:eastAsia="宋体" w:cs="Century Gothic"/>
      <w:color w:val="auto"/>
    </w:rPr>
  </w:style>
  <w:style w:type="paragraph" w:customStyle="1" w:styleId="596">
    <w:name w:val="Aufzählung 1 Ende"/>
    <w:basedOn w:val="17"/>
    <w:qFormat/>
    <w:uiPriority w:val="0"/>
    <w:pPr>
      <w:tabs>
        <w:tab w:val="left" w:pos="720"/>
      </w:tabs>
      <w:suppressAutoHyphens/>
      <w:overflowPunct w:val="0"/>
      <w:autoSpaceDE w:val="0"/>
      <w:autoSpaceDN w:val="0"/>
      <w:spacing w:after="24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597">
    <w:name w:val="Numerierung 1 Ende"/>
    <w:basedOn w:val="17"/>
    <w:qFormat/>
    <w:uiPriority w:val="0"/>
    <w:pPr>
      <w:tabs>
        <w:tab w:val="left" w:pos="720"/>
      </w:tabs>
      <w:suppressAutoHyphens/>
      <w:overflowPunct w:val="0"/>
      <w:autoSpaceDE w:val="0"/>
      <w:autoSpaceDN w:val="0"/>
      <w:spacing w:after="24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598">
    <w:name w:val="WW-Listennummer 5"/>
    <w:basedOn w:val="432"/>
    <w:qFormat/>
    <w:uiPriority w:val="0"/>
    <w:pPr>
      <w:ind w:left="2160"/>
    </w:pPr>
  </w:style>
  <w:style w:type="paragraph" w:customStyle="1" w:styleId="599">
    <w:name w:val="CM54"/>
    <w:basedOn w:val="274"/>
    <w:next w:val="274"/>
    <w:qFormat/>
    <w:uiPriority w:val="0"/>
    <w:pPr>
      <w:spacing w:line="398" w:lineRule="atLeast"/>
    </w:pPr>
    <w:rPr>
      <w:rFonts w:ascii="宋体" w:eastAsia="宋体" w:cs="宋体"/>
      <w:color w:val="auto"/>
    </w:rPr>
  </w:style>
  <w:style w:type="paragraph" w:customStyle="1" w:styleId="600">
    <w:name w:val="Abschnittsbezeichnung"/>
    <w:basedOn w:val="467"/>
    <w:next w:val="23"/>
    <w:qFormat/>
    <w:uiPriority w:val="0"/>
    <w:pPr>
      <w:spacing w:after="360"/>
      <w:jc w:val="center"/>
    </w:pPr>
  </w:style>
  <w:style w:type="paragraph" w:customStyle="1" w:styleId="601">
    <w:name w:val="Rahmeninhalt"/>
    <w:basedOn w:val="23"/>
    <w:qFormat/>
    <w:uiPriority w:val="0"/>
    <w:pPr>
      <w:suppressAutoHyphens/>
      <w:overflowPunct w:val="0"/>
      <w:autoSpaceDE w:val="0"/>
      <w:autoSpaceDN w:val="0"/>
      <w:adjustRightInd w:val="0"/>
      <w:spacing w:line="340" w:lineRule="atLeast"/>
      <w:textAlignment w:val="baseline"/>
    </w:pPr>
    <w:rPr>
      <w:rFonts w:ascii="Arial Narrow" w:hAnsi="Arial Narrow" w:cs="Arial Narrow"/>
      <w:kern w:val="0"/>
      <w:sz w:val="22"/>
      <w:szCs w:val="22"/>
      <w:lang w:val="de-DE" w:eastAsia="de-DE"/>
    </w:rPr>
  </w:style>
  <w:style w:type="paragraph" w:customStyle="1" w:styleId="602">
    <w:name w:val="Char Char Char Char Char Char1"/>
    <w:basedOn w:val="1"/>
    <w:qFormat/>
    <w:uiPriority w:val="0"/>
    <w:rPr>
      <w:rFonts w:ascii="Tahoma" w:hAnsi="Tahoma"/>
      <w:sz w:val="24"/>
      <w:szCs w:val="20"/>
    </w:rPr>
  </w:style>
  <w:style w:type="paragraph" w:customStyle="1" w:styleId="603">
    <w:name w:val="WW-Liste 2"/>
    <w:basedOn w:val="17"/>
    <w:qFormat/>
    <w:uiPriority w:val="0"/>
    <w:pPr>
      <w:tabs>
        <w:tab w:val="left" w:pos="1080"/>
      </w:tabs>
      <w:suppressAutoHyphens/>
      <w:overflowPunct w:val="0"/>
      <w:autoSpaceDE w:val="0"/>
      <w:autoSpaceDN w:val="0"/>
      <w:spacing w:after="80" w:line="340" w:lineRule="atLeast"/>
      <w:ind w:left="1080" w:hanging="360"/>
      <w:jc w:val="both"/>
      <w:textAlignment w:val="baseline"/>
    </w:pPr>
    <w:rPr>
      <w:rFonts w:hint="default" w:ascii="Arial Narrow" w:hAnsi="Arial Narrow" w:cs="Arial Narrow"/>
      <w:sz w:val="22"/>
      <w:szCs w:val="22"/>
      <w:lang w:val="de-DE" w:eastAsia="de-DE"/>
    </w:rPr>
  </w:style>
  <w:style w:type="paragraph" w:customStyle="1" w:styleId="604">
    <w:name w:val="Numerierung 1"/>
    <w:basedOn w:val="17"/>
    <w:qFormat/>
    <w:uiPriority w:val="0"/>
    <w:pPr>
      <w:tabs>
        <w:tab w:val="left" w:pos="720"/>
      </w:tabs>
      <w:suppressAutoHyphens/>
      <w:overflowPunct w:val="0"/>
      <w:autoSpaceDE w:val="0"/>
      <w:autoSpaceDN w:val="0"/>
      <w:spacing w:after="12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605">
    <w:name w:val="CM16"/>
    <w:basedOn w:val="274"/>
    <w:next w:val="274"/>
    <w:qFormat/>
    <w:uiPriority w:val="0"/>
    <w:pPr>
      <w:spacing w:line="276" w:lineRule="atLeast"/>
    </w:pPr>
    <w:rPr>
      <w:rFonts w:ascii="Century Gothic" w:hAnsi="Century Gothic" w:eastAsia="宋体" w:cs="Century Gothic"/>
      <w:color w:val="auto"/>
    </w:rPr>
  </w:style>
  <w:style w:type="paragraph" w:customStyle="1" w:styleId="606">
    <w:name w:val="Numerierung 1 Fortsetzung"/>
    <w:basedOn w:val="17"/>
    <w:qFormat/>
    <w:uiPriority w:val="0"/>
    <w:pPr>
      <w:tabs>
        <w:tab w:val="left" w:pos="720"/>
      </w:tabs>
      <w:suppressAutoHyphens/>
      <w:overflowPunct w:val="0"/>
      <w:autoSpaceDE w:val="0"/>
      <w:autoSpaceDN w:val="0"/>
      <w:spacing w:after="120" w:line="340" w:lineRule="atLeast"/>
      <w:ind w:left="283" w:firstLine="0"/>
      <w:jc w:val="both"/>
      <w:textAlignment w:val="baseline"/>
    </w:pPr>
    <w:rPr>
      <w:rFonts w:hint="default" w:ascii="Arial Narrow" w:hAnsi="Arial Narrow" w:cs="Arial Narrow"/>
      <w:sz w:val="22"/>
      <w:szCs w:val="22"/>
      <w:lang w:val="de-DE" w:eastAsia="de-DE"/>
    </w:rPr>
  </w:style>
  <w:style w:type="paragraph" w:customStyle="1" w:styleId="607">
    <w:name w:val="CM38"/>
    <w:basedOn w:val="274"/>
    <w:next w:val="274"/>
    <w:qFormat/>
    <w:uiPriority w:val="0"/>
    <w:pPr>
      <w:spacing w:after="525"/>
    </w:pPr>
    <w:rPr>
      <w:rFonts w:ascii="Century Gothic" w:hAnsi="Century Gothic" w:eastAsia="宋体" w:cs="Century Gothic"/>
      <w:color w:val="auto"/>
    </w:rPr>
  </w:style>
  <w:style w:type="paragraph" w:customStyle="1" w:styleId="608">
    <w:name w:val="CM9"/>
    <w:basedOn w:val="274"/>
    <w:next w:val="274"/>
    <w:qFormat/>
    <w:uiPriority w:val="0"/>
    <w:pPr>
      <w:spacing w:line="323" w:lineRule="atLeast"/>
    </w:pPr>
    <w:rPr>
      <w:rFonts w:ascii="Century Gothic" w:hAnsi="Century Gothic" w:eastAsia="宋体" w:cs="Century Gothic"/>
      <w:color w:val="auto"/>
    </w:rPr>
  </w:style>
  <w:style w:type="paragraph" w:customStyle="1" w:styleId="609">
    <w:name w:val="WW-Listennummer 2"/>
    <w:basedOn w:val="432"/>
    <w:qFormat/>
    <w:uiPriority w:val="0"/>
    <w:pPr>
      <w:ind w:left="1080"/>
    </w:pPr>
  </w:style>
  <w:style w:type="paragraph" w:customStyle="1" w:styleId="610">
    <w:name w:val="修订4"/>
    <w:hidden/>
    <w:unhideWhenUsed/>
    <w:qFormat/>
    <w:uiPriority w:val="99"/>
    <w:rPr>
      <w:rFonts w:ascii="Times New Roman" w:hAnsi="Times New Roman" w:eastAsia="宋体" w:cs="Times New Roman"/>
      <w:kern w:val="2"/>
      <w:sz w:val="21"/>
      <w:szCs w:val="22"/>
      <w:lang w:val="en-US" w:eastAsia="zh-CN" w:bidi="ar-SA"/>
    </w:rPr>
  </w:style>
  <w:style w:type="paragraph" w:customStyle="1" w:styleId="611">
    <w:name w:val="列出段落31"/>
    <w:basedOn w:val="1"/>
    <w:qFormat/>
    <w:uiPriority w:val="0"/>
    <w:pPr>
      <w:ind w:firstLine="420" w:firstLineChars="200"/>
    </w:pPr>
  </w:style>
  <w:style w:type="character" w:customStyle="1" w:styleId="612">
    <w:name w:val="username"/>
    <w:basedOn w:val="57"/>
    <w:qFormat/>
    <w:uiPriority w:val="0"/>
  </w:style>
  <w:style w:type="character" w:customStyle="1" w:styleId="613">
    <w:name w:val="title26"/>
    <w:basedOn w:val="57"/>
    <w:qFormat/>
    <w:uiPriority w:val="0"/>
  </w:style>
  <w:style w:type="character" w:customStyle="1" w:styleId="614">
    <w:name w:val="title24"/>
    <w:basedOn w:val="57"/>
    <w:qFormat/>
    <w:uiPriority w:val="0"/>
  </w:style>
  <w:style w:type="paragraph" w:customStyle="1" w:styleId="615">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6">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35115-BC49-43F0-AFB5-E8FE9A309B79}">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68198</Words>
  <Characters>72806</Characters>
  <Lines>876</Lines>
  <Paragraphs>246</Paragraphs>
  <TotalTime>0</TotalTime>
  <ScaleCrop>false</ScaleCrop>
  <LinksUpToDate>false</LinksUpToDate>
  <CharactersWithSpaces>76130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2022-06-01T01:55:00Z</dcterms:created>
  <dc:creator>管理员</dc:creator>
  <cp:lastModifiedBy>WPS_1470985716</cp:lastModifiedBy>
  <cp:lastPrinted>2023-06-16T00:52:00Z</cp:lastPrinted>
  <dcterms:modified xsi:type="dcterms:W3CDTF">2023-10-30T08:42:24Z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093EAC24AD61412B8AEA5E439E501E4A_13</vt:lpwstr>
  </property>
</Properties>
</file>